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845B" w14:textId="77777777" w:rsidR="00F41FCB" w:rsidRDefault="00F41FCB" w:rsidP="0062272C">
      <w:pPr>
        <w:spacing w:line="276" w:lineRule="auto"/>
        <w:jc w:val="right"/>
        <w:rPr>
          <w:rFonts w:eastAsia="Calibri"/>
          <w:color w:val="000000" w:themeColor="text1"/>
          <w:szCs w:val="22"/>
        </w:rPr>
      </w:pPr>
    </w:p>
    <w:p w14:paraId="2F76CECE" w14:textId="663035AD" w:rsidR="0062272C" w:rsidRPr="00E769AF" w:rsidRDefault="00E769AF" w:rsidP="00E769AF">
      <w:pPr>
        <w:spacing w:line="276" w:lineRule="auto"/>
        <w:jc w:val="both"/>
        <w:rPr>
          <w:b/>
          <w:bCs/>
        </w:rPr>
      </w:pPr>
      <w:r w:rsidRPr="00E769AF">
        <w:rPr>
          <w:b/>
          <w:bCs/>
        </w:rPr>
        <w:t>Atbildību pastiprinošā apstākļa – noziedzīgu nodarījumu izdarījusī persona sniegusi apzināti nepatiesu liecību – piemērošana</w:t>
      </w:r>
    </w:p>
    <w:p w14:paraId="62881579" w14:textId="7DC08758" w:rsidR="00E769AF" w:rsidRPr="00E6798A" w:rsidRDefault="00E769AF" w:rsidP="00E769AF">
      <w:pPr>
        <w:spacing w:line="276" w:lineRule="auto"/>
        <w:jc w:val="both"/>
        <w:rPr>
          <w:rFonts w:eastAsia="Calibri"/>
          <w:color w:val="000000" w:themeColor="text1"/>
          <w:szCs w:val="22"/>
        </w:rPr>
      </w:pPr>
      <w:r w:rsidRPr="00E769AF">
        <w:t xml:space="preserve">Krimināllikuma </w:t>
      </w:r>
      <w:proofErr w:type="gramStart"/>
      <w:r w:rsidRPr="00E769AF">
        <w:t>48.panta</w:t>
      </w:r>
      <w:proofErr w:type="gramEnd"/>
      <w:r w:rsidRPr="00E769AF">
        <w:t xml:space="preserve"> pirmās daļas 17.punkts ir piemērojams, ja liecība sniegta pēc šīs normas spēkā stāšanās, proti, no 2020.gada 6.jūlija.</w:t>
      </w:r>
    </w:p>
    <w:p w14:paraId="21241223" w14:textId="157FB087" w:rsidR="0062272C" w:rsidRPr="00E6798A" w:rsidRDefault="0062272C" w:rsidP="00E769AF">
      <w:pPr>
        <w:spacing w:line="276" w:lineRule="auto"/>
        <w:rPr>
          <w:rFonts w:eastAsia="Calibri"/>
          <w:color w:val="000000" w:themeColor="text1"/>
          <w:szCs w:val="22"/>
        </w:rPr>
      </w:pPr>
    </w:p>
    <w:p w14:paraId="040BD340" w14:textId="77777777" w:rsidR="00E769AF" w:rsidRPr="00E769AF" w:rsidRDefault="0062272C" w:rsidP="0062272C">
      <w:pPr>
        <w:spacing w:line="276" w:lineRule="auto"/>
        <w:jc w:val="center"/>
        <w:rPr>
          <w:rFonts w:eastAsia="Calibri"/>
          <w:b/>
        </w:rPr>
      </w:pPr>
      <w:r w:rsidRPr="00E769AF">
        <w:rPr>
          <w:rFonts w:eastAsia="Calibri"/>
          <w:b/>
        </w:rPr>
        <w:t>Latvijas Republikas Senāt</w:t>
      </w:r>
      <w:r w:rsidR="00E769AF" w:rsidRPr="00E769AF">
        <w:rPr>
          <w:rFonts w:eastAsia="Calibri"/>
          <w:b/>
        </w:rPr>
        <w:t>a</w:t>
      </w:r>
      <w:r w:rsidRPr="00E769AF">
        <w:rPr>
          <w:rFonts w:eastAsia="Calibri"/>
          <w:b/>
        </w:rPr>
        <w:t xml:space="preserve"> </w:t>
      </w:r>
    </w:p>
    <w:p w14:paraId="4EA63140" w14:textId="77777777" w:rsidR="00E769AF" w:rsidRPr="00E769AF" w:rsidRDefault="00E769AF" w:rsidP="0062272C">
      <w:pPr>
        <w:spacing w:line="276" w:lineRule="auto"/>
        <w:jc w:val="center"/>
        <w:rPr>
          <w:rFonts w:eastAsia="Calibri"/>
          <w:b/>
          <w:color w:val="000000" w:themeColor="text1"/>
        </w:rPr>
      </w:pPr>
      <w:r w:rsidRPr="00E769AF">
        <w:rPr>
          <w:rFonts w:eastAsia="Calibri"/>
          <w:b/>
          <w:color w:val="000000" w:themeColor="text1"/>
        </w:rPr>
        <w:t>Krimināllietu departamenta</w:t>
      </w:r>
    </w:p>
    <w:p w14:paraId="7FD892D1" w14:textId="42215E77" w:rsidR="0062272C" w:rsidRPr="00E769AF" w:rsidRDefault="00E769AF" w:rsidP="0062272C">
      <w:pPr>
        <w:spacing w:line="276" w:lineRule="auto"/>
        <w:jc w:val="center"/>
        <w:rPr>
          <w:rFonts w:eastAsia="Calibri"/>
          <w:b/>
        </w:rPr>
      </w:pPr>
      <w:proofErr w:type="gramStart"/>
      <w:r w:rsidRPr="00E769AF">
        <w:rPr>
          <w:rFonts w:eastAsia="Calibri"/>
          <w:b/>
        </w:rPr>
        <w:t>2022.gada</w:t>
      </w:r>
      <w:proofErr w:type="gramEnd"/>
      <w:r w:rsidRPr="00E769AF">
        <w:rPr>
          <w:rFonts w:eastAsia="Calibri"/>
          <w:b/>
        </w:rPr>
        <w:t xml:space="preserve"> </w:t>
      </w:r>
      <w:r>
        <w:rPr>
          <w:rFonts w:eastAsia="Calibri"/>
          <w:b/>
        </w:rPr>
        <w:t>[..]</w:t>
      </w:r>
    </w:p>
    <w:p w14:paraId="32854E6B" w14:textId="6F901CCF" w:rsidR="0062272C" w:rsidRPr="00E769AF" w:rsidRDefault="0062272C" w:rsidP="0062272C">
      <w:pPr>
        <w:spacing w:line="276" w:lineRule="auto"/>
        <w:jc w:val="center"/>
        <w:rPr>
          <w:rFonts w:eastAsia="Calibri"/>
          <w:b/>
        </w:rPr>
      </w:pPr>
      <w:r w:rsidRPr="00E769AF">
        <w:rPr>
          <w:rFonts w:eastAsia="Calibri"/>
          <w:b/>
        </w:rPr>
        <w:t>LĒMUMS</w:t>
      </w:r>
      <w:r w:rsidR="00E769AF">
        <w:rPr>
          <w:rStyle w:val="FootnoteReference"/>
          <w:rFonts w:eastAsia="Calibri"/>
          <w:b/>
        </w:rPr>
        <w:footnoteReference w:id="1"/>
      </w:r>
    </w:p>
    <w:p w14:paraId="3F1E2754" w14:textId="1173418C" w:rsidR="0062272C" w:rsidRPr="00E769AF" w:rsidRDefault="00E769AF" w:rsidP="0062272C">
      <w:pPr>
        <w:spacing w:line="276" w:lineRule="auto"/>
        <w:jc w:val="center"/>
        <w:rPr>
          <w:rFonts w:eastAsia="Calibri"/>
          <w:b/>
          <w:color w:val="000000" w:themeColor="text1"/>
        </w:rPr>
      </w:pPr>
      <w:r w:rsidRPr="00E769AF">
        <w:rPr>
          <w:rFonts w:eastAsia="Calibri"/>
          <w:b/>
          <w:color w:val="000000" w:themeColor="text1"/>
        </w:rPr>
        <w:t>Lieta Nr. </w:t>
      </w:r>
      <w:r>
        <w:rPr>
          <w:rFonts w:eastAsia="Calibri"/>
          <w:b/>
          <w:color w:val="000000" w:themeColor="text1"/>
        </w:rPr>
        <w:t>[..]</w:t>
      </w:r>
      <w:r w:rsidRPr="00E769AF">
        <w:rPr>
          <w:rFonts w:eastAsia="Calibri"/>
          <w:b/>
          <w:color w:val="000000" w:themeColor="text1"/>
        </w:rPr>
        <w:t>, SKK-</w:t>
      </w:r>
      <w:r>
        <w:rPr>
          <w:rFonts w:eastAsia="Calibri"/>
          <w:b/>
          <w:color w:val="000000" w:themeColor="text1"/>
        </w:rPr>
        <w:t>[H]</w:t>
      </w:r>
      <w:r w:rsidRPr="00E769AF">
        <w:rPr>
          <w:rFonts w:eastAsia="Calibri"/>
          <w:b/>
          <w:color w:val="000000" w:themeColor="text1"/>
        </w:rPr>
        <w:t>/2022</w:t>
      </w:r>
    </w:p>
    <w:p w14:paraId="43EEABC9" w14:textId="032C8615" w:rsidR="00E769AF" w:rsidRPr="00E769AF" w:rsidRDefault="00E769AF" w:rsidP="0062272C">
      <w:pPr>
        <w:spacing w:line="276" w:lineRule="auto"/>
        <w:jc w:val="center"/>
        <w:rPr>
          <w:rFonts w:eastAsia="Calibri"/>
          <w:bCs/>
        </w:rPr>
      </w:pPr>
      <w:r w:rsidRPr="00E769AF">
        <w:rPr>
          <w:bCs/>
          <w:color w:val="000000"/>
          <w:shd w:val="clear" w:color="auto" w:fill="FFFFFF"/>
        </w:rPr>
        <w:t>ECLI:LV:AT:2022:</w:t>
      </w:r>
      <w:r>
        <w:rPr>
          <w:bCs/>
          <w:color w:val="000000"/>
          <w:shd w:val="clear" w:color="auto" w:fill="FFFFFF"/>
        </w:rPr>
        <w:t>[..]</w:t>
      </w:r>
    </w:p>
    <w:p w14:paraId="02D78DCC" w14:textId="2F72F21D" w:rsidR="0062272C" w:rsidRDefault="0062272C" w:rsidP="0062272C">
      <w:pPr>
        <w:spacing w:before="240" w:after="240" w:line="276" w:lineRule="auto"/>
        <w:ind w:firstLine="709"/>
        <w:jc w:val="both"/>
      </w:pPr>
      <w:r>
        <w:t>Tiesa šādā sastāvā: senator</w:t>
      </w:r>
      <w:r w:rsidR="00A56BFB">
        <w:t>i</w:t>
      </w:r>
      <w:r>
        <w:t xml:space="preserve"> </w:t>
      </w:r>
      <w:r w:rsidR="00BC4DEB">
        <w:t>I</w:t>
      </w:r>
      <w:r w:rsidR="00085A26">
        <w:t>vars Bičkovičs, Inguna Radzeviča</w:t>
      </w:r>
      <w:r w:rsidR="00BC4DEB">
        <w:t xml:space="preserve">, </w:t>
      </w:r>
      <w:r>
        <w:t>A</w:t>
      </w:r>
      <w:r w:rsidR="00085A26">
        <w:t>ivars Uminskis</w:t>
      </w:r>
    </w:p>
    <w:p w14:paraId="22677B24" w14:textId="6D369BF2" w:rsidR="0062272C" w:rsidRDefault="0062272C" w:rsidP="0062272C">
      <w:pPr>
        <w:spacing w:line="276" w:lineRule="auto"/>
        <w:ind w:firstLine="709"/>
        <w:jc w:val="both"/>
      </w:pPr>
      <w:r>
        <w:t>izskatīja rakstveida procesā krimināllietu sak</w:t>
      </w:r>
      <w:r w:rsidR="00085A26">
        <w:t xml:space="preserve">arā ar </w:t>
      </w:r>
      <w:r w:rsidR="000A42C7">
        <w:t>[..]</w:t>
      </w:r>
      <w:r w:rsidR="00085A26">
        <w:t xml:space="preserve"> prokuratūras prokurora Jāņa </w:t>
      </w:r>
      <w:proofErr w:type="spellStart"/>
      <w:r w:rsidR="00085A26">
        <w:t>Silicka</w:t>
      </w:r>
      <w:proofErr w:type="spellEnd"/>
      <w:r w:rsidR="00085A26">
        <w:t xml:space="preserve"> kasācijas protestu par </w:t>
      </w:r>
      <w:r w:rsidR="00E769AF">
        <w:t>[..]</w:t>
      </w:r>
      <w:r w:rsidR="00085A26">
        <w:t xml:space="preserve"> apgabaltiesas </w:t>
      </w:r>
      <w:proofErr w:type="gramStart"/>
      <w:r w:rsidR="00085A26">
        <w:t>2021.gada</w:t>
      </w:r>
      <w:proofErr w:type="gramEnd"/>
      <w:r w:rsidR="00085A26">
        <w:t xml:space="preserve"> </w:t>
      </w:r>
      <w:r w:rsidR="00E769AF">
        <w:t>[..]</w:t>
      </w:r>
      <w:r w:rsidR="00BC4DEB">
        <w:t xml:space="preserve"> lēmumu.</w:t>
      </w:r>
    </w:p>
    <w:p w14:paraId="76EBD81D" w14:textId="77777777" w:rsidR="0062272C" w:rsidRDefault="0062272C" w:rsidP="0062272C">
      <w:pPr>
        <w:autoSpaceDE w:val="0"/>
        <w:autoSpaceDN w:val="0"/>
        <w:adjustRightInd w:val="0"/>
        <w:spacing w:before="240" w:after="240" w:line="276" w:lineRule="auto"/>
        <w:jc w:val="center"/>
        <w:rPr>
          <w:b/>
          <w:bCs/>
        </w:rPr>
      </w:pPr>
      <w:r>
        <w:rPr>
          <w:b/>
          <w:bCs/>
        </w:rPr>
        <w:t>Aprakstošā daļa</w:t>
      </w:r>
    </w:p>
    <w:p w14:paraId="50CEBEAE" w14:textId="7FEC5D44" w:rsidR="0062272C" w:rsidRDefault="00EB6406" w:rsidP="0062272C">
      <w:pPr>
        <w:spacing w:line="276" w:lineRule="auto"/>
        <w:ind w:firstLine="709"/>
        <w:jc w:val="both"/>
      </w:pPr>
      <w:r>
        <w:t xml:space="preserve">[1] </w:t>
      </w:r>
      <w:r w:rsidR="00060496" w:rsidRPr="00060496">
        <w:t xml:space="preserve">Ar </w:t>
      </w:r>
      <w:r w:rsidR="00E769AF">
        <w:t>[rajona (pilsētas)]</w:t>
      </w:r>
      <w:r w:rsidR="00060496" w:rsidRPr="00060496">
        <w:t xml:space="preserve"> tiesas </w:t>
      </w:r>
      <w:proofErr w:type="gramStart"/>
      <w:r w:rsidR="00060496" w:rsidRPr="00060496">
        <w:t>2020.gada</w:t>
      </w:r>
      <w:proofErr w:type="gramEnd"/>
      <w:r w:rsidR="00060496" w:rsidRPr="00060496">
        <w:t xml:space="preserve"> </w:t>
      </w:r>
      <w:r w:rsidR="00E769AF">
        <w:t>[..]</w:t>
      </w:r>
      <w:r w:rsidR="00060496" w:rsidRPr="00060496">
        <w:t xml:space="preserve"> spriedumu</w:t>
      </w:r>
    </w:p>
    <w:p w14:paraId="2675F3A7" w14:textId="04215652" w:rsidR="0062272C" w:rsidRDefault="00E769AF" w:rsidP="00060496">
      <w:pPr>
        <w:spacing w:line="276" w:lineRule="auto"/>
        <w:ind w:firstLine="709"/>
        <w:jc w:val="both"/>
      </w:pPr>
      <w:r>
        <w:t>[pers. A]</w:t>
      </w:r>
      <w:r w:rsidR="00EB6406">
        <w:t xml:space="preserve">, </w:t>
      </w:r>
      <w:r w:rsidR="00060496">
        <w:t xml:space="preserve">personas kods </w:t>
      </w:r>
      <w:r>
        <w:t>[..]</w:t>
      </w:r>
      <w:r w:rsidR="0062272C">
        <w:t>,</w:t>
      </w:r>
    </w:p>
    <w:p w14:paraId="68451587" w14:textId="7B071235" w:rsidR="00060496" w:rsidRDefault="00060496" w:rsidP="009358D4">
      <w:pPr>
        <w:spacing w:line="276" w:lineRule="auto"/>
        <w:ind w:firstLine="709"/>
        <w:jc w:val="both"/>
      </w:pPr>
      <w:r>
        <w:t xml:space="preserve">atzīts par vainīgu </w:t>
      </w:r>
      <w:r w:rsidR="00D42F97">
        <w:t xml:space="preserve">Krimināllikuma </w:t>
      </w:r>
      <w:proofErr w:type="gramStart"/>
      <w:r w:rsidR="00D42F97">
        <w:t>174.panta</w:t>
      </w:r>
      <w:proofErr w:type="gramEnd"/>
      <w:r w:rsidR="00D42F97">
        <w:t xml:space="preserve"> otrajā daļā paredzētajā noziedzīgajā nodarījumā </w:t>
      </w:r>
      <w:r>
        <w:t xml:space="preserve">un sodīts ar brīvības </w:t>
      </w:r>
      <w:r w:rsidR="00E24097">
        <w:t>atņemšanu uz 2</w:t>
      </w:r>
      <w:r>
        <w:t xml:space="preserve"> gadiem un </w:t>
      </w:r>
      <w:r w:rsidR="00E24097">
        <w:t>probācijas uzraudzību uz 1 gadu 6</w:t>
      </w:r>
      <w:r w:rsidR="00E2535D">
        <w:t> </w:t>
      </w:r>
      <w:r>
        <w:t>mēnešiem.</w:t>
      </w:r>
    </w:p>
    <w:p w14:paraId="6D252004" w14:textId="0C3F8BBB" w:rsidR="00060496" w:rsidRDefault="00E24097" w:rsidP="009358D4">
      <w:pPr>
        <w:spacing w:line="276" w:lineRule="auto"/>
        <w:ind w:firstLine="709"/>
        <w:jc w:val="both"/>
      </w:pPr>
      <w:r>
        <w:t>S</w:t>
      </w:r>
      <w:r w:rsidRPr="00E24097">
        <w:t xml:space="preserve">askaņā ar Krimināllikuma </w:t>
      </w:r>
      <w:proofErr w:type="gramStart"/>
      <w:r w:rsidRPr="00E24097">
        <w:t>50.panta</w:t>
      </w:r>
      <w:proofErr w:type="gramEnd"/>
      <w:r w:rsidRPr="00E24097">
        <w:t xml:space="preserve"> piekto daļu</w:t>
      </w:r>
      <w:r>
        <w:t xml:space="preserve"> galīgais sods </w:t>
      </w:r>
      <w:r w:rsidR="00E769AF">
        <w:t>[pers. A]</w:t>
      </w:r>
      <w:r>
        <w:t xml:space="preserve"> noteikts brīvības atņemšana uz 2 gadiem 15 dienām, atņemot transportlīdzekļa vadīšanas tiesības uz 1 gadu</w:t>
      </w:r>
      <w:r w:rsidR="009129B9">
        <w:t>,</w:t>
      </w:r>
      <w:r>
        <w:t xml:space="preserve"> un probācijas uzraudzība uz 1 gadu 6 mēnešiem.</w:t>
      </w:r>
    </w:p>
    <w:p w14:paraId="688ADF2C" w14:textId="0054C357" w:rsidR="00BE4C20" w:rsidRDefault="00BE4C20" w:rsidP="009358D4">
      <w:pPr>
        <w:spacing w:line="276" w:lineRule="auto"/>
        <w:ind w:firstLine="709"/>
        <w:jc w:val="both"/>
      </w:pPr>
    </w:p>
    <w:p w14:paraId="53FEB688" w14:textId="41DF0E85" w:rsidR="00BE4C20" w:rsidRDefault="00BE4C20" w:rsidP="009358D4">
      <w:pPr>
        <w:autoSpaceDE w:val="0"/>
        <w:autoSpaceDN w:val="0"/>
        <w:adjustRightInd w:val="0"/>
        <w:spacing w:line="276" w:lineRule="auto"/>
        <w:ind w:firstLine="709"/>
        <w:jc w:val="both"/>
      </w:pPr>
      <w:r w:rsidRPr="00807C1F">
        <w:rPr>
          <w:rFonts w:asciiTheme="majorBidi" w:eastAsiaTheme="minorHAnsi" w:hAnsiTheme="majorBidi" w:cstheme="majorBidi"/>
          <w:color w:val="000000" w:themeColor="text1"/>
        </w:rPr>
        <w:t xml:space="preserve">[2] Ar pirmās instances tiesas spriedumu </w:t>
      </w:r>
      <w:r w:rsidR="00E769AF">
        <w:rPr>
          <w:rFonts w:asciiTheme="majorBidi" w:eastAsiaTheme="minorHAnsi" w:hAnsiTheme="majorBidi" w:cstheme="majorBidi"/>
          <w:color w:val="000000" w:themeColor="text1"/>
        </w:rPr>
        <w:t>[pers. A]</w:t>
      </w:r>
      <w:r w:rsidRPr="00807C1F">
        <w:rPr>
          <w:rFonts w:asciiTheme="majorBidi" w:eastAsiaTheme="minorHAnsi" w:hAnsiTheme="majorBidi" w:cstheme="majorBidi"/>
          <w:color w:val="000000" w:themeColor="text1"/>
        </w:rPr>
        <w:t xml:space="preserve"> atzīts par vainīgu un sodīts pēc Krimināllikuma </w:t>
      </w:r>
      <w:proofErr w:type="gramStart"/>
      <w:r>
        <w:rPr>
          <w:rFonts w:asciiTheme="majorBidi" w:eastAsiaTheme="minorHAnsi" w:hAnsiTheme="majorBidi" w:cstheme="majorBidi"/>
          <w:color w:val="000000" w:themeColor="text1"/>
        </w:rPr>
        <w:t>174</w:t>
      </w:r>
      <w:r w:rsidRPr="00807C1F">
        <w:rPr>
          <w:rFonts w:asciiTheme="majorBidi" w:eastAsiaTheme="minorHAnsi" w:hAnsiTheme="majorBidi" w:cstheme="majorBidi"/>
          <w:color w:val="000000" w:themeColor="text1"/>
        </w:rPr>
        <w:t>.panta</w:t>
      </w:r>
      <w:proofErr w:type="gramEnd"/>
      <w:r w:rsidRPr="00807C1F">
        <w:rPr>
          <w:rFonts w:asciiTheme="majorBidi" w:eastAsiaTheme="minorHAnsi" w:hAnsiTheme="majorBidi" w:cstheme="majorBidi"/>
          <w:color w:val="000000" w:themeColor="text1"/>
        </w:rPr>
        <w:t xml:space="preserve"> </w:t>
      </w:r>
      <w:r>
        <w:rPr>
          <w:rFonts w:asciiTheme="majorBidi" w:eastAsiaTheme="minorHAnsi" w:hAnsiTheme="majorBidi" w:cstheme="majorBidi"/>
          <w:color w:val="000000" w:themeColor="text1"/>
        </w:rPr>
        <w:t>otrās</w:t>
      </w:r>
      <w:r w:rsidRPr="00807C1F">
        <w:rPr>
          <w:rFonts w:asciiTheme="majorBidi" w:eastAsiaTheme="minorHAnsi" w:hAnsiTheme="majorBidi" w:cstheme="majorBidi"/>
          <w:color w:val="000000" w:themeColor="text1"/>
        </w:rPr>
        <w:t xml:space="preserve"> daļas par </w:t>
      </w:r>
      <w:r>
        <w:t>to, ka būdams persona, no kuras cietušie ir materiāli un citādi atkarīgi, vardarbīgi apgājās ar mazgadīgajiem, nodarot viņiem fiziskas ciešanas</w:t>
      </w:r>
      <w:r w:rsidR="0040588C">
        <w:t>,</w:t>
      </w:r>
      <w:r>
        <w:t xml:space="preserve"> un šīm darbībām nav bijušas Krimināllikuma 125. vai </w:t>
      </w:r>
      <w:proofErr w:type="gramStart"/>
      <w:r>
        <w:t>126.pantā</w:t>
      </w:r>
      <w:proofErr w:type="gramEnd"/>
      <w:r>
        <w:t xml:space="preserve"> paredzētās sekas. </w:t>
      </w:r>
    </w:p>
    <w:p w14:paraId="41A0E51F" w14:textId="77777777" w:rsidR="009358D4" w:rsidRDefault="009358D4" w:rsidP="009358D4">
      <w:pPr>
        <w:autoSpaceDE w:val="0"/>
        <w:autoSpaceDN w:val="0"/>
        <w:adjustRightInd w:val="0"/>
        <w:spacing w:line="276" w:lineRule="auto"/>
        <w:ind w:firstLine="709"/>
        <w:jc w:val="both"/>
      </w:pPr>
    </w:p>
    <w:p w14:paraId="0C08A763" w14:textId="31BE2C9D" w:rsidR="008336C5" w:rsidRDefault="008336C5" w:rsidP="009358D4">
      <w:pPr>
        <w:spacing w:line="276" w:lineRule="auto"/>
        <w:ind w:firstLine="709"/>
        <w:jc w:val="both"/>
      </w:pPr>
      <w:r>
        <w:t>[</w:t>
      </w:r>
      <w:r w:rsidR="00BE4C20">
        <w:t>3</w:t>
      </w:r>
      <w:r w:rsidR="00FA6BDB">
        <w:t xml:space="preserve">] Ar </w:t>
      </w:r>
      <w:r w:rsidR="00E769AF">
        <w:t>[..]</w:t>
      </w:r>
      <w:r w:rsidR="001960DC">
        <w:t xml:space="preserve"> apgabaltiesas </w:t>
      </w:r>
      <w:proofErr w:type="gramStart"/>
      <w:r w:rsidR="00FA6BDB" w:rsidRPr="00FA6BDB">
        <w:t>2021.gada</w:t>
      </w:r>
      <w:proofErr w:type="gramEnd"/>
      <w:r w:rsidR="00FA6BDB" w:rsidRPr="00FA6BDB">
        <w:t xml:space="preserve"> </w:t>
      </w:r>
      <w:r w:rsidR="00E769AF">
        <w:t>[..]</w:t>
      </w:r>
      <w:r w:rsidR="00FA6BDB" w:rsidRPr="00FA6BDB">
        <w:t xml:space="preserve"> lēmumu</w:t>
      </w:r>
      <w:r w:rsidR="001960DC" w:rsidRPr="001960DC">
        <w:t xml:space="preserve">, iztiesājot krimināllietu apelācijas kārtībā sakarā ar </w:t>
      </w:r>
      <w:r w:rsidR="000A42C7">
        <w:t>[..]</w:t>
      </w:r>
      <w:r w:rsidR="00FA6BDB">
        <w:t xml:space="preserve"> prokuratūras </w:t>
      </w:r>
      <w:r w:rsidR="00FA6BDB" w:rsidRPr="00FA6BDB">
        <w:t xml:space="preserve">prokurora </w:t>
      </w:r>
      <w:r w:rsidR="001C7AF7" w:rsidRPr="00FA6BDB">
        <w:t>J</w:t>
      </w:r>
      <w:r w:rsidR="001C7AF7">
        <w:t>. </w:t>
      </w:r>
      <w:proofErr w:type="spellStart"/>
      <w:r w:rsidR="00FA6BDB" w:rsidRPr="00FA6BDB">
        <w:t>Silicka</w:t>
      </w:r>
      <w:proofErr w:type="spellEnd"/>
      <w:r w:rsidR="00FA6BDB">
        <w:t xml:space="preserve"> apel</w:t>
      </w:r>
      <w:r w:rsidR="00C70994">
        <w:t>ācijas protestu</w:t>
      </w:r>
      <w:r w:rsidR="001960DC" w:rsidRPr="001960DC">
        <w:t xml:space="preserve">, </w:t>
      </w:r>
      <w:r w:rsidR="00E769AF">
        <w:t>[rajona</w:t>
      </w:r>
      <w:r w:rsidR="007B6A50">
        <w:t> </w:t>
      </w:r>
      <w:r w:rsidR="00E769AF">
        <w:t>(pilsētas)]</w:t>
      </w:r>
      <w:r w:rsidR="00FA6BDB" w:rsidRPr="00FA6BDB">
        <w:t xml:space="preserve"> tiesas 2020.gada </w:t>
      </w:r>
      <w:r w:rsidR="00E769AF">
        <w:t>[..]</w:t>
      </w:r>
      <w:r w:rsidR="00FA6BDB" w:rsidRPr="00FA6BDB">
        <w:t xml:space="preserve"> </w:t>
      </w:r>
      <w:r w:rsidR="001960DC">
        <w:t>spriedums</w:t>
      </w:r>
      <w:r w:rsidR="001960DC" w:rsidRPr="001960DC">
        <w:t xml:space="preserve"> atstāts negrozīts.</w:t>
      </w:r>
    </w:p>
    <w:p w14:paraId="1BFCF3FD" w14:textId="67327C3D" w:rsidR="003079C1" w:rsidRPr="003079C1" w:rsidRDefault="00061CD3" w:rsidP="009358D4">
      <w:pPr>
        <w:spacing w:before="240" w:line="276" w:lineRule="auto"/>
        <w:ind w:firstLine="709"/>
        <w:jc w:val="both"/>
        <w:rPr>
          <w:rFonts w:eastAsiaTheme="minorHAnsi"/>
        </w:rPr>
      </w:pPr>
      <w:r>
        <w:rPr>
          <w:rFonts w:eastAsia="Calibri"/>
          <w:szCs w:val="22"/>
        </w:rPr>
        <w:t>[</w:t>
      </w:r>
      <w:r w:rsidR="00BE4C20">
        <w:rPr>
          <w:rFonts w:eastAsia="Calibri"/>
          <w:szCs w:val="22"/>
        </w:rPr>
        <w:t>4</w:t>
      </w:r>
      <w:r w:rsidR="0062272C">
        <w:rPr>
          <w:rFonts w:eastAsia="Calibri"/>
          <w:szCs w:val="22"/>
        </w:rPr>
        <w:t xml:space="preserve">] </w:t>
      </w:r>
      <w:r w:rsidR="0062272C">
        <w:rPr>
          <w:rFonts w:eastAsiaTheme="minorHAnsi"/>
        </w:rPr>
        <w:t>Par apelā</w:t>
      </w:r>
      <w:r>
        <w:rPr>
          <w:rFonts w:eastAsiaTheme="minorHAnsi"/>
        </w:rPr>
        <w:t>cijas instances tiesas lēmumu</w:t>
      </w:r>
      <w:r w:rsidR="000F34A0">
        <w:rPr>
          <w:rFonts w:eastAsiaTheme="minorHAnsi"/>
        </w:rPr>
        <w:t xml:space="preserve"> kasācijas protestu iesniedzis</w:t>
      </w:r>
      <w:r w:rsidR="0062272C">
        <w:rPr>
          <w:rFonts w:eastAsiaTheme="minorHAnsi"/>
        </w:rPr>
        <w:t xml:space="preserve"> </w:t>
      </w:r>
      <w:r w:rsidR="000A42C7">
        <w:rPr>
          <w:rFonts w:eastAsiaTheme="minorHAnsi"/>
        </w:rPr>
        <w:t xml:space="preserve">[..] </w:t>
      </w:r>
      <w:r w:rsidR="000F34A0">
        <w:rPr>
          <w:rFonts w:eastAsiaTheme="minorHAnsi"/>
        </w:rPr>
        <w:t>prokuratūras prokurors J</w:t>
      </w:r>
      <w:r w:rsidR="001C7AF7">
        <w:rPr>
          <w:rFonts w:eastAsiaTheme="minorHAnsi"/>
        </w:rPr>
        <w:t>. </w:t>
      </w:r>
      <w:proofErr w:type="spellStart"/>
      <w:r w:rsidR="000F34A0">
        <w:rPr>
          <w:rFonts w:eastAsiaTheme="minorHAnsi"/>
        </w:rPr>
        <w:t>Silickis</w:t>
      </w:r>
      <w:proofErr w:type="spellEnd"/>
      <w:r>
        <w:rPr>
          <w:rFonts w:eastAsiaTheme="minorHAnsi"/>
        </w:rPr>
        <w:t xml:space="preserve">, </w:t>
      </w:r>
      <w:r w:rsidR="00C55941">
        <w:rPr>
          <w:rFonts w:eastAsiaTheme="minorHAnsi"/>
        </w:rPr>
        <w:t>lū</w:t>
      </w:r>
      <w:r w:rsidR="00E26494">
        <w:rPr>
          <w:rFonts w:eastAsiaTheme="minorHAnsi"/>
        </w:rPr>
        <w:t>dzot</w:t>
      </w:r>
      <w:r w:rsidR="00C55941">
        <w:rPr>
          <w:rFonts w:eastAsiaTheme="minorHAnsi"/>
        </w:rPr>
        <w:t xml:space="preserve"> atcelt </w:t>
      </w:r>
      <w:r w:rsidR="00E769AF">
        <w:rPr>
          <w:rFonts w:eastAsiaTheme="minorHAnsi"/>
        </w:rPr>
        <w:t>[..]</w:t>
      </w:r>
      <w:r w:rsidR="000F34A0" w:rsidRPr="000F34A0">
        <w:rPr>
          <w:rFonts w:eastAsiaTheme="minorHAnsi"/>
        </w:rPr>
        <w:t xml:space="preserve"> apgabaltiesas </w:t>
      </w:r>
      <w:proofErr w:type="gramStart"/>
      <w:r w:rsidR="000F34A0" w:rsidRPr="000F34A0">
        <w:rPr>
          <w:rFonts w:eastAsiaTheme="minorHAnsi"/>
        </w:rPr>
        <w:t>2021.gada</w:t>
      </w:r>
      <w:proofErr w:type="gramEnd"/>
      <w:r w:rsidR="000F34A0" w:rsidRPr="000F34A0">
        <w:rPr>
          <w:rFonts w:eastAsiaTheme="minorHAnsi"/>
        </w:rPr>
        <w:t xml:space="preserve"> </w:t>
      </w:r>
      <w:r w:rsidR="00E769AF">
        <w:rPr>
          <w:rFonts w:eastAsiaTheme="minorHAnsi"/>
        </w:rPr>
        <w:t>[..]</w:t>
      </w:r>
      <w:r w:rsidR="000F34A0" w:rsidRPr="000F34A0">
        <w:rPr>
          <w:rFonts w:eastAsiaTheme="minorHAnsi"/>
        </w:rPr>
        <w:t xml:space="preserve"> lēmumu</w:t>
      </w:r>
      <w:r w:rsidR="00E26494" w:rsidRPr="00E26494">
        <w:rPr>
          <w:rFonts w:eastAsiaTheme="minorHAnsi"/>
        </w:rPr>
        <w:t xml:space="preserve"> </w:t>
      </w:r>
      <w:r w:rsidR="00E26494">
        <w:rPr>
          <w:rFonts w:eastAsiaTheme="minorHAnsi"/>
        </w:rPr>
        <w:t xml:space="preserve">un </w:t>
      </w:r>
      <w:r w:rsidR="000F34A0">
        <w:rPr>
          <w:rFonts w:eastAsiaTheme="minorHAnsi"/>
        </w:rPr>
        <w:t xml:space="preserve">nosūtīt lietu </w:t>
      </w:r>
      <w:r w:rsidR="00603B7A">
        <w:rPr>
          <w:rFonts w:eastAsiaTheme="minorHAnsi"/>
        </w:rPr>
        <w:t xml:space="preserve">jaunai izskatīšanai </w:t>
      </w:r>
      <w:r w:rsidR="00E769AF">
        <w:rPr>
          <w:rFonts w:eastAsiaTheme="minorHAnsi"/>
        </w:rPr>
        <w:t>[..]</w:t>
      </w:r>
      <w:r w:rsidR="000F34A0">
        <w:rPr>
          <w:rFonts w:eastAsiaTheme="minorHAnsi"/>
        </w:rPr>
        <w:t xml:space="preserve"> apgabalties</w:t>
      </w:r>
      <w:r w:rsidR="00603B7A">
        <w:rPr>
          <w:rFonts w:eastAsiaTheme="minorHAnsi"/>
        </w:rPr>
        <w:t>ā.</w:t>
      </w:r>
    </w:p>
    <w:p w14:paraId="08E21835" w14:textId="340B843C" w:rsidR="003079C1" w:rsidRDefault="003079C1" w:rsidP="005E77BB">
      <w:pPr>
        <w:spacing w:line="276" w:lineRule="auto"/>
        <w:ind w:firstLine="709"/>
        <w:jc w:val="both"/>
        <w:rPr>
          <w:rFonts w:eastAsiaTheme="minorHAnsi"/>
        </w:rPr>
      </w:pPr>
      <w:r>
        <w:rPr>
          <w:rFonts w:eastAsiaTheme="minorHAnsi"/>
        </w:rPr>
        <w:t>Kasācijas protest</w:t>
      </w:r>
      <w:r w:rsidR="002B4EBD">
        <w:rPr>
          <w:rFonts w:eastAsiaTheme="minorHAnsi"/>
        </w:rPr>
        <w:t>u</w:t>
      </w:r>
      <w:r>
        <w:rPr>
          <w:rFonts w:eastAsiaTheme="minorHAnsi"/>
        </w:rPr>
        <w:t xml:space="preserve"> pamato šādi argumenti.</w:t>
      </w:r>
    </w:p>
    <w:p w14:paraId="50A47EA6" w14:textId="77777777" w:rsidR="00317C03" w:rsidRDefault="0062272C" w:rsidP="002C1673">
      <w:pPr>
        <w:spacing w:line="276" w:lineRule="auto"/>
        <w:ind w:firstLine="709"/>
        <w:jc w:val="both"/>
        <w:rPr>
          <w:rFonts w:asciiTheme="majorBidi" w:eastAsiaTheme="minorHAnsi" w:hAnsiTheme="majorBidi" w:cstheme="majorBidi"/>
          <w:color w:val="000000" w:themeColor="text1"/>
        </w:rPr>
      </w:pPr>
      <w:r>
        <w:rPr>
          <w:rFonts w:eastAsiaTheme="minorHAnsi"/>
        </w:rPr>
        <w:t>[</w:t>
      </w:r>
      <w:r w:rsidR="00BE4C20">
        <w:rPr>
          <w:rFonts w:eastAsiaTheme="minorHAnsi"/>
        </w:rPr>
        <w:t>4</w:t>
      </w:r>
      <w:r>
        <w:rPr>
          <w:rFonts w:eastAsiaTheme="minorHAnsi"/>
        </w:rPr>
        <w:t xml:space="preserve">.1] </w:t>
      </w:r>
      <w:r w:rsidR="00276A3D" w:rsidRPr="00C344DB">
        <w:rPr>
          <w:color w:val="000000" w:themeColor="text1"/>
        </w:rPr>
        <w:t xml:space="preserve">Saeimā </w:t>
      </w:r>
      <w:proofErr w:type="gramStart"/>
      <w:r w:rsidR="00276A3D" w:rsidRPr="00C344DB">
        <w:rPr>
          <w:color w:val="000000" w:themeColor="text1"/>
        </w:rPr>
        <w:t>2020.gada</w:t>
      </w:r>
      <w:proofErr w:type="gramEnd"/>
      <w:r w:rsidR="00276A3D" w:rsidRPr="00C344DB">
        <w:rPr>
          <w:color w:val="000000" w:themeColor="text1"/>
        </w:rPr>
        <w:t xml:space="preserve"> 11.jūnijā pieņemts likums „Grozījumi Krimināllikumā”, kurš </w:t>
      </w:r>
      <w:r w:rsidR="00276A3D" w:rsidRPr="002C1673">
        <w:rPr>
          <w:rFonts w:asciiTheme="majorBidi" w:hAnsiTheme="majorBidi" w:cstheme="majorBidi"/>
          <w:color w:val="000000" w:themeColor="text1"/>
        </w:rPr>
        <w:t xml:space="preserve">stājās spēkā 2020.gada 6.jūlijā. Ar pieņemto likumu Krimināllikuma </w:t>
      </w:r>
      <w:proofErr w:type="gramStart"/>
      <w:r w:rsidR="00276A3D" w:rsidRPr="002C1673">
        <w:rPr>
          <w:rFonts w:asciiTheme="majorBidi" w:hAnsiTheme="majorBidi" w:cstheme="majorBidi"/>
          <w:color w:val="000000" w:themeColor="text1"/>
          <w:shd w:val="clear" w:color="auto" w:fill="FFFFFF"/>
        </w:rPr>
        <w:t>48.panta</w:t>
      </w:r>
      <w:proofErr w:type="gramEnd"/>
      <w:r w:rsidR="00276A3D" w:rsidRPr="002C1673">
        <w:rPr>
          <w:rFonts w:asciiTheme="majorBidi" w:hAnsiTheme="majorBidi" w:cstheme="majorBidi"/>
          <w:color w:val="000000" w:themeColor="text1"/>
          <w:shd w:val="clear" w:color="auto" w:fill="FFFFFF"/>
        </w:rPr>
        <w:t xml:space="preserve"> pirmā daļa tika </w:t>
      </w:r>
      <w:r w:rsidR="00276A3D" w:rsidRPr="002C1673">
        <w:rPr>
          <w:rFonts w:asciiTheme="majorBidi" w:hAnsiTheme="majorBidi" w:cstheme="majorBidi"/>
          <w:color w:val="000000" w:themeColor="text1"/>
          <w:shd w:val="clear" w:color="auto" w:fill="FFFFFF"/>
        </w:rPr>
        <w:lastRenderedPageBreak/>
        <w:t>papildināt</w:t>
      </w:r>
      <w:r w:rsidR="00C344DB" w:rsidRPr="002C1673">
        <w:rPr>
          <w:rFonts w:asciiTheme="majorBidi" w:hAnsiTheme="majorBidi" w:cstheme="majorBidi"/>
          <w:color w:val="000000" w:themeColor="text1"/>
          <w:shd w:val="clear" w:color="auto" w:fill="FFFFFF"/>
        </w:rPr>
        <w:t>a</w:t>
      </w:r>
      <w:r w:rsidR="00276A3D" w:rsidRPr="002C1673">
        <w:rPr>
          <w:rFonts w:asciiTheme="majorBidi" w:hAnsiTheme="majorBidi" w:cstheme="majorBidi"/>
          <w:color w:val="000000" w:themeColor="text1"/>
          <w:shd w:val="clear" w:color="auto" w:fill="FFFFFF"/>
        </w:rPr>
        <w:t xml:space="preserve"> ar 17.punktu, kas </w:t>
      </w:r>
      <w:r w:rsidR="003F3216" w:rsidRPr="002C1673">
        <w:rPr>
          <w:rFonts w:asciiTheme="majorBidi" w:eastAsiaTheme="minorHAnsi" w:hAnsiTheme="majorBidi" w:cstheme="majorBidi"/>
          <w:color w:val="000000" w:themeColor="text1"/>
        </w:rPr>
        <w:t>noteic</w:t>
      </w:r>
      <w:r w:rsidR="00C344DB" w:rsidRPr="002C1673">
        <w:rPr>
          <w:rFonts w:asciiTheme="majorBidi" w:eastAsiaTheme="minorHAnsi" w:hAnsiTheme="majorBidi" w:cstheme="majorBidi"/>
          <w:color w:val="000000" w:themeColor="text1"/>
        </w:rPr>
        <w:t xml:space="preserve">, ka </w:t>
      </w:r>
      <w:r w:rsidR="00C344DB" w:rsidRPr="002C1673">
        <w:rPr>
          <w:rFonts w:asciiTheme="majorBidi" w:hAnsiTheme="majorBidi" w:cstheme="majorBidi"/>
          <w:color w:val="000000" w:themeColor="text1"/>
          <w:shd w:val="clear" w:color="auto" w:fill="FFFFFF"/>
        </w:rPr>
        <w:t xml:space="preserve">par atbildību pastiprinošu apstākli var atzīt to, ka </w:t>
      </w:r>
      <w:r w:rsidR="00FE7597" w:rsidRPr="002C1673">
        <w:rPr>
          <w:rFonts w:asciiTheme="majorBidi" w:eastAsiaTheme="minorHAnsi" w:hAnsiTheme="majorBidi" w:cstheme="majorBidi"/>
          <w:color w:val="000000" w:themeColor="text1"/>
        </w:rPr>
        <w:t xml:space="preserve"> </w:t>
      </w:r>
      <w:r w:rsidR="00BF299F" w:rsidRPr="002C1673">
        <w:rPr>
          <w:rFonts w:asciiTheme="majorBidi" w:eastAsiaTheme="minorHAnsi" w:hAnsiTheme="majorBidi" w:cstheme="majorBidi"/>
          <w:color w:val="000000" w:themeColor="text1"/>
        </w:rPr>
        <w:t xml:space="preserve">noziedzīgu nodarījumu izdarījusī persona sniegusi apzināti nepatiesu liecību. </w:t>
      </w:r>
    </w:p>
    <w:p w14:paraId="67D42D32" w14:textId="6C700282" w:rsidR="00707AB2" w:rsidRPr="00C344DB" w:rsidRDefault="00C344DB" w:rsidP="00276A3D">
      <w:pPr>
        <w:spacing w:line="276" w:lineRule="auto"/>
        <w:ind w:firstLine="709"/>
        <w:jc w:val="both"/>
        <w:rPr>
          <w:rFonts w:eastAsiaTheme="minorHAnsi"/>
          <w:color w:val="000000" w:themeColor="text1"/>
        </w:rPr>
      </w:pPr>
      <w:r>
        <w:rPr>
          <w:rFonts w:eastAsiaTheme="minorHAnsi"/>
          <w:color w:val="000000" w:themeColor="text1"/>
        </w:rPr>
        <w:t>[4.</w:t>
      </w:r>
      <w:r w:rsidR="00FF4112">
        <w:rPr>
          <w:rFonts w:eastAsiaTheme="minorHAnsi"/>
          <w:color w:val="000000" w:themeColor="text1"/>
        </w:rPr>
        <w:t>2</w:t>
      </w:r>
      <w:r>
        <w:rPr>
          <w:rFonts w:eastAsiaTheme="minorHAnsi"/>
          <w:color w:val="000000" w:themeColor="text1"/>
        </w:rPr>
        <w:t xml:space="preserve">] </w:t>
      </w:r>
      <w:r w:rsidR="00306E77" w:rsidRPr="00C344DB">
        <w:rPr>
          <w:rFonts w:eastAsiaTheme="minorHAnsi"/>
          <w:color w:val="000000" w:themeColor="text1"/>
        </w:rPr>
        <w:t>Lai arī p</w:t>
      </w:r>
      <w:r w:rsidR="00BF299F" w:rsidRPr="00C344DB">
        <w:rPr>
          <w:rFonts w:eastAsiaTheme="minorHAnsi"/>
          <w:color w:val="000000" w:themeColor="text1"/>
        </w:rPr>
        <w:t xml:space="preserve">irmās instances tiesa </w:t>
      </w:r>
      <w:proofErr w:type="gramStart"/>
      <w:r w:rsidR="00BF299F" w:rsidRPr="00C344DB">
        <w:rPr>
          <w:rFonts w:eastAsiaTheme="minorHAnsi"/>
          <w:color w:val="000000" w:themeColor="text1"/>
        </w:rPr>
        <w:t>2020.gada</w:t>
      </w:r>
      <w:proofErr w:type="gramEnd"/>
      <w:r w:rsidR="00BF299F" w:rsidRPr="00C344DB">
        <w:rPr>
          <w:rFonts w:eastAsiaTheme="minorHAnsi"/>
          <w:color w:val="000000" w:themeColor="text1"/>
        </w:rPr>
        <w:t xml:space="preserve"> </w:t>
      </w:r>
      <w:r w:rsidR="00E769AF">
        <w:rPr>
          <w:rFonts w:eastAsiaTheme="minorHAnsi"/>
          <w:color w:val="000000" w:themeColor="text1"/>
        </w:rPr>
        <w:t>[..]</w:t>
      </w:r>
      <w:r w:rsidR="000A42C7">
        <w:rPr>
          <w:rFonts w:eastAsiaTheme="minorHAnsi"/>
          <w:color w:val="000000" w:themeColor="text1"/>
        </w:rPr>
        <w:t>. augusta</w:t>
      </w:r>
      <w:r w:rsidR="00BF299F" w:rsidRPr="00C344DB">
        <w:rPr>
          <w:rFonts w:eastAsiaTheme="minorHAnsi"/>
          <w:color w:val="000000" w:themeColor="text1"/>
        </w:rPr>
        <w:t xml:space="preserve"> un 2020.gada </w:t>
      </w:r>
      <w:r w:rsidR="00E769AF">
        <w:rPr>
          <w:rFonts w:eastAsiaTheme="minorHAnsi"/>
          <w:color w:val="000000" w:themeColor="text1"/>
        </w:rPr>
        <w:t>[..]</w:t>
      </w:r>
      <w:r w:rsidR="000A42C7">
        <w:rPr>
          <w:rFonts w:eastAsiaTheme="minorHAnsi"/>
          <w:color w:val="000000" w:themeColor="text1"/>
        </w:rPr>
        <w:t>. septembra</w:t>
      </w:r>
      <w:r>
        <w:rPr>
          <w:rFonts w:eastAsiaTheme="minorHAnsi"/>
          <w:color w:val="000000" w:themeColor="text1"/>
        </w:rPr>
        <w:t xml:space="preserve"> tiesas sēdē</w:t>
      </w:r>
      <w:r w:rsidR="004E4A5B">
        <w:rPr>
          <w:rFonts w:eastAsiaTheme="minorHAnsi"/>
          <w:color w:val="000000" w:themeColor="text1"/>
        </w:rPr>
        <w:t>s</w:t>
      </w:r>
      <w:r w:rsidR="00BF299F" w:rsidRPr="00C344DB">
        <w:rPr>
          <w:rFonts w:eastAsiaTheme="minorHAnsi"/>
          <w:color w:val="000000" w:themeColor="text1"/>
        </w:rPr>
        <w:t xml:space="preserve"> apsūdzētajam </w:t>
      </w:r>
      <w:r w:rsidR="00E769AF">
        <w:rPr>
          <w:rFonts w:eastAsiaTheme="minorHAnsi"/>
          <w:color w:val="000000" w:themeColor="text1"/>
        </w:rPr>
        <w:t>[pers. A]</w:t>
      </w:r>
      <w:r>
        <w:rPr>
          <w:rFonts w:eastAsiaTheme="minorHAnsi"/>
          <w:color w:val="000000" w:themeColor="text1"/>
        </w:rPr>
        <w:t xml:space="preserve"> </w:t>
      </w:r>
      <w:r w:rsidR="00BF299F" w:rsidRPr="00C344DB">
        <w:rPr>
          <w:rFonts w:eastAsiaTheme="minorHAnsi"/>
          <w:color w:val="000000" w:themeColor="text1"/>
        </w:rPr>
        <w:t>izskaidroj</w:t>
      </w:r>
      <w:r w:rsidR="00317C03">
        <w:rPr>
          <w:rFonts w:eastAsiaTheme="minorHAnsi"/>
          <w:color w:val="000000" w:themeColor="text1"/>
        </w:rPr>
        <w:t>usi</w:t>
      </w:r>
      <w:r w:rsidR="00BF299F" w:rsidRPr="00C344DB">
        <w:rPr>
          <w:rFonts w:eastAsiaTheme="minorHAnsi"/>
          <w:color w:val="000000" w:themeColor="text1"/>
        </w:rPr>
        <w:t xml:space="preserve"> pienākumu patiesi liecināt, </w:t>
      </w:r>
      <w:r>
        <w:rPr>
          <w:rFonts w:eastAsiaTheme="minorHAnsi"/>
          <w:color w:val="000000" w:themeColor="text1"/>
        </w:rPr>
        <w:t>viņš</w:t>
      </w:r>
      <w:r w:rsidR="00BF299F" w:rsidRPr="00C344DB">
        <w:rPr>
          <w:rFonts w:eastAsiaTheme="minorHAnsi"/>
          <w:color w:val="000000" w:themeColor="text1"/>
        </w:rPr>
        <w:t xml:space="preserve"> sniedz</w:t>
      </w:r>
      <w:r w:rsidR="00317C03">
        <w:rPr>
          <w:rFonts w:eastAsiaTheme="minorHAnsi"/>
          <w:color w:val="000000" w:themeColor="text1"/>
        </w:rPr>
        <w:t>is</w:t>
      </w:r>
      <w:r w:rsidR="00BF299F" w:rsidRPr="00C344DB">
        <w:rPr>
          <w:rFonts w:eastAsiaTheme="minorHAnsi"/>
          <w:color w:val="000000" w:themeColor="text1"/>
        </w:rPr>
        <w:t xml:space="preserve"> nepatiesu liecību.</w:t>
      </w:r>
    </w:p>
    <w:p w14:paraId="74BF6365" w14:textId="4B857049" w:rsidR="000263BE" w:rsidRDefault="000263BE" w:rsidP="000263BE">
      <w:pPr>
        <w:spacing w:line="276" w:lineRule="auto"/>
        <w:ind w:firstLine="709"/>
        <w:jc w:val="both"/>
        <w:rPr>
          <w:rFonts w:eastAsiaTheme="minorHAnsi"/>
        </w:rPr>
      </w:pPr>
      <w:bookmarkStart w:id="0" w:name="_Hlk114473180"/>
      <w:r>
        <w:rPr>
          <w:rFonts w:eastAsiaTheme="minorHAnsi"/>
        </w:rPr>
        <w:t xml:space="preserve">Prokurora ieskatā </w:t>
      </w:r>
      <w:proofErr w:type="gramStart"/>
      <w:r w:rsidRPr="002C1673">
        <w:rPr>
          <w:rFonts w:asciiTheme="majorBidi" w:hAnsiTheme="majorBidi" w:cstheme="majorBidi"/>
          <w:color w:val="000000" w:themeColor="text1"/>
        </w:rPr>
        <w:t>2020.gada</w:t>
      </w:r>
      <w:proofErr w:type="gramEnd"/>
      <w:r w:rsidRPr="002C1673">
        <w:rPr>
          <w:rFonts w:asciiTheme="majorBidi" w:hAnsiTheme="majorBidi" w:cstheme="majorBidi"/>
          <w:color w:val="000000" w:themeColor="text1"/>
        </w:rPr>
        <w:t xml:space="preserve"> 11.jūnija likuma „Grozījumi Krimināllikumā” </w:t>
      </w:r>
      <w:r>
        <w:rPr>
          <w:rFonts w:eastAsiaTheme="minorHAnsi"/>
        </w:rPr>
        <w:t>Pārejas noteikumu 1.punkts attiecas uz Krimināllikuma Sevišķās daļas normu, ar kuru noziedzīgs nodarījums ir atzīstams par sodāmu, līdz ar to apelācijas instances tiesa kļūdaini atzinusi, ka</w:t>
      </w:r>
      <w:r w:rsidR="0063320E">
        <w:rPr>
          <w:rFonts w:eastAsiaTheme="minorHAnsi"/>
        </w:rPr>
        <w:t>,</w:t>
      </w:r>
      <w:r>
        <w:rPr>
          <w:rFonts w:eastAsiaTheme="minorHAnsi"/>
        </w:rPr>
        <w:t xml:space="preserve"> ņemot vērā apsūdzētajam inkriminētā noziedzīga nodarījuma izdarīšanas laiku, Krimināllikuma 48.panta pirmās daļas 17.punkts nav attiecināms uz apsūdzētā sniegtajām liecībām.</w:t>
      </w:r>
      <w:bookmarkEnd w:id="0"/>
      <w:r>
        <w:rPr>
          <w:rFonts w:eastAsiaTheme="minorHAnsi"/>
        </w:rPr>
        <w:t xml:space="preserve"> </w:t>
      </w:r>
      <w:r w:rsidR="00317C03">
        <w:rPr>
          <w:rFonts w:eastAsiaTheme="minorHAnsi"/>
        </w:rPr>
        <w:t>Prokurors norāda, ka</w:t>
      </w:r>
      <w:r w:rsidR="0093745B">
        <w:rPr>
          <w:rFonts w:eastAsiaTheme="minorHAnsi"/>
        </w:rPr>
        <w:t xml:space="preserve"> </w:t>
      </w:r>
      <w:r>
        <w:rPr>
          <w:rFonts w:eastAsiaTheme="minorHAnsi"/>
        </w:rPr>
        <w:t>Krimināllikuma 48.panta pirmās daļas 17.punkts ir attiecināms uz liecībām, kuras noziedzīgu nodarījumu izdarījusī persona snie</w:t>
      </w:r>
      <w:r w:rsidR="00317C03">
        <w:rPr>
          <w:rFonts w:eastAsiaTheme="minorHAnsi"/>
        </w:rPr>
        <w:t>gusi</w:t>
      </w:r>
      <w:r>
        <w:rPr>
          <w:rFonts w:eastAsiaTheme="minorHAnsi"/>
        </w:rPr>
        <w:t xml:space="preserve"> pēc šīs normas spēkā stāšanās. </w:t>
      </w:r>
    </w:p>
    <w:p w14:paraId="5442F7E1" w14:textId="4635B6DA" w:rsidR="002C1673" w:rsidRDefault="00317C03" w:rsidP="002162B8">
      <w:pPr>
        <w:spacing w:line="276" w:lineRule="auto"/>
        <w:ind w:firstLine="709"/>
        <w:jc w:val="both"/>
        <w:rPr>
          <w:rFonts w:eastAsiaTheme="minorHAnsi"/>
        </w:rPr>
      </w:pPr>
      <w:r>
        <w:rPr>
          <w:rFonts w:eastAsiaTheme="minorHAnsi"/>
          <w:color w:val="000000" w:themeColor="text1"/>
        </w:rPr>
        <w:t>Tāpat</w:t>
      </w:r>
      <w:r w:rsidR="0093745B">
        <w:rPr>
          <w:rFonts w:eastAsiaTheme="minorHAnsi"/>
          <w:color w:val="000000" w:themeColor="text1"/>
        </w:rPr>
        <w:t xml:space="preserve"> a</w:t>
      </w:r>
      <w:r w:rsidR="00967E26" w:rsidRPr="00C344DB">
        <w:rPr>
          <w:rFonts w:eastAsiaTheme="minorHAnsi"/>
          <w:color w:val="000000" w:themeColor="text1"/>
        </w:rPr>
        <w:t xml:space="preserve">pelācijas instances tiesa </w:t>
      </w:r>
      <w:r w:rsidR="00967E26" w:rsidRPr="00276A3D">
        <w:rPr>
          <w:rFonts w:eastAsiaTheme="minorHAnsi"/>
        </w:rPr>
        <w:t>pievienoj</w:t>
      </w:r>
      <w:r>
        <w:rPr>
          <w:rFonts w:eastAsiaTheme="minorHAnsi"/>
        </w:rPr>
        <w:t>usies</w:t>
      </w:r>
      <w:r w:rsidR="00967E26" w:rsidRPr="00276A3D">
        <w:rPr>
          <w:rFonts w:eastAsiaTheme="minorHAnsi"/>
        </w:rPr>
        <w:t xml:space="preserve"> pirmās instances tiesas secinājumam, ka nav pamata par atbildību pastiprinošu apstākli</w:t>
      </w:r>
      <w:r w:rsidR="00A4490C" w:rsidRPr="00276A3D">
        <w:rPr>
          <w:rFonts w:eastAsiaTheme="minorHAnsi"/>
        </w:rPr>
        <w:t xml:space="preserve"> atzīt to</w:t>
      </w:r>
      <w:r w:rsidR="00967E26" w:rsidRPr="00276A3D">
        <w:rPr>
          <w:rFonts w:eastAsiaTheme="minorHAnsi"/>
        </w:rPr>
        <w:t xml:space="preserve">, ka apsūdzētais sniedzis apzināti nepatiesu liecību, jo viņa liecība </w:t>
      </w:r>
      <w:r w:rsidR="00707AB2" w:rsidRPr="00276A3D">
        <w:rPr>
          <w:rFonts w:eastAsiaTheme="minorHAnsi"/>
        </w:rPr>
        <w:t xml:space="preserve">ir </w:t>
      </w:r>
      <w:r w:rsidR="00967E26" w:rsidRPr="00276A3D">
        <w:rPr>
          <w:rFonts w:eastAsiaTheme="minorHAnsi"/>
        </w:rPr>
        <w:t>apstiprinājusies</w:t>
      </w:r>
      <w:r w:rsidR="00707AB2" w:rsidRPr="00276A3D">
        <w:rPr>
          <w:rFonts w:eastAsiaTheme="minorHAnsi"/>
        </w:rPr>
        <w:t xml:space="preserve"> daļā. </w:t>
      </w:r>
      <w:r>
        <w:rPr>
          <w:rFonts w:eastAsiaTheme="minorHAnsi"/>
        </w:rPr>
        <w:t>Vienlaikus</w:t>
      </w:r>
      <w:r w:rsidR="00707AB2" w:rsidRPr="00276A3D">
        <w:rPr>
          <w:rFonts w:eastAsiaTheme="minorHAnsi"/>
        </w:rPr>
        <w:t xml:space="preserve"> </w:t>
      </w:r>
      <w:r w:rsidR="004E4A5B">
        <w:rPr>
          <w:rFonts w:eastAsiaTheme="minorHAnsi"/>
        </w:rPr>
        <w:t xml:space="preserve">apelācijas instances </w:t>
      </w:r>
      <w:r w:rsidR="00E82B2F" w:rsidRPr="00276A3D">
        <w:rPr>
          <w:rFonts w:eastAsiaTheme="minorHAnsi"/>
        </w:rPr>
        <w:t>tiesa</w:t>
      </w:r>
      <w:r w:rsidR="002162B8" w:rsidRPr="00276A3D">
        <w:rPr>
          <w:rFonts w:eastAsiaTheme="minorHAnsi"/>
        </w:rPr>
        <w:t xml:space="preserve">, pārkāpjot </w:t>
      </w:r>
      <w:r w:rsidR="00582C8F">
        <w:rPr>
          <w:rFonts w:eastAsiaTheme="minorHAnsi"/>
        </w:rPr>
        <w:t xml:space="preserve">Kriminālprocesa likuma </w:t>
      </w:r>
      <w:proofErr w:type="gramStart"/>
      <w:r w:rsidR="00582C8F">
        <w:rPr>
          <w:rFonts w:eastAsiaTheme="minorHAnsi"/>
        </w:rPr>
        <w:t>564.panta</w:t>
      </w:r>
      <w:proofErr w:type="gramEnd"/>
      <w:r w:rsidR="00582C8F">
        <w:rPr>
          <w:rFonts w:eastAsiaTheme="minorHAnsi"/>
        </w:rPr>
        <w:t xml:space="preserve"> ceturtās daļas prasības,</w:t>
      </w:r>
      <w:r w:rsidR="00967E26" w:rsidRPr="00276A3D">
        <w:rPr>
          <w:rFonts w:eastAsiaTheme="minorHAnsi"/>
        </w:rPr>
        <w:t xml:space="preserve"> </w:t>
      </w:r>
      <w:r>
        <w:rPr>
          <w:rFonts w:eastAsiaTheme="minorHAnsi"/>
        </w:rPr>
        <w:t xml:space="preserve">nav vērtējusi </w:t>
      </w:r>
      <w:r w:rsidR="00967E26" w:rsidRPr="00276A3D">
        <w:rPr>
          <w:rFonts w:eastAsiaTheme="minorHAnsi"/>
        </w:rPr>
        <w:t>apelācijas protestā norādītā</w:t>
      </w:r>
      <w:r w:rsidR="00582C8F">
        <w:rPr>
          <w:rFonts w:eastAsiaTheme="minorHAnsi"/>
        </w:rPr>
        <w:t>s</w:t>
      </w:r>
      <w:r w:rsidR="00967E26">
        <w:rPr>
          <w:rFonts w:eastAsiaTheme="minorHAnsi"/>
        </w:rPr>
        <w:t xml:space="preserve"> pretrun</w:t>
      </w:r>
      <w:r w:rsidR="00582C8F">
        <w:rPr>
          <w:rFonts w:eastAsiaTheme="minorHAnsi"/>
        </w:rPr>
        <w:t>as</w:t>
      </w:r>
      <w:r w:rsidR="00967E26">
        <w:rPr>
          <w:rFonts w:eastAsiaTheme="minorHAnsi"/>
        </w:rPr>
        <w:t xml:space="preserve"> pirmās instances tiesas spriedumā</w:t>
      </w:r>
      <w:r w:rsidR="004E4A5B">
        <w:rPr>
          <w:rFonts w:eastAsiaTheme="minorHAnsi"/>
        </w:rPr>
        <w:t>, proti,</w:t>
      </w:r>
      <w:r w:rsidR="00945E99">
        <w:rPr>
          <w:rFonts w:eastAsiaTheme="minorHAnsi"/>
        </w:rPr>
        <w:t xml:space="preserve"> to, ka</w:t>
      </w:r>
      <w:r w:rsidR="004E4A5B">
        <w:rPr>
          <w:rFonts w:eastAsiaTheme="minorHAnsi"/>
        </w:rPr>
        <w:t xml:space="preserve"> </w:t>
      </w:r>
      <w:r w:rsidR="00967E26">
        <w:rPr>
          <w:rFonts w:eastAsiaTheme="minorHAnsi"/>
        </w:rPr>
        <w:t>apsūdzētā liecība</w:t>
      </w:r>
      <w:r w:rsidR="00D40A1C">
        <w:rPr>
          <w:rFonts w:eastAsiaTheme="minorHAnsi"/>
        </w:rPr>
        <w:t>s</w:t>
      </w:r>
      <w:r w:rsidR="00967E26">
        <w:rPr>
          <w:rFonts w:eastAsiaTheme="minorHAnsi"/>
        </w:rPr>
        <w:t xml:space="preserve"> ir pretrunā </w:t>
      </w:r>
      <w:r w:rsidR="00582C8F">
        <w:rPr>
          <w:rFonts w:eastAsiaTheme="minorHAnsi"/>
        </w:rPr>
        <w:t xml:space="preserve">ar </w:t>
      </w:r>
      <w:r w:rsidR="00E82B2F">
        <w:rPr>
          <w:rFonts w:eastAsiaTheme="minorHAnsi"/>
        </w:rPr>
        <w:t>citiem</w:t>
      </w:r>
      <w:r w:rsidR="00967E26">
        <w:rPr>
          <w:rFonts w:eastAsiaTheme="minorHAnsi"/>
        </w:rPr>
        <w:t xml:space="preserve"> pierādījumiem</w:t>
      </w:r>
      <w:r w:rsidR="00E0181F">
        <w:rPr>
          <w:rFonts w:eastAsiaTheme="minorHAnsi"/>
        </w:rPr>
        <w:t xml:space="preserve"> lietā</w:t>
      </w:r>
      <w:r w:rsidR="00E82B2F">
        <w:rPr>
          <w:rFonts w:eastAsiaTheme="minorHAnsi"/>
        </w:rPr>
        <w:t xml:space="preserve"> </w:t>
      </w:r>
      <w:r w:rsidR="006E3180">
        <w:rPr>
          <w:rFonts w:eastAsiaTheme="minorHAnsi"/>
        </w:rPr>
        <w:t xml:space="preserve">un </w:t>
      </w:r>
      <w:r w:rsidR="008A29CB">
        <w:rPr>
          <w:rFonts w:eastAsiaTheme="minorHAnsi"/>
        </w:rPr>
        <w:t>spriedum</w:t>
      </w:r>
      <w:r w:rsidR="007D286E">
        <w:rPr>
          <w:rFonts w:eastAsiaTheme="minorHAnsi"/>
        </w:rPr>
        <w:t xml:space="preserve">ā </w:t>
      </w:r>
      <w:r w:rsidR="00582C8F">
        <w:rPr>
          <w:rFonts w:eastAsiaTheme="minorHAnsi"/>
        </w:rPr>
        <w:t>norādīto</w:t>
      </w:r>
      <w:r w:rsidR="008A29CB">
        <w:rPr>
          <w:rFonts w:eastAsiaTheme="minorHAnsi"/>
        </w:rPr>
        <w:t xml:space="preserve"> noziedzīgā nodarījuma aprakst</w:t>
      </w:r>
      <w:r w:rsidR="00582C8F">
        <w:rPr>
          <w:rFonts w:eastAsiaTheme="minorHAnsi"/>
        </w:rPr>
        <w:t>u</w:t>
      </w:r>
      <w:r w:rsidR="002162B8">
        <w:rPr>
          <w:rFonts w:eastAsiaTheme="minorHAnsi"/>
        </w:rPr>
        <w:t xml:space="preserve">. </w:t>
      </w:r>
    </w:p>
    <w:p w14:paraId="19E690BF" w14:textId="1C16A7E0" w:rsidR="00C70994" w:rsidRDefault="00F6099D" w:rsidP="005E77BB">
      <w:pPr>
        <w:spacing w:line="276" w:lineRule="auto"/>
        <w:ind w:firstLine="709"/>
        <w:jc w:val="both"/>
      </w:pPr>
      <w:r w:rsidRPr="00F6099D">
        <w:rPr>
          <w:rFonts w:eastAsiaTheme="minorHAnsi"/>
        </w:rPr>
        <w:t>[</w:t>
      </w:r>
      <w:r w:rsidR="00BE4C20">
        <w:rPr>
          <w:rFonts w:eastAsiaTheme="minorHAnsi"/>
        </w:rPr>
        <w:t>4</w:t>
      </w:r>
      <w:r w:rsidRPr="00F6099D">
        <w:rPr>
          <w:rFonts w:eastAsiaTheme="minorHAnsi"/>
        </w:rPr>
        <w:t>.</w:t>
      </w:r>
      <w:r w:rsidR="00DD4F23">
        <w:rPr>
          <w:rFonts w:eastAsiaTheme="minorHAnsi"/>
        </w:rPr>
        <w:t>3</w:t>
      </w:r>
      <w:r w:rsidRPr="00F6099D">
        <w:rPr>
          <w:rFonts w:eastAsiaTheme="minorHAnsi"/>
        </w:rPr>
        <w:t>] Apelācijas instances tiesa</w:t>
      </w:r>
      <w:r>
        <w:rPr>
          <w:rFonts w:eastAsiaTheme="minorHAnsi"/>
        </w:rPr>
        <w:t xml:space="preserve"> </w:t>
      </w:r>
      <w:r w:rsidR="008B56E8">
        <w:rPr>
          <w:rFonts w:eastAsiaTheme="minorHAnsi"/>
        </w:rPr>
        <w:t xml:space="preserve">nepareizi </w:t>
      </w:r>
      <w:r w:rsidR="003F3216">
        <w:rPr>
          <w:rFonts w:eastAsiaTheme="minorHAnsi"/>
        </w:rPr>
        <w:t>piemēroj</w:t>
      </w:r>
      <w:r w:rsidR="00317C03">
        <w:rPr>
          <w:rFonts w:eastAsiaTheme="minorHAnsi"/>
        </w:rPr>
        <w:t xml:space="preserve">usi </w:t>
      </w:r>
      <w:r w:rsidR="008B56E8">
        <w:rPr>
          <w:rFonts w:eastAsiaTheme="minorHAnsi"/>
        </w:rPr>
        <w:t xml:space="preserve">Krimināllikuma </w:t>
      </w:r>
      <w:proofErr w:type="gramStart"/>
      <w:r w:rsidR="008B56E8">
        <w:rPr>
          <w:rFonts w:eastAsiaTheme="minorHAnsi"/>
        </w:rPr>
        <w:t>35.panta</w:t>
      </w:r>
      <w:proofErr w:type="gramEnd"/>
      <w:r w:rsidR="008B56E8">
        <w:rPr>
          <w:rFonts w:eastAsiaTheme="minorHAnsi"/>
        </w:rPr>
        <w:t xml:space="preserve"> otro daļu un 46.panta trešo daļu</w:t>
      </w:r>
      <w:r w:rsidR="002C65DE">
        <w:rPr>
          <w:rFonts w:eastAsiaTheme="minorHAnsi"/>
        </w:rPr>
        <w:t xml:space="preserve">. </w:t>
      </w:r>
      <w:r w:rsidR="002162B8">
        <w:rPr>
          <w:rFonts w:eastAsiaTheme="minorHAnsi"/>
        </w:rPr>
        <w:t>A</w:t>
      </w:r>
      <w:r w:rsidR="006D466A">
        <w:rPr>
          <w:rFonts w:eastAsiaTheme="minorHAnsi"/>
        </w:rPr>
        <w:t xml:space="preserve">pelācijas </w:t>
      </w:r>
      <w:r w:rsidR="006D466A" w:rsidRPr="00FF1BEB">
        <w:rPr>
          <w:rFonts w:eastAsiaTheme="minorHAnsi"/>
        </w:rPr>
        <w:t>instances tiesa</w:t>
      </w:r>
      <w:r w:rsidR="00DD4F23">
        <w:rPr>
          <w:rFonts w:eastAsiaTheme="minorHAnsi"/>
        </w:rPr>
        <w:t>s</w:t>
      </w:r>
      <w:r w:rsidR="006D466A">
        <w:rPr>
          <w:rFonts w:eastAsiaTheme="minorHAnsi"/>
        </w:rPr>
        <w:t xml:space="preserve"> lēmum</w:t>
      </w:r>
      <w:r w:rsidR="002162B8">
        <w:rPr>
          <w:rFonts w:eastAsiaTheme="minorHAnsi"/>
        </w:rPr>
        <w:t xml:space="preserve">ā nav pamatojuma, kāpēc </w:t>
      </w:r>
      <w:r w:rsidR="006D466A">
        <w:rPr>
          <w:rFonts w:eastAsiaTheme="minorHAnsi"/>
        </w:rPr>
        <w:t xml:space="preserve">apsūdzētajam noteikts </w:t>
      </w:r>
      <w:r w:rsidR="00B75DA9">
        <w:rPr>
          <w:rFonts w:eastAsiaTheme="minorHAnsi"/>
        </w:rPr>
        <w:t xml:space="preserve">minimālais </w:t>
      </w:r>
      <w:r w:rsidR="006D466A">
        <w:rPr>
          <w:rFonts w:eastAsiaTheme="minorHAnsi"/>
        </w:rPr>
        <w:t>panta sankcij</w:t>
      </w:r>
      <w:r w:rsidR="00B75DA9">
        <w:rPr>
          <w:rFonts w:eastAsiaTheme="minorHAnsi"/>
        </w:rPr>
        <w:t xml:space="preserve">ā paredzētais sods. </w:t>
      </w:r>
      <w:r w:rsidR="00147F61">
        <w:rPr>
          <w:rFonts w:eastAsiaTheme="minorHAnsi"/>
        </w:rPr>
        <w:t>Prokuror</w:t>
      </w:r>
      <w:r w:rsidR="003F3216">
        <w:rPr>
          <w:rFonts w:eastAsiaTheme="minorHAnsi"/>
        </w:rPr>
        <w:t>a</w:t>
      </w:r>
      <w:r w:rsidR="00147F61">
        <w:rPr>
          <w:rFonts w:eastAsiaTheme="minorHAnsi"/>
        </w:rPr>
        <w:t xml:space="preserve"> ieskatā soda mērs pietuvināms </w:t>
      </w:r>
      <w:r w:rsidR="00147F61">
        <w:t xml:space="preserve">panta sankcijā </w:t>
      </w:r>
      <w:r w:rsidR="003F3216">
        <w:t xml:space="preserve">paredzētā </w:t>
      </w:r>
      <w:r w:rsidR="00147F61">
        <w:t xml:space="preserve">soda </w:t>
      </w:r>
      <w:r w:rsidR="003F3216">
        <w:t xml:space="preserve">maksimālajai </w:t>
      </w:r>
      <w:r w:rsidR="00147F61">
        <w:t>robež</w:t>
      </w:r>
      <w:r w:rsidR="006D466A">
        <w:t xml:space="preserve">ai. </w:t>
      </w:r>
    </w:p>
    <w:p w14:paraId="38E47C59" w14:textId="4605C444" w:rsidR="00FF4112" w:rsidRPr="00C344DB" w:rsidRDefault="00DD4F23" w:rsidP="0093745B">
      <w:pPr>
        <w:spacing w:line="276" w:lineRule="auto"/>
        <w:ind w:firstLine="709"/>
        <w:jc w:val="both"/>
        <w:rPr>
          <w:rFonts w:eastAsiaTheme="minorHAnsi"/>
          <w:color w:val="000000" w:themeColor="text1"/>
        </w:rPr>
      </w:pPr>
      <w:r>
        <w:rPr>
          <w:rFonts w:eastAsiaTheme="minorHAnsi"/>
        </w:rPr>
        <w:t xml:space="preserve">[4.4] </w:t>
      </w:r>
      <w:r w:rsidR="00377F66">
        <w:rPr>
          <w:rFonts w:eastAsiaTheme="minorHAnsi"/>
        </w:rPr>
        <w:t xml:space="preserve">Pretēji Kriminālprocesa likuma </w:t>
      </w:r>
      <w:proofErr w:type="gramStart"/>
      <w:r w:rsidR="00377F66">
        <w:rPr>
          <w:rFonts w:eastAsiaTheme="minorHAnsi"/>
        </w:rPr>
        <w:t>511.panta</w:t>
      </w:r>
      <w:proofErr w:type="gramEnd"/>
      <w:r w:rsidR="00377F66">
        <w:rPr>
          <w:rFonts w:eastAsiaTheme="minorHAnsi"/>
        </w:rPr>
        <w:t xml:space="preserve"> otrās daļas, 512.panta pirmās daļas un </w:t>
      </w:r>
      <w:r w:rsidR="00377F66" w:rsidRPr="00690220">
        <w:rPr>
          <w:rFonts w:eastAsiaTheme="minorHAnsi"/>
        </w:rPr>
        <w:t>564.pant</w:t>
      </w:r>
      <w:r w:rsidR="00377F66">
        <w:rPr>
          <w:rFonts w:eastAsiaTheme="minorHAnsi"/>
        </w:rPr>
        <w:t xml:space="preserve">a </w:t>
      </w:r>
      <w:r w:rsidR="00377F66" w:rsidRPr="00C344DB">
        <w:rPr>
          <w:rFonts w:eastAsiaTheme="minorHAnsi"/>
          <w:color w:val="000000" w:themeColor="text1"/>
        </w:rPr>
        <w:t>ceturtās daļas prasībām apelācijas instances tiesas lēmums nav tiesisks un pamatots</w:t>
      </w:r>
      <w:r w:rsidR="00377F66">
        <w:rPr>
          <w:rFonts w:eastAsiaTheme="minorHAnsi"/>
          <w:color w:val="000000" w:themeColor="text1"/>
        </w:rPr>
        <w:t>.</w:t>
      </w:r>
      <w:r w:rsidR="00377F66" w:rsidRPr="00C344DB">
        <w:rPr>
          <w:rFonts w:eastAsiaTheme="minorHAnsi"/>
          <w:color w:val="000000" w:themeColor="text1"/>
        </w:rPr>
        <w:t xml:space="preserve"> </w:t>
      </w:r>
      <w:r w:rsidR="00317C03">
        <w:rPr>
          <w:rFonts w:eastAsiaTheme="minorHAnsi"/>
        </w:rPr>
        <w:t>Ņemot vērā minēto,</w:t>
      </w:r>
      <w:r>
        <w:rPr>
          <w:rFonts w:eastAsiaTheme="minorHAnsi"/>
        </w:rPr>
        <w:t xml:space="preserve"> a</w:t>
      </w:r>
      <w:r w:rsidR="00FF4112">
        <w:rPr>
          <w:rFonts w:eastAsiaTheme="minorHAnsi"/>
        </w:rPr>
        <w:t>pelācijas instances tiesa pieļāv</w:t>
      </w:r>
      <w:r w:rsidR="00317C03">
        <w:rPr>
          <w:rFonts w:eastAsiaTheme="minorHAnsi"/>
        </w:rPr>
        <w:t xml:space="preserve">usi </w:t>
      </w:r>
      <w:r w:rsidR="00FF4112">
        <w:rPr>
          <w:rFonts w:eastAsiaTheme="minorHAnsi"/>
        </w:rPr>
        <w:t>Kriminālprocesa likuma 574.panta 1.</w:t>
      </w:r>
      <w:r w:rsidR="00317C03">
        <w:rPr>
          <w:rFonts w:eastAsiaTheme="minorHAnsi"/>
        </w:rPr>
        <w:t>punktā</w:t>
      </w:r>
      <w:r>
        <w:rPr>
          <w:rFonts w:eastAsiaTheme="minorHAnsi"/>
        </w:rPr>
        <w:t> </w:t>
      </w:r>
      <w:r w:rsidR="00FF4112">
        <w:rPr>
          <w:rFonts w:eastAsiaTheme="minorHAnsi"/>
        </w:rPr>
        <w:t xml:space="preserve">minēto </w:t>
      </w:r>
      <w:r w:rsidR="00FF4112" w:rsidRPr="001815D2">
        <w:rPr>
          <w:rFonts w:eastAsiaTheme="minorHAnsi"/>
        </w:rPr>
        <w:t>Krimināllikuma pārkāpum</w:t>
      </w:r>
      <w:r w:rsidR="00FF4112">
        <w:rPr>
          <w:rFonts w:eastAsiaTheme="minorHAnsi"/>
        </w:rPr>
        <w:t>u, kā arī Kriminālprocesa likuma būtiskus</w:t>
      </w:r>
      <w:r w:rsidR="00FF4112" w:rsidRPr="001815D2">
        <w:rPr>
          <w:rFonts w:eastAsiaTheme="minorHAnsi"/>
        </w:rPr>
        <w:t xml:space="preserve"> pārkāpum</w:t>
      </w:r>
      <w:r w:rsidR="00FF4112">
        <w:rPr>
          <w:rFonts w:eastAsiaTheme="minorHAnsi"/>
        </w:rPr>
        <w:t>u</w:t>
      </w:r>
      <w:r w:rsidR="00FF4112" w:rsidRPr="001815D2">
        <w:rPr>
          <w:rFonts w:eastAsiaTheme="minorHAnsi"/>
        </w:rPr>
        <w:t xml:space="preserve">s </w:t>
      </w:r>
      <w:r w:rsidR="00FF4112">
        <w:rPr>
          <w:rFonts w:eastAsiaTheme="minorHAnsi"/>
        </w:rPr>
        <w:t xml:space="preserve">šā likuma </w:t>
      </w:r>
      <w:r w:rsidR="00FF4112" w:rsidRPr="001815D2">
        <w:rPr>
          <w:rFonts w:eastAsiaTheme="minorHAnsi"/>
        </w:rPr>
        <w:t>575.pant</w:t>
      </w:r>
      <w:r w:rsidR="00FF4112">
        <w:rPr>
          <w:rFonts w:eastAsiaTheme="minorHAnsi"/>
        </w:rPr>
        <w:t>a trešās daļas izpratnē, kas noved</w:t>
      </w:r>
      <w:r w:rsidR="00317C03">
        <w:rPr>
          <w:rFonts w:eastAsiaTheme="minorHAnsi"/>
        </w:rPr>
        <w:t xml:space="preserve">uši </w:t>
      </w:r>
      <w:r w:rsidR="00FF4112">
        <w:rPr>
          <w:rFonts w:eastAsiaTheme="minorHAnsi"/>
        </w:rPr>
        <w:t xml:space="preserve">pie nelikumīga nolēmuma. </w:t>
      </w:r>
    </w:p>
    <w:p w14:paraId="01C5BEE2" w14:textId="77777777" w:rsidR="0062272C" w:rsidRDefault="0062272C" w:rsidP="0062272C">
      <w:pPr>
        <w:spacing w:before="240" w:after="240" w:line="276" w:lineRule="auto"/>
        <w:jc w:val="center"/>
        <w:rPr>
          <w:rFonts w:eastAsia="Calibri"/>
          <w:b/>
          <w:szCs w:val="22"/>
        </w:rPr>
      </w:pPr>
      <w:r>
        <w:rPr>
          <w:rFonts w:eastAsia="Calibri"/>
          <w:b/>
          <w:szCs w:val="22"/>
        </w:rPr>
        <w:t>Motīvu daļa</w:t>
      </w:r>
    </w:p>
    <w:p w14:paraId="2733574D" w14:textId="6C766637" w:rsidR="006E6363" w:rsidRDefault="0062272C" w:rsidP="00D253EF">
      <w:pPr>
        <w:spacing w:line="276" w:lineRule="auto"/>
        <w:ind w:firstLine="720"/>
        <w:jc w:val="both"/>
        <w:rPr>
          <w:rFonts w:eastAsia="Calibri"/>
          <w:szCs w:val="22"/>
        </w:rPr>
      </w:pPr>
      <w:r>
        <w:rPr>
          <w:rFonts w:eastAsia="Calibri"/>
          <w:szCs w:val="22"/>
        </w:rPr>
        <w:t>[</w:t>
      </w:r>
      <w:r w:rsidR="00BE4C20">
        <w:rPr>
          <w:rFonts w:eastAsia="Calibri"/>
          <w:szCs w:val="22"/>
        </w:rPr>
        <w:t>5</w:t>
      </w:r>
      <w:r w:rsidR="00D21890">
        <w:rPr>
          <w:rFonts w:eastAsia="Calibri"/>
          <w:szCs w:val="22"/>
        </w:rPr>
        <w:t xml:space="preserve">] </w:t>
      </w:r>
      <w:r w:rsidR="00A80B7F" w:rsidRPr="00A80B7F">
        <w:rPr>
          <w:rFonts w:eastAsia="Calibri"/>
          <w:szCs w:val="22"/>
        </w:rPr>
        <w:t xml:space="preserve">Senāts atzīst, ka </w:t>
      </w:r>
      <w:r w:rsidR="00E769AF">
        <w:rPr>
          <w:rFonts w:eastAsia="Calibri"/>
          <w:szCs w:val="22"/>
        </w:rPr>
        <w:t>[..]</w:t>
      </w:r>
      <w:r w:rsidR="00A80B7F" w:rsidRPr="00A80B7F">
        <w:rPr>
          <w:rFonts w:eastAsia="Calibri"/>
          <w:szCs w:val="22"/>
        </w:rPr>
        <w:t xml:space="preserve"> apgabal</w:t>
      </w:r>
      <w:r w:rsidR="00A80B7F">
        <w:rPr>
          <w:rFonts w:eastAsia="Calibri"/>
          <w:szCs w:val="22"/>
        </w:rPr>
        <w:t xml:space="preserve">tiesas </w:t>
      </w:r>
      <w:proofErr w:type="gramStart"/>
      <w:r w:rsidR="00A80B7F">
        <w:rPr>
          <w:rFonts w:eastAsia="Calibri"/>
          <w:szCs w:val="22"/>
        </w:rPr>
        <w:t>2021.gada</w:t>
      </w:r>
      <w:proofErr w:type="gramEnd"/>
      <w:r w:rsidR="00A80B7F">
        <w:rPr>
          <w:rFonts w:eastAsia="Calibri"/>
          <w:szCs w:val="22"/>
        </w:rPr>
        <w:t xml:space="preserve"> </w:t>
      </w:r>
      <w:r w:rsidR="00E769AF">
        <w:rPr>
          <w:rFonts w:eastAsia="Calibri"/>
          <w:szCs w:val="22"/>
        </w:rPr>
        <w:t>[..]</w:t>
      </w:r>
      <w:r w:rsidR="00A80B7F">
        <w:rPr>
          <w:rFonts w:eastAsia="Calibri"/>
          <w:szCs w:val="22"/>
        </w:rPr>
        <w:t xml:space="preserve"> lēmums</w:t>
      </w:r>
      <w:r w:rsidR="00A97DE0">
        <w:rPr>
          <w:rFonts w:eastAsia="Calibri"/>
          <w:szCs w:val="22"/>
        </w:rPr>
        <w:t xml:space="preserve"> ir atceļams daļā </w:t>
      </w:r>
      <w:r w:rsidR="00A80B7F">
        <w:rPr>
          <w:rFonts w:eastAsia="Calibri"/>
          <w:szCs w:val="22"/>
        </w:rPr>
        <w:t xml:space="preserve">par </w:t>
      </w:r>
      <w:r w:rsidR="00E769AF">
        <w:rPr>
          <w:rFonts w:eastAsia="Calibri"/>
          <w:szCs w:val="22"/>
        </w:rPr>
        <w:t>[pers. A]</w:t>
      </w:r>
      <w:r w:rsidR="00A80B7F" w:rsidRPr="00A80B7F">
        <w:rPr>
          <w:rFonts w:eastAsia="Calibri"/>
          <w:szCs w:val="22"/>
        </w:rPr>
        <w:t xml:space="preserve"> noteikto sodu.</w:t>
      </w:r>
      <w:r w:rsidR="00D253EF">
        <w:rPr>
          <w:rFonts w:eastAsia="Calibri"/>
          <w:szCs w:val="22"/>
        </w:rPr>
        <w:t xml:space="preserve"> </w:t>
      </w:r>
      <w:r w:rsidR="00A80B7F" w:rsidRPr="00A80B7F">
        <w:rPr>
          <w:rFonts w:eastAsia="Calibri"/>
          <w:szCs w:val="22"/>
        </w:rPr>
        <w:t xml:space="preserve">Atceltajā daļā lieta nosūtāma jaunai izskatīšanai </w:t>
      </w:r>
      <w:r w:rsidR="00E769AF">
        <w:rPr>
          <w:rFonts w:eastAsia="Calibri"/>
          <w:szCs w:val="22"/>
        </w:rPr>
        <w:t>[..]</w:t>
      </w:r>
      <w:r w:rsidR="00A62DA2">
        <w:rPr>
          <w:rFonts w:eastAsia="Calibri"/>
          <w:szCs w:val="22"/>
        </w:rPr>
        <w:t xml:space="preserve"> apgabaltiesā, bet pārējā daļā </w:t>
      </w:r>
      <w:r w:rsidR="00E769AF">
        <w:rPr>
          <w:rFonts w:eastAsia="Calibri"/>
          <w:szCs w:val="22"/>
        </w:rPr>
        <w:t>[..]</w:t>
      </w:r>
      <w:r w:rsidR="00A62DA2">
        <w:rPr>
          <w:rFonts w:eastAsia="Calibri"/>
          <w:szCs w:val="22"/>
        </w:rPr>
        <w:t xml:space="preserve"> apgabaltiesas </w:t>
      </w:r>
      <w:proofErr w:type="gramStart"/>
      <w:r w:rsidR="00A62DA2">
        <w:rPr>
          <w:rFonts w:eastAsia="Calibri"/>
          <w:szCs w:val="22"/>
        </w:rPr>
        <w:t>2021.gada</w:t>
      </w:r>
      <w:proofErr w:type="gramEnd"/>
      <w:r w:rsidR="00A62DA2">
        <w:rPr>
          <w:rFonts w:eastAsia="Calibri"/>
          <w:szCs w:val="22"/>
        </w:rPr>
        <w:t xml:space="preserve"> </w:t>
      </w:r>
      <w:r w:rsidR="00E769AF">
        <w:rPr>
          <w:rFonts w:eastAsia="Calibri"/>
          <w:szCs w:val="22"/>
        </w:rPr>
        <w:t>[..]</w:t>
      </w:r>
      <w:r w:rsidR="00A62DA2">
        <w:rPr>
          <w:rFonts w:eastAsia="Calibri"/>
          <w:szCs w:val="22"/>
        </w:rPr>
        <w:t xml:space="preserve"> lēmums atstājams negrozīts</w:t>
      </w:r>
      <w:r w:rsidR="00A80B7F" w:rsidRPr="00A80B7F">
        <w:rPr>
          <w:rFonts w:eastAsia="Calibri"/>
          <w:szCs w:val="22"/>
        </w:rPr>
        <w:t>.</w:t>
      </w:r>
    </w:p>
    <w:p w14:paraId="4B115E63" w14:textId="4DE9C482" w:rsidR="00706D01" w:rsidRDefault="00AE440C" w:rsidP="00063BC6">
      <w:pPr>
        <w:spacing w:line="276" w:lineRule="auto"/>
        <w:ind w:firstLine="720"/>
        <w:jc w:val="both"/>
      </w:pPr>
      <w:r>
        <w:rPr>
          <w:rFonts w:eastAsia="Calibri"/>
          <w:szCs w:val="22"/>
        </w:rPr>
        <w:t>[</w:t>
      </w:r>
      <w:r w:rsidR="00967A3A">
        <w:rPr>
          <w:rFonts w:eastAsia="Calibri"/>
          <w:szCs w:val="22"/>
        </w:rPr>
        <w:t>5</w:t>
      </w:r>
      <w:r>
        <w:rPr>
          <w:rFonts w:eastAsia="Calibri"/>
          <w:szCs w:val="22"/>
        </w:rPr>
        <w:t>.1]</w:t>
      </w:r>
      <w:r w:rsidR="00EB32B5">
        <w:rPr>
          <w:rFonts w:eastAsia="Calibri"/>
          <w:szCs w:val="22"/>
        </w:rPr>
        <w:t xml:space="preserve"> </w:t>
      </w:r>
      <w:r w:rsidRPr="00AE440C">
        <w:rPr>
          <w:rFonts w:eastAsia="Calibri"/>
          <w:szCs w:val="22"/>
        </w:rPr>
        <w:t>P</w:t>
      </w:r>
      <w:r>
        <w:rPr>
          <w:rFonts w:eastAsia="Calibri"/>
          <w:szCs w:val="22"/>
        </w:rPr>
        <w:t>irmās instances tiesa secināj</w:t>
      </w:r>
      <w:r w:rsidR="00317C03">
        <w:rPr>
          <w:rFonts w:eastAsia="Calibri"/>
          <w:szCs w:val="22"/>
        </w:rPr>
        <w:t>usi</w:t>
      </w:r>
      <w:r w:rsidR="00E54C1E">
        <w:rPr>
          <w:rFonts w:eastAsia="Calibri"/>
          <w:szCs w:val="22"/>
        </w:rPr>
        <w:t>, ka</w:t>
      </w:r>
      <w:r w:rsidRPr="00AE440C">
        <w:rPr>
          <w:rFonts w:eastAsia="Calibri"/>
          <w:szCs w:val="22"/>
        </w:rPr>
        <w:t xml:space="preserve"> nav </w:t>
      </w:r>
      <w:r w:rsidR="00000296">
        <w:rPr>
          <w:rFonts w:eastAsia="Calibri"/>
          <w:szCs w:val="22"/>
        </w:rPr>
        <w:t xml:space="preserve">pamata saskaņā ar </w:t>
      </w:r>
      <w:r w:rsidR="00000296" w:rsidRPr="00AE440C">
        <w:rPr>
          <w:rFonts w:eastAsia="Calibri"/>
          <w:szCs w:val="22"/>
        </w:rPr>
        <w:t xml:space="preserve">Krimināllikuma </w:t>
      </w:r>
      <w:proofErr w:type="gramStart"/>
      <w:r w:rsidR="00000296" w:rsidRPr="00AE440C">
        <w:rPr>
          <w:rFonts w:eastAsia="Calibri"/>
          <w:szCs w:val="22"/>
        </w:rPr>
        <w:t>48.panta</w:t>
      </w:r>
      <w:proofErr w:type="gramEnd"/>
      <w:r w:rsidR="00000296" w:rsidRPr="00AE440C">
        <w:rPr>
          <w:rFonts w:eastAsia="Calibri"/>
          <w:szCs w:val="22"/>
        </w:rPr>
        <w:t xml:space="preserve"> pirmās daļas 17.pun</w:t>
      </w:r>
      <w:r w:rsidR="00000296">
        <w:rPr>
          <w:rFonts w:eastAsia="Calibri"/>
          <w:szCs w:val="22"/>
        </w:rPr>
        <w:t xml:space="preserve">ktu par apsūdzētā </w:t>
      </w:r>
      <w:r w:rsidR="00E769AF">
        <w:rPr>
          <w:rFonts w:eastAsia="Calibri"/>
          <w:szCs w:val="22"/>
        </w:rPr>
        <w:t>[pers. A]</w:t>
      </w:r>
      <w:r w:rsidR="00967A3A">
        <w:rPr>
          <w:rFonts w:eastAsia="Calibri"/>
          <w:szCs w:val="22"/>
        </w:rPr>
        <w:t xml:space="preserve"> </w:t>
      </w:r>
      <w:r w:rsidR="00000296">
        <w:rPr>
          <w:rFonts w:eastAsia="Calibri"/>
          <w:szCs w:val="22"/>
        </w:rPr>
        <w:t xml:space="preserve">atbildību pastiprinošu apstākli atzīt to, ka </w:t>
      </w:r>
      <w:r w:rsidR="001D13FE">
        <w:rPr>
          <w:rFonts w:eastAsia="Calibri"/>
          <w:szCs w:val="22"/>
        </w:rPr>
        <w:t>viņš sniedzis a</w:t>
      </w:r>
      <w:r w:rsidR="00000296" w:rsidRPr="00AE440C">
        <w:rPr>
          <w:rFonts w:eastAsia="Calibri"/>
          <w:szCs w:val="22"/>
        </w:rPr>
        <w:t>pzināti nepatiesu liecību</w:t>
      </w:r>
      <w:r w:rsidR="00706D01">
        <w:t xml:space="preserve">. </w:t>
      </w:r>
    </w:p>
    <w:p w14:paraId="13307CCA" w14:textId="6EA18D95" w:rsidR="00EE43F9" w:rsidRDefault="00AE440C" w:rsidP="00986CDE">
      <w:pPr>
        <w:spacing w:line="276" w:lineRule="auto"/>
        <w:ind w:firstLine="720"/>
        <w:jc w:val="both"/>
        <w:rPr>
          <w:rFonts w:eastAsia="Calibri"/>
          <w:szCs w:val="22"/>
        </w:rPr>
      </w:pPr>
      <w:r w:rsidRPr="00AE440C">
        <w:rPr>
          <w:rFonts w:eastAsia="Calibri"/>
          <w:szCs w:val="22"/>
        </w:rPr>
        <w:t xml:space="preserve">Apelācijas instances tiesa </w:t>
      </w:r>
      <w:r w:rsidR="00706D01">
        <w:rPr>
          <w:rFonts w:eastAsia="Calibri"/>
          <w:szCs w:val="22"/>
        </w:rPr>
        <w:t>atzin</w:t>
      </w:r>
      <w:r w:rsidR="00317C03">
        <w:rPr>
          <w:rFonts w:eastAsia="Calibri"/>
          <w:szCs w:val="22"/>
        </w:rPr>
        <w:t>usi</w:t>
      </w:r>
      <w:r w:rsidR="00706D01">
        <w:rPr>
          <w:rFonts w:eastAsia="Calibri"/>
          <w:szCs w:val="22"/>
        </w:rPr>
        <w:t xml:space="preserve">, ka </w:t>
      </w:r>
      <w:r w:rsidR="00706D01">
        <w:t xml:space="preserve">Krimināllikuma </w:t>
      </w:r>
      <w:proofErr w:type="gramStart"/>
      <w:r w:rsidR="00706D01">
        <w:rPr>
          <w:rFonts w:eastAsiaTheme="minorHAnsi"/>
        </w:rPr>
        <w:t>48.panta</w:t>
      </w:r>
      <w:proofErr w:type="gramEnd"/>
      <w:r w:rsidR="00706D01">
        <w:rPr>
          <w:rFonts w:eastAsiaTheme="minorHAnsi"/>
        </w:rPr>
        <w:t xml:space="preserve"> pirmās daļas 17.punktā </w:t>
      </w:r>
      <w:r w:rsidR="002D3C8A">
        <w:rPr>
          <w:rFonts w:eastAsiaTheme="minorHAnsi"/>
        </w:rPr>
        <w:t>norādītais a</w:t>
      </w:r>
      <w:r w:rsidR="00706D01">
        <w:t>tbildību pastiprinoš</w:t>
      </w:r>
      <w:r w:rsidR="002D3C8A">
        <w:t>ais</w:t>
      </w:r>
      <w:r w:rsidR="00706D01">
        <w:t xml:space="preserve"> apstākli</w:t>
      </w:r>
      <w:r w:rsidR="002D3C8A">
        <w:t>s</w:t>
      </w:r>
      <w:r w:rsidR="00706D01">
        <w:t xml:space="preserve"> nav labvēlīgs apsūdzētajam</w:t>
      </w:r>
      <w:r w:rsidR="00EE43F9">
        <w:t xml:space="preserve">, </w:t>
      </w:r>
      <w:r w:rsidR="0093745B">
        <w:t>tāpēc</w:t>
      </w:r>
      <w:r w:rsidR="00EE43F9">
        <w:t>,</w:t>
      </w:r>
      <w:r w:rsidR="002D3C8A">
        <w:t xml:space="preserve"> nosakot </w:t>
      </w:r>
      <w:r w:rsidR="00EE43F9">
        <w:t xml:space="preserve">apsūdzētajam </w:t>
      </w:r>
      <w:r w:rsidR="002D3C8A">
        <w:t xml:space="preserve">sodu, </w:t>
      </w:r>
      <w:r w:rsidR="00EE43F9">
        <w:t xml:space="preserve">tiesai </w:t>
      </w:r>
      <w:r w:rsidR="002D3C8A">
        <w:t>jāņem vērā</w:t>
      </w:r>
      <w:r w:rsidR="00706D01">
        <w:t xml:space="preserve"> Krimināllikuma </w:t>
      </w:r>
      <w:r w:rsidR="002D3C8A">
        <w:t>V</w:t>
      </w:r>
      <w:r w:rsidR="00706D01">
        <w:t>ispārīgās daļas normas, k</w:t>
      </w:r>
      <w:r w:rsidR="0047640F">
        <w:t xml:space="preserve">uras </w:t>
      </w:r>
      <w:r w:rsidR="00706D01">
        <w:t xml:space="preserve">bija spēkā noziedzīgā nodarījuma izdarīšanas </w:t>
      </w:r>
      <w:r w:rsidR="002B6390">
        <w:t>laikā</w:t>
      </w:r>
      <w:r w:rsidR="00706D01">
        <w:t>.</w:t>
      </w:r>
      <w:r w:rsidRPr="00AE440C">
        <w:rPr>
          <w:rFonts w:eastAsia="Calibri"/>
          <w:szCs w:val="22"/>
        </w:rPr>
        <w:t xml:space="preserve"> </w:t>
      </w:r>
      <w:r w:rsidR="00EE43F9">
        <w:rPr>
          <w:rFonts w:eastAsia="Calibri"/>
          <w:szCs w:val="22"/>
        </w:rPr>
        <w:t>Ievērojot minēto, apelācijas instances tiesa atzin</w:t>
      </w:r>
      <w:r w:rsidR="00317C03">
        <w:rPr>
          <w:rFonts w:eastAsia="Calibri"/>
          <w:szCs w:val="22"/>
        </w:rPr>
        <w:t>usi</w:t>
      </w:r>
      <w:r w:rsidR="00EE43F9">
        <w:rPr>
          <w:rFonts w:eastAsia="Calibri"/>
          <w:szCs w:val="22"/>
        </w:rPr>
        <w:t xml:space="preserve">, ka </w:t>
      </w:r>
      <w:r w:rsidR="00986CDE">
        <w:rPr>
          <w:rFonts w:eastAsia="Calibri"/>
          <w:szCs w:val="22"/>
        </w:rPr>
        <w:t xml:space="preserve">Krimināllikuma </w:t>
      </w:r>
      <w:proofErr w:type="gramStart"/>
      <w:r w:rsidR="00986CDE">
        <w:rPr>
          <w:rFonts w:eastAsiaTheme="minorHAnsi"/>
        </w:rPr>
        <w:t>48.panta</w:t>
      </w:r>
      <w:proofErr w:type="gramEnd"/>
      <w:r w:rsidR="00986CDE">
        <w:rPr>
          <w:rFonts w:eastAsiaTheme="minorHAnsi"/>
        </w:rPr>
        <w:t xml:space="preserve"> pirmās daļas 17.punkts uz apsūdzēto </w:t>
      </w:r>
      <w:r w:rsidR="00E769AF">
        <w:rPr>
          <w:rFonts w:eastAsiaTheme="minorHAnsi"/>
        </w:rPr>
        <w:t>[pers. A]</w:t>
      </w:r>
      <w:r w:rsidR="00986CDE">
        <w:rPr>
          <w:rFonts w:eastAsiaTheme="minorHAnsi"/>
        </w:rPr>
        <w:t xml:space="preserve"> nav attiecināms. </w:t>
      </w:r>
      <w:r w:rsidR="00EE43F9">
        <w:t xml:space="preserve"> </w:t>
      </w:r>
    </w:p>
    <w:p w14:paraId="799378EE" w14:textId="2764D18E" w:rsidR="00706D01" w:rsidRDefault="00BF1109" w:rsidP="00EE43F9">
      <w:pPr>
        <w:spacing w:line="276" w:lineRule="auto"/>
        <w:ind w:firstLine="720"/>
        <w:jc w:val="both"/>
        <w:rPr>
          <w:rFonts w:eastAsia="Calibri"/>
          <w:szCs w:val="22"/>
        </w:rPr>
      </w:pPr>
      <w:r w:rsidRPr="00825959">
        <w:rPr>
          <w:rFonts w:eastAsia="Calibri"/>
          <w:szCs w:val="22"/>
        </w:rPr>
        <w:t>[</w:t>
      </w:r>
      <w:r w:rsidR="00967A3A">
        <w:rPr>
          <w:rFonts w:eastAsia="Calibri"/>
          <w:szCs w:val="22"/>
        </w:rPr>
        <w:t>5</w:t>
      </w:r>
      <w:r>
        <w:rPr>
          <w:rFonts w:eastAsia="Calibri"/>
          <w:szCs w:val="22"/>
        </w:rPr>
        <w:t>.2</w:t>
      </w:r>
      <w:r w:rsidRPr="00825959">
        <w:rPr>
          <w:rFonts w:eastAsia="Calibri"/>
          <w:szCs w:val="22"/>
        </w:rPr>
        <w:t xml:space="preserve">] </w:t>
      </w:r>
      <w:r w:rsidR="00EE43F9">
        <w:rPr>
          <w:rFonts w:eastAsia="Calibri"/>
          <w:szCs w:val="22"/>
        </w:rPr>
        <w:t xml:space="preserve">Senāts atzīst, ka </w:t>
      </w:r>
      <w:r w:rsidR="0099753B">
        <w:rPr>
          <w:rFonts w:eastAsia="Calibri"/>
          <w:szCs w:val="22"/>
        </w:rPr>
        <w:t xml:space="preserve">apelācijas instances </w:t>
      </w:r>
      <w:r w:rsidR="00E54C1E">
        <w:rPr>
          <w:rFonts w:eastAsia="Calibri"/>
          <w:szCs w:val="22"/>
        </w:rPr>
        <w:t xml:space="preserve">tiesa </w:t>
      </w:r>
      <w:r w:rsidR="00EE43F9">
        <w:rPr>
          <w:rFonts w:eastAsia="Calibri"/>
          <w:szCs w:val="22"/>
        </w:rPr>
        <w:t>kļūdaini interpretēju</w:t>
      </w:r>
      <w:r w:rsidR="0099753B">
        <w:rPr>
          <w:rFonts w:eastAsia="Calibri"/>
          <w:szCs w:val="22"/>
        </w:rPr>
        <w:t>si</w:t>
      </w:r>
      <w:r w:rsidR="00EE43F9">
        <w:rPr>
          <w:rFonts w:eastAsia="Calibri"/>
          <w:szCs w:val="22"/>
        </w:rPr>
        <w:t xml:space="preserve"> Krimināll</w:t>
      </w:r>
      <w:r w:rsidR="00AE440C" w:rsidRPr="00AE440C">
        <w:rPr>
          <w:rFonts w:eastAsia="Calibri"/>
          <w:szCs w:val="22"/>
        </w:rPr>
        <w:t xml:space="preserve">ikuma </w:t>
      </w:r>
      <w:proofErr w:type="gramStart"/>
      <w:r w:rsidR="00AE440C" w:rsidRPr="00AE440C">
        <w:rPr>
          <w:rFonts w:eastAsia="Calibri"/>
          <w:szCs w:val="22"/>
        </w:rPr>
        <w:t>48.panta</w:t>
      </w:r>
      <w:proofErr w:type="gramEnd"/>
      <w:r w:rsidR="00AE440C" w:rsidRPr="00AE440C">
        <w:rPr>
          <w:rFonts w:eastAsia="Calibri"/>
          <w:szCs w:val="22"/>
        </w:rPr>
        <w:t xml:space="preserve"> pirmās daļas 17.punkt</w:t>
      </w:r>
      <w:r w:rsidR="00EE43F9">
        <w:rPr>
          <w:rFonts w:eastAsia="Calibri"/>
          <w:szCs w:val="22"/>
        </w:rPr>
        <w:t xml:space="preserve">u. </w:t>
      </w:r>
    </w:p>
    <w:p w14:paraId="27AF1EBD" w14:textId="7DB2F658" w:rsidR="000C3453" w:rsidRDefault="006B6408" w:rsidP="0062669C">
      <w:pPr>
        <w:spacing w:line="276" w:lineRule="auto"/>
        <w:ind w:firstLine="720"/>
        <w:jc w:val="both"/>
        <w:rPr>
          <w:rFonts w:eastAsia="Calibri"/>
          <w:szCs w:val="22"/>
        </w:rPr>
      </w:pPr>
      <w:r w:rsidRPr="006B6408">
        <w:rPr>
          <w:rFonts w:eastAsia="Calibri"/>
          <w:szCs w:val="22"/>
        </w:rPr>
        <w:t xml:space="preserve">Apelācijas instances tiesa atsaukusies uz </w:t>
      </w:r>
      <w:proofErr w:type="gramStart"/>
      <w:r w:rsidRPr="006B6408">
        <w:rPr>
          <w:rFonts w:eastAsia="Calibri"/>
          <w:szCs w:val="22"/>
        </w:rPr>
        <w:t>2020.gada</w:t>
      </w:r>
      <w:proofErr w:type="gramEnd"/>
      <w:r w:rsidRPr="006B6408">
        <w:rPr>
          <w:rFonts w:eastAsia="Calibri"/>
          <w:szCs w:val="22"/>
        </w:rPr>
        <w:t xml:space="preserve"> 11.jūnija likuma </w:t>
      </w:r>
      <w:r w:rsidR="00343D94">
        <w:rPr>
          <w:rFonts w:eastAsia="Calibri"/>
          <w:szCs w:val="22"/>
        </w:rPr>
        <w:t>„</w:t>
      </w:r>
      <w:r w:rsidRPr="006B6408">
        <w:rPr>
          <w:rFonts w:eastAsia="Calibri"/>
          <w:szCs w:val="22"/>
        </w:rPr>
        <w:t xml:space="preserve">Grozījumi Krimināllikumā” </w:t>
      </w:r>
      <w:r w:rsidR="003C798B">
        <w:rPr>
          <w:rFonts w:eastAsia="Calibri"/>
          <w:szCs w:val="22"/>
        </w:rPr>
        <w:t>P</w:t>
      </w:r>
      <w:r w:rsidRPr="006B6408">
        <w:rPr>
          <w:rFonts w:eastAsia="Calibri"/>
          <w:szCs w:val="22"/>
        </w:rPr>
        <w:t xml:space="preserve">ārejas noteikumu 1.punktu, kurā noteikts, ka personas, kuras izdarījušas noziedzīgu nodarījumu līdz šā likuma spēkā stāšanās dienai, saucamas pie kriminālatbildības </w:t>
      </w:r>
      <w:r w:rsidRPr="006B6408">
        <w:rPr>
          <w:rFonts w:eastAsia="Calibri"/>
          <w:szCs w:val="22"/>
        </w:rPr>
        <w:lastRenderedPageBreak/>
        <w:t>un sodāmas saskaņā ar tām Krimināllikuma normām, kuras bija spēkā attiecīgā nodarījuma izdarīšanas laikā, turklāt ņemot vērā, ka kriminālatbildība par noziedzīgu nodarījumu nevar iestāties, ja pēc šā likuma spēkā stāšanās dienas Krimināllikumā par to nav paredzēta kriminālatbildība.</w:t>
      </w:r>
    </w:p>
    <w:p w14:paraId="1FBB7077" w14:textId="07D17899" w:rsidR="00777843" w:rsidRPr="00670801" w:rsidRDefault="0047640F" w:rsidP="00FD5ED6">
      <w:pPr>
        <w:spacing w:line="276" w:lineRule="auto"/>
        <w:ind w:firstLine="720"/>
        <w:jc w:val="both"/>
        <w:rPr>
          <w:rFonts w:asciiTheme="majorBidi" w:eastAsia="Calibri" w:hAnsiTheme="majorBidi" w:cstheme="majorBidi"/>
          <w:color w:val="000000" w:themeColor="text1"/>
        </w:rPr>
      </w:pPr>
      <w:r>
        <w:rPr>
          <w:rFonts w:eastAsia="Calibri"/>
          <w:szCs w:val="22"/>
        </w:rPr>
        <w:t xml:space="preserve">Senāts norāda, ka </w:t>
      </w:r>
      <w:r w:rsidR="00986CDE">
        <w:rPr>
          <w:rFonts w:eastAsia="Calibri"/>
          <w:szCs w:val="22"/>
        </w:rPr>
        <w:t xml:space="preserve">ar </w:t>
      </w:r>
      <w:proofErr w:type="gramStart"/>
      <w:r w:rsidR="002277AF" w:rsidRPr="002277AF">
        <w:rPr>
          <w:rFonts w:eastAsia="Calibri"/>
          <w:szCs w:val="22"/>
        </w:rPr>
        <w:t>2020.gada</w:t>
      </w:r>
      <w:proofErr w:type="gramEnd"/>
      <w:r w:rsidR="002277AF" w:rsidRPr="002277AF">
        <w:rPr>
          <w:rFonts w:eastAsia="Calibri"/>
          <w:szCs w:val="22"/>
        </w:rPr>
        <w:t xml:space="preserve"> 11.jūnija likum</w:t>
      </w:r>
      <w:r w:rsidR="00986CDE">
        <w:rPr>
          <w:rFonts w:eastAsia="Calibri"/>
          <w:szCs w:val="22"/>
        </w:rPr>
        <w:t>u</w:t>
      </w:r>
      <w:r w:rsidR="002277AF" w:rsidRPr="002277AF">
        <w:rPr>
          <w:rFonts w:eastAsia="Calibri"/>
          <w:szCs w:val="22"/>
        </w:rPr>
        <w:t xml:space="preserve"> </w:t>
      </w:r>
      <w:r w:rsidR="00223591">
        <w:rPr>
          <w:rFonts w:eastAsia="Calibri"/>
          <w:szCs w:val="22"/>
        </w:rPr>
        <w:t>„</w:t>
      </w:r>
      <w:r w:rsidR="002277AF" w:rsidRPr="002277AF">
        <w:rPr>
          <w:rFonts w:eastAsia="Calibri"/>
          <w:szCs w:val="22"/>
        </w:rPr>
        <w:t>Grozījumi Krimināllikumā”</w:t>
      </w:r>
      <w:r w:rsidR="002277AF">
        <w:rPr>
          <w:rFonts w:eastAsia="Calibri"/>
          <w:szCs w:val="22"/>
        </w:rPr>
        <w:t xml:space="preserve"> </w:t>
      </w:r>
      <w:r w:rsidR="00986CDE">
        <w:rPr>
          <w:rFonts w:eastAsia="Calibri"/>
          <w:szCs w:val="22"/>
        </w:rPr>
        <w:t xml:space="preserve">izdarīti grozījumi </w:t>
      </w:r>
      <w:r w:rsidR="00B75DA9">
        <w:rPr>
          <w:rFonts w:eastAsia="Calibri"/>
          <w:szCs w:val="22"/>
        </w:rPr>
        <w:t xml:space="preserve">gan </w:t>
      </w:r>
      <w:r w:rsidR="002277AF">
        <w:rPr>
          <w:rFonts w:eastAsia="Calibri"/>
          <w:szCs w:val="22"/>
        </w:rPr>
        <w:t xml:space="preserve">Krimināllikuma </w:t>
      </w:r>
      <w:r w:rsidR="00A96A08">
        <w:rPr>
          <w:rFonts w:eastAsia="Calibri"/>
          <w:szCs w:val="22"/>
        </w:rPr>
        <w:t>V</w:t>
      </w:r>
      <w:r w:rsidR="002277AF">
        <w:rPr>
          <w:rFonts w:eastAsia="Calibri"/>
          <w:szCs w:val="22"/>
        </w:rPr>
        <w:t xml:space="preserve">ispārīgajā daļā, </w:t>
      </w:r>
      <w:r w:rsidR="00B75DA9">
        <w:rPr>
          <w:rFonts w:eastAsia="Calibri"/>
          <w:szCs w:val="22"/>
        </w:rPr>
        <w:t xml:space="preserve">gan </w:t>
      </w:r>
      <w:r w:rsidR="002277AF">
        <w:rPr>
          <w:rFonts w:eastAsia="Calibri"/>
          <w:szCs w:val="22"/>
        </w:rPr>
        <w:t xml:space="preserve">Krimināllikuma </w:t>
      </w:r>
      <w:r w:rsidR="00A96A08">
        <w:rPr>
          <w:rFonts w:eastAsia="Calibri"/>
          <w:szCs w:val="22"/>
        </w:rPr>
        <w:t>S</w:t>
      </w:r>
      <w:r w:rsidR="002277AF">
        <w:rPr>
          <w:rFonts w:eastAsia="Calibri"/>
          <w:szCs w:val="22"/>
        </w:rPr>
        <w:t xml:space="preserve">evišķajā daļā. </w:t>
      </w:r>
      <w:r w:rsidR="003C798B">
        <w:rPr>
          <w:rFonts w:eastAsia="Calibri"/>
          <w:szCs w:val="22"/>
        </w:rPr>
        <w:t>P</w:t>
      </w:r>
      <w:r w:rsidR="00120BCB" w:rsidRPr="00120BCB">
        <w:rPr>
          <w:rFonts w:eastAsia="Calibri"/>
          <w:szCs w:val="22"/>
        </w:rPr>
        <w:t>ārejas noteikumu 1.punkt</w:t>
      </w:r>
      <w:r w:rsidR="00343641">
        <w:rPr>
          <w:rFonts w:eastAsia="Calibri"/>
          <w:szCs w:val="22"/>
        </w:rPr>
        <w:t>a</w:t>
      </w:r>
      <w:r w:rsidR="00120BCB">
        <w:rPr>
          <w:rFonts w:eastAsia="Calibri"/>
          <w:szCs w:val="22"/>
        </w:rPr>
        <w:t xml:space="preserve"> piemēro</w:t>
      </w:r>
      <w:r w:rsidR="00343641">
        <w:rPr>
          <w:rFonts w:eastAsia="Calibri"/>
          <w:szCs w:val="22"/>
        </w:rPr>
        <w:t xml:space="preserve">šana </w:t>
      </w:r>
      <w:r w:rsidR="00120BCB">
        <w:rPr>
          <w:rFonts w:eastAsia="Calibri"/>
          <w:szCs w:val="22"/>
        </w:rPr>
        <w:t>visiem grozījumiem</w:t>
      </w:r>
      <w:r w:rsidR="00120BCB" w:rsidRPr="00120BCB">
        <w:rPr>
          <w:rFonts w:eastAsia="Calibri"/>
          <w:szCs w:val="22"/>
        </w:rPr>
        <w:t xml:space="preserve"> Krimināllikuma </w:t>
      </w:r>
      <w:r w:rsidR="00A96A08">
        <w:rPr>
          <w:rFonts w:eastAsia="Calibri"/>
          <w:szCs w:val="22"/>
        </w:rPr>
        <w:t>V</w:t>
      </w:r>
      <w:r w:rsidR="00120BCB" w:rsidRPr="00120BCB">
        <w:rPr>
          <w:rFonts w:eastAsia="Calibri"/>
          <w:szCs w:val="22"/>
        </w:rPr>
        <w:t>ispārīgajā daļā</w:t>
      </w:r>
      <w:r w:rsidR="00343641">
        <w:rPr>
          <w:rFonts w:eastAsia="Calibri"/>
          <w:szCs w:val="22"/>
        </w:rPr>
        <w:t xml:space="preserve"> </w:t>
      </w:r>
      <w:r w:rsidR="00120BCB">
        <w:rPr>
          <w:rFonts w:eastAsia="Calibri"/>
          <w:szCs w:val="22"/>
        </w:rPr>
        <w:t>apgrūtināt</w:t>
      </w:r>
      <w:r w:rsidR="00343641">
        <w:rPr>
          <w:rFonts w:eastAsia="Calibri"/>
          <w:szCs w:val="22"/>
        </w:rPr>
        <w:t>u</w:t>
      </w:r>
      <w:r w:rsidR="00120BCB">
        <w:rPr>
          <w:rFonts w:eastAsia="Calibri"/>
          <w:szCs w:val="22"/>
        </w:rPr>
        <w:t xml:space="preserve"> grozīto normu piemērošan</w:t>
      </w:r>
      <w:r w:rsidR="00343641">
        <w:rPr>
          <w:rFonts w:eastAsia="Calibri"/>
          <w:szCs w:val="22"/>
        </w:rPr>
        <w:t>u</w:t>
      </w:r>
      <w:r w:rsidR="00120BCB">
        <w:rPr>
          <w:rFonts w:eastAsia="Calibri"/>
          <w:szCs w:val="22"/>
        </w:rPr>
        <w:t xml:space="preserve">. Tāda </w:t>
      </w:r>
      <w:r w:rsidR="003C798B">
        <w:rPr>
          <w:rFonts w:eastAsia="Calibri"/>
          <w:szCs w:val="22"/>
        </w:rPr>
        <w:t>P</w:t>
      </w:r>
      <w:r w:rsidR="00120BCB">
        <w:rPr>
          <w:rFonts w:eastAsia="Calibri"/>
          <w:szCs w:val="22"/>
        </w:rPr>
        <w:t>ārejas noteikumu 1.punkta piemērošana neatbilstu arī š</w:t>
      </w:r>
      <w:r w:rsidR="00EB2306">
        <w:rPr>
          <w:rFonts w:eastAsia="Calibri"/>
          <w:szCs w:val="22"/>
        </w:rPr>
        <w:t xml:space="preserve">ī punkta </w:t>
      </w:r>
      <w:r w:rsidR="00444548">
        <w:rPr>
          <w:rFonts w:eastAsia="Calibri"/>
          <w:szCs w:val="22"/>
        </w:rPr>
        <w:t xml:space="preserve">iecerētajai </w:t>
      </w:r>
      <w:r w:rsidR="00AF1D0C">
        <w:rPr>
          <w:rFonts w:eastAsia="Calibri"/>
          <w:szCs w:val="22"/>
        </w:rPr>
        <w:t>j</w:t>
      </w:r>
      <w:r w:rsidR="00444548">
        <w:rPr>
          <w:rFonts w:eastAsia="Calibri"/>
          <w:szCs w:val="22"/>
        </w:rPr>
        <w:t>ēgai</w:t>
      </w:r>
      <w:r w:rsidR="00A96A08">
        <w:rPr>
          <w:rFonts w:eastAsia="Calibri"/>
          <w:szCs w:val="22"/>
        </w:rPr>
        <w:t xml:space="preserve"> –</w:t>
      </w:r>
      <w:r w:rsidR="00AF1D0C">
        <w:rPr>
          <w:rFonts w:eastAsia="Calibri"/>
          <w:szCs w:val="22"/>
        </w:rPr>
        <w:t xml:space="preserve"> noteikt, ka n</w:t>
      </w:r>
      <w:r w:rsidR="00EB2306">
        <w:rPr>
          <w:rFonts w:eastAsia="Calibri"/>
          <w:szCs w:val="22"/>
        </w:rPr>
        <w:t>odarījums kvalificējams atbilstoši tai Krimināllikuma redakcijai, kas bija spēkā šā nodarījuma izdarīšanas laikā, vienlaikus paredzot, ka kriminālatbildība par noziedzīgo nodarījumu nevar iestāties, ja pēc attiecīgā grozījumu likuma spēkā stāšanās dienas par to vairāk netiek paredzēta kriminālatbild</w:t>
      </w:r>
      <w:r w:rsidR="00AF1D0C">
        <w:rPr>
          <w:rFonts w:eastAsia="Calibri"/>
          <w:szCs w:val="22"/>
        </w:rPr>
        <w:t xml:space="preserve">ība </w:t>
      </w:r>
      <w:proofErr w:type="gramStart"/>
      <w:r w:rsidR="00AF1D0C">
        <w:rPr>
          <w:rFonts w:eastAsia="Calibri"/>
          <w:szCs w:val="22"/>
        </w:rPr>
        <w:t>(</w:t>
      </w:r>
      <w:proofErr w:type="gramEnd"/>
      <w:r w:rsidR="00777843" w:rsidRPr="00040C3F">
        <w:rPr>
          <w:rFonts w:eastAsia="Calibri"/>
          <w:i/>
          <w:iCs/>
          <w:szCs w:val="22"/>
        </w:rPr>
        <w:t>sk.</w:t>
      </w:r>
      <w:r w:rsidR="00777843">
        <w:rPr>
          <w:rFonts w:eastAsia="Calibri"/>
          <w:szCs w:val="22"/>
        </w:rPr>
        <w:t xml:space="preserve"> </w:t>
      </w:r>
      <w:r w:rsidR="00AF1D0C" w:rsidRPr="00787644">
        <w:rPr>
          <w:rFonts w:eastAsia="Calibri"/>
          <w:i/>
          <w:szCs w:val="22"/>
        </w:rPr>
        <w:t>Tieslietu ministrijas 2019.gada 24.aprīļa vēstules Nr.</w:t>
      </w:r>
      <w:r w:rsidR="00787644">
        <w:rPr>
          <w:rFonts w:eastAsia="Calibri"/>
          <w:i/>
          <w:szCs w:val="22"/>
        </w:rPr>
        <w:t>1</w:t>
      </w:r>
      <w:r w:rsidR="00223591">
        <w:rPr>
          <w:rFonts w:eastAsia="Calibri"/>
          <w:i/>
          <w:szCs w:val="22"/>
        </w:rPr>
        <w:noBreakHyphen/>
      </w:r>
      <w:r w:rsidR="00AF1D0C" w:rsidRPr="00787644">
        <w:rPr>
          <w:rFonts w:eastAsia="Calibri"/>
          <w:i/>
          <w:szCs w:val="22"/>
        </w:rPr>
        <w:t xml:space="preserve">11/1470 </w:t>
      </w:r>
      <w:r w:rsidR="00F46E95">
        <w:rPr>
          <w:rFonts w:eastAsia="Calibri"/>
          <w:i/>
          <w:szCs w:val="22"/>
        </w:rPr>
        <w:t>„</w:t>
      </w:r>
      <w:r w:rsidR="00444548" w:rsidRPr="00787644">
        <w:rPr>
          <w:rFonts w:eastAsia="Calibri"/>
          <w:i/>
          <w:szCs w:val="22"/>
        </w:rPr>
        <w:t>Par priekšlikumiem normatīvā regulējuma pilnveidošanai</w:t>
      </w:r>
      <w:r w:rsidR="00AF1D0C" w:rsidRPr="00787644">
        <w:rPr>
          <w:rFonts w:eastAsia="Calibri"/>
          <w:i/>
          <w:szCs w:val="22"/>
        </w:rPr>
        <w:t>”</w:t>
      </w:r>
      <w:r w:rsidR="00444548" w:rsidRPr="00787644">
        <w:rPr>
          <w:rFonts w:eastAsia="Calibri"/>
          <w:i/>
          <w:szCs w:val="22"/>
        </w:rPr>
        <w:t xml:space="preserve"> </w:t>
      </w:r>
      <w:r w:rsidR="00787644">
        <w:rPr>
          <w:rFonts w:eastAsia="Calibri"/>
          <w:i/>
          <w:szCs w:val="22"/>
        </w:rPr>
        <w:t>pielikuma</w:t>
      </w:r>
      <w:r w:rsidR="00444548" w:rsidRPr="00787644">
        <w:rPr>
          <w:rFonts w:eastAsia="Calibri"/>
          <w:i/>
          <w:szCs w:val="22"/>
        </w:rPr>
        <w:t xml:space="preserve"> Nr.1 </w:t>
      </w:r>
      <w:r w:rsidR="00223591">
        <w:rPr>
          <w:rFonts w:eastAsia="Calibri"/>
          <w:i/>
          <w:szCs w:val="22"/>
        </w:rPr>
        <w:t>„</w:t>
      </w:r>
      <w:r w:rsidR="00444548" w:rsidRPr="00787644">
        <w:rPr>
          <w:rFonts w:eastAsia="Calibri"/>
          <w:i/>
          <w:szCs w:val="22"/>
        </w:rPr>
        <w:t>Priekšlikumi grozījumiem</w:t>
      </w:r>
      <w:r>
        <w:rPr>
          <w:rFonts w:eastAsia="Calibri"/>
          <w:i/>
          <w:szCs w:val="22"/>
        </w:rPr>
        <w:t> </w:t>
      </w:r>
      <w:r w:rsidR="00444548" w:rsidRPr="00787644">
        <w:rPr>
          <w:rFonts w:eastAsia="Calibri"/>
          <w:i/>
          <w:szCs w:val="22"/>
        </w:rPr>
        <w:t>Krimināllikumā”</w:t>
      </w:r>
      <w:r>
        <w:rPr>
          <w:rFonts w:eastAsia="Calibri"/>
          <w:i/>
          <w:szCs w:val="22"/>
        </w:rPr>
        <w:t> </w:t>
      </w:r>
      <w:r w:rsidR="00444548" w:rsidRPr="00787644">
        <w:rPr>
          <w:rFonts w:eastAsia="Calibri"/>
          <w:i/>
          <w:szCs w:val="22"/>
        </w:rPr>
        <w:t>priekšlikum</w:t>
      </w:r>
      <w:r w:rsidR="00777843">
        <w:rPr>
          <w:rFonts w:eastAsia="Calibri"/>
          <w:i/>
          <w:szCs w:val="22"/>
        </w:rPr>
        <w:t>u</w:t>
      </w:r>
      <w:r>
        <w:rPr>
          <w:rFonts w:eastAsia="Calibri"/>
          <w:i/>
          <w:szCs w:val="22"/>
        </w:rPr>
        <w:t> </w:t>
      </w:r>
      <w:r w:rsidR="00444548" w:rsidRPr="00787644">
        <w:rPr>
          <w:rFonts w:eastAsia="Calibri"/>
          <w:i/>
          <w:szCs w:val="22"/>
        </w:rPr>
        <w:t>Nr.12,</w:t>
      </w:r>
      <w:r w:rsidR="002E59B1">
        <w:rPr>
          <w:rFonts w:eastAsia="Calibri"/>
          <w:i/>
          <w:szCs w:val="22"/>
        </w:rPr>
        <w:t> </w:t>
      </w:r>
      <w:r w:rsidR="00444548" w:rsidRPr="00670801">
        <w:rPr>
          <w:rFonts w:eastAsia="Calibri"/>
          <w:i/>
          <w:color w:val="000000" w:themeColor="text1"/>
          <w:szCs w:val="22"/>
        </w:rPr>
        <w:t>pieejams:</w:t>
      </w:r>
      <w:hyperlink r:id="rId7" w:history="1">
        <w:r w:rsidR="00286661" w:rsidRPr="00286661">
          <w:rPr>
            <w:rStyle w:val="Hyperlink"/>
            <w:rFonts w:asciiTheme="majorBidi" w:eastAsia="Calibri" w:hAnsiTheme="majorBidi" w:cstheme="majorBidi"/>
            <w:i/>
            <w:color w:val="000000" w:themeColor="text1"/>
            <w:u w:val="none"/>
          </w:rPr>
          <w:t>https://titania.saeima.lv/livs/saeimasnotikumi.nsf/0/026529a544ef369dc22583fc002aa935/$FILE/pielikums.2019_05_21_8_30_JKKPA.pdf</w:t>
        </w:r>
      </w:hyperlink>
      <w:r w:rsidR="00AF1D0C" w:rsidRPr="00286661">
        <w:rPr>
          <w:rFonts w:asciiTheme="majorBidi" w:eastAsia="Calibri" w:hAnsiTheme="majorBidi" w:cstheme="majorBidi"/>
          <w:i/>
          <w:iCs/>
          <w:color w:val="000000" w:themeColor="text1"/>
        </w:rPr>
        <w:t>)</w:t>
      </w:r>
      <w:r w:rsidR="00AF1D0C" w:rsidRPr="00286661">
        <w:rPr>
          <w:rFonts w:asciiTheme="majorBidi" w:eastAsia="Calibri" w:hAnsiTheme="majorBidi" w:cstheme="majorBidi"/>
          <w:color w:val="000000" w:themeColor="text1"/>
        </w:rPr>
        <w:t>.</w:t>
      </w:r>
    </w:p>
    <w:p w14:paraId="6DF4F044" w14:textId="3C9E0C2C" w:rsidR="006B6408" w:rsidRPr="00B75DA9" w:rsidRDefault="001B1EDE" w:rsidP="00FD5ED6">
      <w:pPr>
        <w:spacing w:line="276" w:lineRule="auto"/>
        <w:ind w:firstLine="720"/>
        <w:jc w:val="both"/>
        <w:rPr>
          <w:rFonts w:asciiTheme="majorBidi" w:eastAsia="Calibri" w:hAnsiTheme="majorBidi" w:cstheme="majorBidi"/>
          <w:color w:val="000000" w:themeColor="text1"/>
        </w:rPr>
      </w:pPr>
      <w:r w:rsidRPr="00B75DA9">
        <w:rPr>
          <w:rFonts w:asciiTheme="majorBidi" w:eastAsia="Calibri" w:hAnsiTheme="majorBidi" w:cstheme="majorBidi"/>
          <w:color w:val="000000" w:themeColor="text1"/>
        </w:rPr>
        <w:t>Ņemot vērā minēto, Senāts atzīst, ka</w:t>
      </w:r>
      <w:r w:rsidR="002B6390">
        <w:rPr>
          <w:rFonts w:asciiTheme="majorBidi" w:eastAsia="Calibri" w:hAnsiTheme="majorBidi" w:cstheme="majorBidi"/>
          <w:color w:val="000000" w:themeColor="text1"/>
        </w:rPr>
        <w:t xml:space="preserve"> </w:t>
      </w:r>
      <w:proofErr w:type="gramStart"/>
      <w:r w:rsidR="002B6390" w:rsidRPr="002277AF">
        <w:rPr>
          <w:rFonts w:eastAsia="Calibri"/>
          <w:szCs w:val="22"/>
        </w:rPr>
        <w:t>2020.gada</w:t>
      </w:r>
      <w:proofErr w:type="gramEnd"/>
      <w:r w:rsidR="002B6390" w:rsidRPr="002277AF">
        <w:rPr>
          <w:rFonts w:eastAsia="Calibri"/>
          <w:szCs w:val="22"/>
        </w:rPr>
        <w:t xml:space="preserve"> 11.jūnija likum</w:t>
      </w:r>
      <w:r w:rsidR="002B6390">
        <w:rPr>
          <w:rFonts w:eastAsia="Calibri"/>
          <w:szCs w:val="22"/>
        </w:rPr>
        <w:t>a</w:t>
      </w:r>
      <w:r w:rsidR="002B6390" w:rsidRPr="002277AF">
        <w:rPr>
          <w:rFonts w:eastAsia="Calibri"/>
          <w:szCs w:val="22"/>
        </w:rPr>
        <w:t xml:space="preserve"> </w:t>
      </w:r>
      <w:r w:rsidR="002B6390">
        <w:rPr>
          <w:rFonts w:eastAsia="Calibri"/>
          <w:szCs w:val="22"/>
        </w:rPr>
        <w:t>„</w:t>
      </w:r>
      <w:r w:rsidR="002B6390" w:rsidRPr="002277AF">
        <w:rPr>
          <w:rFonts w:eastAsia="Calibri"/>
          <w:szCs w:val="22"/>
        </w:rPr>
        <w:t>Grozījumi Krimināllikumā”</w:t>
      </w:r>
      <w:r w:rsidR="00B75DA9">
        <w:rPr>
          <w:rFonts w:asciiTheme="majorBidi" w:eastAsia="Calibri" w:hAnsiTheme="majorBidi" w:cstheme="majorBidi"/>
          <w:color w:val="000000" w:themeColor="text1"/>
        </w:rPr>
        <w:t xml:space="preserve"> </w:t>
      </w:r>
      <w:r w:rsidR="003C798B">
        <w:rPr>
          <w:rFonts w:asciiTheme="majorBidi" w:eastAsia="Calibri" w:hAnsiTheme="majorBidi" w:cstheme="majorBidi"/>
          <w:color w:val="000000" w:themeColor="text1"/>
        </w:rPr>
        <w:t>P</w:t>
      </w:r>
      <w:r w:rsidR="00444548" w:rsidRPr="00B75DA9">
        <w:rPr>
          <w:rFonts w:asciiTheme="majorBidi" w:eastAsia="Calibri" w:hAnsiTheme="majorBidi" w:cstheme="majorBidi"/>
          <w:color w:val="000000" w:themeColor="text1"/>
        </w:rPr>
        <w:t xml:space="preserve">ārejas noteikumu 1.punkts </w:t>
      </w:r>
      <w:r w:rsidR="005D3B28" w:rsidRPr="00B75DA9">
        <w:rPr>
          <w:rFonts w:asciiTheme="majorBidi" w:eastAsia="Calibri" w:hAnsiTheme="majorBidi" w:cstheme="majorBidi"/>
          <w:color w:val="000000" w:themeColor="text1"/>
        </w:rPr>
        <w:t xml:space="preserve">neierobežo </w:t>
      </w:r>
      <w:r w:rsidR="00444548" w:rsidRPr="00B75DA9">
        <w:rPr>
          <w:rFonts w:asciiTheme="majorBidi" w:eastAsia="Calibri" w:hAnsiTheme="majorBidi" w:cstheme="majorBidi"/>
          <w:color w:val="000000" w:themeColor="text1"/>
        </w:rPr>
        <w:t xml:space="preserve">Krimināllikuma </w:t>
      </w:r>
      <w:r w:rsidR="005D3B28" w:rsidRPr="00B75DA9">
        <w:rPr>
          <w:rFonts w:asciiTheme="majorBidi" w:eastAsia="Calibri" w:hAnsiTheme="majorBidi" w:cstheme="majorBidi"/>
          <w:color w:val="000000" w:themeColor="text1"/>
        </w:rPr>
        <w:t>48.panta pirmās daļas 17.punkta piemērošanu.</w:t>
      </w:r>
    </w:p>
    <w:p w14:paraId="5D8AF515" w14:textId="291B7884" w:rsidR="000A3F9A" w:rsidRDefault="005D3B28" w:rsidP="003D6DB7">
      <w:pPr>
        <w:spacing w:line="276" w:lineRule="auto"/>
        <w:ind w:firstLine="720"/>
        <w:jc w:val="both"/>
        <w:rPr>
          <w:rFonts w:eastAsia="Calibri"/>
          <w:szCs w:val="22"/>
        </w:rPr>
      </w:pPr>
      <w:r w:rsidRPr="00B75DA9">
        <w:rPr>
          <w:rFonts w:eastAsia="Calibri"/>
          <w:color w:val="000000" w:themeColor="text1"/>
          <w:szCs w:val="22"/>
        </w:rPr>
        <w:t xml:space="preserve">Krimināllikuma </w:t>
      </w:r>
      <w:proofErr w:type="gramStart"/>
      <w:r w:rsidRPr="00B75DA9">
        <w:rPr>
          <w:rFonts w:eastAsia="Calibri"/>
          <w:color w:val="000000" w:themeColor="text1"/>
          <w:szCs w:val="22"/>
        </w:rPr>
        <w:t>5.panta</w:t>
      </w:r>
      <w:proofErr w:type="gramEnd"/>
      <w:r w:rsidRPr="00B75DA9">
        <w:rPr>
          <w:rFonts w:eastAsia="Calibri"/>
          <w:color w:val="000000" w:themeColor="text1"/>
          <w:szCs w:val="22"/>
        </w:rPr>
        <w:t xml:space="preserve"> trešā daļ</w:t>
      </w:r>
      <w:r w:rsidR="002B6390">
        <w:rPr>
          <w:rFonts w:eastAsia="Calibri"/>
          <w:color w:val="000000" w:themeColor="text1"/>
          <w:szCs w:val="22"/>
        </w:rPr>
        <w:t>a noteic</w:t>
      </w:r>
      <w:r w:rsidRPr="00B75DA9">
        <w:rPr>
          <w:rFonts w:eastAsia="Calibri"/>
          <w:color w:val="000000" w:themeColor="text1"/>
          <w:szCs w:val="22"/>
        </w:rPr>
        <w:t xml:space="preserve">, ka likumam, kas atzīst nodarījumu par sodāmu, pastiprina sodu vai ir citādi nelabvēlīgs personai, atpakaļejoša </w:t>
      </w:r>
      <w:r w:rsidRPr="005D3B28">
        <w:rPr>
          <w:rFonts w:eastAsia="Calibri"/>
          <w:szCs w:val="22"/>
        </w:rPr>
        <w:t>spēka nav. Šīs tiesību normas mērķis ir novērst tādas likuma normas piemērošanu, kura personai nevarēja būt zināma.</w:t>
      </w:r>
      <w:r w:rsidR="003D6DB7">
        <w:rPr>
          <w:rFonts w:eastAsia="Calibri"/>
          <w:szCs w:val="22"/>
        </w:rPr>
        <w:t xml:space="preserve"> </w:t>
      </w:r>
      <w:r w:rsidR="006051E1">
        <w:rPr>
          <w:rFonts w:eastAsia="Calibri"/>
          <w:szCs w:val="22"/>
        </w:rPr>
        <w:t xml:space="preserve">Senāts atzīst, ka </w:t>
      </w:r>
      <w:r w:rsidRPr="005D3B28">
        <w:rPr>
          <w:rFonts w:eastAsia="Calibri"/>
          <w:szCs w:val="22"/>
        </w:rPr>
        <w:t xml:space="preserve">Krimināllikuma </w:t>
      </w:r>
      <w:proofErr w:type="gramStart"/>
      <w:r w:rsidRPr="005D3B28">
        <w:rPr>
          <w:rFonts w:eastAsia="Calibri"/>
          <w:szCs w:val="22"/>
        </w:rPr>
        <w:t>48.panta</w:t>
      </w:r>
      <w:proofErr w:type="gramEnd"/>
      <w:r w:rsidRPr="005D3B28">
        <w:rPr>
          <w:rFonts w:eastAsia="Calibri"/>
          <w:szCs w:val="22"/>
        </w:rPr>
        <w:t xml:space="preserve"> pirmās daļas 17.punktā noteiktais atbildību pastiprinoš</w:t>
      </w:r>
      <w:r w:rsidR="003D6DB7">
        <w:rPr>
          <w:rFonts w:eastAsia="Calibri"/>
          <w:szCs w:val="22"/>
        </w:rPr>
        <w:t>ais</w:t>
      </w:r>
      <w:r w:rsidRPr="005D3B28">
        <w:rPr>
          <w:rFonts w:eastAsia="Calibri"/>
          <w:szCs w:val="22"/>
        </w:rPr>
        <w:t xml:space="preserve"> apstāklis nav saistīts ar noziedzīgā nodarījuma izdarīšanas apstākļiem, ja noziedzīgu nodarījumu izdarījusī persona apzināti nepatiesu liecību snie</w:t>
      </w:r>
      <w:r w:rsidR="00BD6E29">
        <w:rPr>
          <w:rFonts w:eastAsia="Calibri"/>
          <w:szCs w:val="22"/>
        </w:rPr>
        <w:t xml:space="preserve">gusi </w:t>
      </w:r>
      <w:r w:rsidRPr="005D3B28">
        <w:rPr>
          <w:rFonts w:eastAsia="Calibri"/>
          <w:szCs w:val="22"/>
        </w:rPr>
        <w:t xml:space="preserve">pēc noziedzīga nodarījuma izdarīšanas. </w:t>
      </w:r>
      <w:r w:rsidR="00277F95">
        <w:rPr>
          <w:rFonts w:eastAsia="Calibri"/>
          <w:szCs w:val="22"/>
        </w:rPr>
        <w:t xml:space="preserve">Proti, </w:t>
      </w:r>
      <w:r w:rsidRPr="005D3B28">
        <w:rPr>
          <w:rFonts w:eastAsia="Calibri"/>
          <w:szCs w:val="22"/>
        </w:rPr>
        <w:t xml:space="preserve">Krimināllikuma </w:t>
      </w:r>
      <w:proofErr w:type="gramStart"/>
      <w:r w:rsidRPr="005D3B28">
        <w:rPr>
          <w:rFonts w:eastAsia="Calibri"/>
          <w:szCs w:val="22"/>
        </w:rPr>
        <w:t>5.panta</w:t>
      </w:r>
      <w:proofErr w:type="gramEnd"/>
      <w:r w:rsidRPr="005D3B28">
        <w:rPr>
          <w:rFonts w:eastAsia="Calibri"/>
          <w:szCs w:val="22"/>
        </w:rPr>
        <w:t xml:space="preserve"> treš</w:t>
      </w:r>
      <w:r w:rsidR="003D6DB7">
        <w:rPr>
          <w:rFonts w:eastAsia="Calibri"/>
          <w:szCs w:val="22"/>
        </w:rPr>
        <w:t xml:space="preserve">ās </w:t>
      </w:r>
      <w:r w:rsidRPr="005D3B28">
        <w:rPr>
          <w:rFonts w:eastAsia="Calibri"/>
          <w:szCs w:val="22"/>
        </w:rPr>
        <w:t>daļ</w:t>
      </w:r>
      <w:r w:rsidR="003D6DB7">
        <w:rPr>
          <w:rFonts w:eastAsia="Calibri"/>
          <w:szCs w:val="22"/>
        </w:rPr>
        <w:t xml:space="preserve">as prasības </w:t>
      </w:r>
      <w:r w:rsidRPr="005D3B28">
        <w:rPr>
          <w:rFonts w:eastAsia="Calibri"/>
          <w:szCs w:val="22"/>
        </w:rPr>
        <w:t>netiek pārkāpt</w:t>
      </w:r>
      <w:r w:rsidR="003D6DB7">
        <w:rPr>
          <w:rFonts w:eastAsia="Calibri"/>
          <w:szCs w:val="22"/>
        </w:rPr>
        <w:t>a</w:t>
      </w:r>
      <w:r w:rsidRPr="005D3B28">
        <w:rPr>
          <w:rFonts w:eastAsia="Calibri"/>
          <w:szCs w:val="22"/>
        </w:rPr>
        <w:t xml:space="preserve">s, ja Krimināllikuma 48.panta pirmās daļas 17.punkts tiek </w:t>
      </w:r>
      <w:r w:rsidR="005964E8">
        <w:rPr>
          <w:rFonts w:eastAsia="Calibri"/>
          <w:szCs w:val="22"/>
        </w:rPr>
        <w:t>piemērots</w:t>
      </w:r>
      <w:r w:rsidRPr="005D3B28">
        <w:rPr>
          <w:rFonts w:eastAsia="Calibri"/>
          <w:szCs w:val="22"/>
        </w:rPr>
        <w:t xml:space="preserve"> no brīža, kad tas stājies spēkā, jo ar šo brīdi tā vairs nav likuma norma, k</w:t>
      </w:r>
      <w:r w:rsidR="003D6DB7">
        <w:rPr>
          <w:rFonts w:eastAsia="Calibri"/>
          <w:szCs w:val="22"/>
        </w:rPr>
        <w:t>as</w:t>
      </w:r>
      <w:r w:rsidR="00363895">
        <w:rPr>
          <w:rFonts w:eastAsia="Calibri"/>
          <w:szCs w:val="22"/>
        </w:rPr>
        <w:t xml:space="preserve"> personai nevarēja būt zināma. </w:t>
      </w:r>
      <w:r w:rsidR="003D6DB7">
        <w:rPr>
          <w:rFonts w:eastAsia="Calibri"/>
          <w:szCs w:val="22"/>
        </w:rPr>
        <w:t>Ievērojot minēto, Senāts atzīst, ka n</w:t>
      </w:r>
      <w:r w:rsidRPr="005D3B28">
        <w:rPr>
          <w:rFonts w:eastAsia="Calibri"/>
          <w:szCs w:val="22"/>
        </w:rPr>
        <w:t xml:space="preserve">o </w:t>
      </w:r>
      <w:proofErr w:type="gramStart"/>
      <w:r w:rsidR="003D6DB7" w:rsidRPr="006B6408">
        <w:rPr>
          <w:rFonts w:eastAsia="Calibri"/>
          <w:szCs w:val="22"/>
        </w:rPr>
        <w:t>2020.gada</w:t>
      </w:r>
      <w:proofErr w:type="gramEnd"/>
      <w:r w:rsidR="003D6DB7" w:rsidRPr="006B6408">
        <w:rPr>
          <w:rFonts w:eastAsia="Calibri"/>
          <w:szCs w:val="22"/>
        </w:rPr>
        <w:t xml:space="preserve"> 11.jūnija likuma </w:t>
      </w:r>
      <w:r w:rsidR="003D6DB7">
        <w:rPr>
          <w:rFonts w:eastAsia="Calibri"/>
          <w:szCs w:val="22"/>
        </w:rPr>
        <w:t>„</w:t>
      </w:r>
      <w:r w:rsidR="003D6DB7" w:rsidRPr="006B6408">
        <w:rPr>
          <w:rFonts w:eastAsia="Calibri"/>
          <w:szCs w:val="22"/>
        </w:rPr>
        <w:t>Grozījumi Krimināllikumā”</w:t>
      </w:r>
      <w:r w:rsidR="003D6DB7">
        <w:rPr>
          <w:rFonts w:eastAsia="Calibri"/>
          <w:szCs w:val="22"/>
        </w:rPr>
        <w:t xml:space="preserve"> </w:t>
      </w:r>
      <w:r w:rsidRPr="005D3B28">
        <w:rPr>
          <w:rFonts w:eastAsia="Calibri"/>
          <w:szCs w:val="22"/>
        </w:rPr>
        <w:t>spēkā stāšanās</w:t>
      </w:r>
      <w:r w:rsidR="003D6DB7">
        <w:rPr>
          <w:rFonts w:eastAsia="Calibri"/>
          <w:szCs w:val="22"/>
        </w:rPr>
        <w:t xml:space="preserve"> dienas, kad</w:t>
      </w:r>
      <w:r w:rsidR="003D6DB7" w:rsidRPr="002C1673">
        <w:rPr>
          <w:rFonts w:asciiTheme="majorBidi" w:hAnsiTheme="majorBidi" w:cstheme="majorBidi"/>
          <w:color w:val="000000" w:themeColor="text1"/>
        </w:rPr>
        <w:t xml:space="preserve"> Krimināllikuma </w:t>
      </w:r>
      <w:r w:rsidR="003D6DB7" w:rsidRPr="002C1673">
        <w:rPr>
          <w:rFonts w:asciiTheme="majorBidi" w:hAnsiTheme="majorBidi" w:cstheme="majorBidi"/>
          <w:color w:val="000000" w:themeColor="text1"/>
          <w:shd w:val="clear" w:color="auto" w:fill="FFFFFF"/>
        </w:rPr>
        <w:t>48.panta pirmā daļa tika papildināta ar 17.punktu</w:t>
      </w:r>
      <w:r w:rsidRPr="005D3B28">
        <w:rPr>
          <w:rFonts w:eastAsia="Calibri"/>
          <w:szCs w:val="22"/>
        </w:rPr>
        <w:t xml:space="preserve">, noziedzīgu nodarījumu izdarījušajai personai ir pienākums sniegt patiesu liecību, ja tā ir izvēlējusies </w:t>
      </w:r>
      <w:r w:rsidR="001401A5">
        <w:rPr>
          <w:rFonts w:eastAsia="Calibri"/>
          <w:szCs w:val="22"/>
        </w:rPr>
        <w:t>liecināt</w:t>
      </w:r>
      <w:r w:rsidRPr="005D3B28">
        <w:rPr>
          <w:rFonts w:eastAsia="Calibri"/>
          <w:szCs w:val="22"/>
        </w:rPr>
        <w:t>.</w:t>
      </w:r>
    </w:p>
    <w:p w14:paraId="33C96289" w14:textId="5ABB27CD" w:rsidR="00573A50" w:rsidRPr="006551A8" w:rsidRDefault="00573A50" w:rsidP="00573A50">
      <w:pPr>
        <w:spacing w:line="276" w:lineRule="auto"/>
        <w:ind w:firstLine="720"/>
        <w:jc w:val="both"/>
        <w:rPr>
          <w:color w:val="FFFFFF" w:themeColor="background1"/>
        </w:rPr>
      </w:pPr>
      <w:r>
        <w:rPr>
          <w:rFonts w:eastAsia="Calibri"/>
          <w:szCs w:val="22"/>
        </w:rPr>
        <w:t>Turklāt Senāts jau iepriekš norādījis, ka K</w:t>
      </w:r>
      <w:r>
        <w:t xml:space="preserve">rimināllikuma </w:t>
      </w:r>
      <w:proofErr w:type="gramStart"/>
      <w:r>
        <w:t>48.panta</w:t>
      </w:r>
      <w:proofErr w:type="gramEnd"/>
      <w:r>
        <w:t xml:space="preserve"> pirmās daļas 17.punktā paredzētais atbildību pastiprinošais apstāklis nav saistāms ar noziedzīgā nodarījuma izdarīšanas brīdi, bet gan ar personas vēlāku rīcību, sniedzot apzināti nepatiesu liecību. Taču, piemērojot šo atbildību pastiprinošo apstākli, jāpārliecinās, vai sniegtā liecība ir apzināti nepatiesa un vai pirms pratināšanas atbilstoši Kriminālprocesa likuma </w:t>
      </w:r>
      <w:proofErr w:type="gramStart"/>
      <w:r>
        <w:t>150.panta</w:t>
      </w:r>
      <w:proofErr w:type="gramEnd"/>
      <w:r>
        <w:t xml:space="preserve"> 4.punktā noteiktajam persona, kurai ir tiesības uz aizstāvību, ir tikusi informēta par apzināti nepatiesas liecības sniegšanas sekām, un tādējādi apsūdzētais būtu varējis paredzēt, ka apzināti nepatiesas liecības sniegšana var negatīvi ietekmēt sodu par viņam inkriminēto noziedzīgo nodarījumu.</w:t>
      </w:r>
      <w:r w:rsidRPr="00573A50">
        <w:rPr>
          <w:rFonts w:eastAsia="Calibri"/>
          <w:szCs w:val="22"/>
        </w:rPr>
        <w:t xml:space="preserve"> </w:t>
      </w:r>
      <w:r>
        <w:rPr>
          <w:rFonts w:eastAsia="Calibri"/>
          <w:szCs w:val="22"/>
        </w:rPr>
        <w:t>(</w:t>
      </w:r>
      <w:r w:rsidRPr="0060361A">
        <w:rPr>
          <w:i/>
          <w:iCs/>
        </w:rPr>
        <w:t xml:space="preserve">sk. Augstākās tiesas </w:t>
      </w:r>
      <w:r>
        <w:rPr>
          <w:i/>
          <w:iCs/>
        </w:rPr>
        <w:t>2022.gada 3.marta</w:t>
      </w:r>
      <w:r w:rsidRPr="0060361A">
        <w:rPr>
          <w:i/>
          <w:iCs/>
        </w:rPr>
        <w:t xml:space="preserve"> lēmumu lietā Nr.</w:t>
      </w:r>
      <w:r w:rsidR="00277F95">
        <w:rPr>
          <w:i/>
          <w:iCs/>
        </w:rPr>
        <w:t> </w:t>
      </w:r>
      <w:r w:rsidRPr="000A1CDE">
        <w:rPr>
          <w:i/>
          <w:iCs/>
        </w:rPr>
        <w:t>SKK</w:t>
      </w:r>
      <w:r>
        <w:rPr>
          <w:i/>
          <w:iCs/>
        </w:rPr>
        <w:t>-72</w:t>
      </w:r>
      <w:r w:rsidRPr="000A1CDE">
        <w:rPr>
          <w:i/>
          <w:iCs/>
        </w:rPr>
        <w:t>/20</w:t>
      </w:r>
      <w:r>
        <w:rPr>
          <w:i/>
          <w:iCs/>
        </w:rPr>
        <w:t>22 (11905013616)</w:t>
      </w:r>
      <w:r>
        <w:rPr>
          <w:rFonts w:eastAsia="Calibri"/>
          <w:szCs w:val="22"/>
        </w:rPr>
        <w:t>)</w:t>
      </w:r>
      <w:r w:rsidRPr="000A1CDE">
        <w:rPr>
          <w:rFonts w:eastAsia="Calibri"/>
          <w:szCs w:val="22"/>
        </w:rPr>
        <w:t>.</w:t>
      </w:r>
    </w:p>
    <w:p w14:paraId="4FCBAB95" w14:textId="4F275D0F" w:rsidR="00C919B5" w:rsidRDefault="005D3B28" w:rsidP="00FD5ED6">
      <w:pPr>
        <w:spacing w:line="276" w:lineRule="auto"/>
        <w:ind w:firstLine="720"/>
        <w:jc w:val="both"/>
        <w:rPr>
          <w:rFonts w:eastAsia="Calibri"/>
          <w:szCs w:val="22"/>
        </w:rPr>
      </w:pPr>
      <w:r>
        <w:rPr>
          <w:rFonts w:eastAsia="Calibri"/>
          <w:szCs w:val="22"/>
        </w:rPr>
        <w:t>[</w:t>
      </w:r>
      <w:r w:rsidR="00967A3A">
        <w:rPr>
          <w:rFonts w:eastAsia="Calibri"/>
          <w:szCs w:val="22"/>
        </w:rPr>
        <w:t>5</w:t>
      </w:r>
      <w:r>
        <w:rPr>
          <w:rFonts w:eastAsia="Calibri"/>
          <w:szCs w:val="22"/>
        </w:rPr>
        <w:t>.</w:t>
      </w:r>
      <w:r w:rsidR="00967A3A">
        <w:rPr>
          <w:rFonts w:eastAsia="Calibri"/>
          <w:szCs w:val="22"/>
        </w:rPr>
        <w:t>3</w:t>
      </w:r>
      <w:r w:rsidRPr="005D3B28">
        <w:rPr>
          <w:rFonts w:eastAsia="Calibri"/>
          <w:szCs w:val="22"/>
        </w:rPr>
        <w:t xml:space="preserve">] </w:t>
      </w:r>
      <w:r w:rsidR="003D6DB7">
        <w:rPr>
          <w:rFonts w:eastAsia="Calibri"/>
          <w:szCs w:val="22"/>
        </w:rPr>
        <w:t>Vienlaikus Senāts atzīst, ka a</w:t>
      </w:r>
      <w:r w:rsidR="00335BE0">
        <w:rPr>
          <w:rFonts w:eastAsia="Calibri"/>
          <w:szCs w:val="22"/>
        </w:rPr>
        <w:t>pelācijas instances tiesa pareizi secinājusi</w:t>
      </w:r>
      <w:r w:rsidR="00FD5ED6">
        <w:rPr>
          <w:rFonts w:eastAsia="Calibri"/>
          <w:szCs w:val="22"/>
        </w:rPr>
        <w:t>, ka</w:t>
      </w:r>
      <w:r w:rsidR="00335BE0">
        <w:rPr>
          <w:rFonts w:eastAsia="Calibri"/>
          <w:szCs w:val="22"/>
        </w:rPr>
        <w:t xml:space="preserve"> </w:t>
      </w:r>
      <w:r w:rsidR="00335BE0" w:rsidRPr="00335BE0">
        <w:rPr>
          <w:rFonts w:eastAsia="Calibri"/>
          <w:szCs w:val="22"/>
        </w:rPr>
        <w:t xml:space="preserve">Krimināllikuma </w:t>
      </w:r>
      <w:proofErr w:type="gramStart"/>
      <w:r w:rsidR="00335BE0" w:rsidRPr="00335BE0">
        <w:rPr>
          <w:rFonts w:eastAsia="Calibri"/>
          <w:szCs w:val="22"/>
        </w:rPr>
        <w:t>48.panta</w:t>
      </w:r>
      <w:proofErr w:type="gramEnd"/>
      <w:r w:rsidR="00335BE0" w:rsidRPr="00335BE0">
        <w:rPr>
          <w:rFonts w:eastAsia="Calibri"/>
          <w:szCs w:val="22"/>
        </w:rPr>
        <w:t xml:space="preserve"> pirmās daļas 17.punkts</w:t>
      </w:r>
      <w:r w:rsidR="00FD5ED6">
        <w:rPr>
          <w:rFonts w:eastAsia="Calibri"/>
          <w:szCs w:val="22"/>
        </w:rPr>
        <w:t xml:space="preserve"> nav piemērojams attiecībā uz liecībām, kuras apsūdzētais sniedzis kā aizturētais un aizdomās turētais, jo</w:t>
      </w:r>
      <w:r w:rsidR="00FE008A">
        <w:rPr>
          <w:rFonts w:eastAsia="Calibri"/>
          <w:szCs w:val="22"/>
        </w:rPr>
        <w:t xml:space="preserve"> minētās liecības tika</w:t>
      </w:r>
      <w:r w:rsidR="00FD5ED6">
        <w:rPr>
          <w:rFonts w:eastAsia="Calibri"/>
          <w:szCs w:val="22"/>
        </w:rPr>
        <w:t xml:space="preserve"> sniegtas pirms </w:t>
      </w:r>
      <w:r w:rsidR="00573A50" w:rsidRPr="006B6408">
        <w:rPr>
          <w:rFonts w:eastAsia="Calibri"/>
          <w:szCs w:val="22"/>
        </w:rPr>
        <w:t xml:space="preserve">2020.gada 11.jūnija likuma </w:t>
      </w:r>
      <w:r w:rsidR="00573A50">
        <w:rPr>
          <w:rFonts w:eastAsia="Calibri"/>
          <w:szCs w:val="22"/>
        </w:rPr>
        <w:t>„</w:t>
      </w:r>
      <w:r w:rsidR="00573A50" w:rsidRPr="006B6408">
        <w:rPr>
          <w:rFonts w:eastAsia="Calibri"/>
          <w:szCs w:val="22"/>
        </w:rPr>
        <w:t>Grozījumi Krimināllikumā”</w:t>
      </w:r>
      <w:r w:rsidR="00573A50">
        <w:rPr>
          <w:rFonts w:eastAsia="Calibri"/>
          <w:szCs w:val="22"/>
        </w:rPr>
        <w:t xml:space="preserve"> </w:t>
      </w:r>
      <w:r w:rsidR="00FD5ED6">
        <w:rPr>
          <w:rFonts w:eastAsia="Calibri"/>
          <w:szCs w:val="22"/>
        </w:rPr>
        <w:t xml:space="preserve">spēkā stāšanās 2020.gada 6.jūlijā. Tomēr attiecībā </w:t>
      </w:r>
      <w:r w:rsidR="00FD5ED6" w:rsidRPr="00FD5ED6">
        <w:rPr>
          <w:rFonts w:eastAsia="Calibri"/>
          <w:szCs w:val="22"/>
        </w:rPr>
        <w:t>uz liecībām, kuras apsūdzētais sniedzis</w:t>
      </w:r>
      <w:r w:rsidR="005E4ECB">
        <w:rPr>
          <w:rFonts w:eastAsia="Calibri"/>
          <w:szCs w:val="22"/>
        </w:rPr>
        <w:t xml:space="preserve"> sākot </w:t>
      </w:r>
      <w:r w:rsidR="00277F95">
        <w:rPr>
          <w:rFonts w:eastAsia="Calibri"/>
          <w:szCs w:val="22"/>
        </w:rPr>
        <w:t>ar</w:t>
      </w:r>
      <w:r w:rsidR="00FD5ED6">
        <w:rPr>
          <w:rFonts w:eastAsia="Calibri"/>
          <w:szCs w:val="22"/>
        </w:rPr>
        <w:t xml:space="preserve"> </w:t>
      </w:r>
      <w:r w:rsidR="00573A50">
        <w:rPr>
          <w:rFonts w:eastAsia="Calibri"/>
          <w:szCs w:val="22"/>
        </w:rPr>
        <w:t>2020.gada 6.jūlij</w:t>
      </w:r>
      <w:r w:rsidR="00277F95">
        <w:rPr>
          <w:rFonts w:eastAsia="Calibri"/>
          <w:szCs w:val="22"/>
        </w:rPr>
        <w:t>u</w:t>
      </w:r>
      <w:r w:rsidR="00FD5ED6">
        <w:rPr>
          <w:rFonts w:eastAsia="Calibri"/>
          <w:szCs w:val="22"/>
        </w:rPr>
        <w:t xml:space="preserve">, </w:t>
      </w:r>
      <w:r w:rsidR="00FD5ED6" w:rsidRPr="00FD5ED6">
        <w:rPr>
          <w:rFonts w:eastAsia="Calibri"/>
          <w:szCs w:val="22"/>
        </w:rPr>
        <w:t>Krimināllikuma 48.</w:t>
      </w:r>
      <w:r w:rsidR="00FD5ED6">
        <w:rPr>
          <w:rFonts w:eastAsia="Calibri"/>
          <w:szCs w:val="22"/>
        </w:rPr>
        <w:t>panta pirmās daļas 17.punkts ir</w:t>
      </w:r>
      <w:r w:rsidR="00FD5ED6" w:rsidRPr="00FD5ED6">
        <w:rPr>
          <w:rFonts w:eastAsia="Calibri"/>
          <w:szCs w:val="22"/>
        </w:rPr>
        <w:t xml:space="preserve"> piemērojams</w:t>
      </w:r>
      <w:r w:rsidR="005E4ECB">
        <w:rPr>
          <w:rFonts w:eastAsia="Calibri"/>
          <w:szCs w:val="22"/>
        </w:rPr>
        <w:t>, ja apsūdzētā sniegtās liecības ir apzināti nepatiesas</w:t>
      </w:r>
      <w:r w:rsidR="000A1CDE">
        <w:rPr>
          <w:rFonts w:eastAsia="Calibri"/>
          <w:szCs w:val="22"/>
        </w:rPr>
        <w:t xml:space="preserve"> un ietekmējušas lietas izspriešanu</w:t>
      </w:r>
      <w:r w:rsidR="00FD5ED6">
        <w:rPr>
          <w:rFonts w:eastAsia="Calibri"/>
          <w:szCs w:val="22"/>
        </w:rPr>
        <w:t>.</w:t>
      </w:r>
      <w:r>
        <w:rPr>
          <w:rFonts w:eastAsia="Calibri"/>
          <w:szCs w:val="22"/>
        </w:rPr>
        <w:t xml:space="preserve"> </w:t>
      </w:r>
    </w:p>
    <w:p w14:paraId="72B3F849" w14:textId="50A8B19C" w:rsidR="00F127D3" w:rsidRPr="008420AA" w:rsidRDefault="00C919B5" w:rsidP="00573A50">
      <w:pPr>
        <w:spacing w:line="276" w:lineRule="auto"/>
        <w:ind w:firstLine="720"/>
        <w:jc w:val="both"/>
        <w:rPr>
          <w:rFonts w:eastAsia="Calibri"/>
          <w:szCs w:val="22"/>
        </w:rPr>
      </w:pPr>
      <w:r w:rsidRPr="008420AA">
        <w:rPr>
          <w:rFonts w:eastAsia="Calibri"/>
          <w:szCs w:val="22"/>
        </w:rPr>
        <w:t>[</w:t>
      </w:r>
      <w:r w:rsidR="00967A3A" w:rsidRPr="008420AA">
        <w:rPr>
          <w:rFonts w:eastAsia="Calibri"/>
          <w:szCs w:val="22"/>
        </w:rPr>
        <w:t>5.4</w:t>
      </w:r>
      <w:r w:rsidRPr="008420AA">
        <w:rPr>
          <w:rFonts w:eastAsia="Calibri"/>
          <w:szCs w:val="22"/>
        </w:rPr>
        <w:t>]</w:t>
      </w:r>
      <w:r w:rsidR="003E6923" w:rsidRPr="008420AA">
        <w:rPr>
          <w:rFonts w:eastAsia="Calibri"/>
          <w:szCs w:val="22"/>
        </w:rPr>
        <w:t xml:space="preserve"> </w:t>
      </w:r>
      <w:r w:rsidRPr="008420AA">
        <w:rPr>
          <w:rFonts w:eastAsia="Calibri"/>
          <w:szCs w:val="22"/>
        </w:rPr>
        <w:t>Senāts atzīst, ka apelācijas instances tiesa</w:t>
      </w:r>
      <w:r w:rsidR="009C0A03">
        <w:rPr>
          <w:rFonts w:eastAsia="Calibri"/>
          <w:szCs w:val="22"/>
        </w:rPr>
        <w:t>,</w:t>
      </w:r>
      <w:r w:rsidR="008420AA" w:rsidRPr="008420AA">
        <w:rPr>
          <w:rFonts w:eastAsia="Calibri"/>
          <w:szCs w:val="22"/>
        </w:rPr>
        <w:t xml:space="preserve"> nepareizi piemērojot Krimināllikuma </w:t>
      </w:r>
      <w:proofErr w:type="gramStart"/>
      <w:r w:rsidR="008420AA" w:rsidRPr="008420AA">
        <w:rPr>
          <w:rFonts w:eastAsia="Calibri"/>
          <w:szCs w:val="22"/>
        </w:rPr>
        <w:t>48.panta</w:t>
      </w:r>
      <w:proofErr w:type="gramEnd"/>
      <w:r w:rsidR="008420AA" w:rsidRPr="008420AA">
        <w:rPr>
          <w:rFonts w:eastAsia="Calibri"/>
          <w:szCs w:val="22"/>
        </w:rPr>
        <w:t xml:space="preserve"> pirmās daļas 17.punktu, pieļāvusi </w:t>
      </w:r>
      <w:r w:rsidR="00AC4FB8" w:rsidRPr="008420AA">
        <w:rPr>
          <w:rFonts w:eastAsia="Calibri"/>
          <w:szCs w:val="22"/>
        </w:rPr>
        <w:t xml:space="preserve">Kriminālprocesa likuma 574.panta 1.punktā </w:t>
      </w:r>
      <w:r w:rsidR="00006B58">
        <w:rPr>
          <w:rFonts w:eastAsia="Calibri"/>
          <w:szCs w:val="22"/>
        </w:rPr>
        <w:t>norādīto</w:t>
      </w:r>
      <w:r w:rsidR="00AC4FB8" w:rsidRPr="008420AA">
        <w:rPr>
          <w:rFonts w:eastAsia="Calibri"/>
          <w:szCs w:val="22"/>
        </w:rPr>
        <w:t xml:space="preserve"> pārkāpumu</w:t>
      </w:r>
      <w:r w:rsidR="008420AA" w:rsidRPr="008420AA">
        <w:rPr>
          <w:rFonts w:eastAsia="Calibri"/>
          <w:szCs w:val="22"/>
        </w:rPr>
        <w:t xml:space="preserve">. </w:t>
      </w:r>
    </w:p>
    <w:p w14:paraId="617F16E0" w14:textId="77777777" w:rsidR="005E619B" w:rsidRDefault="005E619B" w:rsidP="00040C3F">
      <w:pPr>
        <w:spacing w:line="276" w:lineRule="auto"/>
        <w:ind w:firstLine="720"/>
        <w:jc w:val="both"/>
        <w:rPr>
          <w:rFonts w:eastAsia="Calibri"/>
          <w:szCs w:val="22"/>
        </w:rPr>
      </w:pPr>
    </w:p>
    <w:p w14:paraId="21FDC1DE" w14:textId="4976E14C" w:rsidR="00A966A2" w:rsidRPr="00573A50" w:rsidRDefault="00CF61EF" w:rsidP="00A966A2">
      <w:pPr>
        <w:spacing w:line="276" w:lineRule="auto"/>
        <w:ind w:firstLine="720"/>
        <w:jc w:val="both"/>
      </w:pPr>
      <w:r w:rsidRPr="00573A50">
        <w:rPr>
          <w:rFonts w:eastAsia="Calibri"/>
          <w:szCs w:val="22"/>
        </w:rPr>
        <w:t>[</w:t>
      </w:r>
      <w:r w:rsidR="00587E1E">
        <w:rPr>
          <w:rFonts w:eastAsia="Calibri"/>
          <w:szCs w:val="22"/>
        </w:rPr>
        <w:t>6</w:t>
      </w:r>
      <w:r w:rsidRPr="00573A50">
        <w:rPr>
          <w:rFonts w:eastAsia="Calibri"/>
          <w:szCs w:val="22"/>
        </w:rPr>
        <w:t xml:space="preserve">] </w:t>
      </w:r>
      <w:r w:rsidR="005E619B" w:rsidRPr="00573A50">
        <w:t xml:space="preserve">Ievērojot to, ka apelācijas instances tiesas lēmums tiek atcelts daļā par apsūdzētajam </w:t>
      </w:r>
      <w:r w:rsidR="007B6A50">
        <w:t>[pers. A]</w:t>
      </w:r>
      <w:r w:rsidR="004704B3">
        <w:t xml:space="preserve"> </w:t>
      </w:r>
      <w:proofErr w:type="gramStart"/>
      <w:r w:rsidR="005E619B" w:rsidRPr="00573A50">
        <w:t>noteikto sodu</w:t>
      </w:r>
      <w:proofErr w:type="gramEnd"/>
      <w:r w:rsidR="005E619B" w:rsidRPr="00573A50">
        <w:t xml:space="preserve"> un lieta atceltajā daļā apelācijas instances tiesā jāiztiesā no jauna atbilstoši Kriminālprocesa likuma 53.nodaļas prasībām, kasācijas protesta argumenti </w:t>
      </w:r>
      <w:r w:rsidR="00A966A2" w:rsidRPr="00573A50">
        <w:t xml:space="preserve">par </w:t>
      </w:r>
      <w:r w:rsidR="00BB6BC4">
        <w:t xml:space="preserve">tiesas noteiktā soda atbilstību Krimināllikuma 35. un 46.pantam </w:t>
      </w:r>
      <w:r w:rsidR="00A966A2" w:rsidRPr="00573A50">
        <w:t xml:space="preserve">netiek vērtēti. </w:t>
      </w:r>
    </w:p>
    <w:p w14:paraId="559BAF4B" w14:textId="77777777" w:rsidR="00A966A2" w:rsidRPr="00573A50" w:rsidRDefault="00A966A2" w:rsidP="00A966A2">
      <w:pPr>
        <w:spacing w:line="276" w:lineRule="auto"/>
        <w:ind w:firstLine="720"/>
        <w:jc w:val="both"/>
      </w:pPr>
    </w:p>
    <w:p w14:paraId="0A456E0C" w14:textId="55F8E2D5" w:rsidR="006551A8" w:rsidRDefault="006551A8" w:rsidP="00A966A2">
      <w:pPr>
        <w:spacing w:line="276" w:lineRule="auto"/>
        <w:ind w:firstLine="720"/>
        <w:jc w:val="both"/>
        <w:rPr>
          <w:rFonts w:eastAsia="Calibri"/>
          <w:color w:val="000000" w:themeColor="text1"/>
        </w:rPr>
      </w:pPr>
      <w:r w:rsidRPr="00697AB3">
        <w:rPr>
          <w:color w:val="000000" w:themeColor="text1"/>
        </w:rPr>
        <w:t>[</w:t>
      </w:r>
      <w:r w:rsidR="00587E1E">
        <w:rPr>
          <w:color w:val="000000" w:themeColor="text1"/>
        </w:rPr>
        <w:t>7</w:t>
      </w:r>
      <w:r w:rsidRPr="00697AB3">
        <w:rPr>
          <w:color w:val="000000" w:themeColor="text1"/>
        </w:rPr>
        <w:t>] </w:t>
      </w:r>
      <w:r>
        <w:t xml:space="preserve">No lietas materiāliem redzams, ka </w:t>
      </w:r>
      <w:r w:rsidR="004704B3">
        <w:t xml:space="preserve">apsūdzētais </w:t>
      </w:r>
      <w:r w:rsidR="007B6A50">
        <w:t>[pers. A]</w:t>
      </w:r>
      <w:r>
        <w:t xml:space="preserve"> </w:t>
      </w:r>
      <w:proofErr w:type="gramStart"/>
      <w:r>
        <w:t>2022.gada</w:t>
      </w:r>
      <w:proofErr w:type="gramEnd"/>
      <w:r>
        <w:t xml:space="preserve"> </w:t>
      </w:r>
      <w:r w:rsidR="007B6A50">
        <w:t>[..]</w:t>
      </w:r>
      <w:r>
        <w:t xml:space="preserve"> atbrīvots pēc soda izciešanas. Ievērojot to, ka </w:t>
      </w:r>
      <w:r w:rsidR="007B6A50">
        <w:t>[pers. A]</w:t>
      </w:r>
      <w:r>
        <w:t xml:space="preserve"> izskatāmajā lietā piespriesto brīvības atņemšanas sodu ir izcietis, Senāts atzīst, ka drošības līdzekļa piemērošanai </w:t>
      </w:r>
      <w:r w:rsidR="004704B3">
        <w:rPr>
          <w:rFonts w:eastAsia="Calibri"/>
          <w:color w:val="000000" w:themeColor="text1"/>
        </w:rPr>
        <w:t>apsūdzētajam</w:t>
      </w:r>
      <w:r w:rsidRPr="00697AB3">
        <w:rPr>
          <w:rFonts w:eastAsia="Calibri"/>
          <w:color w:val="000000" w:themeColor="text1"/>
        </w:rPr>
        <w:t xml:space="preserve"> šajā kriminālprocesa stadijā nav tiesiska pam</w:t>
      </w:r>
      <w:r w:rsidRPr="00D15CD5">
        <w:rPr>
          <w:rFonts w:eastAsia="Calibri"/>
          <w:color w:val="000000" w:themeColor="text1"/>
        </w:rPr>
        <w:t>ata.</w:t>
      </w:r>
    </w:p>
    <w:p w14:paraId="7C92E016" w14:textId="77777777" w:rsidR="0062272C" w:rsidRDefault="0062272C" w:rsidP="0062272C">
      <w:pPr>
        <w:spacing w:before="240" w:after="240" w:line="276" w:lineRule="auto"/>
        <w:jc w:val="center"/>
        <w:rPr>
          <w:rFonts w:eastAsia="Calibri"/>
          <w:b/>
          <w:szCs w:val="22"/>
        </w:rPr>
      </w:pPr>
      <w:r>
        <w:rPr>
          <w:rFonts w:eastAsia="Calibri"/>
          <w:b/>
          <w:szCs w:val="22"/>
        </w:rPr>
        <w:t>Rezolutīvā daļa</w:t>
      </w:r>
    </w:p>
    <w:p w14:paraId="29ABB94F" w14:textId="5429529E" w:rsidR="0062272C" w:rsidRDefault="00332B42" w:rsidP="0062272C">
      <w:pPr>
        <w:autoSpaceDE w:val="0"/>
        <w:autoSpaceDN w:val="0"/>
        <w:adjustRightInd w:val="0"/>
        <w:spacing w:line="276" w:lineRule="auto"/>
        <w:ind w:firstLine="709"/>
        <w:jc w:val="both"/>
        <w:rPr>
          <w:rFonts w:eastAsia="Calibri"/>
        </w:rPr>
      </w:pPr>
      <w:r w:rsidRPr="00332B42">
        <w:rPr>
          <w:rFonts w:eastAsia="Calibri"/>
        </w:rPr>
        <w:t xml:space="preserve">Pamatojoties uz Kriminālprocesa likuma 585. un </w:t>
      </w:r>
      <w:proofErr w:type="gramStart"/>
      <w:r w:rsidRPr="00332B42">
        <w:rPr>
          <w:rFonts w:eastAsia="Calibri"/>
        </w:rPr>
        <w:t>587.pant</w:t>
      </w:r>
      <w:r w:rsidR="006B5C2C">
        <w:rPr>
          <w:rFonts w:eastAsia="Calibri"/>
        </w:rPr>
        <w:t>a</w:t>
      </w:r>
      <w:proofErr w:type="gramEnd"/>
      <w:r w:rsidR="006B5C2C">
        <w:rPr>
          <w:rFonts w:eastAsia="Calibri"/>
        </w:rPr>
        <w:t xml:space="preserve"> pirmās daļas 2.punktu</w:t>
      </w:r>
      <w:r w:rsidRPr="00332B42">
        <w:rPr>
          <w:rFonts w:eastAsia="Calibri"/>
        </w:rPr>
        <w:t>, tiesa</w:t>
      </w:r>
    </w:p>
    <w:p w14:paraId="3BF0D55B" w14:textId="6AEF7066" w:rsidR="0062272C" w:rsidRDefault="0062272C" w:rsidP="0062272C">
      <w:pPr>
        <w:spacing w:before="240" w:after="240" w:line="276" w:lineRule="auto"/>
        <w:jc w:val="center"/>
        <w:rPr>
          <w:rFonts w:eastAsia="Calibri"/>
          <w:b/>
          <w:szCs w:val="22"/>
        </w:rPr>
      </w:pPr>
      <w:r>
        <w:rPr>
          <w:rFonts w:eastAsia="Calibri"/>
          <w:b/>
          <w:szCs w:val="22"/>
        </w:rPr>
        <w:t>nolēma:</w:t>
      </w:r>
    </w:p>
    <w:p w14:paraId="440C50F7" w14:textId="66EC1EDD" w:rsidR="00332B42" w:rsidRPr="000E734E" w:rsidRDefault="00332B42" w:rsidP="003A44C1">
      <w:pPr>
        <w:spacing w:line="276" w:lineRule="auto"/>
        <w:ind w:firstLine="720"/>
        <w:jc w:val="both"/>
        <w:rPr>
          <w:rFonts w:eastAsiaTheme="minorHAnsi"/>
          <w:szCs w:val="22"/>
        </w:rPr>
      </w:pPr>
      <w:r w:rsidRPr="000E734E">
        <w:rPr>
          <w:rFonts w:eastAsiaTheme="minorHAnsi"/>
          <w:szCs w:val="22"/>
        </w:rPr>
        <w:t xml:space="preserve">atcelt </w:t>
      </w:r>
      <w:r w:rsidR="007B6A50">
        <w:rPr>
          <w:rFonts w:eastAsiaTheme="minorHAnsi"/>
          <w:szCs w:val="22"/>
        </w:rPr>
        <w:t>[..]</w:t>
      </w:r>
      <w:r w:rsidR="00A97DE0" w:rsidRPr="000E734E">
        <w:rPr>
          <w:rFonts w:eastAsiaTheme="minorHAnsi"/>
          <w:szCs w:val="22"/>
        </w:rPr>
        <w:t xml:space="preserve"> apgabaltiesas </w:t>
      </w:r>
      <w:proofErr w:type="gramStart"/>
      <w:r w:rsidR="00A97DE0" w:rsidRPr="000E734E">
        <w:rPr>
          <w:rFonts w:eastAsiaTheme="minorHAnsi"/>
          <w:szCs w:val="22"/>
        </w:rPr>
        <w:t>2021.gada</w:t>
      </w:r>
      <w:proofErr w:type="gramEnd"/>
      <w:r w:rsidR="00A97DE0" w:rsidRPr="000E734E">
        <w:rPr>
          <w:rFonts w:eastAsiaTheme="minorHAnsi"/>
          <w:szCs w:val="22"/>
        </w:rPr>
        <w:t xml:space="preserve"> </w:t>
      </w:r>
      <w:r w:rsidR="007B6A50">
        <w:rPr>
          <w:rFonts w:eastAsiaTheme="minorHAnsi"/>
          <w:szCs w:val="22"/>
        </w:rPr>
        <w:t>[..]</w:t>
      </w:r>
      <w:r w:rsidR="00A97DE0" w:rsidRPr="000E734E">
        <w:rPr>
          <w:rFonts w:eastAsiaTheme="minorHAnsi"/>
          <w:szCs w:val="22"/>
        </w:rPr>
        <w:t xml:space="preserve"> lēmumu daļā par </w:t>
      </w:r>
      <w:r w:rsidR="007B6A50">
        <w:rPr>
          <w:rFonts w:eastAsiaTheme="minorHAnsi"/>
          <w:szCs w:val="22"/>
        </w:rPr>
        <w:t>[pers. A]</w:t>
      </w:r>
      <w:r w:rsidR="00A97DE0" w:rsidRPr="000E734E">
        <w:rPr>
          <w:rFonts w:eastAsiaTheme="minorHAnsi"/>
          <w:szCs w:val="22"/>
        </w:rPr>
        <w:t xml:space="preserve"> noteikto sodu.</w:t>
      </w:r>
    </w:p>
    <w:p w14:paraId="42E1E41F" w14:textId="5E71EDC1" w:rsidR="00A97DE0" w:rsidRDefault="00A97DE0" w:rsidP="003A44C1">
      <w:pPr>
        <w:spacing w:line="276" w:lineRule="auto"/>
        <w:ind w:firstLine="720"/>
        <w:jc w:val="both"/>
        <w:rPr>
          <w:rFonts w:eastAsiaTheme="minorHAnsi"/>
          <w:szCs w:val="22"/>
        </w:rPr>
      </w:pPr>
      <w:r w:rsidRPr="000E734E">
        <w:rPr>
          <w:rFonts w:eastAsiaTheme="minorHAnsi"/>
          <w:szCs w:val="22"/>
        </w:rPr>
        <w:t xml:space="preserve">Atceltajā daļā lietu nosūtīt jaunai izskatīšanai </w:t>
      </w:r>
      <w:r w:rsidR="007B6A50">
        <w:rPr>
          <w:rFonts w:eastAsiaTheme="minorHAnsi"/>
          <w:szCs w:val="22"/>
        </w:rPr>
        <w:t>[..]</w:t>
      </w:r>
      <w:r w:rsidR="00E9677E">
        <w:rPr>
          <w:rFonts w:eastAsiaTheme="minorHAnsi"/>
          <w:szCs w:val="22"/>
        </w:rPr>
        <w:t xml:space="preserve"> apgabaltiesā</w:t>
      </w:r>
      <w:r w:rsidR="001370C5">
        <w:rPr>
          <w:rFonts w:eastAsiaTheme="minorHAnsi"/>
          <w:szCs w:val="22"/>
        </w:rPr>
        <w:t>.</w:t>
      </w:r>
    </w:p>
    <w:p w14:paraId="1727DEDC" w14:textId="6ECD0E5F" w:rsidR="00B75DA9" w:rsidRDefault="00E9677E" w:rsidP="003A44C1">
      <w:pPr>
        <w:spacing w:line="276" w:lineRule="auto"/>
        <w:ind w:firstLine="720"/>
        <w:jc w:val="both"/>
        <w:rPr>
          <w:color w:val="000000" w:themeColor="text1"/>
        </w:rPr>
      </w:pPr>
      <w:r w:rsidRPr="00873625">
        <w:rPr>
          <w:color w:val="000000" w:themeColor="text1"/>
        </w:rPr>
        <w:t xml:space="preserve">Pārējā daļā </w:t>
      </w:r>
      <w:r w:rsidR="007B6A50">
        <w:rPr>
          <w:rFonts w:eastAsiaTheme="minorHAnsi"/>
          <w:szCs w:val="22"/>
        </w:rPr>
        <w:t>[..]</w:t>
      </w:r>
      <w:r w:rsidRPr="000E734E">
        <w:rPr>
          <w:rFonts w:eastAsiaTheme="minorHAnsi"/>
          <w:szCs w:val="22"/>
        </w:rPr>
        <w:t xml:space="preserve"> apgabaltiesas </w:t>
      </w:r>
      <w:proofErr w:type="gramStart"/>
      <w:r w:rsidRPr="000E734E">
        <w:rPr>
          <w:rFonts w:eastAsiaTheme="minorHAnsi"/>
          <w:szCs w:val="22"/>
        </w:rPr>
        <w:t>2021.gada</w:t>
      </w:r>
      <w:proofErr w:type="gramEnd"/>
      <w:r w:rsidRPr="000E734E">
        <w:rPr>
          <w:rFonts w:eastAsiaTheme="minorHAnsi"/>
          <w:szCs w:val="22"/>
        </w:rPr>
        <w:t xml:space="preserve"> </w:t>
      </w:r>
      <w:r w:rsidR="007B6A50">
        <w:rPr>
          <w:rFonts w:eastAsiaTheme="minorHAnsi"/>
          <w:szCs w:val="22"/>
        </w:rPr>
        <w:t>[..]</w:t>
      </w:r>
      <w:r w:rsidRPr="000E734E">
        <w:rPr>
          <w:rFonts w:eastAsiaTheme="minorHAnsi"/>
          <w:szCs w:val="22"/>
        </w:rPr>
        <w:t xml:space="preserve"> lēmumu </w:t>
      </w:r>
      <w:r w:rsidRPr="00873625">
        <w:rPr>
          <w:color w:val="000000" w:themeColor="text1"/>
        </w:rPr>
        <w:t>atstāt negrozītu.</w:t>
      </w:r>
    </w:p>
    <w:p w14:paraId="7134E809" w14:textId="4BAD35F1" w:rsidR="003B7DC1" w:rsidRPr="007B6A50" w:rsidRDefault="00332B42" w:rsidP="003A44C1">
      <w:pPr>
        <w:spacing w:line="276" w:lineRule="auto"/>
        <w:ind w:firstLine="720"/>
        <w:jc w:val="both"/>
        <w:rPr>
          <w:rFonts w:eastAsiaTheme="minorHAnsi"/>
          <w:szCs w:val="22"/>
        </w:rPr>
      </w:pPr>
      <w:r w:rsidRPr="000E734E">
        <w:rPr>
          <w:rFonts w:eastAsiaTheme="minorHAnsi"/>
          <w:szCs w:val="22"/>
        </w:rPr>
        <w:t>Lēmums nav pārsūdzams.</w:t>
      </w:r>
    </w:p>
    <w:sectPr w:rsidR="003B7DC1" w:rsidRPr="007B6A50" w:rsidSect="00DA033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0A38" w14:textId="77777777" w:rsidR="0013166A" w:rsidRDefault="0013166A" w:rsidP="00EB1E8A">
      <w:r>
        <w:separator/>
      </w:r>
    </w:p>
  </w:endnote>
  <w:endnote w:type="continuationSeparator" w:id="0">
    <w:p w14:paraId="2FCBE486" w14:textId="77777777" w:rsidR="0013166A" w:rsidRDefault="0013166A" w:rsidP="00EB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51499"/>
      <w:docPartObj>
        <w:docPartGallery w:val="Page Numbers (Bottom of Page)"/>
        <w:docPartUnique/>
      </w:docPartObj>
    </w:sdtPr>
    <w:sdtEndPr>
      <w:rPr>
        <w:sz w:val="22"/>
        <w:szCs w:val="22"/>
      </w:rPr>
    </w:sdtEndPr>
    <w:sdtContent>
      <w:sdt>
        <w:sdtPr>
          <w:id w:val="1728636285"/>
          <w:docPartObj>
            <w:docPartGallery w:val="Page Numbers (Top of Page)"/>
            <w:docPartUnique/>
          </w:docPartObj>
        </w:sdtPr>
        <w:sdtEndPr>
          <w:rPr>
            <w:sz w:val="22"/>
            <w:szCs w:val="22"/>
          </w:rPr>
        </w:sdtEndPr>
        <w:sdtContent>
          <w:p w14:paraId="63B31C31" w14:textId="2BF3B2E0" w:rsidR="00250F9D" w:rsidRDefault="00250F9D" w:rsidP="00040C3F">
            <w:pPr>
              <w:pStyle w:val="Footer"/>
              <w:jc w:val="center"/>
            </w:pPr>
            <w:r w:rsidRPr="00EB1E8A">
              <w:rPr>
                <w:sz w:val="22"/>
                <w:szCs w:val="22"/>
              </w:rPr>
              <w:fldChar w:fldCharType="begin"/>
            </w:r>
            <w:r w:rsidRPr="00EB1E8A">
              <w:rPr>
                <w:sz w:val="22"/>
                <w:szCs w:val="22"/>
              </w:rPr>
              <w:instrText xml:space="preserve"> PAGE </w:instrText>
            </w:r>
            <w:r w:rsidRPr="00EB1E8A">
              <w:rPr>
                <w:sz w:val="22"/>
                <w:szCs w:val="22"/>
              </w:rPr>
              <w:fldChar w:fldCharType="separate"/>
            </w:r>
            <w:r w:rsidR="00040C3F">
              <w:rPr>
                <w:noProof/>
                <w:sz w:val="22"/>
                <w:szCs w:val="22"/>
              </w:rPr>
              <w:t>4</w:t>
            </w:r>
            <w:r w:rsidRPr="00EB1E8A">
              <w:rPr>
                <w:sz w:val="22"/>
                <w:szCs w:val="22"/>
              </w:rPr>
              <w:fldChar w:fldCharType="end"/>
            </w:r>
            <w:r w:rsidRPr="00EB1E8A">
              <w:rPr>
                <w:sz w:val="22"/>
                <w:szCs w:val="22"/>
              </w:rPr>
              <w:t xml:space="preserve"> no </w:t>
            </w:r>
            <w:r w:rsidRPr="00EB1E8A">
              <w:rPr>
                <w:sz w:val="22"/>
                <w:szCs w:val="22"/>
              </w:rPr>
              <w:fldChar w:fldCharType="begin"/>
            </w:r>
            <w:r w:rsidRPr="00EB1E8A">
              <w:rPr>
                <w:sz w:val="22"/>
                <w:szCs w:val="22"/>
              </w:rPr>
              <w:instrText xml:space="preserve"> NUMPAGES  </w:instrText>
            </w:r>
            <w:r w:rsidRPr="00EB1E8A">
              <w:rPr>
                <w:sz w:val="22"/>
                <w:szCs w:val="22"/>
              </w:rPr>
              <w:fldChar w:fldCharType="separate"/>
            </w:r>
            <w:r w:rsidR="00040C3F">
              <w:rPr>
                <w:noProof/>
                <w:sz w:val="22"/>
                <w:szCs w:val="22"/>
              </w:rPr>
              <w:t>5</w:t>
            </w:r>
            <w:r w:rsidRPr="00EB1E8A">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593C9" w14:textId="77777777" w:rsidR="0013166A" w:rsidRDefault="0013166A" w:rsidP="00EB1E8A">
      <w:r>
        <w:separator/>
      </w:r>
    </w:p>
  </w:footnote>
  <w:footnote w:type="continuationSeparator" w:id="0">
    <w:p w14:paraId="18BC55DA" w14:textId="77777777" w:rsidR="0013166A" w:rsidRDefault="0013166A" w:rsidP="00EB1E8A">
      <w:r>
        <w:continuationSeparator/>
      </w:r>
    </w:p>
  </w:footnote>
  <w:footnote w:id="1">
    <w:p w14:paraId="06AE31B4" w14:textId="56601BCE" w:rsidR="00E769AF" w:rsidRDefault="00E769AF">
      <w:pPr>
        <w:pStyle w:val="FootnoteText"/>
      </w:pPr>
      <w:r>
        <w:rPr>
          <w:rStyle w:val="FootnoteReference"/>
        </w:rPr>
        <w:footnoteRef/>
      </w:r>
      <w:r>
        <w:t xml:space="preserve"> 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2C"/>
    <w:rsid w:val="00000296"/>
    <w:rsid w:val="00006B58"/>
    <w:rsid w:val="00016BF8"/>
    <w:rsid w:val="00023E4E"/>
    <w:rsid w:val="000263BE"/>
    <w:rsid w:val="00027518"/>
    <w:rsid w:val="000304EC"/>
    <w:rsid w:val="00034052"/>
    <w:rsid w:val="000378C3"/>
    <w:rsid w:val="00040C3F"/>
    <w:rsid w:val="00055EDF"/>
    <w:rsid w:val="000601E8"/>
    <w:rsid w:val="00060496"/>
    <w:rsid w:val="00061CD3"/>
    <w:rsid w:val="00063BC6"/>
    <w:rsid w:val="000644E5"/>
    <w:rsid w:val="000769F8"/>
    <w:rsid w:val="00077FD5"/>
    <w:rsid w:val="00085A26"/>
    <w:rsid w:val="000870A3"/>
    <w:rsid w:val="000A1CDE"/>
    <w:rsid w:val="000A3F9A"/>
    <w:rsid w:val="000A42C7"/>
    <w:rsid w:val="000A5E8B"/>
    <w:rsid w:val="000B3902"/>
    <w:rsid w:val="000C3453"/>
    <w:rsid w:val="000D4391"/>
    <w:rsid w:val="000E0217"/>
    <w:rsid w:val="000E4603"/>
    <w:rsid w:val="000E734E"/>
    <w:rsid w:val="000F18F2"/>
    <w:rsid w:val="000F34A0"/>
    <w:rsid w:val="000F6B26"/>
    <w:rsid w:val="001128DF"/>
    <w:rsid w:val="00120BCB"/>
    <w:rsid w:val="001236AE"/>
    <w:rsid w:val="001237BF"/>
    <w:rsid w:val="0013166A"/>
    <w:rsid w:val="00131CC5"/>
    <w:rsid w:val="001370C5"/>
    <w:rsid w:val="001401A5"/>
    <w:rsid w:val="00142853"/>
    <w:rsid w:val="0014762A"/>
    <w:rsid w:val="00147F61"/>
    <w:rsid w:val="001548A5"/>
    <w:rsid w:val="00160A71"/>
    <w:rsid w:val="00164FDC"/>
    <w:rsid w:val="001701B3"/>
    <w:rsid w:val="00171077"/>
    <w:rsid w:val="001764D5"/>
    <w:rsid w:val="001811D2"/>
    <w:rsid w:val="001815D2"/>
    <w:rsid w:val="00181AC7"/>
    <w:rsid w:val="00181D5F"/>
    <w:rsid w:val="00181EAC"/>
    <w:rsid w:val="00186443"/>
    <w:rsid w:val="00187186"/>
    <w:rsid w:val="001960DC"/>
    <w:rsid w:val="001B1EDE"/>
    <w:rsid w:val="001C5BDB"/>
    <w:rsid w:val="001C7AF7"/>
    <w:rsid w:val="001D13FE"/>
    <w:rsid w:val="001D55A0"/>
    <w:rsid w:val="001D6B00"/>
    <w:rsid w:val="00203EE7"/>
    <w:rsid w:val="00204C10"/>
    <w:rsid w:val="002142D7"/>
    <w:rsid w:val="002162B8"/>
    <w:rsid w:val="002168AC"/>
    <w:rsid w:val="002209C5"/>
    <w:rsid w:val="00223591"/>
    <w:rsid w:val="002277AF"/>
    <w:rsid w:val="00237B64"/>
    <w:rsid w:val="00240854"/>
    <w:rsid w:val="002431CC"/>
    <w:rsid w:val="00247823"/>
    <w:rsid w:val="00250F9D"/>
    <w:rsid w:val="0025281F"/>
    <w:rsid w:val="00276A3D"/>
    <w:rsid w:val="00277F95"/>
    <w:rsid w:val="00280851"/>
    <w:rsid w:val="0028433A"/>
    <w:rsid w:val="002855C7"/>
    <w:rsid w:val="00286661"/>
    <w:rsid w:val="002B0D10"/>
    <w:rsid w:val="002B4EBD"/>
    <w:rsid w:val="002B50B7"/>
    <w:rsid w:val="002B6390"/>
    <w:rsid w:val="002B771F"/>
    <w:rsid w:val="002C1673"/>
    <w:rsid w:val="002C619F"/>
    <w:rsid w:val="002C65DE"/>
    <w:rsid w:val="002D0B01"/>
    <w:rsid w:val="002D35D0"/>
    <w:rsid w:val="002D3C8A"/>
    <w:rsid w:val="002E002F"/>
    <w:rsid w:val="002E59B1"/>
    <w:rsid w:val="003031BC"/>
    <w:rsid w:val="003060E1"/>
    <w:rsid w:val="00306E77"/>
    <w:rsid w:val="0030787D"/>
    <w:rsid w:val="003079C1"/>
    <w:rsid w:val="0031021D"/>
    <w:rsid w:val="00316DFD"/>
    <w:rsid w:val="00317C03"/>
    <w:rsid w:val="003247DA"/>
    <w:rsid w:val="003263F6"/>
    <w:rsid w:val="00332B42"/>
    <w:rsid w:val="003355FF"/>
    <w:rsid w:val="00335BE0"/>
    <w:rsid w:val="00336998"/>
    <w:rsid w:val="003418E4"/>
    <w:rsid w:val="00343641"/>
    <w:rsid w:val="00343D94"/>
    <w:rsid w:val="00357D5B"/>
    <w:rsid w:val="00363895"/>
    <w:rsid w:val="00364AFC"/>
    <w:rsid w:val="00374474"/>
    <w:rsid w:val="00377F66"/>
    <w:rsid w:val="00380B4E"/>
    <w:rsid w:val="00380E66"/>
    <w:rsid w:val="00387783"/>
    <w:rsid w:val="00390BFD"/>
    <w:rsid w:val="0039551B"/>
    <w:rsid w:val="003A244E"/>
    <w:rsid w:val="003A44C1"/>
    <w:rsid w:val="003B02D2"/>
    <w:rsid w:val="003B5842"/>
    <w:rsid w:val="003B7DC1"/>
    <w:rsid w:val="003C798B"/>
    <w:rsid w:val="003D4DCA"/>
    <w:rsid w:val="003D6DB7"/>
    <w:rsid w:val="003E4961"/>
    <w:rsid w:val="003E5F8E"/>
    <w:rsid w:val="003E6923"/>
    <w:rsid w:val="003E78C2"/>
    <w:rsid w:val="003F3216"/>
    <w:rsid w:val="004016AA"/>
    <w:rsid w:val="0040588C"/>
    <w:rsid w:val="00412265"/>
    <w:rsid w:val="00413861"/>
    <w:rsid w:val="00414052"/>
    <w:rsid w:val="0042060E"/>
    <w:rsid w:val="00421B32"/>
    <w:rsid w:val="00440F2A"/>
    <w:rsid w:val="00441350"/>
    <w:rsid w:val="004430B9"/>
    <w:rsid w:val="00444548"/>
    <w:rsid w:val="0045274C"/>
    <w:rsid w:val="00453405"/>
    <w:rsid w:val="00453BC7"/>
    <w:rsid w:val="004563DD"/>
    <w:rsid w:val="004603EC"/>
    <w:rsid w:val="0046615A"/>
    <w:rsid w:val="004702DF"/>
    <w:rsid w:val="004704B3"/>
    <w:rsid w:val="0047640F"/>
    <w:rsid w:val="00480D28"/>
    <w:rsid w:val="00481350"/>
    <w:rsid w:val="00482503"/>
    <w:rsid w:val="00492A21"/>
    <w:rsid w:val="004B4615"/>
    <w:rsid w:val="004B4CF9"/>
    <w:rsid w:val="004C1295"/>
    <w:rsid w:val="004C7F9C"/>
    <w:rsid w:val="004D566C"/>
    <w:rsid w:val="004D7360"/>
    <w:rsid w:val="004E1B88"/>
    <w:rsid w:val="004E4A5B"/>
    <w:rsid w:val="004E6447"/>
    <w:rsid w:val="004F2971"/>
    <w:rsid w:val="004F3D59"/>
    <w:rsid w:val="004F512C"/>
    <w:rsid w:val="004F5D9E"/>
    <w:rsid w:val="00522FAE"/>
    <w:rsid w:val="00534E91"/>
    <w:rsid w:val="0053756D"/>
    <w:rsid w:val="005431CB"/>
    <w:rsid w:val="005442D9"/>
    <w:rsid w:val="005474D6"/>
    <w:rsid w:val="00565998"/>
    <w:rsid w:val="005712B5"/>
    <w:rsid w:val="005715B0"/>
    <w:rsid w:val="00573A50"/>
    <w:rsid w:val="00582C8F"/>
    <w:rsid w:val="00587B14"/>
    <w:rsid w:val="00587B3C"/>
    <w:rsid w:val="00587E1E"/>
    <w:rsid w:val="0059253E"/>
    <w:rsid w:val="005964E8"/>
    <w:rsid w:val="005B7588"/>
    <w:rsid w:val="005C1953"/>
    <w:rsid w:val="005C1AF8"/>
    <w:rsid w:val="005C43DF"/>
    <w:rsid w:val="005D3B28"/>
    <w:rsid w:val="005D3C63"/>
    <w:rsid w:val="005D5D4A"/>
    <w:rsid w:val="005E4ECB"/>
    <w:rsid w:val="005E619B"/>
    <w:rsid w:val="005E71A9"/>
    <w:rsid w:val="005E77BB"/>
    <w:rsid w:val="00603B7A"/>
    <w:rsid w:val="006051E1"/>
    <w:rsid w:val="006125C8"/>
    <w:rsid w:val="00613764"/>
    <w:rsid w:val="00613C7C"/>
    <w:rsid w:val="006147B2"/>
    <w:rsid w:val="0062272C"/>
    <w:rsid w:val="00625825"/>
    <w:rsid w:val="0062669C"/>
    <w:rsid w:val="0063320E"/>
    <w:rsid w:val="006354C6"/>
    <w:rsid w:val="00641A3C"/>
    <w:rsid w:val="006428B4"/>
    <w:rsid w:val="00643419"/>
    <w:rsid w:val="006443C2"/>
    <w:rsid w:val="0064483F"/>
    <w:rsid w:val="00644CEA"/>
    <w:rsid w:val="00645009"/>
    <w:rsid w:val="00653F24"/>
    <w:rsid w:val="006551A8"/>
    <w:rsid w:val="006551E6"/>
    <w:rsid w:val="0066197A"/>
    <w:rsid w:val="006628B6"/>
    <w:rsid w:val="00667502"/>
    <w:rsid w:val="006675D2"/>
    <w:rsid w:val="00670801"/>
    <w:rsid w:val="0067314B"/>
    <w:rsid w:val="00685E64"/>
    <w:rsid w:val="00690220"/>
    <w:rsid w:val="006A3373"/>
    <w:rsid w:val="006A7AAE"/>
    <w:rsid w:val="006A7E8D"/>
    <w:rsid w:val="006B5C2C"/>
    <w:rsid w:val="006B6408"/>
    <w:rsid w:val="006C7A31"/>
    <w:rsid w:val="006D170E"/>
    <w:rsid w:val="006D3201"/>
    <w:rsid w:val="006D389D"/>
    <w:rsid w:val="006D3F71"/>
    <w:rsid w:val="006D466A"/>
    <w:rsid w:val="006E2438"/>
    <w:rsid w:val="006E3180"/>
    <w:rsid w:val="006E6363"/>
    <w:rsid w:val="006E7262"/>
    <w:rsid w:val="006F1AC6"/>
    <w:rsid w:val="006F283A"/>
    <w:rsid w:val="006F688A"/>
    <w:rsid w:val="006F7C71"/>
    <w:rsid w:val="007008D1"/>
    <w:rsid w:val="00706D01"/>
    <w:rsid w:val="00707AB2"/>
    <w:rsid w:val="00722BCB"/>
    <w:rsid w:val="00726A0E"/>
    <w:rsid w:val="0073766A"/>
    <w:rsid w:val="007409D9"/>
    <w:rsid w:val="00753E41"/>
    <w:rsid w:val="0076144D"/>
    <w:rsid w:val="00764DFC"/>
    <w:rsid w:val="007756AC"/>
    <w:rsid w:val="0077673F"/>
    <w:rsid w:val="007772FF"/>
    <w:rsid w:val="00777843"/>
    <w:rsid w:val="00777C3A"/>
    <w:rsid w:val="00787644"/>
    <w:rsid w:val="007A001F"/>
    <w:rsid w:val="007A4BD2"/>
    <w:rsid w:val="007A4F89"/>
    <w:rsid w:val="007B6904"/>
    <w:rsid w:val="007B6A50"/>
    <w:rsid w:val="007B7414"/>
    <w:rsid w:val="007D286E"/>
    <w:rsid w:val="007D2D80"/>
    <w:rsid w:val="007D3A00"/>
    <w:rsid w:val="007D747D"/>
    <w:rsid w:val="007D7EB3"/>
    <w:rsid w:val="007E366D"/>
    <w:rsid w:val="007E6BB8"/>
    <w:rsid w:val="007E7226"/>
    <w:rsid w:val="007F5615"/>
    <w:rsid w:val="0080324F"/>
    <w:rsid w:val="00805D09"/>
    <w:rsid w:val="0081024A"/>
    <w:rsid w:val="00821172"/>
    <w:rsid w:val="008223F5"/>
    <w:rsid w:val="00825959"/>
    <w:rsid w:val="0083027D"/>
    <w:rsid w:val="00831A1A"/>
    <w:rsid w:val="008336C5"/>
    <w:rsid w:val="008420AA"/>
    <w:rsid w:val="00845847"/>
    <w:rsid w:val="00852C17"/>
    <w:rsid w:val="00862117"/>
    <w:rsid w:val="008727B5"/>
    <w:rsid w:val="0087430F"/>
    <w:rsid w:val="00876E2B"/>
    <w:rsid w:val="00881DCA"/>
    <w:rsid w:val="008927A7"/>
    <w:rsid w:val="008947CA"/>
    <w:rsid w:val="008A29CB"/>
    <w:rsid w:val="008B25B9"/>
    <w:rsid w:val="008B56E8"/>
    <w:rsid w:val="008C1863"/>
    <w:rsid w:val="008E0B6A"/>
    <w:rsid w:val="008E211B"/>
    <w:rsid w:val="008F0685"/>
    <w:rsid w:val="00901C5A"/>
    <w:rsid w:val="0091146D"/>
    <w:rsid w:val="009129B9"/>
    <w:rsid w:val="00923378"/>
    <w:rsid w:val="00924120"/>
    <w:rsid w:val="00934146"/>
    <w:rsid w:val="009358D4"/>
    <w:rsid w:val="0093745B"/>
    <w:rsid w:val="00942974"/>
    <w:rsid w:val="00945E99"/>
    <w:rsid w:val="00946895"/>
    <w:rsid w:val="009502E8"/>
    <w:rsid w:val="00950BC4"/>
    <w:rsid w:val="00955500"/>
    <w:rsid w:val="0096328C"/>
    <w:rsid w:val="009639C8"/>
    <w:rsid w:val="00967A3A"/>
    <w:rsid w:val="00967E26"/>
    <w:rsid w:val="00971E69"/>
    <w:rsid w:val="00972ECD"/>
    <w:rsid w:val="00986CDE"/>
    <w:rsid w:val="00990916"/>
    <w:rsid w:val="00995A80"/>
    <w:rsid w:val="0099753B"/>
    <w:rsid w:val="009A62A4"/>
    <w:rsid w:val="009B0016"/>
    <w:rsid w:val="009B25A0"/>
    <w:rsid w:val="009B3233"/>
    <w:rsid w:val="009B59EE"/>
    <w:rsid w:val="009C0A03"/>
    <w:rsid w:val="009C29D0"/>
    <w:rsid w:val="009C6CC1"/>
    <w:rsid w:val="009D098C"/>
    <w:rsid w:val="009F227C"/>
    <w:rsid w:val="009F2A30"/>
    <w:rsid w:val="009F728E"/>
    <w:rsid w:val="00A01E04"/>
    <w:rsid w:val="00A05582"/>
    <w:rsid w:val="00A11577"/>
    <w:rsid w:val="00A34ABA"/>
    <w:rsid w:val="00A4490C"/>
    <w:rsid w:val="00A5208B"/>
    <w:rsid w:val="00A5257C"/>
    <w:rsid w:val="00A56BFB"/>
    <w:rsid w:val="00A571B7"/>
    <w:rsid w:val="00A611F6"/>
    <w:rsid w:val="00A62DA2"/>
    <w:rsid w:val="00A718FF"/>
    <w:rsid w:val="00A80B7F"/>
    <w:rsid w:val="00A84A4C"/>
    <w:rsid w:val="00A85495"/>
    <w:rsid w:val="00A90C5C"/>
    <w:rsid w:val="00A954C8"/>
    <w:rsid w:val="00A966A2"/>
    <w:rsid w:val="00A96A08"/>
    <w:rsid w:val="00A97DE0"/>
    <w:rsid w:val="00AA1479"/>
    <w:rsid w:val="00AB4D5F"/>
    <w:rsid w:val="00AB50A2"/>
    <w:rsid w:val="00AC2B8C"/>
    <w:rsid w:val="00AC4FB8"/>
    <w:rsid w:val="00AD4B22"/>
    <w:rsid w:val="00AD77B2"/>
    <w:rsid w:val="00AE22F5"/>
    <w:rsid w:val="00AE440C"/>
    <w:rsid w:val="00AE6531"/>
    <w:rsid w:val="00AF1D0C"/>
    <w:rsid w:val="00AF485C"/>
    <w:rsid w:val="00B0446E"/>
    <w:rsid w:val="00B15723"/>
    <w:rsid w:val="00B17413"/>
    <w:rsid w:val="00B32332"/>
    <w:rsid w:val="00B370F6"/>
    <w:rsid w:val="00B43B17"/>
    <w:rsid w:val="00B64630"/>
    <w:rsid w:val="00B75DA9"/>
    <w:rsid w:val="00B76B72"/>
    <w:rsid w:val="00B81E62"/>
    <w:rsid w:val="00B85FF3"/>
    <w:rsid w:val="00B86A63"/>
    <w:rsid w:val="00B8777F"/>
    <w:rsid w:val="00BB1F79"/>
    <w:rsid w:val="00BB6BC4"/>
    <w:rsid w:val="00BB72C0"/>
    <w:rsid w:val="00BB7982"/>
    <w:rsid w:val="00BC30E2"/>
    <w:rsid w:val="00BC4DEB"/>
    <w:rsid w:val="00BC6EEF"/>
    <w:rsid w:val="00BD15EC"/>
    <w:rsid w:val="00BD66E9"/>
    <w:rsid w:val="00BD6E29"/>
    <w:rsid w:val="00BE0DC9"/>
    <w:rsid w:val="00BE270F"/>
    <w:rsid w:val="00BE4C20"/>
    <w:rsid w:val="00BF065C"/>
    <w:rsid w:val="00BF1109"/>
    <w:rsid w:val="00BF299F"/>
    <w:rsid w:val="00BF6E65"/>
    <w:rsid w:val="00BF739D"/>
    <w:rsid w:val="00C1256D"/>
    <w:rsid w:val="00C147C8"/>
    <w:rsid w:val="00C2043B"/>
    <w:rsid w:val="00C24302"/>
    <w:rsid w:val="00C24440"/>
    <w:rsid w:val="00C25F00"/>
    <w:rsid w:val="00C344DB"/>
    <w:rsid w:val="00C35AFF"/>
    <w:rsid w:val="00C36DA0"/>
    <w:rsid w:val="00C379D2"/>
    <w:rsid w:val="00C45D5C"/>
    <w:rsid w:val="00C527A6"/>
    <w:rsid w:val="00C55941"/>
    <w:rsid w:val="00C6571C"/>
    <w:rsid w:val="00C7068B"/>
    <w:rsid w:val="00C70994"/>
    <w:rsid w:val="00C77720"/>
    <w:rsid w:val="00C81B90"/>
    <w:rsid w:val="00C919B5"/>
    <w:rsid w:val="00C9656C"/>
    <w:rsid w:val="00C969A8"/>
    <w:rsid w:val="00CA7CE2"/>
    <w:rsid w:val="00CC28F8"/>
    <w:rsid w:val="00CD2DDE"/>
    <w:rsid w:val="00CD33BC"/>
    <w:rsid w:val="00CF04F9"/>
    <w:rsid w:val="00CF089B"/>
    <w:rsid w:val="00CF61EF"/>
    <w:rsid w:val="00D0367B"/>
    <w:rsid w:val="00D060FC"/>
    <w:rsid w:val="00D06B65"/>
    <w:rsid w:val="00D1186F"/>
    <w:rsid w:val="00D1201A"/>
    <w:rsid w:val="00D168D3"/>
    <w:rsid w:val="00D2041F"/>
    <w:rsid w:val="00D21890"/>
    <w:rsid w:val="00D253EF"/>
    <w:rsid w:val="00D31078"/>
    <w:rsid w:val="00D351F7"/>
    <w:rsid w:val="00D35929"/>
    <w:rsid w:val="00D40A1C"/>
    <w:rsid w:val="00D42F97"/>
    <w:rsid w:val="00D5394C"/>
    <w:rsid w:val="00D56473"/>
    <w:rsid w:val="00D5726F"/>
    <w:rsid w:val="00D636FA"/>
    <w:rsid w:val="00D84E0E"/>
    <w:rsid w:val="00D94523"/>
    <w:rsid w:val="00DA0152"/>
    <w:rsid w:val="00DA0335"/>
    <w:rsid w:val="00DA2F69"/>
    <w:rsid w:val="00DA7A36"/>
    <w:rsid w:val="00DB1E1B"/>
    <w:rsid w:val="00DB2CAC"/>
    <w:rsid w:val="00DB30FB"/>
    <w:rsid w:val="00DC2C44"/>
    <w:rsid w:val="00DC6F0E"/>
    <w:rsid w:val="00DD3B7B"/>
    <w:rsid w:val="00DD4F23"/>
    <w:rsid w:val="00DE52DA"/>
    <w:rsid w:val="00E0181F"/>
    <w:rsid w:val="00E0699E"/>
    <w:rsid w:val="00E22C7A"/>
    <w:rsid w:val="00E24097"/>
    <w:rsid w:val="00E2535D"/>
    <w:rsid w:val="00E2577E"/>
    <w:rsid w:val="00E26494"/>
    <w:rsid w:val="00E26F94"/>
    <w:rsid w:val="00E41D3B"/>
    <w:rsid w:val="00E42791"/>
    <w:rsid w:val="00E54C1E"/>
    <w:rsid w:val="00E621F4"/>
    <w:rsid w:val="00E63E18"/>
    <w:rsid w:val="00E6798A"/>
    <w:rsid w:val="00E769AF"/>
    <w:rsid w:val="00E8163D"/>
    <w:rsid w:val="00E82B2F"/>
    <w:rsid w:val="00E9677E"/>
    <w:rsid w:val="00EA1923"/>
    <w:rsid w:val="00EA2832"/>
    <w:rsid w:val="00EA795A"/>
    <w:rsid w:val="00EB1E8A"/>
    <w:rsid w:val="00EB2306"/>
    <w:rsid w:val="00EB32B5"/>
    <w:rsid w:val="00EB6406"/>
    <w:rsid w:val="00EC3480"/>
    <w:rsid w:val="00EC59FA"/>
    <w:rsid w:val="00EE0A0E"/>
    <w:rsid w:val="00EE43F9"/>
    <w:rsid w:val="00EE5B9F"/>
    <w:rsid w:val="00EF02F8"/>
    <w:rsid w:val="00EF1790"/>
    <w:rsid w:val="00EF5E0F"/>
    <w:rsid w:val="00F00826"/>
    <w:rsid w:val="00F044EF"/>
    <w:rsid w:val="00F06C27"/>
    <w:rsid w:val="00F127D3"/>
    <w:rsid w:val="00F15F11"/>
    <w:rsid w:val="00F22A27"/>
    <w:rsid w:val="00F22C5C"/>
    <w:rsid w:val="00F241D3"/>
    <w:rsid w:val="00F37F2C"/>
    <w:rsid w:val="00F41FCB"/>
    <w:rsid w:val="00F42916"/>
    <w:rsid w:val="00F46E95"/>
    <w:rsid w:val="00F53E86"/>
    <w:rsid w:val="00F6099D"/>
    <w:rsid w:val="00F61404"/>
    <w:rsid w:val="00F64FC9"/>
    <w:rsid w:val="00F73AF0"/>
    <w:rsid w:val="00F73FCB"/>
    <w:rsid w:val="00F76D04"/>
    <w:rsid w:val="00F77989"/>
    <w:rsid w:val="00FA1390"/>
    <w:rsid w:val="00FA29D8"/>
    <w:rsid w:val="00FA4CD7"/>
    <w:rsid w:val="00FA589D"/>
    <w:rsid w:val="00FA6BDB"/>
    <w:rsid w:val="00FB076D"/>
    <w:rsid w:val="00FB4565"/>
    <w:rsid w:val="00FB4881"/>
    <w:rsid w:val="00FB7044"/>
    <w:rsid w:val="00FC784B"/>
    <w:rsid w:val="00FD220E"/>
    <w:rsid w:val="00FD4FD3"/>
    <w:rsid w:val="00FD5314"/>
    <w:rsid w:val="00FD5ED6"/>
    <w:rsid w:val="00FE008A"/>
    <w:rsid w:val="00FE6981"/>
    <w:rsid w:val="00FE7597"/>
    <w:rsid w:val="00FF1BEB"/>
    <w:rsid w:val="00FF4112"/>
    <w:rsid w:val="00FF57F5"/>
    <w:rsid w:val="00FF649B"/>
    <w:rsid w:val="00FF64B0"/>
    <w:rsid w:val="00FF7F7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7775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72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
    <w:basedOn w:val="DefaultParagraphFont"/>
    <w:rsid w:val="0062272C"/>
    <w:rPr>
      <w:rFonts w:ascii="Garamond" w:eastAsia="Garamond" w:hAnsi="Garamond" w:cs="Garamond" w:hint="default"/>
      <w:b w:val="0"/>
      <w:bCs w:val="0"/>
      <w:i w:val="0"/>
      <w:iCs w:val="0"/>
      <w:smallCaps w:val="0"/>
      <w:strike w:val="0"/>
      <w:dstrike w:val="0"/>
      <w:color w:val="000000"/>
      <w:spacing w:val="0"/>
      <w:w w:val="100"/>
      <w:position w:val="0"/>
      <w:sz w:val="24"/>
      <w:szCs w:val="24"/>
      <w:u w:val="single"/>
      <w:effect w:val="none"/>
      <w:lang w:val="lv-LV" w:eastAsia="lv-LV" w:bidi="lv-LV"/>
    </w:rPr>
  </w:style>
  <w:style w:type="character" w:customStyle="1" w:styleId="Bodytext2Italic">
    <w:name w:val="Body text (2) + Italic"/>
    <w:basedOn w:val="DefaultParagraphFont"/>
    <w:rsid w:val="0062272C"/>
    <w:rPr>
      <w:rFonts w:ascii="Garamond" w:eastAsia="Garamond" w:hAnsi="Garamond" w:cs="Garamond" w:hint="default"/>
      <w:b w:val="0"/>
      <w:bCs w:val="0"/>
      <w:i/>
      <w:iCs/>
      <w:smallCaps w:val="0"/>
      <w:strike w:val="0"/>
      <w:dstrike w:val="0"/>
      <w:color w:val="000000"/>
      <w:spacing w:val="0"/>
      <w:w w:val="100"/>
      <w:position w:val="0"/>
      <w:sz w:val="24"/>
      <w:szCs w:val="24"/>
      <w:u w:val="none"/>
      <w:effect w:val="none"/>
      <w:lang w:val="lv-LV" w:eastAsia="lv-LV" w:bidi="lv-LV"/>
    </w:rPr>
  </w:style>
  <w:style w:type="character" w:customStyle="1" w:styleId="Bodytext2Bold">
    <w:name w:val="Body text (2) + Bold"/>
    <w:basedOn w:val="DefaultParagraphFont"/>
    <w:rsid w:val="0062272C"/>
    <w:rPr>
      <w:rFonts w:ascii="Garamond" w:eastAsia="Garamond" w:hAnsi="Garamond" w:cs="Garamond" w:hint="default"/>
      <w:b/>
      <w:bCs/>
      <w:i w:val="0"/>
      <w:iCs w:val="0"/>
      <w:smallCaps w:val="0"/>
      <w:strike w:val="0"/>
      <w:dstrike w:val="0"/>
      <w:color w:val="000000"/>
      <w:spacing w:val="0"/>
      <w:w w:val="100"/>
      <w:position w:val="0"/>
      <w:sz w:val="24"/>
      <w:szCs w:val="24"/>
      <w:u w:val="none"/>
      <w:effect w:val="none"/>
      <w:lang w:val="lv-LV" w:eastAsia="lv-LV" w:bidi="lv-LV"/>
    </w:rPr>
  </w:style>
  <w:style w:type="character" w:customStyle="1" w:styleId="Bodytext8">
    <w:name w:val="Body text (8)"/>
    <w:basedOn w:val="DefaultParagraphFont"/>
    <w:rsid w:val="0062272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single"/>
      <w:effect w:val="none"/>
      <w:lang w:val="lv-LV" w:eastAsia="lv-LV" w:bidi="lv-LV"/>
    </w:rPr>
  </w:style>
  <w:style w:type="character" w:styleId="Emphasis">
    <w:name w:val="Emphasis"/>
    <w:basedOn w:val="DefaultParagraphFont"/>
    <w:uiPriority w:val="20"/>
    <w:qFormat/>
    <w:rsid w:val="0062272C"/>
    <w:rPr>
      <w:i/>
      <w:iCs/>
    </w:rPr>
  </w:style>
  <w:style w:type="paragraph" w:styleId="Header">
    <w:name w:val="header"/>
    <w:basedOn w:val="Normal"/>
    <w:link w:val="HeaderChar"/>
    <w:uiPriority w:val="99"/>
    <w:unhideWhenUsed/>
    <w:rsid w:val="00EB1E8A"/>
    <w:pPr>
      <w:tabs>
        <w:tab w:val="center" w:pos="4153"/>
        <w:tab w:val="right" w:pos="8306"/>
      </w:tabs>
    </w:pPr>
  </w:style>
  <w:style w:type="character" w:customStyle="1" w:styleId="HeaderChar">
    <w:name w:val="Header Char"/>
    <w:basedOn w:val="DefaultParagraphFont"/>
    <w:link w:val="Header"/>
    <w:uiPriority w:val="99"/>
    <w:rsid w:val="00EB1E8A"/>
    <w:rPr>
      <w:rFonts w:eastAsia="Times New Roman" w:cs="Times New Roman"/>
      <w:szCs w:val="24"/>
    </w:rPr>
  </w:style>
  <w:style w:type="paragraph" w:styleId="Footer">
    <w:name w:val="footer"/>
    <w:basedOn w:val="Normal"/>
    <w:link w:val="FooterChar"/>
    <w:uiPriority w:val="99"/>
    <w:unhideWhenUsed/>
    <w:rsid w:val="00EB1E8A"/>
    <w:pPr>
      <w:tabs>
        <w:tab w:val="center" w:pos="4153"/>
        <w:tab w:val="right" w:pos="8306"/>
      </w:tabs>
    </w:pPr>
  </w:style>
  <w:style w:type="character" w:customStyle="1" w:styleId="FooterChar">
    <w:name w:val="Footer Char"/>
    <w:basedOn w:val="DefaultParagraphFont"/>
    <w:link w:val="Footer"/>
    <w:uiPriority w:val="99"/>
    <w:rsid w:val="00EB1E8A"/>
    <w:rPr>
      <w:rFonts w:eastAsia="Times New Roman" w:cs="Times New Roman"/>
      <w:szCs w:val="24"/>
    </w:rPr>
  </w:style>
  <w:style w:type="character" w:styleId="CommentReference">
    <w:name w:val="annotation reference"/>
    <w:basedOn w:val="DefaultParagraphFont"/>
    <w:uiPriority w:val="99"/>
    <w:semiHidden/>
    <w:unhideWhenUsed/>
    <w:rsid w:val="00EF02F8"/>
    <w:rPr>
      <w:sz w:val="16"/>
      <w:szCs w:val="16"/>
    </w:rPr>
  </w:style>
  <w:style w:type="paragraph" w:styleId="CommentText">
    <w:name w:val="annotation text"/>
    <w:basedOn w:val="Normal"/>
    <w:link w:val="CommentTextChar"/>
    <w:uiPriority w:val="99"/>
    <w:semiHidden/>
    <w:unhideWhenUsed/>
    <w:rsid w:val="00EF02F8"/>
    <w:rPr>
      <w:sz w:val="20"/>
      <w:szCs w:val="20"/>
    </w:rPr>
  </w:style>
  <w:style w:type="character" w:customStyle="1" w:styleId="CommentTextChar">
    <w:name w:val="Comment Text Char"/>
    <w:basedOn w:val="DefaultParagraphFont"/>
    <w:link w:val="CommentText"/>
    <w:uiPriority w:val="99"/>
    <w:semiHidden/>
    <w:rsid w:val="00EF02F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2F8"/>
    <w:rPr>
      <w:b/>
      <w:bCs/>
    </w:rPr>
  </w:style>
  <w:style w:type="character" w:customStyle="1" w:styleId="CommentSubjectChar">
    <w:name w:val="Comment Subject Char"/>
    <w:basedOn w:val="CommentTextChar"/>
    <w:link w:val="CommentSubject"/>
    <w:uiPriority w:val="99"/>
    <w:semiHidden/>
    <w:rsid w:val="00EF02F8"/>
    <w:rPr>
      <w:rFonts w:eastAsia="Times New Roman" w:cs="Times New Roman"/>
      <w:b/>
      <w:bCs/>
      <w:sz w:val="20"/>
      <w:szCs w:val="20"/>
    </w:rPr>
  </w:style>
  <w:style w:type="paragraph" w:styleId="BalloonText">
    <w:name w:val="Balloon Text"/>
    <w:basedOn w:val="Normal"/>
    <w:link w:val="BalloonTextChar"/>
    <w:uiPriority w:val="99"/>
    <w:semiHidden/>
    <w:unhideWhenUsed/>
    <w:rsid w:val="00D21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890"/>
    <w:rPr>
      <w:rFonts w:ascii="Segoe UI" w:eastAsia="Times New Roman" w:hAnsi="Segoe UI" w:cs="Segoe UI"/>
      <w:sz w:val="18"/>
      <w:szCs w:val="18"/>
    </w:rPr>
  </w:style>
  <w:style w:type="character" w:styleId="Hyperlink">
    <w:name w:val="Hyperlink"/>
    <w:basedOn w:val="DefaultParagraphFont"/>
    <w:uiPriority w:val="99"/>
    <w:unhideWhenUsed/>
    <w:rsid w:val="00D636FA"/>
    <w:rPr>
      <w:color w:val="0563C1" w:themeColor="hyperlink"/>
      <w:u w:val="single"/>
    </w:rPr>
  </w:style>
  <w:style w:type="paragraph" w:styleId="Revision">
    <w:name w:val="Revision"/>
    <w:hidden/>
    <w:uiPriority w:val="99"/>
    <w:semiHidden/>
    <w:rsid w:val="003B5842"/>
    <w:pPr>
      <w:spacing w:after="0" w:line="240" w:lineRule="auto"/>
    </w:pPr>
    <w:rPr>
      <w:rFonts w:eastAsia="Times New Roman" w:cs="Times New Roman"/>
      <w:szCs w:val="24"/>
    </w:rPr>
  </w:style>
  <w:style w:type="character" w:customStyle="1" w:styleId="UnresolvedMention1">
    <w:name w:val="Unresolved Mention1"/>
    <w:basedOn w:val="DefaultParagraphFont"/>
    <w:uiPriority w:val="99"/>
    <w:semiHidden/>
    <w:unhideWhenUsed/>
    <w:rsid w:val="00777843"/>
    <w:rPr>
      <w:color w:val="605E5C"/>
      <w:shd w:val="clear" w:color="auto" w:fill="E1DFDD"/>
    </w:rPr>
  </w:style>
  <w:style w:type="character" w:styleId="UnresolvedMention">
    <w:name w:val="Unresolved Mention"/>
    <w:basedOn w:val="DefaultParagraphFont"/>
    <w:uiPriority w:val="99"/>
    <w:semiHidden/>
    <w:unhideWhenUsed/>
    <w:rsid w:val="001370C5"/>
    <w:rPr>
      <w:color w:val="605E5C"/>
      <w:shd w:val="clear" w:color="auto" w:fill="E1DFDD"/>
    </w:rPr>
  </w:style>
  <w:style w:type="character" w:styleId="FollowedHyperlink">
    <w:name w:val="FollowedHyperlink"/>
    <w:basedOn w:val="DefaultParagraphFont"/>
    <w:uiPriority w:val="99"/>
    <w:semiHidden/>
    <w:unhideWhenUsed/>
    <w:rsid w:val="00BC6EEF"/>
    <w:rPr>
      <w:color w:val="954F72" w:themeColor="followedHyperlink"/>
      <w:u w:val="single"/>
    </w:rPr>
  </w:style>
  <w:style w:type="paragraph" w:styleId="NormalWeb">
    <w:name w:val="Normal (Web)"/>
    <w:basedOn w:val="Normal"/>
    <w:uiPriority w:val="99"/>
    <w:semiHidden/>
    <w:unhideWhenUsed/>
    <w:rsid w:val="002C1673"/>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E769AF"/>
    <w:rPr>
      <w:sz w:val="20"/>
      <w:szCs w:val="20"/>
    </w:rPr>
  </w:style>
  <w:style w:type="character" w:customStyle="1" w:styleId="FootnoteTextChar">
    <w:name w:val="Footnote Text Char"/>
    <w:basedOn w:val="DefaultParagraphFont"/>
    <w:link w:val="FootnoteText"/>
    <w:uiPriority w:val="99"/>
    <w:semiHidden/>
    <w:rsid w:val="00E769AF"/>
    <w:rPr>
      <w:rFonts w:eastAsia="Times New Roman" w:cs="Times New Roman"/>
      <w:sz w:val="20"/>
      <w:szCs w:val="20"/>
    </w:rPr>
  </w:style>
  <w:style w:type="character" w:styleId="FootnoteReference">
    <w:name w:val="footnote reference"/>
    <w:basedOn w:val="DefaultParagraphFont"/>
    <w:uiPriority w:val="99"/>
    <w:semiHidden/>
    <w:unhideWhenUsed/>
    <w:rsid w:val="00E76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111">
      <w:bodyDiv w:val="1"/>
      <w:marLeft w:val="0"/>
      <w:marRight w:val="0"/>
      <w:marTop w:val="0"/>
      <w:marBottom w:val="0"/>
      <w:divBdr>
        <w:top w:val="none" w:sz="0" w:space="0" w:color="auto"/>
        <w:left w:val="none" w:sz="0" w:space="0" w:color="auto"/>
        <w:bottom w:val="none" w:sz="0" w:space="0" w:color="auto"/>
        <w:right w:val="none" w:sz="0" w:space="0" w:color="auto"/>
      </w:divBdr>
    </w:div>
    <w:div w:id="414129352">
      <w:bodyDiv w:val="1"/>
      <w:marLeft w:val="0"/>
      <w:marRight w:val="0"/>
      <w:marTop w:val="0"/>
      <w:marBottom w:val="0"/>
      <w:divBdr>
        <w:top w:val="none" w:sz="0" w:space="0" w:color="auto"/>
        <w:left w:val="none" w:sz="0" w:space="0" w:color="auto"/>
        <w:bottom w:val="none" w:sz="0" w:space="0" w:color="auto"/>
        <w:right w:val="none" w:sz="0" w:space="0" w:color="auto"/>
      </w:divBdr>
    </w:div>
    <w:div w:id="895509375">
      <w:bodyDiv w:val="1"/>
      <w:marLeft w:val="0"/>
      <w:marRight w:val="0"/>
      <w:marTop w:val="0"/>
      <w:marBottom w:val="0"/>
      <w:divBdr>
        <w:top w:val="none" w:sz="0" w:space="0" w:color="auto"/>
        <w:left w:val="none" w:sz="0" w:space="0" w:color="auto"/>
        <w:bottom w:val="none" w:sz="0" w:space="0" w:color="auto"/>
        <w:right w:val="none" w:sz="0" w:space="0" w:color="auto"/>
      </w:divBdr>
    </w:div>
    <w:div w:id="194322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tania.saeima.lv/livs/saeimasnotikumi.nsf/0/026529a544ef369dc22583fc002aa935/$FILE/pielikums.2019_05_21_8_30_JKKP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2ADF-006E-402A-82C6-5356E437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7171</Words>
  <Characters>4089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2022-12-09T07:16:00Z</dcterms:created>
  <dcterms:modified xsi:type="dcterms:W3CDTF">2022-12-09T07:16:00Z</dcterms:modified>
</cp:coreProperties>
</file>