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5881" w14:textId="77777777" w:rsidR="00865005" w:rsidRPr="00CC22BB" w:rsidRDefault="00865005" w:rsidP="00865005">
      <w:pPr>
        <w:tabs>
          <w:tab w:val="left" w:pos="3318"/>
        </w:tabs>
        <w:spacing w:after="0" w:line="276" w:lineRule="auto"/>
        <w:jc w:val="both"/>
        <w:rPr>
          <w:rFonts w:eastAsia="Calibri" w:cs="Times New Roman"/>
          <w:b/>
          <w:bCs/>
        </w:rPr>
      </w:pPr>
      <w:r w:rsidRPr="00CC22BB">
        <w:rPr>
          <w:rFonts w:eastAsia="Calibri" w:cs="Times New Roman"/>
          <w:b/>
          <w:bCs/>
        </w:rPr>
        <w:t>Nepieļaujamība nodot piespiedu izpildei šķīrējtiesas spriedumu, ja nav konstatējama materiālā tiesība, kuras aizsardzību varētu īstenot tiesas ceļā</w:t>
      </w:r>
    </w:p>
    <w:p w14:paraId="34023BAF" w14:textId="77777777" w:rsidR="00865005" w:rsidRPr="00CC22BB" w:rsidRDefault="00865005" w:rsidP="00865005">
      <w:pPr>
        <w:tabs>
          <w:tab w:val="left" w:pos="3318"/>
        </w:tabs>
        <w:spacing w:after="0" w:line="276" w:lineRule="auto"/>
        <w:jc w:val="both"/>
        <w:rPr>
          <w:rFonts w:eastAsia="Calibri" w:cs="Times New Roman"/>
        </w:rPr>
      </w:pPr>
      <w:r w:rsidRPr="00CC22BB">
        <w:rPr>
          <w:rFonts w:eastAsia="Calibri" w:cs="Times New Roman"/>
        </w:rPr>
        <w:t>Ja atbilstoši tiesiskajam regulējumam prasība nevar būt pakļauta izskatīšanai civilprocesuālā prasības tiesvedības kārtībā vai personai nevar būt civilā prasības tiesība vispārējās jurisdikcijas tiesā, tad šāda prasība nevar tikt izskatīta arī šķīrējtiesā.</w:t>
      </w:r>
    </w:p>
    <w:p w14:paraId="41BD9F1F" w14:textId="77777777" w:rsidR="00865005" w:rsidRDefault="00865005" w:rsidP="00865005">
      <w:pPr>
        <w:tabs>
          <w:tab w:val="left" w:pos="3318"/>
        </w:tabs>
        <w:spacing w:after="0" w:line="276" w:lineRule="auto"/>
        <w:jc w:val="both"/>
        <w:rPr>
          <w:rFonts w:eastAsia="Calibri" w:cs="Times New Roman"/>
          <w:b/>
          <w:bCs/>
        </w:rPr>
      </w:pPr>
    </w:p>
    <w:p w14:paraId="4367A596" w14:textId="162C6F7C" w:rsidR="00865005" w:rsidRPr="00CC22BB" w:rsidRDefault="00865005" w:rsidP="00865005">
      <w:pPr>
        <w:tabs>
          <w:tab w:val="left" w:pos="3318"/>
        </w:tabs>
        <w:spacing w:after="0" w:line="276" w:lineRule="auto"/>
        <w:jc w:val="both"/>
        <w:rPr>
          <w:rFonts w:eastAsia="Calibri" w:cs="Times New Roman"/>
          <w:b/>
          <w:bCs/>
        </w:rPr>
      </w:pPr>
      <w:proofErr w:type="gramStart"/>
      <w:r w:rsidRPr="00CC22BB">
        <w:rPr>
          <w:rFonts w:eastAsia="Calibri" w:cs="Times New Roman"/>
          <w:b/>
          <w:bCs/>
        </w:rPr>
        <w:t>Apsolītas rokas naudas pieprasīšanas tiesas ceļā neiespējamība</w:t>
      </w:r>
      <w:proofErr w:type="gramEnd"/>
    </w:p>
    <w:p w14:paraId="7A4855E3" w14:textId="77777777" w:rsidR="00865005" w:rsidRPr="00CC22BB" w:rsidRDefault="00865005" w:rsidP="00865005">
      <w:pPr>
        <w:tabs>
          <w:tab w:val="left" w:pos="3318"/>
        </w:tabs>
        <w:spacing w:after="0" w:line="276" w:lineRule="auto"/>
        <w:jc w:val="both"/>
        <w:rPr>
          <w:rFonts w:eastAsia="Calibri" w:cs="Times New Roman"/>
        </w:rPr>
      </w:pPr>
      <w:r w:rsidRPr="00CC22BB">
        <w:rPr>
          <w:rFonts w:eastAsia="Calibri" w:cs="Times New Roman"/>
        </w:rPr>
        <w:t>Nepastāv tiesisks pamats tiesas ceļā pieprasīt rokas naudas samaksu, pamatojoties uz apsolījumu, kas saskaņā ar Civillikuma 1727.</w:t>
      </w:r>
      <w:r>
        <w:rPr>
          <w:rFonts w:eastAsia="Calibri" w:cs="Times New Roman"/>
        </w:rPr>
        <w:t> </w:t>
      </w:r>
      <w:r w:rsidRPr="00CC22BB">
        <w:rPr>
          <w:rFonts w:eastAsia="Calibri" w:cs="Times New Roman"/>
        </w:rPr>
        <w:t>pantu nerada tiesiskas sekas.</w:t>
      </w:r>
    </w:p>
    <w:p w14:paraId="74E82441" w14:textId="06CE707C" w:rsidR="00FA2802" w:rsidRPr="00E87FEE" w:rsidRDefault="00FA2802" w:rsidP="00E87FEE">
      <w:pPr>
        <w:tabs>
          <w:tab w:val="left" w:pos="142"/>
        </w:tabs>
        <w:spacing w:after="0" w:line="276" w:lineRule="auto"/>
        <w:ind w:right="-514"/>
        <w:jc w:val="center"/>
        <w:rPr>
          <w:rFonts w:eastAsia="Times New Roman" w:cs="Times New Roman"/>
          <w:szCs w:val="24"/>
          <w:lang w:eastAsia="lv-LV"/>
        </w:rPr>
      </w:pPr>
    </w:p>
    <w:p w14:paraId="08C3B9B1" w14:textId="2B2D60B4" w:rsidR="00FA2802" w:rsidRDefault="00FA2802" w:rsidP="00E87FEE">
      <w:pPr>
        <w:spacing w:after="0" w:line="276" w:lineRule="auto"/>
        <w:ind w:right="49"/>
        <w:jc w:val="center"/>
        <w:rPr>
          <w:rFonts w:eastAsia="Times New Roman" w:cs="Times New Roman"/>
          <w:b/>
          <w:szCs w:val="24"/>
          <w:lang w:eastAsia="lv-LV"/>
        </w:rPr>
      </w:pPr>
      <w:r w:rsidRPr="00201838">
        <w:rPr>
          <w:rFonts w:eastAsia="Times New Roman" w:cs="Times New Roman"/>
          <w:b/>
          <w:szCs w:val="24"/>
          <w:lang w:eastAsia="lv-LV"/>
        </w:rPr>
        <w:t xml:space="preserve">Latvijas Republikas </w:t>
      </w:r>
      <w:r>
        <w:rPr>
          <w:rFonts w:eastAsia="Times New Roman" w:cs="Times New Roman"/>
          <w:b/>
          <w:szCs w:val="24"/>
          <w:lang w:eastAsia="lv-LV"/>
        </w:rPr>
        <w:t>Senāt</w:t>
      </w:r>
      <w:r w:rsidR="00E87FEE">
        <w:rPr>
          <w:rFonts w:eastAsia="Times New Roman" w:cs="Times New Roman"/>
          <w:b/>
          <w:szCs w:val="24"/>
          <w:lang w:eastAsia="lv-LV"/>
        </w:rPr>
        <w:t>a</w:t>
      </w:r>
    </w:p>
    <w:p w14:paraId="06E39676" w14:textId="2591472C" w:rsidR="00E87FEE" w:rsidRDefault="00E87FEE" w:rsidP="00E87FEE">
      <w:pPr>
        <w:spacing w:after="0" w:line="276" w:lineRule="auto"/>
        <w:ind w:right="49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>Civillietu departamenta</w:t>
      </w:r>
    </w:p>
    <w:p w14:paraId="5164237F" w14:textId="17105A9A" w:rsidR="00E87FEE" w:rsidRPr="00201838" w:rsidRDefault="00E87FEE" w:rsidP="00E87FEE">
      <w:pPr>
        <w:spacing w:after="0" w:line="276" w:lineRule="auto"/>
        <w:ind w:right="49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>2022. gada 20. decembra</w:t>
      </w:r>
    </w:p>
    <w:p w14:paraId="57B77A50" w14:textId="69708E19" w:rsidR="00FA2802" w:rsidRDefault="00FA2802" w:rsidP="00E87FEE">
      <w:pPr>
        <w:spacing w:after="0" w:line="276" w:lineRule="auto"/>
        <w:ind w:right="49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>LĒMUMS</w:t>
      </w:r>
    </w:p>
    <w:p w14:paraId="1E085237" w14:textId="4E72054E" w:rsidR="00E87FEE" w:rsidRDefault="00E87FEE" w:rsidP="00E87FEE">
      <w:pPr>
        <w:spacing w:after="0" w:line="276" w:lineRule="auto"/>
        <w:ind w:right="49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>Lieta Nr. SPC-23/2022</w:t>
      </w:r>
    </w:p>
    <w:p w14:paraId="647A0655" w14:textId="77777777" w:rsidR="00E87FEE" w:rsidRPr="002328AE" w:rsidRDefault="00E87FEE" w:rsidP="00E87FEE">
      <w:pPr>
        <w:spacing w:after="0" w:line="276" w:lineRule="auto"/>
        <w:ind w:right="49"/>
        <w:jc w:val="center"/>
        <w:rPr>
          <w:b/>
          <w:szCs w:val="24"/>
        </w:rPr>
      </w:pPr>
      <w:r>
        <w:rPr>
          <w:rFonts w:ascii="TimesNewRomanPSMT" w:hAnsi="TimesNewRomanPSMT" w:cs="TimesNewRomanPSMT"/>
          <w:color w:val="000081"/>
          <w:szCs w:val="24"/>
        </w:rPr>
        <w:t>ECLI:LV:AT:2022:1220.SPC002322.5.L</w:t>
      </w:r>
    </w:p>
    <w:p w14:paraId="669D46D0" w14:textId="77777777" w:rsidR="008A5EF7" w:rsidRDefault="008A5EF7" w:rsidP="00E87FEE">
      <w:pPr>
        <w:spacing w:after="0" w:line="276" w:lineRule="auto"/>
        <w:ind w:right="-514" w:firstLine="567"/>
        <w:jc w:val="both"/>
        <w:rPr>
          <w:rFonts w:eastAsia="Times New Roman" w:cs="Times New Roman"/>
          <w:szCs w:val="24"/>
          <w:lang w:eastAsia="lv-LV"/>
        </w:rPr>
      </w:pPr>
    </w:p>
    <w:p w14:paraId="01782549" w14:textId="77777777" w:rsidR="00FA2802" w:rsidRPr="00201838" w:rsidRDefault="00FA2802" w:rsidP="00E87FEE">
      <w:pPr>
        <w:spacing w:after="0" w:line="276" w:lineRule="auto"/>
        <w:ind w:right="-514" w:firstLine="567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Senāts</w:t>
      </w:r>
      <w:r w:rsidRPr="00201838">
        <w:rPr>
          <w:rFonts w:eastAsia="Times New Roman" w:cs="Times New Roman"/>
          <w:szCs w:val="24"/>
          <w:lang w:eastAsia="lv-LV"/>
        </w:rPr>
        <w:t xml:space="preserve"> šādā sastāvā: </w:t>
      </w:r>
    </w:p>
    <w:p w14:paraId="793B1CB6" w14:textId="77777777" w:rsidR="00FA2802" w:rsidRPr="00201838" w:rsidRDefault="00FA2802" w:rsidP="00E87FEE">
      <w:pPr>
        <w:spacing w:after="0" w:line="276" w:lineRule="auto"/>
        <w:ind w:right="-514" w:firstLine="1134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senators referents</w:t>
      </w:r>
      <w:r w:rsidRPr="00201838">
        <w:rPr>
          <w:rFonts w:eastAsia="Times New Roman" w:cs="Times New Roman"/>
          <w:szCs w:val="24"/>
          <w:lang w:eastAsia="lv-LV"/>
        </w:rPr>
        <w:t xml:space="preserve"> Intars Bisters,</w:t>
      </w:r>
    </w:p>
    <w:p w14:paraId="6BC95EFD" w14:textId="63657808" w:rsidR="00FA2802" w:rsidRPr="00201838" w:rsidRDefault="00FA2802" w:rsidP="00E87FEE">
      <w:pPr>
        <w:spacing w:after="0" w:line="276" w:lineRule="auto"/>
        <w:ind w:left="414" w:right="-514" w:firstLine="72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senator</w:t>
      </w:r>
      <w:r w:rsidR="003D3387">
        <w:rPr>
          <w:rFonts w:eastAsia="Times New Roman" w:cs="Times New Roman"/>
          <w:szCs w:val="24"/>
          <w:lang w:eastAsia="lv-LV"/>
        </w:rPr>
        <w:t>e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="003D3387" w:rsidRPr="003D3387">
        <w:rPr>
          <w:rFonts w:eastAsia="Times New Roman" w:cs="Times New Roman"/>
          <w:szCs w:val="24"/>
          <w:lang w:eastAsia="lv-LV"/>
        </w:rPr>
        <w:t>Dzintra Balta</w:t>
      </w:r>
      <w:r w:rsidRPr="00201838">
        <w:rPr>
          <w:rFonts w:eastAsia="Times New Roman" w:cs="Times New Roman"/>
          <w:szCs w:val="24"/>
          <w:lang w:eastAsia="lv-LV"/>
        </w:rPr>
        <w:t>,</w:t>
      </w:r>
    </w:p>
    <w:p w14:paraId="274DF271" w14:textId="6B05F817" w:rsidR="00FA2802" w:rsidRDefault="00FA2802" w:rsidP="00E87FEE">
      <w:pPr>
        <w:spacing w:after="0" w:line="276" w:lineRule="auto"/>
        <w:ind w:right="-514" w:firstLine="1134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senatore </w:t>
      </w:r>
      <w:r w:rsidR="003D3387" w:rsidRPr="003D3387">
        <w:rPr>
          <w:rFonts w:eastAsia="Times New Roman" w:cs="Times New Roman"/>
          <w:szCs w:val="24"/>
          <w:lang w:eastAsia="lv-LV"/>
        </w:rPr>
        <w:t>Kristīne Zīle</w:t>
      </w:r>
    </w:p>
    <w:p w14:paraId="5F0B7F64" w14:textId="77777777" w:rsidR="00E87FEE" w:rsidRPr="00201838" w:rsidRDefault="00E87FEE" w:rsidP="00E87FEE">
      <w:pPr>
        <w:spacing w:after="0" w:line="276" w:lineRule="auto"/>
        <w:ind w:right="-514" w:firstLine="1134"/>
        <w:jc w:val="both"/>
        <w:rPr>
          <w:rFonts w:eastAsia="Times New Roman" w:cs="Times New Roman"/>
          <w:szCs w:val="24"/>
          <w:lang w:eastAsia="lv-LV"/>
        </w:rPr>
      </w:pPr>
    </w:p>
    <w:p w14:paraId="24B70B19" w14:textId="6FA1EC5C" w:rsidR="00EE4654" w:rsidRPr="003D3387" w:rsidRDefault="00FA2802" w:rsidP="00E87FEE">
      <w:pPr>
        <w:spacing w:after="0" w:line="276" w:lineRule="auto"/>
        <w:ind w:firstLine="720"/>
        <w:jc w:val="both"/>
      </w:pPr>
      <w:r w:rsidRPr="00EF37AB">
        <w:rPr>
          <w:rFonts w:eastAsia="Times New Roman" w:cs="Times New Roman"/>
          <w:szCs w:val="24"/>
          <w:lang w:eastAsia="lv-LV"/>
        </w:rPr>
        <w:t>rakstveida procesā izskatīja</w:t>
      </w:r>
      <w:r>
        <w:rPr>
          <w:rFonts w:eastAsia="Times New Roman" w:cs="Times New Roman"/>
          <w:szCs w:val="24"/>
          <w:lang w:eastAsia="lv-LV"/>
        </w:rPr>
        <w:t xml:space="preserve"> </w:t>
      </w:r>
      <w:r>
        <w:t xml:space="preserve">ģenerālprokurora protestu par </w:t>
      </w:r>
      <w:r w:rsidR="003D3387">
        <w:t xml:space="preserve">Rēzeknes tiesas </w:t>
      </w:r>
      <w:r>
        <w:t xml:space="preserve">tiesneša </w:t>
      </w:r>
      <w:r w:rsidR="003D3387">
        <w:t>2022. gada 31. maija</w:t>
      </w:r>
      <w:r>
        <w:t xml:space="preserve"> lēmumu par izpildu raksta izsniegšanu </w:t>
      </w:r>
      <w:r w:rsidRPr="0002514B">
        <w:t xml:space="preserve">pastāvīgās </w:t>
      </w:r>
      <w:r>
        <w:t>šķīrējtiesas sprieduma piespiedu izpildei.</w:t>
      </w:r>
    </w:p>
    <w:p w14:paraId="0F6B8DEA" w14:textId="77777777" w:rsidR="00FA2802" w:rsidRDefault="00FA2802" w:rsidP="00E87FEE">
      <w:pPr>
        <w:spacing w:after="0" w:line="276" w:lineRule="auto"/>
        <w:ind w:right="71"/>
        <w:jc w:val="center"/>
        <w:rPr>
          <w:rFonts w:eastAsia="Times New Roman" w:cs="Times New Roman"/>
          <w:b/>
          <w:szCs w:val="24"/>
          <w:lang w:eastAsia="lv-LV"/>
        </w:rPr>
      </w:pPr>
      <w:r w:rsidRPr="00201838">
        <w:rPr>
          <w:rFonts w:eastAsia="Times New Roman" w:cs="Times New Roman"/>
          <w:b/>
          <w:szCs w:val="24"/>
          <w:lang w:eastAsia="lv-LV"/>
        </w:rPr>
        <w:t>Aprakstošā daļa</w:t>
      </w:r>
    </w:p>
    <w:p w14:paraId="2C300B32" w14:textId="77777777" w:rsidR="00FA2802" w:rsidRDefault="00FA2802" w:rsidP="00E87FEE">
      <w:pPr>
        <w:spacing w:after="0" w:line="276" w:lineRule="auto"/>
        <w:ind w:right="-46" w:firstLine="567"/>
        <w:jc w:val="both"/>
        <w:rPr>
          <w:rFonts w:eastAsia="Times New Roman" w:cs="Times New Roman"/>
          <w:color w:val="000000"/>
          <w:szCs w:val="24"/>
          <w:lang w:eastAsia="lv-LV"/>
        </w:rPr>
      </w:pPr>
    </w:p>
    <w:p w14:paraId="4A2A580D" w14:textId="4D3E0C58" w:rsidR="00FA2802" w:rsidRDefault="00FA2802" w:rsidP="00E87FEE">
      <w:pPr>
        <w:spacing w:after="0" w:line="276" w:lineRule="auto"/>
        <w:ind w:right="49" w:firstLine="567"/>
        <w:jc w:val="both"/>
        <w:rPr>
          <w:rFonts w:eastAsia="Times New Roman" w:cs="Times New Roman"/>
          <w:color w:val="000000"/>
          <w:szCs w:val="24"/>
          <w:lang w:eastAsia="lv-LV"/>
        </w:rPr>
      </w:pPr>
      <w:r>
        <w:rPr>
          <w:rFonts w:eastAsia="Times New Roman" w:cs="Times New Roman"/>
          <w:color w:val="000000"/>
          <w:szCs w:val="24"/>
          <w:lang w:eastAsia="lv-LV"/>
        </w:rPr>
        <w:t>[1]</w:t>
      </w:r>
      <w:r w:rsidR="008B55DB">
        <w:rPr>
          <w:rFonts w:eastAsia="Times New Roman" w:cs="Times New Roman"/>
          <w:color w:val="000000"/>
          <w:szCs w:val="24"/>
          <w:lang w:eastAsia="lv-LV"/>
        </w:rPr>
        <w:t> </w:t>
      </w:r>
      <w:r>
        <w:rPr>
          <w:rFonts w:eastAsia="Times New Roman" w:cs="Times New Roman"/>
          <w:color w:val="000000"/>
          <w:szCs w:val="24"/>
          <w:lang w:eastAsia="lv-LV"/>
        </w:rPr>
        <w:t xml:space="preserve">Ar </w:t>
      </w:r>
      <w:r w:rsidR="003D3387">
        <w:rPr>
          <w:rFonts w:eastAsia="Times New Roman" w:cs="Times New Roman"/>
          <w:color w:val="000000"/>
          <w:szCs w:val="24"/>
          <w:lang w:eastAsia="lv-LV"/>
        </w:rPr>
        <w:t>Rēzeknes tiesas</w:t>
      </w:r>
      <w:r>
        <w:rPr>
          <w:rFonts w:eastAsia="Times New Roman" w:cs="Times New Roman"/>
          <w:color w:val="000000"/>
          <w:szCs w:val="24"/>
          <w:lang w:eastAsia="lv-LV"/>
        </w:rPr>
        <w:t xml:space="preserve"> tiesneša </w:t>
      </w:r>
      <w:r w:rsidR="003D3387">
        <w:rPr>
          <w:rFonts w:eastAsia="Times New Roman" w:cs="Times New Roman"/>
          <w:color w:val="000000"/>
          <w:szCs w:val="24"/>
          <w:lang w:eastAsia="lv-LV"/>
        </w:rPr>
        <w:t>2022. gada 31. maija</w:t>
      </w:r>
      <w:r>
        <w:rPr>
          <w:rFonts w:eastAsia="Times New Roman" w:cs="Times New Roman"/>
          <w:color w:val="000000"/>
          <w:szCs w:val="24"/>
          <w:lang w:eastAsia="lv-LV"/>
        </w:rPr>
        <w:t xml:space="preserve"> lēmumu apmierināts </w:t>
      </w:r>
      <w:r w:rsidR="003D3387">
        <w:rPr>
          <w:rFonts w:eastAsia="Times New Roman" w:cs="Times New Roman"/>
          <w:color w:val="000000"/>
          <w:szCs w:val="24"/>
          <w:lang w:eastAsia="lv-LV"/>
        </w:rPr>
        <w:t>SIA ,,</w:t>
      </w:r>
      <w:proofErr w:type="spellStart"/>
      <w:r w:rsidR="003D3387" w:rsidRPr="003D3387">
        <w:rPr>
          <w:rFonts w:eastAsia="Times New Roman" w:cs="Times New Roman"/>
          <w:color w:val="000000"/>
          <w:szCs w:val="24"/>
          <w:lang w:eastAsia="lv-LV"/>
        </w:rPr>
        <w:t>Dotnuva</w:t>
      </w:r>
      <w:proofErr w:type="spellEnd"/>
      <w:r w:rsidR="003D3387" w:rsidRPr="003D3387">
        <w:rPr>
          <w:rFonts w:eastAsia="Times New Roman" w:cs="Times New Roman"/>
          <w:color w:val="000000"/>
          <w:szCs w:val="24"/>
          <w:lang w:eastAsia="lv-LV"/>
        </w:rPr>
        <w:t xml:space="preserve"> </w:t>
      </w:r>
      <w:proofErr w:type="spellStart"/>
      <w:r w:rsidR="003D3387" w:rsidRPr="003D3387">
        <w:rPr>
          <w:rFonts w:eastAsia="Times New Roman" w:cs="Times New Roman"/>
          <w:color w:val="000000"/>
          <w:szCs w:val="24"/>
          <w:lang w:eastAsia="lv-LV"/>
        </w:rPr>
        <w:t>Baltic</w:t>
      </w:r>
      <w:proofErr w:type="spellEnd"/>
      <w:r w:rsidR="003D3387">
        <w:rPr>
          <w:rFonts w:eastAsia="Times New Roman" w:cs="Times New Roman"/>
          <w:color w:val="000000"/>
          <w:szCs w:val="24"/>
          <w:lang w:eastAsia="lv-LV"/>
        </w:rPr>
        <w:t xml:space="preserve">” pieteikums par izpildu raksta izsniegšanu </w:t>
      </w:r>
      <w:r w:rsidR="00E24489">
        <w:rPr>
          <w:rFonts w:eastAsia="Times New Roman" w:cs="Times New Roman"/>
          <w:color w:val="000000"/>
          <w:szCs w:val="24"/>
          <w:lang w:eastAsia="lv-LV"/>
        </w:rPr>
        <w:t>Latvijas Tirdzniecības un rūpniecības kameras šķīrējtiesas 2022. gada 2. marta sprieduma piespiedu izpildei, ar kuru no SIA ,,</w:t>
      </w:r>
      <w:r w:rsidR="00E24489" w:rsidRPr="00E24489">
        <w:rPr>
          <w:rFonts w:eastAsia="Times New Roman" w:cs="Times New Roman"/>
          <w:color w:val="000000"/>
          <w:szCs w:val="24"/>
          <w:lang w:eastAsia="lv-LV"/>
        </w:rPr>
        <w:t>DAMPADRUVAS BUKI</w:t>
      </w:r>
      <w:r w:rsidR="00E24489">
        <w:rPr>
          <w:rFonts w:eastAsia="Times New Roman" w:cs="Times New Roman"/>
          <w:color w:val="000000"/>
          <w:szCs w:val="24"/>
          <w:lang w:eastAsia="lv-LV"/>
        </w:rPr>
        <w:t>” piedzīta rokas nauda 56 000 </w:t>
      </w:r>
      <w:r w:rsidR="00E24489">
        <w:rPr>
          <w:rFonts w:eastAsia="Times New Roman" w:cs="Times New Roman"/>
          <w:i/>
          <w:color w:val="000000"/>
          <w:szCs w:val="24"/>
          <w:lang w:eastAsia="lv-LV"/>
        </w:rPr>
        <w:t>euro</w:t>
      </w:r>
      <w:r w:rsidR="00E24489">
        <w:rPr>
          <w:rFonts w:eastAsia="Times New Roman" w:cs="Times New Roman"/>
          <w:color w:val="000000"/>
          <w:szCs w:val="24"/>
          <w:lang w:eastAsia="lv-LV"/>
        </w:rPr>
        <w:t>, likumiskie nokavējuma procenti 2650,67 </w:t>
      </w:r>
      <w:r w:rsidR="00E24489">
        <w:rPr>
          <w:rFonts w:eastAsia="Times New Roman" w:cs="Times New Roman"/>
          <w:i/>
          <w:color w:val="000000"/>
          <w:szCs w:val="24"/>
          <w:lang w:eastAsia="lv-LV"/>
        </w:rPr>
        <w:t xml:space="preserve">euro </w:t>
      </w:r>
      <w:r w:rsidR="00E24489">
        <w:rPr>
          <w:rFonts w:eastAsia="Times New Roman" w:cs="Times New Roman"/>
          <w:color w:val="000000"/>
          <w:szCs w:val="24"/>
          <w:lang w:eastAsia="lv-LV"/>
        </w:rPr>
        <w:t>un šķīrējtiesas procesa izdevumi.</w:t>
      </w:r>
    </w:p>
    <w:p w14:paraId="0E49843B" w14:textId="1423654B" w:rsidR="000B238A" w:rsidRPr="00E24489" w:rsidRDefault="00E24489" w:rsidP="00E87FEE">
      <w:pPr>
        <w:spacing w:after="0" w:line="276" w:lineRule="auto"/>
        <w:ind w:right="49" w:firstLine="567"/>
        <w:jc w:val="both"/>
        <w:rPr>
          <w:rFonts w:eastAsia="Times New Roman" w:cs="Times New Roman"/>
          <w:color w:val="000000"/>
          <w:szCs w:val="24"/>
          <w:lang w:eastAsia="lv-LV"/>
        </w:rPr>
      </w:pPr>
      <w:r>
        <w:rPr>
          <w:rFonts w:eastAsia="Times New Roman" w:cs="Times New Roman"/>
          <w:color w:val="000000"/>
          <w:szCs w:val="24"/>
          <w:lang w:eastAsia="lv-LV"/>
        </w:rPr>
        <w:t>Lēmumā tostarp norādīts, ka</w:t>
      </w:r>
      <w:r w:rsidR="00B30EE6">
        <w:rPr>
          <w:rFonts w:eastAsia="Times New Roman" w:cs="Times New Roman"/>
          <w:color w:val="000000"/>
          <w:szCs w:val="24"/>
          <w:lang w:eastAsia="lv-LV"/>
        </w:rPr>
        <w:t xml:space="preserve"> </w:t>
      </w:r>
      <w:r w:rsidR="00D70F26">
        <w:rPr>
          <w:rFonts w:eastAsia="Times New Roman" w:cs="Times New Roman"/>
          <w:color w:val="000000"/>
          <w:szCs w:val="24"/>
          <w:lang w:eastAsia="lv-LV"/>
        </w:rPr>
        <w:t>pamats atteikumam izsniegt i</w:t>
      </w:r>
      <w:r w:rsidR="00D70F26" w:rsidRPr="00C441DF">
        <w:rPr>
          <w:rFonts w:eastAsia="Times New Roman" w:cs="Times New Roman"/>
          <w:color w:val="000000"/>
          <w:szCs w:val="24"/>
          <w:lang w:eastAsia="lv-LV"/>
        </w:rPr>
        <w:t>zpildu rakst</w:t>
      </w:r>
      <w:r w:rsidR="00D70F26">
        <w:rPr>
          <w:rFonts w:eastAsia="Times New Roman" w:cs="Times New Roman"/>
          <w:color w:val="000000"/>
          <w:szCs w:val="24"/>
          <w:lang w:eastAsia="lv-LV"/>
        </w:rPr>
        <w:t>u saskaņā ar</w:t>
      </w:r>
      <w:r w:rsidR="00C441DF">
        <w:rPr>
          <w:rFonts w:eastAsia="Times New Roman" w:cs="Times New Roman"/>
          <w:color w:val="000000"/>
          <w:szCs w:val="24"/>
          <w:lang w:eastAsia="lv-LV"/>
        </w:rPr>
        <w:t xml:space="preserve"> Civilprocesa likuma 536. panta </w:t>
      </w:r>
      <w:r w:rsidR="00B30EE6">
        <w:rPr>
          <w:rFonts w:eastAsia="Times New Roman" w:cs="Times New Roman"/>
          <w:color w:val="000000"/>
          <w:szCs w:val="24"/>
          <w:lang w:eastAsia="lv-LV"/>
        </w:rPr>
        <w:t>pirm</w:t>
      </w:r>
      <w:r w:rsidR="00D70F26">
        <w:rPr>
          <w:rFonts w:eastAsia="Times New Roman" w:cs="Times New Roman"/>
          <w:color w:val="000000"/>
          <w:szCs w:val="24"/>
          <w:lang w:eastAsia="lv-LV"/>
        </w:rPr>
        <w:t>o</w:t>
      </w:r>
      <w:r w:rsidR="00B30EE6">
        <w:rPr>
          <w:rFonts w:eastAsia="Times New Roman" w:cs="Times New Roman"/>
          <w:color w:val="000000"/>
          <w:szCs w:val="24"/>
          <w:lang w:eastAsia="lv-LV"/>
        </w:rPr>
        <w:t xml:space="preserve"> daļ</w:t>
      </w:r>
      <w:r w:rsidR="00D70F26">
        <w:rPr>
          <w:rFonts w:eastAsia="Times New Roman" w:cs="Times New Roman"/>
          <w:color w:val="000000"/>
          <w:szCs w:val="24"/>
          <w:lang w:eastAsia="lv-LV"/>
        </w:rPr>
        <w:t>u</w:t>
      </w:r>
      <w:r w:rsidR="00B30EE6">
        <w:rPr>
          <w:rFonts w:eastAsia="Times New Roman" w:cs="Times New Roman"/>
          <w:color w:val="000000"/>
          <w:szCs w:val="24"/>
          <w:lang w:eastAsia="lv-LV"/>
        </w:rPr>
        <w:t xml:space="preserve"> </w:t>
      </w:r>
      <w:r w:rsidR="00D70F26">
        <w:rPr>
          <w:rFonts w:eastAsia="Times New Roman" w:cs="Times New Roman"/>
          <w:color w:val="000000"/>
          <w:szCs w:val="24"/>
          <w:lang w:eastAsia="lv-LV"/>
        </w:rPr>
        <w:t xml:space="preserve">var būt </w:t>
      </w:r>
      <w:r w:rsidR="00B30EE6">
        <w:rPr>
          <w:rFonts w:eastAsia="Times New Roman" w:cs="Times New Roman"/>
          <w:color w:val="000000"/>
          <w:szCs w:val="24"/>
          <w:lang w:eastAsia="lv-LV"/>
        </w:rPr>
        <w:t>tikai procesuālo tiesību normu pārkāpumi</w:t>
      </w:r>
      <w:r w:rsidR="00D70F26">
        <w:rPr>
          <w:rFonts w:eastAsia="Times New Roman" w:cs="Times New Roman"/>
          <w:color w:val="000000"/>
          <w:szCs w:val="24"/>
          <w:lang w:eastAsia="lv-LV"/>
        </w:rPr>
        <w:t>.</w:t>
      </w:r>
      <w:r w:rsidR="00C441DF">
        <w:rPr>
          <w:rFonts w:eastAsia="Times New Roman" w:cs="Times New Roman"/>
          <w:color w:val="000000"/>
          <w:szCs w:val="24"/>
          <w:lang w:eastAsia="lv-LV"/>
        </w:rPr>
        <w:t xml:space="preserve"> Š</w:t>
      </w:r>
      <w:r>
        <w:rPr>
          <w:rFonts w:eastAsia="Times New Roman" w:cs="Times New Roman"/>
          <w:color w:val="000000"/>
          <w:szCs w:val="24"/>
          <w:lang w:eastAsia="lv-LV"/>
        </w:rPr>
        <w:t>ķīrējtiesas spriedumā ir ietverti motīvi, kas pamatoti ar materiālo tiesību normām un pušu starpā nodibinātajām saistībām</w:t>
      </w:r>
      <w:r w:rsidR="00D70F26">
        <w:rPr>
          <w:rFonts w:eastAsia="Times New Roman" w:cs="Times New Roman"/>
          <w:color w:val="000000"/>
          <w:szCs w:val="24"/>
          <w:lang w:eastAsia="lv-LV"/>
        </w:rPr>
        <w:t>. Tā</w:t>
      </w:r>
      <w:r>
        <w:rPr>
          <w:rFonts w:eastAsia="Times New Roman" w:cs="Times New Roman"/>
          <w:color w:val="000000"/>
          <w:szCs w:val="24"/>
          <w:lang w:eastAsia="lv-LV"/>
        </w:rPr>
        <w:t xml:space="preserve"> pārvērtēšana nav vispārēj</w:t>
      </w:r>
      <w:r w:rsidR="00C441DF">
        <w:rPr>
          <w:rFonts w:eastAsia="Times New Roman" w:cs="Times New Roman"/>
          <w:color w:val="000000"/>
          <w:szCs w:val="24"/>
          <w:lang w:eastAsia="lv-LV"/>
        </w:rPr>
        <w:t>ās jurisdikcijas tiesas kompetencē</w:t>
      </w:r>
      <w:r>
        <w:rPr>
          <w:rFonts w:eastAsia="Times New Roman" w:cs="Times New Roman"/>
          <w:color w:val="000000"/>
          <w:szCs w:val="24"/>
          <w:lang w:eastAsia="lv-LV"/>
        </w:rPr>
        <w:t>.</w:t>
      </w:r>
    </w:p>
    <w:p w14:paraId="5580D139" w14:textId="77777777" w:rsidR="00FA2802" w:rsidRDefault="00FA2802" w:rsidP="00E87FEE">
      <w:pPr>
        <w:spacing w:after="0" w:line="276" w:lineRule="auto"/>
        <w:ind w:right="49" w:firstLine="567"/>
        <w:jc w:val="both"/>
      </w:pPr>
    </w:p>
    <w:p w14:paraId="52276C78" w14:textId="2135ED7B" w:rsidR="003C1982" w:rsidRDefault="00C441DF" w:rsidP="00E87FEE">
      <w:pPr>
        <w:spacing w:after="0" w:line="276" w:lineRule="auto"/>
        <w:ind w:right="49" w:firstLine="567"/>
        <w:jc w:val="both"/>
      </w:pPr>
      <w:r>
        <w:t xml:space="preserve">[2] Par minēto lēmumu ģenerālprokurors </w:t>
      </w:r>
      <w:r w:rsidR="00FA2802">
        <w:t>Civilprocesa likuma 60.</w:t>
      </w:r>
      <w:r>
        <w:t xml:space="preserve"> nodaļas kārtībā </w:t>
      </w:r>
      <w:r w:rsidR="00FA2802">
        <w:t>iesniedzis protestu</w:t>
      </w:r>
      <w:r w:rsidR="008933CB">
        <w:t xml:space="preserve">, lūdzot to atcelt </w:t>
      </w:r>
      <w:r w:rsidR="00020C20">
        <w:t>būtisku procesuālo tiesību normu pārkāpumu dēļ</w:t>
      </w:r>
      <w:r w:rsidR="008933CB">
        <w:t xml:space="preserve">. </w:t>
      </w:r>
    </w:p>
    <w:p w14:paraId="3C913061" w14:textId="60EC87CF" w:rsidR="00D23437" w:rsidRDefault="002563D6" w:rsidP="00E87FEE">
      <w:pPr>
        <w:spacing w:after="0" w:line="276" w:lineRule="auto"/>
        <w:ind w:right="49" w:firstLine="567"/>
        <w:jc w:val="both"/>
      </w:pPr>
      <w:r>
        <w:t>Atbilstoši Civillikuma 1727. un 1728. pantam rokas naudas l</w:t>
      </w:r>
      <w:r w:rsidR="00024621">
        <w:t xml:space="preserve">īgums, ar ko tiek nodibināta </w:t>
      </w:r>
      <w:proofErr w:type="spellStart"/>
      <w:r w:rsidR="00024621" w:rsidRPr="00024621">
        <w:t>akcesor</w:t>
      </w:r>
      <w:r w:rsidR="00B12709">
        <w:t>a</w:t>
      </w:r>
      <w:proofErr w:type="spellEnd"/>
      <w:r w:rsidR="00024621" w:rsidRPr="00024621">
        <w:t xml:space="preserve"> </w:t>
      </w:r>
      <w:r w:rsidR="00024621">
        <w:t>saistība,</w:t>
      </w:r>
      <w:r w:rsidR="00024621" w:rsidRPr="00024621">
        <w:t xml:space="preserve"> </w:t>
      </w:r>
      <w:r w:rsidR="00024621">
        <w:t>uzskatāms par noslēgtu</w:t>
      </w:r>
      <w:r>
        <w:t xml:space="preserve"> tikai ar </w:t>
      </w:r>
      <w:r w:rsidR="00D23437">
        <w:t>rokas naudas izsniegšanas brīdi</w:t>
      </w:r>
      <w:r w:rsidR="001344A0">
        <w:t>. G</w:t>
      </w:r>
      <w:r w:rsidR="008933CB">
        <w:t xml:space="preserve">labājuma </w:t>
      </w:r>
      <w:r>
        <w:lastRenderedPageBreak/>
        <w:t xml:space="preserve">līgumā </w:t>
      </w:r>
      <w:r w:rsidR="00D70F26">
        <w:t>ietvertais apsolījums dot</w:t>
      </w:r>
      <w:r>
        <w:t xml:space="preserve"> rokas naud</w:t>
      </w:r>
      <w:r w:rsidR="00D70F26">
        <w:t>u</w:t>
      </w:r>
      <w:r w:rsidR="00B33858">
        <w:t>, nodrošinot</w:t>
      </w:r>
      <w:r w:rsidR="00D70F26">
        <w:t xml:space="preserve"> nākotnē slēdzam</w:t>
      </w:r>
      <w:r w:rsidR="00B33858">
        <w:t>o</w:t>
      </w:r>
      <w:r w:rsidR="00D70F26">
        <w:t xml:space="preserve"> pirkuma līgum</w:t>
      </w:r>
      <w:r w:rsidR="00B33858">
        <w:t>u,</w:t>
      </w:r>
      <w:r>
        <w:t xml:space="preserve"> </w:t>
      </w:r>
      <w:r w:rsidR="008A5EF7">
        <w:t>nerada nekādas tiesiskās sekas</w:t>
      </w:r>
      <w:r>
        <w:t xml:space="preserve"> un nav </w:t>
      </w:r>
      <w:r w:rsidR="00D23437">
        <w:t>izpildām</w:t>
      </w:r>
      <w:r w:rsidR="00B33858">
        <w:t>s piespiedu kārtā</w:t>
      </w:r>
      <w:r>
        <w:t>.</w:t>
      </w:r>
    </w:p>
    <w:p w14:paraId="67814575" w14:textId="62C4AE40" w:rsidR="002563D6" w:rsidRDefault="00D23437" w:rsidP="00E87FEE">
      <w:pPr>
        <w:spacing w:after="0" w:line="276" w:lineRule="auto"/>
        <w:ind w:right="49" w:firstLine="567"/>
        <w:jc w:val="both"/>
      </w:pPr>
      <w:r>
        <w:t>P</w:t>
      </w:r>
      <w:r w:rsidR="008933CB">
        <w:t>iedzenot rokas naudu</w:t>
      </w:r>
      <w:r w:rsidRPr="00D23437">
        <w:t xml:space="preserve"> </w:t>
      </w:r>
      <w:r>
        <w:t>pēc glabājuma līguma izpildes</w:t>
      </w:r>
      <w:r w:rsidR="00E13644">
        <w:t xml:space="preserve">, </w:t>
      </w:r>
      <w:r>
        <w:t xml:space="preserve">šķīrējtiesa </w:t>
      </w:r>
      <w:r w:rsidR="005F7D5F">
        <w:t xml:space="preserve">piespiedu kārtā </w:t>
      </w:r>
      <w:r w:rsidR="008933CB">
        <w:t>nodibinājusi</w:t>
      </w:r>
      <w:r w:rsidR="00E13644">
        <w:t xml:space="preserve"> </w:t>
      </w:r>
      <w:r w:rsidR="00B33858">
        <w:t xml:space="preserve">rokas naudas </w:t>
      </w:r>
      <w:r w:rsidR="005F7D5F">
        <w:t>tiesiskās attiec</w:t>
      </w:r>
      <w:r w:rsidR="00024621">
        <w:t>ības, k</w:t>
      </w:r>
      <w:r w:rsidR="009D0709">
        <w:t xml:space="preserve">as ir pretrunā </w:t>
      </w:r>
      <w:proofErr w:type="spellStart"/>
      <w:r w:rsidR="009D0709">
        <w:t>privātautonomijas</w:t>
      </w:r>
      <w:proofErr w:type="spellEnd"/>
      <w:r w:rsidR="009D0709">
        <w:t xml:space="preserve"> principam. Šāda rakstura prasības</w:t>
      </w:r>
      <w:r w:rsidR="00024621">
        <w:t xml:space="preserve"> izskatīšana prasības tiesvedībā </w:t>
      </w:r>
      <w:r w:rsidR="009D0709">
        <w:t>n</w:t>
      </w:r>
      <w:r w:rsidR="00B33858">
        <w:t>av</w:t>
      </w:r>
      <w:r w:rsidR="00024621">
        <w:t xml:space="preserve"> pieļaujama.</w:t>
      </w:r>
    </w:p>
    <w:p w14:paraId="1BB504AB" w14:textId="6EF39FC6" w:rsidR="00967486" w:rsidRDefault="006D7734" w:rsidP="00E87FEE">
      <w:pPr>
        <w:spacing w:after="0" w:line="276" w:lineRule="auto"/>
        <w:ind w:right="49" w:firstLine="567"/>
        <w:jc w:val="both"/>
      </w:pPr>
      <w:r>
        <w:t xml:space="preserve">Ievērojot minēto kopsakarā ar Šķīrējtiesu likuma 5. pantā </w:t>
      </w:r>
      <w:r w:rsidR="00E47EDF">
        <w:t xml:space="preserve">noteiktajām </w:t>
      </w:r>
      <w:r>
        <w:t>šķīrējtiesas kompetenc</w:t>
      </w:r>
      <w:r w:rsidR="00E47EDF">
        <w:t>es robežām</w:t>
      </w:r>
      <w:r>
        <w:t>, secināms, ka</w:t>
      </w:r>
      <w:r w:rsidR="004A57F6">
        <w:t xml:space="preserve"> </w:t>
      </w:r>
      <w:r w:rsidR="00632E02">
        <w:t>pastāv</w:t>
      </w:r>
      <w:r w:rsidR="004A57F6">
        <w:t xml:space="preserve"> Civilprocesa likuma 536. panta pirmās daļas 6. punktā paredzēt</w:t>
      </w:r>
      <w:r w:rsidR="007465B8">
        <w:t>ais</w:t>
      </w:r>
      <w:r w:rsidR="004A57F6">
        <w:t xml:space="preserve"> šķērsli</w:t>
      </w:r>
      <w:r w:rsidR="007465B8">
        <w:t>s</w:t>
      </w:r>
      <w:r w:rsidR="004A57F6">
        <w:t xml:space="preserve"> pieteikuma apmierināšanai, jo šķīrējtiesas process nav noticis atbilstoši Šķīrējtiesu likuma noteikumiem. </w:t>
      </w:r>
    </w:p>
    <w:p w14:paraId="7F84C517" w14:textId="77777777" w:rsidR="00FA2802" w:rsidRPr="00537468" w:rsidRDefault="00FA2802" w:rsidP="00E87FEE">
      <w:pPr>
        <w:tabs>
          <w:tab w:val="left" w:pos="3828"/>
        </w:tabs>
        <w:spacing w:after="0" w:line="276" w:lineRule="auto"/>
        <w:ind w:right="71"/>
        <w:jc w:val="center"/>
      </w:pPr>
      <w:r w:rsidRPr="00201838">
        <w:rPr>
          <w:rFonts w:eastAsia="Times New Roman" w:cs="Times New Roman"/>
          <w:b/>
          <w:szCs w:val="24"/>
          <w:lang w:eastAsia="lv-LV"/>
        </w:rPr>
        <w:t>Motīvu daļa</w:t>
      </w:r>
    </w:p>
    <w:p w14:paraId="0FA72C8D" w14:textId="77777777" w:rsidR="00EE4654" w:rsidRDefault="00EE4654" w:rsidP="00E87FEE">
      <w:pPr>
        <w:spacing w:after="0" w:line="276" w:lineRule="auto"/>
        <w:ind w:right="49" w:firstLine="567"/>
        <w:jc w:val="both"/>
      </w:pPr>
    </w:p>
    <w:p w14:paraId="004A1B9D" w14:textId="75CBE8F8" w:rsidR="00FA2802" w:rsidRDefault="00967486" w:rsidP="00E87FEE">
      <w:pPr>
        <w:spacing w:after="0" w:line="276" w:lineRule="auto"/>
        <w:ind w:right="49" w:firstLine="567"/>
        <w:jc w:val="both"/>
      </w:pPr>
      <w:r>
        <w:t>[3</w:t>
      </w:r>
      <w:r w:rsidR="00FA2802">
        <w:t xml:space="preserve">] Pārbaudījis lietas materiālus un apsvēris protestā norādītos argumentus, Senāts atzīst, ka </w:t>
      </w:r>
      <w:r w:rsidR="00A562EE">
        <w:t>Rēzeknes tiesas</w:t>
      </w:r>
      <w:r w:rsidR="00FA2802">
        <w:t xml:space="preserve"> tiesneša </w:t>
      </w:r>
      <w:r w:rsidR="00A562EE">
        <w:t>2022. gada 31. maija</w:t>
      </w:r>
      <w:r w:rsidR="00FA2802">
        <w:t xml:space="preserve"> lēmums </w:t>
      </w:r>
      <w:r w:rsidR="004147D3">
        <w:t xml:space="preserve">ir </w:t>
      </w:r>
      <w:r w:rsidR="00FA2802">
        <w:t>atceļams.</w:t>
      </w:r>
    </w:p>
    <w:p w14:paraId="3612132D" w14:textId="77777777" w:rsidR="00FA2802" w:rsidRDefault="00FA2802" w:rsidP="00E87FEE">
      <w:pPr>
        <w:spacing w:after="0" w:line="276" w:lineRule="auto"/>
        <w:ind w:right="49" w:firstLine="567"/>
        <w:jc w:val="both"/>
      </w:pPr>
    </w:p>
    <w:p w14:paraId="7558C6A5" w14:textId="27785D4B" w:rsidR="00536F17" w:rsidRDefault="005664B1" w:rsidP="00E87FEE">
      <w:pPr>
        <w:tabs>
          <w:tab w:val="left" w:pos="1504"/>
        </w:tabs>
        <w:spacing w:after="0" w:line="276" w:lineRule="auto"/>
        <w:ind w:right="49" w:firstLine="567"/>
        <w:jc w:val="both"/>
      </w:pPr>
      <w:r>
        <w:t>[4]</w:t>
      </w:r>
      <w:r w:rsidR="00536F17">
        <w:t> </w:t>
      </w:r>
      <w:proofErr w:type="gramStart"/>
      <w:r w:rsidR="00536F17">
        <w:t xml:space="preserve">Kā to paredz Civilprocesa likuma </w:t>
      </w:r>
      <w:r w:rsidR="00F14AAC">
        <w:t>536. panta pirmās daļas 6. punkt</w:t>
      </w:r>
      <w:r w:rsidR="00536F17">
        <w:t>s,</w:t>
      </w:r>
      <w:r w:rsidR="00F14AAC">
        <w:t xml:space="preserve"> </w:t>
      </w:r>
      <w:r w:rsidR="004E0F4F">
        <w:t>šķīrējtiesas</w:t>
      </w:r>
      <w:proofErr w:type="gramEnd"/>
      <w:r w:rsidR="004E0F4F">
        <w:t xml:space="preserve"> spriedums nav nododams piespiedu izpildei</w:t>
      </w:r>
      <w:r w:rsidR="00DD0A11">
        <w:t xml:space="preserve"> </w:t>
      </w:r>
      <w:r w:rsidR="00F14AAC">
        <w:t xml:space="preserve">gadījumos, kad šķīrējtiesas procesā </w:t>
      </w:r>
      <w:r w:rsidR="00536F17">
        <w:t>neti</w:t>
      </w:r>
      <w:r w:rsidR="00631D7F">
        <w:t>ek</w:t>
      </w:r>
      <w:r w:rsidR="00536F17">
        <w:t xml:space="preserve"> ievēroti </w:t>
      </w:r>
      <w:r w:rsidR="00214370">
        <w:t xml:space="preserve">Šķīrējtiesu likuma </w:t>
      </w:r>
      <w:r w:rsidR="00536F17">
        <w:t>noteikumi.</w:t>
      </w:r>
    </w:p>
    <w:p w14:paraId="044A8E24" w14:textId="01550F3A" w:rsidR="00F05044" w:rsidRDefault="00590371" w:rsidP="00E87FEE">
      <w:pPr>
        <w:tabs>
          <w:tab w:val="left" w:pos="1504"/>
        </w:tabs>
        <w:spacing w:after="0" w:line="276" w:lineRule="auto"/>
        <w:ind w:right="49" w:firstLine="567"/>
        <w:jc w:val="both"/>
      </w:pPr>
      <w:r>
        <w:t>[4.1] </w:t>
      </w:r>
      <w:r w:rsidR="00F05044">
        <w:t xml:space="preserve">Senāts norāda, ka šajā tiesību normā noteiktās kontroles robežas pār šķīrējtiesas spriedumu </w:t>
      </w:r>
      <w:r w:rsidR="0015599E">
        <w:t>noskaidrojamas</w:t>
      </w:r>
      <w:r w:rsidR="00F05044">
        <w:t xml:space="preserve"> kontekstā ar Šķīrējtiesu likuma 1. pantu, </w:t>
      </w:r>
      <w:r w:rsidR="00127C61">
        <w:t>saskaņā ar k</w:t>
      </w:r>
      <w:r w:rsidR="00203092">
        <w:t>uru</w:t>
      </w:r>
      <w:r w:rsidR="00B46997">
        <w:t xml:space="preserve"> tiesiskā regulējuma viens no galvenajiem mērķiem ir </w:t>
      </w:r>
      <w:r w:rsidR="0071618B">
        <w:t>nodrošināt</w:t>
      </w:r>
      <w:r w:rsidR="00F05044">
        <w:t xml:space="preserve"> taisnīg</w:t>
      </w:r>
      <w:r w:rsidR="0071618B">
        <w:t xml:space="preserve">u </w:t>
      </w:r>
      <w:r w:rsidR="00F05044">
        <w:t>strīda izskatī</w:t>
      </w:r>
      <w:r w:rsidR="00B46997">
        <w:t xml:space="preserve">šanu </w:t>
      </w:r>
      <w:r w:rsidR="00F05044">
        <w:t xml:space="preserve">šķīrējtiesā. </w:t>
      </w:r>
      <w:r w:rsidR="00B46997">
        <w:t xml:space="preserve"> </w:t>
      </w:r>
    </w:p>
    <w:p w14:paraId="6BEC3AC3" w14:textId="22CF6B96" w:rsidR="002A0607" w:rsidRDefault="00097BAB" w:rsidP="00E87FEE">
      <w:pPr>
        <w:tabs>
          <w:tab w:val="left" w:pos="1504"/>
        </w:tabs>
        <w:spacing w:after="0" w:line="276" w:lineRule="auto"/>
        <w:ind w:right="49" w:firstLine="567"/>
        <w:jc w:val="both"/>
      </w:pPr>
      <w:r>
        <w:t>N</w:t>
      </w:r>
      <w:r w:rsidR="00F05044">
        <w:t xml:space="preserve">o Satversmes tiesas sprieduma izriet atziņa, ka </w:t>
      </w:r>
      <w:r w:rsidR="0095642E">
        <w:t>nav pieļaujama šķīrējtiesas sprieduma nodošana piespiedu izpildei, ja šķīrējtiesas procesā pieļauti personas pamattiesību pārkāpumi</w:t>
      </w:r>
      <w:r w:rsidR="003C3613">
        <w:t xml:space="preserve"> </w:t>
      </w:r>
      <w:r w:rsidR="0095642E">
        <w:t>(</w:t>
      </w:r>
      <w:r w:rsidR="0095642E" w:rsidRPr="00590371">
        <w:t>sk. arī </w:t>
      </w:r>
      <w:r w:rsidR="0095642E">
        <w:rPr>
          <w:i/>
          <w:iCs/>
        </w:rPr>
        <w:t>Satversmes tiesas 2005. gada 17. janvāra sprieduma lietā Nr. 2004-10-01 9.1. apakšpunktu</w:t>
      </w:r>
      <w:r w:rsidR="0095642E">
        <w:t>)</w:t>
      </w:r>
      <w:r w:rsidR="00B46997">
        <w:t>. Tāpat</w:t>
      </w:r>
      <w:r w:rsidR="00F05044">
        <w:t xml:space="preserve"> </w:t>
      </w:r>
      <w:r w:rsidR="002A0607">
        <w:t xml:space="preserve">prasība ievērot vispārējos tiesību principus šķīrējtiesas procesā </w:t>
      </w:r>
      <w:r w:rsidR="00F200AB">
        <w:t xml:space="preserve">ietverta </w:t>
      </w:r>
      <w:r w:rsidR="002A0607">
        <w:t xml:space="preserve">Šķīrējtiesu likuma 26. panta </w:t>
      </w:r>
      <w:r w:rsidR="00F200AB">
        <w:t>pirmajā daļā</w:t>
      </w:r>
      <w:r w:rsidR="002A0607">
        <w:t xml:space="preserve">. </w:t>
      </w:r>
    </w:p>
    <w:p w14:paraId="6A73DFE0" w14:textId="194E0415" w:rsidR="00732239" w:rsidRDefault="002A0607" w:rsidP="00E87FEE">
      <w:pPr>
        <w:tabs>
          <w:tab w:val="left" w:pos="1504"/>
        </w:tabs>
        <w:spacing w:after="0" w:line="276" w:lineRule="auto"/>
        <w:ind w:right="49" w:firstLine="567"/>
        <w:jc w:val="both"/>
      </w:pPr>
      <w:r>
        <w:t>V</w:t>
      </w:r>
      <w:r w:rsidR="00732239">
        <w:t>iena no personas pamattiesībām ir tiesības uz taisnīgu tiesu,</w:t>
      </w:r>
      <w:r w:rsidR="00082BDD">
        <w:t xml:space="preserve"> </w:t>
      </w:r>
      <w:r w:rsidR="006B5EF9">
        <w:t>no kā tostarp izriet</w:t>
      </w:r>
      <w:r w:rsidR="00082BDD">
        <w:t xml:space="preserve"> prasīb</w:t>
      </w:r>
      <w:r w:rsidR="006B5EF9">
        <w:t>a</w:t>
      </w:r>
      <w:r w:rsidR="00082BDD">
        <w:t xml:space="preserve"> nodrošināt taisnīgu lietas izskatīšanu, proti, katrā konkrētā gadījumā tiesai jāievēro taisnīguma princips. </w:t>
      </w:r>
      <w:r w:rsidR="00097BAB">
        <w:t>Attiecīgi t</w:t>
      </w:r>
      <w:r w:rsidR="006B5EF9">
        <w:t xml:space="preserve">aisnīgas tiesas garantija ir cieši saistīta ar pamatotiem, tiesību normām atbilstošiem nolēmumiem </w:t>
      </w:r>
      <w:r w:rsidR="00732239">
        <w:t>(</w:t>
      </w:r>
      <w:r w:rsidR="00732239" w:rsidRPr="00590371">
        <w:t>sk. arī</w:t>
      </w:r>
      <w:r w:rsidR="00732239">
        <w:rPr>
          <w:i/>
          <w:iCs/>
        </w:rPr>
        <w:t xml:space="preserve"> Satversmes tiesas 2003. gada 4. februāra spriedums lietā Nr. 2002-06-01</w:t>
      </w:r>
      <w:r w:rsidR="00732239">
        <w:t xml:space="preserve">). </w:t>
      </w:r>
    </w:p>
    <w:p w14:paraId="704C987C" w14:textId="659B775D" w:rsidR="002A0607" w:rsidRDefault="002A0607" w:rsidP="00E87FEE">
      <w:pPr>
        <w:tabs>
          <w:tab w:val="left" w:pos="1504"/>
        </w:tabs>
        <w:spacing w:after="0" w:line="276" w:lineRule="auto"/>
        <w:ind w:right="49" w:firstLine="567"/>
        <w:jc w:val="both"/>
      </w:pPr>
      <w:r>
        <w:t xml:space="preserve">Šķīrējtiesu </w:t>
      </w:r>
      <w:r w:rsidR="000B23A3">
        <w:t xml:space="preserve">likuma </w:t>
      </w:r>
      <w:proofErr w:type="gramStart"/>
      <w:r w:rsidR="009445AB">
        <w:t>1.panta</w:t>
      </w:r>
      <w:proofErr w:type="gramEnd"/>
      <w:r w:rsidR="009445AB">
        <w:t xml:space="preserve"> pirmās daļas priekšraksti</w:t>
      </w:r>
      <w:r w:rsidR="000B23A3">
        <w:t xml:space="preserve"> var tikt uzskatīt</w:t>
      </w:r>
      <w:r w:rsidR="009445AB">
        <w:t>i</w:t>
      </w:r>
      <w:r w:rsidR="000B23A3">
        <w:t xml:space="preserve"> par izpildīt</w:t>
      </w:r>
      <w:r w:rsidR="009445AB">
        <w:t>iem</w:t>
      </w:r>
      <w:r w:rsidR="000B23A3">
        <w:t xml:space="preserve"> tikai gadījumā, ja šķīrējtiesas sniegtais juridiskais vērtējums nav acīmredzami pretējs </w:t>
      </w:r>
      <w:r w:rsidR="003B378E">
        <w:t xml:space="preserve">nodibinātajiem lietas faktiskajiem apstākļiem un </w:t>
      </w:r>
      <w:proofErr w:type="spellStart"/>
      <w:r w:rsidR="000B23A3">
        <w:t>materiāltiesiskajam</w:t>
      </w:r>
      <w:proofErr w:type="spellEnd"/>
      <w:r w:rsidR="000B23A3">
        <w:t xml:space="preserve"> regulējumam. </w:t>
      </w:r>
    </w:p>
    <w:p w14:paraId="52BF31DD" w14:textId="0D75DD6B" w:rsidR="00FE5CB3" w:rsidRDefault="001344A0" w:rsidP="00E87FEE">
      <w:pPr>
        <w:spacing w:after="0" w:line="276" w:lineRule="auto"/>
        <w:ind w:right="49" w:firstLine="567"/>
        <w:jc w:val="both"/>
      </w:pPr>
      <w:bookmarkStart w:id="0" w:name="_Hlk118586769"/>
      <w:r>
        <w:t xml:space="preserve">[4.2] </w:t>
      </w:r>
      <w:r w:rsidR="003E4B1A">
        <w:t xml:space="preserve">Līdzīgi kā tas ir noteikts </w:t>
      </w:r>
      <w:r w:rsidR="00AC1A5D">
        <w:t>Civilprocesa likuma 23. panta pirmajā daļā attiecībā uz vispārējās jurisdikcijas ties</w:t>
      </w:r>
      <w:r w:rsidR="00166C04">
        <w:t>u</w:t>
      </w:r>
      <w:r w:rsidR="00AC1A5D">
        <w:t xml:space="preserve"> arī </w:t>
      </w:r>
      <w:r w:rsidR="003E4B1A">
        <w:t>Šķīrējtiesu likuma 5. panta pirm</w:t>
      </w:r>
      <w:r w:rsidR="00AC1A5D">
        <w:t>ā</w:t>
      </w:r>
      <w:r w:rsidR="003E4B1A">
        <w:t xml:space="preserve"> daļ</w:t>
      </w:r>
      <w:r w:rsidR="00AC1A5D">
        <w:t>a piešķir šķīrējtiesai kompetenci</w:t>
      </w:r>
      <w:r w:rsidR="00ED398A">
        <w:t xml:space="preserve"> skatīt civiltiesiskus strīdus</w:t>
      </w:r>
      <w:r w:rsidR="003E4B1A">
        <w:t>.</w:t>
      </w:r>
    </w:p>
    <w:p w14:paraId="20A04689" w14:textId="26ECD478" w:rsidR="00FE5CB3" w:rsidRDefault="00733CD8" w:rsidP="00E87FEE">
      <w:pPr>
        <w:spacing w:after="0" w:line="276" w:lineRule="auto"/>
        <w:ind w:right="49" w:firstLine="567"/>
        <w:jc w:val="both"/>
      </w:pPr>
      <w:r>
        <w:t>Attiecīgi</w:t>
      </w:r>
      <w:r w:rsidR="00FE5CB3">
        <w:t>,</w:t>
      </w:r>
      <w:r>
        <w:t xml:space="preserve"> l</w:t>
      </w:r>
      <w:r w:rsidR="000F3706">
        <w:t>ai</w:t>
      </w:r>
      <w:r w:rsidR="00166C04">
        <w:t xml:space="preserve"> izvērtētu iz</w:t>
      </w:r>
      <w:r w:rsidR="00FE5CB3">
        <w:t xml:space="preserve">šķiramā </w:t>
      </w:r>
      <w:r w:rsidR="00166C04">
        <w:t>jautājum</w:t>
      </w:r>
      <w:r w:rsidR="00FE5CB3">
        <w:t>a</w:t>
      </w:r>
      <w:r w:rsidR="00166C04">
        <w:t xml:space="preserve"> pakļautību civilajai prasības </w:t>
      </w:r>
      <w:r w:rsidR="000F3706">
        <w:t>tiesvedīb</w:t>
      </w:r>
      <w:r w:rsidR="00166C04">
        <w:t>as kārtībai</w:t>
      </w:r>
      <w:r w:rsidR="000F3706">
        <w:t>,</w:t>
      </w:r>
      <w:r w:rsidR="00EE36DE">
        <w:t xml:space="preserve"> </w:t>
      </w:r>
      <w:r w:rsidR="002208DA">
        <w:t xml:space="preserve">sākotnēji </w:t>
      </w:r>
      <w:r w:rsidR="00EE36DE">
        <w:t xml:space="preserve">ir </w:t>
      </w:r>
      <w:r w:rsidR="00A14D27">
        <w:t>nepieciešams noskaidrot</w:t>
      </w:r>
      <w:r w:rsidR="00FE5CB3">
        <w:t>, kādas aizskartās vai apstrīdētās civilās tiesības aizsardzības nolūkā</w:t>
      </w:r>
      <w:r w:rsidR="002208DA">
        <w:t xml:space="preserve"> </w:t>
      </w:r>
      <w:r w:rsidR="00FE5CB3">
        <w:t>prasība celta.</w:t>
      </w:r>
    </w:p>
    <w:bookmarkEnd w:id="0"/>
    <w:p w14:paraId="6E5E4A24" w14:textId="18D56FE4" w:rsidR="00380EF5" w:rsidRDefault="00DD0A11" w:rsidP="00E87FEE">
      <w:pPr>
        <w:spacing w:after="0" w:line="276" w:lineRule="auto"/>
        <w:ind w:firstLine="567"/>
        <w:jc w:val="both"/>
      </w:pPr>
      <w:r>
        <w:t>Savukārt</w:t>
      </w:r>
      <w:r w:rsidR="00A14D27">
        <w:t xml:space="preserve"> </w:t>
      </w:r>
      <w:r w:rsidR="00380EF5">
        <w:t xml:space="preserve">ja </w:t>
      </w:r>
      <w:r w:rsidR="00F96E2B">
        <w:t>šāda prasība</w:t>
      </w:r>
      <w:r w:rsidR="00380EF5">
        <w:t xml:space="preserve"> vispārīgi ir pieļaujama, turpmāk tiesnesim jāvērtē</w:t>
      </w:r>
      <w:r w:rsidR="003802E9">
        <w:t>, vai konkrētajai personai ir prasības tiesības</w:t>
      </w:r>
      <w:r w:rsidR="00380EF5">
        <w:t xml:space="preserve">, kas </w:t>
      </w:r>
      <w:r w:rsidR="002A0607">
        <w:t xml:space="preserve">visupirms </w:t>
      </w:r>
      <w:r w:rsidR="00380EF5">
        <w:t>izpaužas kā prasības aktīvais pamats, proti, ka prasītājam ir materiālā tiesība, kuras aizsardzību vai atjaunošanu viņš grib panākt</w:t>
      </w:r>
      <w:r w:rsidR="00B327E3">
        <w:t xml:space="preserve">. Tādējādi ja </w:t>
      </w:r>
      <w:r w:rsidR="00B327E3">
        <w:lastRenderedPageBreak/>
        <w:t>personai nepiemīt civilā tiesība vai cita likumā aizsargātā interese, k</w:t>
      </w:r>
      <w:r w:rsidR="007D5119">
        <w:t>uras</w:t>
      </w:r>
      <w:r w:rsidR="00B327E3">
        <w:t xml:space="preserve"> aizs</w:t>
      </w:r>
      <w:r w:rsidR="00D039AB">
        <w:t>tāvību</w:t>
      </w:r>
      <w:r w:rsidR="00B327E3">
        <w:t xml:space="preserve"> tā vēlas </w:t>
      </w:r>
      <w:r w:rsidR="00D039AB">
        <w:t>īstenot</w:t>
      </w:r>
      <w:r w:rsidR="00B327E3">
        <w:t xml:space="preserve"> tiesas ceļā</w:t>
      </w:r>
      <w:r w:rsidR="00380EF5">
        <w:t xml:space="preserve">, celtās prasības nepamatotība ir tik acīmredzama, ka pēc būtības nemaz nav apsverams jautājums par </w:t>
      </w:r>
      <w:r w:rsidR="00B327E3">
        <w:t>aizskāruma jeb prasības pasīvā pamata esību.</w:t>
      </w:r>
    </w:p>
    <w:p w14:paraId="024CE96E" w14:textId="3AA0E34E" w:rsidR="0093102E" w:rsidRDefault="004F2C43" w:rsidP="00E87FEE">
      <w:pPr>
        <w:spacing w:after="0" w:line="276" w:lineRule="auto"/>
        <w:ind w:firstLine="567"/>
        <w:jc w:val="both"/>
      </w:pPr>
      <w:r>
        <w:t xml:space="preserve">Ievērojot minēto, </w:t>
      </w:r>
      <w:r w:rsidR="007D44D0">
        <w:t xml:space="preserve">šķīrējtiesas procesa </w:t>
      </w:r>
      <w:r w:rsidR="00FE5CB3">
        <w:t>neatbilstība Šķīrējtiesu likuma prasībām</w:t>
      </w:r>
      <w:r w:rsidR="00701F4C">
        <w:t xml:space="preserve"> </w:t>
      </w:r>
      <w:r w:rsidR="007D44D0">
        <w:t>ir konstatējam</w:t>
      </w:r>
      <w:r w:rsidR="00FE5CB3">
        <w:t>a arī</w:t>
      </w:r>
      <w:r w:rsidR="007D44D0">
        <w:t xml:space="preserve"> gadījumos, kad pretēji </w:t>
      </w:r>
      <w:proofErr w:type="spellStart"/>
      <w:r w:rsidR="007D44D0">
        <w:t>materiāltiesiskajam</w:t>
      </w:r>
      <w:proofErr w:type="spellEnd"/>
      <w:r w:rsidR="007D44D0">
        <w:t xml:space="preserve"> regulējumam </w:t>
      </w:r>
      <w:r w:rsidR="00BF4A47">
        <w:t xml:space="preserve">ar šķīrējtiesas spriedumu </w:t>
      </w:r>
      <w:r w:rsidR="007D44D0">
        <w:t xml:space="preserve">apmierināta tāda prasība, kuras neatbilstība formālajiem pieļaujamības kritērijiem </w:t>
      </w:r>
      <w:r>
        <w:t>ir</w:t>
      </w:r>
      <w:r w:rsidR="007D44D0">
        <w:t xml:space="preserve"> patstāvīg</w:t>
      </w:r>
      <w:r>
        <w:t>s</w:t>
      </w:r>
      <w:r w:rsidR="007D44D0">
        <w:t xml:space="preserve"> šķērsli</w:t>
      </w:r>
      <w:r>
        <w:t>s</w:t>
      </w:r>
      <w:r w:rsidR="007D44D0">
        <w:t xml:space="preserve"> </w:t>
      </w:r>
      <w:r w:rsidR="00590371">
        <w:t>tiesvedība</w:t>
      </w:r>
      <w:r w:rsidR="00467620">
        <w:t>i</w:t>
      </w:r>
      <w:r w:rsidR="00590371">
        <w:t xml:space="preserve"> </w:t>
      </w:r>
      <w:r w:rsidR="00D83234">
        <w:t xml:space="preserve">šķīrējtiesā. Citiem vārdiem, ja </w:t>
      </w:r>
      <w:r w:rsidR="00706CF2">
        <w:t>atbilstoši tiesiskajam regulējumam prasība n</w:t>
      </w:r>
      <w:r w:rsidR="005F3004">
        <w:t>evar būt</w:t>
      </w:r>
      <w:r w:rsidR="00706CF2">
        <w:t xml:space="preserve"> pakļauta</w:t>
      </w:r>
      <w:r w:rsidR="00166C04">
        <w:t xml:space="preserve"> </w:t>
      </w:r>
      <w:r w:rsidR="00706CF2">
        <w:t xml:space="preserve">izskatīšanai </w:t>
      </w:r>
      <w:r w:rsidR="005F3004">
        <w:t xml:space="preserve">civilprocesuālā prasības tiesvedības kārtībā </w:t>
      </w:r>
      <w:r w:rsidR="00AE2310">
        <w:t xml:space="preserve">vai personai </w:t>
      </w:r>
      <w:r w:rsidR="005F3004">
        <w:t>nevar būt</w:t>
      </w:r>
      <w:r w:rsidR="00AE2310">
        <w:t xml:space="preserve"> </w:t>
      </w:r>
      <w:r w:rsidR="005F3004">
        <w:t xml:space="preserve">civilā </w:t>
      </w:r>
      <w:r w:rsidR="00AE2310">
        <w:t>prasības tiesīb</w:t>
      </w:r>
      <w:r w:rsidR="005F3004">
        <w:t>a</w:t>
      </w:r>
      <w:r w:rsidR="00AE2310">
        <w:t xml:space="preserve"> </w:t>
      </w:r>
      <w:r w:rsidR="00590371">
        <w:t>vispārējās jurisdikcijas tiesā</w:t>
      </w:r>
      <w:r w:rsidR="00166C04">
        <w:t>, t</w:t>
      </w:r>
      <w:r w:rsidR="00706CF2">
        <w:t>ad šāda prasība nevar</w:t>
      </w:r>
      <w:r w:rsidR="00AE2310">
        <w:t xml:space="preserve"> tikt</w:t>
      </w:r>
      <w:r w:rsidR="00706CF2">
        <w:t xml:space="preserve"> izskatī</w:t>
      </w:r>
      <w:r w:rsidR="00AE2310">
        <w:t>ta arī</w:t>
      </w:r>
      <w:r w:rsidR="00706CF2">
        <w:t xml:space="preserve"> šķīrējtiesā</w:t>
      </w:r>
      <w:r w:rsidR="00590371">
        <w:t>.</w:t>
      </w:r>
    </w:p>
    <w:p w14:paraId="0267DA9F" w14:textId="77777777" w:rsidR="00C07D0D" w:rsidRDefault="00C07D0D" w:rsidP="00E87FEE">
      <w:pPr>
        <w:spacing w:after="0" w:line="276" w:lineRule="auto"/>
        <w:ind w:firstLine="567"/>
        <w:jc w:val="both"/>
      </w:pPr>
    </w:p>
    <w:p w14:paraId="342A934A" w14:textId="1753382B" w:rsidR="00C660DA" w:rsidRDefault="009210A6" w:rsidP="00E87FEE">
      <w:pPr>
        <w:spacing w:after="0" w:line="276" w:lineRule="auto"/>
        <w:ind w:right="49" w:firstLine="567"/>
        <w:jc w:val="both"/>
      </w:pPr>
      <w:r>
        <w:t>[5] </w:t>
      </w:r>
      <w:r w:rsidR="008266BA">
        <w:t xml:space="preserve">Kā tas izriet no šķīrējtiesas spriedumā nodibinātajiem apstākļiem, </w:t>
      </w:r>
      <w:r w:rsidR="00706CF2">
        <w:t xml:space="preserve">prasība celta nolūkā panākt rokas naudas </w:t>
      </w:r>
      <w:r w:rsidR="00706CF2">
        <w:rPr>
          <w:rFonts w:eastAsia="Times New Roman" w:cs="Times New Roman"/>
          <w:color w:val="000000"/>
          <w:szCs w:val="24"/>
          <w:lang w:eastAsia="lv-LV"/>
        </w:rPr>
        <w:t>56 000 </w:t>
      </w:r>
      <w:r w:rsidR="00706CF2">
        <w:rPr>
          <w:rFonts w:eastAsia="Times New Roman" w:cs="Times New Roman"/>
          <w:i/>
          <w:color w:val="000000"/>
          <w:szCs w:val="24"/>
          <w:lang w:eastAsia="lv-LV"/>
        </w:rPr>
        <w:t>euro</w:t>
      </w:r>
      <w:r w:rsidR="00706CF2">
        <w:t xml:space="preserve"> samaksu piespiedu kārtā</w:t>
      </w:r>
      <w:r w:rsidR="00036F0E">
        <w:t>.</w:t>
      </w:r>
    </w:p>
    <w:p w14:paraId="1EDAF493" w14:textId="29977435" w:rsidR="0068072F" w:rsidRDefault="00D94EED" w:rsidP="00E87FEE">
      <w:pPr>
        <w:spacing w:after="0" w:line="276" w:lineRule="auto"/>
        <w:ind w:right="49" w:firstLine="567"/>
        <w:jc w:val="both"/>
      </w:pPr>
      <w:r>
        <w:t>A</w:t>
      </w:r>
      <w:r w:rsidR="00FA2D3C" w:rsidRPr="002003DE">
        <w:t>r rokas naudu jāsaprot tas, ko līgumu noslēdzot viena puse dod otrai ne</w:t>
      </w:r>
      <w:r w:rsidR="009116E6">
        <w:t xml:space="preserve"> </w:t>
      </w:r>
      <w:r w:rsidR="00FA2D3C" w:rsidRPr="002003DE">
        <w:t>vien par galīgi noslēgta līguma pierādījumu, bet līdz ar to arī par tā izpildījuma nodrošinājumu</w:t>
      </w:r>
      <w:r>
        <w:t xml:space="preserve">, kā to noteic Civillikuma </w:t>
      </w:r>
      <w:proofErr w:type="gramStart"/>
      <w:r>
        <w:t>1725.pants</w:t>
      </w:r>
      <w:proofErr w:type="gramEnd"/>
      <w:r w:rsidR="00FA2D3C" w:rsidRPr="002003DE">
        <w:t>.</w:t>
      </w:r>
      <w:r w:rsidR="00FA2D3C">
        <w:t xml:space="preserve"> </w:t>
      </w:r>
      <w:r w:rsidR="0024074A">
        <w:t xml:space="preserve">Atbilstoši minētās normas gramatiskajam tvērumam rokas naudai </w:t>
      </w:r>
      <w:r w:rsidR="0068072F">
        <w:t xml:space="preserve">ir </w:t>
      </w:r>
      <w:proofErr w:type="spellStart"/>
      <w:r w:rsidR="0068072F">
        <w:t>aksesora</w:t>
      </w:r>
      <w:r w:rsidR="00736B1D">
        <w:t>s</w:t>
      </w:r>
      <w:proofErr w:type="spellEnd"/>
      <w:r w:rsidR="00736B1D">
        <w:t xml:space="preserve"> sa</w:t>
      </w:r>
      <w:r w:rsidR="00B12709">
        <w:t>i</w:t>
      </w:r>
      <w:r w:rsidR="00736B1D">
        <w:t>stības</w:t>
      </w:r>
      <w:r w:rsidR="0068072F">
        <w:t xml:space="preserve"> daba</w:t>
      </w:r>
      <w:r w:rsidR="0024074A">
        <w:t xml:space="preserve">, </w:t>
      </w:r>
      <w:r w:rsidR="0068072F">
        <w:t xml:space="preserve">tā </w:t>
      </w:r>
      <w:r w:rsidR="0024074A">
        <w:t>nepastāv patstāvīgi</w:t>
      </w:r>
      <w:r w:rsidR="0068072F">
        <w:t>. Rokas naudas saistības</w:t>
      </w:r>
      <w:r w:rsidR="0024074A">
        <w:t xml:space="preserve"> mērķis ir pierādīt pamatsaistības esību, kā arī veicināt tās izpildi</w:t>
      </w:r>
      <w:r w:rsidR="0068072F">
        <w:t>.</w:t>
      </w:r>
    </w:p>
    <w:p w14:paraId="2F6DFC7F" w14:textId="0AA28DF3" w:rsidR="007049C4" w:rsidRDefault="00FA2D3C" w:rsidP="00E87FEE">
      <w:pPr>
        <w:spacing w:after="0" w:line="276" w:lineRule="auto"/>
        <w:ind w:firstLine="567"/>
        <w:jc w:val="both"/>
      </w:pPr>
      <w:r>
        <w:t>Savukārt atbilstoši Civillikuma 1727. pantam r</w:t>
      </w:r>
      <w:r w:rsidRPr="000B77C6">
        <w:t xml:space="preserve">okas naudas apsolījums vien nav pietiekošs, un tiesību nodibina tikai tās </w:t>
      </w:r>
      <w:r w:rsidRPr="00C073D3">
        <w:t>iedošana.</w:t>
      </w:r>
      <w:r w:rsidR="007049C4">
        <w:t xml:space="preserve"> </w:t>
      </w:r>
    </w:p>
    <w:p w14:paraId="46CD58F7" w14:textId="50E7E84B" w:rsidR="00FA2D3C" w:rsidRDefault="00892951" w:rsidP="00E87FEE">
      <w:pPr>
        <w:spacing w:after="0" w:line="276" w:lineRule="auto"/>
        <w:ind w:firstLine="567"/>
        <w:jc w:val="both"/>
      </w:pPr>
      <w:r>
        <w:t>Vispārīgi saistību izpildes nodrošināšana tiesas ceļā ir pakļauta izskatīšanai civilprocesuālā prasības tiesvedības kārtībā, taču</w:t>
      </w:r>
      <w:r w:rsidR="00FA2D3C">
        <w:t xml:space="preserve"> šķīrējtiesā pieteiktais </w:t>
      </w:r>
      <w:r w:rsidR="00D94EED">
        <w:t>strīds par</w:t>
      </w:r>
      <w:r w:rsidR="00FA2D3C">
        <w:t xml:space="preserve"> nesamaksāt</w:t>
      </w:r>
      <w:r w:rsidR="00D94EED">
        <w:t>ās</w:t>
      </w:r>
      <w:r w:rsidR="00FA2D3C">
        <w:t xml:space="preserve"> rokas naud</w:t>
      </w:r>
      <w:r w:rsidR="00D94EED">
        <w:t>as piedziņu</w:t>
      </w:r>
      <w:r w:rsidR="00FA2D3C">
        <w:t xml:space="preserve"> pēc savas būtības uzskatāms nevis par piespriešanas prasību, kas vērsta uz jau pastāvoš</w:t>
      </w:r>
      <w:r w:rsidR="00EF750D">
        <w:t>as</w:t>
      </w:r>
      <w:r w:rsidR="00FA2D3C">
        <w:t xml:space="preserve"> saistīb</w:t>
      </w:r>
      <w:r w:rsidR="00EF750D">
        <w:t>as</w:t>
      </w:r>
      <w:r w:rsidR="00FA2D3C">
        <w:t xml:space="preserve"> </w:t>
      </w:r>
      <w:r w:rsidR="00C660DA">
        <w:t xml:space="preserve">piespiedu </w:t>
      </w:r>
      <w:r w:rsidR="00FA2D3C">
        <w:t>izpildi, bet gan par konstitutīvu prasību, kuras mērķis ir nodibināt jaunu saistību.</w:t>
      </w:r>
    </w:p>
    <w:p w14:paraId="4EDAC8AF" w14:textId="71480256" w:rsidR="00FA2D3C" w:rsidRDefault="00736B1D" w:rsidP="00E87FEE">
      <w:pPr>
        <w:spacing w:after="0" w:line="276" w:lineRule="auto"/>
        <w:ind w:firstLine="567"/>
        <w:jc w:val="both"/>
      </w:pPr>
      <w:r>
        <w:t>T</w:t>
      </w:r>
      <w:r w:rsidR="0055338A">
        <w:t xml:space="preserve">iesisks pamats tiesas ceļā pieprasīt rokas naudas samaksu, pamatojoties uz apsolījumu, kas </w:t>
      </w:r>
      <w:r>
        <w:t xml:space="preserve">saskaņā ar </w:t>
      </w:r>
      <w:r w:rsidR="0055338A">
        <w:t>Civillikuma 1727. pant</w:t>
      </w:r>
      <w:r>
        <w:t>u</w:t>
      </w:r>
      <w:r w:rsidR="0055338A">
        <w:t xml:space="preserve"> nerada tiesiskas sekas</w:t>
      </w:r>
      <w:r>
        <w:t>, nepastāv</w:t>
      </w:r>
      <w:r w:rsidR="0055338A">
        <w:t>.</w:t>
      </w:r>
      <w:r w:rsidR="00C07D0D">
        <w:t xml:space="preserve"> </w:t>
      </w:r>
      <w:r w:rsidR="00892951">
        <w:t>Šāda</w:t>
      </w:r>
      <w:r w:rsidR="00C07D0D">
        <w:t>s</w:t>
      </w:r>
      <w:r w:rsidR="00892951">
        <w:t xml:space="preserve"> s</w:t>
      </w:r>
      <w:r w:rsidR="00497470">
        <w:t>aistīb</w:t>
      </w:r>
      <w:r w:rsidR="0055338A">
        <w:t>as</w:t>
      </w:r>
      <w:r w:rsidR="00497470">
        <w:t xml:space="preserve"> nodibināšana ar tiesas spriedumu ir</w:t>
      </w:r>
      <w:r w:rsidR="00802137">
        <w:t xml:space="preserve"> atkāpe no civiltiesībām raksturīgā </w:t>
      </w:r>
      <w:proofErr w:type="spellStart"/>
      <w:r w:rsidR="00802137">
        <w:t>privātautonomijas</w:t>
      </w:r>
      <w:proofErr w:type="spellEnd"/>
      <w:r w:rsidR="00802137">
        <w:t xml:space="preserve"> un līguma slēgšanas brīvības principa</w:t>
      </w:r>
      <w:r w:rsidR="00FA2D3C" w:rsidRPr="00637058">
        <w:t>.</w:t>
      </w:r>
    </w:p>
    <w:p w14:paraId="002524D8" w14:textId="5985B3B5" w:rsidR="00142432" w:rsidRDefault="00142432" w:rsidP="00E87FEE">
      <w:pPr>
        <w:spacing w:after="0" w:line="276" w:lineRule="auto"/>
        <w:ind w:right="49"/>
        <w:jc w:val="both"/>
      </w:pPr>
    </w:p>
    <w:p w14:paraId="2C0AE899" w14:textId="69EF8A9E" w:rsidR="009842E0" w:rsidRDefault="009842E0" w:rsidP="00E87FEE">
      <w:pPr>
        <w:spacing w:after="0" w:line="276" w:lineRule="auto"/>
        <w:ind w:right="49" w:firstLine="567"/>
        <w:jc w:val="both"/>
      </w:pPr>
      <w:r>
        <w:t>[</w:t>
      </w:r>
      <w:r w:rsidR="0055338A">
        <w:t>6</w:t>
      </w:r>
      <w:r>
        <w:t>] </w:t>
      </w:r>
      <w:r w:rsidR="0055338A">
        <w:t>Kā liecina šķīrējtiesas spriedums,</w:t>
      </w:r>
      <w:r w:rsidR="00C07D0D">
        <w:t xml:space="preserve"> </w:t>
      </w:r>
      <w:r w:rsidR="0057128A">
        <w:t>š</w:t>
      </w:r>
      <w:r>
        <w:t xml:space="preserve">ķīrējtiesa nemaz nav pievērsusies rokas naudas institūta būtības un tās samaksas tiesisko seku skaidrošanai, tā vietā aprobežojoties ar vispārīgu atsaukšanos uz </w:t>
      </w:r>
      <w:proofErr w:type="spellStart"/>
      <w:r>
        <w:rPr>
          <w:i/>
        </w:rPr>
        <w:t>pacta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servanda</w:t>
      </w:r>
      <w:proofErr w:type="spellEnd"/>
      <w:r>
        <w:rPr>
          <w:i/>
        </w:rPr>
        <w:t xml:space="preserve"> </w:t>
      </w:r>
      <w:r>
        <w:t>(līgumi ir jāpilda) principu un nepilnīgi atreferētu juridisk</w:t>
      </w:r>
      <w:r w:rsidR="00A31DDA">
        <w:t>ajā</w:t>
      </w:r>
      <w:r>
        <w:t xml:space="preserve"> literatūr</w:t>
      </w:r>
      <w:r w:rsidR="00A31DDA">
        <w:t>ā paust</w:t>
      </w:r>
      <w:r w:rsidR="007201FB">
        <w:t>u</w:t>
      </w:r>
      <w:r>
        <w:t xml:space="preserve"> atziņu</w:t>
      </w:r>
      <w:r w:rsidR="007D5119">
        <w:t>.</w:t>
      </w:r>
      <w:r>
        <w:t xml:space="preserve"> </w:t>
      </w:r>
    </w:p>
    <w:p w14:paraId="5715B165" w14:textId="25DA7944" w:rsidR="009842E0" w:rsidRDefault="009842E0" w:rsidP="00E87FEE">
      <w:pPr>
        <w:spacing w:after="0" w:line="276" w:lineRule="auto"/>
        <w:ind w:right="49" w:firstLine="567"/>
        <w:jc w:val="both"/>
      </w:pPr>
      <w:r>
        <w:t>Šo motīvu pietiekamība, lai pretēji tiesiskajam regulējumam atzītu, k</w:t>
      </w:r>
      <w:r w:rsidR="00FB5D3E">
        <w:t xml:space="preserve">a var tikt celta prasība par </w:t>
      </w:r>
      <w:r>
        <w:t>rokas naudas, kuras samaksas mērķis ir</w:t>
      </w:r>
      <w:r w:rsidR="0057128A">
        <w:t xml:space="preserve"> </w:t>
      </w:r>
      <w:r w:rsidR="00884B19">
        <w:t xml:space="preserve">pierādīt un nodrošināt </w:t>
      </w:r>
      <w:r w:rsidR="0057128A">
        <w:t xml:space="preserve">starp pusēm </w:t>
      </w:r>
      <w:r w:rsidR="00E96DEA">
        <w:t>pastāvoš</w:t>
      </w:r>
      <w:r w:rsidR="00884B19">
        <w:t>u</w:t>
      </w:r>
      <w:r w:rsidR="00E96DEA">
        <w:t xml:space="preserve"> </w:t>
      </w:r>
      <w:r w:rsidR="00393B5A">
        <w:t>galven</w:t>
      </w:r>
      <w:r w:rsidR="00884B19">
        <w:t>o</w:t>
      </w:r>
      <w:r w:rsidR="00393B5A">
        <w:t xml:space="preserve"> </w:t>
      </w:r>
      <w:r>
        <w:t>saistīb</w:t>
      </w:r>
      <w:r w:rsidR="00884B19">
        <w:t>u</w:t>
      </w:r>
      <w:r>
        <w:t xml:space="preserve">, </w:t>
      </w:r>
      <w:r w:rsidR="00574BB1">
        <w:t>piedziņu</w:t>
      </w:r>
      <w:r w:rsidR="00C07D0D">
        <w:t>,</w:t>
      </w:r>
      <w:r w:rsidR="00574BB1">
        <w:t xml:space="preserve"> </w:t>
      </w:r>
      <w:r>
        <w:t>pārbaudāmajā lēmumā vispār nav vērtēta.</w:t>
      </w:r>
      <w:r w:rsidRPr="0016698D">
        <w:t xml:space="preserve"> </w:t>
      </w:r>
      <w:r>
        <w:t>Tādā veidā pirmās instances tiesas tiesnesis par pieļaujamu atzin</w:t>
      </w:r>
      <w:r w:rsidR="00574BB1">
        <w:t>is</w:t>
      </w:r>
      <w:r>
        <w:t xml:space="preserve"> situāciju, kurā ar šķīrējtiesas spriedumu tiek apieta Civillikum</w:t>
      </w:r>
      <w:r w:rsidR="00DB1D98">
        <w:t>ā</w:t>
      </w:r>
      <w:r>
        <w:t xml:space="preserve"> noteiktā kārtība šāda rakstura saistību nodibināšanai</w:t>
      </w:r>
      <w:r w:rsidR="00884B19">
        <w:t xml:space="preserve"> labprātīgi</w:t>
      </w:r>
      <w:r>
        <w:t xml:space="preserve">. </w:t>
      </w:r>
    </w:p>
    <w:p w14:paraId="764362EE" w14:textId="1D787720" w:rsidR="009842E0" w:rsidRDefault="009842E0" w:rsidP="00E87FEE">
      <w:pPr>
        <w:spacing w:after="0" w:line="276" w:lineRule="auto"/>
        <w:ind w:right="49" w:firstLine="567"/>
        <w:jc w:val="both"/>
      </w:pPr>
      <w:r>
        <w:t>Ievērojot minēto, Senāts atzīst, ka protestā pamatoti norādīts uz būtiskiem procesuālo tiesību normu pārkāpumiem</w:t>
      </w:r>
      <w:r w:rsidR="00DB1D98">
        <w:t>,</w:t>
      </w:r>
      <w:r>
        <w:t xml:space="preserve"> pārbaudāmajā lēmumā tiesnesim pretēji Civilprocesa likuma 536. panta pirmās daļas 6. punkta prasībām nevērtējot šķīrējtiesas procesa atbilstību Šķīrējtiesu likuma noteikumiem, kas savukārt </w:t>
      </w:r>
      <w:r w:rsidR="00100A35">
        <w:t>ir</w:t>
      </w:r>
      <w:r>
        <w:t xml:space="preserve"> pamat</w:t>
      </w:r>
      <w:r w:rsidR="00100A35">
        <w:t>s</w:t>
      </w:r>
      <w:r>
        <w:t xml:space="preserve"> lēmuma atcelšanai.</w:t>
      </w:r>
    </w:p>
    <w:p w14:paraId="12372C3D" w14:textId="77777777" w:rsidR="009842E0" w:rsidRDefault="009842E0" w:rsidP="00E87FEE">
      <w:pPr>
        <w:spacing w:after="0" w:line="276" w:lineRule="auto"/>
        <w:ind w:right="49" w:firstLine="567"/>
        <w:jc w:val="both"/>
      </w:pPr>
    </w:p>
    <w:p w14:paraId="69A8E9AA" w14:textId="77777777" w:rsidR="009842E0" w:rsidRPr="00215395" w:rsidRDefault="009842E0" w:rsidP="00E87FEE">
      <w:pPr>
        <w:spacing w:after="0" w:line="276" w:lineRule="auto"/>
        <w:ind w:right="49"/>
        <w:jc w:val="center"/>
        <w:rPr>
          <w:b/>
          <w:bCs/>
        </w:rPr>
      </w:pPr>
      <w:r w:rsidRPr="00215395">
        <w:rPr>
          <w:b/>
          <w:bCs/>
        </w:rPr>
        <w:lastRenderedPageBreak/>
        <w:t>Rezolutīvā daļa</w:t>
      </w:r>
    </w:p>
    <w:p w14:paraId="1018FFDE" w14:textId="77777777" w:rsidR="009842E0" w:rsidRDefault="009842E0" w:rsidP="00E87FEE">
      <w:pPr>
        <w:spacing w:after="0" w:line="276" w:lineRule="auto"/>
        <w:ind w:right="49" w:firstLine="567"/>
        <w:jc w:val="both"/>
        <w:rPr>
          <w:szCs w:val="24"/>
        </w:rPr>
      </w:pPr>
    </w:p>
    <w:p w14:paraId="2A1CAAB6" w14:textId="77777777" w:rsidR="009842E0" w:rsidRDefault="009842E0" w:rsidP="00E87FEE">
      <w:pPr>
        <w:spacing w:after="0" w:line="276" w:lineRule="auto"/>
        <w:ind w:right="49" w:firstLine="567"/>
        <w:jc w:val="both"/>
        <w:rPr>
          <w:szCs w:val="24"/>
        </w:rPr>
      </w:pPr>
      <w:r>
        <w:rPr>
          <w:szCs w:val="24"/>
        </w:rPr>
        <w:t>Pamatojoties uz Civilprocesa likuma 474. panta 2. punktu un 485. pantu, Senāts</w:t>
      </w:r>
    </w:p>
    <w:p w14:paraId="28CDD166" w14:textId="1518CA6C" w:rsidR="009842E0" w:rsidRDefault="009842E0" w:rsidP="00E87FEE">
      <w:pPr>
        <w:spacing w:after="0" w:line="276" w:lineRule="auto"/>
        <w:ind w:right="49"/>
        <w:jc w:val="both"/>
      </w:pPr>
    </w:p>
    <w:p w14:paraId="7AE70241" w14:textId="77777777" w:rsidR="009842E0" w:rsidRDefault="009842E0" w:rsidP="00E87FEE">
      <w:pPr>
        <w:spacing w:after="0" w:line="276" w:lineRule="auto"/>
        <w:ind w:right="49"/>
        <w:jc w:val="center"/>
        <w:rPr>
          <w:szCs w:val="24"/>
        </w:rPr>
      </w:pPr>
      <w:r>
        <w:rPr>
          <w:b/>
          <w:szCs w:val="24"/>
        </w:rPr>
        <w:t>nolēma</w:t>
      </w:r>
    </w:p>
    <w:p w14:paraId="0B4E6D67" w14:textId="0EA5CDF7" w:rsidR="009842E0" w:rsidRDefault="009842E0" w:rsidP="00DE4EFB">
      <w:pPr>
        <w:spacing w:after="0" w:line="276" w:lineRule="auto"/>
        <w:ind w:right="51" w:firstLine="567"/>
        <w:jc w:val="both"/>
        <w:rPr>
          <w:szCs w:val="24"/>
        </w:rPr>
      </w:pPr>
    </w:p>
    <w:p w14:paraId="09DB3CF3" w14:textId="3ABDDCF1" w:rsidR="00E87FEE" w:rsidRPr="00E87FEE" w:rsidRDefault="00E87FEE" w:rsidP="00E87FEE">
      <w:pPr>
        <w:tabs>
          <w:tab w:val="left" w:pos="7545"/>
        </w:tabs>
        <w:spacing w:after="0" w:line="276" w:lineRule="auto"/>
        <w:rPr>
          <w:szCs w:val="24"/>
        </w:rPr>
      </w:pPr>
      <w:r>
        <w:rPr>
          <w:szCs w:val="24"/>
        </w:rPr>
        <w:tab/>
      </w:r>
    </w:p>
    <w:p w14:paraId="5AC7D093" w14:textId="77777777" w:rsidR="009842E0" w:rsidRPr="00120151" w:rsidRDefault="009842E0" w:rsidP="00E87FEE">
      <w:pPr>
        <w:spacing w:after="0" w:line="276" w:lineRule="auto"/>
        <w:ind w:right="49" w:firstLine="567"/>
        <w:jc w:val="both"/>
        <w:rPr>
          <w:szCs w:val="24"/>
        </w:rPr>
      </w:pPr>
      <w:r>
        <w:rPr>
          <w:szCs w:val="24"/>
        </w:rPr>
        <w:t>atcelt</w:t>
      </w:r>
      <w:r w:rsidRPr="00215395">
        <w:t xml:space="preserve"> </w:t>
      </w:r>
      <w:r>
        <w:t>Rēzeknes tiesas tiesneša 2022. gada 31. maija lēmumu un nodot pieteikumu par izpildu raksta izsniegšanu pastāvīgās šķīrējtiesas sprieduma piespiedu izpildei jaunai izskatīšanai Rēzeknes tiesā</w:t>
      </w:r>
      <w:r>
        <w:rPr>
          <w:szCs w:val="24"/>
        </w:rPr>
        <w:t>.</w:t>
      </w:r>
    </w:p>
    <w:p w14:paraId="1F244E80" w14:textId="77EB082E" w:rsidR="009842E0" w:rsidRDefault="009842E0" w:rsidP="00E87FEE">
      <w:pPr>
        <w:spacing w:after="0" w:line="276" w:lineRule="auto"/>
        <w:ind w:firstLine="567"/>
        <w:rPr>
          <w:szCs w:val="24"/>
        </w:rPr>
      </w:pPr>
      <w:r>
        <w:rPr>
          <w:szCs w:val="24"/>
        </w:rPr>
        <w:t>Lēmums nav pārsūdzams.</w:t>
      </w:r>
    </w:p>
    <w:sectPr w:rsidR="009842E0" w:rsidSect="007D286E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6C7E" w14:textId="77777777" w:rsidR="000C0BFC" w:rsidRDefault="000C0BFC">
      <w:pPr>
        <w:spacing w:after="0" w:line="240" w:lineRule="auto"/>
      </w:pPr>
      <w:r>
        <w:separator/>
      </w:r>
    </w:p>
  </w:endnote>
  <w:endnote w:type="continuationSeparator" w:id="0">
    <w:p w14:paraId="07DF3606" w14:textId="77777777" w:rsidR="000C0BFC" w:rsidRDefault="000C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8E90" w14:textId="441A2D0E" w:rsidR="00BF60FE" w:rsidRPr="00C07D0D" w:rsidRDefault="006842AD" w:rsidP="00BF60FE">
    <w:pPr>
      <w:pStyle w:val="Footer"/>
      <w:jc w:val="center"/>
    </w:pPr>
    <w:r w:rsidRPr="00C07D0D">
      <w:fldChar w:fldCharType="begin"/>
    </w:r>
    <w:r w:rsidRPr="00C07D0D">
      <w:instrText xml:space="preserve"> PAGE </w:instrText>
    </w:r>
    <w:r w:rsidRPr="00C07D0D">
      <w:fldChar w:fldCharType="separate"/>
    </w:r>
    <w:r w:rsidR="00511E13" w:rsidRPr="00C07D0D">
      <w:rPr>
        <w:noProof/>
      </w:rPr>
      <w:t>5</w:t>
    </w:r>
    <w:r w:rsidRPr="00C07D0D">
      <w:fldChar w:fldCharType="end"/>
    </w:r>
    <w:r w:rsidR="00381866" w:rsidRPr="00C07D0D">
      <w:t xml:space="preserve"> no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56F7" w14:textId="77777777" w:rsidR="000C0BFC" w:rsidRDefault="000C0BFC">
      <w:pPr>
        <w:spacing w:after="0" w:line="240" w:lineRule="auto"/>
      </w:pPr>
      <w:r>
        <w:separator/>
      </w:r>
    </w:p>
  </w:footnote>
  <w:footnote w:type="continuationSeparator" w:id="0">
    <w:p w14:paraId="08D99594" w14:textId="77777777" w:rsidR="000C0BFC" w:rsidRDefault="000C0B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02"/>
    <w:rsid w:val="00003155"/>
    <w:rsid w:val="0000399B"/>
    <w:rsid w:val="00016399"/>
    <w:rsid w:val="00020C20"/>
    <w:rsid w:val="00024621"/>
    <w:rsid w:val="0002514B"/>
    <w:rsid w:val="0003368F"/>
    <w:rsid w:val="00035420"/>
    <w:rsid w:val="00036F0E"/>
    <w:rsid w:val="00044FAA"/>
    <w:rsid w:val="000565AF"/>
    <w:rsid w:val="00060107"/>
    <w:rsid w:val="00066078"/>
    <w:rsid w:val="00067AAA"/>
    <w:rsid w:val="000708A5"/>
    <w:rsid w:val="00075B0D"/>
    <w:rsid w:val="00077D4E"/>
    <w:rsid w:val="00082BDD"/>
    <w:rsid w:val="00085B3F"/>
    <w:rsid w:val="00086E9D"/>
    <w:rsid w:val="00092520"/>
    <w:rsid w:val="00097BAB"/>
    <w:rsid w:val="000B238A"/>
    <w:rsid w:val="000B23A3"/>
    <w:rsid w:val="000B3A7C"/>
    <w:rsid w:val="000B4C48"/>
    <w:rsid w:val="000B575A"/>
    <w:rsid w:val="000B77C6"/>
    <w:rsid w:val="000C021D"/>
    <w:rsid w:val="000C0BFC"/>
    <w:rsid w:val="000C3B47"/>
    <w:rsid w:val="000C6859"/>
    <w:rsid w:val="000E66D0"/>
    <w:rsid w:val="000F0541"/>
    <w:rsid w:val="000F3089"/>
    <w:rsid w:val="000F3706"/>
    <w:rsid w:val="00100A35"/>
    <w:rsid w:val="00101DB2"/>
    <w:rsid w:val="001113B4"/>
    <w:rsid w:val="00125292"/>
    <w:rsid w:val="00127C61"/>
    <w:rsid w:val="001338ED"/>
    <w:rsid w:val="001344A0"/>
    <w:rsid w:val="00142432"/>
    <w:rsid w:val="001462D3"/>
    <w:rsid w:val="0015573D"/>
    <w:rsid w:val="0015599E"/>
    <w:rsid w:val="00164ADF"/>
    <w:rsid w:val="0016698D"/>
    <w:rsid w:val="00166C04"/>
    <w:rsid w:val="00171C22"/>
    <w:rsid w:val="00173D7F"/>
    <w:rsid w:val="0017405D"/>
    <w:rsid w:val="0017466A"/>
    <w:rsid w:val="00182279"/>
    <w:rsid w:val="001824D2"/>
    <w:rsid w:val="00182CF3"/>
    <w:rsid w:val="00187626"/>
    <w:rsid w:val="001924F8"/>
    <w:rsid w:val="001927D7"/>
    <w:rsid w:val="00197BC8"/>
    <w:rsid w:val="001A1E0A"/>
    <w:rsid w:val="001B0FD4"/>
    <w:rsid w:val="001B6BA1"/>
    <w:rsid w:val="001B7BEB"/>
    <w:rsid w:val="001C1B08"/>
    <w:rsid w:val="001C7D94"/>
    <w:rsid w:val="001D747C"/>
    <w:rsid w:val="001E1EAB"/>
    <w:rsid w:val="001E2BE3"/>
    <w:rsid w:val="001E3E45"/>
    <w:rsid w:val="001E76D2"/>
    <w:rsid w:val="001E7821"/>
    <w:rsid w:val="001F15B2"/>
    <w:rsid w:val="001F20A9"/>
    <w:rsid w:val="001F48BB"/>
    <w:rsid w:val="002003DE"/>
    <w:rsid w:val="00200DDD"/>
    <w:rsid w:val="00203092"/>
    <w:rsid w:val="00203BEF"/>
    <w:rsid w:val="00214370"/>
    <w:rsid w:val="002208DA"/>
    <w:rsid w:val="00225CC8"/>
    <w:rsid w:val="0024074A"/>
    <w:rsid w:val="002440C1"/>
    <w:rsid w:val="002512EF"/>
    <w:rsid w:val="002563D6"/>
    <w:rsid w:val="00256CA7"/>
    <w:rsid w:val="002574C2"/>
    <w:rsid w:val="00257666"/>
    <w:rsid w:val="0026283D"/>
    <w:rsid w:val="00266ED5"/>
    <w:rsid w:val="00267B1C"/>
    <w:rsid w:val="00271FC5"/>
    <w:rsid w:val="00275F2D"/>
    <w:rsid w:val="002909FD"/>
    <w:rsid w:val="002A0607"/>
    <w:rsid w:val="002A1296"/>
    <w:rsid w:val="002A17C7"/>
    <w:rsid w:val="002B2E57"/>
    <w:rsid w:val="002B6F8A"/>
    <w:rsid w:val="002C3284"/>
    <w:rsid w:val="002D77FC"/>
    <w:rsid w:val="002E01F5"/>
    <w:rsid w:val="002E12F7"/>
    <w:rsid w:val="002E773E"/>
    <w:rsid w:val="002F7221"/>
    <w:rsid w:val="003048B8"/>
    <w:rsid w:val="00317A20"/>
    <w:rsid w:val="003216DE"/>
    <w:rsid w:val="00325C45"/>
    <w:rsid w:val="003268CD"/>
    <w:rsid w:val="00327263"/>
    <w:rsid w:val="00331127"/>
    <w:rsid w:val="0033128E"/>
    <w:rsid w:val="00332B1D"/>
    <w:rsid w:val="00334D26"/>
    <w:rsid w:val="00336765"/>
    <w:rsid w:val="00351D9C"/>
    <w:rsid w:val="00360648"/>
    <w:rsid w:val="0036481E"/>
    <w:rsid w:val="003675C0"/>
    <w:rsid w:val="00367CB7"/>
    <w:rsid w:val="003802E9"/>
    <w:rsid w:val="00380EF5"/>
    <w:rsid w:val="00381866"/>
    <w:rsid w:val="003858A3"/>
    <w:rsid w:val="0039076D"/>
    <w:rsid w:val="003919C8"/>
    <w:rsid w:val="00392FBF"/>
    <w:rsid w:val="00393B5A"/>
    <w:rsid w:val="003A2214"/>
    <w:rsid w:val="003A449D"/>
    <w:rsid w:val="003A66D4"/>
    <w:rsid w:val="003B378E"/>
    <w:rsid w:val="003C1982"/>
    <w:rsid w:val="003C290E"/>
    <w:rsid w:val="003C3020"/>
    <w:rsid w:val="003C3613"/>
    <w:rsid w:val="003C51C0"/>
    <w:rsid w:val="003C7786"/>
    <w:rsid w:val="003C790D"/>
    <w:rsid w:val="003D3387"/>
    <w:rsid w:val="003D3823"/>
    <w:rsid w:val="003E1556"/>
    <w:rsid w:val="003E3CB2"/>
    <w:rsid w:val="003E4B1A"/>
    <w:rsid w:val="003F16BF"/>
    <w:rsid w:val="003F61DE"/>
    <w:rsid w:val="003F63CD"/>
    <w:rsid w:val="00400B72"/>
    <w:rsid w:val="0040342A"/>
    <w:rsid w:val="0040540D"/>
    <w:rsid w:val="004147D3"/>
    <w:rsid w:val="00420FA8"/>
    <w:rsid w:val="00424EBC"/>
    <w:rsid w:val="00430601"/>
    <w:rsid w:val="00430E5E"/>
    <w:rsid w:val="0043415B"/>
    <w:rsid w:val="00443D29"/>
    <w:rsid w:val="00445B79"/>
    <w:rsid w:val="004557F8"/>
    <w:rsid w:val="00456379"/>
    <w:rsid w:val="00456D7B"/>
    <w:rsid w:val="00461938"/>
    <w:rsid w:val="004622AC"/>
    <w:rsid w:val="00467620"/>
    <w:rsid w:val="0047182F"/>
    <w:rsid w:val="00471E07"/>
    <w:rsid w:val="00474C87"/>
    <w:rsid w:val="0047662D"/>
    <w:rsid w:val="0049480D"/>
    <w:rsid w:val="00497470"/>
    <w:rsid w:val="004A31E5"/>
    <w:rsid w:val="004A57F6"/>
    <w:rsid w:val="004D00CC"/>
    <w:rsid w:val="004E0F4F"/>
    <w:rsid w:val="004E20C8"/>
    <w:rsid w:val="004F148B"/>
    <w:rsid w:val="004F2C43"/>
    <w:rsid w:val="004F3CD5"/>
    <w:rsid w:val="004F5D53"/>
    <w:rsid w:val="00511E13"/>
    <w:rsid w:val="005155BA"/>
    <w:rsid w:val="00521947"/>
    <w:rsid w:val="00522144"/>
    <w:rsid w:val="00523391"/>
    <w:rsid w:val="00525781"/>
    <w:rsid w:val="00525C3F"/>
    <w:rsid w:val="005308BF"/>
    <w:rsid w:val="00535E21"/>
    <w:rsid w:val="00536F17"/>
    <w:rsid w:val="00540A9A"/>
    <w:rsid w:val="00541612"/>
    <w:rsid w:val="005442C3"/>
    <w:rsid w:val="005449AC"/>
    <w:rsid w:val="0055338A"/>
    <w:rsid w:val="00557D9C"/>
    <w:rsid w:val="0056238D"/>
    <w:rsid w:val="00564715"/>
    <w:rsid w:val="005664B1"/>
    <w:rsid w:val="0057128A"/>
    <w:rsid w:val="00574292"/>
    <w:rsid w:val="00574BB1"/>
    <w:rsid w:val="0058116E"/>
    <w:rsid w:val="00587168"/>
    <w:rsid w:val="00590371"/>
    <w:rsid w:val="00592CE1"/>
    <w:rsid w:val="0059439E"/>
    <w:rsid w:val="005970CE"/>
    <w:rsid w:val="005A258F"/>
    <w:rsid w:val="005A61FF"/>
    <w:rsid w:val="005B11FC"/>
    <w:rsid w:val="005B2F65"/>
    <w:rsid w:val="005B3207"/>
    <w:rsid w:val="005B6ECF"/>
    <w:rsid w:val="005C4B2C"/>
    <w:rsid w:val="005C5E62"/>
    <w:rsid w:val="005D4014"/>
    <w:rsid w:val="005D69D0"/>
    <w:rsid w:val="005F3004"/>
    <w:rsid w:val="005F7D5F"/>
    <w:rsid w:val="006005D7"/>
    <w:rsid w:val="00601456"/>
    <w:rsid w:val="00626788"/>
    <w:rsid w:val="00630221"/>
    <w:rsid w:val="00631D7F"/>
    <w:rsid w:val="00632E02"/>
    <w:rsid w:val="00637058"/>
    <w:rsid w:val="006410AC"/>
    <w:rsid w:val="00646A03"/>
    <w:rsid w:val="00654E33"/>
    <w:rsid w:val="00656B36"/>
    <w:rsid w:val="00672CEE"/>
    <w:rsid w:val="00675EB5"/>
    <w:rsid w:val="0068072F"/>
    <w:rsid w:val="006818CB"/>
    <w:rsid w:val="00681A88"/>
    <w:rsid w:val="006837B3"/>
    <w:rsid w:val="006842AD"/>
    <w:rsid w:val="00686032"/>
    <w:rsid w:val="00691C04"/>
    <w:rsid w:val="006941EC"/>
    <w:rsid w:val="00696019"/>
    <w:rsid w:val="00696479"/>
    <w:rsid w:val="006979F3"/>
    <w:rsid w:val="006A0654"/>
    <w:rsid w:val="006A39CF"/>
    <w:rsid w:val="006B56BC"/>
    <w:rsid w:val="006B5EF9"/>
    <w:rsid w:val="006C5790"/>
    <w:rsid w:val="006D6198"/>
    <w:rsid w:val="006D7734"/>
    <w:rsid w:val="006D7AA6"/>
    <w:rsid w:val="006E6895"/>
    <w:rsid w:val="006F322A"/>
    <w:rsid w:val="006F343F"/>
    <w:rsid w:val="0070036F"/>
    <w:rsid w:val="00701F4C"/>
    <w:rsid w:val="00702010"/>
    <w:rsid w:val="007049C4"/>
    <w:rsid w:val="00706CF2"/>
    <w:rsid w:val="00712BF4"/>
    <w:rsid w:val="007136C8"/>
    <w:rsid w:val="0071618B"/>
    <w:rsid w:val="007201FB"/>
    <w:rsid w:val="007202A5"/>
    <w:rsid w:val="00725B32"/>
    <w:rsid w:val="00732239"/>
    <w:rsid w:val="00733CD8"/>
    <w:rsid w:val="00734225"/>
    <w:rsid w:val="00736B1D"/>
    <w:rsid w:val="00741221"/>
    <w:rsid w:val="007465B8"/>
    <w:rsid w:val="00747585"/>
    <w:rsid w:val="00752C75"/>
    <w:rsid w:val="00754BE4"/>
    <w:rsid w:val="00755464"/>
    <w:rsid w:val="007561AC"/>
    <w:rsid w:val="00757179"/>
    <w:rsid w:val="00763F92"/>
    <w:rsid w:val="007720A3"/>
    <w:rsid w:val="00782B24"/>
    <w:rsid w:val="00782DF6"/>
    <w:rsid w:val="007862FA"/>
    <w:rsid w:val="00792B98"/>
    <w:rsid w:val="007A01FB"/>
    <w:rsid w:val="007B2521"/>
    <w:rsid w:val="007B508E"/>
    <w:rsid w:val="007B6E0E"/>
    <w:rsid w:val="007B7BE2"/>
    <w:rsid w:val="007C37EB"/>
    <w:rsid w:val="007C38CF"/>
    <w:rsid w:val="007C39F6"/>
    <w:rsid w:val="007C3E08"/>
    <w:rsid w:val="007C7008"/>
    <w:rsid w:val="007D286E"/>
    <w:rsid w:val="007D44D0"/>
    <w:rsid w:val="007D5119"/>
    <w:rsid w:val="007E23F0"/>
    <w:rsid w:val="007F1B57"/>
    <w:rsid w:val="00802137"/>
    <w:rsid w:val="00802FD1"/>
    <w:rsid w:val="00803E3C"/>
    <w:rsid w:val="0081109F"/>
    <w:rsid w:val="0081253A"/>
    <w:rsid w:val="00813142"/>
    <w:rsid w:val="008159EC"/>
    <w:rsid w:val="0081754A"/>
    <w:rsid w:val="00820992"/>
    <w:rsid w:val="008217E4"/>
    <w:rsid w:val="008232CC"/>
    <w:rsid w:val="00824166"/>
    <w:rsid w:val="008266BA"/>
    <w:rsid w:val="00843F81"/>
    <w:rsid w:val="00844740"/>
    <w:rsid w:val="008507C4"/>
    <w:rsid w:val="00851788"/>
    <w:rsid w:val="00851846"/>
    <w:rsid w:val="00865005"/>
    <w:rsid w:val="00865245"/>
    <w:rsid w:val="008675A7"/>
    <w:rsid w:val="0087159B"/>
    <w:rsid w:val="00871C81"/>
    <w:rsid w:val="008722A1"/>
    <w:rsid w:val="00884B19"/>
    <w:rsid w:val="00892951"/>
    <w:rsid w:val="008933CB"/>
    <w:rsid w:val="0089348C"/>
    <w:rsid w:val="008963B1"/>
    <w:rsid w:val="00896EDA"/>
    <w:rsid w:val="008A2C96"/>
    <w:rsid w:val="008A3CAF"/>
    <w:rsid w:val="008A5EF7"/>
    <w:rsid w:val="008B0990"/>
    <w:rsid w:val="008B55DB"/>
    <w:rsid w:val="008C0D8A"/>
    <w:rsid w:val="008C50B0"/>
    <w:rsid w:val="008D054C"/>
    <w:rsid w:val="008D079F"/>
    <w:rsid w:val="008D2856"/>
    <w:rsid w:val="008D2C60"/>
    <w:rsid w:val="008E0CA4"/>
    <w:rsid w:val="008E1F1A"/>
    <w:rsid w:val="008E26D2"/>
    <w:rsid w:val="008E2EA8"/>
    <w:rsid w:val="00900D57"/>
    <w:rsid w:val="009028C4"/>
    <w:rsid w:val="009116E6"/>
    <w:rsid w:val="00913DE1"/>
    <w:rsid w:val="00915794"/>
    <w:rsid w:val="009210A6"/>
    <w:rsid w:val="009211C2"/>
    <w:rsid w:val="00922626"/>
    <w:rsid w:val="00923161"/>
    <w:rsid w:val="009307B9"/>
    <w:rsid w:val="0093102E"/>
    <w:rsid w:val="009339D1"/>
    <w:rsid w:val="00935F4D"/>
    <w:rsid w:val="00936B83"/>
    <w:rsid w:val="0094079F"/>
    <w:rsid w:val="00941E75"/>
    <w:rsid w:val="00941FE9"/>
    <w:rsid w:val="00944320"/>
    <w:rsid w:val="009445AB"/>
    <w:rsid w:val="00950863"/>
    <w:rsid w:val="0095642E"/>
    <w:rsid w:val="0096326C"/>
    <w:rsid w:val="00963F9A"/>
    <w:rsid w:val="009653EC"/>
    <w:rsid w:val="00967486"/>
    <w:rsid w:val="00967905"/>
    <w:rsid w:val="00972CAA"/>
    <w:rsid w:val="0097435B"/>
    <w:rsid w:val="009842E0"/>
    <w:rsid w:val="009901DC"/>
    <w:rsid w:val="0099261E"/>
    <w:rsid w:val="009A01A0"/>
    <w:rsid w:val="009A284B"/>
    <w:rsid w:val="009B45CB"/>
    <w:rsid w:val="009C1923"/>
    <w:rsid w:val="009C35E3"/>
    <w:rsid w:val="009D0709"/>
    <w:rsid w:val="009E01BF"/>
    <w:rsid w:val="009E5996"/>
    <w:rsid w:val="009F0242"/>
    <w:rsid w:val="009F0704"/>
    <w:rsid w:val="009F5EF0"/>
    <w:rsid w:val="009F6443"/>
    <w:rsid w:val="009F708D"/>
    <w:rsid w:val="009F7C47"/>
    <w:rsid w:val="009F7F17"/>
    <w:rsid w:val="00A00E64"/>
    <w:rsid w:val="00A022BD"/>
    <w:rsid w:val="00A14D27"/>
    <w:rsid w:val="00A159A2"/>
    <w:rsid w:val="00A31DDA"/>
    <w:rsid w:val="00A3765A"/>
    <w:rsid w:val="00A42434"/>
    <w:rsid w:val="00A43D3D"/>
    <w:rsid w:val="00A54BB0"/>
    <w:rsid w:val="00A5526D"/>
    <w:rsid w:val="00A562EE"/>
    <w:rsid w:val="00A7122E"/>
    <w:rsid w:val="00A92F30"/>
    <w:rsid w:val="00A958D2"/>
    <w:rsid w:val="00AA3856"/>
    <w:rsid w:val="00AA6FD1"/>
    <w:rsid w:val="00AB2FB8"/>
    <w:rsid w:val="00AB6591"/>
    <w:rsid w:val="00AC1A5D"/>
    <w:rsid w:val="00AC791A"/>
    <w:rsid w:val="00AD5D82"/>
    <w:rsid w:val="00AD645B"/>
    <w:rsid w:val="00AE0565"/>
    <w:rsid w:val="00AE2310"/>
    <w:rsid w:val="00AE34D7"/>
    <w:rsid w:val="00AE5ACC"/>
    <w:rsid w:val="00AE7361"/>
    <w:rsid w:val="00AF16FF"/>
    <w:rsid w:val="00AF2FF0"/>
    <w:rsid w:val="00AF3EC4"/>
    <w:rsid w:val="00AF4053"/>
    <w:rsid w:val="00AF753E"/>
    <w:rsid w:val="00B05298"/>
    <w:rsid w:val="00B06063"/>
    <w:rsid w:val="00B102B3"/>
    <w:rsid w:val="00B12709"/>
    <w:rsid w:val="00B163F0"/>
    <w:rsid w:val="00B178F1"/>
    <w:rsid w:val="00B30EE6"/>
    <w:rsid w:val="00B31DF7"/>
    <w:rsid w:val="00B327E3"/>
    <w:rsid w:val="00B33858"/>
    <w:rsid w:val="00B343F7"/>
    <w:rsid w:val="00B35F2C"/>
    <w:rsid w:val="00B37689"/>
    <w:rsid w:val="00B40CAB"/>
    <w:rsid w:val="00B41123"/>
    <w:rsid w:val="00B4248C"/>
    <w:rsid w:val="00B46997"/>
    <w:rsid w:val="00B621CD"/>
    <w:rsid w:val="00B67E09"/>
    <w:rsid w:val="00B71713"/>
    <w:rsid w:val="00B727DB"/>
    <w:rsid w:val="00B757DA"/>
    <w:rsid w:val="00B7609F"/>
    <w:rsid w:val="00B82766"/>
    <w:rsid w:val="00B82AE2"/>
    <w:rsid w:val="00B84291"/>
    <w:rsid w:val="00B874E1"/>
    <w:rsid w:val="00B97790"/>
    <w:rsid w:val="00BA3328"/>
    <w:rsid w:val="00BA3CC9"/>
    <w:rsid w:val="00BA4F41"/>
    <w:rsid w:val="00BA74AA"/>
    <w:rsid w:val="00BB1D7F"/>
    <w:rsid w:val="00BC2235"/>
    <w:rsid w:val="00BC3677"/>
    <w:rsid w:val="00BC54AE"/>
    <w:rsid w:val="00BD2BC7"/>
    <w:rsid w:val="00BD6628"/>
    <w:rsid w:val="00BE1D61"/>
    <w:rsid w:val="00BE1E57"/>
    <w:rsid w:val="00BF4A47"/>
    <w:rsid w:val="00BF6DD8"/>
    <w:rsid w:val="00C05CCE"/>
    <w:rsid w:val="00C073D3"/>
    <w:rsid w:val="00C07D0D"/>
    <w:rsid w:val="00C111EF"/>
    <w:rsid w:val="00C11A67"/>
    <w:rsid w:val="00C11B4D"/>
    <w:rsid w:val="00C12E40"/>
    <w:rsid w:val="00C13F17"/>
    <w:rsid w:val="00C145BF"/>
    <w:rsid w:val="00C204A9"/>
    <w:rsid w:val="00C25FBA"/>
    <w:rsid w:val="00C27652"/>
    <w:rsid w:val="00C27CCF"/>
    <w:rsid w:val="00C27DF1"/>
    <w:rsid w:val="00C3274F"/>
    <w:rsid w:val="00C35881"/>
    <w:rsid w:val="00C36896"/>
    <w:rsid w:val="00C42CD6"/>
    <w:rsid w:val="00C441DF"/>
    <w:rsid w:val="00C60F4E"/>
    <w:rsid w:val="00C660DA"/>
    <w:rsid w:val="00C66AAC"/>
    <w:rsid w:val="00C704B8"/>
    <w:rsid w:val="00C74BFF"/>
    <w:rsid w:val="00C8751A"/>
    <w:rsid w:val="00C92024"/>
    <w:rsid w:val="00C94764"/>
    <w:rsid w:val="00CB6D49"/>
    <w:rsid w:val="00CC4141"/>
    <w:rsid w:val="00CC550C"/>
    <w:rsid w:val="00CC56BA"/>
    <w:rsid w:val="00CC64EE"/>
    <w:rsid w:val="00CD7ABE"/>
    <w:rsid w:val="00CD7B70"/>
    <w:rsid w:val="00CE3298"/>
    <w:rsid w:val="00CE7099"/>
    <w:rsid w:val="00CE7A55"/>
    <w:rsid w:val="00CF05BF"/>
    <w:rsid w:val="00CF1487"/>
    <w:rsid w:val="00CF23AE"/>
    <w:rsid w:val="00CF2C02"/>
    <w:rsid w:val="00CF3047"/>
    <w:rsid w:val="00CF756C"/>
    <w:rsid w:val="00CF7C38"/>
    <w:rsid w:val="00D036CA"/>
    <w:rsid w:val="00D039AB"/>
    <w:rsid w:val="00D1211F"/>
    <w:rsid w:val="00D23437"/>
    <w:rsid w:val="00D26A17"/>
    <w:rsid w:val="00D34EDF"/>
    <w:rsid w:val="00D40A6E"/>
    <w:rsid w:val="00D51F20"/>
    <w:rsid w:val="00D525CF"/>
    <w:rsid w:val="00D70F26"/>
    <w:rsid w:val="00D740FC"/>
    <w:rsid w:val="00D75261"/>
    <w:rsid w:val="00D83234"/>
    <w:rsid w:val="00D84A98"/>
    <w:rsid w:val="00D90C3D"/>
    <w:rsid w:val="00D92F83"/>
    <w:rsid w:val="00D94528"/>
    <w:rsid w:val="00D94EED"/>
    <w:rsid w:val="00DA1A59"/>
    <w:rsid w:val="00DB0174"/>
    <w:rsid w:val="00DB1D98"/>
    <w:rsid w:val="00DB30EA"/>
    <w:rsid w:val="00DB41AA"/>
    <w:rsid w:val="00DB6F49"/>
    <w:rsid w:val="00DB77A5"/>
    <w:rsid w:val="00DC0637"/>
    <w:rsid w:val="00DC0C16"/>
    <w:rsid w:val="00DC506D"/>
    <w:rsid w:val="00DC74FD"/>
    <w:rsid w:val="00DD0A11"/>
    <w:rsid w:val="00DD19D8"/>
    <w:rsid w:val="00DE0498"/>
    <w:rsid w:val="00DE0776"/>
    <w:rsid w:val="00DE4EFB"/>
    <w:rsid w:val="00DF1268"/>
    <w:rsid w:val="00DF3C9F"/>
    <w:rsid w:val="00DF58FB"/>
    <w:rsid w:val="00E046F0"/>
    <w:rsid w:val="00E06ACF"/>
    <w:rsid w:val="00E114D3"/>
    <w:rsid w:val="00E13644"/>
    <w:rsid w:val="00E24489"/>
    <w:rsid w:val="00E27E95"/>
    <w:rsid w:val="00E31BBE"/>
    <w:rsid w:val="00E33E91"/>
    <w:rsid w:val="00E40173"/>
    <w:rsid w:val="00E41A3F"/>
    <w:rsid w:val="00E42365"/>
    <w:rsid w:val="00E47EDF"/>
    <w:rsid w:val="00E60E5C"/>
    <w:rsid w:val="00E6304B"/>
    <w:rsid w:val="00E64283"/>
    <w:rsid w:val="00E6429D"/>
    <w:rsid w:val="00E766F5"/>
    <w:rsid w:val="00E76DCE"/>
    <w:rsid w:val="00E86949"/>
    <w:rsid w:val="00E87FEE"/>
    <w:rsid w:val="00E93067"/>
    <w:rsid w:val="00E9381D"/>
    <w:rsid w:val="00E96DEA"/>
    <w:rsid w:val="00EA332B"/>
    <w:rsid w:val="00EB29C3"/>
    <w:rsid w:val="00EB2C56"/>
    <w:rsid w:val="00EB3333"/>
    <w:rsid w:val="00EB7A9D"/>
    <w:rsid w:val="00EC0725"/>
    <w:rsid w:val="00EC191F"/>
    <w:rsid w:val="00EC67EE"/>
    <w:rsid w:val="00ED2A0A"/>
    <w:rsid w:val="00ED398A"/>
    <w:rsid w:val="00EE18AA"/>
    <w:rsid w:val="00EE36DE"/>
    <w:rsid w:val="00EE4654"/>
    <w:rsid w:val="00EE787B"/>
    <w:rsid w:val="00EF677E"/>
    <w:rsid w:val="00EF750D"/>
    <w:rsid w:val="00EF7D77"/>
    <w:rsid w:val="00F0159D"/>
    <w:rsid w:val="00F03165"/>
    <w:rsid w:val="00F0413F"/>
    <w:rsid w:val="00F05044"/>
    <w:rsid w:val="00F10F07"/>
    <w:rsid w:val="00F14AAC"/>
    <w:rsid w:val="00F17E0E"/>
    <w:rsid w:val="00F200AB"/>
    <w:rsid w:val="00F2160A"/>
    <w:rsid w:val="00F22E88"/>
    <w:rsid w:val="00F23610"/>
    <w:rsid w:val="00F254EA"/>
    <w:rsid w:val="00F27D66"/>
    <w:rsid w:val="00F27EE2"/>
    <w:rsid w:val="00F300DB"/>
    <w:rsid w:val="00F30F1E"/>
    <w:rsid w:val="00F41FE1"/>
    <w:rsid w:val="00F4459D"/>
    <w:rsid w:val="00F47655"/>
    <w:rsid w:val="00F541DE"/>
    <w:rsid w:val="00F65081"/>
    <w:rsid w:val="00F7121F"/>
    <w:rsid w:val="00F766AF"/>
    <w:rsid w:val="00F766FC"/>
    <w:rsid w:val="00F85100"/>
    <w:rsid w:val="00F85648"/>
    <w:rsid w:val="00F9220C"/>
    <w:rsid w:val="00F9653A"/>
    <w:rsid w:val="00F96E2B"/>
    <w:rsid w:val="00FA2802"/>
    <w:rsid w:val="00FA2D3C"/>
    <w:rsid w:val="00FA77B0"/>
    <w:rsid w:val="00FB005E"/>
    <w:rsid w:val="00FB1C6F"/>
    <w:rsid w:val="00FB2FFF"/>
    <w:rsid w:val="00FB5D3E"/>
    <w:rsid w:val="00FC063E"/>
    <w:rsid w:val="00FC3E7A"/>
    <w:rsid w:val="00FE1946"/>
    <w:rsid w:val="00FE5CB3"/>
    <w:rsid w:val="00FF123A"/>
    <w:rsid w:val="00FF3B3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57B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802"/>
  </w:style>
  <w:style w:type="paragraph" w:styleId="Header">
    <w:name w:val="header"/>
    <w:basedOn w:val="Normal"/>
    <w:link w:val="HeaderChar"/>
    <w:uiPriority w:val="99"/>
    <w:unhideWhenUsed/>
    <w:rsid w:val="006D77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734"/>
  </w:style>
  <w:style w:type="paragraph" w:styleId="BalloonText">
    <w:name w:val="Balloon Text"/>
    <w:basedOn w:val="Normal"/>
    <w:link w:val="BalloonTextChar"/>
    <w:uiPriority w:val="99"/>
    <w:semiHidden/>
    <w:unhideWhenUsed/>
    <w:rsid w:val="0075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E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31D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3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0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00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8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B6041-74C6-4BE8-90F1-5D95A642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5742</Words>
  <Characters>3273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2023-01-09T14:43:00Z</dcterms:created>
  <dcterms:modified xsi:type="dcterms:W3CDTF">2023-01-10T12:20:00Z</dcterms:modified>
</cp:coreProperties>
</file>