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600A" w14:textId="77777777" w:rsidR="00284455" w:rsidRPr="00284455" w:rsidRDefault="00284455" w:rsidP="00284455">
      <w:pPr>
        <w:spacing w:line="276" w:lineRule="auto"/>
        <w:jc w:val="both"/>
        <w:rPr>
          <w:b/>
          <w:bCs/>
        </w:rPr>
      </w:pPr>
      <w:r w:rsidRPr="00284455">
        <w:rPr>
          <w:b/>
          <w:bCs/>
        </w:rPr>
        <w:t>Šaujamieroča un šaujamieroča munīcijas glabāšana bez attiecīgas atļaujas</w:t>
      </w:r>
    </w:p>
    <w:p w14:paraId="66C57325" w14:textId="77777777" w:rsidR="00284455" w:rsidRPr="00284455" w:rsidRDefault="00284455" w:rsidP="00284455">
      <w:pPr>
        <w:spacing w:line="276" w:lineRule="auto"/>
        <w:jc w:val="both"/>
      </w:pPr>
      <w:r w:rsidRPr="00284455">
        <w:t xml:space="preserve">Šaujamieroča un šaujamieroča munīcijas iegādāšanās laiks nav obligāta Krimināllikuma 233. panta otrajā daļā paredzētā noziedzīgā nodarījuma objektīvās puses pazīme. </w:t>
      </w:r>
    </w:p>
    <w:p w14:paraId="3B79A6DC" w14:textId="3FDF4AB4" w:rsidR="00C2148B" w:rsidRDefault="00284455" w:rsidP="00284455">
      <w:pPr>
        <w:spacing w:line="276" w:lineRule="auto"/>
        <w:jc w:val="both"/>
      </w:pPr>
      <w:r w:rsidRPr="00284455">
        <w:t>Tas, ka apsūdzībā nav norādīts minētā noziedzīgā nodarījuma uzsākšanas laiks, nav pamats atzīt, ka apsūdzība neatbilst Kriminālprocesa likuma 405. panta nosacījumiem un tādējādi tiek ierobežotas apsūdzētā tiesības uz aizstāvību.</w:t>
      </w:r>
      <w:r w:rsidR="00C2148B" w:rsidRPr="007309D0">
        <w:t xml:space="preserve"> </w:t>
      </w:r>
    </w:p>
    <w:p w14:paraId="4503083C" w14:textId="44DCD199" w:rsidR="00C2148B" w:rsidRPr="007309D0" w:rsidRDefault="00C2148B" w:rsidP="00284455">
      <w:pPr>
        <w:pStyle w:val="BodyText2"/>
        <w:spacing w:after="0" w:line="276" w:lineRule="auto"/>
        <w:rPr>
          <w:lang w:val="lv-LV"/>
        </w:rPr>
      </w:pPr>
    </w:p>
    <w:p w14:paraId="43A594A3" w14:textId="77777777" w:rsidR="00284455" w:rsidRPr="00284455" w:rsidRDefault="00C2148B" w:rsidP="00C2148B">
      <w:pPr>
        <w:spacing w:line="276" w:lineRule="auto"/>
        <w:jc w:val="center"/>
        <w:rPr>
          <w:b/>
        </w:rPr>
      </w:pPr>
      <w:r w:rsidRPr="00284455">
        <w:rPr>
          <w:b/>
        </w:rPr>
        <w:t>Latvijas Republikas Senāt</w:t>
      </w:r>
      <w:r w:rsidR="00284455" w:rsidRPr="00284455">
        <w:rPr>
          <w:b/>
        </w:rPr>
        <w:t>a</w:t>
      </w:r>
      <w:r w:rsidRPr="00284455">
        <w:rPr>
          <w:b/>
        </w:rPr>
        <w:t xml:space="preserve"> </w:t>
      </w:r>
    </w:p>
    <w:p w14:paraId="48E458B0" w14:textId="77777777" w:rsidR="00284455" w:rsidRPr="00284455" w:rsidRDefault="00284455" w:rsidP="00C2148B">
      <w:pPr>
        <w:spacing w:line="276" w:lineRule="auto"/>
        <w:jc w:val="center"/>
        <w:rPr>
          <w:b/>
        </w:rPr>
      </w:pPr>
      <w:r w:rsidRPr="00284455">
        <w:rPr>
          <w:b/>
        </w:rPr>
        <w:t>Krimināllietu departamenta</w:t>
      </w:r>
    </w:p>
    <w:p w14:paraId="205FB61F" w14:textId="424414F2" w:rsidR="00C2148B" w:rsidRPr="00284455" w:rsidRDefault="00284455" w:rsidP="00C2148B">
      <w:pPr>
        <w:spacing w:line="276" w:lineRule="auto"/>
        <w:jc w:val="center"/>
        <w:rPr>
          <w:b/>
        </w:rPr>
      </w:pPr>
      <w:proofErr w:type="gramStart"/>
      <w:r w:rsidRPr="00284455">
        <w:rPr>
          <w:b/>
        </w:rPr>
        <w:t>2022.gada</w:t>
      </w:r>
      <w:proofErr w:type="gramEnd"/>
      <w:r w:rsidRPr="00284455">
        <w:rPr>
          <w:b/>
        </w:rPr>
        <w:t xml:space="preserve"> 30.novembra</w:t>
      </w:r>
    </w:p>
    <w:p w14:paraId="12DA9250" w14:textId="77777777" w:rsidR="00C2148B" w:rsidRPr="00284455" w:rsidRDefault="00C2148B" w:rsidP="00C2148B">
      <w:pPr>
        <w:spacing w:line="276" w:lineRule="auto"/>
        <w:jc w:val="center"/>
        <w:rPr>
          <w:b/>
        </w:rPr>
      </w:pPr>
      <w:r w:rsidRPr="00284455">
        <w:rPr>
          <w:b/>
        </w:rPr>
        <w:t xml:space="preserve"> LĒMUMS</w:t>
      </w:r>
    </w:p>
    <w:p w14:paraId="662BD2BD" w14:textId="7B2B2A6E" w:rsidR="00C2148B" w:rsidRPr="00284455" w:rsidRDefault="00284455" w:rsidP="00C2148B">
      <w:pPr>
        <w:spacing w:line="276" w:lineRule="auto"/>
        <w:jc w:val="center"/>
        <w:rPr>
          <w:b/>
        </w:rPr>
      </w:pPr>
      <w:r w:rsidRPr="00284455">
        <w:rPr>
          <w:b/>
        </w:rPr>
        <w:t>Lieta Nr. </w:t>
      </w:r>
      <w:r w:rsidRPr="00284455">
        <w:rPr>
          <w:b/>
          <w:lang w:eastAsia="lv-LV"/>
        </w:rPr>
        <w:t xml:space="preserve">11905004418, </w:t>
      </w:r>
      <w:r w:rsidRPr="00284455">
        <w:rPr>
          <w:b/>
        </w:rPr>
        <w:t>SKK-146/2022</w:t>
      </w:r>
    </w:p>
    <w:p w14:paraId="4207BDA4" w14:textId="159289D1" w:rsidR="00284455" w:rsidRPr="00284455" w:rsidRDefault="00A8249A" w:rsidP="00C2148B">
      <w:pPr>
        <w:spacing w:line="276" w:lineRule="auto"/>
        <w:jc w:val="center"/>
        <w:rPr>
          <w:b/>
        </w:rPr>
      </w:pPr>
      <w:hyperlink r:id="rId8" w:history="1">
        <w:r w:rsidR="00284455" w:rsidRPr="00284455">
          <w:rPr>
            <w:rStyle w:val="Hyperlink"/>
            <w:shd w:val="clear" w:color="auto" w:fill="FFFFFF"/>
          </w:rPr>
          <w:t>ECLI:LV:AT:2022:1130.11905004418.7.L</w:t>
        </w:r>
      </w:hyperlink>
    </w:p>
    <w:p w14:paraId="3A408808" w14:textId="77777777" w:rsidR="00C2148B" w:rsidRPr="007309D0" w:rsidRDefault="00C2148B" w:rsidP="00601755">
      <w:pPr>
        <w:spacing w:line="276" w:lineRule="auto"/>
        <w:ind w:firstLine="709"/>
        <w:jc w:val="both"/>
      </w:pPr>
    </w:p>
    <w:p w14:paraId="58AF7FE9" w14:textId="10DA8533" w:rsidR="00C2148B" w:rsidRPr="007309D0" w:rsidRDefault="00C2148B" w:rsidP="00601755">
      <w:pPr>
        <w:spacing w:line="276" w:lineRule="auto"/>
        <w:ind w:firstLine="709"/>
        <w:jc w:val="both"/>
      </w:pPr>
      <w:r w:rsidRPr="007309D0">
        <w:t xml:space="preserve">Tiesa šādā sastāvā: senatori </w:t>
      </w:r>
      <w:r w:rsidR="001A2ABD">
        <w:t>Ivars Bičkovičs</w:t>
      </w:r>
      <w:r w:rsidRPr="007309D0">
        <w:t xml:space="preserve">, </w:t>
      </w:r>
      <w:r w:rsidR="000A0A8A">
        <w:t>Artūrs Freibergs, Sandra Kaija</w:t>
      </w:r>
    </w:p>
    <w:p w14:paraId="5FCAE1CA" w14:textId="77777777" w:rsidR="00C2148B" w:rsidRPr="00035EC4" w:rsidRDefault="00C2148B" w:rsidP="00601755">
      <w:pPr>
        <w:spacing w:line="276" w:lineRule="auto"/>
        <w:ind w:firstLine="709"/>
        <w:jc w:val="both"/>
        <w:rPr>
          <w:sz w:val="20"/>
          <w:szCs w:val="20"/>
        </w:rPr>
      </w:pPr>
    </w:p>
    <w:p w14:paraId="0544DB8D" w14:textId="61C16F8C" w:rsidR="00C2148B" w:rsidRPr="007309D0" w:rsidRDefault="00C2148B" w:rsidP="00601755">
      <w:pPr>
        <w:spacing w:line="276" w:lineRule="auto"/>
        <w:ind w:firstLine="709"/>
        <w:jc w:val="both"/>
      </w:pPr>
      <w:r w:rsidRPr="007309D0">
        <w:t xml:space="preserve">izskatīja rakstveida procesā krimināllietu sakarā ar </w:t>
      </w:r>
      <w:bookmarkStart w:id="0" w:name="_Hlk108533050"/>
      <w:bookmarkStart w:id="1" w:name="_Hlk45528273"/>
      <w:r w:rsidR="000200F8">
        <w:t xml:space="preserve">apsūdzētā </w:t>
      </w:r>
      <w:r w:rsidR="00284455">
        <w:t>[pers. A]</w:t>
      </w:r>
      <w:r w:rsidR="00DB343F">
        <w:t xml:space="preserve"> (</w:t>
      </w:r>
      <w:r w:rsidR="00284455">
        <w:rPr>
          <w:i/>
          <w:iCs/>
        </w:rPr>
        <w:t>[pers. A]</w:t>
      </w:r>
      <w:r w:rsidR="00DB343F">
        <w:t xml:space="preserve">) </w:t>
      </w:r>
      <w:r w:rsidR="005C7ED0">
        <w:t xml:space="preserve">kasācijas </w:t>
      </w:r>
      <w:bookmarkEnd w:id="0"/>
      <w:r w:rsidR="000200F8">
        <w:t>sūdzību</w:t>
      </w:r>
      <w:r w:rsidR="00FB78B4">
        <w:t xml:space="preserve"> par </w:t>
      </w:r>
      <w:bookmarkEnd w:id="1"/>
      <w:r w:rsidR="000549DA">
        <w:t>Zemgales</w:t>
      </w:r>
      <w:r w:rsidR="00FB78B4">
        <w:t xml:space="preserve"> </w:t>
      </w:r>
      <w:r w:rsidRPr="007309D0">
        <w:t xml:space="preserve">apgabaltiesas </w:t>
      </w:r>
      <w:proofErr w:type="gramStart"/>
      <w:r w:rsidRPr="007309D0">
        <w:t>20</w:t>
      </w:r>
      <w:r>
        <w:t>2</w:t>
      </w:r>
      <w:r w:rsidR="00FB78B4">
        <w:t>1</w:t>
      </w:r>
      <w:r w:rsidRPr="007309D0">
        <w:t>.gada</w:t>
      </w:r>
      <w:proofErr w:type="gramEnd"/>
      <w:r w:rsidRPr="007309D0">
        <w:t xml:space="preserve"> </w:t>
      </w:r>
      <w:r w:rsidR="000200F8">
        <w:t>2</w:t>
      </w:r>
      <w:r w:rsidR="00E4364B">
        <w:t>0</w:t>
      </w:r>
      <w:r w:rsidR="000549DA">
        <w:t>.</w:t>
      </w:r>
      <w:r w:rsidR="000200F8">
        <w:t>septembra</w:t>
      </w:r>
      <w:r>
        <w:t xml:space="preserve"> </w:t>
      </w:r>
      <w:r w:rsidR="000200F8">
        <w:t>lēmumu</w:t>
      </w:r>
      <w:r w:rsidRPr="007309D0">
        <w:t>.</w:t>
      </w:r>
    </w:p>
    <w:p w14:paraId="3DA7698B" w14:textId="77777777" w:rsidR="00C2148B" w:rsidRPr="007309D0" w:rsidRDefault="00C2148B" w:rsidP="00601755">
      <w:pPr>
        <w:spacing w:line="276" w:lineRule="auto"/>
        <w:ind w:firstLine="709"/>
        <w:jc w:val="both"/>
      </w:pPr>
    </w:p>
    <w:p w14:paraId="5A88D19C" w14:textId="77777777" w:rsidR="00C2148B" w:rsidRPr="007309D0" w:rsidRDefault="00C2148B" w:rsidP="00035EC4">
      <w:pPr>
        <w:spacing w:line="276" w:lineRule="auto"/>
        <w:jc w:val="center"/>
        <w:rPr>
          <w:b/>
        </w:rPr>
      </w:pPr>
      <w:r w:rsidRPr="007309D0">
        <w:rPr>
          <w:b/>
        </w:rPr>
        <w:t>Aprakstošā daļa</w:t>
      </w:r>
    </w:p>
    <w:p w14:paraId="4DDE3EE3" w14:textId="77777777" w:rsidR="00C2148B" w:rsidRPr="007309D0" w:rsidRDefault="00C2148B" w:rsidP="00601755">
      <w:pPr>
        <w:spacing w:line="276" w:lineRule="auto"/>
        <w:ind w:firstLine="709"/>
      </w:pPr>
    </w:p>
    <w:p w14:paraId="621F75E9" w14:textId="2FE18B7D" w:rsidR="00C2148B" w:rsidRPr="007309D0" w:rsidRDefault="00C2148B" w:rsidP="00601755">
      <w:pPr>
        <w:spacing w:line="276" w:lineRule="auto"/>
        <w:ind w:firstLine="709"/>
        <w:jc w:val="both"/>
      </w:pPr>
      <w:r w:rsidRPr="007309D0">
        <w:t xml:space="preserve">[1] Ar </w:t>
      </w:r>
      <w:r w:rsidR="000549DA">
        <w:t xml:space="preserve">Zemgales </w:t>
      </w:r>
      <w:r w:rsidR="006E1A30">
        <w:t xml:space="preserve">rajona </w:t>
      </w:r>
      <w:r>
        <w:t>tiesas</w:t>
      </w:r>
      <w:r w:rsidRPr="007309D0">
        <w:t xml:space="preserve"> </w:t>
      </w:r>
      <w:proofErr w:type="gramStart"/>
      <w:r w:rsidRPr="007309D0">
        <w:t>20</w:t>
      </w:r>
      <w:r w:rsidR="000200F8">
        <w:t>20</w:t>
      </w:r>
      <w:r w:rsidRPr="007309D0">
        <w:t>.gada</w:t>
      </w:r>
      <w:proofErr w:type="gramEnd"/>
      <w:r w:rsidRPr="007309D0">
        <w:t xml:space="preserve"> </w:t>
      </w:r>
      <w:r w:rsidR="000200F8">
        <w:t>12.marta</w:t>
      </w:r>
      <w:r>
        <w:t xml:space="preserve"> </w:t>
      </w:r>
      <w:r w:rsidRPr="007309D0">
        <w:t>spriedumu</w:t>
      </w:r>
    </w:p>
    <w:p w14:paraId="123ACBCB" w14:textId="48FB9015" w:rsidR="001763DB" w:rsidRDefault="00284455" w:rsidP="00601755">
      <w:pPr>
        <w:spacing w:line="276" w:lineRule="auto"/>
        <w:ind w:firstLine="709"/>
        <w:jc w:val="both"/>
      </w:pPr>
      <w:r>
        <w:t>[pers. A]</w:t>
      </w:r>
      <w:r w:rsidR="001763DB" w:rsidRPr="001763DB">
        <w:t xml:space="preserve">, personas kods </w:t>
      </w:r>
      <w:r>
        <w:t>[..]</w:t>
      </w:r>
      <w:r w:rsidR="001763DB" w:rsidRPr="001763DB">
        <w:t>,</w:t>
      </w:r>
    </w:p>
    <w:p w14:paraId="4E63365E" w14:textId="6FB61DFE" w:rsidR="001763DB" w:rsidRDefault="001763DB" w:rsidP="00601755">
      <w:pPr>
        <w:spacing w:line="276" w:lineRule="auto"/>
        <w:ind w:firstLine="709"/>
        <w:jc w:val="both"/>
      </w:pPr>
      <w:r w:rsidRPr="001763DB">
        <w:t>atzīts par vainīg</w:t>
      </w:r>
      <w:r>
        <w:t>u</w:t>
      </w:r>
      <w:r w:rsidRPr="001763DB">
        <w:t xml:space="preserve"> Krimināllikuma</w:t>
      </w:r>
      <w:r>
        <w:t xml:space="preserve"> </w:t>
      </w:r>
      <w:proofErr w:type="gramStart"/>
      <w:r w:rsidR="00992F3C">
        <w:t>233</w:t>
      </w:r>
      <w:r w:rsidRPr="001763DB">
        <w:t>.panta</w:t>
      </w:r>
      <w:proofErr w:type="gramEnd"/>
      <w:r w:rsidRPr="001763DB">
        <w:t xml:space="preserve"> </w:t>
      </w:r>
      <w:r w:rsidR="00992F3C">
        <w:t xml:space="preserve">otrajā </w:t>
      </w:r>
      <w:r w:rsidRPr="001763DB">
        <w:t>daļ</w:t>
      </w:r>
      <w:r>
        <w:t>ā paredzētajā noziedzīgajā nodarījumā</w:t>
      </w:r>
      <w:r w:rsidRPr="001763DB">
        <w:t xml:space="preserve"> un</w:t>
      </w:r>
      <w:r w:rsidR="00992F3C">
        <w:t xml:space="preserve"> </w:t>
      </w:r>
      <w:r w:rsidRPr="001763DB">
        <w:t xml:space="preserve">sodīts ar </w:t>
      </w:r>
      <w:r w:rsidR="00DB343F">
        <w:t xml:space="preserve">naudas sodu </w:t>
      </w:r>
      <w:r w:rsidR="00992F3C">
        <w:t>piec</w:t>
      </w:r>
      <w:r w:rsidR="00DB343F">
        <w:t>u</w:t>
      </w:r>
      <w:r w:rsidR="00992F3C">
        <w:t xml:space="preserve"> Latvijas Republikā noteikt</w:t>
      </w:r>
      <w:r w:rsidR="00DB343F">
        <w:t>o</w:t>
      </w:r>
      <w:r w:rsidR="00992F3C">
        <w:t xml:space="preserve"> minimāl</w:t>
      </w:r>
      <w:r w:rsidR="00DB343F">
        <w:t>o</w:t>
      </w:r>
      <w:r w:rsidR="00992F3C">
        <w:t xml:space="preserve"> mēnešalg</w:t>
      </w:r>
      <w:r w:rsidR="00DB343F">
        <w:t>u apmērā</w:t>
      </w:r>
      <w:r w:rsidR="00992F3C">
        <w:t xml:space="preserve"> jeb 2150 </w:t>
      </w:r>
      <w:proofErr w:type="spellStart"/>
      <w:r w:rsidR="00992F3C" w:rsidRPr="00992F3C">
        <w:rPr>
          <w:i/>
          <w:iCs/>
        </w:rPr>
        <w:t>euro</w:t>
      </w:r>
      <w:proofErr w:type="spellEnd"/>
      <w:r w:rsidR="00992F3C">
        <w:t>.</w:t>
      </w:r>
    </w:p>
    <w:p w14:paraId="38A99462" w14:textId="77777777" w:rsidR="00DB343F" w:rsidRDefault="00DB343F" w:rsidP="00601755">
      <w:pPr>
        <w:spacing w:line="276" w:lineRule="auto"/>
        <w:ind w:firstLine="709"/>
        <w:jc w:val="both"/>
      </w:pPr>
    </w:p>
    <w:p w14:paraId="397D0B24" w14:textId="0DE43A5B" w:rsidR="001E1C60" w:rsidRDefault="001763DB" w:rsidP="00601755">
      <w:pPr>
        <w:spacing w:line="276" w:lineRule="auto"/>
        <w:ind w:firstLine="709"/>
        <w:jc w:val="both"/>
      </w:pPr>
      <w:r w:rsidRPr="001763DB">
        <w:t>[2]</w:t>
      </w:r>
      <w:r w:rsidR="003E247F">
        <w:t xml:space="preserve"> Ar</w:t>
      </w:r>
      <w:r w:rsidRPr="001763DB">
        <w:rPr>
          <w:b/>
          <w:bCs/>
        </w:rPr>
        <w:t xml:space="preserve"> </w:t>
      </w:r>
      <w:r w:rsidR="00DB343F">
        <w:t>Zemgales rajona tiesas</w:t>
      </w:r>
      <w:r w:rsidR="00DB343F" w:rsidRPr="007309D0">
        <w:t xml:space="preserve"> </w:t>
      </w:r>
      <w:proofErr w:type="gramStart"/>
      <w:r w:rsidR="00DB343F" w:rsidRPr="007309D0">
        <w:t>20</w:t>
      </w:r>
      <w:r w:rsidR="00DB343F">
        <w:t>20</w:t>
      </w:r>
      <w:r w:rsidR="00DB343F" w:rsidRPr="007309D0">
        <w:t>.gada</w:t>
      </w:r>
      <w:proofErr w:type="gramEnd"/>
      <w:r w:rsidR="00DB343F" w:rsidRPr="007309D0">
        <w:t xml:space="preserve"> </w:t>
      </w:r>
      <w:r w:rsidR="00DB343F">
        <w:t xml:space="preserve">12.marta </w:t>
      </w:r>
      <w:r w:rsidR="00DB343F" w:rsidRPr="007309D0">
        <w:t>spriedumu</w:t>
      </w:r>
      <w:r w:rsidR="00DB343F">
        <w:t xml:space="preserve"> </w:t>
      </w:r>
      <w:r w:rsidR="00284455">
        <w:t>[pers. A]</w:t>
      </w:r>
      <w:r w:rsidR="001E1C60">
        <w:t xml:space="preserve"> </w:t>
      </w:r>
      <w:r w:rsidRPr="001763DB">
        <w:t>atz</w:t>
      </w:r>
      <w:r w:rsidR="0052503E">
        <w:t>īts</w:t>
      </w:r>
      <w:r w:rsidRPr="001763DB">
        <w:t xml:space="preserve"> par vainīgu un sodī</w:t>
      </w:r>
      <w:r w:rsidR="0052503E">
        <w:t>ts</w:t>
      </w:r>
      <w:r w:rsidR="00FB1F55">
        <w:t xml:space="preserve"> pēc Krimināllikuma </w:t>
      </w:r>
      <w:r w:rsidR="001E1C60">
        <w:t>233</w:t>
      </w:r>
      <w:r w:rsidR="00FB1F55">
        <w:t xml:space="preserve">.panta </w:t>
      </w:r>
      <w:r w:rsidR="001E1C60">
        <w:t>otrās</w:t>
      </w:r>
      <w:r w:rsidR="00A33A65">
        <w:t xml:space="preserve"> </w:t>
      </w:r>
      <w:r w:rsidR="009438D8" w:rsidRPr="009438D8">
        <w:t>daļas</w:t>
      </w:r>
      <w:r w:rsidR="001E1C60">
        <w:t xml:space="preserve"> </w:t>
      </w:r>
      <w:r w:rsidRPr="001763DB">
        <w:t>par to, ka viņš</w:t>
      </w:r>
      <w:r w:rsidR="001E1C60">
        <w:t xml:space="preserve"> bez attiecīgas atļaujas glabāj</w:t>
      </w:r>
      <w:r w:rsidR="00DB343F">
        <w:t>a</w:t>
      </w:r>
      <w:r w:rsidR="001E1C60">
        <w:t xml:space="preserve"> šaujamieroci un šaujamieroča munīciju.</w:t>
      </w:r>
    </w:p>
    <w:p w14:paraId="22A1DEF8" w14:textId="2E4C8004" w:rsidR="00DB343F" w:rsidRDefault="00DB343F" w:rsidP="00601755">
      <w:pPr>
        <w:spacing w:line="276" w:lineRule="auto"/>
        <w:ind w:firstLine="709"/>
        <w:jc w:val="both"/>
      </w:pPr>
    </w:p>
    <w:p w14:paraId="2ED80895" w14:textId="740E89B4" w:rsidR="00C372D5" w:rsidRDefault="00DA5681" w:rsidP="00601755">
      <w:pPr>
        <w:spacing w:line="276" w:lineRule="auto"/>
        <w:ind w:firstLine="709"/>
        <w:jc w:val="both"/>
      </w:pPr>
      <w:r>
        <w:t xml:space="preserve">[3] </w:t>
      </w:r>
      <w:r w:rsidR="00C372D5">
        <w:t xml:space="preserve">Ar Zemgales apgabaltiesas </w:t>
      </w:r>
      <w:proofErr w:type="gramStart"/>
      <w:r w:rsidR="00C372D5">
        <w:t>2021.gada</w:t>
      </w:r>
      <w:proofErr w:type="gramEnd"/>
      <w:r w:rsidR="00C372D5">
        <w:t xml:space="preserve"> </w:t>
      </w:r>
      <w:r w:rsidR="001E1C60">
        <w:t>20.septembra</w:t>
      </w:r>
      <w:r w:rsidR="00C372D5">
        <w:t xml:space="preserve"> </w:t>
      </w:r>
      <w:r w:rsidR="001E1C60">
        <w:t>lēmumu</w:t>
      </w:r>
      <w:r w:rsidR="00C372D5">
        <w:t xml:space="preserve">, </w:t>
      </w:r>
      <w:r w:rsidR="00DB343F" w:rsidRPr="009C3E01">
        <w:t>iztiesājot krimināllietu</w:t>
      </w:r>
      <w:r w:rsidR="00C372D5">
        <w:t xml:space="preserve"> apelācijas kārtībā</w:t>
      </w:r>
      <w:r w:rsidR="00544965">
        <w:t xml:space="preserve"> </w:t>
      </w:r>
      <w:r w:rsidR="00C372D5" w:rsidRPr="00C372D5">
        <w:t xml:space="preserve">sakarā ar apsūdzētā </w:t>
      </w:r>
      <w:r w:rsidR="00284455">
        <w:t>[pers. A]</w:t>
      </w:r>
      <w:r w:rsidR="00C372D5" w:rsidRPr="00C372D5">
        <w:t xml:space="preserve"> aizstā</w:t>
      </w:r>
      <w:r w:rsidR="001E1C60">
        <w:t xml:space="preserve">ves Pārslas </w:t>
      </w:r>
      <w:proofErr w:type="spellStart"/>
      <w:r w:rsidR="001E1C60">
        <w:t>Brasavas</w:t>
      </w:r>
      <w:proofErr w:type="spellEnd"/>
      <w:r w:rsidR="001E1C60">
        <w:t xml:space="preserve"> </w:t>
      </w:r>
      <w:r w:rsidR="00C372D5" w:rsidRPr="00C372D5">
        <w:t>apelācijas sūdzīb</w:t>
      </w:r>
      <w:r w:rsidR="00EC1411">
        <w:t>u</w:t>
      </w:r>
      <w:r w:rsidR="00DB343F">
        <w:t>,</w:t>
      </w:r>
      <w:r w:rsidR="00C372D5" w:rsidRPr="00C372D5">
        <w:t xml:space="preserve"> </w:t>
      </w:r>
      <w:r w:rsidR="00DB343F">
        <w:t>Zemgales rajona tiesas</w:t>
      </w:r>
      <w:r w:rsidR="00DB343F" w:rsidRPr="007309D0">
        <w:t xml:space="preserve"> 20</w:t>
      </w:r>
      <w:r w:rsidR="00DB343F">
        <w:t>20</w:t>
      </w:r>
      <w:r w:rsidR="00DB343F" w:rsidRPr="007309D0">
        <w:t xml:space="preserve">.gada </w:t>
      </w:r>
      <w:r w:rsidR="00DB343F">
        <w:t xml:space="preserve">12.marta </w:t>
      </w:r>
      <w:r w:rsidR="00C372D5" w:rsidRPr="00C372D5">
        <w:t>spriedum</w:t>
      </w:r>
      <w:r w:rsidR="00C372D5">
        <w:t xml:space="preserve">s </w:t>
      </w:r>
      <w:r w:rsidR="00DE0974">
        <w:t>a</w:t>
      </w:r>
      <w:r w:rsidR="00EC1411">
        <w:t>tstāts negrozīts</w:t>
      </w:r>
      <w:r w:rsidR="00DE0974">
        <w:t xml:space="preserve">. </w:t>
      </w:r>
    </w:p>
    <w:p w14:paraId="76ADCD1F" w14:textId="77777777" w:rsidR="00DB343F" w:rsidRDefault="00DB343F" w:rsidP="00601755">
      <w:pPr>
        <w:spacing w:line="276" w:lineRule="auto"/>
        <w:ind w:firstLine="709"/>
        <w:jc w:val="both"/>
      </w:pPr>
    </w:p>
    <w:p w14:paraId="10BD93DC" w14:textId="00449389" w:rsidR="00DA5681" w:rsidRDefault="00DA5681" w:rsidP="00601755">
      <w:pPr>
        <w:spacing w:line="276" w:lineRule="auto"/>
        <w:ind w:firstLine="709"/>
        <w:jc w:val="both"/>
      </w:pPr>
      <w:r>
        <w:t xml:space="preserve">[4] Par Zemgales apgabaltiesas </w:t>
      </w:r>
      <w:proofErr w:type="gramStart"/>
      <w:r>
        <w:t>2021.gada</w:t>
      </w:r>
      <w:proofErr w:type="gramEnd"/>
      <w:r>
        <w:t xml:space="preserve"> </w:t>
      </w:r>
      <w:r w:rsidR="00EC1411">
        <w:t>20.septembra</w:t>
      </w:r>
      <w:r>
        <w:t xml:space="preserve"> </w:t>
      </w:r>
      <w:r w:rsidR="00EC1411">
        <w:t>lēmumu</w:t>
      </w:r>
      <w:r>
        <w:t xml:space="preserve"> kasācijas </w:t>
      </w:r>
      <w:r w:rsidR="00EC1411">
        <w:t>sūdzību</w:t>
      </w:r>
      <w:r>
        <w:t xml:space="preserve"> iesniedzis </w:t>
      </w:r>
      <w:r w:rsidR="00EC1411">
        <w:t xml:space="preserve">apsūdzētais </w:t>
      </w:r>
      <w:r w:rsidR="00AA3313">
        <w:t>[pers. A]</w:t>
      </w:r>
      <w:r w:rsidR="00EC1411">
        <w:t xml:space="preserve">, </w:t>
      </w:r>
      <w:r w:rsidR="001A6002">
        <w:t>kur</w:t>
      </w:r>
      <w:r w:rsidR="00AC5CA4">
        <w:t>ā</w:t>
      </w:r>
      <w:r w:rsidR="001A6002">
        <w:t xml:space="preserve"> lūdz atcelt apelācijas instances tiesas </w:t>
      </w:r>
      <w:r w:rsidR="00EC1411">
        <w:t>lēmumu</w:t>
      </w:r>
      <w:r w:rsidR="001A6002">
        <w:t xml:space="preserve"> </w:t>
      </w:r>
      <w:r w:rsidR="00AA1E81">
        <w:t>un lietu nosūtīt jaunai izskatīšanai apelācijas instances tiesā.</w:t>
      </w:r>
    </w:p>
    <w:p w14:paraId="6FD9D9DA" w14:textId="7441D036" w:rsidR="00EB330B" w:rsidRDefault="00820560" w:rsidP="00601755">
      <w:pPr>
        <w:spacing w:line="276" w:lineRule="auto"/>
        <w:ind w:firstLine="709"/>
        <w:jc w:val="both"/>
      </w:pPr>
      <w:r>
        <w:t>Kasācijas sūdzība</w:t>
      </w:r>
      <w:r w:rsidR="00EB330B">
        <w:t xml:space="preserve"> pamatot</w:t>
      </w:r>
      <w:r>
        <w:t>a</w:t>
      </w:r>
      <w:r w:rsidR="00AC5CA4">
        <w:t xml:space="preserve"> ar</w:t>
      </w:r>
      <w:r w:rsidR="00EB330B">
        <w:t xml:space="preserve"> </w:t>
      </w:r>
      <w:r w:rsidR="00AC5CA4" w:rsidRPr="009C3E01">
        <w:t>turpmāk norādītiem argumentiem</w:t>
      </w:r>
      <w:r w:rsidR="003F3CF2">
        <w:t xml:space="preserve">. </w:t>
      </w:r>
    </w:p>
    <w:p w14:paraId="45EE95BA" w14:textId="35674168" w:rsidR="00244493" w:rsidRPr="00383228" w:rsidRDefault="00403A51" w:rsidP="00601755">
      <w:pPr>
        <w:spacing w:line="276" w:lineRule="auto"/>
        <w:ind w:firstLine="709"/>
        <w:jc w:val="both"/>
        <w:rPr>
          <w:bCs/>
        </w:rPr>
      </w:pPr>
      <w:r w:rsidRPr="00A00848">
        <w:t>[4.1]</w:t>
      </w:r>
      <w:r w:rsidRPr="003F3CF2">
        <w:rPr>
          <w:b/>
          <w:bCs/>
        </w:rPr>
        <w:t xml:space="preserve"> </w:t>
      </w:r>
      <w:r w:rsidR="003F3CF2">
        <w:t>P</w:t>
      </w:r>
      <w:r w:rsidR="001B5810">
        <w:t xml:space="preserve">retēji Kriminālprocesa likuma </w:t>
      </w:r>
      <w:proofErr w:type="gramStart"/>
      <w:r w:rsidR="003F3CF2">
        <w:t>128.panta</w:t>
      </w:r>
      <w:proofErr w:type="gramEnd"/>
      <w:r w:rsidR="003F3CF2">
        <w:t xml:space="preserve"> trešās daļas, </w:t>
      </w:r>
      <w:r w:rsidR="001B5810">
        <w:t xml:space="preserve">511.panta otrās daļas un 512.panta prasībām </w:t>
      </w:r>
      <w:r w:rsidR="003F3CF2">
        <w:t xml:space="preserve">pierādījumi lietā </w:t>
      </w:r>
      <w:r w:rsidR="001B5810">
        <w:t>vērtēti tendenciozi</w:t>
      </w:r>
      <w:r w:rsidR="003F3CF2">
        <w:t xml:space="preserve"> un</w:t>
      </w:r>
      <w:r w:rsidR="001B5810">
        <w:t xml:space="preserve"> neobjektīvi</w:t>
      </w:r>
      <w:r w:rsidR="003F3CF2">
        <w:t>,</w:t>
      </w:r>
      <w:r w:rsidR="001B5810">
        <w:t xml:space="preserve"> piešķirot augstāku ticamīb</w:t>
      </w:r>
      <w:r w:rsidR="00BB2496">
        <w:t xml:space="preserve">u </w:t>
      </w:r>
      <w:r w:rsidR="001B5810">
        <w:t>pretrunīgiem pierādījumiem</w:t>
      </w:r>
      <w:r w:rsidR="008328DF">
        <w:t xml:space="preserve">, tādējādi </w:t>
      </w:r>
      <w:r w:rsidR="000A7B11">
        <w:t xml:space="preserve">apelācijas instances tiesa </w:t>
      </w:r>
      <w:r w:rsidR="003F3CF2">
        <w:t xml:space="preserve">pieļāvusi </w:t>
      </w:r>
      <w:r w:rsidR="001B5810">
        <w:t>Kriminālprocesa likuma 15. un 20.panta p</w:t>
      </w:r>
      <w:r w:rsidR="003F3CF2">
        <w:t>ārkāpumus.</w:t>
      </w:r>
      <w:r w:rsidR="00E96B75" w:rsidRPr="00E96B75">
        <w:t xml:space="preserve"> </w:t>
      </w:r>
      <w:r w:rsidR="00A00848">
        <w:t>Turklāt a</w:t>
      </w:r>
      <w:r w:rsidR="00E96B75">
        <w:t xml:space="preserve">pelācijas instances tiesa pretēji Kriminālprocesa likuma </w:t>
      </w:r>
      <w:proofErr w:type="gramStart"/>
      <w:r w:rsidR="00E96B75">
        <w:t>511.panta</w:t>
      </w:r>
      <w:proofErr w:type="gramEnd"/>
      <w:r w:rsidR="00E96B75">
        <w:t xml:space="preserve"> otr</w:t>
      </w:r>
      <w:r w:rsidR="00A00848">
        <w:t>ās</w:t>
      </w:r>
      <w:r w:rsidR="00E96B75">
        <w:t xml:space="preserve"> daļ</w:t>
      </w:r>
      <w:r w:rsidR="00A00848">
        <w:t>as</w:t>
      </w:r>
      <w:r w:rsidR="00E96B75">
        <w:t>,</w:t>
      </w:r>
      <w:r w:rsidR="00601755">
        <w:t xml:space="preserve"> </w:t>
      </w:r>
      <w:r w:rsidR="00E96B75">
        <w:t>512.panta pirm</w:t>
      </w:r>
      <w:r w:rsidR="00A00848">
        <w:t>ās</w:t>
      </w:r>
      <w:r w:rsidR="00E96B75">
        <w:t xml:space="preserve"> daļa</w:t>
      </w:r>
      <w:r w:rsidR="00A00848">
        <w:t>s,</w:t>
      </w:r>
      <w:r w:rsidR="00E96B75">
        <w:t xml:space="preserve"> 527.panta otrās daļas 2.punkta, 564.panta ceturt</w:t>
      </w:r>
      <w:r w:rsidR="00A00848">
        <w:t>ās</w:t>
      </w:r>
      <w:r w:rsidR="00E96B75">
        <w:t xml:space="preserve"> daļa</w:t>
      </w:r>
      <w:r w:rsidR="00A00848">
        <w:t>s prasībām</w:t>
      </w:r>
      <w:r w:rsidR="00E96B75">
        <w:t xml:space="preserve"> nav izvērtējusi vis</w:t>
      </w:r>
      <w:r w:rsidR="00A00848">
        <w:t xml:space="preserve">us </w:t>
      </w:r>
      <w:r w:rsidR="00E96B75">
        <w:t>aizstāves apelācijas sūdzīb</w:t>
      </w:r>
      <w:r w:rsidR="00A00848">
        <w:t>ā</w:t>
      </w:r>
      <w:r w:rsidR="00E96B75">
        <w:t xml:space="preserve"> norādīt</w:t>
      </w:r>
      <w:r w:rsidR="00A00848">
        <w:t>os argumentus.</w:t>
      </w:r>
      <w:r w:rsidR="00601755">
        <w:t xml:space="preserve"> </w:t>
      </w:r>
      <w:r w:rsidR="00601755">
        <w:rPr>
          <w:bCs/>
        </w:rPr>
        <w:t xml:space="preserve">Atbilstoši Kriminālprocesa likuma </w:t>
      </w:r>
      <w:proofErr w:type="gramStart"/>
      <w:r w:rsidR="00601755">
        <w:rPr>
          <w:bCs/>
        </w:rPr>
        <w:t>19.panta</w:t>
      </w:r>
      <w:proofErr w:type="gramEnd"/>
      <w:r w:rsidR="00601755">
        <w:rPr>
          <w:bCs/>
        </w:rPr>
        <w:t xml:space="preserve"> trešajai daļai k</w:t>
      </w:r>
      <w:r w:rsidR="00244493">
        <w:rPr>
          <w:bCs/>
        </w:rPr>
        <w:t xml:space="preserve">riminālprocesā </w:t>
      </w:r>
      <w:r w:rsidR="00244493">
        <w:rPr>
          <w:bCs/>
        </w:rPr>
        <w:lastRenderedPageBreak/>
        <w:t xml:space="preserve">pastāv pamatotas šaubas par </w:t>
      </w:r>
      <w:r w:rsidR="00601755">
        <w:rPr>
          <w:bCs/>
        </w:rPr>
        <w:t>apsūdzētā</w:t>
      </w:r>
      <w:r w:rsidR="00244493">
        <w:rPr>
          <w:bCs/>
        </w:rPr>
        <w:t xml:space="preserve"> vain</w:t>
      </w:r>
      <w:r w:rsidR="000B75C2">
        <w:rPr>
          <w:bCs/>
        </w:rPr>
        <w:t>īgum</w:t>
      </w:r>
      <w:r w:rsidR="00244493">
        <w:rPr>
          <w:bCs/>
        </w:rPr>
        <w:t>u noziedzīgajā nodarījumā, jo tiesa nav ievērojusi Kriminālprocesa likuma 124.panta piektajā daļā noteikto pierādīšanas standartu.</w:t>
      </w:r>
    </w:p>
    <w:p w14:paraId="1DEB4B5E" w14:textId="75A62121" w:rsidR="00095CB5" w:rsidRDefault="00A00848" w:rsidP="00F0490A">
      <w:pPr>
        <w:spacing w:line="276" w:lineRule="auto"/>
        <w:ind w:firstLine="709"/>
        <w:jc w:val="both"/>
      </w:pPr>
      <w:r>
        <w:t xml:space="preserve">[4.2] </w:t>
      </w:r>
      <w:r w:rsidR="003F3CF2">
        <w:t>Lietā</w:t>
      </w:r>
      <w:r w:rsidR="00095CB5">
        <w:t xml:space="preserve"> nav pierādī</w:t>
      </w:r>
      <w:r w:rsidR="003F3CF2">
        <w:t>jum</w:t>
      </w:r>
      <w:r w:rsidR="000A7B11">
        <w:t>u</w:t>
      </w:r>
      <w:r w:rsidR="003F3CF2">
        <w:t xml:space="preserve">, kas </w:t>
      </w:r>
      <w:r w:rsidR="00CA150D">
        <w:t xml:space="preserve">apliecinātu </w:t>
      </w:r>
      <w:r w:rsidR="00F70A98" w:rsidRPr="00F70A98">
        <w:t xml:space="preserve">Krimināllikuma </w:t>
      </w:r>
      <w:proofErr w:type="gramStart"/>
      <w:r w:rsidR="00F70A98" w:rsidRPr="00F70A98">
        <w:t>233.panta</w:t>
      </w:r>
      <w:proofErr w:type="gramEnd"/>
      <w:r w:rsidR="00F70A98" w:rsidRPr="00F70A98">
        <w:t xml:space="preserve"> otrajā daļā paredzētā noziedzīgā nodarījuma subjektīvā</w:t>
      </w:r>
      <w:r w:rsidR="003F3CF2">
        <w:t>s</w:t>
      </w:r>
      <w:r w:rsidR="00F70A98" w:rsidRPr="00F70A98">
        <w:t xml:space="preserve"> puse</w:t>
      </w:r>
      <w:r w:rsidR="003F3CF2">
        <w:t>s esību</w:t>
      </w:r>
      <w:r w:rsidR="00F70A98">
        <w:t>,</w:t>
      </w:r>
      <w:r w:rsidR="00095CB5">
        <w:t xml:space="preserve"> </w:t>
      </w:r>
      <w:r w:rsidR="003F3CF2">
        <w:t xml:space="preserve">proti, ka apsūdzētais </w:t>
      </w:r>
      <w:r w:rsidR="00095CB5">
        <w:t xml:space="preserve">apzināti bez attiecīgas atļaujas glabājis šaujamieroci apsūdzībā norādītajos apstākļos. </w:t>
      </w:r>
    </w:p>
    <w:p w14:paraId="120B0CC8" w14:textId="34D06B3B" w:rsidR="00E96B75" w:rsidRPr="001A1FF2" w:rsidRDefault="00F0490A" w:rsidP="00F0490A">
      <w:pPr>
        <w:spacing w:line="276" w:lineRule="auto"/>
        <w:ind w:firstLine="709"/>
        <w:jc w:val="both"/>
        <w:rPr>
          <w:b/>
          <w:bCs/>
        </w:rPr>
      </w:pPr>
      <w:r>
        <w:t>L</w:t>
      </w:r>
      <w:r w:rsidR="001164C4">
        <w:t xml:space="preserve">īdz </w:t>
      </w:r>
      <w:proofErr w:type="gramStart"/>
      <w:r w:rsidR="001164C4">
        <w:t>2018.gada</w:t>
      </w:r>
      <w:proofErr w:type="gramEnd"/>
      <w:r w:rsidR="00E51555">
        <w:t xml:space="preserve"> 8.janvārim spēkā </w:t>
      </w:r>
      <w:r w:rsidR="00324424">
        <w:t xml:space="preserve">esošais </w:t>
      </w:r>
      <w:r w:rsidR="00E51555">
        <w:t>Ieroču un speciālo līdzekļu aprites likum</w:t>
      </w:r>
      <w:r w:rsidR="00324424">
        <w:t xml:space="preserve">a </w:t>
      </w:r>
      <w:r w:rsidR="00CA150D">
        <w:t>1.</w:t>
      </w:r>
      <w:r w:rsidR="00E51555">
        <w:t>panta 27.punkt</w:t>
      </w:r>
      <w:r w:rsidR="00324424">
        <w:t xml:space="preserve">s noteica, ka </w:t>
      </w:r>
      <w:r w:rsidR="00E51555">
        <w:t>mazas enerģijas pneimatisk</w:t>
      </w:r>
      <w:r w:rsidR="00324424">
        <w:t xml:space="preserve">ais </w:t>
      </w:r>
      <w:r w:rsidR="00E51555">
        <w:t>ierocis</w:t>
      </w:r>
      <w:r w:rsidR="00BD6763">
        <w:t xml:space="preserve"> </w:t>
      </w:r>
      <w:r w:rsidR="00324424">
        <w:t xml:space="preserve">ir tāds ierocis, </w:t>
      </w:r>
      <w:r w:rsidR="00BD6763">
        <w:t xml:space="preserve">kura šāviņa </w:t>
      </w:r>
      <w:proofErr w:type="spellStart"/>
      <w:r w:rsidR="00BD6763">
        <w:t>sākumenerģija</w:t>
      </w:r>
      <w:proofErr w:type="spellEnd"/>
      <w:r w:rsidR="00BD6763">
        <w:t xml:space="preserve"> nepārsniedz 12 džoulus</w:t>
      </w:r>
      <w:r w:rsidR="001A1FF2">
        <w:t>, turklāt l</w:t>
      </w:r>
      <w:r w:rsidR="00324424">
        <w:t>ikums ne</w:t>
      </w:r>
      <w:r w:rsidR="001A1FF2">
        <w:t xml:space="preserve">paredzēja, </w:t>
      </w:r>
      <w:r w:rsidR="00BD6763">
        <w:t>ka š</w:t>
      </w:r>
      <w:r w:rsidR="00E96B75">
        <w:t>āda</w:t>
      </w:r>
      <w:r w:rsidR="00BD6763">
        <w:t xml:space="preserve"> ieroča iegādei, glabāšanai un lietošanai nepieciešama speciāla atļauja</w:t>
      </w:r>
      <w:r w:rsidR="00D27C9B">
        <w:t>.</w:t>
      </w:r>
      <w:r w:rsidR="00324424">
        <w:t xml:space="preserve"> </w:t>
      </w:r>
      <w:r w:rsidR="001A1FF2">
        <w:t xml:space="preserve">Apsūdzētais no vairākām kompetentām personām, tai skaitā no ieroča pārdevēja, noskaidrojis, ka viņa dzīvesvietā kratīšanas laikā izņemtajam ierocim nav nepieciešama atļauja iegādei, glabāšanai un lietošanai, jo tas ir mazas enerģijas ierocis, kura šāviņa </w:t>
      </w:r>
      <w:proofErr w:type="spellStart"/>
      <w:r w:rsidR="001A1FF2">
        <w:t>sākumenerģija</w:t>
      </w:r>
      <w:proofErr w:type="spellEnd"/>
      <w:r w:rsidR="001A1FF2">
        <w:t xml:space="preserve"> ir 7,5 džouli. </w:t>
      </w:r>
    </w:p>
    <w:p w14:paraId="1B26D66F" w14:textId="2849EF5C" w:rsidR="00152EBA" w:rsidRDefault="00324424" w:rsidP="00466CB7">
      <w:pPr>
        <w:spacing w:line="276" w:lineRule="auto"/>
        <w:ind w:firstLine="709"/>
        <w:jc w:val="both"/>
      </w:pPr>
      <w:r>
        <w:t>Ievērojot minēto, a</w:t>
      </w:r>
      <w:r w:rsidR="00D27C9B">
        <w:t>pelācijas instances tiesa nepamatoti</w:t>
      </w:r>
      <w:r w:rsidR="00E96B75">
        <w:t xml:space="preserve"> </w:t>
      </w:r>
      <w:r w:rsidR="00D27C9B">
        <w:t>konstatējusi, ka apsūdzētā subjektīvā attieksme pret nodarījumu izpaudusies tieša nodoma veidā</w:t>
      </w:r>
      <w:r>
        <w:t xml:space="preserve"> un </w:t>
      </w:r>
      <w:r w:rsidR="00D27C9B">
        <w:t xml:space="preserve">viņš </w:t>
      </w:r>
      <w:r>
        <w:t xml:space="preserve">ir </w:t>
      </w:r>
      <w:r w:rsidR="00D27C9B">
        <w:t>apzinājies</w:t>
      </w:r>
      <w:r w:rsidR="001A1FF2">
        <w:t>, ka viņa darbības ir neatļautas,</w:t>
      </w:r>
      <w:r w:rsidR="00D27C9B">
        <w:t xml:space="preserve"> ko </w:t>
      </w:r>
      <w:r>
        <w:t>ap</w:t>
      </w:r>
      <w:r w:rsidR="00D27C9B">
        <w:t>liecin</w:t>
      </w:r>
      <w:r>
        <w:t>a</w:t>
      </w:r>
      <w:r w:rsidR="0067763A">
        <w:t xml:space="preserve"> tas, ka apsūdzētais </w:t>
      </w:r>
      <w:r w:rsidR="00D27C9B">
        <w:t>n</w:t>
      </w:r>
      <w:r>
        <w:t xml:space="preserve">av </w:t>
      </w:r>
      <w:r w:rsidR="00D27C9B">
        <w:t>veicis darbības</w:t>
      </w:r>
      <w:r>
        <w:t xml:space="preserve">, lai saņemtu </w:t>
      </w:r>
      <w:r w:rsidR="00D27C9B">
        <w:t>atļauj</w:t>
      </w:r>
      <w:r>
        <w:t>u</w:t>
      </w:r>
      <w:r w:rsidR="00D27C9B">
        <w:t xml:space="preserve">, </w:t>
      </w:r>
      <w:r w:rsidR="00CA150D">
        <w:t xml:space="preserve">kā arī </w:t>
      </w:r>
      <w:r w:rsidR="00D27C9B">
        <w:t>n</w:t>
      </w:r>
      <w:r w:rsidR="00C07EA3">
        <w:t>av</w:t>
      </w:r>
      <w:r w:rsidR="00034D20">
        <w:t xml:space="preserve"> </w:t>
      </w:r>
      <w:r w:rsidR="00034D20" w:rsidRPr="00034D20">
        <w:t xml:space="preserve">mēģinājis </w:t>
      </w:r>
      <w:r w:rsidR="00E96B75">
        <w:t xml:space="preserve">Valsts policijā </w:t>
      </w:r>
      <w:r w:rsidR="00D27C9B">
        <w:t>noskaidrot</w:t>
      </w:r>
      <w:r w:rsidR="005D558B">
        <w:t>, vai šāda atļauja nepieciešama</w:t>
      </w:r>
      <w:r w:rsidR="00034D20">
        <w:t xml:space="preserve">, kaut arī tas </w:t>
      </w:r>
      <w:r w:rsidR="005D558B">
        <w:t>bijis zināms, un viņš pats</w:t>
      </w:r>
      <w:r w:rsidR="00034D20">
        <w:t xml:space="preserve"> par</w:t>
      </w:r>
      <w:r w:rsidR="005D558B">
        <w:t xml:space="preserve"> to </w:t>
      </w:r>
      <w:r>
        <w:t xml:space="preserve">ir </w:t>
      </w:r>
      <w:r w:rsidR="005D558B">
        <w:t>liecinājis.</w:t>
      </w:r>
      <w:r w:rsidR="0023751B">
        <w:t xml:space="preserve"> </w:t>
      </w:r>
      <w:r w:rsidR="00466CB7">
        <w:t xml:space="preserve">Ņemot vērā minēto, </w:t>
      </w:r>
      <w:r w:rsidR="00E96B75">
        <w:t xml:space="preserve">apsūdzētajam inkriminētajās </w:t>
      </w:r>
      <w:r w:rsidR="00EE5C18">
        <w:t xml:space="preserve">darbībās nav noziedzīgā nodarījuma subjektīvās puses. </w:t>
      </w:r>
    </w:p>
    <w:p w14:paraId="3A771281" w14:textId="4FD1CEC3" w:rsidR="00244493" w:rsidRDefault="00601755" w:rsidP="00244493">
      <w:pPr>
        <w:spacing w:line="276" w:lineRule="auto"/>
        <w:ind w:firstLine="709"/>
        <w:jc w:val="both"/>
        <w:rPr>
          <w:bCs/>
        </w:rPr>
      </w:pPr>
      <w:r>
        <w:t>[4.3] N</w:t>
      </w:r>
      <w:r w:rsidR="00244493">
        <w:rPr>
          <w:bCs/>
        </w:rPr>
        <w:t xml:space="preserve">av </w:t>
      </w:r>
      <w:r w:rsidR="00A52332">
        <w:rPr>
          <w:bCs/>
        </w:rPr>
        <w:t xml:space="preserve">pierādīts </w:t>
      </w:r>
      <w:r w:rsidR="00244493">
        <w:rPr>
          <w:bCs/>
        </w:rPr>
        <w:t xml:space="preserve">apsūdzētā </w:t>
      </w:r>
      <w:r w:rsidR="00AA3313">
        <w:rPr>
          <w:bCs/>
        </w:rPr>
        <w:t>[pers. </w:t>
      </w:r>
      <w:r w:rsidR="00AA3313">
        <w:t>A]</w:t>
      </w:r>
      <w:r w:rsidR="00244493">
        <w:rPr>
          <w:bCs/>
        </w:rPr>
        <w:t xml:space="preserve"> vain</w:t>
      </w:r>
      <w:r w:rsidR="00A52332">
        <w:rPr>
          <w:bCs/>
        </w:rPr>
        <w:t>īgums</w:t>
      </w:r>
      <w:r w:rsidR="00244493">
        <w:rPr>
          <w:bCs/>
        </w:rPr>
        <w:t xml:space="preserve"> šaujamieroču munīcijas – 9 rūpnieciski ražotu 4</w:t>
      </w:r>
      <w:r>
        <w:rPr>
          <w:bCs/>
        </w:rPr>
        <w:t> </w:t>
      </w:r>
      <w:r w:rsidR="00244493">
        <w:rPr>
          <w:bCs/>
        </w:rPr>
        <w:t xml:space="preserve">mm </w:t>
      </w:r>
      <w:proofErr w:type="spellStart"/>
      <w:r w:rsidR="00244493">
        <w:rPr>
          <w:bCs/>
        </w:rPr>
        <w:t>Randz</w:t>
      </w:r>
      <w:proofErr w:type="spellEnd"/>
      <w:r w:rsidR="00244493">
        <w:rPr>
          <w:bCs/>
        </w:rPr>
        <w:t xml:space="preserve"> </w:t>
      </w:r>
      <w:proofErr w:type="spellStart"/>
      <w:r w:rsidR="00244493">
        <w:rPr>
          <w:bCs/>
        </w:rPr>
        <w:t>Court</w:t>
      </w:r>
      <w:proofErr w:type="spellEnd"/>
      <w:r w:rsidR="00244493">
        <w:rPr>
          <w:bCs/>
        </w:rPr>
        <w:t xml:space="preserve"> patronu – glabāšanā savā dzīvesvietā. Apsūdzētais nekad nav atzinis, ka viņa dzīvesvietā </w:t>
      </w:r>
      <w:proofErr w:type="gramStart"/>
      <w:r w:rsidR="00244493">
        <w:rPr>
          <w:bCs/>
        </w:rPr>
        <w:t>2018.gada</w:t>
      </w:r>
      <w:proofErr w:type="gramEnd"/>
      <w:r w:rsidR="00244493">
        <w:rPr>
          <w:bCs/>
        </w:rPr>
        <w:t xml:space="preserve"> 8.janvārī būtu bijušas viņam piederošas neizšautas patronas, ko apstiprina 2018.gada 8.janvāra kratīšanas protokols, proti, patronas netika atrastas un izņemtas. Pamatojoties uz Kriminālprocesa likuma </w:t>
      </w:r>
      <w:proofErr w:type="gramStart"/>
      <w:r w:rsidR="00244493">
        <w:rPr>
          <w:bCs/>
        </w:rPr>
        <w:t>127.panta</w:t>
      </w:r>
      <w:proofErr w:type="gramEnd"/>
      <w:r w:rsidR="00244493">
        <w:rPr>
          <w:bCs/>
        </w:rPr>
        <w:t xml:space="preserve"> pirmo</w:t>
      </w:r>
      <w:r w:rsidR="008E476C">
        <w:rPr>
          <w:bCs/>
        </w:rPr>
        <w:t>,</w:t>
      </w:r>
      <w:r w:rsidR="00244493">
        <w:rPr>
          <w:bCs/>
        </w:rPr>
        <w:t xml:space="preserve"> otro daļu</w:t>
      </w:r>
      <w:r w:rsidR="008E476C">
        <w:rPr>
          <w:bCs/>
        </w:rPr>
        <w:t xml:space="preserve"> un</w:t>
      </w:r>
      <w:r w:rsidR="00244493">
        <w:rPr>
          <w:bCs/>
        </w:rPr>
        <w:t xml:space="preserve"> 129.pantu</w:t>
      </w:r>
      <w:r w:rsidR="008E476C">
        <w:rPr>
          <w:bCs/>
        </w:rPr>
        <w:t>,</w:t>
      </w:r>
      <w:r w:rsidR="00244493">
        <w:rPr>
          <w:bCs/>
        </w:rPr>
        <w:t xml:space="preserve"> kompleksās ballistiskās un ķīmiskās ekspertīzes </w:t>
      </w:r>
      <w:r w:rsidR="00632392">
        <w:rPr>
          <w:bCs/>
        </w:rPr>
        <w:t>ekspert</w:t>
      </w:r>
      <w:r w:rsidR="001B470E">
        <w:rPr>
          <w:bCs/>
        </w:rPr>
        <w:t>u</w:t>
      </w:r>
      <w:r w:rsidR="00632392">
        <w:rPr>
          <w:bCs/>
        </w:rPr>
        <w:t xml:space="preserve"> </w:t>
      </w:r>
      <w:r w:rsidR="00244493">
        <w:rPr>
          <w:bCs/>
        </w:rPr>
        <w:t xml:space="preserve">atzinums daļā par 9 patronu izpēti nav attiecināms uz </w:t>
      </w:r>
      <w:r w:rsidR="00A2648B">
        <w:rPr>
          <w:bCs/>
        </w:rPr>
        <w:t>izskatāmo</w:t>
      </w:r>
      <w:r w:rsidR="00244493">
        <w:rPr>
          <w:bCs/>
        </w:rPr>
        <w:t xml:space="preserve"> kriminālprocesu.</w:t>
      </w:r>
    </w:p>
    <w:p w14:paraId="5492B582" w14:textId="4303808E" w:rsidR="00932DF1" w:rsidRDefault="00EF0726" w:rsidP="00032365">
      <w:pPr>
        <w:spacing w:line="276" w:lineRule="auto"/>
        <w:jc w:val="both"/>
      </w:pPr>
      <w:r>
        <w:tab/>
      </w:r>
      <w:r w:rsidR="00812C50">
        <w:t>[</w:t>
      </w:r>
      <w:r w:rsidR="0067763A">
        <w:t>4.</w:t>
      </w:r>
      <w:r w:rsidR="00A2648B">
        <w:t>4</w:t>
      </w:r>
      <w:r w:rsidR="00812C50">
        <w:t xml:space="preserve">] </w:t>
      </w:r>
      <w:r w:rsidR="00932DF1">
        <w:t xml:space="preserve">Pretēji Kriminālprocesa likuma </w:t>
      </w:r>
      <w:proofErr w:type="gramStart"/>
      <w:r w:rsidR="00932DF1">
        <w:t>405.panta</w:t>
      </w:r>
      <w:proofErr w:type="gramEnd"/>
      <w:r w:rsidR="00932DF1">
        <w:t xml:space="preserve"> prasībām </w:t>
      </w:r>
      <w:r w:rsidR="00AA3313">
        <w:t>[pers. A]</w:t>
      </w:r>
      <w:r w:rsidR="00812C50">
        <w:t xml:space="preserve"> inkriminētā </w:t>
      </w:r>
      <w:r w:rsidR="00932DF1">
        <w:t>apsūdzība nav precīza un konkrēta</w:t>
      </w:r>
      <w:r w:rsidR="00812C50">
        <w:t xml:space="preserve">, proti, </w:t>
      </w:r>
      <w:r w:rsidR="0069131F">
        <w:t xml:space="preserve">nav norādīts </w:t>
      </w:r>
      <w:r w:rsidR="008E476C">
        <w:t>laiks</w:t>
      </w:r>
      <w:r w:rsidR="00220424">
        <w:t xml:space="preserve">, </w:t>
      </w:r>
      <w:r w:rsidR="0043040D">
        <w:t xml:space="preserve">no kura </w:t>
      </w:r>
      <w:r w:rsidR="0069131F">
        <w:t xml:space="preserve">viņš </w:t>
      </w:r>
      <w:r w:rsidR="00812C50">
        <w:t xml:space="preserve">izdarījis </w:t>
      </w:r>
      <w:r w:rsidR="0069131F">
        <w:t>noziedzīgo nodarījumu</w:t>
      </w:r>
      <w:r w:rsidR="0043040D">
        <w:t>.</w:t>
      </w:r>
      <w:r w:rsidR="00220424">
        <w:t xml:space="preserve"> Tādējādi ierobežotas </w:t>
      </w:r>
      <w:r w:rsidR="00402AAA">
        <w:t>apsūdzētā</w:t>
      </w:r>
      <w:r w:rsidR="00220424">
        <w:t xml:space="preserve"> tiesības uz aizstāvību, kas noteiktas Kriminālprocesa likuma </w:t>
      </w:r>
      <w:proofErr w:type="gramStart"/>
      <w:r w:rsidR="00220424">
        <w:t>20.panta</w:t>
      </w:r>
      <w:proofErr w:type="gramEnd"/>
      <w:r w:rsidR="00220424">
        <w:t xml:space="preserve"> pirmajā daļā</w:t>
      </w:r>
      <w:r w:rsidR="0069131F">
        <w:t xml:space="preserve">. </w:t>
      </w:r>
      <w:r w:rsidR="00220424">
        <w:t>A</w:t>
      </w:r>
      <w:r w:rsidR="008E6EAF">
        <w:t>izstāve uz šo apstākli norādīj</w:t>
      </w:r>
      <w:r w:rsidR="003654AB">
        <w:t>usi</w:t>
      </w:r>
      <w:r w:rsidR="008E6EAF">
        <w:t xml:space="preserve"> apelācijas sūdzībā, </w:t>
      </w:r>
      <w:r w:rsidR="00220424">
        <w:t xml:space="preserve">bet </w:t>
      </w:r>
      <w:r w:rsidR="008E6EAF">
        <w:t xml:space="preserve">tiesa </w:t>
      </w:r>
      <w:r w:rsidR="003654AB">
        <w:t xml:space="preserve">minēto argumentu nav izvērtējusi. </w:t>
      </w:r>
    </w:p>
    <w:p w14:paraId="2F251BEE" w14:textId="1F980F5B" w:rsidR="000063EE" w:rsidRDefault="0069131F" w:rsidP="008E6EAF">
      <w:pPr>
        <w:spacing w:line="276" w:lineRule="auto"/>
        <w:ind w:firstLine="720"/>
        <w:jc w:val="both"/>
      </w:pPr>
      <w:r>
        <w:t>[</w:t>
      </w:r>
      <w:r w:rsidR="00220424">
        <w:t>4.</w:t>
      </w:r>
      <w:r w:rsidR="00A2648B">
        <w:t>5</w:t>
      </w:r>
      <w:r>
        <w:t xml:space="preserve">] </w:t>
      </w:r>
      <w:r w:rsidR="00367742">
        <w:t xml:space="preserve">Apelācijas instances tiesa nav </w:t>
      </w:r>
      <w:r w:rsidR="009C5AD4">
        <w:t>iz</w:t>
      </w:r>
      <w:r w:rsidR="00367742">
        <w:t xml:space="preserve">vērtējusi aizstāves apelācijas </w:t>
      </w:r>
      <w:r w:rsidR="0090730C">
        <w:t>sūdzībā norādītos argumentus</w:t>
      </w:r>
      <w:r w:rsidR="00367742">
        <w:t xml:space="preserve"> par to, ka no pierādījumu loka</w:t>
      </w:r>
      <w:r w:rsidR="0090730C" w:rsidRPr="0090730C">
        <w:t xml:space="preserve"> </w:t>
      </w:r>
      <w:r w:rsidR="00367742">
        <w:t xml:space="preserve">izslēdzams </w:t>
      </w:r>
      <w:proofErr w:type="gramStart"/>
      <w:r w:rsidR="00367742">
        <w:t>2018.gada</w:t>
      </w:r>
      <w:proofErr w:type="gramEnd"/>
      <w:r w:rsidR="00367742">
        <w:t xml:space="preserve"> 11.aprīļa kompleksās ballistiskās un ķīmiskās ekspertīzes </w:t>
      </w:r>
      <w:r w:rsidR="00632392">
        <w:t>ekspert</w:t>
      </w:r>
      <w:r w:rsidR="002A5D76">
        <w:t>u</w:t>
      </w:r>
      <w:r w:rsidR="00632392">
        <w:t xml:space="preserve"> </w:t>
      </w:r>
      <w:r w:rsidR="00367742">
        <w:t>atzinums</w:t>
      </w:r>
      <w:r w:rsidR="000063EE">
        <w:t xml:space="preserve"> tālāk minēto apsvērumu dēļ</w:t>
      </w:r>
      <w:r w:rsidR="00367742">
        <w:t>.</w:t>
      </w:r>
    </w:p>
    <w:p w14:paraId="0B7F3468" w14:textId="7AD921EF" w:rsidR="00133C1B" w:rsidRDefault="000063EE" w:rsidP="008E6EAF">
      <w:pPr>
        <w:spacing w:line="276" w:lineRule="auto"/>
        <w:ind w:firstLine="720"/>
        <w:jc w:val="both"/>
      </w:pPr>
      <w:r>
        <w:t>T</w:t>
      </w:r>
      <w:r w:rsidR="00133C1B">
        <w:t xml:space="preserve">iesas sēdē </w:t>
      </w:r>
      <w:proofErr w:type="gramStart"/>
      <w:r w:rsidR="009C5AD4">
        <w:t>2019.gada</w:t>
      </w:r>
      <w:proofErr w:type="gramEnd"/>
      <w:r w:rsidR="009C5AD4">
        <w:t xml:space="preserve"> 16.janvārī </w:t>
      </w:r>
      <w:r w:rsidR="00133C1B">
        <w:t xml:space="preserve">eksperts </w:t>
      </w:r>
      <w:r w:rsidR="00AA3313">
        <w:t>[pers. B]</w:t>
      </w:r>
      <w:r w:rsidR="00133C1B">
        <w:t xml:space="preserve"> kļūdaini norādīj</w:t>
      </w:r>
      <w:r w:rsidR="00625732">
        <w:t>is</w:t>
      </w:r>
      <w:r w:rsidR="00133C1B">
        <w:t xml:space="preserve">, ka </w:t>
      </w:r>
      <w:r w:rsidR="009C5AD4">
        <w:t xml:space="preserve">Latvijas Republikā </w:t>
      </w:r>
      <w:r>
        <w:t xml:space="preserve">ieroču apriti reglamentē </w:t>
      </w:r>
      <w:r w:rsidR="008E6EAF">
        <w:t>tikai</w:t>
      </w:r>
      <w:r w:rsidR="00133C1B">
        <w:t xml:space="preserve"> </w:t>
      </w:r>
      <w:r w:rsidR="008E6EAF">
        <w:t>Ieroču un speciālo līdzekļu aprites likums</w:t>
      </w:r>
      <w:r w:rsidR="00133C1B">
        <w:t>,</w:t>
      </w:r>
      <w:r w:rsidR="008E6EAF">
        <w:t xml:space="preserve"> </w:t>
      </w:r>
      <w:r>
        <w:t>lai gan</w:t>
      </w:r>
      <w:r w:rsidR="008E6EAF">
        <w:t xml:space="preserve"> ieroču</w:t>
      </w:r>
      <w:r w:rsidR="00133C1B">
        <w:t xml:space="preserve"> apriti </w:t>
      </w:r>
      <w:r w:rsidR="008E6EAF">
        <w:t xml:space="preserve">reglamentē arī </w:t>
      </w:r>
      <w:r w:rsidR="00133C1B">
        <w:t>citi normatīvie akti</w:t>
      </w:r>
      <w:r>
        <w:t xml:space="preserve">, proti, </w:t>
      </w:r>
      <w:r w:rsidR="00133C1B">
        <w:t xml:space="preserve">Ministru kabineta </w:t>
      </w:r>
      <w:proofErr w:type="gramStart"/>
      <w:r w:rsidR="009C5AD4">
        <w:t>2017.gada</w:t>
      </w:r>
      <w:proofErr w:type="gramEnd"/>
      <w:r w:rsidR="009C5AD4">
        <w:t xml:space="preserve"> 21.marta </w:t>
      </w:r>
      <w:r w:rsidR="00133C1B">
        <w:t>noteikumi Nr.</w:t>
      </w:r>
      <w:r w:rsidR="009C5AD4">
        <w:t> </w:t>
      </w:r>
      <w:r w:rsidR="00133C1B">
        <w:t xml:space="preserve">154, Ministru kabineta </w:t>
      </w:r>
      <w:r w:rsidR="009C5AD4">
        <w:t xml:space="preserve">2016.gada 2.augusta </w:t>
      </w:r>
      <w:r w:rsidR="00133C1B">
        <w:t>noteikumi Nr.</w:t>
      </w:r>
      <w:r w:rsidR="009C5AD4">
        <w:t> </w:t>
      </w:r>
      <w:r w:rsidR="00133C1B">
        <w:t xml:space="preserve">502, Ministru kabineta </w:t>
      </w:r>
      <w:r w:rsidR="009C5AD4">
        <w:t xml:space="preserve">2016.gada 30.jūnija </w:t>
      </w:r>
      <w:r w:rsidR="00133C1B">
        <w:t>noteikumi Nr.</w:t>
      </w:r>
      <w:r w:rsidR="009C5AD4">
        <w:t> </w:t>
      </w:r>
      <w:r w:rsidR="00133C1B">
        <w:t xml:space="preserve">348, Ministru kabineta </w:t>
      </w:r>
      <w:r w:rsidR="009C5AD4">
        <w:t xml:space="preserve">2016.gada 10.februāra </w:t>
      </w:r>
      <w:r w:rsidR="00133C1B">
        <w:t>noteikumi Nr.</w:t>
      </w:r>
      <w:r w:rsidR="009C5AD4">
        <w:t> </w:t>
      </w:r>
      <w:r w:rsidR="00133C1B">
        <w:t>63.</w:t>
      </w:r>
    </w:p>
    <w:p w14:paraId="3CF1CB79" w14:textId="34556361" w:rsidR="009219C5" w:rsidRDefault="00A03C43" w:rsidP="00ED4C22">
      <w:pPr>
        <w:spacing w:line="276" w:lineRule="auto"/>
        <w:jc w:val="both"/>
      </w:pPr>
      <w:r>
        <w:tab/>
      </w:r>
      <w:r w:rsidR="000063EE">
        <w:t>E</w:t>
      </w:r>
      <w:r>
        <w:t>kspert</w:t>
      </w:r>
      <w:r w:rsidR="001B470E">
        <w:t>u</w:t>
      </w:r>
      <w:r>
        <w:t xml:space="preserve"> atzinuma pētījumu daļas 6.punktā </w:t>
      </w:r>
      <w:r w:rsidR="000063EE">
        <w:t xml:space="preserve">norādīti </w:t>
      </w:r>
      <w:r w:rsidR="00A2648B">
        <w:t>divi</w:t>
      </w:r>
      <w:r w:rsidR="000063EE">
        <w:t xml:space="preserve"> </w:t>
      </w:r>
      <w:r w:rsidR="009F66C4">
        <w:t>ieroča</w:t>
      </w:r>
      <w:r w:rsidR="00534926">
        <w:t xml:space="preserve"> mehānismu</w:t>
      </w:r>
      <w:r w:rsidR="009F66C4">
        <w:t xml:space="preserve"> </w:t>
      </w:r>
      <w:r w:rsidR="00534926">
        <w:t>darbības</w:t>
      </w:r>
      <w:r w:rsidR="00534926" w:rsidRPr="00534926">
        <w:t xml:space="preserve"> traucējumi,</w:t>
      </w:r>
      <w:r w:rsidR="00534926">
        <w:rPr>
          <w:b/>
          <w:bCs/>
        </w:rPr>
        <w:t xml:space="preserve"> </w:t>
      </w:r>
      <w:r w:rsidR="000063EE">
        <w:t xml:space="preserve">proti, </w:t>
      </w:r>
      <w:r w:rsidR="00A2648B">
        <w:t>e</w:t>
      </w:r>
      <w:r>
        <w:t xml:space="preserve">ksperimentālās šaušanas gaitā konstatēts, ka revolverim nedarbojas gaiļa </w:t>
      </w:r>
      <w:proofErr w:type="spellStart"/>
      <w:r>
        <w:t>pašuzvilkšanas</w:t>
      </w:r>
      <w:proofErr w:type="spellEnd"/>
      <w:r>
        <w:t xml:space="preserve"> funkcija (iztrūkstošas mēlītes atsperes dēļ)</w:t>
      </w:r>
      <w:r w:rsidR="008E6EAF">
        <w:t xml:space="preserve"> un</w:t>
      </w:r>
      <w:r w:rsidR="00C942B3">
        <w:t>,</w:t>
      </w:r>
      <w:r>
        <w:t xml:space="preserve"> uzvelkot gaili, revolvera veltņa</w:t>
      </w:r>
      <w:r w:rsidR="00A62475">
        <w:t xml:space="preserve"> patrontelpa precīzi netiek fiksēta pret stobra kanālu (iztrūkstošās veltni fiksējošās sviras dēļ)</w:t>
      </w:r>
      <w:r w:rsidR="000063EE">
        <w:t xml:space="preserve">. Savukārt </w:t>
      </w:r>
      <w:r w:rsidR="008E6EAF">
        <w:t xml:space="preserve">tiesas sēdē 2019.gada 16.janvārī </w:t>
      </w:r>
      <w:r w:rsidR="00AA3313">
        <w:t>[pers. B]</w:t>
      </w:r>
      <w:r w:rsidR="005A13DA">
        <w:t xml:space="preserve"> norādīj</w:t>
      </w:r>
      <w:r w:rsidR="00625732">
        <w:t>is</w:t>
      </w:r>
      <w:r w:rsidR="005A13DA">
        <w:t xml:space="preserve">, ka ieroča gaiļa </w:t>
      </w:r>
      <w:proofErr w:type="spellStart"/>
      <w:r w:rsidR="005A13DA">
        <w:t>pašuzvilkšanas</w:t>
      </w:r>
      <w:proofErr w:type="spellEnd"/>
      <w:r w:rsidR="005A13DA">
        <w:t xml:space="preserve"> funkcijas trūkums iztrūkstošās mēlītes atsperes dēļ neesot defekts.</w:t>
      </w:r>
      <w:r w:rsidR="00ED4C22">
        <w:t xml:space="preserve"> Tāpat e</w:t>
      </w:r>
      <w:r w:rsidR="005A13DA">
        <w:t xml:space="preserve">ksperts </w:t>
      </w:r>
      <w:r w:rsidR="00ED4C22">
        <w:t>ne</w:t>
      </w:r>
      <w:r w:rsidR="00E25268">
        <w:t>liecin</w:t>
      </w:r>
      <w:r w:rsidR="0090730C">
        <w:t>āj</w:t>
      </w:r>
      <w:r w:rsidR="00ED4C22">
        <w:t>a</w:t>
      </w:r>
      <w:r w:rsidR="00E25268">
        <w:t xml:space="preserve"> par</w:t>
      </w:r>
      <w:r w:rsidR="0090730C">
        <w:t xml:space="preserve"> </w:t>
      </w:r>
      <w:r w:rsidR="00E25268">
        <w:t>iero</w:t>
      </w:r>
      <w:r w:rsidR="0090730C">
        <w:t>cim</w:t>
      </w:r>
      <w:r w:rsidR="00E25268">
        <w:t xml:space="preserve"> iztrūkstošu veltni fiksējošu sviru, kā rezultātā, uzvelkot gaili, revolvera veltņa patrontelpa precīzi netiek fiksēta pret stobra kanālu un veltnis ir regulējams (pagriežams) ar roku, </w:t>
      </w:r>
      <w:r w:rsidR="00E25268">
        <w:lastRenderedPageBreak/>
        <w:t>lai gan šīs traucējums norādīts ekspertu atzinum</w:t>
      </w:r>
      <w:r w:rsidR="00205806">
        <w:t>a</w:t>
      </w:r>
      <w:r w:rsidR="00E25268">
        <w:t xml:space="preserve"> pētījumu daļas 6.punktā.</w:t>
      </w:r>
      <w:r w:rsidR="00ED4C22">
        <w:t xml:space="preserve"> A</w:t>
      </w:r>
      <w:r w:rsidR="009219C5">
        <w:t xml:space="preserve">tbildot uz jautājumu, vai ieroci var izmantot šaušanai, ja nedarbojas tā gaiļa funkcija, kā norādīts atzinuma 6.punktā, </w:t>
      </w:r>
      <w:r w:rsidR="00ED4C22">
        <w:t xml:space="preserve">eksperts </w:t>
      </w:r>
      <w:r w:rsidR="009219C5">
        <w:t>sniedz</w:t>
      </w:r>
      <w:r w:rsidR="00205806">
        <w:t xml:space="preserve">a </w:t>
      </w:r>
      <w:r w:rsidR="009219C5">
        <w:t>izvairīgas, nesaprotamas atbildes.</w:t>
      </w:r>
      <w:r w:rsidR="00ED4C22">
        <w:t xml:space="preserve"> P</w:t>
      </w:r>
      <w:r w:rsidR="009219C5">
        <w:t>retrunas</w:t>
      </w:r>
      <w:r w:rsidR="00ED4C22">
        <w:t xml:space="preserve"> </w:t>
      </w:r>
      <w:r w:rsidR="009219C5">
        <w:t xml:space="preserve">eksperta </w:t>
      </w:r>
      <w:r w:rsidR="00AA3313">
        <w:t>[pers. </w:t>
      </w:r>
      <w:r w:rsidR="006E63A4">
        <w:t>B</w:t>
      </w:r>
      <w:r w:rsidR="00AA3313">
        <w:t>]</w:t>
      </w:r>
      <w:r w:rsidR="009219C5">
        <w:t xml:space="preserve"> liecīb</w:t>
      </w:r>
      <w:r w:rsidR="00ED4C22">
        <w:t>ās</w:t>
      </w:r>
      <w:r w:rsidR="009219C5">
        <w:t xml:space="preserve"> un </w:t>
      </w:r>
      <w:r w:rsidR="00516688">
        <w:t>ekspert</w:t>
      </w:r>
      <w:r w:rsidR="002A5D76">
        <w:t>u</w:t>
      </w:r>
      <w:r w:rsidR="00516688">
        <w:t xml:space="preserve"> </w:t>
      </w:r>
      <w:r w:rsidR="009219C5">
        <w:t>atzinum</w:t>
      </w:r>
      <w:r w:rsidR="00ED4C22">
        <w:t>ā</w:t>
      </w:r>
      <w:r w:rsidR="00F57212">
        <w:t xml:space="preserve"> par </w:t>
      </w:r>
      <w:r w:rsidR="00ED4C22">
        <w:t>to</w:t>
      </w:r>
      <w:r w:rsidR="00F57212">
        <w:t>, vai ierocis bij</w:t>
      </w:r>
      <w:r w:rsidR="00C6560F">
        <w:t>is</w:t>
      </w:r>
      <w:r w:rsidR="00F57212">
        <w:t xml:space="preserve"> derīgs šaušanai, </w:t>
      </w:r>
      <w:r w:rsidR="00ED4C22">
        <w:t xml:space="preserve">rada </w:t>
      </w:r>
      <w:r w:rsidR="00F57212">
        <w:t>šaubas p</w:t>
      </w:r>
      <w:r w:rsidR="004E2914">
        <w:t>a</w:t>
      </w:r>
      <w:r w:rsidR="00F57212">
        <w:t>r atzinuma ticamību</w:t>
      </w:r>
      <w:r w:rsidR="00215999">
        <w:t>.</w:t>
      </w:r>
      <w:r w:rsidR="007C75FC" w:rsidRPr="007C75FC">
        <w:t xml:space="preserve"> </w:t>
      </w:r>
      <w:r w:rsidR="007C75FC">
        <w:t>Pretēji Kriminālprocesa likuma 128.panta trešās daļas prasībām</w:t>
      </w:r>
      <w:r w:rsidR="009F66C4">
        <w:t xml:space="preserve"> atzinumam pi</w:t>
      </w:r>
      <w:r w:rsidR="007C75FC">
        <w:t xml:space="preserve">ešķirta augstāka ticamības pakāpe </w:t>
      </w:r>
      <w:r w:rsidR="00244493">
        <w:t>ne</w:t>
      </w:r>
      <w:r w:rsidR="007C75FC">
        <w:t xml:space="preserve">kā </w:t>
      </w:r>
      <w:r w:rsidR="00244493">
        <w:t>pārējiem</w:t>
      </w:r>
      <w:r w:rsidR="007C75FC">
        <w:t xml:space="preserve"> pierādījumiem.</w:t>
      </w:r>
    </w:p>
    <w:p w14:paraId="65B674F6" w14:textId="0B3D855D" w:rsidR="00481192" w:rsidRDefault="006C3434" w:rsidP="009219C5">
      <w:pPr>
        <w:spacing w:line="276" w:lineRule="auto"/>
        <w:ind w:firstLine="720"/>
        <w:jc w:val="both"/>
      </w:pPr>
      <w:r>
        <w:t>Turklāt a</w:t>
      </w:r>
      <w:r w:rsidR="00481192">
        <w:t xml:space="preserve">pelācijas instances tiesa, </w:t>
      </w:r>
      <w:r w:rsidR="00784B40">
        <w:t xml:space="preserve">atzīstot </w:t>
      </w:r>
      <w:r w:rsidR="00481192">
        <w:t xml:space="preserve">komplekso ballistiskās un ķīmiskās ekspertīzes </w:t>
      </w:r>
      <w:r w:rsidR="00632392">
        <w:t>ekspert</w:t>
      </w:r>
      <w:r w:rsidR="00205806">
        <w:t>u</w:t>
      </w:r>
      <w:r w:rsidR="00632392">
        <w:t xml:space="preserve"> </w:t>
      </w:r>
      <w:r w:rsidR="00481192">
        <w:t>atzinumu</w:t>
      </w:r>
      <w:r w:rsidR="00ED4C22" w:rsidRPr="00ED4C22">
        <w:t xml:space="preserve"> </w:t>
      </w:r>
      <w:r w:rsidR="00ED4C22">
        <w:t>par pieļaujamu pierādījumu</w:t>
      </w:r>
      <w:r w:rsidR="00FF5EA5">
        <w:t>,</w:t>
      </w:r>
      <w:r w:rsidR="00481192">
        <w:t xml:space="preserve"> pieļāvusi Kriminālprocesa likuma </w:t>
      </w:r>
      <w:proofErr w:type="gramStart"/>
      <w:r w:rsidR="00481192">
        <w:t>15.panta</w:t>
      </w:r>
      <w:proofErr w:type="gramEnd"/>
      <w:r w:rsidR="00481192">
        <w:t xml:space="preserve">, 20.panta, 127.panta otrās daļas, 128.panta pirmās un otrās daļas, 130.panta otrās </w:t>
      </w:r>
      <w:r w:rsidR="00C6560F">
        <w:t xml:space="preserve">daļas </w:t>
      </w:r>
      <w:r w:rsidR="00481192">
        <w:t>4.punkta pārkāpumus</w:t>
      </w:r>
      <w:r w:rsidR="007C75FC">
        <w:t xml:space="preserve">, kas atzīstami par Kriminālprocesa likuma būtiskiem pārkāpumiem šā likuma 575.panta trešās daļas izpratnē. </w:t>
      </w:r>
    </w:p>
    <w:p w14:paraId="149A998C" w14:textId="3112EFEE" w:rsidR="00244493" w:rsidRDefault="00316503" w:rsidP="00244493">
      <w:pPr>
        <w:spacing w:line="276" w:lineRule="auto"/>
        <w:ind w:firstLine="720"/>
        <w:jc w:val="both"/>
        <w:rPr>
          <w:bCs/>
        </w:rPr>
      </w:pPr>
      <w:r>
        <w:t>[</w:t>
      </w:r>
      <w:r w:rsidR="00244493">
        <w:t>4.</w:t>
      </w:r>
      <w:r w:rsidR="00A2648B">
        <w:t>6</w:t>
      </w:r>
      <w:r>
        <w:t xml:space="preserve">] </w:t>
      </w:r>
      <w:r w:rsidR="00697437">
        <w:t>Apelācijas instances tiesa</w:t>
      </w:r>
      <w:r w:rsidR="00383228">
        <w:t xml:space="preserve"> </w:t>
      </w:r>
      <w:proofErr w:type="gramStart"/>
      <w:r w:rsidR="00383228">
        <w:t>2021.gada</w:t>
      </w:r>
      <w:proofErr w:type="gramEnd"/>
      <w:r w:rsidR="00383228">
        <w:t xml:space="preserve"> 25.maija </w:t>
      </w:r>
      <w:r w:rsidR="006427E2">
        <w:t xml:space="preserve">tiesas </w:t>
      </w:r>
      <w:r w:rsidR="00383228">
        <w:t xml:space="preserve">sēdē nepamatoti noraidījusi </w:t>
      </w:r>
      <w:r w:rsidR="00244493">
        <w:t>apsūdzētā</w:t>
      </w:r>
      <w:r w:rsidR="00383228">
        <w:t xml:space="preserve"> un</w:t>
      </w:r>
      <w:r w:rsidR="00244493">
        <w:t xml:space="preserve"> viņa</w:t>
      </w:r>
      <w:r w:rsidR="00383228">
        <w:t xml:space="preserve"> aizstāves pieteikto lūgumu par ekspertu </w:t>
      </w:r>
      <w:r w:rsidR="00AA3313">
        <w:t>[pers. C]</w:t>
      </w:r>
      <w:r w:rsidR="00D67699">
        <w:t xml:space="preserve"> un</w:t>
      </w:r>
      <w:r w:rsidR="00383228">
        <w:t xml:space="preserve"> </w:t>
      </w:r>
      <w:r w:rsidR="00AA3313">
        <w:t>[pers. B]</w:t>
      </w:r>
      <w:r w:rsidR="00D67699">
        <w:t xml:space="preserve"> atkārtotu nopratināšanu un iepriekš lietā nenopratinātu ekspertu</w:t>
      </w:r>
      <w:r w:rsidR="00383228">
        <w:t xml:space="preserve"> </w:t>
      </w:r>
      <w:r w:rsidR="00AA3313">
        <w:t>[pers. D]</w:t>
      </w:r>
      <w:r w:rsidR="00D67699">
        <w:rPr>
          <w:bCs/>
        </w:rPr>
        <w:t xml:space="preserve"> un</w:t>
      </w:r>
      <w:r w:rsidR="00383228">
        <w:rPr>
          <w:bCs/>
        </w:rPr>
        <w:t xml:space="preserve"> </w:t>
      </w:r>
      <w:r w:rsidR="00AA3313">
        <w:rPr>
          <w:bCs/>
        </w:rPr>
        <w:t>[pers. E]</w:t>
      </w:r>
      <w:r w:rsidR="00D67699">
        <w:rPr>
          <w:bCs/>
        </w:rPr>
        <w:t xml:space="preserve"> uzaicināšanu uz tiesas sēdi</w:t>
      </w:r>
      <w:r w:rsidR="00383228">
        <w:rPr>
          <w:bCs/>
        </w:rPr>
        <w:t xml:space="preserve">, lai </w:t>
      </w:r>
      <w:r w:rsidR="000109BF">
        <w:rPr>
          <w:bCs/>
        </w:rPr>
        <w:t>uzdotu jautājumus par pret</w:t>
      </w:r>
      <w:r w:rsidR="00383228">
        <w:rPr>
          <w:bCs/>
        </w:rPr>
        <w:t>ru</w:t>
      </w:r>
      <w:r w:rsidR="000109BF">
        <w:rPr>
          <w:bCs/>
        </w:rPr>
        <w:t xml:space="preserve">nām </w:t>
      </w:r>
      <w:r w:rsidR="00383228">
        <w:rPr>
          <w:bCs/>
        </w:rPr>
        <w:t xml:space="preserve">atzinumā </w:t>
      </w:r>
      <w:r w:rsidR="00783E9A">
        <w:rPr>
          <w:bCs/>
        </w:rPr>
        <w:t xml:space="preserve">un eksperta </w:t>
      </w:r>
      <w:r w:rsidR="00AA3313">
        <w:rPr>
          <w:bCs/>
        </w:rPr>
        <w:t>[pers. B]</w:t>
      </w:r>
      <w:r w:rsidR="00783E9A">
        <w:rPr>
          <w:bCs/>
        </w:rPr>
        <w:t xml:space="preserve"> liecībās. </w:t>
      </w:r>
      <w:r w:rsidR="000109BF">
        <w:rPr>
          <w:bCs/>
        </w:rPr>
        <w:t xml:space="preserve">Tādējādi apelācijas instances tiesa </w:t>
      </w:r>
      <w:r w:rsidR="00A31BD3">
        <w:rPr>
          <w:bCs/>
        </w:rPr>
        <w:t xml:space="preserve">liegusi </w:t>
      </w:r>
      <w:r w:rsidR="00244493">
        <w:rPr>
          <w:bCs/>
        </w:rPr>
        <w:t>apsūdzētajam</w:t>
      </w:r>
      <w:r w:rsidR="00A31BD3">
        <w:rPr>
          <w:bCs/>
        </w:rPr>
        <w:t xml:space="preserve"> un</w:t>
      </w:r>
      <w:r w:rsidR="00244493">
        <w:rPr>
          <w:bCs/>
        </w:rPr>
        <w:t xml:space="preserve"> viņa</w:t>
      </w:r>
      <w:r w:rsidR="00A31BD3">
        <w:rPr>
          <w:bCs/>
        </w:rPr>
        <w:t xml:space="preserve"> aizstāvei tiesības uz vienlīdzīgu pierādījumu iesniegšanu un ierobežoj</w:t>
      </w:r>
      <w:r w:rsidR="00733FA9">
        <w:rPr>
          <w:bCs/>
        </w:rPr>
        <w:t>usi</w:t>
      </w:r>
      <w:r w:rsidR="00A31BD3">
        <w:rPr>
          <w:bCs/>
        </w:rPr>
        <w:t xml:space="preserve"> </w:t>
      </w:r>
      <w:r w:rsidR="00D67699">
        <w:t>apsūdzētā</w:t>
      </w:r>
      <w:r w:rsidR="00244493">
        <w:t xml:space="preserve"> tiesības uz aizstāvību, kas noteiktas Kriminālprocesa likuma 20.panta pirmajā daļā</w:t>
      </w:r>
      <w:r w:rsidR="00D67699">
        <w:t>.</w:t>
      </w:r>
    </w:p>
    <w:p w14:paraId="7714A893" w14:textId="77777777" w:rsidR="00E25268" w:rsidRDefault="00E25268" w:rsidP="001263ED">
      <w:pPr>
        <w:spacing w:line="276" w:lineRule="auto"/>
        <w:jc w:val="both"/>
      </w:pPr>
    </w:p>
    <w:p w14:paraId="6F8ABFC3" w14:textId="0A2E1AA9" w:rsidR="00C2148B" w:rsidRDefault="00C2148B" w:rsidP="00C2148B">
      <w:pPr>
        <w:spacing w:line="276" w:lineRule="auto"/>
        <w:jc w:val="center"/>
        <w:rPr>
          <w:b/>
        </w:rPr>
      </w:pPr>
      <w:r w:rsidRPr="007309D0">
        <w:rPr>
          <w:b/>
        </w:rPr>
        <w:t>Motīvu daļa</w:t>
      </w:r>
    </w:p>
    <w:p w14:paraId="25C17234" w14:textId="77777777" w:rsidR="000109BF" w:rsidRPr="007309D0" w:rsidRDefault="000109BF" w:rsidP="00C2148B">
      <w:pPr>
        <w:spacing w:line="276" w:lineRule="auto"/>
        <w:jc w:val="center"/>
        <w:rPr>
          <w:b/>
        </w:rPr>
      </w:pPr>
    </w:p>
    <w:p w14:paraId="0DE950EE" w14:textId="5866D771" w:rsidR="005C32E0" w:rsidRDefault="005C32E0" w:rsidP="005C32E0">
      <w:pPr>
        <w:spacing w:line="276" w:lineRule="auto"/>
        <w:ind w:firstLine="720"/>
        <w:jc w:val="both"/>
      </w:pPr>
      <w:r>
        <w:rPr>
          <w:rFonts w:asciiTheme="majorBidi" w:hAnsiTheme="majorBidi" w:cstheme="majorBidi"/>
        </w:rPr>
        <w:t>[</w:t>
      </w:r>
      <w:r w:rsidR="0099787F">
        <w:rPr>
          <w:rFonts w:asciiTheme="majorBidi" w:hAnsiTheme="majorBidi" w:cstheme="majorBidi"/>
        </w:rPr>
        <w:t>5</w:t>
      </w:r>
      <w:r>
        <w:rPr>
          <w:rFonts w:asciiTheme="majorBidi" w:hAnsiTheme="majorBidi" w:cstheme="majorBidi"/>
        </w:rPr>
        <w:t xml:space="preserve">] Senāts atzīst, ka </w:t>
      </w:r>
      <w:r w:rsidRPr="00D419EF">
        <w:rPr>
          <w:rFonts w:asciiTheme="majorBidi" w:hAnsiTheme="majorBidi" w:cstheme="majorBidi"/>
        </w:rPr>
        <w:t xml:space="preserve">Zemgales apgabaltiesas </w:t>
      </w:r>
      <w:proofErr w:type="gramStart"/>
      <w:r w:rsidRPr="00D419EF">
        <w:rPr>
          <w:rFonts w:asciiTheme="majorBidi" w:hAnsiTheme="majorBidi" w:cstheme="majorBidi"/>
        </w:rPr>
        <w:t>2021.gada</w:t>
      </w:r>
      <w:proofErr w:type="gramEnd"/>
      <w:r w:rsidRPr="00D419EF">
        <w:rPr>
          <w:rFonts w:asciiTheme="majorBidi" w:hAnsiTheme="majorBidi" w:cstheme="majorBidi"/>
        </w:rPr>
        <w:t xml:space="preserve"> 20.septembra lēmum</w:t>
      </w:r>
      <w:r>
        <w:rPr>
          <w:rFonts w:asciiTheme="majorBidi" w:hAnsiTheme="majorBidi" w:cstheme="majorBidi"/>
        </w:rPr>
        <w:t>s atstājams negrozīts</w:t>
      </w:r>
      <w:r>
        <w:t xml:space="preserve">, bet apsūdzētā </w:t>
      </w:r>
      <w:r w:rsidR="00AA3313">
        <w:t>[pers. A]</w:t>
      </w:r>
      <w:r>
        <w:t xml:space="preserve"> kasācijas sūdzība noraidāma.</w:t>
      </w:r>
    </w:p>
    <w:p w14:paraId="4AD262D9" w14:textId="77777777" w:rsidR="005C32E0" w:rsidRDefault="005C32E0" w:rsidP="005C32E0">
      <w:pPr>
        <w:spacing w:line="276" w:lineRule="auto"/>
        <w:ind w:firstLine="720"/>
        <w:jc w:val="both"/>
      </w:pPr>
      <w:r w:rsidRPr="003D53CB">
        <w:t xml:space="preserve">Atstājot negrozītu pirmās instances tiesas spriedumu, apelācijas instances tiesa atzinusi par iespējamu neatkārtot pirmās instances tiesas spriedumā minētos pierādījumus un atzinumus atbilstoši Kriminālprocesa likuma </w:t>
      </w:r>
      <w:proofErr w:type="gramStart"/>
      <w:r w:rsidRPr="003D53CB">
        <w:t>564.panta</w:t>
      </w:r>
      <w:proofErr w:type="gramEnd"/>
      <w:r>
        <w:t xml:space="preserve"> </w:t>
      </w:r>
      <w:r w:rsidRPr="003D53CB">
        <w:t>sestajai daļai. Vienlaikus no apelācijas instances tiesas lēmuma konstatējams, kā tā ir pārbaudījusi un izvērtējusi pirmās instances tiesas spriedumā minētos pierādījumus saistībā ar apelācijas sūdzībā minētajiem argumentiem.</w:t>
      </w:r>
    </w:p>
    <w:p w14:paraId="0426F501" w14:textId="04FB0060" w:rsidR="005C32E0" w:rsidRDefault="005C32E0" w:rsidP="005C32E0">
      <w:pPr>
        <w:spacing w:line="276" w:lineRule="auto"/>
        <w:ind w:firstLine="720"/>
        <w:jc w:val="both"/>
      </w:pPr>
      <w:r>
        <w:t xml:space="preserve">Senāts konstatē, ka apsūdzētā </w:t>
      </w:r>
      <w:r w:rsidR="00AA3313">
        <w:t>[pers. A]</w:t>
      </w:r>
      <w:r>
        <w:t xml:space="preserve"> kasācijas sūdzībā pamatā atkārtoti aizstāves P. </w:t>
      </w:r>
      <w:proofErr w:type="spellStart"/>
      <w:r>
        <w:t>Brasavas</w:t>
      </w:r>
      <w:proofErr w:type="spellEnd"/>
      <w:r>
        <w:t xml:space="preserve"> apelācijas sūdzībā paustie apsvērumi, kurus apelācijas instances tiesa ir izvērtējusi un motivēti noraidījusi.</w:t>
      </w:r>
    </w:p>
    <w:p w14:paraId="7B6A0D91" w14:textId="013C1E33" w:rsidR="005C32E0" w:rsidRDefault="005C32E0" w:rsidP="005C32E0">
      <w:pPr>
        <w:spacing w:line="276" w:lineRule="auto"/>
        <w:ind w:firstLine="720"/>
        <w:jc w:val="both"/>
      </w:pPr>
      <w:r>
        <w:t>[</w:t>
      </w:r>
      <w:r w:rsidR="00D67699">
        <w:t>5.1</w:t>
      </w:r>
      <w:r>
        <w:t xml:space="preserve">] Senāts atzīst par nepamatotu apsūdzētā </w:t>
      </w:r>
      <w:r w:rsidR="00AA3313">
        <w:t>[pers. A]</w:t>
      </w:r>
      <w:r>
        <w:t xml:space="preserve"> kasācijas sūdzībā atkārtoti pausto iebildumu par viņam </w:t>
      </w:r>
      <w:r w:rsidR="00191BA3">
        <w:t>celtās</w:t>
      </w:r>
      <w:r>
        <w:t xml:space="preserve"> </w:t>
      </w:r>
      <w:r w:rsidRPr="00FE6957">
        <w:t xml:space="preserve">apsūdzības </w:t>
      </w:r>
      <w:r>
        <w:t>ne</w:t>
      </w:r>
      <w:r w:rsidRPr="00FE6957">
        <w:t xml:space="preserve">atbilstību Kriminālprocesa likuma </w:t>
      </w:r>
      <w:proofErr w:type="gramStart"/>
      <w:r w:rsidRPr="00FE6957">
        <w:t>405.panta</w:t>
      </w:r>
      <w:proofErr w:type="gramEnd"/>
      <w:r w:rsidRPr="00FE6957">
        <w:t xml:space="preserve"> prasībām</w:t>
      </w:r>
      <w:r>
        <w:t xml:space="preserve">. </w:t>
      </w:r>
    </w:p>
    <w:p w14:paraId="2E975B9A" w14:textId="27DE7FC0" w:rsidR="005C32E0" w:rsidRDefault="005C32E0" w:rsidP="005C32E0">
      <w:pPr>
        <w:spacing w:line="276" w:lineRule="auto"/>
        <w:ind w:firstLine="720"/>
        <w:jc w:val="both"/>
      </w:pPr>
      <w:r>
        <w:t xml:space="preserve">No apsūdzētajam </w:t>
      </w:r>
      <w:r w:rsidR="00AA3313">
        <w:t>[pers. A]</w:t>
      </w:r>
      <w:r>
        <w:t xml:space="preserve"> </w:t>
      </w:r>
      <w:r w:rsidR="00191BA3">
        <w:t xml:space="preserve">celtās </w:t>
      </w:r>
      <w:r>
        <w:t xml:space="preserve">apsūdzības izriet, ka viņš līdz </w:t>
      </w:r>
      <w:proofErr w:type="gramStart"/>
      <w:r w:rsidRPr="009A5C64">
        <w:t>2018.gada</w:t>
      </w:r>
      <w:proofErr w:type="gramEnd"/>
      <w:r w:rsidRPr="009A5C64">
        <w:t xml:space="preserve"> 8.janvārim savā dzīvesvietā </w:t>
      </w:r>
      <w:r w:rsidR="00AA3313">
        <w:t>[adrese]</w:t>
      </w:r>
      <w:r w:rsidRPr="009A5C64">
        <w:t>, dzīvojamās mājas otrajā stāvā, savā darba kabinetā, rakstāmgalda kreisās</w:t>
      </w:r>
      <w:r>
        <w:t xml:space="preserve"> </w:t>
      </w:r>
      <w:r w:rsidRPr="009A5C64">
        <w:t>puses vidējā atvilktnē bez attiecīgas atļaujas glabāja šaujamieroci un šaujamieroča munīciju</w:t>
      </w:r>
      <w:r>
        <w:t>.</w:t>
      </w:r>
    </w:p>
    <w:p w14:paraId="7FA1FA62" w14:textId="43DEEF46" w:rsidR="005C32E0" w:rsidRDefault="005C32E0" w:rsidP="005C32E0">
      <w:pPr>
        <w:spacing w:line="276" w:lineRule="auto"/>
        <w:ind w:firstLine="720"/>
        <w:jc w:val="both"/>
      </w:pPr>
      <w:r>
        <w:t>Krimināltiesību zinātnē atzīts, ka noziedzīga nodarījuma sastāva objektīv</w:t>
      </w:r>
      <w:r w:rsidR="006624FD">
        <w:t>ā</w:t>
      </w:r>
      <w:r>
        <w:t xml:space="preserve">s puses </w:t>
      </w:r>
      <w:proofErr w:type="spellStart"/>
      <w:r>
        <w:t>papildpazīmes</w:t>
      </w:r>
      <w:proofErr w:type="spellEnd"/>
      <w:r>
        <w:t xml:space="preserve"> ir obligātas, ja tās paredzētas Krimināllikuma Sevišķās daļas panta vai panta daļas (punkta) dispozīcijā, un tādējādi tās ietekmē nodarījuma kvalifikāciju </w:t>
      </w:r>
      <w:proofErr w:type="gramStart"/>
      <w:r>
        <w:t>(</w:t>
      </w:r>
      <w:proofErr w:type="gramEnd"/>
      <w:r w:rsidRPr="006906A9">
        <w:rPr>
          <w:i/>
          <w:iCs/>
        </w:rPr>
        <w:t>sk.</w:t>
      </w:r>
      <w:r>
        <w:t xml:space="preserve"> </w:t>
      </w:r>
      <w:r w:rsidRPr="009A5C64">
        <w:rPr>
          <w:i/>
          <w:iCs/>
        </w:rPr>
        <w:t>Krastiņš U. Noziedzīga nodarījuma sastāvs un nodarījuma kvalifikācija. Teorētiskie aspekti. Rīga: Tiesu namu aģentūra, 2014, 104.lpp.</w:t>
      </w:r>
      <w:r>
        <w:t>).</w:t>
      </w:r>
    </w:p>
    <w:p w14:paraId="040F80D5" w14:textId="35391A85" w:rsidR="005C32E0" w:rsidRPr="008315D0" w:rsidRDefault="005C32E0" w:rsidP="005C32E0">
      <w:pPr>
        <w:spacing w:line="276" w:lineRule="auto"/>
        <w:ind w:firstLine="720"/>
        <w:jc w:val="both"/>
      </w:pPr>
      <w:r w:rsidRPr="008315D0">
        <w:t>Senāts ir atzinis, ka šaujamieroču glabāšana ir to atrašanās personas faktiskajā valdījumā un to atklāta vai slēpta turēšana kā saliktā, tā izjauktā veidā jebkādā šai personai zināmā vietā (</w:t>
      </w:r>
      <w:r w:rsidRPr="008315D0">
        <w:rPr>
          <w:i/>
          <w:iCs/>
        </w:rPr>
        <w:t xml:space="preserve">Augstākās tiesas </w:t>
      </w:r>
      <w:proofErr w:type="gramStart"/>
      <w:r w:rsidRPr="008315D0">
        <w:rPr>
          <w:i/>
          <w:iCs/>
        </w:rPr>
        <w:t>2015.gada</w:t>
      </w:r>
      <w:proofErr w:type="gramEnd"/>
      <w:r w:rsidRPr="008315D0">
        <w:rPr>
          <w:i/>
          <w:iCs/>
        </w:rPr>
        <w:t xml:space="preserve"> 4.jūnija lēmums lietā Nr. SKK-246/2015 (Nr. 11840002813)</w:t>
      </w:r>
      <w:r w:rsidRPr="008315D0">
        <w:t>).</w:t>
      </w:r>
    </w:p>
    <w:p w14:paraId="0E7FD879" w14:textId="587EA327" w:rsidR="00B0570B" w:rsidRPr="00124F93" w:rsidRDefault="005C32E0" w:rsidP="000431EF">
      <w:pPr>
        <w:spacing w:line="276" w:lineRule="auto"/>
        <w:ind w:firstLine="720"/>
        <w:jc w:val="both"/>
      </w:pPr>
      <w:r w:rsidRPr="00124F93">
        <w:lastRenderedPageBreak/>
        <w:t xml:space="preserve">Apelācijas instances tiesa atzinusi, ka </w:t>
      </w:r>
      <w:r w:rsidR="00AA3313">
        <w:t>[pers. A]</w:t>
      </w:r>
      <w:r w:rsidR="00124F93" w:rsidRPr="00124F93">
        <w:t xml:space="preserve"> celtajā</w:t>
      </w:r>
      <w:r w:rsidRPr="00124F93">
        <w:t xml:space="preserve"> apsūdzībā noziedzīga nodarījuma objektīvās puses pazīmes aprakstītas pareizi.</w:t>
      </w:r>
      <w:r w:rsidR="000431EF" w:rsidRPr="00124F93">
        <w:t xml:space="preserve"> </w:t>
      </w:r>
      <w:r w:rsidR="00B0570B" w:rsidRPr="00124F93">
        <w:t xml:space="preserve">Lietā nav konstatēts šaujamieroču un patronu iegādes laiks, tāpēc minēto priekšmetu iegādes laiku nebija iespējams norādīt apsūdzībā. </w:t>
      </w:r>
    </w:p>
    <w:p w14:paraId="5E5A75C4" w14:textId="279C250F" w:rsidR="005C32E0" w:rsidRPr="00124F93" w:rsidRDefault="005C32E0" w:rsidP="000431EF">
      <w:pPr>
        <w:spacing w:line="276" w:lineRule="auto"/>
        <w:ind w:firstLine="720"/>
        <w:jc w:val="both"/>
      </w:pPr>
      <w:r w:rsidRPr="00124F93">
        <w:t xml:space="preserve">Senāts norāda, ka Krimināllikuma </w:t>
      </w:r>
      <w:proofErr w:type="gramStart"/>
      <w:r w:rsidRPr="00124F93">
        <w:t>233.panta</w:t>
      </w:r>
      <w:proofErr w:type="gramEnd"/>
      <w:r w:rsidRPr="00124F93">
        <w:t xml:space="preserve"> otrajā daļā paredzētā noziedzīgā sastāvs ir formāls, </w:t>
      </w:r>
      <w:r w:rsidR="000431EF" w:rsidRPr="00124F93">
        <w:t xml:space="preserve">šaujamieroča un šaujamieroča munīcijas </w:t>
      </w:r>
      <w:r w:rsidRPr="00124F93">
        <w:t>i</w:t>
      </w:r>
      <w:r w:rsidR="00B0570B" w:rsidRPr="00124F93">
        <w:t>egādāšanās</w:t>
      </w:r>
      <w:r w:rsidRPr="00124F93">
        <w:t xml:space="preserve"> laiks nav obligāta šī noziedzīgā nodarījuma objektīvās puses pazīme. </w:t>
      </w:r>
      <w:r w:rsidR="000431EF" w:rsidRPr="00124F93">
        <w:t xml:space="preserve">Ievērojot minēto, </w:t>
      </w:r>
      <w:r w:rsidRPr="00124F93">
        <w:t xml:space="preserve">Senāts </w:t>
      </w:r>
      <w:r w:rsidR="006566FD" w:rsidRPr="00124F93">
        <w:t>atzīst</w:t>
      </w:r>
      <w:r w:rsidRPr="00124F93">
        <w:t>, ka</w:t>
      </w:r>
      <w:r w:rsidR="006566FD" w:rsidRPr="00124F93">
        <w:t xml:space="preserve"> </w:t>
      </w:r>
      <w:r w:rsidR="00104266" w:rsidRPr="00124F93">
        <w:t>i</w:t>
      </w:r>
      <w:r w:rsidR="006566FD" w:rsidRPr="00124F93">
        <w:t>zskatāmajā lietā noziedzīgā nodarījuma uzsākšanas laikam nav juridiskas nozīmes</w:t>
      </w:r>
      <w:r w:rsidRPr="00124F93">
        <w:t>, tādēļ nav pamat</w:t>
      </w:r>
      <w:r w:rsidR="00191BA3" w:rsidRPr="00124F93">
        <w:t>a</w:t>
      </w:r>
      <w:r w:rsidRPr="00124F93">
        <w:t xml:space="preserve"> atzīt, ka apsūdzība neatbilst Kriminālprocesa likuma </w:t>
      </w:r>
      <w:proofErr w:type="gramStart"/>
      <w:r w:rsidRPr="00124F93">
        <w:t>405.panta</w:t>
      </w:r>
      <w:proofErr w:type="gramEnd"/>
      <w:r w:rsidRPr="00124F93">
        <w:t xml:space="preserve"> nosacījumiem un</w:t>
      </w:r>
      <w:r w:rsidR="00191BA3" w:rsidRPr="00124F93">
        <w:t xml:space="preserve"> </w:t>
      </w:r>
      <w:r w:rsidR="00124F93">
        <w:t>būtu</w:t>
      </w:r>
      <w:r w:rsidRPr="00124F93">
        <w:t xml:space="preserve"> ierobežotas apsūdzētā tiesības uz aizstāvību.</w:t>
      </w:r>
    </w:p>
    <w:p w14:paraId="6B1EB1AB" w14:textId="17052E92" w:rsidR="005C32E0" w:rsidRDefault="00D67699" w:rsidP="005C32E0">
      <w:pPr>
        <w:spacing w:line="276" w:lineRule="auto"/>
        <w:ind w:firstLine="720"/>
        <w:jc w:val="both"/>
      </w:pPr>
      <w:r>
        <w:t>[5.2</w:t>
      </w:r>
      <w:r w:rsidR="005C32E0">
        <w:t xml:space="preserve">] </w:t>
      </w:r>
      <w:r w:rsidR="005C32E0" w:rsidRPr="00A50D32">
        <w:t>Senāts atzīst par nepamatot</w:t>
      </w:r>
      <w:r w:rsidR="005C32E0">
        <w:t>iem</w:t>
      </w:r>
      <w:r w:rsidR="005C32E0" w:rsidRPr="00A50D32">
        <w:t xml:space="preserve"> apsūdzētā </w:t>
      </w:r>
      <w:r w:rsidR="00AA3313">
        <w:t>[pers. A]</w:t>
      </w:r>
      <w:r w:rsidR="005C32E0" w:rsidRPr="00A50D32">
        <w:t xml:space="preserve"> kasācijas sūdzībā atkārtoti pausto</w:t>
      </w:r>
      <w:r w:rsidR="005C32E0">
        <w:t>s</w:t>
      </w:r>
      <w:r w:rsidR="005C32E0" w:rsidRPr="00A50D32">
        <w:t xml:space="preserve"> iebildumu</w:t>
      </w:r>
      <w:r w:rsidR="005C32E0">
        <w:t xml:space="preserve">s, ka </w:t>
      </w:r>
      <w:r w:rsidR="005C32E0" w:rsidRPr="00A50D32">
        <w:t xml:space="preserve">nav pierādīta </w:t>
      </w:r>
      <w:r w:rsidR="005C32E0">
        <w:t xml:space="preserve">Krimināllikuma </w:t>
      </w:r>
      <w:proofErr w:type="gramStart"/>
      <w:r w:rsidR="005C32E0">
        <w:t>233.panta</w:t>
      </w:r>
      <w:proofErr w:type="gramEnd"/>
      <w:r w:rsidR="005C32E0">
        <w:t xml:space="preserve"> otrajā daļā paredzētā </w:t>
      </w:r>
      <w:r w:rsidR="005C32E0" w:rsidRPr="00A50D32">
        <w:t>noziedzīg</w:t>
      </w:r>
      <w:r w:rsidR="005C32E0">
        <w:t>ā</w:t>
      </w:r>
      <w:r w:rsidR="005C32E0" w:rsidRPr="00A50D32">
        <w:t xml:space="preserve"> nodarījuma sastāva pazīme –</w:t>
      </w:r>
      <w:r w:rsidR="005C32E0">
        <w:t xml:space="preserve"> </w:t>
      </w:r>
      <w:r w:rsidR="005C32E0" w:rsidRPr="00A50D32">
        <w:t>subjektīvā puse, proti, fakts, ka apsūdzētais apzināti bez attiecīgas atļaujas</w:t>
      </w:r>
      <w:r w:rsidR="005C32E0">
        <w:t xml:space="preserve"> </w:t>
      </w:r>
      <w:r w:rsidR="005C32E0" w:rsidRPr="00A50D32">
        <w:t>glabājis šaujamieroci apsūdzībā norādītajos apstākļos</w:t>
      </w:r>
      <w:r w:rsidR="005C32E0">
        <w:t xml:space="preserve">, kā arī </w:t>
      </w:r>
      <w:r w:rsidR="0092162F">
        <w:t xml:space="preserve">iebildumus </w:t>
      </w:r>
      <w:r w:rsidR="00F70583">
        <w:t xml:space="preserve">par </w:t>
      </w:r>
      <w:r w:rsidR="005C32E0" w:rsidRPr="00FD33C9">
        <w:t xml:space="preserve">kompleksās ballistiskās un ķīmiskās ekspertīzes </w:t>
      </w:r>
      <w:r w:rsidR="009F64AE">
        <w:t xml:space="preserve">ekspertu </w:t>
      </w:r>
      <w:r w:rsidR="005C32E0" w:rsidRPr="00FD33C9">
        <w:t>atzinuma pieļaujamību</w:t>
      </w:r>
      <w:r w:rsidR="0092162F">
        <w:t xml:space="preserve"> un</w:t>
      </w:r>
      <w:r w:rsidR="005C32E0">
        <w:t xml:space="preserve"> lūguma</w:t>
      </w:r>
      <w:r w:rsidR="0092162F">
        <w:t xml:space="preserve"> noraidīšanu par </w:t>
      </w:r>
      <w:r w:rsidR="00F70583">
        <w:t xml:space="preserve">ekspertu </w:t>
      </w:r>
      <w:r w:rsidR="0092162F">
        <w:t>nopratināšanu</w:t>
      </w:r>
      <w:r w:rsidR="002E3943">
        <w:t>.</w:t>
      </w:r>
    </w:p>
    <w:p w14:paraId="03A21DC4" w14:textId="720031D7" w:rsidR="005C32E0" w:rsidRDefault="005C32E0" w:rsidP="005C32E0">
      <w:pPr>
        <w:spacing w:line="276" w:lineRule="auto"/>
        <w:ind w:firstLine="720"/>
        <w:jc w:val="both"/>
      </w:pPr>
      <w:r>
        <w:t>[</w:t>
      </w:r>
      <w:r w:rsidR="00D67699">
        <w:t>5.2.1</w:t>
      </w:r>
      <w:r>
        <w:t xml:space="preserve">] </w:t>
      </w:r>
      <w:r w:rsidRPr="00B04657">
        <w:t>Senāts norāda, ka pierādījumu ticamības jēdziens un novērtēšanas prasības ir ietvertas Kriminālprocesa</w:t>
      </w:r>
      <w:r>
        <w:t xml:space="preserve"> </w:t>
      </w:r>
      <w:r w:rsidRPr="00B04657">
        <w:t xml:space="preserve">likuma </w:t>
      </w:r>
      <w:proofErr w:type="gramStart"/>
      <w:r w:rsidRPr="00B04657">
        <w:t>128.pantā</w:t>
      </w:r>
      <w:proofErr w:type="gramEnd"/>
      <w:r w:rsidRPr="00B04657">
        <w:t>, taču izvēle, kuriem pierādījumiem</w:t>
      </w:r>
      <w:r>
        <w:t xml:space="preserve"> </w:t>
      </w:r>
      <w:r w:rsidRPr="00B04657">
        <w:t>ticēt, bet kuriem</w:t>
      </w:r>
      <w:r>
        <w:t xml:space="preserve"> </w:t>
      </w:r>
      <w:r w:rsidRPr="00B04657">
        <w:t>ne, ir tās tiesas kompetencē, kas izspriež lietu pēc būtības. Arī jautājums par to, vai lietā esošie pierādījumi ir vai nav pietiekami</w:t>
      </w:r>
      <w:r>
        <w:t xml:space="preserve"> </w:t>
      </w:r>
      <w:r w:rsidRPr="00B04657">
        <w:t xml:space="preserve">apsūdzētā vainīguma konstatēšanai, ir būtības jautājums, kas kasācijas kārtībā nav pārbaudāms. Atbilstoši Kriminālprocesa likuma </w:t>
      </w:r>
      <w:proofErr w:type="gramStart"/>
      <w:r w:rsidRPr="00B04657">
        <w:t>569.pantam</w:t>
      </w:r>
      <w:proofErr w:type="gramEnd"/>
      <w:r>
        <w:t xml:space="preserve"> </w:t>
      </w:r>
      <w:r w:rsidRPr="00B04657">
        <w:t xml:space="preserve">kasācijas instances tiesa lietu pēc būtības neizskata, lietas faktiskos apstākļus neskaidro un pierādījumus lietā no jauna neizvērtē. Kriminālprocesa likuma prasību pārkāpumus pierādījumu novērtēšanā, kas varētu būt par pamatu apelācijas instances tiesas </w:t>
      </w:r>
      <w:r>
        <w:t>lēmuma</w:t>
      </w:r>
      <w:r w:rsidRPr="00B04657">
        <w:t xml:space="preserve"> atcelšanai</w:t>
      </w:r>
      <w:r>
        <w:t xml:space="preserve"> </w:t>
      </w:r>
      <w:r w:rsidRPr="00B04657">
        <w:t xml:space="preserve">šajā daļā, Senāts nekonstatē, savukārt apsūdzētā </w:t>
      </w:r>
      <w:r w:rsidR="00AA3313">
        <w:t>[pers. A]</w:t>
      </w:r>
      <w:r w:rsidRPr="00B04657">
        <w:t xml:space="preserve"> subjektīvais viedoklis par lietā iegūto pierādījumu novērtējumu, ja</w:t>
      </w:r>
      <w:r>
        <w:t xml:space="preserve"> </w:t>
      </w:r>
      <w:r w:rsidRPr="00B04657">
        <w:t>tiesa pierādījumu novērtēšanā nav pieļāvusi Kriminālprocesa likuma būtiskus pārkāpumus, nevar būt par pamatu apelācijas instances tiesas nolēmuma atcelšanai. Apsūdzēt</w:t>
      </w:r>
      <w:r>
        <w:t>ā</w:t>
      </w:r>
      <w:r w:rsidRPr="00B04657">
        <w:t xml:space="preserve"> kasācijas sūdzībā ietvertās norādes uz Kriminālprocesa likuma būtiskiem</w:t>
      </w:r>
      <w:r>
        <w:t xml:space="preserve"> </w:t>
      </w:r>
      <w:r w:rsidRPr="00B04657">
        <w:t>pārkāpumiem</w:t>
      </w:r>
      <w:r>
        <w:t xml:space="preserve"> </w:t>
      </w:r>
      <w:r w:rsidRPr="00B04657">
        <w:t xml:space="preserve">pēc sava satura ir saistītas ar kasācijas </w:t>
      </w:r>
      <w:r w:rsidR="00C53CBA" w:rsidRPr="00B04657">
        <w:t>sūdzīb</w:t>
      </w:r>
      <w:r w:rsidR="00C53CBA">
        <w:t>as</w:t>
      </w:r>
      <w:r w:rsidR="00C53CBA" w:rsidRPr="00B04657">
        <w:t xml:space="preserve"> </w:t>
      </w:r>
      <w:r w:rsidRPr="00B04657">
        <w:t>autor</w:t>
      </w:r>
      <w:r>
        <w:t>a</w:t>
      </w:r>
      <w:r w:rsidRPr="00B04657">
        <w:t xml:space="preserve"> vēlmi</w:t>
      </w:r>
      <w:r>
        <w:t xml:space="preserve"> </w:t>
      </w:r>
      <w:r w:rsidRPr="00B04657">
        <w:t>atkārtoti izvērtēt pierādījumus kasācijas instances tiesā un panākt apelācijas instances tiesas nolēmuma atcelšanu nevis juridisku, bet faktisku iemeslu dēļ, kas ir pretrunā ar Kriminālprocesa likuma 569.panta pirmo daļu</w:t>
      </w:r>
      <w:r>
        <w:t>.</w:t>
      </w:r>
    </w:p>
    <w:p w14:paraId="7D5CA531" w14:textId="07EE3E7D" w:rsidR="005C32E0" w:rsidRPr="002C2238" w:rsidRDefault="005C32E0" w:rsidP="005C32E0">
      <w:pPr>
        <w:spacing w:line="276" w:lineRule="auto"/>
        <w:ind w:firstLine="720"/>
        <w:jc w:val="both"/>
      </w:pPr>
      <w:r w:rsidRPr="002C2238">
        <w:t xml:space="preserve">Atsaucoties uz krimināltiesību zinātnē pausto, Senāts ir atzinis, ka no subjektīvās puses šis noziedzīgais nodarījums ir tīšs noziedzīgs nodarījums, kuru raksturo tiešs nodoms. Noziedzīgā nodarījuma sastāvs ir formāls un nodarījums skaitās pabeigts ar brīdi, kad veiktas neatļautas darbības ar šaujamieroci </w:t>
      </w:r>
      <w:r w:rsidRPr="002C2238">
        <w:rPr>
          <w:i/>
          <w:iCs/>
        </w:rPr>
        <w:t xml:space="preserve">(Augstākās tiesas </w:t>
      </w:r>
      <w:proofErr w:type="gramStart"/>
      <w:r w:rsidRPr="002C2238">
        <w:rPr>
          <w:i/>
          <w:iCs/>
        </w:rPr>
        <w:t>2015.gada</w:t>
      </w:r>
      <w:proofErr w:type="gramEnd"/>
      <w:r w:rsidRPr="002C2238">
        <w:rPr>
          <w:i/>
          <w:iCs/>
        </w:rPr>
        <w:t xml:space="preserve"> 4.jūnija lēmums lietā Nr. SKK</w:t>
      </w:r>
      <w:r w:rsidR="006906A9">
        <w:rPr>
          <w:i/>
          <w:iCs/>
        </w:rPr>
        <w:t> </w:t>
      </w:r>
      <w:r w:rsidR="006906A9">
        <w:rPr>
          <w:i/>
          <w:iCs/>
        </w:rPr>
        <w:noBreakHyphen/>
      </w:r>
      <w:r w:rsidRPr="002C2238">
        <w:rPr>
          <w:i/>
          <w:iCs/>
        </w:rPr>
        <w:t>246/2015 (Nr. 11840002813)</w:t>
      </w:r>
      <w:r w:rsidRPr="002C2238">
        <w:t xml:space="preserve">). </w:t>
      </w:r>
    </w:p>
    <w:p w14:paraId="663A4375" w14:textId="1C57D60D" w:rsidR="005C32E0" w:rsidRDefault="005C32E0" w:rsidP="005C32E0">
      <w:pPr>
        <w:spacing w:line="276" w:lineRule="auto"/>
        <w:ind w:firstLine="720"/>
        <w:jc w:val="both"/>
      </w:pPr>
      <w:r>
        <w:t xml:space="preserve">Pretēji kasācijas sūdzībā norādītajam apelācijas instances tiesa lēmumā ir konstatējusi, ka </w:t>
      </w:r>
      <w:r w:rsidRPr="00396FAF">
        <w:t xml:space="preserve">apsūdzētā </w:t>
      </w:r>
      <w:r w:rsidR="00AA3313">
        <w:t>[pers. A]</w:t>
      </w:r>
      <w:r w:rsidRPr="00396FAF">
        <w:t xml:space="preserve"> subjektīvā attieksme pret</w:t>
      </w:r>
      <w:r>
        <w:t xml:space="preserve"> </w:t>
      </w:r>
      <w:r w:rsidRPr="00396FAF">
        <w:t xml:space="preserve">nodarījumu izpaudusies tieša nodoma veidā, jo viņš apzinājies </w:t>
      </w:r>
      <w:r w:rsidR="00C53CBA" w:rsidRPr="00396FAF">
        <w:t>sav</w:t>
      </w:r>
      <w:r w:rsidR="002E3943">
        <w:t>u d</w:t>
      </w:r>
      <w:r w:rsidRPr="00396FAF">
        <w:t>arbīb</w:t>
      </w:r>
      <w:r w:rsidR="002E3943">
        <w:t>u prettiesiskumu</w:t>
      </w:r>
      <w:r w:rsidRPr="00396FAF">
        <w:t>, par ko liecina viņa faktiskās darbības noziedzīgā nodarījuma īstenošanas</w:t>
      </w:r>
      <w:r>
        <w:t xml:space="preserve"> </w:t>
      </w:r>
      <w:r w:rsidRPr="00396FAF">
        <w:t>laikā – viņš apzināti nav veicis nekādas darbības</w:t>
      </w:r>
      <w:r w:rsidR="00625732">
        <w:t xml:space="preserve"> </w:t>
      </w:r>
      <w:r w:rsidR="00625732" w:rsidRPr="00396FAF">
        <w:t>atļaujas</w:t>
      </w:r>
      <w:r w:rsidR="00625732">
        <w:t xml:space="preserve"> glabāt šaujamieroči un šaujamieroča munīciju</w:t>
      </w:r>
      <w:r w:rsidRPr="00396FAF">
        <w:t xml:space="preserve"> saņemšanai,</w:t>
      </w:r>
      <w:r w:rsidR="002E3943">
        <w:t xml:space="preserve"> </w:t>
      </w:r>
      <w:r w:rsidRPr="00396FAF">
        <w:t>nav</w:t>
      </w:r>
      <w:r>
        <w:t xml:space="preserve"> </w:t>
      </w:r>
      <w:r w:rsidRPr="00396FAF">
        <w:t>mēģinājis Valsts policijā noskaidrot, vai šāda atļauja ir nepieciešama, kaut arī viņam</w:t>
      </w:r>
      <w:r>
        <w:t xml:space="preserve"> </w:t>
      </w:r>
      <w:r w:rsidRPr="00396FAF">
        <w:t xml:space="preserve">bija zināms, ka tas ir jādara, kā to liecinājis pats apsūdzētais. Apsūdzētais </w:t>
      </w:r>
      <w:r w:rsidR="00AA3313">
        <w:t>[pers. A]</w:t>
      </w:r>
      <w:r>
        <w:t xml:space="preserve"> </w:t>
      </w:r>
      <w:r w:rsidRPr="00396FAF">
        <w:t>apzināti nav izdarījis visu nepieciešamo un iespējamo, lai pārliecinātos, ka viņa</w:t>
      </w:r>
      <w:r>
        <w:t xml:space="preserve"> </w:t>
      </w:r>
      <w:r w:rsidRPr="00396FAF">
        <w:t>iegādātajam šaujamierocim un šaujamieroča munīcijai ir nepieciešama glabāšanas</w:t>
      </w:r>
      <w:r>
        <w:t xml:space="preserve"> </w:t>
      </w:r>
      <w:r w:rsidRPr="00396FAF">
        <w:t>atļauja, bet vieglprātīgi paļāvies uz citu personu teikto.</w:t>
      </w:r>
    </w:p>
    <w:p w14:paraId="643AC6AE" w14:textId="628F7253" w:rsidR="005C32E0" w:rsidRDefault="005C32E0" w:rsidP="005C32E0">
      <w:pPr>
        <w:spacing w:line="276" w:lineRule="auto"/>
        <w:ind w:firstLine="720"/>
        <w:jc w:val="both"/>
      </w:pPr>
      <w:r>
        <w:t>[</w:t>
      </w:r>
      <w:r w:rsidR="001E5A11">
        <w:t>5.2.2</w:t>
      </w:r>
      <w:r>
        <w:t xml:space="preserve">] Senāts konstatē, ka apsūdzētā </w:t>
      </w:r>
      <w:r w:rsidR="00AA3313">
        <w:t>[pers. A]</w:t>
      </w:r>
      <w:r>
        <w:t xml:space="preserve"> kasācijas sūdzībā nav norādīts uz tādiem apstākļiem, kas būtu </w:t>
      </w:r>
      <w:r w:rsidR="00C53CBA">
        <w:t xml:space="preserve">par </w:t>
      </w:r>
      <w:r>
        <w:t>pamat</w:t>
      </w:r>
      <w:r w:rsidR="00C53CBA">
        <w:t>u</w:t>
      </w:r>
      <w:r>
        <w:t xml:space="preserve"> </w:t>
      </w:r>
      <w:r w:rsidRPr="00E469C2">
        <w:t xml:space="preserve">ballistiskās un ķīmiskās ekspertīzes </w:t>
      </w:r>
      <w:r w:rsidR="00B01B8C">
        <w:t xml:space="preserve">ekspertu </w:t>
      </w:r>
      <w:r w:rsidRPr="00E469C2">
        <w:t>atzinum</w:t>
      </w:r>
      <w:r>
        <w:t xml:space="preserve">u </w:t>
      </w:r>
      <w:r w:rsidR="002E3943">
        <w:t>atzīt par</w:t>
      </w:r>
      <w:r>
        <w:t xml:space="preserve"> nepieļaujamu </w:t>
      </w:r>
      <w:r w:rsidR="00C53CBA">
        <w:t xml:space="preserve">pierādījumu </w:t>
      </w:r>
      <w:r>
        <w:t xml:space="preserve">saskaņā ar Kriminālprocesa likuma </w:t>
      </w:r>
      <w:proofErr w:type="gramStart"/>
      <w:r>
        <w:t>130.panta</w:t>
      </w:r>
      <w:proofErr w:type="gramEnd"/>
      <w:r>
        <w:t xml:space="preserve"> otrās daļas 4.punktu. </w:t>
      </w:r>
    </w:p>
    <w:p w14:paraId="3DE4DF9F" w14:textId="6F092B4B" w:rsidR="005C32E0" w:rsidRDefault="005C32E0" w:rsidP="005C32E0">
      <w:pPr>
        <w:spacing w:line="276" w:lineRule="auto"/>
        <w:ind w:firstLine="720"/>
        <w:jc w:val="both"/>
      </w:pPr>
      <w:r>
        <w:t>Apelācijas instances tiesa atzinusi, ka a</w:t>
      </w:r>
      <w:r w:rsidRPr="00B009C1">
        <w:t xml:space="preserve">r kompleksās ballistiskās un ķīmiskās ekspertīzes </w:t>
      </w:r>
      <w:r w:rsidR="00F70583">
        <w:t>ekspert</w:t>
      </w:r>
      <w:r w:rsidR="00B01B8C">
        <w:t>u</w:t>
      </w:r>
      <w:r w:rsidR="00F70583">
        <w:t xml:space="preserve"> </w:t>
      </w:r>
      <w:r w:rsidR="006A16BE">
        <w:t>atzinumu</w:t>
      </w:r>
      <w:r w:rsidRPr="00B009C1">
        <w:t xml:space="preserve"> apstiprinās, ka ekspertīzei izjauktā stāvoklī iesniegts rūpnieciski ražots 4</w:t>
      </w:r>
      <w:r w:rsidR="006A16BE">
        <w:t> </w:t>
      </w:r>
      <w:r w:rsidRPr="00B009C1">
        <w:t>mm</w:t>
      </w:r>
      <w:r>
        <w:t xml:space="preserve"> </w:t>
      </w:r>
      <w:r w:rsidRPr="00B009C1">
        <w:t xml:space="preserve">kalibra revolveris </w:t>
      </w:r>
      <w:r>
        <w:t>„</w:t>
      </w:r>
      <w:proofErr w:type="spellStart"/>
      <w:r w:rsidRPr="00B009C1">
        <w:t>Zoraki</w:t>
      </w:r>
      <w:proofErr w:type="spellEnd"/>
      <w:r w:rsidRPr="00B009C1">
        <w:t xml:space="preserve"> R1” Nr.</w:t>
      </w:r>
      <w:r w:rsidR="006A16BE">
        <w:t> </w:t>
      </w:r>
      <w:r w:rsidRPr="00B009C1">
        <w:t>0415-000061, kurš ir gludstobra īsstobra atkārtotas</w:t>
      </w:r>
      <w:r>
        <w:t xml:space="preserve"> </w:t>
      </w:r>
      <w:r w:rsidRPr="00B009C1">
        <w:t>darbības šaujamierocis. Revolveri saliekot, tas ir derīgs atsevišķu šāvienu izdarīšanai</w:t>
      </w:r>
      <w:r>
        <w:t xml:space="preserve"> </w:t>
      </w:r>
      <w:r w:rsidRPr="00B009C1">
        <w:t>ar 4</w:t>
      </w:r>
      <w:r w:rsidR="006A16BE">
        <w:t> </w:t>
      </w:r>
      <w:r w:rsidRPr="00B009C1">
        <w:t xml:space="preserve">mm </w:t>
      </w:r>
      <w:proofErr w:type="spellStart"/>
      <w:r w:rsidRPr="00B009C1">
        <w:t>Randz</w:t>
      </w:r>
      <w:proofErr w:type="spellEnd"/>
      <w:r w:rsidRPr="00B009C1">
        <w:t xml:space="preserve"> </w:t>
      </w:r>
      <w:proofErr w:type="spellStart"/>
      <w:r w:rsidRPr="00B009C1">
        <w:t>Court</w:t>
      </w:r>
      <w:proofErr w:type="spellEnd"/>
      <w:r w:rsidRPr="00B009C1">
        <w:t xml:space="preserve"> patronām. Ekspertīzei iesniegtas 9 rūpnieciski ražotas 4</w:t>
      </w:r>
      <w:r w:rsidR="006A16BE">
        <w:t> </w:t>
      </w:r>
      <w:r w:rsidRPr="00B009C1">
        <w:t>mm</w:t>
      </w:r>
      <w:r>
        <w:t xml:space="preserve"> </w:t>
      </w:r>
      <w:proofErr w:type="spellStart"/>
      <w:r w:rsidRPr="00B009C1">
        <w:t>Randz</w:t>
      </w:r>
      <w:proofErr w:type="spellEnd"/>
      <w:r w:rsidRPr="00B009C1">
        <w:t xml:space="preserve"> </w:t>
      </w:r>
      <w:proofErr w:type="spellStart"/>
      <w:r w:rsidRPr="00B009C1">
        <w:t>Court</w:t>
      </w:r>
      <w:proofErr w:type="spellEnd"/>
      <w:r w:rsidRPr="00B009C1">
        <w:t xml:space="preserve"> patronas, kuras ir šaujamieroču munīcija. Patronas ir derīgas šaušanai,</w:t>
      </w:r>
      <w:r>
        <w:t xml:space="preserve"> </w:t>
      </w:r>
      <w:r w:rsidRPr="00B009C1">
        <w:t xml:space="preserve">t.sk. iesniegtajā revolverī </w:t>
      </w:r>
      <w:r>
        <w:t>„</w:t>
      </w:r>
      <w:proofErr w:type="spellStart"/>
      <w:r w:rsidRPr="00B009C1">
        <w:t>Zoraki</w:t>
      </w:r>
      <w:proofErr w:type="spellEnd"/>
      <w:r w:rsidRPr="00B009C1">
        <w:t xml:space="preserve"> R1” Nr.</w:t>
      </w:r>
      <w:r>
        <w:t> </w:t>
      </w:r>
      <w:r w:rsidRPr="00B009C1">
        <w:t>0415-000061. No iesniegtā revolvera</w:t>
      </w:r>
      <w:r>
        <w:t xml:space="preserve"> „</w:t>
      </w:r>
      <w:proofErr w:type="spellStart"/>
      <w:r w:rsidRPr="00B009C1">
        <w:t>Zoraki</w:t>
      </w:r>
      <w:proofErr w:type="spellEnd"/>
      <w:r w:rsidRPr="00B009C1">
        <w:t xml:space="preserve"> R1” Nr.</w:t>
      </w:r>
      <w:r>
        <w:t> </w:t>
      </w:r>
      <w:r w:rsidRPr="00B009C1">
        <w:t>0415-000061 pēc tā stobra kanāla pēdējās tīrīšanas ir izdarīts šāviens</w:t>
      </w:r>
      <w:r>
        <w:t xml:space="preserve"> </w:t>
      </w:r>
      <w:r w:rsidRPr="00B009C1">
        <w:t>(šāvieni).</w:t>
      </w:r>
      <w:r>
        <w:t xml:space="preserve"> </w:t>
      </w:r>
    </w:p>
    <w:p w14:paraId="1063AB82" w14:textId="10A86DD4" w:rsidR="005C32E0" w:rsidRDefault="005C32E0" w:rsidP="002E3943">
      <w:pPr>
        <w:spacing w:line="276" w:lineRule="auto"/>
        <w:ind w:firstLine="720"/>
        <w:jc w:val="both"/>
      </w:pPr>
      <w:r>
        <w:t>Tiesa konstatējusi, ka e</w:t>
      </w:r>
      <w:r w:rsidRPr="00B009C1">
        <w:t xml:space="preserve">ksperti </w:t>
      </w:r>
      <w:r w:rsidR="007E6D1E">
        <w:t>[pers. B]</w:t>
      </w:r>
      <w:r w:rsidRPr="00B009C1">
        <w:t xml:space="preserve"> un </w:t>
      </w:r>
      <w:r w:rsidR="007E6D1E">
        <w:t>[pers. C]</w:t>
      </w:r>
      <w:r w:rsidRPr="00B009C1">
        <w:t xml:space="preserve"> pirmās instances tiesas sēdē liecinājuši,</w:t>
      </w:r>
      <w:r>
        <w:t xml:space="preserve"> </w:t>
      </w:r>
      <w:r w:rsidRPr="00B009C1">
        <w:t>ka uztur kompleksās ballistiskās un ķīmiskās ekspertīzes</w:t>
      </w:r>
      <w:r w:rsidR="00F70583" w:rsidRPr="00F70583">
        <w:t xml:space="preserve"> </w:t>
      </w:r>
      <w:r w:rsidR="00F70583">
        <w:t>ekspert</w:t>
      </w:r>
      <w:r w:rsidR="002A5D76">
        <w:t>u</w:t>
      </w:r>
      <w:r w:rsidR="006A16BE">
        <w:t xml:space="preserve"> atzinumu</w:t>
      </w:r>
      <w:r w:rsidRPr="00B009C1">
        <w:t>. Papildus paskaidrojuši, ka enerģijas mērīšana džoulos neattiecas uz</w:t>
      </w:r>
      <w:r>
        <w:t xml:space="preserve"> </w:t>
      </w:r>
      <w:r w:rsidRPr="00B009C1">
        <w:t xml:space="preserve">šaujamieročiem, bet uz pneimatiskajiem ieročiem. </w:t>
      </w:r>
      <w:proofErr w:type="gramStart"/>
      <w:r w:rsidRPr="00B009C1">
        <w:t xml:space="preserve">Kā norādīts </w:t>
      </w:r>
      <w:r w:rsidR="00C061B7">
        <w:t>ekspert</w:t>
      </w:r>
      <w:r w:rsidR="002A5D76">
        <w:t>u</w:t>
      </w:r>
      <w:r w:rsidR="006A16BE">
        <w:t xml:space="preserve"> atzinumā</w:t>
      </w:r>
      <w:r w:rsidRPr="00B009C1">
        <w:t>,</w:t>
      </w:r>
      <w:proofErr w:type="gramEnd"/>
      <w:r w:rsidRPr="00B009C1">
        <w:t xml:space="preserve"> ekspertīzei iesniegtais ierocis ir šaujamierocis, ar to ir iespējams veikt šaušanu.</w:t>
      </w:r>
      <w:r>
        <w:t xml:space="preserve"> </w:t>
      </w:r>
      <w:r w:rsidRPr="00B009C1">
        <w:t>Šaujamierocis ir rūpnieciski ražots, lai iznīcinātu dzīvus vai nedzīvus mērķus.</w:t>
      </w:r>
      <w:r>
        <w:t xml:space="preserve"> </w:t>
      </w:r>
      <w:r w:rsidRPr="00B009C1">
        <w:t>Šaujamierocis ir derīgs šaušanai ar iepriekšējas uzvilkšanas funkciju, jo šim</w:t>
      </w:r>
      <w:r>
        <w:t xml:space="preserve"> </w:t>
      </w:r>
      <w:r w:rsidRPr="00B009C1">
        <w:t xml:space="preserve">konkrētajam šaujamierocim nestrādā automātiskās uzvilkšanas funkcija. </w:t>
      </w:r>
    </w:p>
    <w:p w14:paraId="5AB75E69" w14:textId="5960643A" w:rsidR="005C32E0" w:rsidRDefault="005C32E0" w:rsidP="005C32E0">
      <w:pPr>
        <w:spacing w:line="276" w:lineRule="auto"/>
        <w:ind w:firstLine="720"/>
        <w:jc w:val="both"/>
      </w:pPr>
      <w:r>
        <w:t xml:space="preserve">Apelācijas instances tiesa konstatējusi, ka pirmās instances tiesa piešķīrusi ticamību </w:t>
      </w:r>
      <w:r w:rsidR="006906A9" w:rsidRPr="00B009C1">
        <w:t>kompleksās</w:t>
      </w:r>
      <w:r w:rsidR="006906A9">
        <w:t xml:space="preserve"> </w:t>
      </w:r>
      <w:r>
        <w:t>ballistiskās un ķīmiskās ekspertīzes</w:t>
      </w:r>
      <w:r w:rsidR="00C061B7" w:rsidRPr="00C061B7">
        <w:t xml:space="preserve"> </w:t>
      </w:r>
      <w:r w:rsidR="00C061B7">
        <w:t>ekspert</w:t>
      </w:r>
      <w:r w:rsidR="002A5D76">
        <w:t>u</w:t>
      </w:r>
      <w:r>
        <w:t xml:space="preserve"> atzinumam, </w:t>
      </w:r>
      <w:r w:rsidR="006A16BE">
        <w:t xml:space="preserve">ekspertīze </w:t>
      </w:r>
      <w:r>
        <w:t xml:space="preserve">veikta saskaņā ar Kriminālprocesa likuma </w:t>
      </w:r>
      <w:proofErr w:type="gramStart"/>
      <w:r>
        <w:t>198.panta</w:t>
      </w:r>
      <w:proofErr w:type="gramEnd"/>
      <w:r>
        <w:t xml:space="preserve"> prasībām</w:t>
      </w:r>
      <w:r w:rsidR="006A16BE">
        <w:t xml:space="preserve">. Tiesa </w:t>
      </w:r>
      <w:r>
        <w:t xml:space="preserve">nav konstatējusi pārkāpumus, </w:t>
      </w:r>
      <w:proofErr w:type="gramStart"/>
      <w:r>
        <w:t>kas varētu būt par pamatu</w:t>
      </w:r>
      <w:r w:rsidR="00D45B2F">
        <w:t xml:space="preserve"> </w:t>
      </w:r>
      <w:r w:rsidR="00C061B7">
        <w:t>ekspert</w:t>
      </w:r>
      <w:r w:rsidR="00274546">
        <w:t>u</w:t>
      </w:r>
      <w:r w:rsidR="00D45B2F">
        <w:t xml:space="preserve"> atzinuma apšaubīšanai</w:t>
      </w:r>
      <w:proofErr w:type="gramEnd"/>
      <w:r w:rsidR="00D45B2F">
        <w:t xml:space="preserve"> un</w:t>
      </w:r>
      <w:r>
        <w:t xml:space="preserve"> nav saskatījusi pretrunas ekspertu tiesas sēdē liecinātajā un </w:t>
      </w:r>
      <w:r w:rsidR="00516688">
        <w:t>ekspert</w:t>
      </w:r>
      <w:r w:rsidR="00274546">
        <w:t>u</w:t>
      </w:r>
      <w:r w:rsidR="00516688">
        <w:t xml:space="preserve"> atzinumā</w:t>
      </w:r>
      <w:r>
        <w:t xml:space="preserve"> secinātajā.</w:t>
      </w:r>
    </w:p>
    <w:p w14:paraId="47ADC739" w14:textId="77777777" w:rsidR="005C32E0" w:rsidRDefault="005C32E0" w:rsidP="005C32E0">
      <w:pPr>
        <w:spacing w:line="276" w:lineRule="auto"/>
        <w:ind w:firstLine="720"/>
        <w:jc w:val="both"/>
      </w:pPr>
      <w:r w:rsidRPr="00B009C1">
        <w:t>Senātam nav pamata apšaubīt ar pierādījumiem argumentētos apelācijas instances tiesas atzinumus</w:t>
      </w:r>
      <w:r>
        <w:t>.</w:t>
      </w:r>
    </w:p>
    <w:p w14:paraId="70C0B0D1" w14:textId="2466C3D4" w:rsidR="005C32E0" w:rsidRDefault="005C32E0" w:rsidP="005C32E0">
      <w:pPr>
        <w:spacing w:line="276" w:lineRule="auto"/>
        <w:ind w:firstLine="720"/>
        <w:jc w:val="both"/>
      </w:pPr>
      <w:r>
        <w:t>[</w:t>
      </w:r>
      <w:r w:rsidR="001E5A11">
        <w:t>5.2.3</w:t>
      </w:r>
      <w:r>
        <w:t xml:space="preserve">] Senāts atzīst, ka kasācijas sūdzībā nav </w:t>
      </w:r>
      <w:r w:rsidRPr="00E74DDC">
        <w:t>pamatots, kād</w:t>
      </w:r>
      <w:r>
        <w:t>i</w:t>
      </w:r>
      <w:r w:rsidRPr="00E74DDC">
        <w:t xml:space="preserve"> </w:t>
      </w:r>
      <w:r>
        <w:t xml:space="preserve">lietas izlemšanai </w:t>
      </w:r>
      <w:r w:rsidRPr="00E74DDC">
        <w:t>būtisk</w:t>
      </w:r>
      <w:r>
        <w:t xml:space="preserve">i apstākļi, </w:t>
      </w:r>
      <w:r w:rsidRPr="00636D0E">
        <w:t xml:space="preserve">noraidot lūgumu </w:t>
      </w:r>
      <w:r>
        <w:t>par ekspertu nopratināšanu,</w:t>
      </w:r>
      <w:r w:rsidR="002E3943">
        <w:t xml:space="preserve"> </w:t>
      </w:r>
      <w:r>
        <w:t xml:space="preserve">netika noskaidroti un kā izpaudies tiesību uz aizstāvību pārkāpums. </w:t>
      </w:r>
    </w:p>
    <w:p w14:paraId="26D9C604" w14:textId="3551E8CF" w:rsidR="005C32E0" w:rsidRDefault="005C32E0" w:rsidP="005C32E0">
      <w:pPr>
        <w:spacing w:line="276" w:lineRule="auto"/>
        <w:ind w:firstLine="720"/>
        <w:jc w:val="both"/>
        <w:rPr>
          <w:rFonts w:asciiTheme="majorBidi" w:hAnsiTheme="majorBidi" w:cstheme="majorBidi"/>
        </w:rPr>
      </w:pPr>
      <w:r>
        <w:rPr>
          <w:rFonts w:asciiTheme="majorBidi" w:hAnsiTheme="majorBidi" w:cstheme="majorBidi"/>
        </w:rPr>
        <w:t>[</w:t>
      </w:r>
      <w:r w:rsidR="001E5A11">
        <w:rPr>
          <w:rFonts w:asciiTheme="majorBidi" w:hAnsiTheme="majorBidi" w:cstheme="majorBidi"/>
        </w:rPr>
        <w:t>5.3</w:t>
      </w:r>
      <w:r>
        <w:rPr>
          <w:rFonts w:asciiTheme="majorBidi" w:hAnsiTheme="majorBidi" w:cstheme="majorBidi"/>
        </w:rPr>
        <w:t xml:space="preserve">] Senāts atzīst par nepamatotu apsūdzētā </w:t>
      </w:r>
      <w:r w:rsidR="007E6D1E">
        <w:rPr>
          <w:rFonts w:asciiTheme="majorBidi" w:hAnsiTheme="majorBidi" w:cstheme="majorBidi"/>
        </w:rPr>
        <w:t>[pers. A]</w:t>
      </w:r>
      <w:r>
        <w:rPr>
          <w:rFonts w:asciiTheme="majorBidi" w:hAnsiTheme="majorBidi" w:cstheme="majorBidi"/>
        </w:rPr>
        <w:t xml:space="preserve"> kasācijas sūdzībā atkārtoto iebildumu, ka nav pierādīt</w:t>
      </w:r>
      <w:r w:rsidR="001F2C90">
        <w:rPr>
          <w:rFonts w:asciiTheme="majorBidi" w:hAnsiTheme="majorBidi" w:cstheme="majorBidi"/>
        </w:rPr>
        <w:t>s</w:t>
      </w:r>
      <w:r>
        <w:rPr>
          <w:rFonts w:asciiTheme="majorBidi" w:hAnsiTheme="majorBidi" w:cstheme="majorBidi"/>
        </w:rPr>
        <w:t xml:space="preserve"> apsūdzētā vain</w:t>
      </w:r>
      <w:r w:rsidR="001F2C90">
        <w:rPr>
          <w:rFonts w:asciiTheme="majorBidi" w:hAnsiTheme="majorBidi" w:cstheme="majorBidi"/>
        </w:rPr>
        <w:t>īgums</w:t>
      </w:r>
      <w:r>
        <w:rPr>
          <w:rFonts w:asciiTheme="majorBidi" w:hAnsiTheme="majorBidi" w:cstheme="majorBidi"/>
        </w:rPr>
        <w:t xml:space="preserve"> šaujamieroča munīcijas glabāšanā, jo </w:t>
      </w:r>
      <w:proofErr w:type="gramStart"/>
      <w:r>
        <w:rPr>
          <w:rFonts w:asciiTheme="majorBidi" w:hAnsiTheme="majorBidi" w:cstheme="majorBidi"/>
        </w:rPr>
        <w:t>2018.gada</w:t>
      </w:r>
      <w:proofErr w:type="gramEnd"/>
      <w:r>
        <w:rPr>
          <w:rFonts w:asciiTheme="majorBidi" w:hAnsiTheme="majorBidi" w:cstheme="majorBidi"/>
        </w:rPr>
        <w:t xml:space="preserve"> 8.janvārī apsūdzētā dzīvesvietā veiktās kratīšanas laikā patronas netika atrastas.</w:t>
      </w:r>
    </w:p>
    <w:p w14:paraId="0B8E3CA8" w14:textId="04546535" w:rsidR="005C32E0" w:rsidRDefault="005C32E0" w:rsidP="008F72DA">
      <w:pPr>
        <w:spacing w:line="276" w:lineRule="auto"/>
        <w:ind w:firstLine="720"/>
        <w:jc w:val="both"/>
        <w:rPr>
          <w:rFonts w:asciiTheme="majorBidi" w:hAnsiTheme="majorBidi" w:cstheme="majorBidi"/>
        </w:rPr>
      </w:pPr>
      <w:r>
        <w:rPr>
          <w:rFonts w:asciiTheme="majorBidi" w:hAnsiTheme="majorBidi" w:cstheme="majorBidi"/>
        </w:rPr>
        <w:t>Apelācijas instances tiesa konstatējusi, ka l</w:t>
      </w:r>
      <w:r w:rsidRPr="00CD0AE2">
        <w:rPr>
          <w:rFonts w:asciiTheme="majorBidi" w:hAnsiTheme="majorBidi" w:cstheme="majorBidi"/>
        </w:rPr>
        <w:t xml:space="preserve">ieciniece </w:t>
      </w:r>
      <w:r w:rsidR="007E6D1E">
        <w:rPr>
          <w:rFonts w:asciiTheme="majorBidi" w:hAnsiTheme="majorBidi" w:cstheme="majorBidi"/>
        </w:rPr>
        <w:t>[pers. </w:t>
      </w:r>
      <w:r w:rsidR="007E6D1E">
        <w:t>F]</w:t>
      </w:r>
      <w:r w:rsidRPr="00CD0AE2">
        <w:rPr>
          <w:rFonts w:asciiTheme="majorBidi" w:hAnsiTheme="majorBidi" w:cstheme="majorBidi"/>
        </w:rPr>
        <w:t xml:space="preserve"> pirmās instances tiesas sēdē liecinājusi, ka</w:t>
      </w:r>
      <w:r>
        <w:rPr>
          <w:rFonts w:asciiTheme="majorBidi" w:hAnsiTheme="majorBidi" w:cstheme="majorBidi"/>
        </w:rPr>
        <w:t xml:space="preserve"> </w:t>
      </w:r>
      <w:r w:rsidR="008F4E4A" w:rsidRPr="00CD0AE2">
        <w:rPr>
          <w:rFonts w:asciiTheme="majorBidi" w:hAnsiTheme="majorBidi" w:cstheme="majorBidi"/>
        </w:rPr>
        <w:t>bijusi procesa virzītāja pirmstiesas kriminālprocesā</w:t>
      </w:r>
      <w:r w:rsidR="008F4E4A">
        <w:rPr>
          <w:rFonts w:asciiTheme="majorBidi" w:hAnsiTheme="majorBidi" w:cstheme="majorBidi"/>
        </w:rPr>
        <w:t xml:space="preserve">, </w:t>
      </w:r>
      <w:r w:rsidRPr="00CD0AE2">
        <w:rPr>
          <w:rFonts w:asciiTheme="majorBidi" w:hAnsiTheme="majorBidi" w:cstheme="majorBidi"/>
        </w:rPr>
        <w:t>veikusi procesuālās</w:t>
      </w:r>
      <w:r>
        <w:rPr>
          <w:rFonts w:asciiTheme="majorBidi" w:hAnsiTheme="majorBidi" w:cstheme="majorBidi"/>
        </w:rPr>
        <w:t xml:space="preserve"> </w:t>
      </w:r>
      <w:r w:rsidRPr="00CD0AE2">
        <w:rPr>
          <w:rFonts w:asciiTheme="majorBidi" w:hAnsiTheme="majorBidi" w:cstheme="majorBidi"/>
        </w:rPr>
        <w:t>darbības ar apsūdzēto.</w:t>
      </w:r>
      <w:r>
        <w:rPr>
          <w:rFonts w:asciiTheme="majorBidi" w:hAnsiTheme="majorBidi" w:cstheme="majorBidi"/>
        </w:rPr>
        <w:t xml:space="preserve"> </w:t>
      </w:r>
      <w:r w:rsidRPr="00CD0AE2">
        <w:rPr>
          <w:rFonts w:asciiTheme="majorBidi" w:hAnsiTheme="majorBidi" w:cstheme="majorBidi"/>
        </w:rPr>
        <w:t xml:space="preserve">Šaujamierocis atrasts kratīšanas laikā izjauktā veidā, papīra </w:t>
      </w:r>
      <w:r w:rsidRPr="00A31E71">
        <w:rPr>
          <w:rFonts w:asciiTheme="majorBidi" w:hAnsiTheme="majorBidi" w:cstheme="majorBidi"/>
        </w:rPr>
        <w:t>iepakojumā.</w:t>
      </w:r>
      <w:r>
        <w:rPr>
          <w:rFonts w:asciiTheme="majorBidi" w:hAnsiTheme="majorBidi" w:cstheme="majorBidi"/>
        </w:rPr>
        <w:t xml:space="preserve"> </w:t>
      </w:r>
      <w:r w:rsidR="008F72DA" w:rsidRPr="00CD0AE2">
        <w:rPr>
          <w:rFonts w:asciiTheme="majorBidi" w:hAnsiTheme="majorBidi" w:cstheme="majorBidi"/>
        </w:rPr>
        <w:t>Iepakojum</w:t>
      </w:r>
      <w:r w:rsidR="008F72DA">
        <w:rPr>
          <w:rFonts w:asciiTheme="majorBidi" w:hAnsiTheme="majorBidi" w:cstheme="majorBidi"/>
        </w:rPr>
        <w:t xml:space="preserve">s </w:t>
      </w:r>
      <w:r w:rsidRPr="00CD0AE2">
        <w:rPr>
          <w:rFonts w:asciiTheme="majorBidi" w:hAnsiTheme="majorBidi" w:cstheme="majorBidi"/>
        </w:rPr>
        <w:t xml:space="preserve">neatvērtā veidā </w:t>
      </w:r>
      <w:r w:rsidR="00A31E71">
        <w:rPr>
          <w:rFonts w:asciiTheme="majorBidi" w:hAnsiTheme="majorBidi" w:cstheme="majorBidi"/>
        </w:rPr>
        <w:t xml:space="preserve">ar tajā esošo saturu </w:t>
      </w:r>
      <w:r w:rsidRPr="00CD0AE2">
        <w:rPr>
          <w:rFonts w:asciiTheme="majorBidi" w:hAnsiTheme="majorBidi" w:cstheme="majorBidi"/>
        </w:rPr>
        <w:t>nosūtīts</w:t>
      </w:r>
      <w:r>
        <w:rPr>
          <w:rFonts w:asciiTheme="majorBidi" w:hAnsiTheme="majorBidi" w:cstheme="majorBidi"/>
        </w:rPr>
        <w:t xml:space="preserve"> </w:t>
      </w:r>
      <w:r w:rsidRPr="00CD0AE2">
        <w:rPr>
          <w:rFonts w:asciiTheme="majorBidi" w:hAnsiTheme="majorBidi" w:cstheme="majorBidi"/>
        </w:rPr>
        <w:t>ekspertīzei.</w:t>
      </w:r>
      <w:r>
        <w:rPr>
          <w:rFonts w:asciiTheme="majorBidi" w:hAnsiTheme="majorBidi" w:cstheme="majorBidi"/>
        </w:rPr>
        <w:t xml:space="preserve"> </w:t>
      </w:r>
      <w:r w:rsidRPr="00CD0AE2">
        <w:rPr>
          <w:rFonts w:asciiTheme="majorBidi" w:hAnsiTheme="majorBidi" w:cstheme="majorBidi"/>
        </w:rPr>
        <w:t>Eksperti veikuši gan šaujamieroča apskati, gan ķīmisko un ballistisko ekspertīzi.</w:t>
      </w:r>
      <w:r>
        <w:rPr>
          <w:rFonts w:asciiTheme="majorBidi" w:hAnsiTheme="majorBidi" w:cstheme="majorBidi"/>
        </w:rPr>
        <w:t xml:space="preserve"> </w:t>
      </w:r>
      <w:r w:rsidRPr="00CD0AE2">
        <w:rPr>
          <w:rFonts w:asciiTheme="majorBidi" w:hAnsiTheme="majorBidi" w:cstheme="majorBidi"/>
        </w:rPr>
        <w:t>Patronas iepakojumam pēc kratīšanas nav pievienojusi. Atzinusi, ka pieļāvusi kļūdu,</w:t>
      </w:r>
      <w:r>
        <w:rPr>
          <w:rFonts w:asciiTheme="majorBidi" w:hAnsiTheme="majorBidi" w:cstheme="majorBidi"/>
        </w:rPr>
        <w:t xml:space="preserve"> </w:t>
      </w:r>
      <w:r w:rsidRPr="00CD0AE2">
        <w:rPr>
          <w:rFonts w:asciiTheme="majorBidi" w:hAnsiTheme="majorBidi" w:cstheme="majorBidi"/>
        </w:rPr>
        <w:t xml:space="preserve">nenorādot kratīšanas protokolā, ka </w:t>
      </w:r>
      <w:r w:rsidR="00600CF6">
        <w:rPr>
          <w:rFonts w:asciiTheme="majorBidi" w:hAnsiTheme="majorBidi" w:cstheme="majorBidi"/>
        </w:rPr>
        <w:t xml:space="preserve">iepakojumā kopā ar ieroci bijušas arī </w:t>
      </w:r>
      <w:r w:rsidRPr="00CD0AE2">
        <w:rPr>
          <w:rFonts w:asciiTheme="majorBidi" w:hAnsiTheme="majorBidi" w:cstheme="majorBidi"/>
        </w:rPr>
        <w:t>apsūdzētā</w:t>
      </w:r>
      <w:r>
        <w:rPr>
          <w:rFonts w:asciiTheme="majorBidi" w:hAnsiTheme="majorBidi" w:cstheme="majorBidi"/>
        </w:rPr>
        <w:t xml:space="preserve"> </w:t>
      </w:r>
      <w:r w:rsidRPr="00CD0AE2">
        <w:rPr>
          <w:rFonts w:asciiTheme="majorBidi" w:hAnsiTheme="majorBidi" w:cstheme="majorBidi"/>
        </w:rPr>
        <w:t>dzīvesvietā atrastās deviņas patronas.</w:t>
      </w:r>
      <w:r>
        <w:rPr>
          <w:rFonts w:asciiTheme="majorBidi" w:hAnsiTheme="majorBidi" w:cstheme="majorBidi"/>
        </w:rPr>
        <w:t xml:space="preserve"> </w:t>
      </w:r>
    </w:p>
    <w:p w14:paraId="2AE4FBEA" w14:textId="77777777" w:rsidR="00C46AAE" w:rsidRDefault="00C46AAE" w:rsidP="00C46AAE">
      <w:pPr>
        <w:spacing w:line="276" w:lineRule="auto"/>
        <w:ind w:firstLine="720"/>
        <w:jc w:val="both"/>
        <w:rPr>
          <w:rFonts w:asciiTheme="majorBidi" w:hAnsiTheme="majorBidi" w:cstheme="majorBidi"/>
        </w:rPr>
      </w:pPr>
      <w:r w:rsidRPr="00CD0AE2">
        <w:rPr>
          <w:rFonts w:asciiTheme="majorBidi" w:hAnsiTheme="majorBidi" w:cstheme="majorBidi"/>
        </w:rPr>
        <w:t>Pirmās instances tiesa konstatējusi, ka kratīšanas laikā izņemtais iepakojums ar</w:t>
      </w:r>
      <w:r>
        <w:rPr>
          <w:rFonts w:asciiTheme="majorBidi" w:hAnsiTheme="majorBidi" w:cstheme="majorBidi"/>
        </w:rPr>
        <w:t xml:space="preserve"> </w:t>
      </w:r>
      <w:r w:rsidRPr="00CD0AE2">
        <w:rPr>
          <w:rFonts w:asciiTheme="majorBidi" w:hAnsiTheme="majorBidi" w:cstheme="majorBidi"/>
        </w:rPr>
        <w:t>patronām līdzīgiem priekšmetiem un šaujamierocim līdzīgu priekšmetu izjauktā</w:t>
      </w:r>
      <w:r>
        <w:rPr>
          <w:rFonts w:asciiTheme="majorBidi" w:hAnsiTheme="majorBidi" w:cstheme="majorBidi"/>
        </w:rPr>
        <w:t xml:space="preserve"> </w:t>
      </w:r>
      <w:r w:rsidRPr="00CD0AE2">
        <w:rPr>
          <w:rFonts w:asciiTheme="majorBidi" w:hAnsiTheme="majorBidi" w:cstheme="majorBidi"/>
        </w:rPr>
        <w:t xml:space="preserve">veidā iesaiņots papīra </w:t>
      </w:r>
      <w:r w:rsidRPr="007E4CF8">
        <w:rPr>
          <w:rFonts w:asciiTheme="majorBidi" w:hAnsiTheme="majorBidi" w:cstheme="majorBidi"/>
        </w:rPr>
        <w:t>maisā,</w:t>
      </w:r>
      <w:r w:rsidRPr="00CD0AE2">
        <w:rPr>
          <w:rFonts w:asciiTheme="majorBidi" w:hAnsiTheme="majorBidi" w:cstheme="majorBidi"/>
        </w:rPr>
        <w:t xml:space="preserve"> aizlīmēts ar drošības lenti </w:t>
      </w:r>
      <w:proofErr w:type="spellStart"/>
      <w:r w:rsidRPr="00CD0AE2">
        <w:rPr>
          <w:rFonts w:asciiTheme="majorBidi" w:hAnsiTheme="majorBidi" w:cstheme="majorBidi"/>
        </w:rPr>
        <w:t>Security</w:t>
      </w:r>
      <w:proofErr w:type="spellEnd"/>
      <w:r w:rsidRPr="00CD0AE2">
        <w:rPr>
          <w:rFonts w:asciiTheme="majorBidi" w:hAnsiTheme="majorBidi" w:cstheme="majorBidi"/>
        </w:rPr>
        <w:t xml:space="preserve"> </w:t>
      </w:r>
      <w:proofErr w:type="spellStart"/>
      <w:r w:rsidRPr="00CD0AE2">
        <w:rPr>
          <w:rFonts w:asciiTheme="majorBidi" w:hAnsiTheme="majorBidi" w:cstheme="majorBidi"/>
        </w:rPr>
        <w:t>Seal</w:t>
      </w:r>
      <w:proofErr w:type="spellEnd"/>
      <w:r w:rsidRPr="00CD0AE2">
        <w:rPr>
          <w:rFonts w:asciiTheme="majorBidi" w:hAnsiTheme="majorBidi" w:cstheme="majorBidi"/>
        </w:rPr>
        <w:t xml:space="preserve"> L14-0913892,</w:t>
      </w:r>
      <w:r>
        <w:rPr>
          <w:rFonts w:asciiTheme="majorBidi" w:hAnsiTheme="majorBidi" w:cstheme="majorBidi"/>
        </w:rPr>
        <w:t xml:space="preserve"> </w:t>
      </w:r>
      <w:r w:rsidRPr="00CD0AE2">
        <w:rPr>
          <w:rFonts w:asciiTheme="majorBidi" w:hAnsiTheme="majorBidi" w:cstheme="majorBidi"/>
        </w:rPr>
        <w:t>L14-0913894.</w:t>
      </w:r>
      <w:r>
        <w:rPr>
          <w:rFonts w:asciiTheme="majorBidi" w:hAnsiTheme="majorBidi" w:cstheme="majorBidi"/>
        </w:rPr>
        <w:t xml:space="preserve"> </w:t>
      </w:r>
    </w:p>
    <w:p w14:paraId="3BAA53C0" w14:textId="0B252FC1" w:rsidR="007E4CF8" w:rsidRDefault="00900488" w:rsidP="007E4CF8">
      <w:pPr>
        <w:spacing w:line="276" w:lineRule="auto"/>
        <w:ind w:firstLine="720"/>
        <w:jc w:val="both"/>
        <w:rPr>
          <w:rFonts w:asciiTheme="majorBidi" w:hAnsiTheme="majorBidi" w:cstheme="majorBidi"/>
        </w:rPr>
      </w:pPr>
      <w:r>
        <w:rPr>
          <w:rFonts w:asciiTheme="majorBidi" w:hAnsiTheme="majorBidi" w:cstheme="majorBidi"/>
        </w:rPr>
        <w:t>Apelācijas instances t</w:t>
      </w:r>
      <w:r w:rsidR="005C32E0">
        <w:rPr>
          <w:rFonts w:asciiTheme="majorBidi" w:hAnsiTheme="majorBidi" w:cstheme="majorBidi"/>
        </w:rPr>
        <w:t xml:space="preserve">iesa pievienojusies pirmās instances tiesas atzinumiem, ka </w:t>
      </w:r>
      <w:r w:rsidR="005C32E0" w:rsidRPr="00CD0AE2">
        <w:rPr>
          <w:rFonts w:asciiTheme="majorBidi" w:hAnsiTheme="majorBidi" w:cstheme="majorBidi"/>
        </w:rPr>
        <w:t>nav pamata neticēt lēmumā</w:t>
      </w:r>
      <w:r w:rsidR="005C32E0">
        <w:rPr>
          <w:rFonts w:asciiTheme="majorBidi" w:hAnsiTheme="majorBidi" w:cstheme="majorBidi"/>
        </w:rPr>
        <w:t xml:space="preserve"> </w:t>
      </w:r>
      <w:r w:rsidR="005C32E0" w:rsidRPr="00CD0AE2">
        <w:rPr>
          <w:rFonts w:asciiTheme="majorBidi" w:hAnsiTheme="majorBidi" w:cstheme="majorBidi"/>
        </w:rPr>
        <w:t xml:space="preserve">par ballistiskās ekspertīzes </w:t>
      </w:r>
      <w:r w:rsidR="001F2C90">
        <w:rPr>
          <w:rFonts w:asciiTheme="majorBidi" w:hAnsiTheme="majorBidi" w:cstheme="majorBidi"/>
        </w:rPr>
        <w:t xml:space="preserve">noteikšanu </w:t>
      </w:r>
      <w:r w:rsidR="00D45B2F">
        <w:rPr>
          <w:rFonts w:asciiTheme="majorBidi" w:hAnsiTheme="majorBidi" w:cstheme="majorBidi"/>
        </w:rPr>
        <w:t>un</w:t>
      </w:r>
      <w:r w:rsidR="00D45B2F" w:rsidRPr="00CD0AE2">
        <w:rPr>
          <w:rFonts w:asciiTheme="majorBidi" w:hAnsiTheme="majorBidi" w:cstheme="majorBidi"/>
        </w:rPr>
        <w:t xml:space="preserve"> </w:t>
      </w:r>
      <w:r w:rsidR="005C32E0" w:rsidRPr="00CD0AE2">
        <w:rPr>
          <w:rFonts w:asciiTheme="majorBidi" w:hAnsiTheme="majorBidi" w:cstheme="majorBidi"/>
        </w:rPr>
        <w:t>kompleksās ballistiskās un ķīmiskās</w:t>
      </w:r>
      <w:r w:rsidR="005C32E0">
        <w:rPr>
          <w:rFonts w:asciiTheme="majorBidi" w:hAnsiTheme="majorBidi" w:cstheme="majorBidi"/>
        </w:rPr>
        <w:t xml:space="preserve"> </w:t>
      </w:r>
      <w:r w:rsidR="005C32E0" w:rsidRPr="00CD0AE2">
        <w:rPr>
          <w:rFonts w:asciiTheme="majorBidi" w:hAnsiTheme="majorBidi" w:cstheme="majorBidi"/>
        </w:rPr>
        <w:t xml:space="preserve">ekspertīzes </w:t>
      </w:r>
      <w:r w:rsidR="00F7364E">
        <w:rPr>
          <w:rFonts w:asciiTheme="majorBidi" w:hAnsiTheme="majorBidi" w:cstheme="majorBidi"/>
        </w:rPr>
        <w:t>ekspert</w:t>
      </w:r>
      <w:r w:rsidR="00274546">
        <w:rPr>
          <w:rFonts w:asciiTheme="majorBidi" w:hAnsiTheme="majorBidi" w:cstheme="majorBidi"/>
        </w:rPr>
        <w:t>u</w:t>
      </w:r>
      <w:r w:rsidR="00F7364E">
        <w:rPr>
          <w:rFonts w:asciiTheme="majorBidi" w:hAnsiTheme="majorBidi" w:cstheme="majorBidi"/>
        </w:rPr>
        <w:t xml:space="preserve"> </w:t>
      </w:r>
      <w:r w:rsidR="00D45B2F">
        <w:rPr>
          <w:rFonts w:asciiTheme="majorBidi" w:hAnsiTheme="majorBidi" w:cstheme="majorBidi"/>
        </w:rPr>
        <w:t>atzinumā norādītajam</w:t>
      </w:r>
      <w:r w:rsidR="005C32E0" w:rsidRPr="00CD0AE2">
        <w:rPr>
          <w:rFonts w:asciiTheme="majorBidi" w:hAnsiTheme="majorBidi" w:cstheme="majorBidi"/>
        </w:rPr>
        <w:t>, ka papīra iepakojumā</w:t>
      </w:r>
      <w:r w:rsidR="005C32E0">
        <w:rPr>
          <w:rFonts w:asciiTheme="majorBidi" w:hAnsiTheme="majorBidi" w:cstheme="majorBidi"/>
        </w:rPr>
        <w:t xml:space="preserve"> </w:t>
      </w:r>
      <w:r w:rsidR="005C32E0" w:rsidRPr="00CD0AE2">
        <w:rPr>
          <w:rFonts w:asciiTheme="majorBidi" w:hAnsiTheme="majorBidi" w:cstheme="majorBidi"/>
        </w:rPr>
        <w:t>atradies ne tikai šaujamierocis, bet arī šaujamieroča munīcija</w:t>
      </w:r>
      <w:r w:rsidR="00B0570B">
        <w:rPr>
          <w:rFonts w:asciiTheme="majorBidi" w:hAnsiTheme="majorBidi" w:cstheme="majorBidi"/>
        </w:rPr>
        <w:t xml:space="preserve"> patronas, kas nebija norādītas kratīšanas protokol</w:t>
      </w:r>
      <w:r w:rsidR="007E4CF8">
        <w:rPr>
          <w:rFonts w:asciiTheme="majorBidi" w:hAnsiTheme="majorBidi" w:cstheme="majorBidi"/>
        </w:rPr>
        <w:t>ā</w:t>
      </w:r>
      <w:r w:rsidR="005C32E0" w:rsidRPr="00CD0AE2">
        <w:rPr>
          <w:rFonts w:asciiTheme="majorBidi" w:hAnsiTheme="majorBidi" w:cstheme="majorBidi"/>
        </w:rPr>
        <w:t>.</w:t>
      </w:r>
      <w:r w:rsidR="005C32E0">
        <w:rPr>
          <w:rFonts w:asciiTheme="majorBidi" w:hAnsiTheme="majorBidi" w:cstheme="majorBidi"/>
        </w:rPr>
        <w:t xml:space="preserve"> </w:t>
      </w:r>
      <w:r w:rsidR="007E4CF8">
        <w:rPr>
          <w:rFonts w:asciiTheme="majorBidi" w:hAnsiTheme="majorBidi" w:cstheme="majorBidi"/>
        </w:rPr>
        <w:t xml:space="preserve">Turklāt apelācijas instances tiesa norādījusi, ka no </w:t>
      </w:r>
      <w:r w:rsidR="007E4CF8">
        <w:t>ekspertu atzinuma redzams, ka maiss un drošības uzlīmes nav bojātas, kas dod pamatu izdarīt secinājumu, ka pēc kratīšanas izdarīšanas maiss nav atvērts</w:t>
      </w:r>
      <w:proofErr w:type="gramStart"/>
      <w:r w:rsidR="007E4CF8">
        <w:t xml:space="preserve"> un</w:t>
      </w:r>
      <w:proofErr w:type="gramEnd"/>
      <w:r w:rsidR="007E4CF8">
        <w:t xml:space="preserve"> tajā </w:t>
      </w:r>
      <w:r w:rsidR="00274546">
        <w:t>papildus netika</w:t>
      </w:r>
      <w:r w:rsidR="007E4CF8">
        <w:t xml:space="preserve"> pievienotas patronas vai citi priekšmeti.</w:t>
      </w:r>
    </w:p>
    <w:p w14:paraId="6FE80B39" w14:textId="3C678F27" w:rsidR="005C32E0" w:rsidRDefault="005C32E0" w:rsidP="005C32E0">
      <w:pPr>
        <w:spacing w:line="276" w:lineRule="auto"/>
        <w:ind w:firstLine="720"/>
        <w:jc w:val="both"/>
        <w:rPr>
          <w:rFonts w:asciiTheme="majorBidi" w:hAnsiTheme="majorBidi" w:cstheme="majorBidi"/>
        </w:rPr>
      </w:pPr>
      <w:r>
        <w:rPr>
          <w:rFonts w:asciiTheme="majorBidi" w:hAnsiTheme="majorBidi" w:cstheme="majorBidi"/>
        </w:rPr>
        <w:t xml:space="preserve">Senāts konstatē, ka apelācijas instances tiesa lēmumā vērtējusi liecinieces </w:t>
      </w:r>
      <w:r w:rsidR="007E6D1E">
        <w:rPr>
          <w:rFonts w:asciiTheme="majorBidi" w:hAnsiTheme="majorBidi" w:cstheme="majorBidi"/>
        </w:rPr>
        <w:t>[pers. F]</w:t>
      </w:r>
      <w:r>
        <w:rPr>
          <w:rFonts w:asciiTheme="majorBidi" w:hAnsiTheme="majorBidi" w:cstheme="majorBidi"/>
        </w:rPr>
        <w:t xml:space="preserve"> liecības par šaujamieroča un munīcijas atrašanu kratīšanas laikā un atrasto priekšmetu nosūtīšanu ekspertīzei, </w:t>
      </w:r>
      <w:r w:rsidRPr="00564F1B">
        <w:rPr>
          <w:rFonts w:asciiTheme="majorBidi" w:hAnsiTheme="majorBidi" w:cstheme="majorBidi"/>
        </w:rPr>
        <w:t>lēmumā</w:t>
      </w:r>
      <w:r>
        <w:rPr>
          <w:rFonts w:asciiTheme="majorBidi" w:hAnsiTheme="majorBidi" w:cstheme="majorBidi"/>
        </w:rPr>
        <w:t xml:space="preserve"> </w:t>
      </w:r>
      <w:r w:rsidRPr="00564F1B">
        <w:rPr>
          <w:rFonts w:asciiTheme="majorBidi" w:hAnsiTheme="majorBidi" w:cstheme="majorBidi"/>
        </w:rPr>
        <w:t xml:space="preserve">par ballistiskās ekspertīzes </w:t>
      </w:r>
      <w:r w:rsidR="00F7364E">
        <w:rPr>
          <w:rFonts w:asciiTheme="majorBidi" w:hAnsiTheme="majorBidi" w:cstheme="majorBidi"/>
        </w:rPr>
        <w:t>noteikšanu</w:t>
      </w:r>
      <w:r>
        <w:rPr>
          <w:rFonts w:asciiTheme="majorBidi" w:hAnsiTheme="majorBidi" w:cstheme="majorBidi"/>
        </w:rPr>
        <w:t xml:space="preserve"> un</w:t>
      </w:r>
      <w:r w:rsidRPr="00564F1B">
        <w:rPr>
          <w:rFonts w:asciiTheme="majorBidi" w:hAnsiTheme="majorBidi" w:cstheme="majorBidi"/>
        </w:rPr>
        <w:t xml:space="preserve"> kompleksās ballistiskās un ķīmiskās</w:t>
      </w:r>
      <w:r>
        <w:rPr>
          <w:rFonts w:asciiTheme="majorBidi" w:hAnsiTheme="majorBidi" w:cstheme="majorBidi"/>
        </w:rPr>
        <w:t xml:space="preserve"> </w:t>
      </w:r>
      <w:r w:rsidRPr="00564F1B">
        <w:rPr>
          <w:rFonts w:asciiTheme="majorBidi" w:hAnsiTheme="majorBidi" w:cstheme="majorBidi"/>
        </w:rPr>
        <w:t xml:space="preserve">ekspertīzes </w:t>
      </w:r>
      <w:r w:rsidR="00F7364E">
        <w:rPr>
          <w:rFonts w:asciiTheme="majorBidi" w:hAnsiTheme="majorBidi" w:cstheme="majorBidi"/>
        </w:rPr>
        <w:t>ekspert</w:t>
      </w:r>
      <w:r w:rsidR="00274546">
        <w:rPr>
          <w:rFonts w:asciiTheme="majorBidi" w:hAnsiTheme="majorBidi" w:cstheme="majorBidi"/>
        </w:rPr>
        <w:t>u</w:t>
      </w:r>
      <w:r w:rsidR="00F7364E">
        <w:rPr>
          <w:rFonts w:asciiTheme="majorBidi" w:hAnsiTheme="majorBidi" w:cstheme="majorBidi"/>
        </w:rPr>
        <w:t xml:space="preserve"> </w:t>
      </w:r>
      <w:r w:rsidR="00D45B2F">
        <w:rPr>
          <w:rFonts w:asciiTheme="majorBidi" w:hAnsiTheme="majorBidi" w:cstheme="majorBidi"/>
        </w:rPr>
        <w:t xml:space="preserve">atzinumā </w:t>
      </w:r>
      <w:r>
        <w:rPr>
          <w:rFonts w:asciiTheme="majorBidi" w:hAnsiTheme="majorBidi" w:cstheme="majorBidi"/>
        </w:rPr>
        <w:t>norādīt</w:t>
      </w:r>
      <w:r w:rsidR="00F7364E">
        <w:rPr>
          <w:rFonts w:asciiTheme="majorBidi" w:hAnsiTheme="majorBidi" w:cstheme="majorBidi"/>
        </w:rPr>
        <w:t>ās ziņas par</w:t>
      </w:r>
      <w:r>
        <w:rPr>
          <w:rFonts w:asciiTheme="majorBidi" w:hAnsiTheme="majorBidi" w:cstheme="majorBidi"/>
        </w:rPr>
        <w:t xml:space="preserve"> </w:t>
      </w:r>
      <w:r w:rsidR="00600CF6">
        <w:rPr>
          <w:rFonts w:asciiTheme="majorBidi" w:hAnsiTheme="majorBidi" w:cstheme="majorBidi"/>
        </w:rPr>
        <w:t>fakt</w:t>
      </w:r>
      <w:r w:rsidR="00F7364E">
        <w:rPr>
          <w:rFonts w:asciiTheme="majorBidi" w:hAnsiTheme="majorBidi" w:cstheme="majorBidi"/>
        </w:rPr>
        <w:t>iem</w:t>
      </w:r>
      <w:r>
        <w:rPr>
          <w:rFonts w:asciiTheme="majorBidi" w:hAnsiTheme="majorBidi" w:cstheme="majorBidi"/>
        </w:rPr>
        <w:t xml:space="preserve">, kā arī </w:t>
      </w:r>
      <w:r w:rsidRPr="00564F1B">
        <w:rPr>
          <w:rFonts w:asciiTheme="majorBidi" w:hAnsiTheme="majorBidi" w:cstheme="majorBidi"/>
        </w:rPr>
        <w:t>apsūdzēt</w:t>
      </w:r>
      <w:r>
        <w:rPr>
          <w:rFonts w:asciiTheme="majorBidi" w:hAnsiTheme="majorBidi" w:cstheme="majorBidi"/>
        </w:rPr>
        <w:t>ā</w:t>
      </w:r>
      <w:r w:rsidRPr="00564F1B">
        <w:rPr>
          <w:rFonts w:asciiTheme="majorBidi" w:hAnsiTheme="majorBidi" w:cstheme="majorBidi"/>
        </w:rPr>
        <w:t xml:space="preserve"> </w:t>
      </w:r>
      <w:r w:rsidR="007E6D1E">
        <w:rPr>
          <w:rFonts w:asciiTheme="majorBidi" w:hAnsiTheme="majorBidi" w:cstheme="majorBidi"/>
        </w:rPr>
        <w:t>[pers. A]</w:t>
      </w:r>
      <w:r>
        <w:rPr>
          <w:rFonts w:asciiTheme="majorBidi" w:hAnsiTheme="majorBidi" w:cstheme="majorBidi"/>
        </w:rPr>
        <w:t xml:space="preserve"> un liecinieku </w:t>
      </w:r>
      <w:r w:rsidR="007E6D1E">
        <w:rPr>
          <w:rFonts w:asciiTheme="majorBidi" w:hAnsiTheme="majorBidi" w:cstheme="majorBidi"/>
        </w:rPr>
        <w:t>[pers. G]</w:t>
      </w:r>
      <w:r w:rsidRPr="00564F1B">
        <w:rPr>
          <w:rFonts w:asciiTheme="majorBidi" w:hAnsiTheme="majorBidi" w:cstheme="majorBidi"/>
        </w:rPr>
        <w:t xml:space="preserve"> </w:t>
      </w:r>
      <w:r w:rsidR="00A7527E">
        <w:rPr>
          <w:rFonts w:asciiTheme="majorBidi" w:hAnsiTheme="majorBidi" w:cstheme="majorBidi"/>
        </w:rPr>
        <w:t>(</w:t>
      </w:r>
      <w:r w:rsidR="007E6D1E">
        <w:rPr>
          <w:rFonts w:asciiTheme="majorBidi" w:hAnsiTheme="majorBidi" w:cstheme="majorBidi"/>
          <w:i/>
          <w:iCs/>
        </w:rPr>
        <w:t>[pers. G]</w:t>
      </w:r>
      <w:r w:rsidR="00A7527E">
        <w:rPr>
          <w:rFonts w:asciiTheme="majorBidi" w:hAnsiTheme="majorBidi" w:cstheme="majorBidi"/>
        </w:rPr>
        <w:t xml:space="preserve">) </w:t>
      </w:r>
      <w:r w:rsidRPr="00564F1B">
        <w:rPr>
          <w:rFonts w:asciiTheme="majorBidi" w:hAnsiTheme="majorBidi" w:cstheme="majorBidi"/>
        </w:rPr>
        <w:t xml:space="preserve">un </w:t>
      </w:r>
      <w:r w:rsidR="007E6D1E">
        <w:rPr>
          <w:rFonts w:asciiTheme="majorBidi" w:hAnsiTheme="majorBidi" w:cstheme="majorBidi"/>
        </w:rPr>
        <w:t>[pers. </w:t>
      </w:r>
      <w:r w:rsidR="007E6D1E">
        <w:t>H]</w:t>
      </w:r>
      <w:r>
        <w:rPr>
          <w:rFonts w:asciiTheme="majorBidi" w:hAnsiTheme="majorBidi" w:cstheme="majorBidi"/>
        </w:rPr>
        <w:t xml:space="preserve"> </w:t>
      </w:r>
      <w:r w:rsidR="00A7527E">
        <w:rPr>
          <w:rFonts w:asciiTheme="majorBidi" w:hAnsiTheme="majorBidi" w:cstheme="majorBidi"/>
        </w:rPr>
        <w:t>(</w:t>
      </w:r>
      <w:r w:rsidR="007E6D1E">
        <w:rPr>
          <w:rFonts w:asciiTheme="majorBidi" w:hAnsiTheme="majorBidi" w:cstheme="majorBidi"/>
          <w:i/>
          <w:iCs/>
        </w:rPr>
        <w:t>[pers. H]</w:t>
      </w:r>
      <w:r w:rsidR="00A7527E">
        <w:rPr>
          <w:rFonts w:asciiTheme="majorBidi" w:hAnsiTheme="majorBidi" w:cstheme="majorBidi"/>
        </w:rPr>
        <w:t xml:space="preserve">) </w:t>
      </w:r>
      <w:r>
        <w:rPr>
          <w:rFonts w:asciiTheme="majorBidi" w:hAnsiTheme="majorBidi" w:cstheme="majorBidi"/>
        </w:rPr>
        <w:t xml:space="preserve">liecībās norādītos apstākļus par </w:t>
      </w:r>
      <w:r w:rsidRPr="00564F1B">
        <w:rPr>
          <w:rFonts w:asciiTheme="majorBidi" w:hAnsiTheme="majorBidi" w:cstheme="majorBidi"/>
        </w:rPr>
        <w:t>šaujamieroča munīcija</w:t>
      </w:r>
      <w:r>
        <w:rPr>
          <w:rFonts w:asciiTheme="majorBidi" w:hAnsiTheme="majorBidi" w:cstheme="majorBidi"/>
        </w:rPr>
        <w:t>s</w:t>
      </w:r>
      <w:r w:rsidRPr="00564F1B">
        <w:rPr>
          <w:rFonts w:asciiTheme="majorBidi" w:hAnsiTheme="majorBidi" w:cstheme="majorBidi"/>
        </w:rPr>
        <w:t xml:space="preserve"> </w:t>
      </w:r>
      <w:r>
        <w:rPr>
          <w:rFonts w:asciiTheme="majorBidi" w:hAnsiTheme="majorBidi" w:cstheme="majorBidi"/>
        </w:rPr>
        <w:t>glabāšanu</w:t>
      </w:r>
      <w:r w:rsidRPr="00564F1B">
        <w:rPr>
          <w:rFonts w:asciiTheme="majorBidi" w:hAnsiTheme="majorBidi" w:cstheme="majorBidi"/>
        </w:rPr>
        <w:t xml:space="preserve"> apsūdzētā dzīvesvietā</w:t>
      </w:r>
      <w:r>
        <w:rPr>
          <w:rFonts w:asciiTheme="majorBidi" w:hAnsiTheme="majorBidi" w:cstheme="majorBidi"/>
        </w:rPr>
        <w:t xml:space="preserve">. </w:t>
      </w:r>
      <w:r w:rsidR="00274546">
        <w:rPr>
          <w:rFonts w:asciiTheme="majorBidi" w:hAnsiTheme="majorBidi" w:cstheme="majorBidi"/>
        </w:rPr>
        <w:t>Abu instanču</w:t>
      </w:r>
      <w:r>
        <w:rPr>
          <w:rFonts w:asciiTheme="majorBidi" w:hAnsiTheme="majorBidi" w:cstheme="majorBidi"/>
        </w:rPr>
        <w:t xml:space="preserve"> tiesa</w:t>
      </w:r>
      <w:r w:rsidR="008E476C">
        <w:rPr>
          <w:rFonts w:asciiTheme="majorBidi" w:hAnsiTheme="majorBidi" w:cstheme="majorBidi"/>
        </w:rPr>
        <w:t>s</w:t>
      </w:r>
      <w:r>
        <w:rPr>
          <w:rFonts w:asciiTheme="majorBidi" w:hAnsiTheme="majorBidi" w:cstheme="majorBidi"/>
        </w:rPr>
        <w:t xml:space="preserve"> ir konstatējušas kratīšanā pieļauto procesuālo </w:t>
      </w:r>
      <w:r w:rsidR="00F7364E">
        <w:rPr>
          <w:rFonts w:asciiTheme="majorBidi" w:hAnsiTheme="majorBidi" w:cstheme="majorBidi"/>
        </w:rPr>
        <w:t xml:space="preserve">pārkāpumu </w:t>
      </w:r>
      <w:r>
        <w:rPr>
          <w:rFonts w:asciiTheme="majorBidi" w:hAnsiTheme="majorBidi" w:cstheme="majorBidi"/>
        </w:rPr>
        <w:t xml:space="preserve">un atzinušas to par nebūtisku, kā arī konstatējušas, ka munīcijas atrašanas fakta </w:t>
      </w:r>
      <w:r w:rsidRPr="00A729A3">
        <w:rPr>
          <w:rFonts w:asciiTheme="majorBidi" w:hAnsiTheme="majorBidi" w:cstheme="majorBidi"/>
        </w:rPr>
        <w:t>ticamību apstiprina pārējās procesā iegūtās ziņas</w:t>
      </w:r>
      <w:r>
        <w:rPr>
          <w:rFonts w:asciiTheme="majorBidi" w:hAnsiTheme="majorBidi" w:cstheme="majorBidi"/>
        </w:rPr>
        <w:t>.</w:t>
      </w:r>
    </w:p>
    <w:p w14:paraId="340386EA" w14:textId="77777777" w:rsidR="005C32E0" w:rsidRDefault="005C32E0" w:rsidP="005C32E0">
      <w:pPr>
        <w:spacing w:line="276" w:lineRule="auto"/>
        <w:ind w:firstLine="720"/>
        <w:jc w:val="both"/>
        <w:rPr>
          <w:rFonts w:asciiTheme="majorBidi" w:hAnsiTheme="majorBidi" w:cstheme="majorBidi"/>
        </w:rPr>
      </w:pPr>
      <w:r w:rsidRPr="00A729A3">
        <w:rPr>
          <w:rFonts w:asciiTheme="majorBidi" w:hAnsiTheme="majorBidi" w:cstheme="majorBidi"/>
        </w:rPr>
        <w:t>Senātam nav pamata apšaubīt apelācijas instances tiesas atzinumus šajā daļā.</w:t>
      </w:r>
    </w:p>
    <w:p w14:paraId="065B8691" w14:textId="77777777" w:rsidR="005C32E0" w:rsidRDefault="005C32E0" w:rsidP="005C32E0">
      <w:pPr>
        <w:spacing w:line="276" w:lineRule="auto"/>
        <w:ind w:firstLine="720"/>
        <w:jc w:val="both"/>
        <w:rPr>
          <w:rFonts w:asciiTheme="majorBidi" w:hAnsiTheme="majorBidi" w:cstheme="majorBidi"/>
        </w:rPr>
      </w:pPr>
    </w:p>
    <w:p w14:paraId="00462E10" w14:textId="201D5195" w:rsidR="005C32E0" w:rsidRDefault="005C32E0" w:rsidP="005C32E0">
      <w:pPr>
        <w:spacing w:line="276" w:lineRule="auto"/>
        <w:ind w:firstLine="720"/>
        <w:jc w:val="both"/>
        <w:rPr>
          <w:rFonts w:asciiTheme="majorBidi" w:hAnsiTheme="majorBidi" w:cstheme="majorBidi"/>
        </w:rPr>
      </w:pPr>
      <w:r>
        <w:rPr>
          <w:rFonts w:asciiTheme="majorBidi" w:hAnsiTheme="majorBidi" w:cstheme="majorBidi"/>
        </w:rPr>
        <w:t>[</w:t>
      </w:r>
      <w:r w:rsidR="001E5A11">
        <w:rPr>
          <w:rFonts w:asciiTheme="majorBidi" w:hAnsiTheme="majorBidi" w:cstheme="majorBidi"/>
        </w:rPr>
        <w:t>6</w:t>
      </w:r>
      <w:r>
        <w:rPr>
          <w:rFonts w:asciiTheme="majorBidi" w:hAnsiTheme="majorBidi" w:cstheme="majorBidi"/>
        </w:rPr>
        <w:t>]</w:t>
      </w:r>
      <w:r w:rsidRPr="00564F1B">
        <w:rPr>
          <w:rFonts w:asciiTheme="majorBidi" w:hAnsiTheme="majorBidi" w:cstheme="majorBidi"/>
        </w:rPr>
        <w:t xml:space="preserve"> Ievērojot minēto, Senāts atzīst, ka apsūdzētā </w:t>
      </w:r>
      <w:r w:rsidR="007E6D1E">
        <w:rPr>
          <w:rFonts w:asciiTheme="majorBidi" w:hAnsiTheme="majorBidi" w:cstheme="majorBidi"/>
        </w:rPr>
        <w:t>[pers. A]</w:t>
      </w:r>
      <w:r w:rsidRPr="00564F1B">
        <w:rPr>
          <w:rFonts w:asciiTheme="majorBidi" w:hAnsiTheme="majorBidi" w:cstheme="majorBidi"/>
        </w:rPr>
        <w:t xml:space="preserve"> kasācijas sūdzībā norādītie motīvi apelācijas instances tiesas nolēmuma atcelšanai nav guvuši apstiprinājumu. Iztiesājot lietu, apelācijas instances tiesa nav pieļāvusi Krimināllikuma pārkāpumus vai Kriminālprocesa likuma būtiskus pārkāpumus, kas būtu par pamatu apelācijas instances tiesas nolēmuma atcelšanai vai grozīšanai, tādēļ apelācijas instances tiesas nolēmums</w:t>
      </w:r>
      <w:r>
        <w:rPr>
          <w:rFonts w:asciiTheme="majorBidi" w:hAnsiTheme="majorBidi" w:cstheme="majorBidi"/>
        </w:rPr>
        <w:t xml:space="preserve"> </w:t>
      </w:r>
      <w:r w:rsidRPr="00564F1B">
        <w:rPr>
          <w:rFonts w:asciiTheme="majorBidi" w:hAnsiTheme="majorBidi" w:cstheme="majorBidi"/>
        </w:rPr>
        <w:t>atstājams negrozīts.</w:t>
      </w:r>
    </w:p>
    <w:p w14:paraId="1F61D6EF" w14:textId="77777777" w:rsidR="005C32E0" w:rsidRPr="00681354" w:rsidRDefault="005C32E0" w:rsidP="005C32E0">
      <w:pPr>
        <w:spacing w:line="276" w:lineRule="auto"/>
        <w:ind w:firstLine="720"/>
        <w:jc w:val="both"/>
        <w:rPr>
          <w:rFonts w:asciiTheme="majorBidi" w:hAnsiTheme="majorBidi" w:cstheme="majorBidi"/>
        </w:rPr>
      </w:pPr>
    </w:p>
    <w:p w14:paraId="077F4E5E" w14:textId="77777777" w:rsidR="005C32E0" w:rsidRPr="00CC769C" w:rsidRDefault="005C32E0" w:rsidP="00035EC4">
      <w:pPr>
        <w:spacing w:line="276" w:lineRule="auto"/>
        <w:jc w:val="center"/>
        <w:rPr>
          <w:rFonts w:asciiTheme="majorBidi" w:hAnsiTheme="majorBidi" w:cstheme="majorBidi"/>
        </w:rPr>
      </w:pPr>
      <w:r w:rsidRPr="00CC769C">
        <w:rPr>
          <w:rFonts w:asciiTheme="majorBidi" w:hAnsiTheme="majorBidi" w:cstheme="majorBidi"/>
          <w:b/>
        </w:rPr>
        <w:t>Rezolutīvā daļa</w:t>
      </w:r>
    </w:p>
    <w:p w14:paraId="39EE2F36" w14:textId="77777777" w:rsidR="005C32E0" w:rsidRPr="00CC769C" w:rsidRDefault="005C32E0" w:rsidP="005C32E0">
      <w:pPr>
        <w:pStyle w:val="tv213"/>
        <w:spacing w:before="0" w:beforeAutospacing="0" w:after="0" w:afterAutospacing="0" w:line="276" w:lineRule="auto"/>
        <w:ind w:firstLine="720"/>
        <w:jc w:val="both"/>
        <w:rPr>
          <w:rFonts w:asciiTheme="majorBidi" w:hAnsiTheme="majorBidi" w:cstheme="majorBidi"/>
        </w:rPr>
      </w:pPr>
    </w:p>
    <w:p w14:paraId="0195F3E7" w14:textId="77777777" w:rsidR="005C32E0" w:rsidRPr="00CC769C" w:rsidRDefault="005C32E0" w:rsidP="005C32E0">
      <w:pPr>
        <w:pStyle w:val="tv213"/>
        <w:spacing w:before="0" w:beforeAutospacing="0" w:after="0" w:afterAutospacing="0" w:line="276" w:lineRule="auto"/>
        <w:ind w:firstLine="720"/>
        <w:jc w:val="both"/>
        <w:rPr>
          <w:rFonts w:asciiTheme="majorBidi" w:hAnsiTheme="majorBidi" w:cstheme="majorBidi"/>
        </w:rPr>
      </w:pPr>
      <w:bookmarkStart w:id="2" w:name="Dropdown14"/>
      <w:r w:rsidRPr="00CC769C">
        <w:rPr>
          <w:rFonts w:asciiTheme="majorBidi" w:hAnsiTheme="majorBidi" w:cstheme="majorBidi"/>
        </w:rPr>
        <w:t xml:space="preserve">Pamatojoties uz Kriminālprocesa likuma 585. un </w:t>
      </w:r>
      <w:proofErr w:type="gramStart"/>
      <w:r w:rsidRPr="00CC769C">
        <w:rPr>
          <w:rFonts w:asciiTheme="majorBidi" w:hAnsiTheme="majorBidi" w:cstheme="majorBidi"/>
        </w:rPr>
        <w:t>587.pant</w:t>
      </w:r>
      <w:r>
        <w:rPr>
          <w:rFonts w:asciiTheme="majorBidi" w:hAnsiTheme="majorBidi" w:cstheme="majorBidi"/>
        </w:rPr>
        <w:t>a</w:t>
      </w:r>
      <w:proofErr w:type="gramEnd"/>
      <w:r>
        <w:rPr>
          <w:rFonts w:asciiTheme="majorBidi" w:hAnsiTheme="majorBidi" w:cstheme="majorBidi"/>
        </w:rPr>
        <w:t xml:space="preserve"> pirmās daļas 1.punktu</w:t>
      </w:r>
      <w:r w:rsidRPr="00CC769C">
        <w:rPr>
          <w:rFonts w:asciiTheme="majorBidi" w:hAnsiTheme="majorBidi" w:cstheme="majorBidi"/>
        </w:rPr>
        <w:t>, tiesa</w:t>
      </w:r>
    </w:p>
    <w:p w14:paraId="70BA8AC1" w14:textId="77777777" w:rsidR="005C32E0" w:rsidRPr="00CC769C" w:rsidRDefault="005C32E0" w:rsidP="005C32E0">
      <w:pPr>
        <w:spacing w:line="276" w:lineRule="auto"/>
        <w:ind w:firstLine="720"/>
        <w:jc w:val="both"/>
        <w:rPr>
          <w:rFonts w:asciiTheme="majorBidi" w:hAnsiTheme="majorBidi" w:cstheme="majorBidi"/>
        </w:rPr>
      </w:pPr>
    </w:p>
    <w:bookmarkEnd w:id="2"/>
    <w:p w14:paraId="3F6A03E7" w14:textId="77777777" w:rsidR="005C32E0" w:rsidRPr="00CC769C" w:rsidRDefault="005C32E0" w:rsidP="00035EC4">
      <w:pPr>
        <w:pStyle w:val="tv213"/>
        <w:spacing w:before="0" w:beforeAutospacing="0" w:after="0" w:afterAutospacing="0" w:line="276" w:lineRule="auto"/>
        <w:jc w:val="center"/>
        <w:rPr>
          <w:rFonts w:asciiTheme="majorBidi" w:hAnsiTheme="majorBidi" w:cstheme="majorBidi"/>
          <w:b/>
        </w:rPr>
      </w:pPr>
      <w:r w:rsidRPr="00CC769C">
        <w:rPr>
          <w:rFonts w:asciiTheme="majorBidi" w:hAnsiTheme="majorBidi" w:cstheme="majorBidi"/>
          <w:b/>
        </w:rPr>
        <w:t>nolēma:</w:t>
      </w:r>
    </w:p>
    <w:p w14:paraId="6124889C" w14:textId="77777777" w:rsidR="005C32E0" w:rsidRDefault="005C32E0" w:rsidP="005C32E0">
      <w:pPr>
        <w:pStyle w:val="tv213"/>
        <w:spacing w:before="0" w:beforeAutospacing="0" w:after="0" w:afterAutospacing="0" w:line="276" w:lineRule="auto"/>
        <w:ind w:firstLine="720"/>
        <w:jc w:val="center"/>
        <w:rPr>
          <w:rFonts w:asciiTheme="majorBidi" w:hAnsiTheme="majorBidi" w:cstheme="majorBidi"/>
          <w:b/>
        </w:rPr>
      </w:pPr>
    </w:p>
    <w:p w14:paraId="5199C4C1" w14:textId="1480CE64" w:rsidR="005C32E0" w:rsidRDefault="005C32E0" w:rsidP="005C32E0">
      <w:pPr>
        <w:pStyle w:val="tv213"/>
        <w:spacing w:before="0" w:beforeAutospacing="0" w:after="0" w:afterAutospacing="0" w:line="276" w:lineRule="auto"/>
        <w:ind w:firstLine="720"/>
        <w:jc w:val="both"/>
        <w:rPr>
          <w:rFonts w:asciiTheme="majorBidi" w:hAnsiTheme="majorBidi" w:cstheme="majorBidi"/>
          <w:bCs/>
        </w:rPr>
      </w:pPr>
      <w:r>
        <w:rPr>
          <w:rFonts w:asciiTheme="majorBidi" w:hAnsiTheme="majorBidi" w:cstheme="majorBidi"/>
          <w:bCs/>
        </w:rPr>
        <w:t xml:space="preserve">atstāt negrozītu </w:t>
      </w:r>
      <w:r w:rsidRPr="00676D8A">
        <w:rPr>
          <w:rFonts w:asciiTheme="majorBidi" w:hAnsiTheme="majorBidi" w:cstheme="majorBidi"/>
          <w:bCs/>
        </w:rPr>
        <w:t xml:space="preserve">Zemgales apgabaltiesas </w:t>
      </w:r>
      <w:proofErr w:type="gramStart"/>
      <w:r w:rsidRPr="00676D8A">
        <w:rPr>
          <w:rFonts w:asciiTheme="majorBidi" w:hAnsiTheme="majorBidi" w:cstheme="majorBidi"/>
          <w:bCs/>
        </w:rPr>
        <w:t>2021.gada</w:t>
      </w:r>
      <w:proofErr w:type="gramEnd"/>
      <w:r w:rsidRPr="00676D8A">
        <w:rPr>
          <w:rFonts w:asciiTheme="majorBidi" w:hAnsiTheme="majorBidi" w:cstheme="majorBidi"/>
          <w:bCs/>
        </w:rPr>
        <w:t xml:space="preserve"> 20.septembra lēmum</w:t>
      </w:r>
      <w:r>
        <w:rPr>
          <w:rFonts w:asciiTheme="majorBidi" w:hAnsiTheme="majorBidi" w:cstheme="majorBidi"/>
          <w:bCs/>
        </w:rPr>
        <w:t>u</w:t>
      </w:r>
      <w:r w:rsidR="00C46AAE">
        <w:rPr>
          <w:rFonts w:asciiTheme="majorBidi" w:hAnsiTheme="majorBidi" w:cstheme="majorBidi"/>
          <w:bCs/>
        </w:rPr>
        <w:t>,</w:t>
      </w:r>
      <w:r w:rsidR="00C46AAE" w:rsidRPr="00C46AAE">
        <w:t xml:space="preserve"> </w:t>
      </w:r>
      <w:r w:rsidR="00C46AAE">
        <w:t xml:space="preserve">bet apsūdzētā </w:t>
      </w:r>
      <w:r w:rsidR="007E6D1E">
        <w:t>[pers. A]</w:t>
      </w:r>
      <w:r w:rsidR="00C46AAE">
        <w:t xml:space="preserve"> (</w:t>
      </w:r>
      <w:r w:rsidR="007E6D1E">
        <w:rPr>
          <w:i/>
          <w:iCs/>
        </w:rPr>
        <w:t>pers. A</w:t>
      </w:r>
      <w:r w:rsidR="00C46AAE">
        <w:t>) kasācijas sūdzīb</w:t>
      </w:r>
      <w:r w:rsidR="00274546">
        <w:t>u</w:t>
      </w:r>
      <w:r w:rsidR="00C46AAE">
        <w:t xml:space="preserve"> noraidīt. </w:t>
      </w:r>
      <w:smartTag w:uri="schemas-tilde-lv/tildestengine" w:element="veidnes">
        <w:smartTagPr>
          <w:attr w:name="text" w:val="lēmums"/>
          <w:attr w:name="baseform" w:val="lēmums"/>
          <w:attr w:name="id" w:val="-1"/>
        </w:smartTagPr>
      </w:smartTag>
    </w:p>
    <w:p w14:paraId="131DF22A" w14:textId="568A5213" w:rsidR="005C32E0" w:rsidRDefault="005C32E0" w:rsidP="005C32E0">
      <w:pPr>
        <w:pStyle w:val="tv213"/>
        <w:spacing w:before="0" w:beforeAutospacing="0" w:after="0" w:afterAutospacing="0" w:line="276" w:lineRule="auto"/>
        <w:ind w:firstLine="720"/>
        <w:jc w:val="both"/>
        <w:rPr>
          <w:rFonts w:asciiTheme="majorBidi" w:hAnsiTheme="majorBidi" w:cstheme="majorBidi"/>
          <w:color w:val="000000"/>
        </w:rPr>
      </w:pPr>
      <w:r w:rsidRPr="00CC769C">
        <w:rPr>
          <w:rFonts w:asciiTheme="majorBidi" w:hAnsiTheme="majorBidi" w:cstheme="majorBidi"/>
          <w:color w:val="000000"/>
        </w:rPr>
        <w:t>Lēmums nav pārsūdzams.</w:t>
      </w:r>
    </w:p>
    <w:sectPr w:rsidR="005C32E0" w:rsidSect="00900488">
      <w:footerReference w:type="default" r:id="rId9"/>
      <w:pgSz w:w="11906" w:h="16838"/>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8034" w14:textId="77777777" w:rsidR="00637F5E" w:rsidRDefault="00637F5E">
      <w:r>
        <w:separator/>
      </w:r>
    </w:p>
  </w:endnote>
  <w:endnote w:type="continuationSeparator" w:id="0">
    <w:p w14:paraId="0D0A8E75" w14:textId="77777777" w:rsidR="00637F5E" w:rsidRDefault="0063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25EC759F" w14:textId="77777777" w:rsidR="00A87FD3" w:rsidRDefault="00E52432">
            <w:pPr>
              <w:pStyle w:val="Footer"/>
              <w:jc w:val="center"/>
            </w:pPr>
            <w:r w:rsidRPr="00A87FD3">
              <w:t xml:space="preserve"> </w:t>
            </w:r>
            <w:r w:rsidRPr="00A87FD3">
              <w:rPr>
                <w:bCs/>
              </w:rPr>
              <w:fldChar w:fldCharType="begin"/>
            </w:r>
            <w:r w:rsidRPr="00A87FD3">
              <w:rPr>
                <w:bCs/>
              </w:rPr>
              <w:instrText xml:space="preserve"> PAGE </w:instrText>
            </w:r>
            <w:r w:rsidRPr="00A87FD3">
              <w:rPr>
                <w:bCs/>
              </w:rPr>
              <w:fldChar w:fldCharType="separate"/>
            </w:r>
            <w:r w:rsidRPr="00A87FD3">
              <w:rPr>
                <w:bCs/>
                <w:noProof/>
              </w:rPr>
              <w:t>2</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Pr="00A87FD3">
              <w:rPr>
                <w:bCs/>
                <w:noProof/>
              </w:rPr>
              <w:t>2</w:t>
            </w:r>
            <w:r w:rsidRPr="00A87FD3">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745E" w14:textId="77777777" w:rsidR="00637F5E" w:rsidRDefault="00637F5E">
      <w:r>
        <w:separator/>
      </w:r>
    </w:p>
  </w:footnote>
  <w:footnote w:type="continuationSeparator" w:id="0">
    <w:p w14:paraId="14A4FBAD" w14:textId="77777777" w:rsidR="00637F5E" w:rsidRDefault="0063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CC65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642545"/>
    <w:multiLevelType w:val="hybridMultilevel"/>
    <w:tmpl w:val="01F4698A"/>
    <w:lvl w:ilvl="0" w:tplc="05FE4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AF45BC3"/>
    <w:multiLevelType w:val="hybridMultilevel"/>
    <w:tmpl w:val="252EA8F2"/>
    <w:lvl w:ilvl="0" w:tplc="DCCE8668">
      <w:start w:val="1"/>
      <w:numFmt w:val="bullet"/>
      <w:lvlText w:val=""/>
      <w:lvlJc w:val="left"/>
      <w:pPr>
        <w:ind w:left="360" w:hanging="360"/>
      </w:pPr>
      <w:rPr>
        <w:rFonts w:ascii="Symbol" w:hAnsi="Symbol" w:hint="default"/>
      </w:rPr>
    </w:lvl>
    <w:lvl w:ilvl="1" w:tplc="B2841626" w:tentative="1">
      <w:start w:val="1"/>
      <w:numFmt w:val="bullet"/>
      <w:lvlText w:val="o"/>
      <w:lvlJc w:val="left"/>
      <w:pPr>
        <w:ind w:left="1080" w:hanging="360"/>
      </w:pPr>
      <w:rPr>
        <w:rFonts w:ascii="Courier New" w:hAnsi="Courier New" w:cs="Courier New" w:hint="default"/>
      </w:rPr>
    </w:lvl>
    <w:lvl w:ilvl="2" w:tplc="2AA8C8D2" w:tentative="1">
      <w:start w:val="1"/>
      <w:numFmt w:val="bullet"/>
      <w:lvlText w:val=""/>
      <w:lvlJc w:val="left"/>
      <w:pPr>
        <w:ind w:left="1800" w:hanging="360"/>
      </w:pPr>
      <w:rPr>
        <w:rFonts w:ascii="Wingdings" w:hAnsi="Wingdings" w:hint="default"/>
      </w:rPr>
    </w:lvl>
    <w:lvl w:ilvl="3" w:tplc="BA36246E" w:tentative="1">
      <w:start w:val="1"/>
      <w:numFmt w:val="bullet"/>
      <w:lvlText w:val=""/>
      <w:lvlJc w:val="left"/>
      <w:pPr>
        <w:ind w:left="2520" w:hanging="360"/>
      </w:pPr>
      <w:rPr>
        <w:rFonts w:ascii="Symbol" w:hAnsi="Symbol" w:hint="default"/>
      </w:rPr>
    </w:lvl>
    <w:lvl w:ilvl="4" w:tplc="14B240DC" w:tentative="1">
      <w:start w:val="1"/>
      <w:numFmt w:val="bullet"/>
      <w:lvlText w:val="o"/>
      <w:lvlJc w:val="left"/>
      <w:pPr>
        <w:ind w:left="3240" w:hanging="360"/>
      </w:pPr>
      <w:rPr>
        <w:rFonts w:ascii="Courier New" w:hAnsi="Courier New" w:cs="Courier New" w:hint="default"/>
      </w:rPr>
    </w:lvl>
    <w:lvl w:ilvl="5" w:tplc="9E941C0C" w:tentative="1">
      <w:start w:val="1"/>
      <w:numFmt w:val="bullet"/>
      <w:lvlText w:val=""/>
      <w:lvlJc w:val="left"/>
      <w:pPr>
        <w:ind w:left="3960" w:hanging="360"/>
      </w:pPr>
      <w:rPr>
        <w:rFonts w:ascii="Wingdings" w:hAnsi="Wingdings" w:hint="default"/>
      </w:rPr>
    </w:lvl>
    <w:lvl w:ilvl="6" w:tplc="3E0E0676" w:tentative="1">
      <w:start w:val="1"/>
      <w:numFmt w:val="bullet"/>
      <w:lvlText w:val=""/>
      <w:lvlJc w:val="left"/>
      <w:pPr>
        <w:ind w:left="4680" w:hanging="360"/>
      </w:pPr>
      <w:rPr>
        <w:rFonts w:ascii="Symbol" w:hAnsi="Symbol" w:hint="default"/>
      </w:rPr>
    </w:lvl>
    <w:lvl w:ilvl="7" w:tplc="46324752" w:tentative="1">
      <w:start w:val="1"/>
      <w:numFmt w:val="bullet"/>
      <w:lvlText w:val="o"/>
      <w:lvlJc w:val="left"/>
      <w:pPr>
        <w:ind w:left="5400" w:hanging="360"/>
      </w:pPr>
      <w:rPr>
        <w:rFonts w:ascii="Courier New" w:hAnsi="Courier New" w:cs="Courier New" w:hint="default"/>
      </w:rPr>
    </w:lvl>
    <w:lvl w:ilvl="8" w:tplc="6BB80380" w:tentative="1">
      <w:start w:val="1"/>
      <w:numFmt w:val="bullet"/>
      <w:lvlText w:val=""/>
      <w:lvlJc w:val="left"/>
      <w:pPr>
        <w:ind w:left="6120" w:hanging="360"/>
      </w:pPr>
      <w:rPr>
        <w:rFonts w:ascii="Wingdings" w:hAnsi="Wingdings" w:hint="default"/>
      </w:rPr>
    </w:lvl>
  </w:abstractNum>
  <w:num w:numId="1" w16cid:durableId="418020444">
    <w:abstractNumId w:val="2"/>
  </w:num>
  <w:num w:numId="2" w16cid:durableId="2031835557">
    <w:abstractNumId w:val="1"/>
  </w:num>
  <w:num w:numId="3" w16cid:durableId="101017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8B"/>
    <w:rsid w:val="00000C38"/>
    <w:rsid w:val="0000264E"/>
    <w:rsid w:val="000063EE"/>
    <w:rsid w:val="000109BF"/>
    <w:rsid w:val="000200F8"/>
    <w:rsid w:val="00032119"/>
    <w:rsid w:val="00032365"/>
    <w:rsid w:val="00034752"/>
    <w:rsid w:val="00034D20"/>
    <w:rsid w:val="00035EC4"/>
    <w:rsid w:val="000431EF"/>
    <w:rsid w:val="00044BF5"/>
    <w:rsid w:val="00045C5E"/>
    <w:rsid w:val="00047A08"/>
    <w:rsid w:val="00051DD6"/>
    <w:rsid w:val="00053113"/>
    <w:rsid w:val="000549DA"/>
    <w:rsid w:val="00055A0F"/>
    <w:rsid w:val="0005667F"/>
    <w:rsid w:val="00070063"/>
    <w:rsid w:val="000753AC"/>
    <w:rsid w:val="00076543"/>
    <w:rsid w:val="00080ABF"/>
    <w:rsid w:val="00084114"/>
    <w:rsid w:val="0009212E"/>
    <w:rsid w:val="00095CB5"/>
    <w:rsid w:val="0009696E"/>
    <w:rsid w:val="000A0A8A"/>
    <w:rsid w:val="000A36DE"/>
    <w:rsid w:val="000A7B11"/>
    <w:rsid w:val="000B0D55"/>
    <w:rsid w:val="000B6B59"/>
    <w:rsid w:val="000B75C2"/>
    <w:rsid w:val="000C1BDA"/>
    <w:rsid w:val="000C3360"/>
    <w:rsid w:val="000D346D"/>
    <w:rsid w:val="000E39CB"/>
    <w:rsid w:val="000E5915"/>
    <w:rsid w:val="000F7542"/>
    <w:rsid w:val="000F7B00"/>
    <w:rsid w:val="00103C8E"/>
    <w:rsid w:val="00104266"/>
    <w:rsid w:val="00104859"/>
    <w:rsid w:val="00104CBC"/>
    <w:rsid w:val="001103D8"/>
    <w:rsid w:val="001164C4"/>
    <w:rsid w:val="001179F4"/>
    <w:rsid w:val="00124690"/>
    <w:rsid w:val="00124F93"/>
    <w:rsid w:val="001263ED"/>
    <w:rsid w:val="00133C1B"/>
    <w:rsid w:val="00136906"/>
    <w:rsid w:val="00136A0F"/>
    <w:rsid w:val="0014075C"/>
    <w:rsid w:val="00151EC6"/>
    <w:rsid w:val="00152EBA"/>
    <w:rsid w:val="0015398A"/>
    <w:rsid w:val="0016053F"/>
    <w:rsid w:val="00165732"/>
    <w:rsid w:val="001763DB"/>
    <w:rsid w:val="0017678C"/>
    <w:rsid w:val="00180E3D"/>
    <w:rsid w:val="00182019"/>
    <w:rsid w:val="0018590E"/>
    <w:rsid w:val="00191BA3"/>
    <w:rsid w:val="00195FBD"/>
    <w:rsid w:val="001A1FF2"/>
    <w:rsid w:val="001A2ABD"/>
    <w:rsid w:val="001A2C80"/>
    <w:rsid w:val="001A3CD8"/>
    <w:rsid w:val="001A5245"/>
    <w:rsid w:val="001A6002"/>
    <w:rsid w:val="001B40B5"/>
    <w:rsid w:val="001B470E"/>
    <w:rsid w:val="001B5810"/>
    <w:rsid w:val="001B6FB7"/>
    <w:rsid w:val="001C3070"/>
    <w:rsid w:val="001C423F"/>
    <w:rsid w:val="001D481E"/>
    <w:rsid w:val="001D4889"/>
    <w:rsid w:val="001D5C87"/>
    <w:rsid w:val="001E06CF"/>
    <w:rsid w:val="001E0B7D"/>
    <w:rsid w:val="001E1C60"/>
    <w:rsid w:val="001E348D"/>
    <w:rsid w:val="001E599B"/>
    <w:rsid w:val="001E5A11"/>
    <w:rsid w:val="001F2C90"/>
    <w:rsid w:val="001F39CD"/>
    <w:rsid w:val="00201E32"/>
    <w:rsid w:val="00202ADC"/>
    <w:rsid w:val="002044E9"/>
    <w:rsid w:val="00204626"/>
    <w:rsid w:val="00205052"/>
    <w:rsid w:val="00205806"/>
    <w:rsid w:val="00207FB8"/>
    <w:rsid w:val="00210DD9"/>
    <w:rsid w:val="00211813"/>
    <w:rsid w:val="002150D5"/>
    <w:rsid w:val="00215999"/>
    <w:rsid w:val="00220424"/>
    <w:rsid w:val="0022270E"/>
    <w:rsid w:val="002318BF"/>
    <w:rsid w:val="0023676A"/>
    <w:rsid w:val="00237231"/>
    <w:rsid w:val="0023751B"/>
    <w:rsid w:val="00240657"/>
    <w:rsid w:val="00240CAB"/>
    <w:rsid w:val="00241AAC"/>
    <w:rsid w:val="00242B71"/>
    <w:rsid w:val="00244493"/>
    <w:rsid w:val="002447AC"/>
    <w:rsid w:val="00251CA2"/>
    <w:rsid w:val="0025275C"/>
    <w:rsid w:val="00253ADF"/>
    <w:rsid w:val="0025493C"/>
    <w:rsid w:val="002568D3"/>
    <w:rsid w:val="002623F6"/>
    <w:rsid w:val="0027303D"/>
    <w:rsid w:val="00274546"/>
    <w:rsid w:val="00274836"/>
    <w:rsid w:val="002809BC"/>
    <w:rsid w:val="00280F05"/>
    <w:rsid w:val="00280FC1"/>
    <w:rsid w:val="00281716"/>
    <w:rsid w:val="00284455"/>
    <w:rsid w:val="00286637"/>
    <w:rsid w:val="002915AD"/>
    <w:rsid w:val="002926B0"/>
    <w:rsid w:val="002A3931"/>
    <w:rsid w:val="002A5BD5"/>
    <w:rsid w:val="002A5D76"/>
    <w:rsid w:val="002A6805"/>
    <w:rsid w:val="002B7E96"/>
    <w:rsid w:val="002C4C53"/>
    <w:rsid w:val="002D0290"/>
    <w:rsid w:val="002D24CA"/>
    <w:rsid w:val="002D32F5"/>
    <w:rsid w:val="002D645B"/>
    <w:rsid w:val="002D6AE2"/>
    <w:rsid w:val="002E1634"/>
    <w:rsid w:val="002E3943"/>
    <w:rsid w:val="002E7765"/>
    <w:rsid w:val="002F1599"/>
    <w:rsid w:val="002F4450"/>
    <w:rsid w:val="002F4D06"/>
    <w:rsid w:val="002F5F9A"/>
    <w:rsid w:val="002F7EC1"/>
    <w:rsid w:val="00301047"/>
    <w:rsid w:val="00301DCF"/>
    <w:rsid w:val="0030350C"/>
    <w:rsid w:val="00303D9A"/>
    <w:rsid w:val="00316503"/>
    <w:rsid w:val="003234B3"/>
    <w:rsid w:val="00324424"/>
    <w:rsid w:val="00326DF6"/>
    <w:rsid w:val="0033577F"/>
    <w:rsid w:val="00351C61"/>
    <w:rsid w:val="0035447D"/>
    <w:rsid w:val="00355E7D"/>
    <w:rsid w:val="003577D2"/>
    <w:rsid w:val="00360ECB"/>
    <w:rsid w:val="003648F0"/>
    <w:rsid w:val="00364E23"/>
    <w:rsid w:val="003654AB"/>
    <w:rsid w:val="003657E2"/>
    <w:rsid w:val="00367742"/>
    <w:rsid w:val="00375148"/>
    <w:rsid w:val="00383228"/>
    <w:rsid w:val="00384904"/>
    <w:rsid w:val="003919D9"/>
    <w:rsid w:val="00392484"/>
    <w:rsid w:val="003925D5"/>
    <w:rsid w:val="003963EC"/>
    <w:rsid w:val="003A172A"/>
    <w:rsid w:val="003A2D48"/>
    <w:rsid w:val="003A5565"/>
    <w:rsid w:val="003B1A4D"/>
    <w:rsid w:val="003B1E81"/>
    <w:rsid w:val="003D398E"/>
    <w:rsid w:val="003D3E5C"/>
    <w:rsid w:val="003D4DA5"/>
    <w:rsid w:val="003E0960"/>
    <w:rsid w:val="003E1A9C"/>
    <w:rsid w:val="003E247F"/>
    <w:rsid w:val="003E7422"/>
    <w:rsid w:val="003F3CF2"/>
    <w:rsid w:val="003F577F"/>
    <w:rsid w:val="003F7AB7"/>
    <w:rsid w:val="00400F82"/>
    <w:rsid w:val="00402AAA"/>
    <w:rsid w:val="00403A51"/>
    <w:rsid w:val="00405EFE"/>
    <w:rsid w:val="00410A60"/>
    <w:rsid w:val="004143D8"/>
    <w:rsid w:val="00426F50"/>
    <w:rsid w:val="0043005E"/>
    <w:rsid w:val="0043040D"/>
    <w:rsid w:val="0043529A"/>
    <w:rsid w:val="00441D68"/>
    <w:rsid w:val="00442EC0"/>
    <w:rsid w:val="00451FE4"/>
    <w:rsid w:val="00454088"/>
    <w:rsid w:val="0045585B"/>
    <w:rsid w:val="00466CB7"/>
    <w:rsid w:val="00467C3C"/>
    <w:rsid w:val="004715E9"/>
    <w:rsid w:val="00477908"/>
    <w:rsid w:val="00481192"/>
    <w:rsid w:val="00482DE6"/>
    <w:rsid w:val="00485049"/>
    <w:rsid w:val="00486695"/>
    <w:rsid w:val="00487545"/>
    <w:rsid w:val="0049010A"/>
    <w:rsid w:val="0049690E"/>
    <w:rsid w:val="004A0630"/>
    <w:rsid w:val="004A0799"/>
    <w:rsid w:val="004A266F"/>
    <w:rsid w:val="004A467F"/>
    <w:rsid w:val="004A5C28"/>
    <w:rsid w:val="004A5D44"/>
    <w:rsid w:val="004A5F7E"/>
    <w:rsid w:val="004A6F23"/>
    <w:rsid w:val="004A76D9"/>
    <w:rsid w:val="004B07B9"/>
    <w:rsid w:val="004B098F"/>
    <w:rsid w:val="004B3771"/>
    <w:rsid w:val="004B6135"/>
    <w:rsid w:val="004C4C24"/>
    <w:rsid w:val="004C5E52"/>
    <w:rsid w:val="004D75E1"/>
    <w:rsid w:val="004E2914"/>
    <w:rsid w:val="004E5511"/>
    <w:rsid w:val="004F46FF"/>
    <w:rsid w:val="005017E8"/>
    <w:rsid w:val="005019B4"/>
    <w:rsid w:val="005049EB"/>
    <w:rsid w:val="005056D4"/>
    <w:rsid w:val="00515073"/>
    <w:rsid w:val="00516688"/>
    <w:rsid w:val="00523231"/>
    <w:rsid w:val="0052503E"/>
    <w:rsid w:val="00525C19"/>
    <w:rsid w:val="00532283"/>
    <w:rsid w:val="005328AC"/>
    <w:rsid w:val="00534926"/>
    <w:rsid w:val="00536017"/>
    <w:rsid w:val="0053678D"/>
    <w:rsid w:val="00541AB2"/>
    <w:rsid w:val="00541BB4"/>
    <w:rsid w:val="00543412"/>
    <w:rsid w:val="00544965"/>
    <w:rsid w:val="005455B5"/>
    <w:rsid w:val="005537CC"/>
    <w:rsid w:val="00554D1B"/>
    <w:rsid w:val="00565ED2"/>
    <w:rsid w:val="00570094"/>
    <w:rsid w:val="00577BD0"/>
    <w:rsid w:val="00596853"/>
    <w:rsid w:val="005A13DA"/>
    <w:rsid w:val="005A699C"/>
    <w:rsid w:val="005A7675"/>
    <w:rsid w:val="005B1726"/>
    <w:rsid w:val="005B20F4"/>
    <w:rsid w:val="005B2A39"/>
    <w:rsid w:val="005C0B55"/>
    <w:rsid w:val="005C0DD9"/>
    <w:rsid w:val="005C32E0"/>
    <w:rsid w:val="005C7ED0"/>
    <w:rsid w:val="005D0AE2"/>
    <w:rsid w:val="005D558B"/>
    <w:rsid w:val="005E3CCA"/>
    <w:rsid w:val="005E4156"/>
    <w:rsid w:val="005E72F0"/>
    <w:rsid w:val="005F1EF4"/>
    <w:rsid w:val="005F7405"/>
    <w:rsid w:val="00600CF6"/>
    <w:rsid w:val="00600CFA"/>
    <w:rsid w:val="00601081"/>
    <w:rsid w:val="00601755"/>
    <w:rsid w:val="0060294A"/>
    <w:rsid w:val="00603AD4"/>
    <w:rsid w:val="006137D6"/>
    <w:rsid w:val="006159C5"/>
    <w:rsid w:val="00615D6F"/>
    <w:rsid w:val="006201C5"/>
    <w:rsid w:val="00620A12"/>
    <w:rsid w:val="00625732"/>
    <w:rsid w:val="006306FF"/>
    <w:rsid w:val="00632392"/>
    <w:rsid w:val="00636EFE"/>
    <w:rsid w:val="00637F5E"/>
    <w:rsid w:val="006427E2"/>
    <w:rsid w:val="00642D1C"/>
    <w:rsid w:val="00645FB7"/>
    <w:rsid w:val="006566FD"/>
    <w:rsid w:val="00656860"/>
    <w:rsid w:val="00661666"/>
    <w:rsid w:val="006624FD"/>
    <w:rsid w:val="00663B85"/>
    <w:rsid w:val="00663FAD"/>
    <w:rsid w:val="006654EA"/>
    <w:rsid w:val="006666E0"/>
    <w:rsid w:val="00673282"/>
    <w:rsid w:val="00673A64"/>
    <w:rsid w:val="00675214"/>
    <w:rsid w:val="0067763A"/>
    <w:rsid w:val="00684E2B"/>
    <w:rsid w:val="006906A9"/>
    <w:rsid w:val="0069131F"/>
    <w:rsid w:val="0069195E"/>
    <w:rsid w:val="006939F9"/>
    <w:rsid w:val="00693A14"/>
    <w:rsid w:val="00697437"/>
    <w:rsid w:val="006A16BE"/>
    <w:rsid w:val="006A2D21"/>
    <w:rsid w:val="006A5B1B"/>
    <w:rsid w:val="006A79B0"/>
    <w:rsid w:val="006B2FB8"/>
    <w:rsid w:val="006B6D53"/>
    <w:rsid w:val="006C0607"/>
    <w:rsid w:val="006C1924"/>
    <w:rsid w:val="006C3024"/>
    <w:rsid w:val="006C3434"/>
    <w:rsid w:val="006C7728"/>
    <w:rsid w:val="006E19F5"/>
    <w:rsid w:val="006E1A30"/>
    <w:rsid w:val="006E63A4"/>
    <w:rsid w:val="006F59CB"/>
    <w:rsid w:val="00700EC0"/>
    <w:rsid w:val="007010FF"/>
    <w:rsid w:val="00701692"/>
    <w:rsid w:val="00704F60"/>
    <w:rsid w:val="00705545"/>
    <w:rsid w:val="007067CB"/>
    <w:rsid w:val="00715300"/>
    <w:rsid w:val="00724B38"/>
    <w:rsid w:val="007265E5"/>
    <w:rsid w:val="00726796"/>
    <w:rsid w:val="007276E0"/>
    <w:rsid w:val="00730BFF"/>
    <w:rsid w:val="00733098"/>
    <w:rsid w:val="00733FA9"/>
    <w:rsid w:val="00735838"/>
    <w:rsid w:val="0074539B"/>
    <w:rsid w:val="007461FE"/>
    <w:rsid w:val="007504FD"/>
    <w:rsid w:val="007561F7"/>
    <w:rsid w:val="007703BA"/>
    <w:rsid w:val="0077354B"/>
    <w:rsid w:val="007822A3"/>
    <w:rsid w:val="00783B15"/>
    <w:rsid w:val="00783E9A"/>
    <w:rsid w:val="00784AA1"/>
    <w:rsid w:val="00784B40"/>
    <w:rsid w:val="00796B32"/>
    <w:rsid w:val="007B0EF8"/>
    <w:rsid w:val="007B3774"/>
    <w:rsid w:val="007B7BDB"/>
    <w:rsid w:val="007C358F"/>
    <w:rsid w:val="007C3D1B"/>
    <w:rsid w:val="007C75FC"/>
    <w:rsid w:val="007D00E2"/>
    <w:rsid w:val="007D08A7"/>
    <w:rsid w:val="007D1761"/>
    <w:rsid w:val="007D1B26"/>
    <w:rsid w:val="007D3104"/>
    <w:rsid w:val="007D3E41"/>
    <w:rsid w:val="007D7308"/>
    <w:rsid w:val="007E0B07"/>
    <w:rsid w:val="007E4CF8"/>
    <w:rsid w:val="007E6D1E"/>
    <w:rsid w:val="007F07EC"/>
    <w:rsid w:val="007F0BCB"/>
    <w:rsid w:val="007F37DC"/>
    <w:rsid w:val="007F62C6"/>
    <w:rsid w:val="00800C85"/>
    <w:rsid w:val="00804D49"/>
    <w:rsid w:val="00806877"/>
    <w:rsid w:val="0081014D"/>
    <w:rsid w:val="0081093E"/>
    <w:rsid w:val="0081166E"/>
    <w:rsid w:val="00812C50"/>
    <w:rsid w:val="00814091"/>
    <w:rsid w:val="00820560"/>
    <w:rsid w:val="00820AB0"/>
    <w:rsid w:val="00823407"/>
    <w:rsid w:val="00824788"/>
    <w:rsid w:val="008315D0"/>
    <w:rsid w:val="008328DF"/>
    <w:rsid w:val="00834131"/>
    <w:rsid w:val="00835A71"/>
    <w:rsid w:val="00836A4E"/>
    <w:rsid w:val="00837514"/>
    <w:rsid w:val="008402C2"/>
    <w:rsid w:val="00850296"/>
    <w:rsid w:val="00851D75"/>
    <w:rsid w:val="00851EAC"/>
    <w:rsid w:val="00853795"/>
    <w:rsid w:val="00855DE0"/>
    <w:rsid w:val="00856ABC"/>
    <w:rsid w:val="00863092"/>
    <w:rsid w:val="008647E6"/>
    <w:rsid w:val="00865D5D"/>
    <w:rsid w:val="00872AE7"/>
    <w:rsid w:val="008742B2"/>
    <w:rsid w:val="00874C43"/>
    <w:rsid w:val="00876FDD"/>
    <w:rsid w:val="008817F0"/>
    <w:rsid w:val="00882B76"/>
    <w:rsid w:val="00885813"/>
    <w:rsid w:val="008869FA"/>
    <w:rsid w:val="00890646"/>
    <w:rsid w:val="00892DCB"/>
    <w:rsid w:val="00894599"/>
    <w:rsid w:val="00894B3B"/>
    <w:rsid w:val="00895576"/>
    <w:rsid w:val="00895A7C"/>
    <w:rsid w:val="008A58D2"/>
    <w:rsid w:val="008C3519"/>
    <w:rsid w:val="008D3529"/>
    <w:rsid w:val="008D41C6"/>
    <w:rsid w:val="008D6D59"/>
    <w:rsid w:val="008D77B2"/>
    <w:rsid w:val="008E4382"/>
    <w:rsid w:val="008E476C"/>
    <w:rsid w:val="008E4FB4"/>
    <w:rsid w:val="008E6EAF"/>
    <w:rsid w:val="008F188B"/>
    <w:rsid w:val="008F4E4A"/>
    <w:rsid w:val="008F72DA"/>
    <w:rsid w:val="00900488"/>
    <w:rsid w:val="00902F18"/>
    <w:rsid w:val="0090730C"/>
    <w:rsid w:val="00907F76"/>
    <w:rsid w:val="00910A4E"/>
    <w:rsid w:val="00912A83"/>
    <w:rsid w:val="00913B4A"/>
    <w:rsid w:val="00916102"/>
    <w:rsid w:val="009166D1"/>
    <w:rsid w:val="009176E4"/>
    <w:rsid w:val="0092162F"/>
    <w:rsid w:val="009219C5"/>
    <w:rsid w:val="009264B7"/>
    <w:rsid w:val="00932DF1"/>
    <w:rsid w:val="009438D8"/>
    <w:rsid w:val="00955237"/>
    <w:rsid w:val="0095700D"/>
    <w:rsid w:val="00957320"/>
    <w:rsid w:val="00957403"/>
    <w:rsid w:val="00961C1B"/>
    <w:rsid w:val="00970860"/>
    <w:rsid w:val="009813CF"/>
    <w:rsid w:val="00982225"/>
    <w:rsid w:val="00982AD0"/>
    <w:rsid w:val="00992F3C"/>
    <w:rsid w:val="009930AC"/>
    <w:rsid w:val="00993F92"/>
    <w:rsid w:val="0099787F"/>
    <w:rsid w:val="009B12DD"/>
    <w:rsid w:val="009B44DC"/>
    <w:rsid w:val="009C1116"/>
    <w:rsid w:val="009C5AD4"/>
    <w:rsid w:val="009C68C9"/>
    <w:rsid w:val="009C7D41"/>
    <w:rsid w:val="009D03DB"/>
    <w:rsid w:val="009D4189"/>
    <w:rsid w:val="009D580F"/>
    <w:rsid w:val="009D7034"/>
    <w:rsid w:val="009E0F26"/>
    <w:rsid w:val="009E2078"/>
    <w:rsid w:val="009E469E"/>
    <w:rsid w:val="009E5F13"/>
    <w:rsid w:val="009E61CD"/>
    <w:rsid w:val="009F1296"/>
    <w:rsid w:val="009F17C5"/>
    <w:rsid w:val="009F4379"/>
    <w:rsid w:val="009F64AE"/>
    <w:rsid w:val="009F66C4"/>
    <w:rsid w:val="00A00848"/>
    <w:rsid w:val="00A03C43"/>
    <w:rsid w:val="00A046B6"/>
    <w:rsid w:val="00A0561A"/>
    <w:rsid w:val="00A0661A"/>
    <w:rsid w:val="00A07631"/>
    <w:rsid w:val="00A11799"/>
    <w:rsid w:val="00A13E24"/>
    <w:rsid w:val="00A21FA8"/>
    <w:rsid w:val="00A2648B"/>
    <w:rsid w:val="00A26DB4"/>
    <w:rsid w:val="00A31BD3"/>
    <w:rsid w:val="00A31E71"/>
    <w:rsid w:val="00A33A65"/>
    <w:rsid w:val="00A37780"/>
    <w:rsid w:val="00A41EF4"/>
    <w:rsid w:val="00A4222B"/>
    <w:rsid w:val="00A43A54"/>
    <w:rsid w:val="00A476FB"/>
    <w:rsid w:val="00A505FB"/>
    <w:rsid w:val="00A52332"/>
    <w:rsid w:val="00A54E12"/>
    <w:rsid w:val="00A55D40"/>
    <w:rsid w:val="00A60B04"/>
    <w:rsid w:val="00A62475"/>
    <w:rsid w:val="00A67B5C"/>
    <w:rsid w:val="00A67EA5"/>
    <w:rsid w:val="00A714CF"/>
    <w:rsid w:val="00A7527E"/>
    <w:rsid w:val="00A8249A"/>
    <w:rsid w:val="00A85F05"/>
    <w:rsid w:val="00A867B9"/>
    <w:rsid w:val="00A90588"/>
    <w:rsid w:val="00A91CC4"/>
    <w:rsid w:val="00A92868"/>
    <w:rsid w:val="00AA1E81"/>
    <w:rsid w:val="00AA3313"/>
    <w:rsid w:val="00AA3A30"/>
    <w:rsid w:val="00AB06C5"/>
    <w:rsid w:val="00AB37A7"/>
    <w:rsid w:val="00AB391A"/>
    <w:rsid w:val="00AB632F"/>
    <w:rsid w:val="00AC3D00"/>
    <w:rsid w:val="00AC52E4"/>
    <w:rsid w:val="00AC5CA4"/>
    <w:rsid w:val="00AD5263"/>
    <w:rsid w:val="00AE026D"/>
    <w:rsid w:val="00AE0A1F"/>
    <w:rsid w:val="00AE76A2"/>
    <w:rsid w:val="00AF5EBA"/>
    <w:rsid w:val="00B00132"/>
    <w:rsid w:val="00B01B8C"/>
    <w:rsid w:val="00B028BB"/>
    <w:rsid w:val="00B04DB5"/>
    <w:rsid w:val="00B0570B"/>
    <w:rsid w:val="00B0784A"/>
    <w:rsid w:val="00B12355"/>
    <w:rsid w:val="00B2064F"/>
    <w:rsid w:val="00B22429"/>
    <w:rsid w:val="00B34D97"/>
    <w:rsid w:val="00B356FD"/>
    <w:rsid w:val="00B41D9E"/>
    <w:rsid w:val="00B45758"/>
    <w:rsid w:val="00B4780F"/>
    <w:rsid w:val="00B47B8D"/>
    <w:rsid w:val="00B71B8D"/>
    <w:rsid w:val="00B721E2"/>
    <w:rsid w:val="00B7715F"/>
    <w:rsid w:val="00B771A5"/>
    <w:rsid w:val="00B824EC"/>
    <w:rsid w:val="00B8657A"/>
    <w:rsid w:val="00B92845"/>
    <w:rsid w:val="00B92E32"/>
    <w:rsid w:val="00B94194"/>
    <w:rsid w:val="00BA0F1A"/>
    <w:rsid w:val="00BA4A77"/>
    <w:rsid w:val="00BA5856"/>
    <w:rsid w:val="00BB0CB5"/>
    <w:rsid w:val="00BB2496"/>
    <w:rsid w:val="00BB430F"/>
    <w:rsid w:val="00BB4EA3"/>
    <w:rsid w:val="00BC08C4"/>
    <w:rsid w:val="00BC33F9"/>
    <w:rsid w:val="00BC35C4"/>
    <w:rsid w:val="00BD4A66"/>
    <w:rsid w:val="00BD6763"/>
    <w:rsid w:val="00BE3F6B"/>
    <w:rsid w:val="00BE5978"/>
    <w:rsid w:val="00BF21D9"/>
    <w:rsid w:val="00BF3CDE"/>
    <w:rsid w:val="00C01217"/>
    <w:rsid w:val="00C0226B"/>
    <w:rsid w:val="00C035A5"/>
    <w:rsid w:val="00C0576D"/>
    <w:rsid w:val="00C061B7"/>
    <w:rsid w:val="00C07EA3"/>
    <w:rsid w:val="00C14C96"/>
    <w:rsid w:val="00C16A18"/>
    <w:rsid w:val="00C2148B"/>
    <w:rsid w:val="00C2249B"/>
    <w:rsid w:val="00C23D25"/>
    <w:rsid w:val="00C372D5"/>
    <w:rsid w:val="00C44B5C"/>
    <w:rsid w:val="00C46AAE"/>
    <w:rsid w:val="00C53534"/>
    <w:rsid w:val="00C53CBA"/>
    <w:rsid w:val="00C546C3"/>
    <w:rsid w:val="00C6560F"/>
    <w:rsid w:val="00C71BB6"/>
    <w:rsid w:val="00C74424"/>
    <w:rsid w:val="00C84599"/>
    <w:rsid w:val="00C94191"/>
    <w:rsid w:val="00C942B3"/>
    <w:rsid w:val="00C9529B"/>
    <w:rsid w:val="00C95F11"/>
    <w:rsid w:val="00C96303"/>
    <w:rsid w:val="00C96A91"/>
    <w:rsid w:val="00C97284"/>
    <w:rsid w:val="00CA0748"/>
    <w:rsid w:val="00CA150D"/>
    <w:rsid w:val="00CA6674"/>
    <w:rsid w:val="00CB34FE"/>
    <w:rsid w:val="00CB44B8"/>
    <w:rsid w:val="00CB515E"/>
    <w:rsid w:val="00CB6BF6"/>
    <w:rsid w:val="00CC0CB6"/>
    <w:rsid w:val="00CC5CF2"/>
    <w:rsid w:val="00CC6964"/>
    <w:rsid w:val="00CE0017"/>
    <w:rsid w:val="00CE073C"/>
    <w:rsid w:val="00CE5ACA"/>
    <w:rsid w:val="00CE7618"/>
    <w:rsid w:val="00CF1080"/>
    <w:rsid w:val="00CF3051"/>
    <w:rsid w:val="00CF7AD9"/>
    <w:rsid w:val="00D01CCE"/>
    <w:rsid w:val="00D04B0D"/>
    <w:rsid w:val="00D06293"/>
    <w:rsid w:val="00D10210"/>
    <w:rsid w:val="00D15ACC"/>
    <w:rsid w:val="00D27C9B"/>
    <w:rsid w:val="00D3019E"/>
    <w:rsid w:val="00D3362C"/>
    <w:rsid w:val="00D34D00"/>
    <w:rsid w:val="00D43A68"/>
    <w:rsid w:val="00D43F9E"/>
    <w:rsid w:val="00D45B2F"/>
    <w:rsid w:val="00D542DF"/>
    <w:rsid w:val="00D56C9F"/>
    <w:rsid w:val="00D62EBD"/>
    <w:rsid w:val="00D63F7D"/>
    <w:rsid w:val="00D67699"/>
    <w:rsid w:val="00D67CDD"/>
    <w:rsid w:val="00D71402"/>
    <w:rsid w:val="00D71D10"/>
    <w:rsid w:val="00D77BB2"/>
    <w:rsid w:val="00D91329"/>
    <w:rsid w:val="00D918B5"/>
    <w:rsid w:val="00D91A8A"/>
    <w:rsid w:val="00D923B9"/>
    <w:rsid w:val="00DA15C9"/>
    <w:rsid w:val="00DA5681"/>
    <w:rsid w:val="00DB2301"/>
    <w:rsid w:val="00DB343F"/>
    <w:rsid w:val="00DC1CA2"/>
    <w:rsid w:val="00DC30F6"/>
    <w:rsid w:val="00DD07E7"/>
    <w:rsid w:val="00DD2F47"/>
    <w:rsid w:val="00DD4003"/>
    <w:rsid w:val="00DD6D4E"/>
    <w:rsid w:val="00DE0974"/>
    <w:rsid w:val="00DE3258"/>
    <w:rsid w:val="00DE57D5"/>
    <w:rsid w:val="00DF10EB"/>
    <w:rsid w:val="00DF5BE5"/>
    <w:rsid w:val="00E009E0"/>
    <w:rsid w:val="00E020F5"/>
    <w:rsid w:val="00E06E1D"/>
    <w:rsid w:val="00E14E7B"/>
    <w:rsid w:val="00E2122E"/>
    <w:rsid w:val="00E24C17"/>
    <w:rsid w:val="00E25268"/>
    <w:rsid w:val="00E252D2"/>
    <w:rsid w:val="00E32B62"/>
    <w:rsid w:val="00E34E96"/>
    <w:rsid w:val="00E36578"/>
    <w:rsid w:val="00E4364B"/>
    <w:rsid w:val="00E450F1"/>
    <w:rsid w:val="00E455A5"/>
    <w:rsid w:val="00E47788"/>
    <w:rsid w:val="00E47A4A"/>
    <w:rsid w:val="00E51555"/>
    <w:rsid w:val="00E52432"/>
    <w:rsid w:val="00E67320"/>
    <w:rsid w:val="00E67E16"/>
    <w:rsid w:val="00E7200F"/>
    <w:rsid w:val="00E75CA4"/>
    <w:rsid w:val="00E863FE"/>
    <w:rsid w:val="00E92E8F"/>
    <w:rsid w:val="00E942AF"/>
    <w:rsid w:val="00E94A4B"/>
    <w:rsid w:val="00E95D27"/>
    <w:rsid w:val="00E96B75"/>
    <w:rsid w:val="00EA785F"/>
    <w:rsid w:val="00EB033C"/>
    <w:rsid w:val="00EB19D9"/>
    <w:rsid w:val="00EB330B"/>
    <w:rsid w:val="00EB4F79"/>
    <w:rsid w:val="00EB6E81"/>
    <w:rsid w:val="00EC1411"/>
    <w:rsid w:val="00EC2315"/>
    <w:rsid w:val="00EC2FBF"/>
    <w:rsid w:val="00ED4C22"/>
    <w:rsid w:val="00EE0184"/>
    <w:rsid w:val="00EE334E"/>
    <w:rsid w:val="00EE5C18"/>
    <w:rsid w:val="00EF0726"/>
    <w:rsid w:val="00EF080A"/>
    <w:rsid w:val="00EF0D0A"/>
    <w:rsid w:val="00EF2078"/>
    <w:rsid w:val="00EF7960"/>
    <w:rsid w:val="00EF7F14"/>
    <w:rsid w:val="00F04205"/>
    <w:rsid w:val="00F0490A"/>
    <w:rsid w:val="00F10DFB"/>
    <w:rsid w:val="00F25763"/>
    <w:rsid w:val="00F348E7"/>
    <w:rsid w:val="00F40D8E"/>
    <w:rsid w:val="00F5690C"/>
    <w:rsid w:val="00F57212"/>
    <w:rsid w:val="00F6083C"/>
    <w:rsid w:val="00F67F3F"/>
    <w:rsid w:val="00F70583"/>
    <w:rsid w:val="00F70A98"/>
    <w:rsid w:val="00F7364E"/>
    <w:rsid w:val="00F76213"/>
    <w:rsid w:val="00F779FB"/>
    <w:rsid w:val="00F8043F"/>
    <w:rsid w:val="00F839A6"/>
    <w:rsid w:val="00F85FF7"/>
    <w:rsid w:val="00F876F3"/>
    <w:rsid w:val="00F96401"/>
    <w:rsid w:val="00F9667A"/>
    <w:rsid w:val="00FA3D22"/>
    <w:rsid w:val="00FA4A6B"/>
    <w:rsid w:val="00FB1F55"/>
    <w:rsid w:val="00FB24A1"/>
    <w:rsid w:val="00FB4989"/>
    <w:rsid w:val="00FB5082"/>
    <w:rsid w:val="00FB78B4"/>
    <w:rsid w:val="00FC0217"/>
    <w:rsid w:val="00FC1033"/>
    <w:rsid w:val="00FC5FAB"/>
    <w:rsid w:val="00FD0B07"/>
    <w:rsid w:val="00FD0C9F"/>
    <w:rsid w:val="00FE0BB7"/>
    <w:rsid w:val="00FE155E"/>
    <w:rsid w:val="00FE20B8"/>
    <w:rsid w:val="00FE2EBB"/>
    <w:rsid w:val="00FE5D5A"/>
    <w:rsid w:val="00FF0448"/>
    <w:rsid w:val="00FF1668"/>
    <w:rsid w:val="00FF25F1"/>
    <w:rsid w:val="00FF2D84"/>
    <w:rsid w:val="00FF3ED8"/>
    <w:rsid w:val="00FF5EA5"/>
    <w:rsid w:val="00FF6384"/>
    <w:rsid w:val="00FF79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523B0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8B"/>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2148B"/>
    <w:pPr>
      <w:spacing w:after="120" w:line="480" w:lineRule="auto"/>
    </w:pPr>
    <w:rPr>
      <w:lang w:val="x-none"/>
    </w:rPr>
  </w:style>
  <w:style w:type="character" w:customStyle="1" w:styleId="BodyText2Char">
    <w:name w:val="Body Text 2 Char"/>
    <w:basedOn w:val="DefaultParagraphFont"/>
    <w:link w:val="BodyText2"/>
    <w:semiHidden/>
    <w:rsid w:val="00C2148B"/>
    <w:rPr>
      <w:rFonts w:eastAsia="Times New Roman" w:cs="Times New Roman"/>
      <w:szCs w:val="24"/>
      <w:lang w:val="x-none" w:eastAsia="ru-RU"/>
    </w:rPr>
  </w:style>
  <w:style w:type="paragraph" w:styleId="Footer">
    <w:name w:val="footer"/>
    <w:basedOn w:val="Normal"/>
    <w:link w:val="FooterChar"/>
    <w:uiPriority w:val="99"/>
    <w:unhideWhenUsed/>
    <w:rsid w:val="00C2148B"/>
    <w:pPr>
      <w:tabs>
        <w:tab w:val="center" w:pos="4153"/>
        <w:tab w:val="right" w:pos="8306"/>
      </w:tabs>
    </w:pPr>
  </w:style>
  <w:style w:type="character" w:customStyle="1" w:styleId="FooterChar">
    <w:name w:val="Footer Char"/>
    <w:basedOn w:val="DefaultParagraphFont"/>
    <w:link w:val="Footer"/>
    <w:uiPriority w:val="99"/>
    <w:rsid w:val="00C2148B"/>
    <w:rPr>
      <w:rFonts w:eastAsia="Times New Roman" w:cs="Times New Roman"/>
      <w:szCs w:val="24"/>
      <w:lang w:eastAsia="ru-RU"/>
    </w:rPr>
  </w:style>
  <w:style w:type="table" w:styleId="TableGrid">
    <w:name w:val="Table Grid"/>
    <w:basedOn w:val="TableNormal"/>
    <w:uiPriority w:val="39"/>
    <w:rsid w:val="00C2148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C32E0"/>
    <w:pPr>
      <w:spacing w:before="100" w:beforeAutospacing="1" w:after="100" w:afterAutospacing="1"/>
    </w:pPr>
    <w:rPr>
      <w:lang w:eastAsia="lv-LV"/>
    </w:rPr>
  </w:style>
  <w:style w:type="paragraph" w:styleId="ListParagraph">
    <w:name w:val="List Paragraph"/>
    <w:basedOn w:val="Normal"/>
    <w:uiPriority w:val="34"/>
    <w:qFormat/>
    <w:rsid w:val="005C32E0"/>
    <w:pPr>
      <w:ind w:left="720"/>
      <w:contextualSpacing/>
    </w:pPr>
  </w:style>
  <w:style w:type="paragraph" w:styleId="ListBullet">
    <w:name w:val="List Bullet"/>
    <w:basedOn w:val="Normal"/>
    <w:uiPriority w:val="99"/>
    <w:unhideWhenUsed/>
    <w:rsid w:val="00202ADC"/>
    <w:pPr>
      <w:numPr>
        <w:numId w:val="3"/>
      </w:numPr>
      <w:contextualSpacing/>
    </w:pPr>
  </w:style>
  <w:style w:type="paragraph" w:styleId="Header">
    <w:name w:val="header"/>
    <w:basedOn w:val="Normal"/>
    <w:link w:val="HeaderChar"/>
    <w:uiPriority w:val="99"/>
    <w:unhideWhenUsed/>
    <w:rsid w:val="00B04DB5"/>
    <w:pPr>
      <w:tabs>
        <w:tab w:val="center" w:pos="4513"/>
        <w:tab w:val="right" w:pos="9026"/>
      </w:tabs>
    </w:pPr>
  </w:style>
  <w:style w:type="character" w:customStyle="1" w:styleId="HeaderChar">
    <w:name w:val="Header Char"/>
    <w:basedOn w:val="DefaultParagraphFont"/>
    <w:link w:val="Header"/>
    <w:uiPriority w:val="99"/>
    <w:rsid w:val="00B04DB5"/>
    <w:rPr>
      <w:rFonts w:eastAsia="Times New Roman" w:cs="Times New Roman"/>
      <w:szCs w:val="24"/>
      <w:lang w:eastAsia="ru-RU"/>
    </w:rPr>
  </w:style>
  <w:style w:type="paragraph" w:styleId="Revision">
    <w:name w:val="Revision"/>
    <w:hidden/>
    <w:uiPriority w:val="99"/>
    <w:semiHidden/>
    <w:rsid w:val="00874C43"/>
    <w:pPr>
      <w:spacing w:after="0" w:line="240" w:lineRule="auto"/>
    </w:pPr>
    <w:rPr>
      <w:rFonts w:eastAsia="Times New Roman" w:cs="Times New Roman"/>
      <w:szCs w:val="24"/>
      <w:lang w:eastAsia="ru-RU"/>
    </w:rPr>
  </w:style>
  <w:style w:type="character" w:styleId="CommentReference">
    <w:name w:val="annotation reference"/>
    <w:basedOn w:val="DefaultParagraphFont"/>
    <w:uiPriority w:val="99"/>
    <w:semiHidden/>
    <w:unhideWhenUsed/>
    <w:rsid w:val="00A52332"/>
    <w:rPr>
      <w:sz w:val="16"/>
      <w:szCs w:val="16"/>
    </w:rPr>
  </w:style>
  <w:style w:type="paragraph" w:styleId="CommentText">
    <w:name w:val="annotation text"/>
    <w:basedOn w:val="Normal"/>
    <w:link w:val="CommentTextChar"/>
    <w:uiPriority w:val="99"/>
    <w:semiHidden/>
    <w:unhideWhenUsed/>
    <w:rsid w:val="00A52332"/>
    <w:rPr>
      <w:sz w:val="20"/>
      <w:szCs w:val="20"/>
    </w:rPr>
  </w:style>
  <w:style w:type="character" w:customStyle="1" w:styleId="CommentTextChar">
    <w:name w:val="Comment Text Char"/>
    <w:basedOn w:val="DefaultParagraphFont"/>
    <w:link w:val="CommentText"/>
    <w:uiPriority w:val="99"/>
    <w:semiHidden/>
    <w:rsid w:val="00A52332"/>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52332"/>
    <w:rPr>
      <w:b/>
      <w:bCs/>
    </w:rPr>
  </w:style>
  <w:style w:type="character" w:customStyle="1" w:styleId="CommentSubjectChar">
    <w:name w:val="Comment Subject Char"/>
    <w:basedOn w:val="CommentTextChar"/>
    <w:link w:val="CommentSubject"/>
    <w:uiPriority w:val="99"/>
    <w:semiHidden/>
    <w:rsid w:val="00A52332"/>
    <w:rPr>
      <w:rFonts w:eastAsia="Times New Roman" w:cs="Times New Roman"/>
      <w:b/>
      <w:bCs/>
      <w:sz w:val="20"/>
      <w:szCs w:val="20"/>
      <w:lang w:eastAsia="ru-RU"/>
    </w:rPr>
  </w:style>
  <w:style w:type="character" w:styleId="Hyperlink">
    <w:name w:val="Hyperlink"/>
    <w:basedOn w:val="DefaultParagraphFont"/>
    <w:uiPriority w:val="99"/>
    <w:unhideWhenUsed/>
    <w:rsid w:val="00284455"/>
    <w:rPr>
      <w:color w:val="0563C1" w:themeColor="hyperlink"/>
      <w:u w:val="single"/>
    </w:rPr>
  </w:style>
  <w:style w:type="character" w:styleId="UnresolvedMention">
    <w:name w:val="Unresolved Mention"/>
    <w:basedOn w:val="DefaultParagraphFont"/>
    <w:uiPriority w:val="99"/>
    <w:semiHidden/>
    <w:unhideWhenUsed/>
    <w:rsid w:val="00284455"/>
    <w:rPr>
      <w:color w:val="605E5C"/>
      <w:shd w:val="clear" w:color="auto" w:fill="E1DFDD"/>
    </w:rPr>
  </w:style>
  <w:style w:type="character" w:styleId="FollowedHyperlink">
    <w:name w:val="FollowedHyperlink"/>
    <w:basedOn w:val="DefaultParagraphFont"/>
    <w:uiPriority w:val="99"/>
    <w:semiHidden/>
    <w:unhideWhenUsed/>
    <w:rsid w:val="006E6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90766">
      <w:bodyDiv w:val="1"/>
      <w:marLeft w:val="0"/>
      <w:marRight w:val="0"/>
      <w:marTop w:val="0"/>
      <w:marBottom w:val="0"/>
      <w:divBdr>
        <w:top w:val="none" w:sz="0" w:space="0" w:color="auto"/>
        <w:left w:val="none" w:sz="0" w:space="0" w:color="auto"/>
        <w:bottom w:val="none" w:sz="0" w:space="0" w:color="auto"/>
        <w:right w:val="none" w:sz="0" w:space="0" w:color="auto"/>
      </w:divBdr>
      <w:divsChild>
        <w:div w:id="131892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281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F758-182A-4719-ACFD-5259DCF7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12533</Words>
  <Characters>7145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2023-01-16T09:28:00Z</dcterms:created>
  <dcterms:modified xsi:type="dcterms:W3CDTF">2023-01-16T09:28:00Z</dcterms:modified>
</cp:coreProperties>
</file>