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E8E5D" w14:textId="77777777" w:rsidR="00AE2470" w:rsidRDefault="00AE2470" w:rsidP="00AE2470">
      <w:pPr>
        <w:autoSpaceDE w:val="0"/>
        <w:autoSpaceDN w:val="0"/>
        <w:spacing w:line="276" w:lineRule="auto"/>
        <w:jc w:val="both"/>
        <w:rPr>
          <w:rFonts w:ascii="TimesNewRomanPSMT" w:hAnsi="TimesNewRomanPSMT"/>
          <w:highlight w:val="yellow"/>
          <w:lang w:eastAsia="en-US"/>
        </w:rPr>
      </w:pPr>
      <w:bookmarkStart w:id="0" w:name="_Hlk106629441"/>
      <w:bookmarkStart w:id="1" w:name="_Hlk111561398"/>
      <w:r>
        <w:rPr>
          <w:rFonts w:ascii="Gotham" w:hAnsi="Gotham"/>
          <w:b/>
          <w:bCs/>
          <w:color w:val="000000"/>
        </w:rPr>
        <w:t xml:space="preserve">Metroloģijas biroja tiesības pieprasīt iesniegt alkometru tipa testēšanas pārskatus, kas </w:t>
      </w:r>
      <w:r>
        <w:rPr>
          <w:rFonts w:ascii="TimesNewRomanPSMT" w:hAnsi="TimesNewRomanPSMT"/>
          <w:b/>
          <w:bCs/>
        </w:rPr>
        <w:t xml:space="preserve">ļauj pārliecināties par alkometru atbilstību noteiktiem standartiem </w:t>
      </w:r>
    </w:p>
    <w:p w14:paraId="11A84B66" w14:textId="77777777" w:rsidR="00AE2470" w:rsidRDefault="00AE2470" w:rsidP="00AE2470">
      <w:pPr>
        <w:autoSpaceDE w:val="0"/>
        <w:autoSpaceDN w:val="0"/>
        <w:spacing w:line="276" w:lineRule="auto"/>
        <w:jc w:val="both"/>
        <w:rPr>
          <w:rFonts w:ascii="TimesNewRomanPSMT" w:hAnsi="TimesNewRomanPSMT"/>
        </w:rPr>
      </w:pPr>
      <w:r>
        <w:rPr>
          <w:rFonts w:ascii="TimesNewRomanPSMT" w:hAnsi="TimesNewRomanPSMT"/>
        </w:rPr>
        <w:t>Likumdevējs ir izvēlējies jautājumu par alkometru tipa pārbaudes metodoloģiju savos normatīvajos aktos neregulēt, bet izman</w:t>
      </w:r>
      <w:r w:rsidRPr="00AE2470">
        <w:rPr>
          <w:rFonts w:ascii="TimesNewRomanPSMT" w:hAnsi="TimesNewRomanPSMT"/>
        </w:rPr>
        <w:t>tot</w:t>
      </w:r>
      <w:r>
        <w:rPr>
          <w:rFonts w:ascii="TimesNewRomanPSMT" w:hAnsi="TimesNewRomanPSMT"/>
        </w:rPr>
        <w:t xml:space="preserve"> vadlīnijas, kuras apstiprinājusi Metodoloģijas organizācija, kuras asociētā dalībvalsts ir arī Latvija.</w:t>
      </w:r>
    </w:p>
    <w:p w14:paraId="00613D37" w14:textId="77777777" w:rsidR="00AE2470" w:rsidRPr="00AE2470" w:rsidRDefault="00AE2470" w:rsidP="00AE2470">
      <w:pPr>
        <w:autoSpaceDE w:val="0"/>
        <w:autoSpaceDN w:val="0"/>
        <w:spacing w:line="276" w:lineRule="auto"/>
        <w:jc w:val="both"/>
        <w:rPr>
          <w:rFonts w:ascii="TimesNewRomanPSMT" w:hAnsi="TimesNewRomanPSMT"/>
        </w:rPr>
      </w:pPr>
      <w:r>
        <w:rPr>
          <w:rFonts w:ascii="Gotham" w:hAnsi="Gotham"/>
          <w:color w:val="000000"/>
        </w:rPr>
        <w:t>Starptautiskās reglamentētās metodoloģijas organizācijas</w:t>
      </w:r>
      <w:r>
        <w:rPr>
          <w:rFonts w:ascii="TimesNewRomanPSMT" w:hAnsi="TimesNewRomanPSMT"/>
        </w:rPr>
        <w:t xml:space="preserve"> </w:t>
      </w:r>
      <w:r w:rsidRPr="00AE2470">
        <w:rPr>
          <w:rFonts w:ascii="TimesNewRomanPSMT" w:hAnsi="TimesNewRomanPSMT"/>
        </w:rPr>
        <w:t>(</w:t>
      </w:r>
      <w:r w:rsidRPr="00AE2470">
        <w:rPr>
          <w:rFonts w:ascii="TimesNewRomanPSMT" w:hAnsi="TimesNewRomanPSMT"/>
          <w:i/>
          <w:iCs/>
        </w:rPr>
        <w:t>International Organization of Legal Metrology</w:t>
      </w:r>
      <w:r w:rsidRPr="00AE2470">
        <w:rPr>
          <w:rFonts w:ascii="TimesNewRomanPSMT" w:hAnsi="TimesNewRomanPSMT"/>
        </w:rPr>
        <w:t>)</w:t>
      </w:r>
      <w:r>
        <w:rPr>
          <w:rFonts w:ascii="TimesNewRomanPSMT" w:hAnsi="TimesNewRomanPSMT"/>
        </w:rPr>
        <w:t xml:space="preserve"> rekomendācijā OIML R126:2012 „Izelpas analizētāji pierādīšanas mērķiem” ir dotas vadlīnijas alkometra tipa apstiprināšanai. Vadlīnijas paredz instrumentu pārbaudes metodes, lai pārliecinātos par to atbilstību prasībām. Tāpat vadlīnijas nosaka, piemēram, ierīces vizuālu pārbaudi, instrumenta darbības testēšanu dažādos apstākļos (dažādās temperatūrās, gaisa mitrumos, atmosfēras spiedienos) un citas metodes. Vadlīnijās arī aprakstīti apstākļi, kas </w:t>
      </w:r>
      <w:r w:rsidRPr="00AE2470">
        <w:rPr>
          <w:rFonts w:ascii="TimesNewRomanPSMT" w:hAnsi="TimesNewRomanPSMT"/>
        </w:rPr>
        <w:t>jāņem vērā testu vērtēšanā.</w:t>
      </w:r>
    </w:p>
    <w:p w14:paraId="2D76212F" w14:textId="6FA39C2F" w:rsidR="00AE2470" w:rsidRDefault="00AE2470" w:rsidP="00AE2470">
      <w:pPr>
        <w:autoSpaceDE w:val="0"/>
        <w:autoSpaceDN w:val="0"/>
        <w:spacing w:line="276" w:lineRule="auto"/>
        <w:jc w:val="both"/>
        <w:rPr>
          <w:rFonts w:ascii="TimesNewRomanPSMT" w:hAnsi="TimesNewRomanPSMT"/>
        </w:rPr>
      </w:pPr>
      <w:r w:rsidRPr="00AE2470">
        <w:rPr>
          <w:rFonts w:ascii="TimesNewRomanPSMT" w:hAnsi="TimesNewRomanPSMT"/>
        </w:rPr>
        <w:t>I</w:t>
      </w:r>
      <w:r w:rsidRPr="00AE2470">
        <w:rPr>
          <w:rFonts w:ascii="TimesNewRomanPSMT" w:hAnsi="TimesNewRomanPSMT"/>
        </w:rPr>
        <w:t>estādei var</w:t>
      </w:r>
      <w:r w:rsidRPr="00AE2470">
        <w:rPr>
          <w:rFonts w:ascii="TimesNewRomanPSMT" w:hAnsi="TimesNewRomanPSMT"/>
        </w:rPr>
        <w:t xml:space="preserve"> iesniegt testēšanas pārskatus, kas atbilst minētās metroloģijas rekomendācijas prasībām, bet var iesniegt arī citādus pārskatus, ja vien tie dod iespēju iestādei pārliecināties, ka no šiem pārskatiem izriet, ka alkometri atbilst tehniskajiem parametriem.</w:t>
      </w:r>
    </w:p>
    <w:p w14:paraId="14E580D1" w14:textId="72AB9C3A" w:rsidR="006F076E" w:rsidRPr="00811EB9" w:rsidRDefault="006F076E" w:rsidP="00AE2470">
      <w:pPr>
        <w:pStyle w:val="BodyText2"/>
        <w:spacing w:after="0" w:line="276" w:lineRule="auto"/>
        <w:ind w:right="-141"/>
        <w:rPr>
          <w:lang w:val="lv-LV"/>
        </w:rPr>
      </w:pPr>
    </w:p>
    <w:p w14:paraId="368F039A" w14:textId="77777777" w:rsidR="00AE2470" w:rsidRPr="00AE2470" w:rsidRDefault="00AE2470" w:rsidP="00AE2470">
      <w:pPr>
        <w:spacing w:line="276" w:lineRule="auto"/>
        <w:jc w:val="center"/>
        <w:rPr>
          <w:b/>
        </w:rPr>
      </w:pPr>
      <w:r w:rsidRPr="00AE2470">
        <w:rPr>
          <w:b/>
        </w:rPr>
        <w:t>Latvijas Republikas Senāta</w:t>
      </w:r>
    </w:p>
    <w:p w14:paraId="5BE071D9" w14:textId="0FDDD77E" w:rsidR="00BB70E7" w:rsidRPr="00AE2470" w:rsidRDefault="00AE2470" w:rsidP="00AE2470">
      <w:pPr>
        <w:spacing w:line="276" w:lineRule="auto"/>
        <w:jc w:val="center"/>
        <w:rPr>
          <w:b/>
        </w:rPr>
      </w:pPr>
      <w:r w:rsidRPr="00AE2470">
        <w:rPr>
          <w:b/>
        </w:rPr>
        <w:t xml:space="preserve">Administratīvo lietu departamenta </w:t>
      </w:r>
    </w:p>
    <w:p w14:paraId="4CA0B891" w14:textId="4CD56A91" w:rsidR="00AE2470" w:rsidRPr="00AE2470" w:rsidRDefault="00AE2470" w:rsidP="00AE2470">
      <w:pPr>
        <w:spacing w:line="276" w:lineRule="auto"/>
        <w:jc w:val="center"/>
        <w:rPr>
          <w:b/>
        </w:rPr>
      </w:pPr>
      <w:r w:rsidRPr="00AE2470">
        <w:rPr>
          <w:b/>
        </w:rPr>
        <w:t>2022.gada 31.augusta</w:t>
      </w:r>
    </w:p>
    <w:p w14:paraId="4C7C7869" w14:textId="77777777" w:rsidR="00BB70E7" w:rsidRPr="00AE2470" w:rsidRDefault="00BB70E7" w:rsidP="00AE2470">
      <w:pPr>
        <w:spacing w:line="276" w:lineRule="auto"/>
        <w:jc w:val="center"/>
        <w:rPr>
          <w:b/>
        </w:rPr>
      </w:pPr>
      <w:r w:rsidRPr="00AE2470">
        <w:rPr>
          <w:b/>
        </w:rPr>
        <w:t xml:space="preserve">SPRIEDUMS </w:t>
      </w:r>
    </w:p>
    <w:p w14:paraId="11D9735C" w14:textId="77777777" w:rsidR="00AE2470" w:rsidRPr="00AE2470" w:rsidRDefault="00AE2470" w:rsidP="00AE2470">
      <w:pPr>
        <w:spacing w:line="276" w:lineRule="auto"/>
        <w:ind w:right="-141"/>
        <w:jc w:val="center"/>
        <w:rPr>
          <w:b/>
        </w:rPr>
      </w:pPr>
      <w:r w:rsidRPr="00AE2470">
        <w:rPr>
          <w:b/>
        </w:rPr>
        <w:t>Lieta Nr. A420144618, SKA-327/2022</w:t>
      </w:r>
    </w:p>
    <w:p w14:paraId="5E2B54E8" w14:textId="723F87C7" w:rsidR="00AE2470" w:rsidRPr="00811EB9" w:rsidRDefault="00AE2470" w:rsidP="00AE2470">
      <w:pPr>
        <w:spacing w:line="276" w:lineRule="auto"/>
        <w:ind w:right="-141"/>
        <w:jc w:val="center"/>
      </w:pPr>
      <w:hyperlink r:id="rId8" w:history="1">
        <w:r w:rsidRPr="00561047">
          <w:rPr>
            <w:rStyle w:val="Hyperlink"/>
          </w:rPr>
          <w:t>ECLI:LV:AT:2022:0831.A420144618.27.S</w:t>
        </w:r>
      </w:hyperlink>
      <w:r>
        <w:t xml:space="preserve"> </w:t>
      </w:r>
    </w:p>
    <w:p w14:paraId="5B72B52F" w14:textId="77777777" w:rsidR="00BB70E7" w:rsidRPr="00811EB9" w:rsidRDefault="00BB70E7" w:rsidP="00AE2470">
      <w:pPr>
        <w:spacing w:line="276" w:lineRule="auto"/>
        <w:jc w:val="center"/>
      </w:pPr>
    </w:p>
    <w:p w14:paraId="41DD0DDF" w14:textId="10AA0C07" w:rsidR="00BB70E7" w:rsidRPr="00811EB9" w:rsidRDefault="00BB6FF6" w:rsidP="00AE2470">
      <w:pPr>
        <w:spacing w:line="276" w:lineRule="auto"/>
        <w:ind w:firstLine="567"/>
        <w:jc w:val="both"/>
      </w:pPr>
      <w:r w:rsidRPr="00E1461F">
        <w:t>Tiesa šādā sastāvā: senator</w:t>
      </w:r>
      <w:r>
        <w:t>es Jautrīte Briede</w:t>
      </w:r>
      <w:r w:rsidRPr="00E1461F">
        <w:t xml:space="preserve">, </w:t>
      </w:r>
      <w:r>
        <w:t>Veronika Krūmiņa</w:t>
      </w:r>
      <w:r w:rsidRPr="00E1461F">
        <w:t xml:space="preserve"> un </w:t>
      </w:r>
      <w:r>
        <w:t>Lauma Paegļkalna,</w:t>
      </w:r>
    </w:p>
    <w:p w14:paraId="70CFDAF4" w14:textId="762A042F" w:rsidR="00BB70E7" w:rsidRPr="00811EB9" w:rsidRDefault="00BB70E7" w:rsidP="00AE2470">
      <w:pPr>
        <w:spacing w:line="276" w:lineRule="auto"/>
        <w:ind w:firstLine="567"/>
        <w:jc w:val="both"/>
      </w:pPr>
    </w:p>
    <w:p w14:paraId="2E378CC3" w14:textId="35C66B5F" w:rsidR="00BB70E7" w:rsidRPr="00811EB9" w:rsidRDefault="00BB70E7" w:rsidP="00AE2470">
      <w:pPr>
        <w:spacing w:line="276" w:lineRule="auto"/>
        <w:ind w:firstLine="567"/>
        <w:jc w:val="both"/>
      </w:pPr>
      <w:r w:rsidRPr="00811EB9">
        <w:t xml:space="preserve">piedaloties pieteicējas </w:t>
      </w:r>
      <w:r w:rsidRPr="00811EB9">
        <w:rPr>
          <w:rFonts w:asciiTheme="majorBidi" w:hAnsiTheme="majorBidi" w:cstheme="majorBidi"/>
        </w:rPr>
        <w:t xml:space="preserve">SIA „NRDATA POS” </w:t>
      </w:r>
      <w:r w:rsidRPr="00811EB9">
        <w:t xml:space="preserve">pārstāvim </w:t>
      </w:r>
      <w:r w:rsidR="00AE2470">
        <w:t xml:space="preserve">[pers. A] </w:t>
      </w:r>
      <w:r w:rsidR="00CB1E32">
        <w:t>un</w:t>
      </w:r>
      <w:r w:rsidRPr="00811EB9">
        <w:t xml:space="preserve"> atbildētājas Latvijas Republikas pusē pieaicinātās iestādes SIA „Latvijas nacionālais metroloģijas centrs” pārstāv</w:t>
      </w:r>
      <w:r w:rsidR="00D5730E">
        <w:t>j</w:t>
      </w:r>
      <w:r w:rsidRPr="00811EB9">
        <w:t>i</w:t>
      </w:r>
      <w:r w:rsidR="00D5730E">
        <w:t>e</w:t>
      </w:r>
      <w:r w:rsidRPr="00811EB9">
        <w:t xml:space="preserve">m </w:t>
      </w:r>
      <w:r w:rsidR="00AE2470">
        <w:t xml:space="preserve">[pers. B] </w:t>
      </w:r>
      <w:r w:rsidR="00D5730E">
        <w:t>un</w:t>
      </w:r>
      <w:r w:rsidR="00BB6FF6">
        <w:t xml:space="preserve"> </w:t>
      </w:r>
      <w:r w:rsidR="00AE2470">
        <w:t>[pers. </w:t>
      </w:r>
      <w:r w:rsidR="00AE2470">
        <w:t>C</w:t>
      </w:r>
      <w:r w:rsidR="00AE2470">
        <w:t xml:space="preserve">] </w:t>
      </w:r>
      <w:r w:rsidRPr="00811EB9">
        <w:t xml:space="preserve">un zvērinātam advokātam </w:t>
      </w:r>
      <w:r w:rsidR="002A01C2">
        <w:t>Sergejam Lukašinam</w:t>
      </w:r>
      <w:r w:rsidR="000304E6">
        <w:t>,</w:t>
      </w:r>
    </w:p>
    <w:p w14:paraId="24E517A1" w14:textId="77777777" w:rsidR="00BB70E7" w:rsidRPr="00811EB9" w:rsidRDefault="00BB70E7" w:rsidP="00AE2470">
      <w:pPr>
        <w:spacing w:line="276" w:lineRule="auto"/>
        <w:ind w:firstLine="567"/>
      </w:pPr>
    </w:p>
    <w:p w14:paraId="471E01F5" w14:textId="795551F1" w:rsidR="00BB70E7" w:rsidRPr="00811EB9" w:rsidRDefault="00BB70E7" w:rsidP="00AE2470">
      <w:pPr>
        <w:spacing w:line="276" w:lineRule="auto"/>
        <w:ind w:firstLine="567"/>
        <w:jc w:val="both"/>
      </w:pPr>
      <w:r w:rsidRPr="00811EB9">
        <w:lastRenderedPageBreak/>
        <w:t>atklātā</w:t>
      </w:r>
      <w:r w:rsidR="000304E6">
        <w:t xml:space="preserve"> </w:t>
      </w:r>
      <w:r w:rsidRPr="00811EB9">
        <w:t xml:space="preserve">tiesas sēdē izskatīja administratīvo lietu, kas ierosināta, pamatojoties uz </w:t>
      </w:r>
      <w:r w:rsidR="0064530A" w:rsidRPr="00811EB9">
        <w:rPr>
          <w:rFonts w:asciiTheme="majorBidi" w:hAnsiTheme="majorBidi" w:cstheme="majorBidi"/>
        </w:rPr>
        <w:t>SIA „NRDATA POS”</w:t>
      </w:r>
      <w:r w:rsidR="0064530A">
        <w:rPr>
          <w:rFonts w:asciiTheme="majorBidi" w:hAnsiTheme="majorBidi" w:cstheme="majorBidi"/>
        </w:rPr>
        <w:t xml:space="preserve"> </w:t>
      </w:r>
      <w:r w:rsidRPr="00811EB9">
        <w:t>pieteikumu</w:t>
      </w:r>
      <w:r w:rsidR="00E848CA" w:rsidRPr="00811EB9">
        <w:t xml:space="preserve"> </w:t>
      </w:r>
      <w:r w:rsidR="00BB6FF6">
        <w:t xml:space="preserve">par </w:t>
      </w:r>
      <w:r w:rsidR="00BB6FF6" w:rsidRPr="00BB6FF6">
        <w:t>2017.gada 2.augusta un 18.septembra vēstu</w:t>
      </w:r>
      <w:r w:rsidR="00BB6FF6">
        <w:t xml:space="preserve">ļu prettiesiskuma konstatēšanu </w:t>
      </w:r>
      <w:r w:rsidR="00E848CA" w:rsidRPr="00811EB9">
        <w:rPr>
          <w:rFonts w:asciiTheme="majorBidi" w:hAnsiTheme="majorBidi" w:cstheme="majorBidi"/>
        </w:rPr>
        <w:t>un alkometru tipu apstiprinājuma sertifikātu</w:t>
      </w:r>
      <w:r w:rsidR="00BB6FF6">
        <w:rPr>
          <w:rFonts w:asciiTheme="majorBidi" w:hAnsiTheme="majorBidi" w:cstheme="majorBidi"/>
        </w:rPr>
        <w:t xml:space="preserve"> izsniegšanu</w:t>
      </w:r>
      <w:r w:rsidR="00E848CA" w:rsidRPr="00811EB9">
        <w:t xml:space="preserve">, saistībā ar </w:t>
      </w:r>
      <w:r w:rsidR="00E848CA" w:rsidRPr="00811EB9">
        <w:rPr>
          <w:rFonts w:asciiTheme="majorBidi" w:hAnsiTheme="majorBidi" w:cstheme="majorBidi"/>
        </w:rPr>
        <w:t xml:space="preserve">SIA „NRDATA POS” </w:t>
      </w:r>
      <w:r w:rsidR="00E848CA" w:rsidRPr="00811EB9">
        <w:t xml:space="preserve">kasācijas sūdzību par Administratīvās apgabaltiesas </w:t>
      </w:r>
      <w:r w:rsidR="00E848CA" w:rsidRPr="00811EB9">
        <w:rPr>
          <w:rFonts w:asciiTheme="majorBidi" w:hAnsiTheme="majorBidi" w:cstheme="majorBidi"/>
        </w:rPr>
        <w:t xml:space="preserve">2020.gada 26.novembra </w:t>
      </w:r>
      <w:r w:rsidR="00E848CA" w:rsidRPr="00811EB9">
        <w:t>spriedumu.</w:t>
      </w:r>
    </w:p>
    <w:p w14:paraId="1811EBBD" w14:textId="77777777" w:rsidR="00E848CA" w:rsidRPr="00811EB9" w:rsidRDefault="00E848CA" w:rsidP="00AE2470">
      <w:pPr>
        <w:spacing w:line="276" w:lineRule="auto"/>
        <w:ind w:firstLine="567"/>
        <w:jc w:val="both"/>
      </w:pPr>
    </w:p>
    <w:p w14:paraId="06479970" w14:textId="6D9E1C55" w:rsidR="00BB70E7" w:rsidRPr="00811EB9" w:rsidRDefault="00E848CA" w:rsidP="00AE2470">
      <w:pPr>
        <w:spacing w:line="276" w:lineRule="auto"/>
        <w:jc w:val="center"/>
        <w:rPr>
          <w:b/>
        </w:rPr>
      </w:pPr>
      <w:r w:rsidRPr="00811EB9">
        <w:rPr>
          <w:b/>
        </w:rPr>
        <w:t>Aprakstošā daļa</w:t>
      </w:r>
    </w:p>
    <w:p w14:paraId="602F2FE2" w14:textId="77777777" w:rsidR="00BB70E7" w:rsidRPr="00811EB9" w:rsidRDefault="00BB70E7" w:rsidP="00AE2470">
      <w:pPr>
        <w:spacing w:line="276" w:lineRule="auto"/>
        <w:ind w:firstLine="567"/>
        <w:jc w:val="both"/>
      </w:pPr>
    </w:p>
    <w:p w14:paraId="4DE516CE" w14:textId="01606C01" w:rsidR="00E848CA" w:rsidRDefault="007C7CB1" w:rsidP="00AE2470">
      <w:pPr>
        <w:spacing w:line="276" w:lineRule="auto"/>
        <w:ind w:firstLine="567"/>
        <w:jc w:val="both"/>
        <w:rPr>
          <w:rFonts w:asciiTheme="majorBidi" w:hAnsiTheme="majorBidi" w:cstheme="majorBidi"/>
        </w:rPr>
      </w:pPr>
      <w:r w:rsidRPr="00811EB9">
        <w:t>[1]</w:t>
      </w:r>
      <w:r w:rsidR="00282664">
        <w:t xml:space="preserve"> </w:t>
      </w:r>
      <w:r w:rsidR="004312C2" w:rsidRPr="00811EB9">
        <w:rPr>
          <w:rFonts w:asciiTheme="majorBidi" w:hAnsiTheme="majorBidi" w:cstheme="majorBidi"/>
        </w:rPr>
        <w:t xml:space="preserve">Pieteicēja SIA „NRDATA POS” </w:t>
      </w:r>
      <w:r w:rsidR="00E848CA" w:rsidRPr="00811EB9">
        <w:rPr>
          <w:rFonts w:asciiTheme="majorBidi" w:hAnsiTheme="majorBidi" w:cstheme="majorBidi"/>
        </w:rPr>
        <w:t xml:space="preserve">2017.gadā vērsās </w:t>
      </w:r>
      <w:r w:rsidR="004312C2" w:rsidRPr="00811EB9">
        <w:rPr>
          <w:rFonts w:asciiTheme="majorBidi" w:hAnsiTheme="majorBidi" w:cstheme="majorBidi"/>
        </w:rPr>
        <w:t>SIA „Latvijas nacionālais metroloģijas centrs” Metroloģijas biroj</w:t>
      </w:r>
      <w:r w:rsidR="00E848CA" w:rsidRPr="00811EB9">
        <w:rPr>
          <w:rFonts w:asciiTheme="majorBidi" w:hAnsiTheme="majorBidi" w:cstheme="majorBidi"/>
        </w:rPr>
        <w:t>ā</w:t>
      </w:r>
      <w:r w:rsidR="004312C2" w:rsidRPr="00811EB9">
        <w:rPr>
          <w:rFonts w:asciiTheme="majorBidi" w:hAnsiTheme="majorBidi" w:cstheme="majorBidi"/>
        </w:rPr>
        <w:t xml:space="preserve"> (turpmāk – birojs) </w:t>
      </w:r>
      <w:r w:rsidR="00E848CA" w:rsidRPr="00811EB9">
        <w:rPr>
          <w:rFonts w:asciiTheme="majorBidi" w:hAnsiTheme="majorBidi" w:cstheme="majorBidi"/>
        </w:rPr>
        <w:t xml:space="preserve">ar </w:t>
      </w:r>
      <w:r w:rsidR="005820EB">
        <w:rPr>
          <w:rFonts w:asciiTheme="majorBidi" w:hAnsiTheme="majorBidi" w:cstheme="majorBidi"/>
        </w:rPr>
        <w:t>lūgumu</w:t>
      </w:r>
      <w:r w:rsidR="00E848CA" w:rsidRPr="00811EB9">
        <w:rPr>
          <w:rFonts w:asciiTheme="majorBidi" w:hAnsiTheme="majorBidi" w:cstheme="majorBidi"/>
        </w:rPr>
        <w:t xml:space="preserve"> </w:t>
      </w:r>
      <w:r w:rsidR="004312C2" w:rsidRPr="00811EB9">
        <w:rPr>
          <w:rFonts w:asciiTheme="majorBidi" w:hAnsiTheme="majorBidi" w:cstheme="majorBidi"/>
        </w:rPr>
        <w:t xml:space="preserve">apstiprināt </w:t>
      </w:r>
      <w:r w:rsidR="005820EB">
        <w:rPr>
          <w:rFonts w:asciiTheme="majorBidi" w:hAnsiTheme="majorBidi" w:cstheme="majorBidi"/>
        </w:rPr>
        <w:t>divu</w:t>
      </w:r>
      <w:r w:rsidR="00C9626F">
        <w:rPr>
          <w:rFonts w:asciiTheme="majorBidi" w:hAnsiTheme="majorBidi" w:cstheme="majorBidi"/>
        </w:rPr>
        <w:t>s</w:t>
      </w:r>
      <w:r w:rsidR="005820EB">
        <w:rPr>
          <w:rFonts w:asciiTheme="majorBidi" w:hAnsiTheme="majorBidi" w:cstheme="majorBidi"/>
        </w:rPr>
        <w:t xml:space="preserve"> </w:t>
      </w:r>
      <w:r w:rsidR="004312C2" w:rsidRPr="00811EB9">
        <w:rPr>
          <w:rFonts w:asciiTheme="majorBidi" w:hAnsiTheme="majorBidi" w:cstheme="majorBidi"/>
        </w:rPr>
        <w:t>alkometru tipus.</w:t>
      </w:r>
      <w:r w:rsidR="00AA3C14">
        <w:rPr>
          <w:rFonts w:asciiTheme="majorBidi" w:hAnsiTheme="majorBidi" w:cstheme="majorBidi"/>
        </w:rPr>
        <w:t xml:space="preserve"> </w:t>
      </w:r>
      <w:r w:rsidR="005820EB">
        <w:rPr>
          <w:rFonts w:asciiTheme="majorBidi" w:hAnsiTheme="majorBidi" w:cstheme="majorBidi"/>
        </w:rPr>
        <w:t>B</w:t>
      </w:r>
      <w:r w:rsidR="005820EB" w:rsidRPr="005820EB">
        <w:rPr>
          <w:rFonts w:asciiTheme="majorBidi" w:hAnsiTheme="majorBidi" w:cstheme="majorBidi"/>
        </w:rPr>
        <w:t>irojs nosūtīja pieteicējai elektroniskā pasta</w:t>
      </w:r>
      <w:r w:rsidR="005820EB">
        <w:rPr>
          <w:rFonts w:asciiTheme="majorBidi" w:hAnsiTheme="majorBidi" w:cstheme="majorBidi"/>
        </w:rPr>
        <w:t xml:space="preserve"> </w:t>
      </w:r>
      <w:r w:rsidR="005820EB" w:rsidRPr="005820EB">
        <w:rPr>
          <w:rFonts w:asciiTheme="majorBidi" w:hAnsiTheme="majorBidi" w:cstheme="majorBidi"/>
        </w:rPr>
        <w:t xml:space="preserve">vēstuli, norādot, ka birojs </w:t>
      </w:r>
      <w:r w:rsidR="007E4D78" w:rsidRPr="005820EB">
        <w:rPr>
          <w:rFonts w:asciiTheme="majorBidi" w:hAnsiTheme="majorBidi" w:cstheme="majorBidi"/>
        </w:rPr>
        <w:t>apstiprin</w:t>
      </w:r>
      <w:r w:rsidR="007E4D78">
        <w:rPr>
          <w:rFonts w:asciiTheme="majorBidi" w:hAnsiTheme="majorBidi" w:cstheme="majorBidi"/>
        </w:rPr>
        <w:t xml:space="preserve">a </w:t>
      </w:r>
      <w:r w:rsidR="007E4D78" w:rsidRPr="005820EB">
        <w:rPr>
          <w:rFonts w:asciiTheme="majorBidi" w:hAnsiTheme="majorBidi" w:cstheme="majorBidi"/>
        </w:rPr>
        <w:t>tip</w:t>
      </w:r>
      <w:r w:rsidR="007E4D78">
        <w:rPr>
          <w:rFonts w:asciiTheme="majorBidi" w:hAnsiTheme="majorBidi" w:cstheme="majorBidi"/>
        </w:rPr>
        <w:t>us</w:t>
      </w:r>
      <w:r w:rsidR="007E4D78" w:rsidRPr="005820EB">
        <w:rPr>
          <w:rFonts w:asciiTheme="majorBidi" w:hAnsiTheme="majorBidi" w:cstheme="majorBidi"/>
        </w:rPr>
        <w:t xml:space="preserve"> </w:t>
      </w:r>
      <w:r w:rsidR="005820EB" w:rsidRPr="005820EB">
        <w:rPr>
          <w:rFonts w:asciiTheme="majorBidi" w:hAnsiTheme="majorBidi" w:cstheme="majorBidi"/>
        </w:rPr>
        <w:t xml:space="preserve">alkometriem, kuri atbilst </w:t>
      </w:r>
      <w:r w:rsidR="005820EB" w:rsidRPr="00811EB9">
        <w:t>Starptautiskās reglamentētās metodoloģijas organizācijas (</w:t>
      </w:r>
      <w:r w:rsidR="005820EB" w:rsidRPr="00811EB9">
        <w:rPr>
          <w:i/>
          <w:iCs/>
        </w:rPr>
        <w:t>International Organization of Legal Metrology</w:t>
      </w:r>
      <w:r w:rsidR="005820EB" w:rsidRPr="00811EB9">
        <w:t xml:space="preserve">) (turpmāk – Metodoloģijas organizācija) </w:t>
      </w:r>
      <w:r w:rsidR="005820EB" w:rsidRPr="00811EB9">
        <w:rPr>
          <w:rFonts w:asciiTheme="majorBidi" w:hAnsiTheme="majorBidi" w:cstheme="majorBidi"/>
        </w:rPr>
        <w:t>rekomendācij</w:t>
      </w:r>
      <w:r w:rsidR="005820EB">
        <w:rPr>
          <w:rFonts w:asciiTheme="majorBidi" w:hAnsiTheme="majorBidi" w:cstheme="majorBidi"/>
        </w:rPr>
        <w:t>ai</w:t>
      </w:r>
      <w:r w:rsidR="005820EB" w:rsidRPr="00811EB9">
        <w:rPr>
          <w:rFonts w:asciiTheme="majorBidi" w:hAnsiTheme="majorBidi" w:cstheme="majorBidi"/>
        </w:rPr>
        <w:t xml:space="preserve"> OIML R126:2012 „</w:t>
      </w:r>
      <w:r w:rsidR="00BB06A2">
        <w:rPr>
          <w:rFonts w:asciiTheme="majorBidi" w:hAnsiTheme="majorBidi" w:cstheme="majorBidi"/>
        </w:rPr>
        <w:t>Ize</w:t>
      </w:r>
      <w:r w:rsidR="005820EB" w:rsidRPr="00811EB9">
        <w:rPr>
          <w:rFonts w:asciiTheme="majorBidi" w:hAnsiTheme="majorBidi" w:cstheme="majorBidi"/>
        </w:rPr>
        <w:t xml:space="preserve">lpas </w:t>
      </w:r>
      <w:r w:rsidR="00F81B37">
        <w:rPr>
          <w:rFonts w:asciiTheme="majorBidi" w:hAnsiTheme="majorBidi" w:cstheme="majorBidi"/>
        </w:rPr>
        <w:t>analizētāji</w:t>
      </w:r>
      <w:r w:rsidR="00BB06A2">
        <w:rPr>
          <w:rFonts w:asciiTheme="majorBidi" w:hAnsiTheme="majorBidi" w:cstheme="majorBidi"/>
        </w:rPr>
        <w:t xml:space="preserve"> pierādīšana</w:t>
      </w:r>
      <w:r w:rsidR="00F81B37">
        <w:rPr>
          <w:rFonts w:asciiTheme="majorBidi" w:hAnsiTheme="majorBidi" w:cstheme="majorBidi"/>
        </w:rPr>
        <w:t>s mērķiem</w:t>
      </w:r>
      <w:r w:rsidR="005820EB" w:rsidRPr="00811EB9">
        <w:rPr>
          <w:rFonts w:asciiTheme="majorBidi" w:hAnsiTheme="majorBidi" w:cstheme="majorBidi"/>
        </w:rPr>
        <w:t>”</w:t>
      </w:r>
      <w:r w:rsidR="001A1310">
        <w:rPr>
          <w:rFonts w:asciiTheme="majorBidi" w:hAnsiTheme="majorBidi" w:cstheme="majorBidi"/>
        </w:rPr>
        <w:t xml:space="preserve"> (</w:t>
      </w:r>
      <w:r w:rsidR="001A1310" w:rsidRPr="001A1310">
        <w:rPr>
          <w:rFonts w:asciiTheme="majorBidi" w:hAnsiTheme="majorBidi" w:cstheme="majorBidi"/>
          <w:i/>
          <w:iCs/>
        </w:rPr>
        <w:t>Evidential breath analyzers</w:t>
      </w:r>
      <w:r w:rsidR="001A1310">
        <w:rPr>
          <w:rFonts w:asciiTheme="majorBidi" w:hAnsiTheme="majorBidi" w:cstheme="majorBidi"/>
        </w:rPr>
        <w:t>)</w:t>
      </w:r>
      <w:r w:rsidR="005820EB" w:rsidRPr="00811EB9">
        <w:rPr>
          <w:rFonts w:asciiTheme="majorBidi" w:hAnsiTheme="majorBidi" w:cstheme="majorBidi"/>
        </w:rPr>
        <w:t xml:space="preserve"> (turpmāk – </w:t>
      </w:r>
      <w:r w:rsidR="00BB06A2">
        <w:rPr>
          <w:rFonts w:asciiTheme="majorBidi" w:hAnsiTheme="majorBidi" w:cstheme="majorBidi"/>
        </w:rPr>
        <w:t xml:space="preserve">Metroloģijas </w:t>
      </w:r>
      <w:r w:rsidR="005820EB" w:rsidRPr="00811EB9">
        <w:rPr>
          <w:rFonts w:asciiTheme="majorBidi" w:hAnsiTheme="majorBidi" w:cstheme="majorBidi"/>
        </w:rPr>
        <w:t>rekomendācija</w:t>
      </w:r>
      <w:r w:rsidR="005820EB">
        <w:rPr>
          <w:rFonts w:asciiTheme="majorBidi" w:hAnsiTheme="majorBidi" w:cstheme="majorBidi"/>
        </w:rPr>
        <w:t xml:space="preserve">). </w:t>
      </w:r>
      <w:r w:rsidR="00AA3C14">
        <w:rPr>
          <w:rFonts w:asciiTheme="majorBidi" w:hAnsiTheme="majorBidi" w:cstheme="majorBidi"/>
        </w:rPr>
        <w:t>Pēc vairākiem mēnešiem b</w:t>
      </w:r>
      <w:r w:rsidR="004312C2" w:rsidRPr="00811EB9">
        <w:rPr>
          <w:rFonts w:asciiTheme="majorBidi" w:hAnsiTheme="majorBidi" w:cstheme="majorBidi"/>
        </w:rPr>
        <w:t xml:space="preserve">irojs </w:t>
      </w:r>
      <w:r w:rsidR="0064530A">
        <w:rPr>
          <w:rFonts w:asciiTheme="majorBidi" w:hAnsiTheme="majorBidi" w:cstheme="majorBidi"/>
        </w:rPr>
        <w:t xml:space="preserve">informēja pieteicēju, </w:t>
      </w:r>
      <w:r w:rsidR="0064530A">
        <w:rPr>
          <w:rFonts w:asciiTheme="majorBidi" w:hAnsiTheme="majorBidi" w:cstheme="majorBidi"/>
        </w:rPr>
        <w:lastRenderedPageBreak/>
        <w:t xml:space="preserve">ka mērīšanas līdzekļu </w:t>
      </w:r>
      <w:r w:rsidR="0064530A" w:rsidRPr="0064530A">
        <w:rPr>
          <w:rFonts w:asciiTheme="majorBidi" w:hAnsiTheme="majorBidi" w:cstheme="majorBidi"/>
        </w:rPr>
        <w:t>atbilstības izvērtēšana ir iesākta</w:t>
      </w:r>
      <w:r w:rsidR="0064530A">
        <w:rPr>
          <w:rFonts w:asciiTheme="majorBidi" w:hAnsiTheme="majorBidi" w:cstheme="majorBidi"/>
        </w:rPr>
        <w:t xml:space="preserve">, </w:t>
      </w:r>
      <w:r w:rsidR="0064530A" w:rsidRPr="0064530A">
        <w:rPr>
          <w:rFonts w:asciiTheme="majorBidi" w:hAnsiTheme="majorBidi" w:cstheme="majorBidi"/>
        </w:rPr>
        <w:t>bet nav pabeigta, jo</w:t>
      </w:r>
      <w:r w:rsidR="0064530A">
        <w:rPr>
          <w:rFonts w:asciiTheme="majorBidi" w:hAnsiTheme="majorBidi" w:cstheme="majorBidi"/>
        </w:rPr>
        <w:t xml:space="preserve"> pieteicējai ir jāiesniedz </w:t>
      </w:r>
      <w:r w:rsidR="0064530A" w:rsidRPr="0064530A">
        <w:rPr>
          <w:rFonts w:asciiTheme="majorBidi" w:hAnsiTheme="majorBidi" w:cstheme="majorBidi"/>
        </w:rPr>
        <w:t>alkometru testēšanas pārskat</w:t>
      </w:r>
      <w:r w:rsidR="0064530A">
        <w:rPr>
          <w:rFonts w:asciiTheme="majorBidi" w:hAnsiTheme="majorBidi" w:cstheme="majorBidi"/>
        </w:rPr>
        <w:t xml:space="preserve">i </w:t>
      </w:r>
      <w:r w:rsidR="0064530A" w:rsidRPr="0064530A">
        <w:rPr>
          <w:rFonts w:asciiTheme="majorBidi" w:hAnsiTheme="majorBidi" w:cstheme="majorBidi"/>
        </w:rPr>
        <w:t xml:space="preserve">atbilstoši </w:t>
      </w:r>
      <w:r w:rsidR="004312C2" w:rsidRPr="00811EB9">
        <w:rPr>
          <w:rFonts w:asciiTheme="majorBidi" w:hAnsiTheme="majorBidi" w:cstheme="majorBidi"/>
        </w:rPr>
        <w:t>rekomendācij</w:t>
      </w:r>
      <w:r w:rsidR="005820EB">
        <w:rPr>
          <w:rFonts w:asciiTheme="majorBidi" w:hAnsiTheme="majorBidi" w:cstheme="majorBidi"/>
        </w:rPr>
        <w:t>ai</w:t>
      </w:r>
      <w:r w:rsidR="004312C2" w:rsidRPr="00811EB9">
        <w:rPr>
          <w:rFonts w:asciiTheme="majorBidi" w:hAnsiTheme="majorBidi" w:cstheme="majorBidi"/>
        </w:rPr>
        <w:t xml:space="preserve">. </w:t>
      </w:r>
      <w:r w:rsidR="007A2C5F">
        <w:rPr>
          <w:rFonts w:asciiTheme="majorBidi" w:hAnsiTheme="majorBidi" w:cstheme="majorBidi"/>
        </w:rPr>
        <w:t xml:space="preserve">Pieteicēja </w:t>
      </w:r>
      <w:r w:rsidR="00C9626F">
        <w:rPr>
          <w:rFonts w:asciiTheme="majorBidi" w:hAnsiTheme="majorBidi" w:cstheme="majorBidi"/>
        </w:rPr>
        <w:t>jaunus</w:t>
      </w:r>
      <w:r w:rsidR="007A2C5F">
        <w:rPr>
          <w:rFonts w:asciiTheme="majorBidi" w:hAnsiTheme="majorBidi" w:cstheme="majorBidi"/>
        </w:rPr>
        <w:t xml:space="preserve"> pārskatus neiesniedza.</w:t>
      </w:r>
    </w:p>
    <w:p w14:paraId="3C288880" w14:textId="098FBF0B" w:rsidR="00F56EE0" w:rsidRDefault="00F231E5" w:rsidP="00AE2470">
      <w:pPr>
        <w:spacing w:line="276" w:lineRule="auto"/>
        <w:ind w:firstLine="567"/>
        <w:jc w:val="both"/>
      </w:pPr>
      <w:r w:rsidRPr="00F231E5">
        <w:t xml:space="preserve">Pieteicējs vērsās tiesā, jo uzskata, ka </w:t>
      </w:r>
      <w:r w:rsidR="00F56EE0" w:rsidRPr="00F56EE0">
        <w:t xml:space="preserve">birojs </w:t>
      </w:r>
      <w:r w:rsidR="005820EB">
        <w:t>prettiesiski</w:t>
      </w:r>
      <w:r w:rsidR="005820EB" w:rsidRPr="00F56EE0">
        <w:t xml:space="preserve"> </w:t>
      </w:r>
      <w:r w:rsidR="00F56EE0" w:rsidRPr="00F56EE0">
        <w:t xml:space="preserve">nav izdevis </w:t>
      </w:r>
      <w:r w:rsidR="00792653">
        <w:t xml:space="preserve">atbilstoši noformētus </w:t>
      </w:r>
      <w:r w:rsidR="00F56EE0" w:rsidRPr="00F56EE0">
        <w:t>administratīvo</w:t>
      </w:r>
      <w:r w:rsidR="00792653">
        <w:t>s</w:t>
      </w:r>
      <w:r w:rsidR="00F56EE0" w:rsidRPr="00F56EE0">
        <w:t xml:space="preserve"> aktu</w:t>
      </w:r>
      <w:r w:rsidR="00792653">
        <w:t>s</w:t>
      </w:r>
      <w:r w:rsidR="00F56EE0" w:rsidRPr="00F56EE0">
        <w:t xml:space="preserve"> un ka pieteicējai </w:t>
      </w:r>
      <w:r w:rsidR="00AA3C14">
        <w:t>ir tiesības saņemt</w:t>
      </w:r>
      <w:r w:rsidR="00F56EE0" w:rsidRPr="00F56EE0">
        <w:t xml:space="preserve"> pieprasīt</w:t>
      </w:r>
      <w:r w:rsidR="00AA3C14">
        <w:t>os</w:t>
      </w:r>
      <w:r w:rsidR="00F56EE0" w:rsidRPr="00F56EE0">
        <w:t xml:space="preserve"> </w:t>
      </w:r>
      <w:r w:rsidR="00792653" w:rsidRPr="00792653">
        <w:t>sertifikāt</w:t>
      </w:r>
      <w:r w:rsidR="00AA3C14">
        <w:t>us</w:t>
      </w:r>
      <w:r w:rsidR="00792653">
        <w:t>.</w:t>
      </w:r>
    </w:p>
    <w:p w14:paraId="36211ADE" w14:textId="77777777" w:rsidR="00FA3A5E" w:rsidRPr="00811EB9" w:rsidRDefault="00FA3A5E" w:rsidP="00AE2470">
      <w:pPr>
        <w:spacing w:line="276" w:lineRule="auto"/>
        <w:ind w:firstLine="567"/>
        <w:jc w:val="both"/>
      </w:pPr>
    </w:p>
    <w:p w14:paraId="7E412E73" w14:textId="344F4BE0" w:rsidR="00A41C52" w:rsidRPr="00811EB9" w:rsidRDefault="00FA3A5E" w:rsidP="00AE2470">
      <w:pPr>
        <w:spacing w:line="276" w:lineRule="auto"/>
        <w:ind w:firstLine="567"/>
        <w:jc w:val="both"/>
      </w:pPr>
      <w:r w:rsidRPr="00811EB9">
        <w:t xml:space="preserve">[2] </w:t>
      </w:r>
      <w:r w:rsidR="00DF436B" w:rsidRPr="00811EB9">
        <w:t>Apgabaltiesa, pievienojoties rajona tiesas sprieduma</w:t>
      </w:r>
      <w:r w:rsidR="007C3EF8" w:rsidRPr="00811EB9">
        <w:t>m</w:t>
      </w:r>
      <w:r w:rsidR="00DF436B" w:rsidRPr="00811EB9">
        <w:t>, pieteikumu noraidīja.</w:t>
      </w:r>
      <w:r w:rsidR="007C1355" w:rsidRPr="00811EB9">
        <w:t xml:space="preserve"> </w:t>
      </w:r>
      <w:r w:rsidR="000A7544" w:rsidRPr="00811EB9">
        <w:t>Tiesa nepiekrita pieteicējai</w:t>
      </w:r>
      <w:r w:rsidR="007C1355" w:rsidRPr="00811EB9">
        <w:t xml:space="preserve">, ka </w:t>
      </w:r>
      <w:r w:rsidR="00474173">
        <w:t xml:space="preserve">ir </w:t>
      </w:r>
      <w:r w:rsidR="00802B3A">
        <w:t>pietiekami</w:t>
      </w:r>
      <w:r w:rsidR="007C1355" w:rsidRPr="00811EB9">
        <w:t xml:space="preserve"> </w:t>
      </w:r>
      <w:r w:rsidR="00802B3A">
        <w:t>norādīt tikai mērierīču atbilstību</w:t>
      </w:r>
      <w:r w:rsidR="007C1355" w:rsidRPr="00811EB9">
        <w:t xml:space="preserve"> </w:t>
      </w:r>
      <w:r w:rsidR="007C1355" w:rsidRPr="00811EB9">
        <w:rPr>
          <w:rFonts w:asciiTheme="majorBidi" w:hAnsiTheme="majorBidi" w:cstheme="majorBidi"/>
        </w:rPr>
        <w:t xml:space="preserve">Ministru kabineta 2005.gada 20.decembra noteikumi Nr. 977 „Prasības mēraparātiem, ar kuriem nosaka alkohola koncentrāciju personas izelpotajā gaisā” (turpmāk – </w:t>
      </w:r>
      <w:r w:rsidR="000E12BB" w:rsidRPr="00811EB9">
        <w:rPr>
          <w:rFonts w:asciiTheme="majorBidi" w:hAnsiTheme="majorBidi" w:cstheme="majorBidi"/>
        </w:rPr>
        <w:t xml:space="preserve">Mēraparātu </w:t>
      </w:r>
      <w:r w:rsidR="007C1355" w:rsidRPr="00811EB9">
        <w:rPr>
          <w:rFonts w:asciiTheme="majorBidi" w:hAnsiTheme="majorBidi" w:cstheme="majorBidi"/>
        </w:rPr>
        <w:t>noteikumi)</w:t>
      </w:r>
      <w:r w:rsidR="00802B3A">
        <w:t>.</w:t>
      </w:r>
      <w:r w:rsidR="007C1355" w:rsidRPr="00811EB9">
        <w:t xml:space="preserve"> No </w:t>
      </w:r>
      <w:r w:rsidR="007C1355" w:rsidRPr="00811EB9">
        <w:rPr>
          <w:rFonts w:asciiTheme="majorBidi" w:hAnsiTheme="majorBidi" w:cstheme="majorBidi"/>
        </w:rPr>
        <w:t>Ministru kabineta 2014.gada 14.oktobra noteikumu Nr. 624</w:t>
      </w:r>
      <w:r w:rsidRPr="00811EB9">
        <w:rPr>
          <w:rFonts w:asciiTheme="majorBidi" w:hAnsiTheme="majorBidi" w:cstheme="majorBidi"/>
        </w:rPr>
        <w:t xml:space="preserve"> </w:t>
      </w:r>
      <w:r w:rsidR="007C1355" w:rsidRPr="00811EB9">
        <w:rPr>
          <w:rFonts w:asciiTheme="majorBidi" w:hAnsiTheme="majorBidi" w:cstheme="majorBidi"/>
        </w:rPr>
        <w:t xml:space="preserve">„Noteikumi par mērīšanas līdzekļu metroloģiskās kontroles kārtību un pirmreizējās verificēšanas atzīmēm” (turpmāk – </w:t>
      </w:r>
      <w:r w:rsidR="005216D7">
        <w:rPr>
          <w:rFonts w:asciiTheme="majorBidi" w:hAnsiTheme="majorBidi" w:cstheme="majorBidi"/>
        </w:rPr>
        <w:t>Metroloģiskās kontroles</w:t>
      </w:r>
      <w:r w:rsidR="008404E8" w:rsidRPr="00811EB9">
        <w:rPr>
          <w:rFonts w:asciiTheme="majorBidi" w:hAnsiTheme="majorBidi" w:cstheme="majorBidi"/>
        </w:rPr>
        <w:t xml:space="preserve"> </w:t>
      </w:r>
      <w:r w:rsidR="007C1355" w:rsidRPr="00811EB9">
        <w:rPr>
          <w:rFonts w:asciiTheme="majorBidi" w:hAnsiTheme="majorBidi" w:cstheme="majorBidi"/>
        </w:rPr>
        <w:t xml:space="preserve">noteikumi) </w:t>
      </w:r>
      <w:r w:rsidR="007C1355" w:rsidRPr="00811EB9">
        <w:t>izriet, ka</w:t>
      </w:r>
      <w:r w:rsidR="00956FEA" w:rsidRPr="00811EB9">
        <w:t xml:space="preserve"> </w:t>
      </w:r>
      <w:r w:rsidR="00802B3A">
        <w:t xml:space="preserve">iestādei nepieciešams pārbaudīt arī testēšanas pārskatus, kas atbilst </w:t>
      </w:r>
      <w:r w:rsidR="00BB06A2">
        <w:rPr>
          <w:rFonts w:asciiTheme="majorBidi" w:hAnsiTheme="majorBidi" w:cstheme="majorBidi"/>
        </w:rPr>
        <w:t>Metroloģijas</w:t>
      </w:r>
      <w:r w:rsidR="00BB06A2">
        <w:t xml:space="preserve"> </w:t>
      </w:r>
      <w:r w:rsidR="00D267D6">
        <w:t xml:space="preserve">rekomendācijā ietvertajām prasībām. </w:t>
      </w:r>
      <w:r w:rsidR="005749C5">
        <w:t>R</w:t>
      </w:r>
      <w:r w:rsidR="007C1355" w:rsidRPr="00811EB9">
        <w:t>ekomendācija</w:t>
      </w:r>
      <w:r w:rsidR="00627583" w:rsidRPr="00811EB9">
        <w:t xml:space="preserve"> publicēta biroja mājaslapas dokumentu sa</w:t>
      </w:r>
      <w:r w:rsidR="00627583" w:rsidRPr="00811EB9">
        <w:lastRenderedPageBreak/>
        <w:t>rakstā</w:t>
      </w:r>
      <w:r w:rsidR="00027561" w:rsidRPr="00811EB9">
        <w:t>.</w:t>
      </w:r>
      <w:r w:rsidRPr="00811EB9">
        <w:t xml:space="preserve"> </w:t>
      </w:r>
      <w:r w:rsidR="005749C5">
        <w:t>B</w:t>
      </w:r>
      <w:r w:rsidR="007C1355" w:rsidRPr="00811EB9">
        <w:t xml:space="preserve">irojam ir </w:t>
      </w:r>
      <w:r w:rsidR="00157F9A">
        <w:t>jā</w:t>
      </w:r>
      <w:r w:rsidR="007C1355" w:rsidRPr="00811EB9">
        <w:t xml:space="preserve">piemēro </w:t>
      </w:r>
      <w:r w:rsidR="00BB06A2">
        <w:t>š</w:t>
      </w:r>
      <w:r w:rsidR="00157F9A">
        <w:t>ī</w:t>
      </w:r>
      <w:r w:rsidR="00BB06A2">
        <w:t xml:space="preserve"> </w:t>
      </w:r>
      <w:r w:rsidRPr="00811EB9">
        <w:t>rekomendācij</w:t>
      </w:r>
      <w:r w:rsidR="00157F9A">
        <w:t>a</w:t>
      </w:r>
      <w:r w:rsidR="007C1355" w:rsidRPr="00811EB9">
        <w:t>. Apstāklis, ka Latvija nav</w:t>
      </w:r>
      <w:r w:rsidR="004960C4" w:rsidRPr="00811EB9">
        <w:t xml:space="preserve"> Metodoloģijas</w:t>
      </w:r>
      <w:r w:rsidR="007C1355" w:rsidRPr="00811EB9">
        <w:t xml:space="preserve"> </w:t>
      </w:r>
      <w:r w:rsidRPr="00811EB9">
        <w:t xml:space="preserve">organizācijas </w:t>
      </w:r>
      <w:r w:rsidR="007C1355" w:rsidRPr="00811EB9">
        <w:t xml:space="preserve">dalībniece, neliedz piemērot starptautisko dokumentu, </w:t>
      </w:r>
      <w:r w:rsidR="006004F9" w:rsidRPr="00811EB9">
        <w:t>paredzot to</w:t>
      </w:r>
      <w:r w:rsidR="007C1355" w:rsidRPr="00811EB9">
        <w:t xml:space="preserve"> ārējā normatīvajā aktā.</w:t>
      </w:r>
      <w:r w:rsidRPr="00811EB9">
        <w:t xml:space="preserve"> </w:t>
      </w:r>
      <w:r w:rsidR="000A7544" w:rsidRPr="00811EB9">
        <w:t>P</w:t>
      </w:r>
      <w:r w:rsidR="00C0232A" w:rsidRPr="00811EB9">
        <w:t xml:space="preserve">ieteicējas </w:t>
      </w:r>
      <w:r w:rsidR="007C1355" w:rsidRPr="00811EB9">
        <w:t>testēšanas pārskati</w:t>
      </w:r>
      <w:r w:rsidR="000A7544" w:rsidRPr="00811EB9">
        <w:t xml:space="preserve"> neatbilst</w:t>
      </w:r>
      <w:r w:rsidR="007635A4">
        <w:t xml:space="preserve"> </w:t>
      </w:r>
      <w:r w:rsidR="007635A4">
        <w:rPr>
          <w:rFonts w:asciiTheme="majorBidi" w:hAnsiTheme="majorBidi" w:cstheme="majorBidi"/>
        </w:rPr>
        <w:t>Metroloģijas</w:t>
      </w:r>
      <w:r w:rsidR="007C1355" w:rsidRPr="00811EB9">
        <w:t xml:space="preserve"> </w:t>
      </w:r>
      <w:r w:rsidRPr="00811EB9">
        <w:t>rekomendācijas</w:t>
      </w:r>
      <w:r w:rsidR="007C1355" w:rsidRPr="00811EB9">
        <w:t xml:space="preserve"> prasīb</w:t>
      </w:r>
      <w:r w:rsidR="000A7544" w:rsidRPr="00811EB9">
        <w:t>ām</w:t>
      </w:r>
      <w:r w:rsidR="00E01EC9">
        <w:t xml:space="preserve">, bet gan citiem standartiem, kas paredzēti ierīcēm skrīningam, </w:t>
      </w:r>
      <w:r w:rsidR="00E01EC9" w:rsidRPr="00E01EC9">
        <w:t>pagaidu testēšanai</w:t>
      </w:r>
      <w:r w:rsidR="00E01EC9">
        <w:t xml:space="preserve"> un medicīnas aparātiem</w:t>
      </w:r>
      <w:r w:rsidR="007C1355" w:rsidRPr="00811EB9">
        <w:t>.</w:t>
      </w:r>
      <w:r w:rsidR="005E4B64" w:rsidRPr="00811EB9">
        <w:t xml:space="preserve"> </w:t>
      </w:r>
      <w:r w:rsidR="00C0232A" w:rsidRPr="00811EB9">
        <w:t xml:space="preserve">Tā kā pieteicēja </w:t>
      </w:r>
      <w:r w:rsidR="00E67992">
        <w:t>neiesniedza</w:t>
      </w:r>
      <w:r w:rsidR="00C0232A" w:rsidRPr="00811EB9">
        <w:t xml:space="preserve"> </w:t>
      </w:r>
      <w:r w:rsidR="000A7544" w:rsidRPr="00811EB9">
        <w:t>atbilstošu</w:t>
      </w:r>
      <w:r w:rsidR="002C0DE7">
        <w:t>s</w:t>
      </w:r>
      <w:r w:rsidR="00C0232A" w:rsidRPr="00811EB9">
        <w:t xml:space="preserve"> pārskatus</w:t>
      </w:r>
      <w:r w:rsidR="00327613" w:rsidRPr="00811EB9">
        <w:t xml:space="preserve">, birojam nebija </w:t>
      </w:r>
      <w:r w:rsidR="000E12BB" w:rsidRPr="00811EB9">
        <w:t>jā</w:t>
      </w:r>
      <w:r w:rsidR="00327613" w:rsidRPr="00811EB9">
        <w:t>uzsāk</w:t>
      </w:r>
      <w:r w:rsidR="000E12BB" w:rsidRPr="00811EB9">
        <w:t xml:space="preserve"> </w:t>
      </w:r>
      <w:r w:rsidR="00327613" w:rsidRPr="00811EB9">
        <w:t xml:space="preserve">dokumentu </w:t>
      </w:r>
      <w:r w:rsidR="000E12BB" w:rsidRPr="00811EB9">
        <w:t>vērtēšan</w:t>
      </w:r>
      <w:r w:rsidR="0085662F">
        <w:t>a</w:t>
      </w:r>
      <w:r w:rsidR="00C0232A" w:rsidRPr="00811EB9">
        <w:t>.</w:t>
      </w:r>
      <w:r w:rsidR="00A41C52" w:rsidRPr="00811EB9">
        <w:t xml:space="preserve"> </w:t>
      </w:r>
      <w:r w:rsidR="00027561" w:rsidRPr="00811EB9">
        <w:t xml:space="preserve">Birojs </w:t>
      </w:r>
      <w:r w:rsidR="007C1355" w:rsidRPr="00811EB9">
        <w:t>atteic</w:t>
      </w:r>
      <w:r w:rsidR="00E01EC9">
        <w:t>a</w:t>
      </w:r>
      <w:r w:rsidR="007C1355" w:rsidRPr="00811EB9">
        <w:t xml:space="preserve"> izdot pieteicējai labvēlīgu</w:t>
      </w:r>
      <w:r w:rsidR="0085662F">
        <w:t>s</w:t>
      </w:r>
      <w:r w:rsidR="007C1355" w:rsidRPr="00811EB9">
        <w:t xml:space="preserve"> administratīvo</w:t>
      </w:r>
      <w:r w:rsidR="0085662F">
        <w:t>s</w:t>
      </w:r>
      <w:r w:rsidR="007C1355" w:rsidRPr="00811EB9">
        <w:t xml:space="preserve"> aktu</w:t>
      </w:r>
      <w:r w:rsidR="0085662F">
        <w:t>s</w:t>
      </w:r>
      <w:r w:rsidR="007C1355" w:rsidRPr="00811EB9">
        <w:t xml:space="preserve">, to pamatojot, taču </w:t>
      </w:r>
      <w:r w:rsidR="005749C5">
        <w:t xml:space="preserve">nenoformējot to kā </w:t>
      </w:r>
      <w:r w:rsidR="006004F9" w:rsidRPr="00811EB9">
        <w:t>atteikumu</w:t>
      </w:r>
      <w:r w:rsidR="007C1355" w:rsidRPr="00811EB9">
        <w:t xml:space="preserve">. Tas ir nebūtisks procesuāls pārkāpums, jo pieteicēja varēja saprast, ka labvēlīgi administratīvie akti bez </w:t>
      </w:r>
      <w:r w:rsidR="00F279BB" w:rsidRPr="00811EB9">
        <w:t xml:space="preserve">pieprasīto </w:t>
      </w:r>
      <w:r w:rsidR="007C1355" w:rsidRPr="00811EB9">
        <w:t>testēšanas pārskatu iesniegšanas netikts izdoti.</w:t>
      </w:r>
      <w:r w:rsidR="00B418A1" w:rsidRPr="00811EB9">
        <w:t xml:space="preserve"> </w:t>
      </w:r>
      <w:r w:rsidR="00F279BB" w:rsidRPr="00811EB9">
        <w:t>Pārkāpums nevarēja novest pie citāda lēmuma pieņemšanas, jo prasīb</w:t>
      </w:r>
      <w:r w:rsidR="00157F9A">
        <w:t>u</w:t>
      </w:r>
      <w:r w:rsidR="00F279BB" w:rsidRPr="00811EB9">
        <w:t xml:space="preserve"> iesniegt testēšanas pārskatus </w:t>
      </w:r>
      <w:r w:rsidR="00157F9A">
        <w:t xml:space="preserve">birojs </w:t>
      </w:r>
      <w:r w:rsidR="00725072" w:rsidRPr="00811EB9">
        <w:t>izvirzī</w:t>
      </w:r>
      <w:r w:rsidR="00157F9A">
        <w:t>ja</w:t>
      </w:r>
      <w:r w:rsidR="00F279BB" w:rsidRPr="00811EB9">
        <w:t xml:space="preserve"> pamatot</w:t>
      </w:r>
      <w:r w:rsidR="00725072" w:rsidRPr="00811EB9">
        <w:t>i</w:t>
      </w:r>
      <w:r w:rsidR="00F279BB" w:rsidRPr="00811EB9">
        <w:t>.</w:t>
      </w:r>
    </w:p>
    <w:p w14:paraId="58C5CDBC" w14:textId="77777777" w:rsidR="007C3EF8" w:rsidRPr="00811EB9" w:rsidRDefault="007C3EF8" w:rsidP="00AE2470">
      <w:pPr>
        <w:spacing w:line="276" w:lineRule="auto"/>
        <w:ind w:firstLine="567"/>
        <w:jc w:val="both"/>
      </w:pPr>
    </w:p>
    <w:p w14:paraId="2043BA83" w14:textId="5F08561C" w:rsidR="00B52970" w:rsidRPr="00811EB9" w:rsidRDefault="00AF252C" w:rsidP="00AE2470">
      <w:pPr>
        <w:spacing w:line="276" w:lineRule="auto"/>
        <w:ind w:firstLine="567"/>
        <w:jc w:val="both"/>
      </w:pPr>
      <w:r w:rsidRPr="00811EB9">
        <w:t>[</w:t>
      </w:r>
      <w:r w:rsidR="007C5E5C" w:rsidRPr="00811EB9">
        <w:t>3</w:t>
      </w:r>
      <w:r w:rsidRPr="00811EB9">
        <w:t>]</w:t>
      </w:r>
      <w:r w:rsidR="007E4D78">
        <w:t xml:space="preserve"> </w:t>
      </w:r>
      <w:r w:rsidR="000304E6" w:rsidRPr="000304E6">
        <w:t>Par spriedumu pieteicēja iesniegusi kasācijas sūdzību. Tajā norādīts,</w:t>
      </w:r>
      <w:r w:rsidR="000304E6">
        <w:t xml:space="preserve"> </w:t>
      </w:r>
      <w:r w:rsidR="00B52970" w:rsidRPr="00811EB9">
        <w:t xml:space="preserve">ka atbilstoši </w:t>
      </w:r>
      <w:r w:rsidR="005216D7">
        <w:rPr>
          <w:rFonts w:asciiTheme="majorBidi" w:hAnsiTheme="majorBidi" w:cstheme="majorBidi"/>
        </w:rPr>
        <w:t>Metroloģiskās kontroles</w:t>
      </w:r>
      <w:r w:rsidR="008404E8" w:rsidRPr="00811EB9">
        <w:t xml:space="preserve"> </w:t>
      </w:r>
      <w:r w:rsidR="00B52970" w:rsidRPr="00811EB9">
        <w:t xml:space="preserve">noteikumiem </w:t>
      </w:r>
      <w:r w:rsidR="00BB06A2">
        <w:rPr>
          <w:rFonts w:asciiTheme="majorBidi" w:hAnsiTheme="majorBidi" w:cstheme="majorBidi"/>
        </w:rPr>
        <w:t>Metroloģijas</w:t>
      </w:r>
      <w:r w:rsidR="00BB06A2" w:rsidRPr="00811EB9">
        <w:t xml:space="preserve"> </w:t>
      </w:r>
      <w:r w:rsidR="00B52970" w:rsidRPr="00811EB9">
        <w:t xml:space="preserve">rekomendāciju </w:t>
      </w:r>
      <w:r w:rsidR="00B52970" w:rsidRPr="009F671A">
        <w:rPr>
          <w:i/>
          <w:iCs/>
        </w:rPr>
        <w:t>var</w:t>
      </w:r>
      <w:r w:rsidR="009725D3" w:rsidRPr="009F671A">
        <w:rPr>
          <w:i/>
          <w:iCs/>
        </w:rPr>
        <w:t xml:space="preserve"> </w:t>
      </w:r>
      <w:r w:rsidR="00B52970" w:rsidRPr="009F671A">
        <w:rPr>
          <w:i/>
          <w:iCs/>
        </w:rPr>
        <w:t>piemērot</w:t>
      </w:r>
      <w:r w:rsidR="00CA1E3C">
        <w:t xml:space="preserve"> (</w:t>
      </w:r>
      <w:r w:rsidR="00CA1E3C" w:rsidRPr="00811EB9">
        <w:t>nevis ir jāpiemēro</w:t>
      </w:r>
      <w:r w:rsidR="00CA1E3C">
        <w:t>)</w:t>
      </w:r>
      <w:r w:rsidR="00CA1E3C" w:rsidRPr="00811EB9">
        <w:t xml:space="preserve"> normā minēto noteikumu prasību izpilde</w:t>
      </w:r>
      <w:r w:rsidR="00CA1E3C">
        <w:t>i</w:t>
      </w:r>
      <w:r w:rsidR="00B52970" w:rsidRPr="00811EB9">
        <w:t xml:space="preserve">. </w:t>
      </w:r>
      <w:r w:rsidR="00BD0527" w:rsidRPr="00811EB9">
        <w:t>B</w:t>
      </w:r>
      <w:r w:rsidR="00B52970" w:rsidRPr="00811EB9">
        <w:t xml:space="preserve">irojs </w:t>
      </w:r>
      <w:r w:rsidR="009725D3" w:rsidRPr="00811EB9">
        <w:t xml:space="preserve">atbilstoši </w:t>
      </w:r>
      <w:r w:rsidR="006004F9" w:rsidRPr="00811EB9">
        <w:rPr>
          <w:rFonts w:asciiTheme="majorBidi" w:hAnsiTheme="majorBidi" w:cstheme="majorBidi"/>
        </w:rPr>
        <w:t>šo</w:t>
      </w:r>
      <w:r w:rsidR="008404E8" w:rsidRPr="00811EB9">
        <w:t xml:space="preserve"> </w:t>
      </w:r>
      <w:r w:rsidR="009725D3" w:rsidRPr="00811EB9">
        <w:t xml:space="preserve">noteikumu 12.punktam </w:t>
      </w:r>
      <w:r w:rsidR="00B52970" w:rsidRPr="00811EB9">
        <w:t>bez papildu pārbau</w:t>
      </w:r>
      <w:r w:rsidR="0000093F" w:rsidRPr="00811EB9">
        <w:t>dēm</w:t>
      </w:r>
      <w:r w:rsidR="00B52970" w:rsidRPr="00811EB9">
        <w:t xml:space="preserve"> </w:t>
      </w:r>
      <w:r w:rsidR="009A2946">
        <w:t>var</w:t>
      </w:r>
      <w:r w:rsidR="00B52970" w:rsidRPr="00811EB9">
        <w:t xml:space="preserve"> secināt, ka alkometri atbilst metroloģiskajām prasībām. </w:t>
      </w:r>
      <w:r w:rsidR="00BD0527" w:rsidRPr="00811EB9">
        <w:t>No tā</w:t>
      </w:r>
      <w:r w:rsidR="00011D3E" w:rsidRPr="00811EB9">
        <w:t xml:space="preserve">, ka </w:t>
      </w:r>
      <w:r w:rsidR="00D32E7C" w:rsidRPr="00811EB9">
        <w:t>nav pierādījum</w:t>
      </w:r>
      <w:r w:rsidR="00BD0527" w:rsidRPr="00811EB9">
        <w:t>u</w:t>
      </w:r>
      <w:r w:rsidR="00D32E7C" w:rsidRPr="00811EB9">
        <w:t xml:space="preserve"> </w:t>
      </w:r>
      <w:r w:rsidR="00011D3E" w:rsidRPr="00811EB9">
        <w:lastRenderedPageBreak/>
        <w:t xml:space="preserve">par alkometru atbilstību </w:t>
      </w:r>
      <w:r w:rsidR="00BB06A2">
        <w:rPr>
          <w:rFonts w:asciiTheme="majorBidi" w:hAnsiTheme="majorBidi" w:cstheme="majorBidi"/>
        </w:rPr>
        <w:t>Metroloģijas</w:t>
      </w:r>
      <w:r w:rsidR="00BB06A2" w:rsidRPr="00811EB9">
        <w:t xml:space="preserve"> </w:t>
      </w:r>
      <w:r w:rsidR="008A2091" w:rsidRPr="00811EB9">
        <w:t>rekomendācij</w:t>
      </w:r>
      <w:r w:rsidR="00CD064C">
        <w:t>ai</w:t>
      </w:r>
      <w:r w:rsidR="00D32E7C" w:rsidRPr="00811EB9">
        <w:t xml:space="preserve">, </w:t>
      </w:r>
      <w:r w:rsidR="00BD0527" w:rsidRPr="00811EB9">
        <w:t>nevar</w:t>
      </w:r>
      <w:r w:rsidR="00D32E7C" w:rsidRPr="00811EB9">
        <w:t xml:space="preserve"> secinā</w:t>
      </w:r>
      <w:r w:rsidR="008A2091" w:rsidRPr="00811EB9">
        <w:t>t</w:t>
      </w:r>
      <w:r w:rsidR="00D32E7C" w:rsidRPr="00811EB9">
        <w:t xml:space="preserve">, ka alkometri neatbilst </w:t>
      </w:r>
      <w:r w:rsidR="002C0DE7" w:rsidRPr="00811EB9">
        <w:rPr>
          <w:rFonts w:asciiTheme="majorBidi" w:hAnsiTheme="majorBidi" w:cstheme="majorBidi"/>
        </w:rPr>
        <w:t>Mēraparātu</w:t>
      </w:r>
      <w:r w:rsidR="002C0DE7" w:rsidRPr="00811EB9">
        <w:t xml:space="preserve"> noteikum</w:t>
      </w:r>
      <w:r w:rsidR="00CD064C">
        <w:t>iem</w:t>
      </w:r>
      <w:r w:rsidR="001A3780">
        <w:t xml:space="preserve">. </w:t>
      </w:r>
      <w:r w:rsidR="001A3780" w:rsidRPr="00811EB9">
        <w:rPr>
          <w:rFonts w:asciiTheme="majorBidi" w:hAnsiTheme="majorBidi" w:cstheme="majorBidi"/>
        </w:rPr>
        <w:t>Mēraparātu</w:t>
      </w:r>
      <w:r w:rsidR="001A3780" w:rsidRPr="00811EB9">
        <w:t xml:space="preserve"> noteikum</w:t>
      </w:r>
      <w:r w:rsidR="001A3780">
        <w:t xml:space="preserve">u, </w:t>
      </w:r>
      <w:r w:rsidR="001A3780" w:rsidRPr="00811EB9">
        <w:t>kas izdoti saskaņā ar Ceļu satiksmes likuma 43.</w:t>
      </w:r>
      <w:r w:rsidR="001A3780" w:rsidRPr="00811EB9">
        <w:rPr>
          <w:vertAlign w:val="superscript"/>
        </w:rPr>
        <w:t>5</w:t>
      </w:r>
      <w:r w:rsidR="001A3780" w:rsidRPr="00811EB9">
        <w:t>panta pirmo daļu</w:t>
      </w:r>
      <w:r w:rsidR="001A3780">
        <w:t>,</w:t>
      </w:r>
      <w:r w:rsidR="001A3780" w:rsidRPr="00811EB9">
        <w:t xml:space="preserve"> 5.punkt</w:t>
      </w:r>
      <w:r w:rsidR="001A3780">
        <w:t>s noteic, ka</w:t>
      </w:r>
      <w:r w:rsidR="001A3780" w:rsidRPr="00811EB9">
        <w:t xml:space="preserve"> alkometram izvirzītās prasības minētas šo noteikumu pielikumā</w:t>
      </w:r>
      <w:r w:rsidR="008A61E0">
        <w:t>.</w:t>
      </w:r>
      <w:r w:rsidR="00D32E7C" w:rsidRPr="00811EB9">
        <w:t xml:space="preserve"> </w:t>
      </w:r>
      <w:r w:rsidR="008A61E0">
        <w:t>B</w:t>
      </w:r>
      <w:r w:rsidR="00D32E7C" w:rsidRPr="00811EB9">
        <w:t xml:space="preserve">irojam </w:t>
      </w:r>
      <w:r w:rsidR="001A3780">
        <w:t>bija</w:t>
      </w:r>
      <w:r w:rsidR="00D32E7C" w:rsidRPr="00811EB9">
        <w:t xml:space="preserve"> </w:t>
      </w:r>
      <w:r w:rsidR="008A2091" w:rsidRPr="00811EB9">
        <w:t>jā</w:t>
      </w:r>
      <w:r w:rsidR="00D32E7C" w:rsidRPr="00811EB9">
        <w:t>izvērtē, vai alkometri</w:t>
      </w:r>
      <w:r w:rsidR="001A3780">
        <w:t xml:space="preserve"> tām atbil</w:t>
      </w:r>
      <w:r w:rsidR="00CD064C">
        <w:t>st</w:t>
      </w:r>
      <w:r w:rsidR="00B52970" w:rsidRPr="00811EB9">
        <w:t xml:space="preserve">. </w:t>
      </w:r>
      <w:r w:rsidR="00BB06A2">
        <w:rPr>
          <w:rFonts w:asciiTheme="majorBidi" w:hAnsiTheme="majorBidi" w:cstheme="majorBidi"/>
        </w:rPr>
        <w:t>Metroloģijas</w:t>
      </w:r>
      <w:r w:rsidR="00BB06A2" w:rsidRPr="00811EB9">
        <w:t xml:space="preserve"> </w:t>
      </w:r>
      <w:r w:rsidR="00BB06A2">
        <w:t>r</w:t>
      </w:r>
      <w:r w:rsidR="00BD7C63" w:rsidRPr="00811EB9">
        <w:t>ekomendācija</w:t>
      </w:r>
      <w:r w:rsidR="00B52970" w:rsidRPr="00811EB9">
        <w:t xml:space="preserve"> nav tiesību norma un nav tieši piemērojama</w:t>
      </w:r>
      <w:r w:rsidR="00723ACC" w:rsidRPr="00811EB9">
        <w:t>, turklāt Latvija</w:t>
      </w:r>
      <w:r w:rsidR="00772D1E" w:rsidRPr="00811EB9">
        <w:t xml:space="preserve"> nav</w:t>
      </w:r>
      <w:r w:rsidR="00723ACC" w:rsidRPr="00811EB9">
        <w:t xml:space="preserve"> </w:t>
      </w:r>
      <w:r w:rsidR="004960C4" w:rsidRPr="00811EB9">
        <w:t xml:space="preserve">Metodoloģijas </w:t>
      </w:r>
      <w:r w:rsidR="00723ACC" w:rsidRPr="00811EB9">
        <w:t>organizācijas dalībvalsts</w:t>
      </w:r>
      <w:r w:rsidR="00B52970" w:rsidRPr="00811EB9">
        <w:t xml:space="preserve">. </w:t>
      </w:r>
      <w:r w:rsidR="00772D1E" w:rsidRPr="00811EB9">
        <w:t>Tiesa bez ievērības atstājusi biroja sniegtos paskaidrojumus</w:t>
      </w:r>
      <w:r w:rsidR="007C3EF8" w:rsidRPr="00811EB9">
        <w:t xml:space="preserve"> tiesas sēdē</w:t>
      </w:r>
      <w:r w:rsidR="00772D1E" w:rsidRPr="00811EB9">
        <w:t xml:space="preserve">, ka testēšanas pārskatos nav obligāti jānorāda, ka </w:t>
      </w:r>
      <w:r w:rsidR="007E4D78">
        <w:t xml:space="preserve">alkometri testēti </w:t>
      </w:r>
      <w:r w:rsidR="00772D1E" w:rsidRPr="00811EB9">
        <w:t xml:space="preserve">saskaņā ar </w:t>
      </w:r>
      <w:r w:rsidR="00BB06A2">
        <w:rPr>
          <w:rFonts w:asciiTheme="majorBidi" w:hAnsiTheme="majorBidi" w:cstheme="majorBidi"/>
        </w:rPr>
        <w:t>Metroloģijas</w:t>
      </w:r>
      <w:r w:rsidR="00BB06A2" w:rsidRPr="00811EB9">
        <w:t xml:space="preserve"> </w:t>
      </w:r>
      <w:r w:rsidR="00772D1E" w:rsidRPr="00811EB9">
        <w:t xml:space="preserve">rekomendāciju. </w:t>
      </w:r>
      <w:r w:rsidR="000C30F6">
        <w:t>Ne birojs, ne t</w:t>
      </w:r>
      <w:r w:rsidR="00B52970" w:rsidRPr="00811EB9">
        <w:t>iesa</w:t>
      </w:r>
      <w:r w:rsidR="001072E3" w:rsidRPr="00811EB9">
        <w:t xml:space="preserve"> </w:t>
      </w:r>
      <w:r w:rsidR="00B52970" w:rsidRPr="00811EB9">
        <w:t>nav argumentēj</w:t>
      </w:r>
      <w:r w:rsidR="000C30F6">
        <w:t>u</w:t>
      </w:r>
      <w:r w:rsidR="001F73DB">
        <w:t>s</w:t>
      </w:r>
      <w:r w:rsidR="000C30F6">
        <w:t>i</w:t>
      </w:r>
      <w:r w:rsidR="00B52970" w:rsidRPr="00811EB9">
        <w:t xml:space="preserve">, kādiem normatīvajiem aktiem vai </w:t>
      </w:r>
      <w:r w:rsidR="00BB06A2">
        <w:rPr>
          <w:rFonts w:asciiTheme="majorBidi" w:hAnsiTheme="majorBidi" w:cstheme="majorBidi"/>
        </w:rPr>
        <w:t>Metroloģijas</w:t>
      </w:r>
      <w:r w:rsidR="00BB06A2" w:rsidRPr="00811EB9">
        <w:t xml:space="preserve"> </w:t>
      </w:r>
      <w:r w:rsidR="00B52970" w:rsidRPr="00811EB9">
        <w:t>rekomendācijas prasībām pieteicējas iesniegtie pārskati neatbilst.</w:t>
      </w:r>
      <w:r w:rsidR="00FD409D" w:rsidRPr="00811EB9">
        <w:t xml:space="preserve"> </w:t>
      </w:r>
      <w:r w:rsidR="001626A6" w:rsidRPr="00811EB9">
        <w:t xml:space="preserve">Pretēji tiesas norādītajam no biroja atbildes varēja secināt, ka atbilstības izvērtēšana </w:t>
      </w:r>
      <w:r w:rsidR="00A30608" w:rsidRPr="00811EB9">
        <w:t>ir iesākta un</w:t>
      </w:r>
      <w:r w:rsidR="001626A6" w:rsidRPr="00811EB9">
        <w:t xml:space="preserve"> tā turpinās, tādēļ pieteicēja nevarēja </w:t>
      </w:r>
      <w:r w:rsidR="00A30608" w:rsidRPr="00811EB9">
        <w:t>izdarīt secinājumu</w:t>
      </w:r>
      <w:r w:rsidR="001626A6" w:rsidRPr="00811EB9">
        <w:t>, ka birojs atteici</w:t>
      </w:r>
      <w:r w:rsidR="00725072" w:rsidRPr="00811EB9">
        <w:t>s</w:t>
      </w:r>
      <w:r w:rsidR="001626A6" w:rsidRPr="00811EB9">
        <w:t xml:space="preserve"> izdot labvēlīgu</w:t>
      </w:r>
      <w:r w:rsidR="0085662F">
        <w:t>s</w:t>
      </w:r>
      <w:r w:rsidR="001626A6" w:rsidRPr="00811EB9">
        <w:t xml:space="preserve"> administratīvo</w:t>
      </w:r>
      <w:r w:rsidR="0085662F">
        <w:t>s</w:t>
      </w:r>
      <w:r w:rsidR="001626A6" w:rsidRPr="00811EB9">
        <w:t xml:space="preserve"> aktu</w:t>
      </w:r>
      <w:r w:rsidR="0085662F">
        <w:t>s</w:t>
      </w:r>
      <w:r w:rsidR="001626A6" w:rsidRPr="00811EB9">
        <w:t>.</w:t>
      </w:r>
    </w:p>
    <w:p w14:paraId="3A3A0100" w14:textId="5E281297" w:rsidR="007608C5" w:rsidRPr="00811EB9" w:rsidRDefault="007608C5" w:rsidP="00AE2470">
      <w:pPr>
        <w:spacing w:line="276" w:lineRule="auto"/>
        <w:jc w:val="both"/>
      </w:pPr>
    </w:p>
    <w:p w14:paraId="425E1F72" w14:textId="13F6B9C9" w:rsidR="00E848CA" w:rsidRDefault="00E848CA" w:rsidP="00AE2470">
      <w:pPr>
        <w:spacing w:line="276" w:lineRule="auto"/>
        <w:ind w:firstLine="567"/>
        <w:jc w:val="both"/>
      </w:pPr>
      <w:r w:rsidRPr="00811EB9">
        <w:t xml:space="preserve">[4] Birojs </w:t>
      </w:r>
      <w:r w:rsidR="000304E6" w:rsidRPr="000304E6">
        <w:t xml:space="preserve">paskaidrojumos pieteicējas kasācijas sūdzību </w:t>
      </w:r>
      <w:r w:rsidR="0085662F" w:rsidRPr="005065DD">
        <w:t>uzskata par nepamatotu</w:t>
      </w:r>
      <w:r w:rsidRPr="00811EB9">
        <w:t>.</w:t>
      </w:r>
    </w:p>
    <w:p w14:paraId="509F29E8" w14:textId="50FEF2EF" w:rsidR="000304E6" w:rsidRDefault="000304E6" w:rsidP="00AE2470">
      <w:pPr>
        <w:spacing w:line="276" w:lineRule="auto"/>
        <w:ind w:firstLine="567"/>
        <w:jc w:val="both"/>
      </w:pPr>
    </w:p>
    <w:p w14:paraId="505F3226" w14:textId="07FC05B1" w:rsidR="00E848CA" w:rsidRDefault="000304E6" w:rsidP="00AE2470">
      <w:pPr>
        <w:spacing w:line="276" w:lineRule="auto"/>
        <w:ind w:firstLine="567"/>
        <w:jc w:val="both"/>
      </w:pPr>
      <w:r w:rsidRPr="00792653">
        <w:lastRenderedPageBreak/>
        <w:t>[5] Tiesas sēdē pieteicējas pārstāvis uzturēja kasācijas sūdzību, pamatojoties uz tajā norādītajiem apsvērumiem. Savukārt biroja pārstāv</w:t>
      </w:r>
      <w:r w:rsidR="000D4E02">
        <w:t>ji</w:t>
      </w:r>
      <w:r w:rsidRPr="00792653">
        <w:t xml:space="preserve"> kasācijas sūdzību neatzina.</w:t>
      </w:r>
    </w:p>
    <w:p w14:paraId="6FDFBB80" w14:textId="77777777" w:rsidR="000304E6" w:rsidRPr="00811EB9" w:rsidRDefault="000304E6" w:rsidP="00AE2470">
      <w:pPr>
        <w:spacing w:line="276" w:lineRule="auto"/>
        <w:ind w:firstLine="567"/>
        <w:jc w:val="both"/>
      </w:pPr>
    </w:p>
    <w:p w14:paraId="6F13B7BD" w14:textId="77777777" w:rsidR="00E848CA" w:rsidRPr="00811EB9" w:rsidRDefault="00E848CA" w:rsidP="00AE2470">
      <w:pPr>
        <w:spacing w:line="276" w:lineRule="auto"/>
        <w:jc w:val="center"/>
        <w:rPr>
          <w:b/>
        </w:rPr>
      </w:pPr>
      <w:r w:rsidRPr="00811EB9">
        <w:rPr>
          <w:b/>
        </w:rPr>
        <w:t>Motīvu daļa</w:t>
      </w:r>
    </w:p>
    <w:p w14:paraId="357D26EF" w14:textId="77777777" w:rsidR="00BF7EDA" w:rsidRDefault="00BF7EDA" w:rsidP="00AE2470">
      <w:pPr>
        <w:spacing w:line="276" w:lineRule="auto"/>
        <w:ind w:firstLine="567"/>
        <w:jc w:val="both"/>
      </w:pPr>
    </w:p>
    <w:p w14:paraId="4393F256" w14:textId="128C202E" w:rsidR="00B247A3" w:rsidRDefault="00BF7EDA" w:rsidP="00AE2470">
      <w:pPr>
        <w:spacing w:line="276" w:lineRule="auto"/>
        <w:ind w:firstLine="567"/>
        <w:jc w:val="both"/>
      </w:pPr>
      <w:r>
        <w:t>[</w:t>
      </w:r>
      <w:r w:rsidR="00AC02A5">
        <w:t>6</w:t>
      </w:r>
      <w:r>
        <w:t>]</w:t>
      </w:r>
      <w:r w:rsidR="00B247A3">
        <w:t xml:space="preserve"> Atbilstoši </w:t>
      </w:r>
      <w:r w:rsidR="008E4D6D">
        <w:t xml:space="preserve">likuma </w:t>
      </w:r>
      <w:r w:rsidR="008E4D6D" w:rsidRPr="00811EB9">
        <w:rPr>
          <w:rFonts w:asciiTheme="majorBidi" w:hAnsiTheme="majorBidi" w:cstheme="majorBidi"/>
        </w:rPr>
        <w:t>„</w:t>
      </w:r>
      <w:r w:rsidR="008E4D6D">
        <w:rPr>
          <w:rFonts w:asciiTheme="majorBidi" w:hAnsiTheme="majorBidi" w:cstheme="majorBidi"/>
        </w:rPr>
        <w:t>P</w:t>
      </w:r>
      <w:r w:rsidR="008E4D6D">
        <w:t>ar mērījumu vienotību” 6.panta otrajai daļai metroloģiskās prasības valsts metroloģiskajai kontrolei pakļautajiem mērīšanas līdzekļiem un to metroloģiskās kontroles kārtību nosaka Ministru kabinets.</w:t>
      </w:r>
    </w:p>
    <w:p w14:paraId="2DB4D97C" w14:textId="77777777" w:rsidR="008E4D6D" w:rsidRDefault="008E4D6D" w:rsidP="00AE2470">
      <w:pPr>
        <w:spacing w:line="276" w:lineRule="auto"/>
        <w:ind w:firstLine="567"/>
        <w:jc w:val="both"/>
      </w:pPr>
    </w:p>
    <w:p w14:paraId="396C3D63" w14:textId="746F0873" w:rsidR="00BC692D" w:rsidRDefault="008E4D6D" w:rsidP="00AE2470">
      <w:pPr>
        <w:spacing w:line="276" w:lineRule="auto"/>
        <w:ind w:firstLine="567"/>
        <w:jc w:val="both"/>
      </w:pPr>
      <w:r>
        <w:t>[</w:t>
      </w:r>
      <w:r w:rsidR="00382265">
        <w:t>7</w:t>
      </w:r>
      <w:r>
        <w:t xml:space="preserve">] </w:t>
      </w:r>
      <w:r w:rsidR="008A2298">
        <w:t xml:space="preserve">Alkometram izvirzītās prasības atbilstoši Mēraparātu noteikumu 5.punktam 2017.gadā bija noteiktas šo noteikumu pielikumā. </w:t>
      </w:r>
      <w:r w:rsidR="00A5424F">
        <w:t>Pielikumā ietvertas</w:t>
      </w:r>
      <w:r w:rsidR="008A2298">
        <w:t xml:space="preserve"> tādas prasības kā mērījumu gatavības uzrādīšana, gaisa plūsmas mitēšanās signalizēšana</w:t>
      </w:r>
      <w:r w:rsidR="0036467A">
        <w:t>, alkohola koncentrācijas noteikšana un tās pārrēķināšana promilēs, mērdiapazons, pieļaujamās kļūdas, temperatūras diapazons un cit</w:t>
      </w:r>
      <w:r w:rsidR="0067391A">
        <w:t>i tehniski parametri</w:t>
      </w:r>
      <w:r w:rsidR="0036467A">
        <w:t>.</w:t>
      </w:r>
    </w:p>
    <w:p w14:paraId="4ACA2092" w14:textId="4E8534C5" w:rsidR="00BC692D" w:rsidRDefault="00BC692D" w:rsidP="00AE2470">
      <w:pPr>
        <w:spacing w:line="276" w:lineRule="auto"/>
        <w:ind w:firstLine="567"/>
        <w:jc w:val="both"/>
      </w:pPr>
      <w:r>
        <w:lastRenderedPageBreak/>
        <w:t>Secināms, ka Mēraparātu noteikumi noteica tikai alkometru tehniskos parametrus, bet</w:t>
      </w:r>
      <w:r w:rsidR="00A5424F">
        <w:t xml:space="preserve"> nenoteica</w:t>
      </w:r>
      <w:r w:rsidR="0036467A">
        <w:t xml:space="preserve"> </w:t>
      </w:r>
      <w:r>
        <w:t xml:space="preserve">metroloģiskās kontroles </w:t>
      </w:r>
      <w:r w:rsidR="0036467A">
        <w:t xml:space="preserve">metodes, </w:t>
      </w:r>
      <w:r w:rsidR="00382265">
        <w:t>atbilstoši kurām</w:t>
      </w:r>
      <w:r w:rsidR="00164235">
        <w:t xml:space="preserve"> </w:t>
      </w:r>
      <w:r w:rsidR="00157F9A">
        <w:t xml:space="preserve">iespējams </w:t>
      </w:r>
      <w:r w:rsidR="00A5424F">
        <w:t>pārliecinā</w:t>
      </w:r>
      <w:r w:rsidR="00157F9A">
        <w:t>ties</w:t>
      </w:r>
      <w:r w:rsidR="00A5424F">
        <w:t xml:space="preserve"> par to, </w:t>
      </w:r>
      <w:r w:rsidR="00A442DC">
        <w:t>ka</w:t>
      </w:r>
      <w:r w:rsidR="00A5424F">
        <w:t xml:space="preserve"> alkometrs atbilst izvirzītajām prasībām</w:t>
      </w:r>
      <w:r w:rsidR="00164235">
        <w:t xml:space="preserve"> (tehniskajiem parametriem)</w:t>
      </w:r>
      <w:r w:rsidR="00A87BE0">
        <w:t xml:space="preserve"> un tam var izsniegt nacionālā tipa apstiprinājuma sertifikātu</w:t>
      </w:r>
      <w:r w:rsidR="00A5424F">
        <w:t>.</w:t>
      </w:r>
    </w:p>
    <w:p w14:paraId="1BD9A933" w14:textId="77777777" w:rsidR="00BC692D" w:rsidRDefault="00BC692D" w:rsidP="00AE2470">
      <w:pPr>
        <w:spacing w:line="276" w:lineRule="auto"/>
        <w:ind w:firstLine="567"/>
        <w:jc w:val="both"/>
      </w:pPr>
    </w:p>
    <w:p w14:paraId="52C54981" w14:textId="5E958321" w:rsidR="005216D7" w:rsidRDefault="00BC692D" w:rsidP="00AE2470">
      <w:pPr>
        <w:spacing w:line="276" w:lineRule="auto"/>
        <w:ind w:firstLine="567"/>
        <w:jc w:val="both"/>
      </w:pPr>
      <w:r>
        <w:t xml:space="preserve">[8] </w:t>
      </w:r>
      <w:r w:rsidR="00A442DC">
        <w:t xml:space="preserve">Atbilstoši Mēraparātu noteikumu 4.1.apakšpunktam alkohola koncentrācijas noteikšanai izelpotajā gaisā izmanto alkometrus, kuriem </w:t>
      </w:r>
      <w:r w:rsidR="007E4D78">
        <w:t xml:space="preserve">apstiprināts </w:t>
      </w:r>
      <w:r w:rsidR="00A442DC">
        <w:t xml:space="preserve">mēraparāta </w:t>
      </w:r>
      <w:r w:rsidR="007E4D78">
        <w:t xml:space="preserve">tips </w:t>
      </w:r>
      <w:r w:rsidR="00A442DC">
        <w:t>saskaņā ar normatīvajiem aktiem.</w:t>
      </w:r>
    </w:p>
    <w:p w14:paraId="10616C23" w14:textId="542CC700" w:rsidR="002D395C" w:rsidRDefault="0009226D" w:rsidP="00AE2470">
      <w:pPr>
        <w:spacing w:line="276" w:lineRule="auto"/>
        <w:ind w:firstLine="567"/>
        <w:jc w:val="both"/>
      </w:pPr>
      <w:r>
        <w:t xml:space="preserve">Mērīšanas līdzekļa tipa novērtēšanas </w:t>
      </w:r>
      <w:r w:rsidR="00A71066">
        <w:t xml:space="preserve">vispārīgā </w:t>
      </w:r>
      <w:r>
        <w:t xml:space="preserve">kārtība noteikta </w:t>
      </w:r>
      <w:r>
        <w:rPr>
          <w:rFonts w:asciiTheme="majorBidi" w:hAnsiTheme="majorBidi" w:cstheme="majorBidi"/>
        </w:rPr>
        <w:t>Metroloģiskās kontroles</w:t>
      </w:r>
      <w:r w:rsidRPr="007954E2">
        <w:t xml:space="preserve"> noteikum</w:t>
      </w:r>
      <w:r>
        <w:t xml:space="preserve">os. </w:t>
      </w:r>
      <w:r w:rsidR="002D395C">
        <w:t xml:space="preserve">Taču </w:t>
      </w:r>
      <w:r w:rsidR="00A71066">
        <w:t xml:space="preserve">arī šajos </w:t>
      </w:r>
      <w:r w:rsidR="002D395C">
        <w:t xml:space="preserve">noteikumos ietvertās normas neparedz konkrētu ierīču </w:t>
      </w:r>
      <w:r w:rsidR="00052AF4">
        <w:t>novērtēšanas metodoloģiju.</w:t>
      </w:r>
    </w:p>
    <w:p w14:paraId="611825AB" w14:textId="3E9097DC" w:rsidR="00052AF4" w:rsidRDefault="00052AF4" w:rsidP="00AE2470">
      <w:pPr>
        <w:spacing w:line="276" w:lineRule="auto"/>
        <w:ind w:firstLine="567"/>
        <w:jc w:val="both"/>
      </w:pPr>
      <w:r>
        <w:rPr>
          <w:rFonts w:asciiTheme="majorBidi" w:hAnsiTheme="majorBidi" w:cstheme="majorBidi"/>
        </w:rPr>
        <w:t>Metroloģiskās kontroles</w:t>
      </w:r>
      <w:r w:rsidRPr="007954E2">
        <w:t xml:space="preserve"> noteikum</w:t>
      </w:r>
      <w:r>
        <w:t>u</w:t>
      </w:r>
      <w:r w:rsidRPr="005E0838">
        <w:t xml:space="preserve"> 11.</w:t>
      </w:r>
      <w:r>
        <w:t>punktā noteikts, ka n</w:t>
      </w:r>
      <w:r w:rsidRPr="005E0838">
        <w:t>acionālās metroloģijas institūcijas tīmekļa vietnē publicē to Starptautiskās reglamentētās metroloģijas organizācijas dokumentu (turpmāk – starptautiskie dokumenti) sarakstu, kurus var piemērot šo noteikumu prasību izpildei.</w:t>
      </w:r>
      <w:r w:rsidR="006B1932">
        <w:t xml:space="preserve"> Tiesa ir pārliecinājusies, ka birojs attiecīgajā sarakstā ir minējis </w:t>
      </w:r>
      <w:r w:rsidR="006B1932">
        <w:rPr>
          <w:rFonts w:asciiTheme="majorBidi" w:hAnsiTheme="majorBidi" w:cstheme="majorBidi"/>
        </w:rPr>
        <w:t>Metroloģijas</w:t>
      </w:r>
      <w:r w:rsidR="006B1932">
        <w:t xml:space="preserve"> rekomendāciju.</w:t>
      </w:r>
    </w:p>
    <w:p w14:paraId="44487793" w14:textId="1A4C1A07" w:rsidR="006B1932" w:rsidRDefault="006B1932" w:rsidP="00AE2470">
      <w:pPr>
        <w:spacing w:line="276" w:lineRule="auto"/>
        <w:ind w:firstLine="567"/>
        <w:jc w:val="both"/>
      </w:pPr>
      <w:r>
        <w:lastRenderedPageBreak/>
        <w:t xml:space="preserve">Senāts secina, ka tādējādi likumdevējs ir izvēlējies jautājumu </w:t>
      </w:r>
      <w:r w:rsidR="00BD7A3B">
        <w:t xml:space="preserve">par alkometru tipa pārbaudes metodoloģiju </w:t>
      </w:r>
      <w:r>
        <w:t xml:space="preserve">savos normatīvajos aktos neregulēt, bet izmanot </w:t>
      </w:r>
      <w:r w:rsidR="00BD7A3B">
        <w:t xml:space="preserve">vadlīnijas, kuras apstiprinājusi </w:t>
      </w:r>
      <w:r w:rsidRPr="00811EB9">
        <w:t>Metodoloģijas organizācija</w:t>
      </w:r>
      <w:r>
        <w:t>, kuras asociētā dalībvalsts ir arī Latvija</w:t>
      </w:r>
      <w:r w:rsidR="00BD7A3B">
        <w:t>.</w:t>
      </w:r>
    </w:p>
    <w:p w14:paraId="4FBBA8FB" w14:textId="7DFFACB1" w:rsidR="006B1932" w:rsidRDefault="006B1932" w:rsidP="00AE2470">
      <w:pPr>
        <w:spacing w:line="276" w:lineRule="auto"/>
        <w:ind w:firstLine="567"/>
        <w:jc w:val="both"/>
      </w:pPr>
      <w:r>
        <w:t xml:space="preserve">Kā norādīts </w:t>
      </w:r>
      <w:r>
        <w:rPr>
          <w:rFonts w:asciiTheme="majorBidi" w:hAnsiTheme="majorBidi" w:cstheme="majorBidi"/>
        </w:rPr>
        <w:t>Metroloģijas</w:t>
      </w:r>
      <w:r>
        <w:t xml:space="preserve"> rekomendācijas 2.daļas 10.punktā: šīs rekomendācijas 2.daļā dotas vadlīnijas tipa apstiprināšanai. Vadlīnijas paredz </w:t>
      </w:r>
      <w:r w:rsidR="00D00B27">
        <w:t>i</w:t>
      </w:r>
      <w:r w:rsidR="00D00B27" w:rsidRPr="00E82C68">
        <w:t>nstrumentu pārbaud</w:t>
      </w:r>
      <w:r w:rsidR="00D00B27">
        <w:t>es metodes</w:t>
      </w:r>
      <w:r w:rsidR="00D00B27" w:rsidRPr="00E82C68">
        <w:t>, lai pārliecinātos par to atbilstību prasībām</w:t>
      </w:r>
      <w:r w:rsidR="00A71066">
        <w:t xml:space="preserve">. Vadlīnijas nosaka, </w:t>
      </w:r>
      <w:r w:rsidR="00D00B27">
        <w:t xml:space="preserve">piemēram, </w:t>
      </w:r>
      <w:r>
        <w:t>ierīces vizuālu pārbaudi, instrumenta darbības testēšanu dažādos apstākļos (dažādās temperatūrās, gaisa mitrumos, atmosfēras spiedienos)</w:t>
      </w:r>
      <w:r w:rsidR="00D00B27">
        <w:t xml:space="preserve"> un citas</w:t>
      </w:r>
      <w:r w:rsidR="00DD205C">
        <w:t xml:space="preserve"> metodes</w:t>
      </w:r>
      <w:r w:rsidR="00D00B27">
        <w:t>. Vadlīnijās arī</w:t>
      </w:r>
      <w:r>
        <w:t xml:space="preserve"> aprakstīti apstākļi, kas jāņem vērā testu </w:t>
      </w:r>
      <w:r w:rsidR="00DD205C">
        <w:t>vērtēšanā</w:t>
      </w:r>
      <w:r>
        <w:t>.</w:t>
      </w:r>
    </w:p>
    <w:p w14:paraId="63496DC9" w14:textId="77777777" w:rsidR="00D00B27" w:rsidRDefault="00D00B27" w:rsidP="00AE2470">
      <w:pPr>
        <w:spacing w:line="276" w:lineRule="auto"/>
        <w:ind w:firstLine="567"/>
        <w:jc w:val="both"/>
      </w:pPr>
    </w:p>
    <w:p w14:paraId="7669F3F3" w14:textId="543C52CD" w:rsidR="00052AF4" w:rsidRDefault="00D00B27" w:rsidP="00AE2470">
      <w:pPr>
        <w:spacing w:line="276" w:lineRule="auto"/>
        <w:ind w:firstLine="567"/>
        <w:jc w:val="both"/>
      </w:pPr>
      <w:r>
        <w:t xml:space="preserve">[9] </w:t>
      </w:r>
      <w:r w:rsidR="00052AF4">
        <w:t xml:space="preserve">Pieteicēja turpina argumentēt, ka atbilstoši </w:t>
      </w:r>
      <w:r>
        <w:rPr>
          <w:rFonts w:asciiTheme="majorBidi" w:hAnsiTheme="majorBidi" w:cstheme="majorBidi"/>
        </w:rPr>
        <w:t>Metroloģiskās kontroles</w:t>
      </w:r>
      <w:r w:rsidRPr="007954E2">
        <w:t xml:space="preserve"> noteikum</w:t>
      </w:r>
      <w:r>
        <w:t>u</w:t>
      </w:r>
      <w:r w:rsidRPr="005E0838">
        <w:t xml:space="preserve"> 11.</w:t>
      </w:r>
      <w:r>
        <w:t xml:space="preserve">punktam </w:t>
      </w:r>
      <w:r w:rsidR="00052AF4">
        <w:rPr>
          <w:rFonts w:asciiTheme="majorBidi" w:hAnsiTheme="majorBidi" w:cstheme="majorBidi"/>
        </w:rPr>
        <w:t>Metroloģijas</w:t>
      </w:r>
      <w:r w:rsidR="00052AF4" w:rsidRPr="00811EB9">
        <w:t xml:space="preserve"> rekomendācijas prasīb</w:t>
      </w:r>
      <w:r w:rsidR="00052AF4">
        <w:t xml:space="preserve">as </w:t>
      </w:r>
      <w:r w:rsidR="00052AF4" w:rsidRPr="002D395C">
        <w:rPr>
          <w:i/>
          <w:iCs/>
        </w:rPr>
        <w:t>var</w:t>
      </w:r>
      <w:r w:rsidR="00052AF4">
        <w:t xml:space="preserve"> </w:t>
      </w:r>
      <w:r w:rsidR="00052AF4" w:rsidRPr="00B57E7B">
        <w:rPr>
          <w:i/>
          <w:iCs/>
        </w:rPr>
        <w:t>piemērot</w:t>
      </w:r>
      <w:r w:rsidR="00052AF4">
        <w:t>, nevis tās obligāti ir jāpiemēro. Vienlaikus pieteicēja nav norādījusi nevienu citu dokumentu, kurā būtu noteikti ne tikai alkometru tehniskie parametri (prasības), bet arī m</w:t>
      </w:r>
      <w:r w:rsidR="00052AF4" w:rsidRPr="006731EB">
        <w:t>etroloģiskā</w:t>
      </w:r>
      <w:r w:rsidR="00052AF4">
        <w:t>s</w:t>
      </w:r>
      <w:r w:rsidR="00052AF4" w:rsidRPr="006731EB">
        <w:t xml:space="preserve"> kontrole</w:t>
      </w:r>
      <w:r w:rsidR="00052AF4">
        <w:t>s</w:t>
      </w:r>
      <w:r w:rsidR="00052AF4" w:rsidRPr="006731EB">
        <w:t xml:space="preserve"> un veiktspējas test</w:t>
      </w:r>
      <w:r w:rsidR="00052AF4">
        <w:t xml:space="preserve">u vadlīnijas, kuras tad būtu izmantojamas, lai noteiktu tipa atbilstību prasībām. </w:t>
      </w:r>
    </w:p>
    <w:p w14:paraId="163750DB" w14:textId="59DA31C5" w:rsidR="00BD7A3B" w:rsidRDefault="00BD7A3B" w:rsidP="00AE2470">
      <w:pPr>
        <w:spacing w:line="276" w:lineRule="auto"/>
        <w:ind w:firstLine="567"/>
        <w:jc w:val="both"/>
      </w:pPr>
      <w:bookmarkStart w:id="2" w:name="_Hlk106718655"/>
      <w:r>
        <w:lastRenderedPageBreak/>
        <w:t>Tiesa arī secinājusi, ka p</w:t>
      </w:r>
      <w:r w:rsidRPr="00811EB9">
        <w:t>ieteicējas</w:t>
      </w:r>
      <w:r>
        <w:t xml:space="preserve"> iesniegtie</w:t>
      </w:r>
      <w:r w:rsidRPr="00811EB9">
        <w:t xml:space="preserve"> testēšanas pārskati atbilst </w:t>
      </w:r>
      <w:r w:rsidR="00A71066">
        <w:t xml:space="preserve">standartiem, kas paredzēti ierīcēm skrīningam, </w:t>
      </w:r>
      <w:r w:rsidR="00A71066" w:rsidRPr="00E01EC9">
        <w:t>pagaidu testēšanai</w:t>
      </w:r>
      <w:r w:rsidR="00A71066">
        <w:t xml:space="preserve"> un medicīnas aparātiem, nevis alkometriem</w:t>
      </w:r>
      <w:r w:rsidRPr="00811EB9">
        <w:t>.</w:t>
      </w:r>
      <w:r>
        <w:t xml:space="preserve"> </w:t>
      </w:r>
    </w:p>
    <w:p w14:paraId="4762549D" w14:textId="7869D55A" w:rsidR="005E0838" w:rsidRDefault="00BD7A3B" w:rsidP="00AE2470">
      <w:pPr>
        <w:spacing w:line="276" w:lineRule="auto"/>
        <w:ind w:firstLine="567"/>
        <w:jc w:val="both"/>
      </w:pPr>
      <w:r>
        <w:t>G</w:t>
      </w:r>
      <w:r w:rsidR="005E0838">
        <w:t xml:space="preserve">an apgabaltiesas, gan Senāta </w:t>
      </w:r>
      <w:r w:rsidR="00567043">
        <w:t>sēdē biroja pārstāvji</w:t>
      </w:r>
      <w:r w:rsidRPr="00BD7A3B">
        <w:t xml:space="preserve"> </w:t>
      </w:r>
      <w:r>
        <w:t>atzina</w:t>
      </w:r>
      <w:r w:rsidR="00567043">
        <w:t>,</w:t>
      </w:r>
      <w:r>
        <w:t xml:space="preserve"> ka</w:t>
      </w:r>
      <w:r w:rsidR="00567043">
        <w:t xml:space="preserve"> </w:t>
      </w:r>
      <w:r w:rsidR="005E0838">
        <w:t xml:space="preserve">testēšanas pārskati var arī nebūt </w:t>
      </w:r>
      <w:r w:rsidR="007E4D78">
        <w:t>sagatavoti</w:t>
      </w:r>
      <w:r w:rsidR="005E0838">
        <w:t xml:space="preserve"> tieši tā, kā to nosaka </w:t>
      </w:r>
      <w:r w:rsidR="007635A4">
        <w:rPr>
          <w:rFonts w:asciiTheme="majorBidi" w:hAnsiTheme="majorBidi" w:cstheme="majorBidi"/>
        </w:rPr>
        <w:t>Metroloģijas</w:t>
      </w:r>
      <w:r w:rsidR="007635A4">
        <w:t xml:space="preserve"> </w:t>
      </w:r>
      <w:r w:rsidR="005E0838">
        <w:t>rekomendācija</w:t>
      </w:r>
      <w:r w:rsidR="008C396B">
        <w:t>,</w:t>
      </w:r>
      <w:r w:rsidR="001B13B6">
        <w:t xml:space="preserve"> – </w:t>
      </w:r>
      <w:r w:rsidR="005E0838">
        <w:t xml:space="preserve">der arī citas standartizētas metodes, kuras metodoloģija ir līdzvērtīga </w:t>
      </w:r>
      <w:r w:rsidR="007635A4">
        <w:t xml:space="preserve">šai </w:t>
      </w:r>
      <w:r w:rsidR="005E0838">
        <w:t>rekomendācij</w:t>
      </w:r>
      <w:r w:rsidR="007635A4">
        <w:t>ā ieteiktajai</w:t>
      </w:r>
      <w:r w:rsidR="00370BBF">
        <w:t xml:space="preserve"> un kas ļauj pārliecināties par alkometru atbilstību.</w:t>
      </w:r>
    </w:p>
    <w:p w14:paraId="4B2C538B" w14:textId="7029E30D" w:rsidR="005E0838" w:rsidRDefault="00FD0D35" w:rsidP="00AE2470">
      <w:pPr>
        <w:spacing w:line="276" w:lineRule="auto"/>
        <w:ind w:firstLine="567"/>
        <w:jc w:val="both"/>
      </w:pPr>
      <w:r>
        <w:t>Tādējādi n</w:t>
      </w:r>
      <w:r w:rsidR="005E0838">
        <w:t xml:space="preserve">oteikumos </w:t>
      </w:r>
      <w:r>
        <w:t>lietotie vārdi</w:t>
      </w:r>
      <w:r w:rsidR="005E0838">
        <w:t xml:space="preserve"> </w:t>
      </w:r>
      <w:r w:rsidR="005E0838" w:rsidRPr="00F231E5">
        <w:rPr>
          <w:i/>
          <w:iCs/>
        </w:rPr>
        <w:t>var piemērot</w:t>
      </w:r>
      <w:r>
        <w:t xml:space="preserve"> attiecas uz pieteicēju, kas var iesniegt testēšanas pārskatus</w:t>
      </w:r>
      <w:r w:rsidR="00AE2E74">
        <w:t xml:space="preserve"> (atbilstoši šo noteikumu 33.punktam metroloģijas institūcija var pieprasīt, lai iesniedzējs iesniedz arī testēšanas rezultātus</w:t>
      </w:r>
      <w:r w:rsidR="00773849">
        <w:t>,</w:t>
      </w:r>
      <w:r w:rsidR="00AE2E74">
        <w:t xml:space="preserve"> un konkrētajā gadījumā tādi arī bija pieprasīti)</w:t>
      </w:r>
      <w:r>
        <w:t>, kas atbilst</w:t>
      </w:r>
      <w:r w:rsidR="007635A4">
        <w:t xml:space="preserve"> </w:t>
      </w:r>
      <w:r w:rsidR="007635A4">
        <w:rPr>
          <w:rFonts w:asciiTheme="majorBidi" w:hAnsiTheme="majorBidi" w:cstheme="majorBidi"/>
        </w:rPr>
        <w:t>Metroloģijas</w:t>
      </w:r>
      <w:r>
        <w:t xml:space="preserve"> rekomendācijas prasībām, bet var iesniegt arī citādus pārskatus, ja vien tie dod iespēju iestādei pārliecināties, ka no šiem pārskatiem izriet, ka alkometri atbilst </w:t>
      </w:r>
      <w:r w:rsidR="00F63238">
        <w:t xml:space="preserve">noteiktajām </w:t>
      </w:r>
      <w:r>
        <w:t>prasībām</w:t>
      </w:r>
      <w:r w:rsidR="00EC3A6E">
        <w:t xml:space="preserve"> (tehniskajiem parametriem)</w:t>
      </w:r>
      <w:r>
        <w:t>.</w:t>
      </w:r>
    </w:p>
    <w:p w14:paraId="4EE8C300" w14:textId="3B0A2585" w:rsidR="00D00B27" w:rsidRDefault="00AE2E74" w:rsidP="00AE2470">
      <w:pPr>
        <w:spacing w:line="276" w:lineRule="auto"/>
        <w:ind w:firstLine="567"/>
        <w:jc w:val="both"/>
      </w:pPr>
      <w:r>
        <w:t>L</w:t>
      </w:r>
      <w:r w:rsidR="000F5371">
        <w:t xml:space="preserve">ietā </w:t>
      </w:r>
      <w:r>
        <w:t xml:space="preserve">arī </w:t>
      </w:r>
      <w:r w:rsidR="000F5371">
        <w:t xml:space="preserve">nav ziņu, ka </w:t>
      </w:r>
      <w:r w:rsidR="004F67BA">
        <w:t xml:space="preserve">pieteicēja birojam </w:t>
      </w:r>
      <w:r w:rsidR="000F5371">
        <w:t>būtu iesnieg</w:t>
      </w:r>
      <w:r w:rsidR="0067391A">
        <w:t>usi</w:t>
      </w:r>
      <w:r w:rsidR="000F5371">
        <w:t xml:space="preserve"> līdzvērtīg</w:t>
      </w:r>
      <w:r w:rsidR="0067391A">
        <w:t>us</w:t>
      </w:r>
      <w:r w:rsidR="000F5371">
        <w:t xml:space="preserve"> testēšanas pārskat</w:t>
      </w:r>
      <w:r w:rsidR="0067391A">
        <w:t>us</w:t>
      </w:r>
      <w:r w:rsidR="000F5371">
        <w:t>.</w:t>
      </w:r>
      <w:r w:rsidR="00EC3A6E">
        <w:t xml:space="preserve"> </w:t>
      </w:r>
      <w:r w:rsidR="00782CAB">
        <w:t>Kā secināts lietā, p</w:t>
      </w:r>
      <w:r w:rsidR="00EC3A6E">
        <w:t>ieteicējas iesniegtajos pārskatos nebija iekļauti testu rezultāti, kas apliecinātu</w:t>
      </w:r>
      <w:r w:rsidR="00F63238">
        <w:t xml:space="preserve"> alkometru</w:t>
      </w:r>
      <w:r w:rsidR="00EC3A6E">
        <w:t xml:space="preserve"> atbilstību </w:t>
      </w:r>
      <w:r w:rsidR="00F63238">
        <w:t>Mēraparātu noteikumos paredzētajām prasībām.</w:t>
      </w:r>
    </w:p>
    <w:p w14:paraId="24BEBB76" w14:textId="3C4B0720" w:rsidR="00913A9C" w:rsidRDefault="00913A9C" w:rsidP="00AE2470">
      <w:pPr>
        <w:spacing w:line="276" w:lineRule="auto"/>
        <w:ind w:firstLine="567"/>
        <w:jc w:val="both"/>
      </w:pPr>
      <w:r>
        <w:lastRenderedPageBreak/>
        <w:t xml:space="preserve">Senāts vērš uzmanību arī </w:t>
      </w:r>
      <w:r w:rsidR="00F231E5">
        <w:t xml:space="preserve">uz </w:t>
      </w:r>
      <w:r>
        <w:t xml:space="preserve">apstākli, ka pieteicējai vispārīgi bija zināms, ka birojs pārbauda alkometru atbilstību prasībām, tieši izmantojot </w:t>
      </w:r>
      <w:r>
        <w:rPr>
          <w:rFonts w:asciiTheme="majorBidi" w:hAnsiTheme="majorBidi" w:cstheme="majorBidi"/>
        </w:rPr>
        <w:t>Metroloģijas rekomendācijā ieteikto metodoloģiju: kā konstatējusi tiesa, iepriekš pieteicēja ir iesniegusi šai rekomendācijai (iepriekšējā redakcijā) atbilstošus testēšanas pārskatus.</w:t>
      </w:r>
    </w:p>
    <w:p w14:paraId="331ED6D0" w14:textId="7C537ACF" w:rsidR="00FD0D35" w:rsidRDefault="00FD0D35" w:rsidP="00AE2470">
      <w:pPr>
        <w:spacing w:line="276" w:lineRule="auto"/>
        <w:ind w:firstLine="567"/>
        <w:jc w:val="both"/>
      </w:pPr>
    </w:p>
    <w:p w14:paraId="299B4558" w14:textId="4359892C" w:rsidR="00FD0D35" w:rsidRDefault="00FD0D35" w:rsidP="00AE2470">
      <w:pPr>
        <w:spacing w:line="276" w:lineRule="auto"/>
        <w:ind w:firstLine="567"/>
        <w:jc w:val="both"/>
      </w:pPr>
      <w:r>
        <w:t>[1</w:t>
      </w:r>
      <w:r w:rsidR="0030606E">
        <w:t>0</w:t>
      </w:r>
      <w:r>
        <w:t xml:space="preserve">] Kasācijas sūdzībā norādīts uz </w:t>
      </w:r>
      <w:r>
        <w:rPr>
          <w:rFonts w:asciiTheme="majorBidi" w:hAnsiTheme="majorBidi" w:cstheme="majorBidi"/>
        </w:rPr>
        <w:t>Metroloģiskās kontroles</w:t>
      </w:r>
      <w:r w:rsidRPr="007954E2">
        <w:t xml:space="preserve"> noteikum</w:t>
      </w:r>
      <w:r>
        <w:t xml:space="preserve">u 12.punktu: </w:t>
      </w:r>
      <w:r w:rsidR="00903F1D">
        <w:t>j</w:t>
      </w:r>
      <w:r w:rsidR="000F5371" w:rsidRPr="000F5371">
        <w:t>a mērīšanas līdzekļi ražoti atbilstoši publicēto piemērojamo standartu vai starptautisko dokumentu prasībām, uzskatāms, ka mērīšanas līdzekļi atbilst metroloģiskajām prasībām</w:t>
      </w:r>
      <w:r w:rsidR="000F5371">
        <w:t>.</w:t>
      </w:r>
    </w:p>
    <w:p w14:paraId="7E3131CD" w14:textId="0AB64AD4" w:rsidR="000F5371" w:rsidRDefault="000F5371" w:rsidP="00AE2470">
      <w:pPr>
        <w:spacing w:line="276" w:lineRule="auto"/>
        <w:ind w:firstLine="567"/>
        <w:jc w:val="both"/>
      </w:pPr>
      <w:r>
        <w:t>Senātam nav saprotams, kas domāts ar šo argumentu. No lietas materiāliem neizriet, ka būtu iesniegti pierādījumi, kas apstiprinātu</w:t>
      </w:r>
      <w:r w:rsidR="00A71066">
        <w:t>, ka iestājušies</w:t>
      </w:r>
      <w:r>
        <w:t xml:space="preserve"> apstākļi, kas minēti</w:t>
      </w:r>
      <w:r w:rsidR="00282664">
        <w:t xml:space="preserve"> noteikumu</w:t>
      </w:r>
      <w:r>
        <w:t xml:space="preserve"> 12.punktā.</w:t>
      </w:r>
    </w:p>
    <w:p w14:paraId="106C27A2" w14:textId="7C4973B6" w:rsidR="0030606E" w:rsidRDefault="0030606E" w:rsidP="00AE2470">
      <w:pPr>
        <w:spacing w:line="276" w:lineRule="auto"/>
        <w:ind w:firstLine="567"/>
        <w:jc w:val="both"/>
      </w:pPr>
    </w:p>
    <w:p w14:paraId="28E901C8" w14:textId="7C60925F" w:rsidR="0030606E" w:rsidRDefault="0030606E" w:rsidP="00AE2470">
      <w:pPr>
        <w:spacing w:line="276" w:lineRule="auto"/>
        <w:ind w:firstLine="567"/>
        <w:jc w:val="both"/>
      </w:pPr>
      <w:r>
        <w:t>[11] Kasācijas sūdzībā argumentēts, ka tiesa nav norādījusi, kādu rekomendācijā noteikto prasību izpildi neapstiprina pieteicēja iesniegtie testēšanas pārskati.</w:t>
      </w:r>
    </w:p>
    <w:p w14:paraId="1E3BFF4A" w14:textId="3FB23968" w:rsidR="0030606E" w:rsidRDefault="0030606E" w:rsidP="00AE2470">
      <w:pPr>
        <w:spacing w:line="276" w:lineRule="auto"/>
        <w:ind w:firstLine="567"/>
        <w:jc w:val="both"/>
      </w:pPr>
      <w:r>
        <w:t xml:space="preserve">Senāts neuzskata, ka tiesai tādā strīdā, kāds radies konkrētajā lietā, tas būtu jādara. </w:t>
      </w:r>
      <w:r w:rsidR="005174F4">
        <w:t xml:space="preserve">Kā redzams no lietas materiāliem, pieteicēja principā nav uzskatījusi, ka tai būtu jāizmanto alkometru tipa </w:t>
      </w:r>
      <w:r w:rsidR="005174F4">
        <w:lastRenderedPageBreak/>
        <w:t xml:space="preserve">pārbaudes metodes, kas ir aprakstītas </w:t>
      </w:r>
      <w:r w:rsidR="005174F4">
        <w:rPr>
          <w:rFonts w:asciiTheme="majorBidi" w:hAnsiTheme="majorBidi" w:cstheme="majorBidi"/>
        </w:rPr>
        <w:t>Metroloģijas</w:t>
      </w:r>
      <w:r w:rsidR="005174F4">
        <w:t xml:space="preserve"> rekomendācijā, vai tām līdzvērtīgas metodes.</w:t>
      </w:r>
      <w:r w:rsidR="008A2FBE">
        <w:t xml:space="preserve"> Tiesai konkrētām prasībām būtu jāpievēršas tad, ja pieteicēja būtu iesniegusi nepieciešamos testēšanas pārskatus.</w:t>
      </w:r>
    </w:p>
    <w:p w14:paraId="0CF71D9F" w14:textId="17278AE9" w:rsidR="00913A9C" w:rsidRDefault="00913A9C" w:rsidP="00AE2470">
      <w:pPr>
        <w:spacing w:line="276" w:lineRule="auto"/>
        <w:ind w:firstLine="567"/>
        <w:jc w:val="both"/>
      </w:pPr>
    </w:p>
    <w:p w14:paraId="03E01801" w14:textId="00F343A0" w:rsidR="00913A9C" w:rsidRPr="00282664" w:rsidRDefault="00913A9C" w:rsidP="00AE2470">
      <w:pPr>
        <w:spacing w:line="276" w:lineRule="auto"/>
        <w:ind w:firstLine="567"/>
        <w:jc w:val="both"/>
      </w:pPr>
      <w:r w:rsidRPr="00282664">
        <w:t xml:space="preserve">[12] Kasācijas sūdzībā arī argumentēts, ka </w:t>
      </w:r>
      <w:r w:rsidR="00282664" w:rsidRPr="00282664">
        <w:t xml:space="preserve">iesniedzējai </w:t>
      </w:r>
      <w:r w:rsidRPr="00282664">
        <w:t>joprojām nav saprotams, kādi testēšanas pārskati ir jāiesniedz.</w:t>
      </w:r>
    </w:p>
    <w:p w14:paraId="64857C4C" w14:textId="29DCFB16" w:rsidR="00913A9C" w:rsidRPr="00282664" w:rsidRDefault="00913A9C" w:rsidP="00AE2470">
      <w:pPr>
        <w:spacing w:line="276" w:lineRule="auto"/>
        <w:ind w:firstLine="567"/>
        <w:jc w:val="both"/>
        <w:rPr>
          <w:rFonts w:asciiTheme="majorBidi" w:hAnsiTheme="majorBidi" w:cstheme="majorBidi"/>
        </w:rPr>
      </w:pPr>
      <w:r w:rsidRPr="00282664">
        <w:t xml:space="preserve">Senāts vērš pieteicējas uzmanību, ka procesos, kas saistīti ar </w:t>
      </w:r>
      <w:r w:rsidR="008A2FBE" w:rsidRPr="00282664">
        <w:t>biznesa aktivitātēm (</w:t>
      </w:r>
      <w:r w:rsidRPr="00282664">
        <w:t>akreditācijām, sertifikācijām, licencēm un citām</w:t>
      </w:r>
      <w:r w:rsidR="008A2FBE" w:rsidRPr="00282664">
        <w:t>),</w:t>
      </w:r>
      <w:r w:rsidRPr="00282664">
        <w:t xml:space="preserve"> </w:t>
      </w:r>
      <w:r w:rsidR="008A2FBE" w:rsidRPr="00282664">
        <w:t xml:space="preserve">no procesa dalībniekiem </w:t>
      </w:r>
      <w:r w:rsidRPr="00282664">
        <w:t xml:space="preserve">tiek sagaidīts, ka tie pārzina attiecīgo jomu un iesniedz </w:t>
      </w:r>
      <w:r w:rsidR="00011E01" w:rsidRPr="00282664">
        <w:t xml:space="preserve">atbilstošus dokumentus. </w:t>
      </w:r>
      <w:r w:rsidR="00011E01" w:rsidRPr="00282664">
        <w:rPr>
          <w:rFonts w:asciiTheme="majorBidi" w:hAnsiTheme="majorBidi" w:cstheme="majorBidi"/>
        </w:rPr>
        <w:t>Metroloģijas rekomendācijā ir aprakstītas alkometru pārbaudes metodes, tātad testēšanas pārskatos jābūt redzamam, ka šīs metodes ir izmantotas.</w:t>
      </w:r>
    </w:p>
    <w:p w14:paraId="1CD200E8" w14:textId="1607D4B4" w:rsidR="00011E01" w:rsidRPr="00282664" w:rsidRDefault="00011E01" w:rsidP="00AE2470">
      <w:pPr>
        <w:spacing w:line="276" w:lineRule="auto"/>
        <w:ind w:firstLine="567"/>
        <w:jc w:val="both"/>
        <w:rPr>
          <w:rFonts w:asciiTheme="majorBidi" w:hAnsiTheme="majorBidi" w:cstheme="majorBidi"/>
        </w:rPr>
      </w:pPr>
    </w:p>
    <w:p w14:paraId="4577B849" w14:textId="1523806F" w:rsidR="00011E01" w:rsidRPr="00282664" w:rsidRDefault="00011E01" w:rsidP="00AE2470">
      <w:pPr>
        <w:spacing w:line="276" w:lineRule="auto"/>
        <w:ind w:firstLine="567"/>
        <w:jc w:val="both"/>
        <w:rPr>
          <w:rFonts w:asciiTheme="majorBidi" w:hAnsiTheme="majorBidi" w:cstheme="majorBidi"/>
        </w:rPr>
      </w:pPr>
      <w:r w:rsidRPr="00282664">
        <w:rPr>
          <w:rFonts w:asciiTheme="majorBidi" w:hAnsiTheme="majorBidi" w:cstheme="majorBidi"/>
        </w:rPr>
        <w:t xml:space="preserve">[13] No kasācijas sūdzības izriet, ka pieteicēja nepiekrīt apgabaltiesas vērtējumam par biroja pieļauto procesuālo pārkāpumu. </w:t>
      </w:r>
    </w:p>
    <w:p w14:paraId="0E02D97A" w14:textId="292EFD23" w:rsidR="00011E01" w:rsidRPr="00282664" w:rsidRDefault="00011E01" w:rsidP="00AE2470">
      <w:pPr>
        <w:spacing w:line="276" w:lineRule="auto"/>
        <w:ind w:firstLine="567"/>
        <w:jc w:val="both"/>
        <w:rPr>
          <w:rFonts w:asciiTheme="majorBidi" w:hAnsiTheme="majorBidi" w:cstheme="majorBidi"/>
        </w:rPr>
      </w:pPr>
      <w:r w:rsidRPr="00282664">
        <w:rPr>
          <w:rFonts w:asciiTheme="majorBidi" w:hAnsiTheme="majorBidi" w:cstheme="majorBidi"/>
        </w:rPr>
        <w:t>Senāts neredz kļūdas apgabaltiesas vērtējumā.</w:t>
      </w:r>
    </w:p>
    <w:p w14:paraId="0AB1E4A3" w14:textId="2EF80039" w:rsidR="00011E01" w:rsidRPr="00282664" w:rsidRDefault="00011E01" w:rsidP="00AE2470">
      <w:pPr>
        <w:spacing w:line="276" w:lineRule="auto"/>
        <w:ind w:firstLine="567"/>
        <w:jc w:val="both"/>
        <w:rPr>
          <w:rFonts w:asciiTheme="majorBidi" w:hAnsiTheme="majorBidi" w:cstheme="majorBidi"/>
        </w:rPr>
      </w:pPr>
    </w:p>
    <w:p w14:paraId="0A28F6C9" w14:textId="656D6E81" w:rsidR="00567043" w:rsidRPr="00282664" w:rsidRDefault="00011E01" w:rsidP="00AE2470">
      <w:pPr>
        <w:spacing w:line="276" w:lineRule="auto"/>
        <w:ind w:firstLine="567"/>
        <w:jc w:val="both"/>
      </w:pPr>
      <w:r w:rsidRPr="00282664">
        <w:rPr>
          <w:rFonts w:asciiTheme="majorBidi" w:hAnsiTheme="majorBidi" w:cstheme="majorBidi"/>
        </w:rPr>
        <w:t>[14] Apkopojot iepriekš norādītos argumentus, Senāts atzīst, ka apgabaltiesas spriedums ir pareizs, bet pieteicējas kasācijas sūdzība ir noraidāma.</w:t>
      </w:r>
    </w:p>
    <w:p w14:paraId="4977903C" w14:textId="77777777" w:rsidR="00811EB9" w:rsidRPr="00282664" w:rsidRDefault="00811EB9" w:rsidP="00AE2470">
      <w:pPr>
        <w:spacing w:line="276" w:lineRule="auto"/>
        <w:rPr>
          <w:rFonts w:eastAsia="Calibri" w:cs="Arial"/>
          <w:b/>
          <w:lang w:eastAsia="en-US"/>
        </w:rPr>
      </w:pPr>
    </w:p>
    <w:p w14:paraId="0AE51EA6" w14:textId="77777777" w:rsidR="00811EB9" w:rsidRPr="00282664" w:rsidRDefault="00811EB9" w:rsidP="00AE2470">
      <w:pPr>
        <w:spacing w:line="276" w:lineRule="auto"/>
        <w:jc w:val="center"/>
        <w:rPr>
          <w:b/>
        </w:rPr>
      </w:pPr>
      <w:r w:rsidRPr="00282664">
        <w:rPr>
          <w:b/>
        </w:rPr>
        <w:t>Rezolutīvā daļa</w:t>
      </w:r>
    </w:p>
    <w:p w14:paraId="41937C9D" w14:textId="77777777" w:rsidR="00AA61D1" w:rsidRPr="00282664" w:rsidRDefault="00AA61D1" w:rsidP="00AE2470">
      <w:pPr>
        <w:spacing w:line="276" w:lineRule="auto"/>
        <w:jc w:val="both"/>
      </w:pPr>
    </w:p>
    <w:p w14:paraId="37D22954" w14:textId="62C47952" w:rsidR="00282664" w:rsidRPr="00282664" w:rsidRDefault="001D3CFD" w:rsidP="00AE2470">
      <w:pPr>
        <w:spacing w:line="276" w:lineRule="auto"/>
        <w:ind w:firstLine="567"/>
        <w:jc w:val="both"/>
        <w:rPr>
          <w:b/>
        </w:rPr>
      </w:pPr>
      <w:r w:rsidRPr="00282664">
        <w:t>Pamatojoties uz Administratīvā procesa likuma 348.panta pirmās daļas 1.punktu un 351.pantu, Senāts</w:t>
      </w:r>
    </w:p>
    <w:p w14:paraId="22337089" w14:textId="497565E0" w:rsidR="00E848CA" w:rsidRPr="00811EB9" w:rsidRDefault="00E848CA" w:rsidP="00AE2470">
      <w:pPr>
        <w:spacing w:line="276" w:lineRule="auto"/>
        <w:jc w:val="center"/>
        <w:rPr>
          <w:b/>
        </w:rPr>
      </w:pPr>
      <w:r w:rsidRPr="00811EB9">
        <w:rPr>
          <w:b/>
        </w:rPr>
        <w:t>nosprieda</w:t>
      </w:r>
    </w:p>
    <w:p w14:paraId="29858A7D" w14:textId="157B96F5" w:rsidR="00AA61D1" w:rsidRPr="00811EB9" w:rsidRDefault="00AA61D1" w:rsidP="00AE2470">
      <w:pPr>
        <w:spacing w:line="276" w:lineRule="auto"/>
        <w:rPr>
          <w:b/>
        </w:rPr>
      </w:pPr>
    </w:p>
    <w:p w14:paraId="415AF751" w14:textId="01D91DEF" w:rsidR="00811EB9" w:rsidRPr="001D3CFD" w:rsidRDefault="001D3CFD" w:rsidP="00AE2470">
      <w:pPr>
        <w:keepNext/>
        <w:tabs>
          <w:tab w:val="left" w:pos="567"/>
          <w:tab w:val="left" w:pos="2700"/>
          <w:tab w:val="left" w:pos="6660"/>
        </w:tabs>
        <w:spacing w:line="276" w:lineRule="auto"/>
        <w:jc w:val="both"/>
      </w:pPr>
      <w:r>
        <w:rPr>
          <w:b/>
        </w:rPr>
        <w:tab/>
      </w:r>
      <w:r w:rsidRPr="004E193F">
        <w:t xml:space="preserve">atstāt negrozītu Administratīvās apgabaltiesas </w:t>
      </w:r>
      <w:r w:rsidRPr="001D3CFD">
        <w:t>2020.gada 26.novembra spriedumu</w:t>
      </w:r>
      <w:r w:rsidRPr="004E193F">
        <w:t xml:space="preserve">, bet </w:t>
      </w:r>
      <w:r w:rsidRPr="001D3CFD">
        <w:t>SIA</w:t>
      </w:r>
      <w:r>
        <w:t> </w:t>
      </w:r>
      <w:r w:rsidRPr="001D3CFD">
        <w:t xml:space="preserve">„NRDATA POS” kasācijas sūdzību </w:t>
      </w:r>
      <w:r w:rsidRPr="004E193F">
        <w:t>noraidīt.</w:t>
      </w:r>
    </w:p>
    <w:p w14:paraId="3574D47B" w14:textId="6A69BB7E" w:rsidR="00024C3F" w:rsidRPr="00811EB9" w:rsidRDefault="00811EB9" w:rsidP="00AE2470">
      <w:pPr>
        <w:spacing w:line="276" w:lineRule="auto"/>
        <w:ind w:firstLine="567"/>
        <w:jc w:val="both"/>
      </w:pPr>
      <w:r w:rsidRPr="00811EB9">
        <w:rPr>
          <w:rFonts w:eastAsia="Calibri" w:cs="Arial"/>
          <w:szCs w:val="22"/>
          <w:lang w:eastAsia="en-US"/>
        </w:rPr>
        <w:t>Spriedums</w:t>
      </w:r>
      <w:r w:rsidRPr="00811EB9">
        <w:t xml:space="preserve"> </w:t>
      </w:r>
      <w:r w:rsidR="00AA61D1" w:rsidRPr="00811EB9">
        <w:t>nav pārsūdzams.</w:t>
      </w:r>
    </w:p>
    <w:p w14:paraId="741E994B" w14:textId="4BD7392A" w:rsidR="00C621FE" w:rsidRDefault="00C621FE" w:rsidP="00AE2470">
      <w:pPr>
        <w:spacing w:line="276" w:lineRule="auto"/>
        <w:jc w:val="both"/>
      </w:pPr>
    </w:p>
    <w:p w14:paraId="1AB8DF7F" w14:textId="77777777" w:rsidR="001D3CFD" w:rsidRPr="00811EB9" w:rsidRDefault="001D3CFD" w:rsidP="00AE2470">
      <w:pPr>
        <w:spacing w:line="276" w:lineRule="auto"/>
        <w:jc w:val="both"/>
      </w:pPr>
      <w:bookmarkStart w:id="3" w:name="_GoBack"/>
      <w:bookmarkEnd w:id="3"/>
    </w:p>
    <w:bookmarkEnd w:id="0"/>
    <w:bookmarkEnd w:id="2"/>
    <w:p w14:paraId="39A98570" w14:textId="77777777" w:rsidR="001D3CFD" w:rsidRDefault="001D3CFD" w:rsidP="001D3CFD">
      <w:pPr>
        <w:tabs>
          <w:tab w:val="center" w:pos="1701"/>
          <w:tab w:val="center" w:pos="4536"/>
          <w:tab w:val="center" w:pos="7371"/>
        </w:tabs>
        <w:spacing w:line="276" w:lineRule="auto"/>
        <w:jc w:val="both"/>
      </w:pPr>
    </w:p>
    <w:p w14:paraId="2DEBAF1E" w14:textId="048E08E8" w:rsidR="001575CC" w:rsidRPr="00811EB9" w:rsidRDefault="001D3CFD" w:rsidP="00543FC7">
      <w:pPr>
        <w:tabs>
          <w:tab w:val="center" w:pos="1701"/>
          <w:tab w:val="center" w:pos="4536"/>
          <w:tab w:val="center" w:pos="7371"/>
        </w:tabs>
        <w:spacing w:line="276" w:lineRule="auto"/>
        <w:ind w:firstLine="720"/>
        <w:jc w:val="both"/>
      </w:pPr>
      <w:r>
        <w:tab/>
      </w:r>
      <w:bookmarkEnd w:id="1"/>
    </w:p>
    <w:sectPr w:rsidR="001575CC" w:rsidRPr="00811EB9" w:rsidSect="00C621FE">
      <w:footerReference w:type="default" r:id="rId9"/>
      <w:pgSz w:w="11906" w:h="16838"/>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8A7AE" w14:textId="77777777" w:rsidR="00CB3B90" w:rsidRDefault="00CB3B90" w:rsidP="008F1CEA">
      <w:r>
        <w:separator/>
      </w:r>
    </w:p>
  </w:endnote>
  <w:endnote w:type="continuationSeparator" w:id="0">
    <w:p w14:paraId="09B1B2E2" w14:textId="77777777" w:rsidR="00CB3B90" w:rsidRDefault="00CB3B90" w:rsidP="008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sig w:usb0="00000005" w:usb1="00000000" w:usb2="00000000" w:usb3="00000000" w:csb0="00000002" w:csb1="00000000"/>
  </w:font>
  <w:font w:name="Gotham">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73612"/>
      <w:docPartObj>
        <w:docPartGallery w:val="Page Numbers (Bottom of Page)"/>
        <w:docPartUnique/>
      </w:docPartObj>
    </w:sdtPr>
    <w:sdtEndPr>
      <w:rPr>
        <w:noProof/>
      </w:rPr>
    </w:sdtEndPr>
    <w:sdtContent>
      <w:p w14:paraId="7BD72E41" w14:textId="352C1CD0" w:rsidR="00A81C4E" w:rsidRDefault="00A81C4E" w:rsidP="008F1CEA">
        <w:pPr>
          <w:pStyle w:val="Footer"/>
          <w:jc w:val="center"/>
          <w:rPr>
            <w:noProof/>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A6DA1">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A6DA1">
          <w:rPr>
            <w:rStyle w:val="PageNumber"/>
            <w:noProof/>
          </w:rPr>
          <w:t>5</w:t>
        </w:r>
        <w:r>
          <w:rPr>
            <w:rStyle w:val="PageNumber"/>
            <w:noProof/>
          </w:rPr>
          <w:fldChar w:fldCharType="end"/>
        </w:r>
      </w:p>
    </w:sdtContent>
  </w:sdt>
  <w:p w14:paraId="09166C67" w14:textId="77777777" w:rsidR="00A81C4E" w:rsidRDefault="00A81C4E" w:rsidP="008F1C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BA49" w14:textId="77777777" w:rsidR="00CB3B90" w:rsidRDefault="00CB3B90" w:rsidP="008F1CEA">
      <w:r>
        <w:separator/>
      </w:r>
    </w:p>
  </w:footnote>
  <w:footnote w:type="continuationSeparator" w:id="0">
    <w:p w14:paraId="40FD9B36" w14:textId="77777777" w:rsidR="00CB3B90" w:rsidRDefault="00CB3B90" w:rsidP="008F1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F1E99"/>
    <w:multiLevelType w:val="multilevel"/>
    <w:tmpl w:val="A43C23F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6E"/>
    <w:rsid w:val="0000093F"/>
    <w:rsid w:val="00010F04"/>
    <w:rsid w:val="00011D3E"/>
    <w:rsid w:val="00011E01"/>
    <w:rsid w:val="00022BF6"/>
    <w:rsid w:val="00024C3F"/>
    <w:rsid w:val="00027561"/>
    <w:rsid w:val="000304E6"/>
    <w:rsid w:val="00032606"/>
    <w:rsid w:val="00043300"/>
    <w:rsid w:val="00047EFB"/>
    <w:rsid w:val="00052AF4"/>
    <w:rsid w:val="00060B2E"/>
    <w:rsid w:val="00064105"/>
    <w:rsid w:val="00071D33"/>
    <w:rsid w:val="00083FE6"/>
    <w:rsid w:val="00084FA2"/>
    <w:rsid w:val="00084FD8"/>
    <w:rsid w:val="000877AA"/>
    <w:rsid w:val="00090A67"/>
    <w:rsid w:val="00091CFB"/>
    <w:rsid w:val="0009226D"/>
    <w:rsid w:val="00094A75"/>
    <w:rsid w:val="000A7544"/>
    <w:rsid w:val="000A77E4"/>
    <w:rsid w:val="000B09D2"/>
    <w:rsid w:val="000B196A"/>
    <w:rsid w:val="000B4387"/>
    <w:rsid w:val="000C0B4F"/>
    <w:rsid w:val="000C293A"/>
    <w:rsid w:val="000C30F6"/>
    <w:rsid w:val="000C3908"/>
    <w:rsid w:val="000D3218"/>
    <w:rsid w:val="000D47EC"/>
    <w:rsid w:val="000D4E02"/>
    <w:rsid w:val="000E12AA"/>
    <w:rsid w:val="000E12BB"/>
    <w:rsid w:val="000E1D35"/>
    <w:rsid w:val="000F02E7"/>
    <w:rsid w:val="000F0838"/>
    <w:rsid w:val="000F5371"/>
    <w:rsid w:val="000F7B8C"/>
    <w:rsid w:val="00102BF0"/>
    <w:rsid w:val="00102EA4"/>
    <w:rsid w:val="00105E4F"/>
    <w:rsid w:val="001072E3"/>
    <w:rsid w:val="00111CE3"/>
    <w:rsid w:val="00126512"/>
    <w:rsid w:val="00127B46"/>
    <w:rsid w:val="0013003E"/>
    <w:rsid w:val="00135ACC"/>
    <w:rsid w:val="00136604"/>
    <w:rsid w:val="00143D87"/>
    <w:rsid w:val="00147702"/>
    <w:rsid w:val="0014785F"/>
    <w:rsid w:val="0015130F"/>
    <w:rsid w:val="001575CC"/>
    <w:rsid w:val="00157F9A"/>
    <w:rsid w:val="00161E7F"/>
    <w:rsid w:val="001626A6"/>
    <w:rsid w:val="00164235"/>
    <w:rsid w:val="00171910"/>
    <w:rsid w:val="001720B7"/>
    <w:rsid w:val="00182335"/>
    <w:rsid w:val="001A1310"/>
    <w:rsid w:val="001A3780"/>
    <w:rsid w:val="001A6B11"/>
    <w:rsid w:val="001B13B6"/>
    <w:rsid w:val="001B2434"/>
    <w:rsid w:val="001B3053"/>
    <w:rsid w:val="001B3339"/>
    <w:rsid w:val="001B5F36"/>
    <w:rsid w:val="001C3961"/>
    <w:rsid w:val="001C6CBC"/>
    <w:rsid w:val="001D19E9"/>
    <w:rsid w:val="001D29FC"/>
    <w:rsid w:val="001D3CFD"/>
    <w:rsid w:val="001D77DC"/>
    <w:rsid w:val="001E624A"/>
    <w:rsid w:val="001F5CB8"/>
    <w:rsid w:val="001F73DB"/>
    <w:rsid w:val="002012A3"/>
    <w:rsid w:val="00202510"/>
    <w:rsid w:val="00204561"/>
    <w:rsid w:val="00214967"/>
    <w:rsid w:val="00214F90"/>
    <w:rsid w:val="002163B3"/>
    <w:rsid w:val="00226165"/>
    <w:rsid w:val="00230304"/>
    <w:rsid w:val="0023353A"/>
    <w:rsid w:val="00240474"/>
    <w:rsid w:val="002408EF"/>
    <w:rsid w:val="00243A0C"/>
    <w:rsid w:val="00253481"/>
    <w:rsid w:val="00255FC7"/>
    <w:rsid w:val="0026520D"/>
    <w:rsid w:val="00267D94"/>
    <w:rsid w:val="00270C35"/>
    <w:rsid w:val="0027150C"/>
    <w:rsid w:val="00271859"/>
    <w:rsid w:val="00274096"/>
    <w:rsid w:val="00282664"/>
    <w:rsid w:val="0028278F"/>
    <w:rsid w:val="00290453"/>
    <w:rsid w:val="002A01C2"/>
    <w:rsid w:val="002A4023"/>
    <w:rsid w:val="002C0DE7"/>
    <w:rsid w:val="002C2562"/>
    <w:rsid w:val="002C4124"/>
    <w:rsid w:val="002D1DE5"/>
    <w:rsid w:val="002D395C"/>
    <w:rsid w:val="002E094C"/>
    <w:rsid w:val="002E19D3"/>
    <w:rsid w:val="002E3916"/>
    <w:rsid w:val="002E7314"/>
    <w:rsid w:val="002E7A27"/>
    <w:rsid w:val="002F1F14"/>
    <w:rsid w:val="002F322E"/>
    <w:rsid w:val="002F5685"/>
    <w:rsid w:val="0030606E"/>
    <w:rsid w:val="0030632E"/>
    <w:rsid w:val="00307C79"/>
    <w:rsid w:val="00327613"/>
    <w:rsid w:val="00330AFD"/>
    <w:rsid w:val="0033587A"/>
    <w:rsid w:val="00335C29"/>
    <w:rsid w:val="003445D2"/>
    <w:rsid w:val="0034611A"/>
    <w:rsid w:val="00351351"/>
    <w:rsid w:val="0035585E"/>
    <w:rsid w:val="003573D1"/>
    <w:rsid w:val="00357E7A"/>
    <w:rsid w:val="0036467A"/>
    <w:rsid w:val="0036501A"/>
    <w:rsid w:val="00370BBF"/>
    <w:rsid w:val="00372D12"/>
    <w:rsid w:val="00373744"/>
    <w:rsid w:val="00380353"/>
    <w:rsid w:val="003812D4"/>
    <w:rsid w:val="00381EAD"/>
    <w:rsid w:val="00382265"/>
    <w:rsid w:val="00386005"/>
    <w:rsid w:val="003A2C10"/>
    <w:rsid w:val="003B03C7"/>
    <w:rsid w:val="003B3597"/>
    <w:rsid w:val="003C0CDE"/>
    <w:rsid w:val="003F46E6"/>
    <w:rsid w:val="00405E75"/>
    <w:rsid w:val="00407652"/>
    <w:rsid w:val="0041094B"/>
    <w:rsid w:val="004163B7"/>
    <w:rsid w:val="004208BD"/>
    <w:rsid w:val="00421E14"/>
    <w:rsid w:val="004309A4"/>
    <w:rsid w:val="004312C2"/>
    <w:rsid w:val="00432FB7"/>
    <w:rsid w:val="00443119"/>
    <w:rsid w:val="00445E01"/>
    <w:rsid w:val="00450D52"/>
    <w:rsid w:val="004513C7"/>
    <w:rsid w:val="00462F35"/>
    <w:rsid w:val="00466D16"/>
    <w:rsid w:val="00472B22"/>
    <w:rsid w:val="00474173"/>
    <w:rsid w:val="00480C6E"/>
    <w:rsid w:val="00484E74"/>
    <w:rsid w:val="0048721F"/>
    <w:rsid w:val="004924B9"/>
    <w:rsid w:val="004960C4"/>
    <w:rsid w:val="004A20C3"/>
    <w:rsid w:val="004A2731"/>
    <w:rsid w:val="004A2A6F"/>
    <w:rsid w:val="004B18E1"/>
    <w:rsid w:val="004C4B9F"/>
    <w:rsid w:val="004C4FEA"/>
    <w:rsid w:val="004C64E5"/>
    <w:rsid w:val="004C707E"/>
    <w:rsid w:val="004D62C3"/>
    <w:rsid w:val="004D755D"/>
    <w:rsid w:val="004E2AAE"/>
    <w:rsid w:val="004E4824"/>
    <w:rsid w:val="004F121D"/>
    <w:rsid w:val="004F67BA"/>
    <w:rsid w:val="004F68A6"/>
    <w:rsid w:val="004F75D5"/>
    <w:rsid w:val="004F774A"/>
    <w:rsid w:val="00505D4F"/>
    <w:rsid w:val="00511E81"/>
    <w:rsid w:val="00513361"/>
    <w:rsid w:val="00513381"/>
    <w:rsid w:val="00513DFA"/>
    <w:rsid w:val="00515376"/>
    <w:rsid w:val="005174F4"/>
    <w:rsid w:val="005216D7"/>
    <w:rsid w:val="00523575"/>
    <w:rsid w:val="00525BA0"/>
    <w:rsid w:val="00530235"/>
    <w:rsid w:val="00535045"/>
    <w:rsid w:val="00536FC8"/>
    <w:rsid w:val="0054127C"/>
    <w:rsid w:val="00543FC7"/>
    <w:rsid w:val="005523AD"/>
    <w:rsid w:val="00555F36"/>
    <w:rsid w:val="0056221E"/>
    <w:rsid w:val="005655F5"/>
    <w:rsid w:val="00567043"/>
    <w:rsid w:val="00570795"/>
    <w:rsid w:val="005749C5"/>
    <w:rsid w:val="00574D7E"/>
    <w:rsid w:val="00574E76"/>
    <w:rsid w:val="005801C8"/>
    <w:rsid w:val="005820EB"/>
    <w:rsid w:val="005A5D3D"/>
    <w:rsid w:val="005A69D3"/>
    <w:rsid w:val="005B198D"/>
    <w:rsid w:val="005B1B04"/>
    <w:rsid w:val="005B2745"/>
    <w:rsid w:val="005B4534"/>
    <w:rsid w:val="005C01E6"/>
    <w:rsid w:val="005C3E61"/>
    <w:rsid w:val="005C3FFC"/>
    <w:rsid w:val="005D26F1"/>
    <w:rsid w:val="005E049B"/>
    <w:rsid w:val="005E0838"/>
    <w:rsid w:val="005E2DAB"/>
    <w:rsid w:val="005E4B64"/>
    <w:rsid w:val="005E6449"/>
    <w:rsid w:val="006004F9"/>
    <w:rsid w:val="006059B4"/>
    <w:rsid w:val="00607138"/>
    <w:rsid w:val="0061733E"/>
    <w:rsid w:val="00627583"/>
    <w:rsid w:val="00627743"/>
    <w:rsid w:val="0063108B"/>
    <w:rsid w:val="00632FC3"/>
    <w:rsid w:val="00636492"/>
    <w:rsid w:val="006366F6"/>
    <w:rsid w:val="00636D9C"/>
    <w:rsid w:val="0064530A"/>
    <w:rsid w:val="00645850"/>
    <w:rsid w:val="00652A3E"/>
    <w:rsid w:val="00654D87"/>
    <w:rsid w:val="00655548"/>
    <w:rsid w:val="00662D51"/>
    <w:rsid w:val="00663D65"/>
    <w:rsid w:val="00664FD1"/>
    <w:rsid w:val="0067261E"/>
    <w:rsid w:val="006731EB"/>
    <w:rsid w:val="0067391A"/>
    <w:rsid w:val="00673AFC"/>
    <w:rsid w:val="00686630"/>
    <w:rsid w:val="0069639F"/>
    <w:rsid w:val="006A13B4"/>
    <w:rsid w:val="006A5CAD"/>
    <w:rsid w:val="006B05AD"/>
    <w:rsid w:val="006B1932"/>
    <w:rsid w:val="006B4311"/>
    <w:rsid w:val="006B6F7B"/>
    <w:rsid w:val="006C5E28"/>
    <w:rsid w:val="006C7053"/>
    <w:rsid w:val="006D2C23"/>
    <w:rsid w:val="006E1230"/>
    <w:rsid w:val="006F0500"/>
    <w:rsid w:val="006F076E"/>
    <w:rsid w:val="006F2037"/>
    <w:rsid w:val="006F4EA1"/>
    <w:rsid w:val="006F6432"/>
    <w:rsid w:val="006F7F54"/>
    <w:rsid w:val="00700D72"/>
    <w:rsid w:val="00711A06"/>
    <w:rsid w:val="00721BE9"/>
    <w:rsid w:val="00723ACC"/>
    <w:rsid w:val="00725072"/>
    <w:rsid w:val="00726AB8"/>
    <w:rsid w:val="007464EF"/>
    <w:rsid w:val="00754CD4"/>
    <w:rsid w:val="007608C5"/>
    <w:rsid w:val="00761C7A"/>
    <w:rsid w:val="007635A4"/>
    <w:rsid w:val="00766028"/>
    <w:rsid w:val="007721E3"/>
    <w:rsid w:val="00772D1E"/>
    <w:rsid w:val="00773594"/>
    <w:rsid w:val="00773849"/>
    <w:rsid w:val="0077437D"/>
    <w:rsid w:val="00776C73"/>
    <w:rsid w:val="00777DAF"/>
    <w:rsid w:val="00782CAB"/>
    <w:rsid w:val="00791A03"/>
    <w:rsid w:val="0079206F"/>
    <w:rsid w:val="00792653"/>
    <w:rsid w:val="007949EF"/>
    <w:rsid w:val="00794BE2"/>
    <w:rsid w:val="007954DC"/>
    <w:rsid w:val="007954E2"/>
    <w:rsid w:val="00796AD4"/>
    <w:rsid w:val="007A2A8D"/>
    <w:rsid w:val="007A2C5F"/>
    <w:rsid w:val="007B5EE3"/>
    <w:rsid w:val="007B6E88"/>
    <w:rsid w:val="007C080A"/>
    <w:rsid w:val="007C1355"/>
    <w:rsid w:val="007C3EF8"/>
    <w:rsid w:val="007C56A5"/>
    <w:rsid w:val="007C5E5C"/>
    <w:rsid w:val="007C7CB1"/>
    <w:rsid w:val="007D38FB"/>
    <w:rsid w:val="007D5AB9"/>
    <w:rsid w:val="007D74FC"/>
    <w:rsid w:val="007E431F"/>
    <w:rsid w:val="007E4D78"/>
    <w:rsid w:val="007E7A37"/>
    <w:rsid w:val="007F11FB"/>
    <w:rsid w:val="007F169B"/>
    <w:rsid w:val="007F25E8"/>
    <w:rsid w:val="007F55E7"/>
    <w:rsid w:val="0080004E"/>
    <w:rsid w:val="00802B3A"/>
    <w:rsid w:val="00804F08"/>
    <w:rsid w:val="00806F6E"/>
    <w:rsid w:val="00810599"/>
    <w:rsid w:val="00811EB9"/>
    <w:rsid w:val="00813990"/>
    <w:rsid w:val="00813A9B"/>
    <w:rsid w:val="0081686A"/>
    <w:rsid w:val="00827847"/>
    <w:rsid w:val="008325E8"/>
    <w:rsid w:val="00833806"/>
    <w:rsid w:val="008404E8"/>
    <w:rsid w:val="0084267F"/>
    <w:rsid w:val="008432A0"/>
    <w:rsid w:val="0084652E"/>
    <w:rsid w:val="00846C15"/>
    <w:rsid w:val="00856536"/>
    <w:rsid w:val="0085662F"/>
    <w:rsid w:val="0086723A"/>
    <w:rsid w:val="0087299D"/>
    <w:rsid w:val="00876081"/>
    <w:rsid w:val="00880B90"/>
    <w:rsid w:val="008821D6"/>
    <w:rsid w:val="008849F5"/>
    <w:rsid w:val="00887B41"/>
    <w:rsid w:val="008A2091"/>
    <w:rsid w:val="008A2298"/>
    <w:rsid w:val="008A2FBE"/>
    <w:rsid w:val="008A5614"/>
    <w:rsid w:val="008A61E0"/>
    <w:rsid w:val="008B5BFB"/>
    <w:rsid w:val="008C0B02"/>
    <w:rsid w:val="008C396B"/>
    <w:rsid w:val="008C3B89"/>
    <w:rsid w:val="008C6F2C"/>
    <w:rsid w:val="008C72E4"/>
    <w:rsid w:val="008E3399"/>
    <w:rsid w:val="008E4D6D"/>
    <w:rsid w:val="008E7A6C"/>
    <w:rsid w:val="008F1CEA"/>
    <w:rsid w:val="008F27CD"/>
    <w:rsid w:val="008F4C2D"/>
    <w:rsid w:val="00903F1D"/>
    <w:rsid w:val="009057BE"/>
    <w:rsid w:val="00910D47"/>
    <w:rsid w:val="00910F54"/>
    <w:rsid w:val="00913A9C"/>
    <w:rsid w:val="009141AB"/>
    <w:rsid w:val="00916DF2"/>
    <w:rsid w:val="00917A3A"/>
    <w:rsid w:val="00921454"/>
    <w:rsid w:val="0092186A"/>
    <w:rsid w:val="0092219B"/>
    <w:rsid w:val="00924955"/>
    <w:rsid w:val="00926728"/>
    <w:rsid w:val="00926CBA"/>
    <w:rsid w:val="009331E8"/>
    <w:rsid w:val="00940B31"/>
    <w:rsid w:val="00943F2D"/>
    <w:rsid w:val="00950A43"/>
    <w:rsid w:val="00956FEA"/>
    <w:rsid w:val="00957547"/>
    <w:rsid w:val="009725D3"/>
    <w:rsid w:val="0097400B"/>
    <w:rsid w:val="009765DC"/>
    <w:rsid w:val="00986745"/>
    <w:rsid w:val="00990526"/>
    <w:rsid w:val="0099062F"/>
    <w:rsid w:val="009911D3"/>
    <w:rsid w:val="00993646"/>
    <w:rsid w:val="009955D7"/>
    <w:rsid w:val="009A2946"/>
    <w:rsid w:val="009A628E"/>
    <w:rsid w:val="009B34D5"/>
    <w:rsid w:val="009B75BD"/>
    <w:rsid w:val="009C39E8"/>
    <w:rsid w:val="009C6EDE"/>
    <w:rsid w:val="009C762E"/>
    <w:rsid w:val="009D7FD4"/>
    <w:rsid w:val="009F338B"/>
    <w:rsid w:val="009F5A3F"/>
    <w:rsid w:val="009F5EC9"/>
    <w:rsid w:val="009F620F"/>
    <w:rsid w:val="009F671A"/>
    <w:rsid w:val="009F6C97"/>
    <w:rsid w:val="00A004BE"/>
    <w:rsid w:val="00A02017"/>
    <w:rsid w:val="00A026D4"/>
    <w:rsid w:val="00A05916"/>
    <w:rsid w:val="00A12569"/>
    <w:rsid w:val="00A14BF8"/>
    <w:rsid w:val="00A254F5"/>
    <w:rsid w:val="00A304A1"/>
    <w:rsid w:val="00A30608"/>
    <w:rsid w:val="00A316BA"/>
    <w:rsid w:val="00A34197"/>
    <w:rsid w:val="00A35397"/>
    <w:rsid w:val="00A41C52"/>
    <w:rsid w:val="00A442DC"/>
    <w:rsid w:val="00A44DFA"/>
    <w:rsid w:val="00A50DBA"/>
    <w:rsid w:val="00A5424F"/>
    <w:rsid w:val="00A56901"/>
    <w:rsid w:val="00A627C9"/>
    <w:rsid w:val="00A660A8"/>
    <w:rsid w:val="00A66FA2"/>
    <w:rsid w:val="00A71066"/>
    <w:rsid w:val="00A72C00"/>
    <w:rsid w:val="00A74079"/>
    <w:rsid w:val="00A8099B"/>
    <w:rsid w:val="00A80ABF"/>
    <w:rsid w:val="00A8178E"/>
    <w:rsid w:val="00A81C4E"/>
    <w:rsid w:val="00A842BD"/>
    <w:rsid w:val="00A870E4"/>
    <w:rsid w:val="00A87BE0"/>
    <w:rsid w:val="00A90871"/>
    <w:rsid w:val="00AA3C14"/>
    <w:rsid w:val="00AA6048"/>
    <w:rsid w:val="00AA61D1"/>
    <w:rsid w:val="00AA6AFF"/>
    <w:rsid w:val="00AA6DA1"/>
    <w:rsid w:val="00AC02A5"/>
    <w:rsid w:val="00AD12DF"/>
    <w:rsid w:val="00AD43AD"/>
    <w:rsid w:val="00AD6F9F"/>
    <w:rsid w:val="00AE10B8"/>
    <w:rsid w:val="00AE2470"/>
    <w:rsid w:val="00AE2E74"/>
    <w:rsid w:val="00AE3926"/>
    <w:rsid w:val="00AE419D"/>
    <w:rsid w:val="00AE7C80"/>
    <w:rsid w:val="00AF252C"/>
    <w:rsid w:val="00AF7C2E"/>
    <w:rsid w:val="00B051C6"/>
    <w:rsid w:val="00B1174E"/>
    <w:rsid w:val="00B2064E"/>
    <w:rsid w:val="00B21456"/>
    <w:rsid w:val="00B21D1B"/>
    <w:rsid w:val="00B247A3"/>
    <w:rsid w:val="00B26CF6"/>
    <w:rsid w:val="00B342E5"/>
    <w:rsid w:val="00B36282"/>
    <w:rsid w:val="00B418A1"/>
    <w:rsid w:val="00B52970"/>
    <w:rsid w:val="00B57E7B"/>
    <w:rsid w:val="00B75098"/>
    <w:rsid w:val="00B81516"/>
    <w:rsid w:val="00B83CC0"/>
    <w:rsid w:val="00B8498A"/>
    <w:rsid w:val="00B96B07"/>
    <w:rsid w:val="00BA3B95"/>
    <w:rsid w:val="00BA4233"/>
    <w:rsid w:val="00BA5625"/>
    <w:rsid w:val="00BB06A2"/>
    <w:rsid w:val="00BB6FF6"/>
    <w:rsid w:val="00BB70E7"/>
    <w:rsid w:val="00BB71EC"/>
    <w:rsid w:val="00BC11A5"/>
    <w:rsid w:val="00BC692D"/>
    <w:rsid w:val="00BD021B"/>
    <w:rsid w:val="00BD0527"/>
    <w:rsid w:val="00BD4866"/>
    <w:rsid w:val="00BD7A3B"/>
    <w:rsid w:val="00BD7C63"/>
    <w:rsid w:val="00BD7EA0"/>
    <w:rsid w:val="00BE7C7E"/>
    <w:rsid w:val="00BF0D69"/>
    <w:rsid w:val="00BF1186"/>
    <w:rsid w:val="00BF47E9"/>
    <w:rsid w:val="00BF528C"/>
    <w:rsid w:val="00BF5D80"/>
    <w:rsid w:val="00BF7EDA"/>
    <w:rsid w:val="00C0232A"/>
    <w:rsid w:val="00C11895"/>
    <w:rsid w:val="00C301DC"/>
    <w:rsid w:val="00C30CE7"/>
    <w:rsid w:val="00C33546"/>
    <w:rsid w:val="00C3436D"/>
    <w:rsid w:val="00C36327"/>
    <w:rsid w:val="00C45ABF"/>
    <w:rsid w:val="00C50F16"/>
    <w:rsid w:val="00C51A37"/>
    <w:rsid w:val="00C52555"/>
    <w:rsid w:val="00C54E1D"/>
    <w:rsid w:val="00C621FE"/>
    <w:rsid w:val="00C62641"/>
    <w:rsid w:val="00C70D13"/>
    <w:rsid w:val="00C772E3"/>
    <w:rsid w:val="00C826D7"/>
    <w:rsid w:val="00C9114B"/>
    <w:rsid w:val="00C9626F"/>
    <w:rsid w:val="00CA1200"/>
    <w:rsid w:val="00CA1E3C"/>
    <w:rsid w:val="00CA6868"/>
    <w:rsid w:val="00CA72F7"/>
    <w:rsid w:val="00CB1E32"/>
    <w:rsid w:val="00CB2602"/>
    <w:rsid w:val="00CB3B90"/>
    <w:rsid w:val="00CC1AF4"/>
    <w:rsid w:val="00CC26C5"/>
    <w:rsid w:val="00CC4DB1"/>
    <w:rsid w:val="00CC727F"/>
    <w:rsid w:val="00CD064C"/>
    <w:rsid w:val="00CD22E5"/>
    <w:rsid w:val="00CE381A"/>
    <w:rsid w:val="00CF7104"/>
    <w:rsid w:val="00CF7FF6"/>
    <w:rsid w:val="00D00B27"/>
    <w:rsid w:val="00D01084"/>
    <w:rsid w:val="00D05D7E"/>
    <w:rsid w:val="00D06A12"/>
    <w:rsid w:val="00D10A34"/>
    <w:rsid w:val="00D2145D"/>
    <w:rsid w:val="00D22935"/>
    <w:rsid w:val="00D267D6"/>
    <w:rsid w:val="00D32E7C"/>
    <w:rsid w:val="00D34DF9"/>
    <w:rsid w:val="00D37B13"/>
    <w:rsid w:val="00D4071B"/>
    <w:rsid w:val="00D52219"/>
    <w:rsid w:val="00D54227"/>
    <w:rsid w:val="00D5730E"/>
    <w:rsid w:val="00D650EB"/>
    <w:rsid w:val="00D753C4"/>
    <w:rsid w:val="00D753D9"/>
    <w:rsid w:val="00D87E30"/>
    <w:rsid w:val="00D904E1"/>
    <w:rsid w:val="00D90E95"/>
    <w:rsid w:val="00D91872"/>
    <w:rsid w:val="00D92DB8"/>
    <w:rsid w:val="00D92E95"/>
    <w:rsid w:val="00D963AD"/>
    <w:rsid w:val="00DA24A0"/>
    <w:rsid w:val="00DA5D81"/>
    <w:rsid w:val="00DB3F6D"/>
    <w:rsid w:val="00DB430E"/>
    <w:rsid w:val="00DB68E6"/>
    <w:rsid w:val="00DC6D11"/>
    <w:rsid w:val="00DD051B"/>
    <w:rsid w:val="00DD205C"/>
    <w:rsid w:val="00DD2484"/>
    <w:rsid w:val="00DE1C88"/>
    <w:rsid w:val="00DF436B"/>
    <w:rsid w:val="00DF6427"/>
    <w:rsid w:val="00DF6D85"/>
    <w:rsid w:val="00E01EC9"/>
    <w:rsid w:val="00E02ACA"/>
    <w:rsid w:val="00E0747B"/>
    <w:rsid w:val="00E10C42"/>
    <w:rsid w:val="00E22F08"/>
    <w:rsid w:val="00E41B01"/>
    <w:rsid w:val="00E4257B"/>
    <w:rsid w:val="00E43B0B"/>
    <w:rsid w:val="00E54C31"/>
    <w:rsid w:val="00E56908"/>
    <w:rsid w:val="00E67992"/>
    <w:rsid w:val="00E70CCE"/>
    <w:rsid w:val="00E74C5C"/>
    <w:rsid w:val="00E74F08"/>
    <w:rsid w:val="00E752EE"/>
    <w:rsid w:val="00E80842"/>
    <w:rsid w:val="00E80FB6"/>
    <w:rsid w:val="00E81EC6"/>
    <w:rsid w:val="00E820AA"/>
    <w:rsid w:val="00E82C68"/>
    <w:rsid w:val="00E848CA"/>
    <w:rsid w:val="00E86A74"/>
    <w:rsid w:val="00E874AA"/>
    <w:rsid w:val="00E91522"/>
    <w:rsid w:val="00E94688"/>
    <w:rsid w:val="00EA0BD3"/>
    <w:rsid w:val="00EA5A5C"/>
    <w:rsid w:val="00EB36B0"/>
    <w:rsid w:val="00EB375C"/>
    <w:rsid w:val="00EB3A12"/>
    <w:rsid w:val="00EC20E8"/>
    <w:rsid w:val="00EC3A6E"/>
    <w:rsid w:val="00EC3CD2"/>
    <w:rsid w:val="00EC6F18"/>
    <w:rsid w:val="00ED30A1"/>
    <w:rsid w:val="00ED5048"/>
    <w:rsid w:val="00ED7F45"/>
    <w:rsid w:val="00EF05EF"/>
    <w:rsid w:val="00EF4275"/>
    <w:rsid w:val="00EF5D7B"/>
    <w:rsid w:val="00F022B7"/>
    <w:rsid w:val="00F16EEB"/>
    <w:rsid w:val="00F231E5"/>
    <w:rsid w:val="00F245FC"/>
    <w:rsid w:val="00F275F6"/>
    <w:rsid w:val="00F2762B"/>
    <w:rsid w:val="00F279BB"/>
    <w:rsid w:val="00F4115A"/>
    <w:rsid w:val="00F425CC"/>
    <w:rsid w:val="00F5206E"/>
    <w:rsid w:val="00F56EE0"/>
    <w:rsid w:val="00F608F0"/>
    <w:rsid w:val="00F63238"/>
    <w:rsid w:val="00F63CDD"/>
    <w:rsid w:val="00F70AED"/>
    <w:rsid w:val="00F73781"/>
    <w:rsid w:val="00F77700"/>
    <w:rsid w:val="00F81B37"/>
    <w:rsid w:val="00FA0328"/>
    <w:rsid w:val="00FA0529"/>
    <w:rsid w:val="00FA0C46"/>
    <w:rsid w:val="00FA3A5E"/>
    <w:rsid w:val="00FA667F"/>
    <w:rsid w:val="00FA6ED9"/>
    <w:rsid w:val="00FB256E"/>
    <w:rsid w:val="00FB638B"/>
    <w:rsid w:val="00FC4358"/>
    <w:rsid w:val="00FC6CA2"/>
    <w:rsid w:val="00FD0D35"/>
    <w:rsid w:val="00FD3862"/>
    <w:rsid w:val="00FD409D"/>
    <w:rsid w:val="00FD4113"/>
    <w:rsid w:val="00FE7B9D"/>
    <w:rsid w:val="00FF2D33"/>
    <w:rsid w:val="00FF538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A9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76E"/>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F076E"/>
    <w:pPr>
      <w:spacing w:after="120" w:line="480" w:lineRule="auto"/>
    </w:pPr>
    <w:rPr>
      <w:lang w:val="x-none"/>
    </w:rPr>
  </w:style>
  <w:style w:type="character" w:customStyle="1" w:styleId="BodyText2Char">
    <w:name w:val="Body Text 2 Char"/>
    <w:basedOn w:val="DefaultParagraphFont"/>
    <w:link w:val="BodyText2"/>
    <w:rsid w:val="006F076E"/>
    <w:rPr>
      <w:rFonts w:eastAsia="Times New Roman" w:cs="Times New Roman"/>
      <w:szCs w:val="24"/>
      <w:lang w:val="x-none" w:eastAsia="ru-RU"/>
    </w:rPr>
  </w:style>
  <w:style w:type="table" w:styleId="TableGrid">
    <w:name w:val="Table Grid"/>
    <w:basedOn w:val="TableNormal"/>
    <w:uiPriority w:val="39"/>
    <w:rsid w:val="00351351"/>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FD4"/>
    <w:rPr>
      <w:color w:val="0000FF"/>
      <w:u w:val="single"/>
    </w:rPr>
  </w:style>
  <w:style w:type="paragraph" w:styleId="Header">
    <w:name w:val="header"/>
    <w:basedOn w:val="Normal"/>
    <w:link w:val="HeaderChar"/>
    <w:uiPriority w:val="99"/>
    <w:unhideWhenUsed/>
    <w:rsid w:val="008F1CEA"/>
    <w:pPr>
      <w:tabs>
        <w:tab w:val="center" w:pos="4153"/>
        <w:tab w:val="right" w:pos="8306"/>
      </w:tabs>
    </w:pPr>
  </w:style>
  <w:style w:type="character" w:customStyle="1" w:styleId="HeaderChar">
    <w:name w:val="Header Char"/>
    <w:basedOn w:val="DefaultParagraphFont"/>
    <w:link w:val="Header"/>
    <w:uiPriority w:val="99"/>
    <w:rsid w:val="008F1CEA"/>
    <w:rPr>
      <w:rFonts w:eastAsia="Times New Roman" w:cs="Times New Roman"/>
      <w:szCs w:val="24"/>
      <w:lang w:eastAsia="ru-RU"/>
    </w:rPr>
  </w:style>
  <w:style w:type="paragraph" w:styleId="Footer">
    <w:name w:val="footer"/>
    <w:basedOn w:val="Normal"/>
    <w:link w:val="FooterChar"/>
    <w:unhideWhenUsed/>
    <w:rsid w:val="008F1CEA"/>
    <w:pPr>
      <w:tabs>
        <w:tab w:val="center" w:pos="4153"/>
        <w:tab w:val="right" w:pos="8306"/>
      </w:tabs>
    </w:pPr>
  </w:style>
  <w:style w:type="character" w:customStyle="1" w:styleId="FooterChar">
    <w:name w:val="Footer Char"/>
    <w:basedOn w:val="DefaultParagraphFont"/>
    <w:link w:val="Footer"/>
    <w:rsid w:val="008F1CEA"/>
    <w:rPr>
      <w:rFonts w:eastAsia="Times New Roman" w:cs="Times New Roman"/>
      <w:szCs w:val="24"/>
      <w:lang w:eastAsia="ru-RU"/>
    </w:rPr>
  </w:style>
  <w:style w:type="character" w:styleId="PageNumber">
    <w:name w:val="page number"/>
    <w:basedOn w:val="DefaultParagraphFont"/>
    <w:rsid w:val="008F1CEA"/>
  </w:style>
  <w:style w:type="character" w:styleId="CommentReference">
    <w:name w:val="annotation reference"/>
    <w:basedOn w:val="DefaultParagraphFont"/>
    <w:uiPriority w:val="99"/>
    <w:semiHidden/>
    <w:unhideWhenUsed/>
    <w:rsid w:val="00060B2E"/>
    <w:rPr>
      <w:sz w:val="16"/>
      <w:szCs w:val="16"/>
    </w:rPr>
  </w:style>
  <w:style w:type="paragraph" w:styleId="CommentText">
    <w:name w:val="annotation text"/>
    <w:basedOn w:val="Normal"/>
    <w:link w:val="CommentTextChar"/>
    <w:uiPriority w:val="99"/>
    <w:unhideWhenUsed/>
    <w:rsid w:val="00060B2E"/>
    <w:rPr>
      <w:sz w:val="20"/>
      <w:szCs w:val="20"/>
    </w:rPr>
  </w:style>
  <w:style w:type="character" w:customStyle="1" w:styleId="CommentTextChar">
    <w:name w:val="Comment Text Char"/>
    <w:basedOn w:val="DefaultParagraphFont"/>
    <w:link w:val="CommentText"/>
    <w:uiPriority w:val="99"/>
    <w:rsid w:val="00060B2E"/>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60B2E"/>
    <w:rPr>
      <w:b/>
      <w:bCs/>
    </w:rPr>
  </w:style>
  <w:style w:type="character" w:customStyle="1" w:styleId="CommentSubjectChar">
    <w:name w:val="Comment Subject Char"/>
    <w:basedOn w:val="CommentTextChar"/>
    <w:link w:val="CommentSubject"/>
    <w:uiPriority w:val="99"/>
    <w:semiHidden/>
    <w:rsid w:val="00060B2E"/>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060B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2E"/>
    <w:rPr>
      <w:rFonts w:ascii="Segoe UI" w:eastAsia="Times New Roman" w:hAnsi="Segoe UI" w:cs="Segoe UI"/>
      <w:sz w:val="18"/>
      <w:szCs w:val="18"/>
      <w:lang w:eastAsia="ru-RU"/>
    </w:rPr>
  </w:style>
  <w:style w:type="paragraph" w:customStyle="1" w:styleId="CharChar1CharCharCharCharCharCharChar">
    <w:name w:val="Char Char1 Char Char Char Char Char Char Char"/>
    <w:basedOn w:val="Normal"/>
    <w:rsid w:val="00EC6F18"/>
    <w:pPr>
      <w:spacing w:after="160" w:line="240" w:lineRule="exact"/>
    </w:pPr>
    <w:rPr>
      <w:rFonts w:ascii="Tahoma" w:hAnsi="Tahoma"/>
      <w:sz w:val="20"/>
      <w:szCs w:val="20"/>
      <w:lang w:val="en-US" w:eastAsia="en-US"/>
    </w:rPr>
  </w:style>
  <w:style w:type="paragraph" w:customStyle="1" w:styleId="Default">
    <w:name w:val="Default"/>
    <w:rsid w:val="00AA6AFF"/>
    <w:pPr>
      <w:autoSpaceDE w:val="0"/>
      <w:autoSpaceDN w:val="0"/>
      <w:adjustRightInd w:val="0"/>
      <w:spacing w:after="0" w:line="240" w:lineRule="auto"/>
    </w:pPr>
    <w:rPr>
      <w:rFonts w:eastAsia="Calibri" w:cs="Times New Roman"/>
      <w:color w:val="000000"/>
      <w:szCs w:val="24"/>
    </w:rPr>
  </w:style>
  <w:style w:type="paragraph" w:styleId="Revision">
    <w:name w:val="Revision"/>
    <w:hidden/>
    <w:uiPriority w:val="99"/>
    <w:semiHidden/>
    <w:rsid w:val="0056221E"/>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0775">
      <w:bodyDiv w:val="1"/>
      <w:marLeft w:val="0"/>
      <w:marRight w:val="0"/>
      <w:marTop w:val="0"/>
      <w:marBottom w:val="0"/>
      <w:divBdr>
        <w:top w:val="none" w:sz="0" w:space="0" w:color="auto"/>
        <w:left w:val="none" w:sz="0" w:space="0" w:color="auto"/>
        <w:bottom w:val="none" w:sz="0" w:space="0" w:color="auto"/>
        <w:right w:val="none" w:sz="0" w:space="0" w:color="auto"/>
      </w:divBdr>
    </w:div>
    <w:div w:id="860629064">
      <w:bodyDiv w:val="1"/>
      <w:marLeft w:val="0"/>
      <w:marRight w:val="0"/>
      <w:marTop w:val="0"/>
      <w:marBottom w:val="0"/>
      <w:divBdr>
        <w:top w:val="none" w:sz="0" w:space="0" w:color="auto"/>
        <w:left w:val="none" w:sz="0" w:space="0" w:color="auto"/>
        <w:bottom w:val="none" w:sz="0" w:space="0" w:color="auto"/>
        <w:right w:val="none" w:sz="0" w:space="0" w:color="auto"/>
      </w:divBdr>
    </w:div>
    <w:div w:id="1387532427">
      <w:bodyDiv w:val="1"/>
      <w:marLeft w:val="0"/>
      <w:marRight w:val="0"/>
      <w:marTop w:val="0"/>
      <w:marBottom w:val="0"/>
      <w:divBdr>
        <w:top w:val="none" w:sz="0" w:space="0" w:color="auto"/>
        <w:left w:val="none" w:sz="0" w:space="0" w:color="auto"/>
        <w:bottom w:val="none" w:sz="0" w:space="0" w:color="auto"/>
        <w:right w:val="none" w:sz="0" w:space="0" w:color="auto"/>
      </w:divBdr>
    </w:div>
    <w:div w:id="1569608897">
      <w:bodyDiv w:val="1"/>
      <w:marLeft w:val="0"/>
      <w:marRight w:val="0"/>
      <w:marTop w:val="0"/>
      <w:marBottom w:val="0"/>
      <w:divBdr>
        <w:top w:val="none" w:sz="0" w:space="0" w:color="auto"/>
        <w:left w:val="none" w:sz="0" w:space="0" w:color="auto"/>
        <w:bottom w:val="none" w:sz="0" w:space="0" w:color="auto"/>
        <w:right w:val="none" w:sz="0" w:space="0" w:color="auto"/>
      </w:divBdr>
    </w:div>
    <w:div w:id="19946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31.A420144618.27.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671C-2E82-439F-B293-3974CAC7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2023-01-20T11:17:00Z</dcterms:created>
  <dcterms:modified xsi:type="dcterms:W3CDTF">2023-01-20T11:17:00Z</dcterms:modified>
</cp:coreProperties>
</file>