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85197" w14:textId="0075B725" w:rsidR="00431FA2" w:rsidRDefault="00FD4D39" w:rsidP="00FD4D39">
      <w:pPr>
        <w:spacing w:line="276" w:lineRule="auto"/>
        <w:jc w:val="both"/>
        <w:rPr>
          <w:b/>
          <w:bCs/>
        </w:rPr>
      </w:pPr>
      <w:r>
        <w:rPr>
          <w:b/>
          <w:bCs/>
        </w:rPr>
        <w:t>Apsūdzētā apelācijas sūdzībā izteiktā lūguma izvērtēšana</w:t>
      </w:r>
    </w:p>
    <w:p w14:paraId="3EFFC23C" w14:textId="0AEB07FD" w:rsidR="00FD4D39" w:rsidRPr="001303ED" w:rsidRDefault="00FD4D39" w:rsidP="00FD4D39">
      <w:pPr>
        <w:spacing w:line="276" w:lineRule="auto"/>
        <w:jc w:val="both"/>
      </w:pPr>
      <w:r w:rsidRPr="00195CE9">
        <w:t>Tiesai ir pienākums pienācīgi izvērtēt lūguma pamatotību, arī, vai tas ir attiecināms uz izskatāmo kriminālprocesu, vai tas veicina krimināltiesisko attiecību taisnīgu noregulējumu, personas tiesību un likumisko interešu nodrošināšanu, vai lūguma noraidīšana nepārkāps Kriminālprocesa likuma 15. pantā noteiktās apsūdzētā tiesības uz lietas izskatīšanu taisnīgā, objektīvā un neatkarīgā tiesā.</w:t>
      </w:r>
    </w:p>
    <w:p w14:paraId="4AB23263" w14:textId="50E129AF" w:rsidR="00431FA2" w:rsidRPr="001303ED" w:rsidRDefault="00431FA2" w:rsidP="00FD4D39">
      <w:pPr>
        <w:pStyle w:val="BodyText2"/>
        <w:spacing w:after="0" w:line="276" w:lineRule="auto"/>
      </w:pPr>
    </w:p>
    <w:p w14:paraId="7BEB3327" w14:textId="77777777" w:rsidR="00FD4D39" w:rsidRPr="00FD4D39" w:rsidRDefault="00431FA2" w:rsidP="00431FA2">
      <w:pPr>
        <w:spacing w:line="276" w:lineRule="auto"/>
        <w:jc w:val="center"/>
        <w:rPr>
          <w:b/>
        </w:rPr>
      </w:pPr>
      <w:r w:rsidRPr="00FD4D39">
        <w:rPr>
          <w:b/>
        </w:rPr>
        <w:t>Latvijas Republikas Senāt</w:t>
      </w:r>
      <w:r w:rsidR="00FD4D39" w:rsidRPr="00FD4D39">
        <w:rPr>
          <w:b/>
        </w:rPr>
        <w:t xml:space="preserve">a </w:t>
      </w:r>
    </w:p>
    <w:p w14:paraId="3678B7CA" w14:textId="77777777" w:rsidR="00FD4D39" w:rsidRPr="00FD4D39" w:rsidRDefault="00FD4D39" w:rsidP="00431FA2">
      <w:pPr>
        <w:spacing w:line="276" w:lineRule="auto"/>
        <w:jc w:val="center"/>
        <w:rPr>
          <w:b/>
        </w:rPr>
      </w:pPr>
      <w:r w:rsidRPr="00FD4D39">
        <w:rPr>
          <w:b/>
        </w:rPr>
        <w:t>Krimināllietu departamenta</w:t>
      </w:r>
    </w:p>
    <w:p w14:paraId="3143ED49" w14:textId="32021044" w:rsidR="00431FA2" w:rsidRPr="00FD4D39" w:rsidRDefault="00FD4D39" w:rsidP="00431FA2">
      <w:pPr>
        <w:spacing w:line="276" w:lineRule="auto"/>
        <w:jc w:val="center"/>
        <w:rPr>
          <w:b/>
        </w:rPr>
      </w:pPr>
      <w:r w:rsidRPr="00FD4D39">
        <w:rPr>
          <w:b/>
          <w:color w:val="000000" w:themeColor="text1"/>
        </w:rPr>
        <w:t xml:space="preserve">2023. gada </w:t>
      </w:r>
      <w:r>
        <w:rPr>
          <w:b/>
          <w:color w:val="000000" w:themeColor="text1"/>
        </w:rPr>
        <w:t>[..]</w:t>
      </w:r>
    </w:p>
    <w:p w14:paraId="15F2E3E3" w14:textId="00B43864" w:rsidR="00431FA2" w:rsidRPr="00FD4D39" w:rsidRDefault="00431FA2" w:rsidP="00431FA2">
      <w:pPr>
        <w:spacing w:line="276" w:lineRule="auto"/>
        <w:jc w:val="center"/>
        <w:rPr>
          <w:b/>
        </w:rPr>
      </w:pPr>
      <w:r w:rsidRPr="00FD4D39">
        <w:rPr>
          <w:b/>
        </w:rPr>
        <w:t>LĒMUMS</w:t>
      </w:r>
      <w:r w:rsidR="00FD4D39">
        <w:rPr>
          <w:rStyle w:val="FootnoteReference"/>
          <w:b/>
        </w:rPr>
        <w:footnoteReference w:id="1"/>
      </w:r>
    </w:p>
    <w:p w14:paraId="221D3131" w14:textId="3B450A56" w:rsidR="00431FA2" w:rsidRPr="00FD4D39" w:rsidRDefault="00FD4D39" w:rsidP="00431FA2">
      <w:pPr>
        <w:spacing w:line="276" w:lineRule="auto"/>
        <w:jc w:val="center"/>
        <w:rPr>
          <w:b/>
        </w:rPr>
      </w:pPr>
      <w:r w:rsidRPr="00FD4D39">
        <w:rPr>
          <w:b/>
        </w:rPr>
        <w:t>Lieta Nr. </w:t>
      </w:r>
      <w:r>
        <w:rPr>
          <w:b/>
          <w:lang w:eastAsia="lv-LV"/>
        </w:rPr>
        <w:t>[..]</w:t>
      </w:r>
      <w:r w:rsidRPr="00FD4D39">
        <w:rPr>
          <w:b/>
          <w:lang w:eastAsia="lv-LV"/>
        </w:rPr>
        <w:t xml:space="preserve">, </w:t>
      </w:r>
      <w:r w:rsidRPr="00FD4D39">
        <w:rPr>
          <w:b/>
        </w:rPr>
        <w:t>SKK</w:t>
      </w:r>
      <w:r w:rsidRPr="00FD4D39">
        <w:rPr>
          <w:b/>
        </w:rPr>
        <w:noBreakHyphen/>
      </w:r>
      <w:r>
        <w:rPr>
          <w:b/>
        </w:rPr>
        <w:t>[A]</w:t>
      </w:r>
      <w:r w:rsidRPr="00FD4D39">
        <w:rPr>
          <w:b/>
        </w:rPr>
        <w:t>/2023</w:t>
      </w:r>
    </w:p>
    <w:p w14:paraId="52F95AA2" w14:textId="7A6ABBD2" w:rsidR="00FD4D39" w:rsidRPr="00FD4D39" w:rsidRDefault="00FD4D39" w:rsidP="00431FA2">
      <w:pPr>
        <w:spacing w:line="276" w:lineRule="auto"/>
        <w:jc w:val="center"/>
        <w:rPr>
          <w:b/>
          <w:color w:val="000000" w:themeColor="text1"/>
        </w:rPr>
      </w:pPr>
      <w:r w:rsidRPr="00FD4D39">
        <w:rPr>
          <w:color w:val="000000"/>
          <w:shd w:val="clear" w:color="auto" w:fill="FFFFFF"/>
        </w:rPr>
        <w:t>ECLI:LV:AT:2023:</w:t>
      </w:r>
      <w:r>
        <w:rPr>
          <w:color w:val="000000"/>
          <w:shd w:val="clear" w:color="auto" w:fill="FFFFFF"/>
        </w:rPr>
        <w:t>[..]</w:t>
      </w:r>
    </w:p>
    <w:p w14:paraId="54F4E158" w14:textId="77777777" w:rsidR="00431FA2" w:rsidRPr="001303ED" w:rsidRDefault="00431FA2" w:rsidP="00431FA2">
      <w:pPr>
        <w:spacing w:line="276" w:lineRule="auto"/>
        <w:ind w:firstLine="567"/>
        <w:jc w:val="both"/>
      </w:pPr>
    </w:p>
    <w:p w14:paraId="5175BDD1" w14:textId="663F0419" w:rsidR="00431FA2" w:rsidRPr="001303ED" w:rsidRDefault="00431FA2" w:rsidP="00431FA2">
      <w:pPr>
        <w:spacing w:line="276" w:lineRule="auto"/>
        <w:ind w:firstLine="567"/>
        <w:jc w:val="both"/>
      </w:pPr>
      <w:r>
        <w:t>Senāts</w:t>
      </w:r>
      <w:r w:rsidRPr="001303ED">
        <w:t xml:space="preserve"> šādā sastāvā: senatore</w:t>
      </w:r>
      <w:r w:rsidR="00C4616D">
        <w:t xml:space="preserve"> referente</w:t>
      </w:r>
      <w:r w:rsidRPr="001303ED">
        <w:t xml:space="preserve"> Sandra Kaija, </w:t>
      </w:r>
      <w:r w:rsidR="00C4616D">
        <w:t xml:space="preserve">senatores </w:t>
      </w:r>
      <w:r w:rsidRPr="001303ED">
        <w:t>Irīna Jansone</w:t>
      </w:r>
      <w:r w:rsidR="00C4616D">
        <w:t xml:space="preserve"> un</w:t>
      </w:r>
      <w:r w:rsidRPr="001303ED">
        <w:t xml:space="preserve"> Inese Laura Zemīte,</w:t>
      </w:r>
    </w:p>
    <w:p w14:paraId="2CFFD464" w14:textId="77777777" w:rsidR="00431FA2" w:rsidRPr="001303ED" w:rsidRDefault="00431FA2" w:rsidP="00431FA2">
      <w:pPr>
        <w:spacing w:line="276" w:lineRule="auto"/>
        <w:ind w:firstLine="567"/>
        <w:jc w:val="both"/>
      </w:pPr>
    </w:p>
    <w:p w14:paraId="6D83D585" w14:textId="5201DB27" w:rsidR="00431FA2" w:rsidRPr="001303ED" w:rsidRDefault="00431FA2" w:rsidP="00431FA2">
      <w:pPr>
        <w:spacing w:line="276" w:lineRule="auto"/>
        <w:ind w:firstLine="567"/>
        <w:jc w:val="both"/>
      </w:pPr>
      <w:r w:rsidRPr="001303ED">
        <w:t xml:space="preserve">izskatīja rakstveida procesā krimināllietu sakarā ar apsūdzētā </w:t>
      </w:r>
      <w:r w:rsidR="00945488">
        <w:t>[pers. A]</w:t>
      </w:r>
      <w:r w:rsidRPr="001303ED">
        <w:t xml:space="preserve"> kasācijas sūdzību par </w:t>
      </w:r>
      <w:r w:rsidR="00945488">
        <w:t>[..]</w:t>
      </w:r>
      <w:r w:rsidRPr="001303ED">
        <w:t xml:space="preserve"> apgabaltiesas 2022.</w:t>
      </w:r>
      <w:r w:rsidR="00177E95">
        <w:t> </w:t>
      </w:r>
      <w:r w:rsidRPr="001303ED">
        <w:t xml:space="preserve">gada </w:t>
      </w:r>
      <w:r w:rsidR="00945488">
        <w:t>[..]</w:t>
      </w:r>
      <w:r w:rsidRPr="001303ED">
        <w:t xml:space="preserve"> lēmumu.</w:t>
      </w:r>
    </w:p>
    <w:p w14:paraId="75A33D4F" w14:textId="77777777" w:rsidR="00431FA2" w:rsidRPr="001303ED" w:rsidRDefault="00431FA2" w:rsidP="00431FA2">
      <w:pPr>
        <w:spacing w:line="276" w:lineRule="auto"/>
        <w:ind w:firstLine="567"/>
        <w:jc w:val="both"/>
      </w:pPr>
    </w:p>
    <w:p w14:paraId="1273F26B" w14:textId="77777777" w:rsidR="00431FA2" w:rsidRPr="001303ED" w:rsidRDefault="00431FA2" w:rsidP="00431FA2">
      <w:pPr>
        <w:spacing w:line="276" w:lineRule="auto"/>
        <w:jc w:val="center"/>
        <w:rPr>
          <w:b/>
        </w:rPr>
      </w:pPr>
      <w:r w:rsidRPr="001303ED">
        <w:rPr>
          <w:b/>
        </w:rPr>
        <w:t>Aprakstošā daļa</w:t>
      </w:r>
    </w:p>
    <w:p w14:paraId="0527A9F3" w14:textId="77777777" w:rsidR="00431FA2" w:rsidRPr="001303ED" w:rsidRDefault="00431FA2" w:rsidP="00431FA2">
      <w:pPr>
        <w:spacing w:line="276" w:lineRule="auto"/>
        <w:ind w:firstLine="567"/>
        <w:jc w:val="both"/>
      </w:pPr>
    </w:p>
    <w:p w14:paraId="5DAF6FCB" w14:textId="18010007" w:rsidR="00431FA2" w:rsidRPr="001303ED" w:rsidRDefault="00431FA2" w:rsidP="00431FA2">
      <w:pPr>
        <w:spacing w:line="276" w:lineRule="auto"/>
        <w:ind w:firstLine="567"/>
        <w:jc w:val="both"/>
      </w:pPr>
      <w:r w:rsidRPr="001303ED">
        <w:t xml:space="preserve">[1] Ar </w:t>
      </w:r>
      <w:r w:rsidR="00945488">
        <w:t>[rajona (pilsētas)]</w:t>
      </w:r>
      <w:r w:rsidRPr="001303ED">
        <w:t xml:space="preserve"> tiesas 2021.</w:t>
      </w:r>
      <w:r w:rsidR="00177E95">
        <w:t> </w:t>
      </w:r>
      <w:r w:rsidRPr="001303ED">
        <w:t xml:space="preserve">gada </w:t>
      </w:r>
      <w:r w:rsidR="00945488">
        <w:t>[..]</w:t>
      </w:r>
      <w:r w:rsidRPr="001303ED">
        <w:t xml:space="preserve"> spriedumu </w:t>
      </w:r>
    </w:p>
    <w:p w14:paraId="2E60B882" w14:textId="70D37206" w:rsidR="00431FA2" w:rsidRPr="001303ED" w:rsidRDefault="00945488" w:rsidP="00431FA2">
      <w:pPr>
        <w:spacing w:line="276" w:lineRule="auto"/>
        <w:ind w:firstLine="567"/>
        <w:jc w:val="both"/>
      </w:pPr>
      <w:r>
        <w:t>[pers. A]</w:t>
      </w:r>
      <w:r w:rsidR="00431FA2" w:rsidRPr="001303ED">
        <w:t xml:space="preserve">, personas kods </w:t>
      </w:r>
      <w:r>
        <w:t>[..]</w:t>
      </w:r>
      <w:r w:rsidR="00431FA2" w:rsidRPr="001303ED">
        <w:t>,</w:t>
      </w:r>
    </w:p>
    <w:p w14:paraId="4F930D12" w14:textId="4EA6DFE2" w:rsidR="00431FA2" w:rsidRPr="001303ED" w:rsidRDefault="00431FA2" w:rsidP="00431FA2">
      <w:pPr>
        <w:spacing w:line="276" w:lineRule="auto"/>
        <w:ind w:firstLine="567"/>
        <w:jc w:val="both"/>
      </w:pPr>
      <w:r>
        <w:t>a</w:t>
      </w:r>
      <w:r w:rsidRPr="001303ED">
        <w:t>tzīts par vainīgu divos Krimināllikuma 166.</w:t>
      </w:r>
      <w:r w:rsidR="00177E95">
        <w:t> </w:t>
      </w:r>
      <w:r w:rsidRPr="001303ED">
        <w:t>panta otrajā daļā paredzētajos noziedzīga</w:t>
      </w:r>
      <w:r>
        <w:t>j</w:t>
      </w:r>
      <w:r w:rsidRPr="001303ED">
        <w:t>os nodarījumos un par katru sodīts ar naudas sodu 7 Latvijas Republikā noteikto minimālo mēnešalgu apmērā</w:t>
      </w:r>
      <w:r>
        <w:t xml:space="preserve"> jeb</w:t>
      </w:r>
      <w:r w:rsidRPr="001303ED">
        <w:t xml:space="preserve"> 3500</w:t>
      </w:r>
      <w:r w:rsidR="000C43DC">
        <w:t> </w:t>
      </w:r>
      <w:r w:rsidRPr="001303ED">
        <w:rPr>
          <w:i/>
        </w:rPr>
        <w:t>euro</w:t>
      </w:r>
      <w:r w:rsidRPr="001303ED">
        <w:t xml:space="preserve"> un probācijas uzraudzību uz 2 gadiem.</w:t>
      </w:r>
    </w:p>
    <w:p w14:paraId="57694E12" w14:textId="29EE85D7" w:rsidR="00431FA2" w:rsidRPr="001303ED" w:rsidRDefault="00431FA2" w:rsidP="00431FA2">
      <w:pPr>
        <w:spacing w:line="276" w:lineRule="auto"/>
        <w:ind w:firstLine="567"/>
        <w:jc w:val="both"/>
      </w:pPr>
      <w:r w:rsidRPr="001303ED">
        <w:t>Saskaņā ar Krimināllikuma 50.</w:t>
      </w:r>
      <w:r w:rsidR="00177E95">
        <w:t> </w:t>
      </w:r>
      <w:r w:rsidRPr="001303ED">
        <w:t xml:space="preserve">panta pirmo daļu galīgais sods </w:t>
      </w:r>
      <w:r w:rsidR="00945488">
        <w:t>[pers. A]</w:t>
      </w:r>
      <w:r w:rsidRPr="001303ED">
        <w:t xml:space="preserve"> noteikts naudas sods 10 Latvijas Republikā noteikto minimālo mēnešalgu apmērā</w:t>
      </w:r>
      <w:r w:rsidR="00177E95">
        <w:t xml:space="preserve"> jeb</w:t>
      </w:r>
      <w:r w:rsidRPr="001303ED">
        <w:t xml:space="preserve"> 5000</w:t>
      </w:r>
      <w:r w:rsidR="000C43DC">
        <w:t> </w:t>
      </w:r>
      <w:r w:rsidRPr="001303ED">
        <w:rPr>
          <w:i/>
        </w:rPr>
        <w:t>euro</w:t>
      </w:r>
      <w:r w:rsidRPr="001303ED">
        <w:t xml:space="preserve"> un probācijas uzraudzība uz 3 gadiem.</w:t>
      </w:r>
    </w:p>
    <w:p w14:paraId="7DE4DCE8" w14:textId="77777777" w:rsidR="00431FA2" w:rsidRPr="001303ED" w:rsidRDefault="00431FA2" w:rsidP="00431FA2">
      <w:pPr>
        <w:spacing w:line="276" w:lineRule="auto"/>
        <w:ind w:firstLine="567"/>
        <w:jc w:val="both"/>
      </w:pPr>
    </w:p>
    <w:p w14:paraId="4FFB9E5A" w14:textId="024B6C48" w:rsidR="00431FA2" w:rsidRPr="001303ED" w:rsidRDefault="00431FA2" w:rsidP="00431FA2">
      <w:pPr>
        <w:spacing w:line="276" w:lineRule="auto"/>
        <w:ind w:firstLine="567"/>
        <w:jc w:val="both"/>
      </w:pPr>
      <w:r w:rsidRPr="001303ED">
        <w:t xml:space="preserve">[2] Ar </w:t>
      </w:r>
      <w:r w:rsidR="00945488">
        <w:t>[rajona (pilsētas)]</w:t>
      </w:r>
      <w:r w:rsidRPr="001303ED">
        <w:t xml:space="preserve"> tiesas 2021.</w:t>
      </w:r>
      <w:r w:rsidR="00177E95">
        <w:t> </w:t>
      </w:r>
      <w:r w:rsidRPr="001303ED">
        <w:t xml:space="preserve">gada </w:t>
      </w:r>
      <w:r w:rsidR="00945488">
        <w:t>[..]</w:t>
      </w:r>
      <w:r w:rsidRPr="001303ED">
        <w:t xml:space="preserve"> spriedumu </w:t>
      </w:r>
      <w:r w:rsidR="00945488">
        <w:t>[pers. A]</w:t>
      </w:r>
      <w:r w:rsidRPr="001303ED">
        <w:t xml:space="preserve"> atzīts par vainīgu un sodīts par tādu pornogrāfiska rakstura materiāla apriti, kas satur bērnu pornogrāfiju un cilvēka seksuālas darbības ar dzīvnieku.</w:t>
      </w:r>
    </w:p>
    <w:p w14:paraId="02F6B618" w14:textId="77777777" w:rsidR="00431FA2" w:rsidRPr="001303ED" w:rsidRDefault="00431FA2" w:rsidP="00431FA2">
      <w:pPr>
        <w:spacing w:line="276" w:lineRule="auto"/>
        <w:ind w:firstLine="567"/>
        <w:jc w:val="both"/>
      </w:pPr>
    </w:p>
    <w:p w14:paraId="4DB47090" w14:textId="686F78AF" w:rsidR="00431FA2" w:rsidRPr="001303ED" w:rsidRDefault="00431FA2" w:rsidP="00431FA2">
      <w:pPr>
        <w:spacing w:line="276" w:lineRule="auto"/>
        <w:ind w:firstLine="567"/>
        <w:jc w:val="both"/>
      </w:pPr>
      <w:r w:rsidRPr="001303ED">
        <w:t xml:space="preserve">[3] Ar </w:t>
      </w:r>
      <w:r w:rsidR="00945488">
        <w:t>[..]</w:t>
      </w:r>
      <w:r w:rsidRPr="001303ED">
        <w:t xml:space="preserve"> apgabaltiesas 2022.</w:t>
      </w:r>
      <w:r w:rsidR="00177E95">
        <w:t> </w:t>
      </w:r>
      <w:r w:rsidRPr="001303ED">
        <w:t xml:space="preserve">gada </w:t>
      </w:r>
      <w:r w:rsidR="00945488">
        <w:t>[..]</w:t>
      </w:r>
      <w:r w:rsidRPr="001303ED">
        <w:t xml:space="preserve"> lēmumu, iztiesājot lietu sakarā ar apsūdzētā </w:t>
      </w:r>
      <w:r w:rsidR="00945488">
        <w:t>[pers. A]</w:t>
      </w:r>
      <w:r w:rsidRPr="001303ED">
        <w:t xml:space="preserve"> apelācijas sūdzību, </w:t>
      </w:r>
      <w:r w:rsidR="00945488">
        <w:t>[rajona (pilsētas)]</w:t>
      </w:r>
      <w:r w:rsidRPr="001303ED">
        <w:t xml:space="preserve"> tiesas 2021</w:t>
      </w:r>
      <w:proofErr w:type="gramStart"/>
      <w:r w:rsidR="00177E95">
        <w:t> </w:t>
      </w:r>
      <w:r w:rsidRPr="001303ED">
        <w:t>.</w:t>
      </w:r>
      <w:proofErr w:type="gramEnd"/>
      <w:r w:rsidRPr="001303ED">
        <w:t xml:space="preserve">gada </w:t>
      </w:r>
      <w:r w:rsidR="00945488">
        <w:t>[..]</w:t>
      </w:r>
      <w:r w:rsidRPr="001303ED">
        <w:t xml:space="preserve"> spriedums atstāts negrozīts.</w:t>
      </w:r>
    </w:p>
    <w:p w14:paraId="1E4F26D9" w14:textId="77777777" w:rsidR="00431FA2" w:rsidRPr="001303ED" w:rsidRDefault="00431FA2" w:rsidP="00431FA2">
      <w:pPr>
        <w:spacing w:line="276" w:lineRule="auto"/>
        <w:ind w:firstLine="567"/>
        <w:jc w:val="both"/>
      </w:pPr>
    </w:p>
    <w:p w14:paraId="5D9217D7" w14:textId="5BD69295" w:rsidR="00431FA2" w:rsidRPr="001303ED" w:rsidRDefault="00431FA2" w:rsidP="00431FA2">
      <w:pPr>
        <w:spacing w:line="276" w:lineRule="auto"/>
        <w:ind w:firstLine="567"/>
        <w:jc w:val="both"/>
      </w:pPr>
      <w:r w:rsidRPr="001303ED">
        <w:lastRenderedPageBreak/>
        <w:t xml:space="preserve">[4] Par apelācijas instances tiesas </w:t>
      </w:r>
      <w:r>
        <w:t>lēmumu</w:t>
      </w:r>
      <w:r w:rsidRPr="001303ED">
        <w:t xml:space="preserve"> kasācijas sūdzību iesniedzis apsūdzētais </w:t>
      </w:r>
      <w:r w:rsidR="00945488">
        <w:t>[pers. A]</w:t>
      </w:r>
      <w:r w:rsidRPr="001303ED">
        <w:t xml:space="preserve">, lūdzot atcelt </w:t>
      </w:r>
      <w:r w:rsidR="00945488">
        <w:t>[..]</w:t>
      </w:r>
      <w:r w:rsidRPr="001303ED">
        <w:t xml:space="preserve"> apgabaltiesas 2022.</w:t>
      </w:r>
      <w:r w:rsidR="00177E95">
        <w:t> </w:t>
      </w:r>
      <w:r w:rsidRPr="001303ED">
        <w:t xml:space="preserve">gada </w:t>
      </w:r>
      <w:r w:rsidR="00945488">
        <w:t>[..]</w:t>
      </w:r>
      <w:r w:rsidRPr="001303ED">
        <w:t xml:space="preserve"> lēmumu pilnībā un nosūtīt lietu jaunai izskatīšanai.</w:t>
      </w:r>
      <w:r w:rsidRPr="00B15810">
        <w:t xml:space="preserve"> </w:t>
      </w:r>
      <w:r w:rsidRPr="001303ED">
        <w:t xml:space="preserve">Apelācijas instances tiesa </w:t>
      </w:r>
      <w:r>
        <w:t>nepareizi</w:t>
      </w:r>
      <w:r w:rsidRPr="001303ED">
        <w:t xml:space="preserve"> </w:t>
      </w:r>
      <w:r>
        <w:t>no</w:t>
      </w:r>
      <w:r w:rsidRPr="001303ED">
        <w:t xml:space="preserve">vērtējusi apelācijas sūdzībā norādītos pirmstiesas </w:t>
      </w:r>
      <w:r w:rsidR="001146BA" w:rsidRPr="00341AC0">
        <w:rPr>
          <w:color w:val="000000" w:themeColor="text1"/>
        </w:rPr>
        <w:t>krimināl</w:t>
      </w:r>
      <w:r w:rsidRPr="00341AC0">
        <w:rPr>
          <w:color w:val="000000" w:themeColor="text1"/>
        </w:rPr>
        <w:t>p</w:t>
      </w:r>
      <w:r w:rsidRPr="001303ED">
        <w:t>rocesā un pirmās instances tiesā pieļautos procesuālos pārkāpumus</w:t>
      </w:r>
      <w:r>
        <w:t xml:space="preserve">, tādējādi </w:t>
      </w:r>
      <w:r w:rsidRPr="001303ED">
        <w:t>pieļāvusi Kriminālprocesa likuma 575.</w:t>
      </w:r>
      <w:r w:rsidR="00177E95">
        <w:t> </w:t>
      </w:r>
      <w:r w:rsidRPr="001303ED">
        <w:t xml:space="preserve">panta </w:t>
      </w:r>
      <w:r>
        <w:t>trešās</w:t>
      </w:r>
      <w:r w:rsidRPr="001303ED">
        <w:t xml:space="preserve"> daļas</w:t>
      </w:r>
      <w:r>
        <w:t xml:space="preserve"> pārkāpumu</w:t>
      </w:r>
      <w:r w:rsidRPr="001303ED">
        <w:t>.</w:t>
      </w:r>
    </w:p>
    <w:p w14:paraId="48A9781C" w14:textId="5D5D61DD" w:rsidR="00431FA2" w:rsidRDefault="00431FA2" w:rsidP="00431FA2">
      <w:pPr>
        <w:spacing w:line="276" w:lineRule="auto"/>
        <w:ind w:firstLine="567"/>
        <w:jc w:val="both"/>
      </w:pPr>
      <w:r w:rsidRPr="001303ED">
        <w:t>Kasācijas sūdzīb</w:t>
      </w:r>
      <w:r w:rsidR="006921A0">
        <w:t>u</w:t>
      </w:r>
      <w:r w:rsidRPr="001303ED">
        <w:t xml:space="preserve"> apsūdzētais pamatojis ar šādiem argumentiem.</w:t>
      </w:r>
    </w:p>
    <w:p w14:paraId="7B72AADF" w14:textId="0AEC7412" w:rsidR="00341AC0" w:rsidRDefault="00341AC0" w:rsidP="005E0697">
      <w:pPr>
        <w:spacing w:line="276" w:lineRule="auto"/>
        <w:ind w:firstLine="567"/>
        <w:jc w:val="both"/>
      </w:pPr>
      <w:bookmarkStart w:id="0" w:name="_Hlk123826868"/>
      <w:r>
        <w:t xml:space="preserve">[4.1] </w:t>
      </w:r>
      <w:r w:rsidR="005E0697">
        <w:t>Ar p</w:t>
      </w:r>
      <w:r w:rsidRPr="001303ED">
        <w:t>irmās instances tiesa</w:t>
      </w:r>
      <w:r w:rsidR="005E0697">
        <w:t xml:space="preserve">s spriedumu apsūdzētais </w:t>
      </w:r>
      <w:r w:rsidRPr="001303ED">
        <w:t xml:space="preserve">nepamatoti atzīts par </w:t>
      </w:r>
      <w:r w:rsidRPr="00341AC0">
        <w:rPr>
          <w:color w:val="000000" w:themeColor="text1"/>
        </w:rPr>
        <w:t xml:space="preserve">viņam inkriminēto </w:t>
      </w:r>
      <w:r w:rsidRPr="001303ED">
        <w:t>noziedzīgo nodarījumu izdarītāju, jo lietā nav pierādījum</w:t>
      </w:r>
      <w:r>
        <w:t>u</w:t>
      </w:r>
      <w:r w:rsidRPr="001303ED">
        <w:t xml:space="preserve">, kas apliecinātu, ka tieši viņš būtu lejupielādējis pornogrāfiska rakstura materiālus, kas satur bērnu pornogrāfiju un cilvēka seksuālas darbības ar dzīvnieku. Tiesa nav izvērtējusi to, ka šādi materiāli personas datorā var tikt ievietoti </w:t>
      </w:r>
      <w:proofErr w:type="gramStart"/>
      <w:r w:rsidRPr="001303ED">
        <w:t>arī datorvīrusu</w:t>
      </w:r>
      <w:proofErr w:type="gramEnd"/>
      <w:r w:rsidRPr="001303ED">
        <w:t xml:space="preserve"> un hakeru nesankcionētas darbības rezultātā vai arī to var izdarīt cita persona, fiziski piekļūstot datoram.</w:t>
      </w:r>
    </w:p>
    <w:bookmarkEnd w:id="0"/>
    <w:p w14:paraId="10049AEC" w14:textId="0BB4F7F1" w:rsidR="00341AC0" w:rsidRDefault="00431FA2" w:rsidP="005318A0">
      <w:pPr>
        <w:spacing w:line="276" w:lineRule="auto"/>
        <w:ind w:firstLine="567"/>
        <w:jc w:val="both"/>
      </w:pPr>
      <w:r>
        <w:t>[4.</w:t>
      </w:r>
      <w:r w:rsidR="005E0697">
        <w:t>2</w:t>
      </w:r>
      <w:r w:rsidR="00341AC0">
        <w:t>]</w:t>
      </w:r>
      <w:r w:rsidR="00341AC0" w:rsidRPr="001303ED">
        <w:t xml:space="preserve"> </w:t>
      </w:r>
      <w:r w:rsidR="00341AC0">
        <w:t>P</w:t>
      </w:r>
      <w:r w:rsidRPr="001303ED">
        <w:t>irmās instances tiesa pārkāpusi Kriminālpro</w:t>
      </w:r>
      <w:r>
        <w:t>c</w:t>
      </w:r>
      <w:r w:rsidRPr="001303ED">
        <w:t xml:space="preserve">esa likuma </w:t>
      </w:r>
      <w:r w:rsidR="005318A0" w:rsidRPr="006921A0">
        <w:t>15. pantu</w:t>
      </w:r>
      <w:r w:rsidR="005318A0">
        <w:t xml:space="preserve">, </w:t>
      </w:r>
      <w:r w:rsidRPr="001303ED">
        <w:t>48.</w:t>
      </w:r>
      <w:r w:rsidR="00177E95">
        <w:t> </w:t>
      </w:r>
      <w:r w:rsidRPr="001303ED">
        <w:t xml:space="preserve">panta otrās daļas </w:t>
      </w:r>
      <w:r>
        <w:t>4.</w:t>
      </w:r>
      <w:r w:rsidR="00446EA6">
        <w:t> </w:t>
      </w:r>
      <w:r w:rsidRPr="001303ED">
        <w:t>punktu un 496.</w:t>
      </w:r>
      <w:r w:rsidR="00177E95">
        <w:t> </w:t>
      </w:r>
      <w:r w:rsidRPr="001303ED">
        <w:t>panta otro daļu, jo</w:t>
      </w:r>
      <w:r>
        <w:t xml:space="preserve"> n</w:t>
      </w:r>
      <w:r w:rsidR="00341AC0">
        <w:t>av izlēmusi a</w:t>
      </w:r>
      <w:r w:rsidRPr="001303ED">
        <w:t xml:space="preserve">psūdzētā pieteiktos lūgumus par ekspertīzes noteikšanu, ekspertīzes metožu pieprasīšanu no Valsts tiesu ekspertīžu biroja, pierādījumu pārbaudes veikšanu un tiesas izmeklēšanas atsākšanu. </w:t>
      </w:r>
      <w:r>
        <w:t>L</w:t>
      </w:r>
      <w:r w:rsidRPr="001303ED">
        <w:t>ūgumi par ekspertīzes noteikšanu</w:t>
      </w:r>
      <w:r>
        <w:t xml:space="preserve"> un</w:t>
      </w:r>
      <w:r w:rsidRPr="001303ED">
        <w:t xml:space="preserve"> ekspertīzes metožu pieprasīšanu </w:t>
      </w:r>
      <w:r>
        <w:t xml:space="preserve">atkārtoti izteikti apelācijas sūdzībā, taču tie </w:t>
      </w:r>
      <w:r w:rsidRPr="001303ED">
        <w:t>apelācijas instances tiesā</w:t>
      </w:r>
      <w:r>
        <w:t xml:space="preserve"> </w:t>
      </w:r>
      <w:r w:rsidRPr="001303ED">
        <w:t>nav izlemti.</w:t>
      </w:r>
    </w:p>
    <w:p w14:paraId="242F31FF" w14:textId="63102050" w:rsidR="00DB2047" w:rsidRPr="001303ED" w:rsidRDefault="00DB2047" w:rsidP="00DB2047">
      <w:pPr>
        <w:spacing w:line="276" w:lineRule="auto"/>
        <w:ind w:firstLine="567"/>
        <w:jc w:val="both"/>
      </w:pPr>
      <w:r>
        <w:t>[4.</w:t>
      </w:r>
      <w:r w:rsidR="005E0697">
        <w:t>3</w:t>
      </w:r>
      <w:r w:rsidRPr="001303ED">
        <w:t>] Pirmstiesas kriminālprocesa laikā veikta kratīšana</w:t>
      </w:r>
      <w:r>
        <w:t>,</w:t>
      </w:r>
      <w:r w:rsidRPr="001303ED">
        <w:t xml:space="preserve"> neievērojot Kriminālprocesa likuma 180.</w:t>
      </w:r>
      <w:r>
        <w:t> </w:t>
      </w:r>
      <w:r w:rsidRPr="001303ED">
        <w:t>pantā noteikto procesuālo kārtību.</w:t>
      </w:r>
      <w:r>
        <w:t xml:space="preserve"> </w:t>
      </w:r>
    </w:p>
    <w:p w14:paraId="7A6BB257" w14:textId="34C9107E" w:rsidR="00DB2047" w:rsidRDefault="00DB2047" w:rsidP="00DB2047">
      <w:pPr>
        <w:spacing w:line="276" w:lineRule="auto"/>
        <w:ind w:firstLine="567"/>
        <w:jc w:val="both"/>
      </w:pPr>
      <w:r>
        <w:t>[4.</w:t>
      </w:r>
      <w:r w:rsidR="005E0697">
        <w:t>4</w:t>
      </w:r>
      <w:r w:rsidRPr="001303ED">
        <w:t xml:space="preserve">] </w:t>
      </w:r>
      <w:r w:rsidRPr="00984E0D">
        <w:rPr>
          <w:color w:val="000000" w:themeColor="text1"/>
        </w:rPr>
        <w:t xml:space="preserve">Pirmstiesas kriminālprocesa laikā un lietas izskatīšanā tiesā apsūdzētajam </w:t>
      </w:r>
      <w:r w:rsidRPr="001303ED">
        <w:t>ierobežotas Kriminālprocesa likuma 20.</w:t>
      </w:r>
      <w:r>
        <w:t> </w:t>
      </w:r>
      <w:r w:rsidRPr="001303ED">
        <w:t>pantā paredzētās tiesības uz aizstāvību</w:t>
      </w:r>
      <w:r>
        <w:t>, pieņemot nepamatotus lēmumus, arī lēmumu par personas atzīšanu par aizdomās turēto, par personas saukšanu pie kriminālatbildības un lietas nodošanu tiesai.</w:t>
      </w:r>
    </w:p>
    <w:p w14:paraId="10A5BA54" w14:textId="77777777" w:rsidR="00DB2047" w:rsidRPr="001303ED" w:rsidRDefault="00DB2047" w:rsidP="00DB2047">
      <w:pPr>
        <w:spacing w:line="276" w:lineRule="auto"/>
        <w:ind w:firstLine="567"/>
        <w:jc w:val="both"/>
        <w:rPr>
          <w:color w:val="000000" w:themeColor="text1"/>
        </w:rPr>
      </w:pPr>
      <w:r w:rsidRPr="00F447A7">
        <w:t xml:space="preserve">Pirmstiesas </w:t>
      </w:r>
      <w:r w:rsidRPr="00984E0D">
        <w:rPr>
          <w:color w:val="000000" w:themeColor="text1"/>
        </w:rPr>
        <w:t>kriminālprocesā</w:t>
      </w:r>
      <w:r w:rsidRPr="00F447A7">
        <w:t xml:space="preserve"> – gan izmeklēšan</w:t>
      </w:r>
      <w:r>
        <w:t>ā</w:t>
      </w:r>
      <w:r w:rsidRPr="00F447A7">
        <w:t>, gan kriminālvajāšan</w:t>
      </w:r>
      <w:r>
        <w:t>ā</w:t>
      </w:r>
      <w:r w:rsidRPr="00F447A7">
        <w:t xml:space="preserve"> – pieļauti arī citi būtiski Kriminālprocesa likuma pārkāpumi, </w:t>
      </w:r>
      <w:r>
        <w:t xml:space="preserve">tādēļ </w:t>
      </w:r>
      <w:r w:rsidRPr="00F447A7">
        <w:t>procesuālie lēmumi atzīstami par nelikumīgi pieņemtiem.</w:t>
      </w:r>
    </w:p>
    <w:p w14:paraId="30387A1B" w14:textId="60B0F208" w:rsidR="00431FA2" w:rsidRDefault="00431FA2" w:rsidP="00177E95">
      <w:pPr>
        <w:spacing w:line="276" w:lineRule="auto"/>
        <w:ind w:firstLine="567"/>
        <w:jc w:val="both"/>
      </w:pPr>
      <w:r>
        <w:t>[4.</w:t>
      </w:r>
      <w:r w:rsidR="005E0697">
        <w:t>5</w:t>
      </w:r>
      <w:r w:rsidRPr="001303ED">
        <w:t>] Pirmās instances tiesa pieļāvusi Kriminālprocesa likuma 575.</w:t>
      </w:r>
      <w:r w:rsidR="00177E95">
        <w:t> </w:t>
      </w:r>
      <w:r w:rsidRPr="001303ED">
        <w:t>panta pirmās daļas 6.</w:t>
      </w:r>
      <w:r w:rsidR="00446EA6">
        <w:t> </w:t>
      </w:r>
      <w:r w:rsidRPr="001303ED">
        <w:t>punktā paredzēto pārkāpumu, jo 2021.</w:t>
      </w:r>
      <w:r w:rsidR="00177E95">
        <w:t> </w:t>
      </w:r>
      <w:r w:rsidRPr="001303ED">
        <w:t xml:space="preserve">gada </w:t>
      </w:r>
      <w:r w:rsidR="00945488">
        <w:t>[..]</w:t>
      </w:r>
      <w:r w:rsidRPr="001303ED">
        <w:t xml:space="preserve"> tiesas sēdes protokol</w:t>
      </w:r>
      <w:r>
        <w:t>s ir nepilnīgs</w:t>
      </w:r>
      <w:r w:rsidRPr="001303ED">
        <w:t>, proti, tajā nav fiksēti tiesas rīkojumi un lēmumi, apsūdzētā lūgumi, kā arī nav atspoguļota tiesas sēdes gaita. Turklāt tiesa nav pieņēmusi apsūdzētā iesniegtās rakstveida piezīmes par minēto tiesas sēdes protokolu.</w:t>
      </w:r>
    </w:p>
    <w:p w14:paraId="1C12F91B" w14:textId="74F1853C" w:rsidR="00341AC0" w:rsidRPr="001303ED" w:rsidRDefault="00341AC0" w:rsidP="00341AC0">
      <w:pPr>
        <w:spacing w:line="276" w:lineRule="auto"/>
        <w:ind w:firstLine="567"/>
        <w:jc w:val="both"/>
      </w:pPr>
      <w:r>
        <w:t>[4.</w:t>
      </w:r>
      <w:r w:rsidR="005E0697">
        <w:t>6</w:t>
      </w:r>
      <w:r w:rsidRPr="001303ED">
        <w:t>] Taisot spriedumu, pirmās instances tiesa pārkāpusi Kriminālprocesa likuma 527.</w:t>
      </w:r>
      <w:r>
        <w:t> </w:t>
      </w:r>
      <w:r w:rsidRPr="001303ED">
        <w:t>panta otrās daļas 1. un 2.</w:t>
      </w:r>
      <w:r w:rsidR="00446EA6">
        <w:t> </w:t>
      </w:r>
      <w:r w:rsidRPr="001303ED">
        <w:t>punktu, proti, tiesas sprieduma motīvu daļā izdarītie secinājumi nav pamatoti ar pierādījumiem, kā arī nav motivēts, kāpēc tiesa noraidījusi citus pierādījumus.</w:t>
      </w:r>
    </w:p>
    <w:p w14:paraId="01B122E6" w14:textId="6762DFD9" w:rsidR="00431FA2" w:rsidRPr="00A318D5" w:rsidRDefault="00431FA2" w:rsidP="00431FA2">
      <w:pPr>
        <w:spacing w:line="276" w:lineRule="auto"/>
        <w:ind w:firstLine="567"/>
        <w:jc w:val="both"/>
      </w:pPr>
      <w:r>
        <w:t>[4.</w:t>
      </w:r>
      <w:r w:rsidR="005E0697">
        <w:t>7</w:t>
      </w:r>
      <w:r w:rsidRPr="006B3FF1">
        <w:t>] Pirmās instances tiesa pārkāpusi pierādījumu novērtēšanas prasības, proti, tā nav vērtējusi apsūdzību pamatojošo pierādījumu ticamību, attiecināmību un pieļaujamību, tajā skaitā nav ievērojusi Kriminālprocesa likuma 128.</w:t>
      </w:r>
      <w:r w:rsidR="00177E95">
        <w:t> </w:t>
      </w:r>
      <w:r w:rsidRPr="006B3FF1">
        <w:t xml:space="preserve">panta trešajā daļā norādīto, ka nevienam no </w:t>
      </w:r>
      <w:r w:rsidRPr="00A318D5">
        <w:t>pierādījumiem nav iepriekš noteikta augstāka ticamības pakāpe nekā pārējiem pierādījumiem.</w:t>
      </w:r>
    </w:p>
    <w:p w14:paraId="039470CE" w14:textId="77777777" w:rsidR="00431FA2" w:rsidRPr="00A318D5" w:rsidRDefault="00431FA2" w:rsidP="00431FA2">
      <w:pPr>
        <w:spacing w:line="276" w:lineRule="auto"/>
        <w:ind w:firstLine="567"/>
        <w:jc w:val="both"/>
      </w:pPr>
      <w:r w:rsidRPr="00A318D5">
        <w:t>Tiesa nep</w:t>
      </w:r>
      <w:r>
        <w:t>ilnīgi</w:t>
      </w:r>
      <w:r w:rsidRPr="00A318D5">
        <w:t xml:space="preserve"> izvērtējusi apsūdzētā sniegtās liecības.</w:t>
      </w:r>
    </w:p>
    <w:p w14:paraId="70B8387F" w14:textId="6557577A" w:rsidR="00431FA2" w:rsidRDefault="00431FA2" w:rsidP="00431FA2">
      <w:pPr>
        <w:spacing w:line="276" w:lineRule="auto"/>
        <w:ind w:firstLine="567"/>
        <w:jc w:val="both"/>
      </w:pPr>
      <w:r w:rsidRPr="00A318D5">
        <w:lastRenderedPageBreak/>
        <w:t>Tiesa pārkāpusi Kriminālprocesa likuma 449.</w:t>
      </w:r>
      <w:r w:rsidR="00177E95">
        <w:t> </w:t>
      </w:r>
      <w:r w:rsidRPr="00A318D5">
        <w:t>panta pirmo un trešo daļu, jo</w:t>
      </w:r>
      <w:r w:rsidRPr="00F178C3">
        <w:t xml:space="preserve"> </w:t>
      </w:r>
      <w:r w:rsidRPr="00A318D5">
        <w:t>pēc apsūdzētā lūguma nav atbilstoši izvērtējusi lietā esošo pierādījumu – dokumentu – saturu, daļu no tiem atsakoties nolasīt, tos nolasot daļēji vai nolasot vienīgi virsrakstu.</w:t>
      </w:r>
    </w:p>
    <w:p w14:paraId="665C50AB" w14:textId="6EF3850E" w:rsidR="00431FA2" w:rsidRDefault="00431FA2" w:rsidP="00431FA2">
      <w:pPr>
        <w:spacing w:line="276" w:lineRule="auto"/>
        <w:ind w:firstLine="567"/>
        <w:jc w:val="both"/>
      </w:pPr>
      <w:r>
        <w:t>I</w:t>
      </w:r>
      <w:r w:rsidRPr="00F447A7">
        <w:t xml:space="preserve">zmeklētājas darbībām un </w:t>
      </w:r>
      <w:r w:rsidR="00FF2691" w:rsidRPr="00984E0D">
        <w:rPr>
          <w:color w:val="000000" w:themeColor="text1"/>
        </w:rPr>
        <w:t>viņas</w:t>
      </w:r>
      <w:r w:rsidR="00FF2691">
        <w:rPr>
          <w:color w:val="FF0000"/>
        </w:rPr>
        <w:t xml:space="preserve"> </w:t>
      </w:r>
      <w:r w:rsidRPr="00F447A7">
        <w:t>pieņemtajiem lēmumiem pirmstiesas kriminālprocesā trūkst ticamības</w:t>
      </w:r>
      <w:r>
        <w:t xml:space="preserve">. </w:t>
      </w:r>
      <w:r w:rsidRPr="00F447A7">
        <w:t>Pirmās instances tiesā noskaidrots, ka izmeklētāja lūgusi liecinie</w:t>
      </w:r>
      <w:r w:rsidR="00984E0D">
        <w:t xml:space="preserve">cei </w:t>
      </w:r>
      <w:r w:rsidR="00945488">
        <w:t>[pers. </w:t>
      </w:r>
      <w:r w:rsidR="00DC1F18">
        <w:t>B</w:t>
      </w:r>
      <w:r w:rsidR="00945488">
        <w:t>]</w:t>
      </w:r>
      <w:r w:rsidRPr="00F447A7">
        <w:t xml:space="preserve"> parakstīt pr</w:t>
      </w:r>
      <w:r w:rsidRPr="00C15A59">
        <w:t xml:space="preserve">otokolu ar viņas sastādītu </w:t>
      </w:r>
      <w:r w:rsidRPr="00F447A7">
        <w:t>saturu, kā arī sniegusi nepatiesu informāciju prokuratūrai</w:t>
      </w:r>
      <w:r>
        <w:t>.</w:t>
      </w:r>
    </w:p>
    <w:p w14:paraId="7E8F9A71" w14:textId="70915032" w:rsidR="00431FA2" w:rsidRPr="00A318D5" w:rsidRDefault="00431FA2" w:rsidP="00C15A59">
      <w:pPr>
        <w:spacing w:line="276" w:lineRule="auto"/>
        <w:ind w:firstLine="567"/>
        <w:jc w:val="both"/>
      </w:pPr>
      <w:r w:rsidRPr="001303ED">
        <w:rPr>
          <w:color w:val="000000" w:themeColor="text1"/>
        </w:rPr>
        <w:t xml:space="preserve">Lieta pirmās un apelācijas instances tiesās izskatīta, neiepazīstoties ar lietas materiāliem, turklāt lietā </w:t>
      </w:r>
      <w:r w:rsidRPr="001303ED">
        <w:t>trūkst 14.</w:t>
      </w:r>
      <w:r w:rsidR="00177E95">
        <w:t> l</w:t>
      </w:r>
      <w:r w:rsidRPr="001303ED">
        <w:t>apaspuse</w:t>
      </w:r>
      <w:r w:rsidR="00446EA6">
        <w:t>s</w:t>
      </w:r>
      <w:r w:rsidRPr="001303ED">
        <w:t>, kā dēļ lietas iztiesāšanā objektīvi nav bijis iespējams pārbaudīt visus pierādījumus, tādējādi lietas izskatīšana nevar tikt atzīta par taisnīgu un tiesas nolēmum</w:t>
      </w:r>
      <w:r w:rsidR="00C15A59">
        <w:t>s –</w:t>
      </w:r>
      <w:r w:rsidRPr="001303ED">
        <w:t xml:space="preserve"> par likumīgu.</w:t>
      </w:r>
    </w:p>
    <w:p w14:paraId="6B3D7591" w14:textId="46E1C6BA" w:rsidR="00431FA2" w:rsidRDefault="00431FA2" w:rsidP="00431FA2">
      <w:pPr>
        <w:spacing w:line="276" w:lineRule="auto"/>
        <w:ind w:firstLine="567"/>
        <w:jc w:val="both"/>
      </w:pPr>
      <w:r>
        <w:t>[4.</w:t>
      </w:r>
      <w:r w:rsidR="005E0697">
        <w:t>8</w:t>
      </w:r>
      <w:r w:rsidRPr="001303ED">
        <w:t>] Tiesas debatēs prokurors nav ievērojis Kriminālprocesa likuma 506.</w:t>
      </w:r>
      <w:r w:rsidR="00177E95">
        <w:t> </w:t>
      </w:r>
      <w:r w:rsidRPr="001303ED">
        <w:t>panta ceturto daļu</w:t>
      </w:r>
      <w:r w:rsidR="00EF0B9B">
        <w:t>,</w:t>
      </w:r>
      <w:r w:rsidRPr="001303ED">
        <w:t xml:space="preserve"> savus secinājumus</w:t>
      </w:r>
      <w:proofErr w:type="gramStart"/>
      <w:r w:rsidR="00822EBF">
        <w:t xml:space="preserve"> </w:t>
      </w:r>
      <w:r w:rsidRPr="001303ED">
        <w:t>motivējot ar tiesas izmeklēšanā nepārbaudītiem pierādījumiem, savukārt tiesa minēto pārkāpumu nav novērsusi</w:t>
      </w:r>
      <w:proofErr w:type="gramEnd"/>
      <w:r w:rsidRPr="001303ED">
        <w:t>.</w:t>
      </w:r>
    </w:p>
    <w:p w14:paraId="300B8CDA" w14:textId="0CD04598" w:rsidR="00341AC0" w:rsidRPr="001303ED" w:rsidRDefault="00341AC0" w:rsidP="00341AC0">
      <w:pPr>
        <w:spacing w:line="276" w:lineRule="auto"/>
        <w:ind w:firstLine="567"/>
        <w:jc w:val="both"/>
      </w:pPr>
      <w:r>
        <w:t>[4.</w:t>
      </w:r>
      <w:r w:rsidR="005E0697">
        <w:t>9</w:t>
      </w:r>
      <w:r>
        <w:t xml:space="preserve">] </w:t>
      </w:r>
      <w:r w:rsidRPr="001303ED">
        <w:t>Pirmās instances tiesa pieļāvusi Kriminālprocesa likuma 575.</w:t>
      </w:r>
      <w:r>
        <w:t> </w:t>
      </w:r>
      <w:r w:rsidRPr="001303ED">
        <w:t>panta pirmās daļas 5.</w:t>
      </w:r>
      <w:r>
        <w:t> </w:t>
      </w:r>
      <w:r w:rsidRPr="001303ED">
        <w:t>punktā norādīto pārkāpumu, jo ierobežojusi apsūdzētajam Kriminālprocesa likuma 506.</w:t>
      </w:r>
      <w:r>
        <w:t> </w:t>
      </w:r>
      <w:r w:rsidRPr="001303ED">
        <w:t>panta trešajā daļā paredzētās tiesības teikt aizstāvības runu.</w:t>
      </w:r>
    </w:p>
    <w:p w14:paraId="2622B550" w14:textId="640A4AF6" w:rsidR="00D41CDA" w:rsidRDefault="00D41CDA" w:rsidP="00D41CDA">
      <w:pPr>
        <w:spacing w:line="276" w:lineRule="auto"/>
        <w:ind w:firstLine="567"/>
        <w:jc w:val="both"/>
      </w:pPr>
      <w:r>
        <w:t>Minētie pārkāpumi atzīstami par būtiskiem Kriminālprocesa likuma pārkāpumiem šā likuma 575.</w:t>
      </w:r>
      <w:r w:rsidR="00177E95">
        <w:t> </w:t>
      </w:r>
      <w:r>
        <w:t xml:space="preserve">panta trešās daļas izpratnē, kas novedis pie nelikumīga nolēmuma. </w:t>
      </w:r>
    </w:p>
    <w:p w14:paraId="1C927CEE" w14:textId="77777777" w:rsidR="00D41CDA" w:rsidRDefault="00D41CDA" w:rsidP="00D41CDA">
      <w:pPr>
        <w:spacing w:line="276" w:lineRule="auto"/>
        <w:jc w:val="both"/>
      </w:pPr>
    </w:p>
    <w:p w14:paraId="4467739B" w14:textId="77777777" w:rsidR="00D41CDA" w:rsidRDefault="00D41CDA" w:rsidP="00D41CDA">
      <w:pPr>
        <w:spacing w:line="276" w:lineRule="auto"/>
        <w:jc w:val="center"/>
        <w:rPr>
          <w:b/>
        </w:rPr>
      </w:pPr>
      <w:r w:rsidRPr="003F2999">
        <w:rPr>
          <w:b/>
        </w:rPr>
        <w:t>Motīvu daļa</w:t>
      </w:r>
    </w:p>
    <w:p w14:paraId="4FCAE21E" w14:textId="77777777" w:rsidR="00D41CDA" w:rsidRPr="00A42C16" w:rsidRDefault="00D41CDA" w:rsidP="00D41CDA">
      <w:pPr>
        <w:spacing w:line="276" w:lineRule="auto"/>
      </w:pPr>
    </w:p>
    <w:p w14:paraId="7237741B" w14:textId="5FAE37D6" w:rsidR="00821F0B" w:rsidRPr="00940A7C" w:rsidRDefault="00D41CDA" w:rsidP="00821F0B">
      <w:pPr>
        <w:spacing w:line="276" w:lineRule="auto"/>
        <w:ind w:firstLine="720"/>
        <w:jc w:val="both"/>
        <w:rPr>
          <w:rFonts w:asciiTheme="majorBidi" w:hAnsiTheme="majorBidi" w:cstheme="majorBidi"/>
          <w:color w:val="000000"/>
        </w:rPr>
      </w:pPr>
      <w:r w:rsidRPr="00A42C16">
        <w:t>[5]</w:t>
      </w:r>
      <w:r w:rsidR="000C43DC">
        <w:t> </w:t>
      </w:r>
      <w:r w:rsidR="00821F0B" w:rsidRPr="00042DAC">
        <w:t>Senāts konstatē, ka kasācijas instances tiesas kompetencē ir sniegt atbildi: 1) vai</w:t>
      </w:r>
      <w:r w:rsidR="00821F0B">
        <w:t xml:space="preserve"> tiesa, neizlemjot apsūdzētā pieteiktos lūgumus, nav pieļāvusi būtisku Kriminālprocesa likuma </w:t>
      </w:r>
      <w:r w:rsidR="00821F0B" w:rsidRPr="00042DAC">
        <w:t xml:space="preserve">pārkāpumu; </w:t>
      </w:r>
      <w:bookmarkStart w:id="1" w:name="_Hlk124778190"/>
      <w:r w:rsidR="00821F0B" w:rsidRPr="00042DAC">
        <w:t xml:space="preserve">2) </w:t>
      </w:r>
      <w:r w:rsidR="00821F0B" w:rsidRPr="00940A7C">
        <w:t xml:space="preserve">vai tiesa, </w:t>
      </w:r>
      <w:r w:rsidR="00821F0B" w:rsidRPr="00095FBE">
        <w:t xml:space="preserve">nosakot sodu </w:t>
      </w:r>
      <w:r w:rsidR="00821F0B" w:rsidRPr="00940A7C">
        <w:t>pēc Krimināllikuma 166. panta otrās daļas, nav pieļāvusi Kriminālprocesa likuma 574.</w:t>
      </w:r>
      <w:r w:rsidR="00446EA6">
        <w:t> </w:t>
      </w:r>
      <w:r w:rsidR="00821F0B" w:rsidRPr="00940A7C">
        <w:t>pantā norādīto Krimināllikuma pārkāpumu.</w:t>
      </w:r>
      <w:bookmarkEnd w:id="1"/>
    </w:p>
    <w:p w14:paraId="6CE33A09" w14:textId="77777777" w:rsidR="00E714A2" w:rsidRDefault="00E714A2" w:rsidP="008C6CB9">
      <w:pPr>
        <w:spacing w:line="276" w:lineRule="auto"/>
        <w:ind w:firstLine="709"/>
        <w:jc w:val="both"/>
      </w:pPr>
    </w:p>
    <w:p w14:paraId="6736E9C1" w14:textId="73DBC380" w:rsidR="000873C8" w:rsidRPr="004C0B11" w:rsidRDefault="008C6CB9" w:rsidP="000873C8">
      <w:pPr>
        <w:widowControl w:val="0"/>
        <w:tabs>
          <w:tab w:val="left" w:pos="709"/>
        </w:tabs>
        <w:spacing w:line="276" w:lineRule="auto"/>
        <w:ind w:firstLine="680"/>
        <w:jc w:val="both"/>
      </w:pPr>
      <w:r w:rsidRPr="00A42C16">
        <w:t xml:space="preserve"> </w:t>
      </w:r>
      <w:r w:rsidR="00BB1ED6" w:rsidRPr="004C0B11">
        <w:t>[</w:t>
      </w:r>
      <w:r w:rsidR="00E714A2" w:rsidRPr="004C0B11">
        <w:t>6</w:t>
      </w:r>
      <w:r w:rsidR="00BB1ED6" w:rsidRPr="004C0B11">
        <w:t>]</w:t>
      </w:r>
      <w:r w:rsidR="00984E0D" w:rsidRPr="004C0B11">
        <w:t> </w:t>
      </w:r>
      <w:r w:rsidR="000873C8" w:rsidRPr="004C0B11">
        <w:t>Senāts atzīst, ka apelācijas instances tiesa, izskatot lietu, pieļāvusi Kriminālprocesa likuma 15.</w:t>
      </w:r>
      <w:r w:rsidR="00EF0B9B" w:rsidRPr="004C0B11">
        <w:t> </w:t>
      </w:r>
      <w:r w:rsidR="000873C8" w:rsidRPr="004C0B11">
        <w:t>panta pārkāpumu, jo nav izlēmusi apsūdzētā</w:t>
      </w:r>
      <w:r w:rsidR="00513EF4" w:rsidRPr="004C0B11">
        <w:t xml:space="preserve"> pieteiktos</w:t>
      </w:r>
      <w:r w:rsidR="000873C8" w:rsidRPr="004C0B11">
        <w:t xml:space="preserve"> lūgumu</w:t>
      </w:r>
      <w:r w:rsidR="003E4C11" w:rsidRPr="004C0B11">
        <w:t>s.</w:t>
      </w:r>
      <w:r w:rsidR="000873C8" w:rsidRPr="004C0B11">
        <w:t xml:space="preserve"> Norādītais pārkāpums atzīstams par Kriminālprocesa likuma būtisku pārkāpumu šā likuma 575.</w:t>
      </w:r>
      <w:r w:rsidR="00177E95" w:rsidRPr="004C0B11">
        <w:t> </w:t>
      </w:r>
      <w:r w:rsidR="000873C8" w:rsidRPr="004C0B11">
        <w:t>panta trešās daļas izpratnē.</w:t>
      </w:r>
    </w:p>
    <w:p w14:paraId="0BEE462D" w14:textId="5924CD4D" w:rsidR="00B02BB8" w:rsidRPr="004C0B11" w:rsidRDefault="00E714A2" w:rsidP="00DA7070">
      <w:pPr>
        <w:widowControl w:val="0"/>
        <w:spacing w:line="276" w:lineRule="auto"/>
        <w:ind w:firstLine="709"/>
        <w:jc w:val="both"/>
      </w:pPr>
      <w:r w:rsidRPr="004C0B11">
        <w:t>[6.1]</w:t>
      </w:r>
      <w:r w:rsidR="000C43DC">
        <w:t> </w:t>
      </w:r>
      <w:r w:rsidR="00B02BB8" w:rsidRPr="004C0B11">
        <w:t>Senāts jau iepriekš norādījis, ka saskaņā ar Kriminālprocesa likuma 561.</w:t>
      </w:r>
      <w:r w:rsidR="00EF0B9B" w:rsidRPr="004C0B11">
        <w:t> </w:t>
      </w:r>
      <w:r w:rsidR="00B02BB8" w:rsidRPr="004C0B11">
        <w:t>panta pirmās daļas nosacījumiem lieta apelācijas instances tiesas sēdē iztiesājama kārtībā, kāda noteikta krimināllietu izskatīšanai pirmās instances tiesā, izņemot Kriminālprocesa likuma 53.</w:t>
      </w:r>
      <w:r w:rsidR="00177E95" w:rsidRPr="004C0B11">
        <w:t> </w:t>
      </w:r>
      <w:r w:rsidR="00B02BB8" w:rsidRPr="004C0B11">
        <w:t xml:space="preserve">nodaļā noteikto. 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esamība vai neesamība 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00B02BB8" w:rsidRPr="004C0B11">
        <w:t>(</w:t>
      </w:r>
      <w:proofErr w:type="gramEnd"/>
      <w:r w:rsidR="00C15A59" w:rsidRPr="004C0B11">
        <w:rPr>
          <w:i/>
          <w:iCs/>
        </w:rPr>
        <w:t>Senāta</w:t>
      </w:r>
      <w:r w:rsidR="00B02BB8" w:rsidRPr="004C0B11">
        <w:rPr>
          <w:i/>
          <w:iCs/>
        </w:rPr>
        <w:t xml:space="preserve"> 2017.</w:t>
      </w:r>
      <w:r w:rsidR="00D70D76" w:rsidRPr="004C0B11">
        <w:rPr>
          <w:i/>
          <w:iCs/>
        </w:rPr>
        <w:t> </w:t>
      </w:r>
      <w:r w:rsidR="00B02BB8" w:rsidRPr="004C0B11">
        <w:rPr>
          <w:i/>
          <w:iCs/>
        </w:rPr>
        <w:t>gada 10</w:t>
      </w:r>
      <w:r w:rsidR="00D70D76" w:rsidRPr="004C0B11">
        <w:rPr>
          <w:i/>
          <w:iCs/>
        </w:rPr>
        <w:t>. </w:t>
      </w:r>
      <w:r w:rsidR="00B02BB8" w:rsidRPr="004C0B11">
        <w:rPr>
          <w:i/>
          <w:iCs/>
        </w:rPr>
        <w:t>oktobra lēmum</w:t>
      </w:r>
      <w:r w:rsidR="00DA7070" w:rsidRPr="004C0B11">
        <w:rPr>
          <w:i/>
          <w:iCs/>
        </w:rPr>
        <w:t>a</w:t>
      </w:r>
      <w:r w:rsidR="00B02BB8" w:rsidRPr="004C0B11">
        <w:rPr>
          <w:i/>
          <w:iCs/>
        </w:rPr>
        <w:t xml:space="preserve"> lietā Nr. SKK-532/2017</w:t>
      </w:r>
      <w:r w:rsidR="00DA7070" w:rsidRPr="004C0B11">
        <w:rPr>
          <w:i/>
          <w:iCs/>
        </w:rPr>
        <w:t xml:space="preserve">, </w:t>
      </w:r>
      <w:hyperlink r:id="rId7" w:history="1">
        <w:r w:rsidR="00B02BB8" w:rsidRPr="004C0B11">
          <w:rPr>
            <w:rStyle w:val="Hyperlink"/>
            <w:i/>
            <w:iCs/>
          </w:rPr>
          <w:t>ECLI:LV:AT:2017:1010.15830406610.1.L</w:t>
        </w:r>
      </w:hyperlink>
      <w:r w:rsidR="00DA7070" w:rsidRPr="004C0B11">
        <w:rPr>
          <w:i/>
          <w:iCs/>
        </w:rPr>
        <w:t>, 9.1</w:t>
      </w:r>
      <w:r w:rsidR="00446EA6">
        <w:rPr>
          <w:i/>
          <w:iCs/>
        </w:rPr>
        <w:t>. </w:t>
      </w:r>
      <w:r w:rsidR="00DA7070" w:rsidRPr="004C0B11">
        <w:rPr>
          <w:i/>
          <w:iCs/>
        </w:rPr>
        <w:t xml:space="preserve">punkts </w:t>
      </w:r>
      <w:r w:rsidR="00B02BB8" w:rsidRPr="004C0B11">
        <w:t>).</w:t>
      </w:r>
    </w:p>
    <w:p w14:paraId="465083B6" w14:textId="6DBD6829" w:rsidR="0050793F" w:rsidRPr="004C0B11" w:rsidRDefault="00B02BB8" w:rsidP="0050793F">
      <w:pPr>
        <w:widowControl w:val="0"/>
        <w:tabs>
          <w:tab w:val="left" w:pos="709"/>
        </w:tabs>
        <w:spacing w:line="276" w:lineRule="auto"/>
        <w:ind w:firstLine="680"/>
        <w:jc w:val="both"/>
      </w:pPr>
      <w:r w:rsidRPr="004C0B11">
        <w:t>[</w:t>
      </w:r>
      <w:r w:rsidR="00E714A2" w:rsidRPr="004C0B11">
        <w:t>6</w:t>
      </w:r>
      <w:r w:rsidRPr="004C0B11">
        <w:t>.2]</w:t>
      </w:r>
      <w:r w:rsidR="000C43DC">
        <w:t> </w:t>
      </w:r>
      <w:r w:rsidR="000873C8" w:rsidRPr="004C0B11">
        <w:t xml:space="preserve">No lietas materiāliem konstatējams, ka </w:t>
      </w:r>
      <w:r w:rsidRPr="004C0B11">
        <w:t>apsūdzētais apelācijas sūdzībā</w:t>
      </w:r>
      <w:proofErr w:type="gramStart"/>
      <w:r w:rsidR="00A27048" w:rsidRPr="004C0B11">
        <w:t xml:space="preserve"> izteicis lūgumus</w:t>
      </w:r>
      <w:proofErr w:type="gramEnd"/>
      <w:r w:rsidR="00A27048" w:rsidRPr="004C0B11">
        <w:t>, arī par informācijas tehnoloģiju ekspertīzes noteikšanu un ekspertīzes metožu pieprasīšanu no Valsts tiesu ekspertīžu biroja.</w:t>
      </w:r>
      <w:r w:rsidR="00165E77" w:rsidRPr="004C0B11">
        <w:t xml:space="preserve"> Apsūdzēt</w:t>
      </w:r>
      <w:r w:rsidR="008A078D" w:rsidRPr="004C0B11">
        <w:t>ais uzskata, ka</w:t>
      </w:r>
      <w:r w:rsidR="00165E77" w:rsidRPr="004C0B11">
        <w:t xml:space="preserve"> bez informācijas tehnoloģiju ekspertīzes nav iespējams nonākt pie taisnīga krimināltiesisko attiecību noregulējuma,</w:t>
      </w:r>
      <w:r w:rsidR="008A078D" w:rsidRPr="004C0B11">
        <w:t xml:space="preserve"> un</w:t>
      </w:r>
      <w:r w:rsidR="00165E77" w:rsidRPr="004C0B11">
        <w:t xml:space="preserve"> norāda, ka nav veicis viņam inkriminētos noziedzīgos nodarījumus.</w:t>
      </w:r>
    </w:p>
    <w:p w14:paraId="2E6AC8B1" w14:textId="50817AA3" w:rsidR="00A27048" w:rsidRPr="004C0B11" w:rsidRDefault="00A27048" w:rsidP="0050793F">
      <w:pPr>
        <w:widowControl w:val="0"/>
        <w:tabs>
          <w:tab w:val="left" w:pos="709"/>
        </w:tabs>
        <w:spacing w:line="276" w:lineRule="auto"/>
        <w:ind w:firstLine="680"/>
        <w:jc w:val="both"/>
      </w:pPr>
      <w:r w:rsidRPr="004C0B11">
        <w:t>2021.</w:t>
      </w:r>
      <w:r w:rsidR="00D70D76" w:rsidRPr="004C0B11">
        <w:t> </w:t>
      </w:r>
      <w:r w:rsidRPr="004C0B11">
        <w:t xml:space="preserve">gada </w:t>
      </w:r>
      <w:r w:rsidR="00757832">
        <w:t>[..]</w:t>
      </w:r>
      <w:r w:rsidRPr="004C0B11">
        <w:t xml:space="preserve"> lēmumā par lietas pieņemšanu iztiesāšanai apelācijas kārtībā tiesnese atzinusi, ka pieteiktie lūgumi ir izlemjami tiesas sēdē.</w:t>
      </w:r>
      <w:r w:rsidR="0050793F" w:rsidRPr="004C0B11">
        <w:t xml:space="preserve"> </w:t>
      </w:r>
      <w:r w:rsidRPr="004C0B11">
        <w:t>No apelācijas instances tiesas 2022.</w:t>
      </w:r>
      <w:r w:rsidR="004D5E5F" w:rsidRPr="004C0B11">
        <w:t> </w:t>
      </w:r>
      <w:r w:rsidRPr="004C0B11">
        <w:t xml:space="preserve">gada </w:t>
      </w:r>
      <w:r w:rsidR="00757832">
        <w:t>[..]</w:t>
      </w:r>
      <w:r w:rsidRPr="004C0B11">
        <w:t xml:space="preserve"> tiesas sēdes protokola un audioieraksta konstatējams, ka apsūdzētais uztur</w:t>
      </w:r>
      <w:r w:rsidR="004D5E5F" w:rsidRPr="004C0B11">
        <w:t>ējis</w:t>
      </w:r>
      <w:r w:rsidRPr="004C0B11">
        <w:t xml:space="preserve"> savu apelācijas sūdzību pilnā apjomā.</w:t>
      </w:r>
    </w:p>
    <w:p w14:paraId="1AE87FD8" w14:textId="41F34165" w:rsidR="000873C8" w:rsidRPr="004C0B11" w:rsidRDefault="000873C8" w:rsidP="000873C8">
      <w:pPr>
        <w:spacing w:line="276" w:lineRule="auto"/>
        <w:ind w:firstLine="709"/>
        <w:jc w:val="both"/>
      </w:pPr>
      <w:r w:rsidRPr="004C0B11">
        <w:t xml:space="preserve">Senāts </w:t>
      </w:r>
      <w:r w:rsidR="0050793F" w:rsidRPr="004C0B11">
        <w:t>konstatē</w:t>
      </w:r>
      <w:r w:rsidR="00530077" w:rsidRPr="004C0B11">
        <w:t xml:space="preserve">, </w:t>
      </w:r>
      <w:r w:rsidRPr="004C0B11">
        <w:t xml:space="preserve">ka </w:t>
      </w:r>
      <w:r w:rsidR="00530077" w:rsidRPr="004C0B11">
        <w:t>apelācija</w:t>
      </w:r>
      <w:r w:rsidRPr="004C0B11">
        <w:t xml:space="preserve"> instances tiesa, pabeidzot lietas iztiesāšanu, nav izlēmusi jautājumu par</w:t>
      </w:r>
      <w:r w:rsidR="00530077" w:rsidRPr="004C0B11">
        <w:t xml:space="preserve"> informācijas tehnoloģiju ekspertīzes noteikšanu un ekspertīzes metožu pieprasīšanu no Valsts tiesu ekspertīžu biroja.</w:t>
      </w:r>
    </w:p>
    <w:p w14:paraId="4ECB4AA8" w14:textId="17083D45" w:rsidR="00177E95" w:rsidRPr="004C0B11" w:rsidRDefault="00B61AB0" w:rsidP="00140D05">
      <w:pPr>
        <w:spacing w:line="276" w:lineRule="auto"/>
        <w:ind w:firstLine="709"/>
        <w:jc w:val="both"/>
        <w:rPr>
          <w:rFonts w:asciiTheme="majorBidi" w:hAnsiTheme="majorBidi" w:cstheme="majorBidi"/>
        </w:rPr>
      </w:pPr>
      <w:r w:rsidRPr="004C0B11">
        <w:t>Kriminālprocesa likuma 48.</w:t>
      </w:r>
      <w:r w:rsidR="00446EA6">
        <w:t> </w:t>
      </w:r>
      <w:r w:rsidRPr="004C0B11">
        <w:t xml:space="preserve">panta pirmā daļa noteic, </w:t>
      </w:r>
      <w:r w:rsidR="00177E95" w:rsidRPr="004C0B11">
        <w:t>ka,</w:t>
      </w:r>
      <w:r w:rsidRPr="004C0B11">
        <w:t xml:space="preserve"> izskatot krimināllietu, tiesai ir procesa virzītāja pilnvaras kriminālprocesa vadīšanā un procesuālās kārtības nodrošināšanā, kā arī ekskluzīvas tiesības spriest tiesu.</w:t>
      </w:r>
      <w:r w:rsidRPr="004C0B11">
        <w:rPr>
          <w:rFonts w:ascii="Arial" w:hAnsi="Arial" w:cs="Arial"/>
          <w:color w:val="414142"/>
          <w:sz w:val="20"/>
          <w:szCs w:val="20"/>
        </w:rPr>
        <w:t xml:space="preserve"> </w:t>
      </w:r>
      <w:r w:rsidRPr="004C0B11">
        <w:t>Saskaņā ar minētā panta otrās daļas 4.</w:t>
      </w:r>
      <w:r w:rsidR="00D70D76" w:rsidRPr="004C0B11">
        <w:t> </w:t>
      </w:r>
      <w:r w:rsidRPr="004C0B11">
        <w:t xml:space="preserve">punktu </w:t>
      </w:r>
      <w:r w:rsidRPr="004C0B11">
        <w:rPr>
          <w:rFonts w:asciiTheme="majorBidi" w:hAnsiTheme="majorBidi" w:cstheme="majorBidi"/>
        </w:rPr>
        <w:t>savu funkciju izpildei tiesa izlemj saņemtos pieteikumus, lūgumus un noraidījumus.</w:t>
      </w:r>
    </w:p>
    <w:p w14:paraId="2677D51D" w14:textId="0DA7F436" w:rsidR="00B61AB0" w:rsidRPr="004C0B11" w:rsidRDefault="00B61AB0" w:rsidP="00177E95">
      <w:pPr>
        <w:spacing w:line="276" w:lineRule="auto"/>
        <w:ind w:firstLine="709"/>
        <w:jc w:val="both"/>
      </w:pPr>
      <w:r w:rsidRPr="004C0B11">
        <w:t>Savukārt no Kriminālprocesa likuma 473.</w:t>
      </w:r>
      <w:r w:rsidR="00177E95" w:rsidRPr="004C0B11">
        <w:t> </w:t>
      </w:r>
      <w:r w:rsidRPr="004C0B11">
        <w:t>panta otrās daļas 4.</w:t>
      </w:r>
      <w:r w:rsidR="00446EA6">
        <w:t> </w:t>
      </w:r>
      <w:r w:rsidRPr="004C0B11">
        <w:t>punkta un 496.</w:t>
      </w:r>
      <w:r w:rsidR="00177E95" w:rsidRPr="004C0B11">
        <w:t> </w:t>
      </w:r>
      <w:r w:rsidRPr="004C0B11">
        <w:t>panta otrās daļas izriet, ka tiesas spriešanā ietilpst arī lūgumu izlemšana par ekspertīzes noteikšanu.</w:t>
      </w:r>
    </w:p>
    <w:p w14:paraId="0FC8AA76" w14:textId="5F1157AC" w:rsidR="00B61AB0" w:rsidRPr="004C0B11" w:rsidRDefault="00530077" w:rsidP="0046750E">
      <w:pPr>
        <w:spacing w:line="276" w:lineRule="auto"/>
        <w:ind w:firstLine="709"/>
        <w:jc w:val="both"/>
      </w:pPr>
      <w:bookmarkStart w:id="2" w:name="_Hlk123815084"/>
      <w:r w:rsidRPr="004C0B11">
        <w:t>Senāts neapšauba jau iepriekš izteiktu atziņu</w:t>
      </w:r>
      <w:bookmarkEnd w:id="2"/>
      <w:r w:rsidRPr="004C0B11">
        <w:t>, ka apsūdzēto vai viņu aizstāvju pieteikto lūgumu motivēta noraidīšana lietas iztiesāšanas laikā nav vērtējama kā apsūdzētā tiesību ierobežošana, jo atbilstoši Kriminālprocesa likuma 496.</w:t>
      </w:r>
      <w:r w:rsidR="00177E95" w:rsidRPr="004C0B11">
        <w:t> </w:t>
      </w:r>
      <w:r w:rsidRPr="004C0B11">
        <w:t xml:space="preserve">panta otrās daļas nosacījumiem tiesai procesa dalībnieku pieteiktie lūgumi ir jāizvērtē un jāizlemj, bet tai nav obligāts pienākums šos lūgumus apmierināt </w:t>
      </w:r>
      <w:proofErr w:type="gramStart"/>
      <w:r w:rsidRPr="004C0B11">
        <w:t>(</w:t>
      </w:r>
      <w:proofErr w:type="gramEnd"/>
      <w:r w:rsidR="00C15A59" w:rsidRPr="004C0B11">
        <w:rPr>
          <w:i/>
          <w:iCs/>
        </w:rPr>
        <w:t>Senāta</w:t>
      </w:r>
      <w:r w:rsidR="00C15A59" w:rsidRPr="004C0B11">
        <w:rPr>
          <w:i/>
        </w:rPr>
        <w:t xml:space="preserve"> </w:t>
      </w:r>
      <w:r w:rsidRPr="004C0B11">
        <w:rPr>
          <w:i/>
        </w:rPr>
        <w:t>2011.</w:t>
      </w:r>
      <w:r w:rsidR="00D70D76" w:rsidRPr="004C0B11">
        <w:rPr>
          <w:i/>
        </w:rPr>
        <w:t> </w:t>
      </w:r>
      <w:r w:rsidRPr="004C0B11">
        <w:rPr>
          <w:i/>
        </w:rPr>
        <w:t>gada 28.</w:t>
      </w:r>
      <w:r w:rsidR="00177E95" w:rsidRPr="004C0B11">
        <w:rPr>
          <w:i/>
        </w:rPr>
        <w:t> </w:t>
      </w:r>
      <w:r w:rsidRPr="004C0B11">
        <w:rPr>
          <w:i/>
        </w:rPr>
        <w:t>marta lēmums lietā Nr. </w:t>
      </w:r>
      <w:hyperlink r:id="rId8" w:history="1">
        <w:r w:rsidRPr="004C0B11">
          <w:rPr>
            <w:rStyle w:val="Hyperlink"/>
            <w:i/>
          </w:rPr>
          <w:t>SKK-163/2011</w:t>
        </w:r>
      </w:hyperlink>
      <w:r w:rsidR="00DA7070" w:rsidRPr="004C0B11">
        <w:rPr>
          <w:i/>
        </w:rPr>
        <w:t xml:space="preserve">, </w:t>
      </w:r>
      <w:r w:rsidRPr="004C0B11">
        <w:rPr>
          <w:i/>
        </w:rPr>
        <w:t>11810021908</w:t>
      </w:r>
      <w:r w:rsidRPr="004C0B11">
        <w:t xml:space="preserve">). Vienlaikus Senāts ir uzsvēris, ka tiesai, </w:t>
      </w:r>
      <w:r w:rsidR="00B61AB0" w:rsidRPr="004C0B11">
        <w:t>noraidot procesā iesaistītās personas lūgumu par liecinieku aicināšanu vai kādu pierādījumu pievienošanu lietas materiāliem, ir jānodrošina, lai tiktu ievērotas lūguma pieteicēja tiesības uz taisnīgu tiesu (</w:t>
      </w:r>
      <w:r w:rsidR="00C15A59" w:rsidRPr="004C0B11">
        <w:rPr>
          <w:i/>
          <w:iCs/>
        </w:rPr>
        <w:t>Senāta</w:t>
      </w:r>
      <w:r w:rsidR="00C34FD9">
        <w:rPr>
          <w:i/>
        </w:rPr>
        <w:t xml:space="preserve"> </w:t>
      </w:r>
      <w:r w:rsidR="00B61AB0" w:rsidRPr="004C0B11">
        <w:rPr>
          <w:i/>
        </w:rPr>
        <w:t>2020.</w:t>
      </w:r>
      <w:r w:rsidR="00177E95" w:rsidRPr="004C0B11">
        <w:rPr>
          <w:i/>
        </w:rPr>
        <w:t> </w:t>
      </w:r>
      <w:r w:rsidR="00B61AB0" w:rsidRPr="004C0B11">
        <w:rPr>
          <w:i/>
        </w:rPr>
        <w:t>gada 6.</w:t>
      </w:r>
      <w:r w:rsidR="00177E95" w:rsidRPr="004C0B11">
        <w:rPr>
          <w:i/>
        </w:rPr>
        <w:t> </w:t>
      </w:r>
      <w:r w:rsidR="00B61AB0" w:rsidRPr="004C0B11">
        <w:rPr>
          <w:i/>
        </w:rPr>
        <w:t>oktobra lēmum</w:t>
      </w:r>
      <w:r w:rsidR="00A6395F" w:rsidRPr="004C0B11">
        <w:rPr>
          <w:i/>
        </w:rPr>
        <w:t>a</w:t>
      </w:r>
      <w:r w:rsidR="00B61AB0" w:rsidRPr="004C0B11">
        <w:rPr>
          <w:i/>
        </w:rPr>
        <w:t xml:space="preserve"> lietā Nr. SKK-77/2020</w:t>
      </w:r>
      <w:r w:rsidR="00A6395F" w:rsidRPr="004C0B11">
        <w:rPr>
          <w:i/>
        </w:rPr>
        <w:t xml:space="preserve">, </w:t>
      </w:r>
      <w:hyperlink r:id="rId9" w:history="1">
        <w:r w:rsidR="00B61AB0" w:rsidRPr="004C0B11">
          <w:rPr>
            <w:rStyle w:val="Hyperlink"/>
            <w:bCs/>
            <w:i/>
            <w:iCs/>
            <w:shd w:val="clear" w:color="auto" w:fill="FFFFFF"/>
          </w:rPr>
          <w:t>ECLI:LV:AT:2020:1006.11181005715.6.L</w:t>
        </w:r>
      </w:hyperlink>
      <w:r w:rsidR="00A6395F" w:rsidRPr="004C0B11">
        <w:rPr>
          <w:i/>
          <w:iCs/>
        </w:rPr>
        <w:t>, 6. 4 punkts</w:t>
      </w:r>
      <w:r w:rsidR="00D11539" w:rsidRPr="004C0B11">
        <w:t>)</w:t>
      </w:r>
      <w:r w:rsidR="00B61AB0" w:rsidRPr="004C0B11">
        <w:t>.</w:t>
      </w:r>
    </w:p>
    <w:p w14:paraId="71E93A87" w14:textId="33E2EDD7" w:rsidR="00F52CE0" w:rsidRPr="004C0B11" w:rsidRDefault="00446EA6" w:rsidP="00D256EF">
      <w:pPr>
        <w:spacing w:line="276" w:lineRule="auto"/>
        <w:ind w:firstLine="709"/>
        <w:jc w:val="both"/>
      </w:pPr>
      <w:r w:rsidRPr="004C0B11">
        <w:rPr>
          <w:color w:val="000000"/>
        </w:rPr>
        <w:t xml:space="preserve">Senāts norāda, ka </w:t>
      </w:r>
      <w:r>
        <w:rPr>
          <w:color w:val="000000"/>
        </w:rPr>
        <w:t>t</w:t>
      </w:r>
      <w:r w:rsidR="003E4C11" w:rsidRPr="004C0B11">
        <w:rPr>
          <w:color w:val="000000"/>
        </w:rPr>
        <w:t xml:space="preserve">iesības uz taisnīgu tiesu nevar būt iluzoras, tām jābūt saprātīgi īstenojamām praksē. </w:t>
      </w:r>
      <w:r>
        <w:rPr>
          <w:color w:val="000000"/>
        </w:rPr>
        <w:t>N</w:t>
      </w:r>
      <w:r w:rsidR="00530077" w:rsidRPr="004C0B11">
        <w:rPr>
          <w:color w:val="000000"/>
        </w:rPr>
        <w:t xml:space="preserve">o nolēmuma pieņēmēja, kurš izvērtē </w:t>
      </w:r>
      <w:r w:rsidR="007510CE" w:rsidRPr="004C0B11">
        <w:rPr>
          <w:color w:val="000000"/>
        </w:rPr>
        <w:t xml:space="preserve">apsūdzētā </w:t>
      </w:r>
      <w:r w:rsidR="00530077" w:rsidRPr="004C0B11">
        <w:rPr>
          <w:color w:val="000000"/>
        </w:rPr>
        <w:t>sniegtos argumentus</w:t>
      </w:r>
      <w:r w:rsidR="007510CE" w:rsidRPr="004C0B11">
        <w:rPr>
          <w:color w:val="000000"/>
        </w:rPr>
        <w:t xml:space="preserve">, arī tos, kas norādīti </w:t>
      </w:r>
      <w:r w:rsidR="00F52CE0" w:rsidRPr="004C0B11">
        <w:rPr>
          <w:color w:val="000000"/>
        </w:rPr>
        <w:t xml:space="preserve">apelācijas </w:t>
      </w:r>
      <w:r w:rsidR="007510CE" w:rsidRPr="004C0B11">
        <w:rPr>
          <w:color w:val="000000"/>
        </w:rPr>
        <w:t>sūdzībā, izsakot lūgumu</w:t>
      </w:r>
      <w:r w:rsidR="00F52CE0" w:rsidRPr="004C0B11">
        <w:rPr>
          <w:color w:val="000000"/>
        </w:rPr>
        <w:t>s</w:t>
      </w:r>
      <w:r w:rsidR="007510CE" w:rsidRPr="004C0B11">
        <w:rPr>
          <w:color w:val="000000"/>
        </w:rPr>
        <w:t xml:space="preserve"> tiesai</w:t>
      </w:r>
      <w:r w:rsidR="00F52CE0" w:rsidRPr="004C0B11">
        <w:rPr>
          <w:color w:val="000000"/>
        </w:rPr>
        <w:t>,</w:t>
      </w:r>
      <w:r w:rsidR="00530077" w:rsidRPr="004C0B11">
        <w:rPr>
          <w:color w:val="000000"/>
        </w:rPr>
        <w:t xml:space="preserve"> ir sagaidāma rūpīga un godprātīga rīcība</w:t>
      </w:r>
      <w:r w:rsidR="00F52CE0" w:rsidRPr="004C0B11">
        <w:rPr>
          <w:color w:val="000000"/>
        </w:rPr>
        <w:t>. Tiesai ir pienākums</w:t>
      </w:r>
      <w:r w:rsidR="00D256EF" w:rsidRPr="004C0B11">
        <w:rPr>
          <w:color w:val="000000"/>
        </w:rPr>
        <w:t xml:space="preserve"> pienācīgi</w:t>
      </w:r>
      <w:r w:rsidR="00F52CE0" w:rsidRPr="004C0B11">
        <w:rPr>
          <w:color w:val="000000"/>
        </w:rPr>
        <w:t xml:space="preserve"> </w:t>
      </w:r>
      <w:r w:rsidR="00F52CE0" w:rsidRPr="004C0B11">
        <w:t xml:space="preserve">izvērtēt izteiktā lūguma pamatotību, </w:t>
      </w:r>
      <w:r w:rsidR="00D256EF" w:rsidRPr="004C0B11">
        <w:t xml:space="preserve">arī, vai tas ir attiecināms uz izskatāmo kriminālprocesu, vai tas veicina krimināltiesisko attiecību taisnīgu noregulējumu, personas tiesību un likumisko interešu nodrošināšanu, </w:t>
      </w:r>
      <w:r w:rsidR="00F52CE0" w:rsidRPr="004C0B11">
        <w:t>vai lūguma noraidīšana nepārkāps Kriminālprocesa likuma 15.</w:t>
      </w:r>
      <w:r w:rsidR="00177E95" w:rsidRPr="004C0B11">
        <w:t> </w:t>
      </w:r>
      <w:r w:rsidR="00F52CE0" w:rsidRPr="004C0B11">
        <w:t>pantā noteiktās apsūdzētā tiesības uz lietas izskatīšanu taisnīgā, objektīvā un neatkarīgā tiesā.</w:t>
      </w:r>
    </w:p>
    <w:p w14:paraId="05E9014D" w14:textId="4B40E9CF" w:rsidR="00530077" w:rsidRPr="003E4C11" w:rsidRDefault="00D256EF" w:rsidP="00177E95">
      <w:pPr>
        <w:spacing w:line="276" w:lineRule="auto"/>
        <w:ind w:firstLine="709"/>
        <w:jc w:val="both"/>
      </w:pPr>
      <w:r w:rsidRPr="004C0B11">
        <w:t>Senāts atzīst, ka apelācijas instances tiesa šādu izvērtējumu nav veikusi</w:t>
      </w:r>
      <w:r w:rsidR="003E4C11" w:rsidRPr="004C0B11">
        <w:t>, tādējādi pārkāpjot Kriminālprocesa likuma 15.</w:t>
      </w:r>
      <w:r w:rsidR="00177E95" w:rsidRPr="004C0B11">
        <w:t> </w:t>
      </w:r>
      <w:r w:rsidR="003E4C11" w:rsidRPr="004C0B11">
        <w:t>pantu.</w:t>
      </w:r>
    </w:p>
    <w:p w14:paraId="15866F24" w14:textId="133382C0" w:rsidR="008C6CB9" w:rsidRPr="003E4C11" w:rsidRDefault="008C6CB9" w:rsidP="00BB1ED6">
      <w:pPr>
        <w:spacing w:line="276" w:lineRule="auto"/>
        <w:ind w:firstLine="709"/>
        <w:jc w:val="both"/>
      </w:pPr>
    </w:p>
    <w:p w14:paraId="28006AAA" w14:textId="631BB227" w:rsidR="008C6CB9" w:rsidRDefault="008C6CB9" w:rsidP="008C6CB9">
      <w:pPr>
        <w:spacing w:line="276" w:lineRule="auto"/>
        <w:ind w:firstLine="709"/>
        <w:jc w:val="both"/>
        <w:rPr>
          <w:szCs w:val="22"/>
          <w:lang w:eastAsia="en-US"/>
        </w:rPr>
      </w:pPr>
      <w:r w:rsidRPr="003E4C11">
        <w:t>[</w:t>
      </w:r>
      <w:r w:rsidR="00E714A2">
        <w:t>7</w:t>
      </w:r>
      <w:r w:rsidRPr="003E4C11">
        <w:t>] Kriminālprocesa likuma 584.</w:t>
      </w:r>
      <w:r w:rsidR="00177E95">
        <w:t> </w:t>
      </w:r>
      <w:r w:rsidRPr="003E4C11">
        <w:t xml:space="preserve">panta otrā daļa noteic, ka kasācijas instances tiesa drīkst pārsniegt kasācijas sūdzībā vai </w:t>
      </w:r>
      <w:r>
        <w:t>protestā izteikto prasību apjomu un ietvarus gadījumos, kad tā konstatē šā likuma 574. un 575.</w:t>
      </w:r>
      <w:r w:rsidR="00177E95">
        <w:t> </w:t>
      </w:r>
      <w:r>
        <w:t>pantā norādītos pārkāpumus un tie nav norādīti sūdzībā vai protestā.</w:t>
      </w:r>
    </w:p>
    <w:p w14:paraId="4FCF23EB" w14:textId="5B0D9D4B" w:rsidR="00BB1ED6" w:rsidRDefault="008C6CB9" w:rsidP="008C6CB9">
      <w:pPr>
        <w:spacing w:line="276" w:lineRule="auto"/>
        <w:ind w:firstLine="709"/>
        <w:jc w:val="both"/>
      </w:pPr>
      <w:r>
        <w:t xml:space="preserve">Senāts atzīst par nepieciešamu pārsniegt apsūdzētā </w:t>
      </w:r>
      <w:r w:rsidR="00945488">
        <w:t>[pers. A]</w:t>
      </w:r>
      <w:r>
        <w:t xml:space="preserve"> kasācijas sūdzības </w:t>
      </w:r>
      <w:r w:rsidR="005E1798" w:rsidRPr="00140D05">
        <w:t xml:space="preserve">apjomu, </w:t>
      </w:r>
      <w:proofErr w:type="gramStart"/>
      <w:r w:rsidRPr="00140D05">
        <w:t xml:space="preserve">jo </w:t>
      </w:r>
      <w:r>
        <w:t>konstatē apelācijas instances</w:t>
      </w:r>
      <w:proofErr w:type="gramEnd"/>
      <w:r>
        <w:t xml:space="preserve"> tiesas pieļautu Krimināllikuma pārkāpumu</w:t>
      </w:r>
      <w:r w:rsidR="00BB1ED6">
        <w:t>, kas nav norādīts kasācijas sūdzībā.</w:t>
      </w:r>
    </w:p>
    <w:p w14:paraId="56C6D171" w14:textId="56042D34" w:rsidR="00365082" w:rsidRDefault="00D41CDA" w:rsidP="00365082">
      <w:pPr>
        <w:spacing w:line="276" w:lineRule="auto"/>
        <w:ind w:firstLine="709"/>
        <w:jc w:val="both"/>
        <w:rPr>
          <w:rFonts w:asciiTheme="majorBidi" w:hAnsiTheme="majorBidi" w:cstheme="majorBidi"/>
          <w:shd w:val="clear" w:color="auto" w:fill="FFFFFF"/>
        </w:rPr>
      </w:pPr>
      <w:bookmarkStart w:id="3" w:name="_Hlk122355997"/>
      <w:r w:rsidRPr="000E40ED">
        <w:rPr>
          <w:rFonts w:asciiTheme="majorBidi" w:hAnsiTheme="majorBidi" w:cstheme="majorBidi"/>
        </w:rPr>
        <w:t>K</w:t>
      </w:r>
      <w:r w:rsidRPr="000E40ED">
        <w:t>rimināllikuma 1</w:t>
      </w:r>
      <w:r w:rsidR="00BB1ED6">
        <w:t>66</w:t>
      </w:r>
      <w:r w:rsidRPr="000E40ED">
        <w:t>.</w:t>
      </w:r>
      <w:r w:rsidR="00177E95">
        <w:t> </w:t>
      </w:r>
      <w:r w:rsidRPr="000E40ED">
        <w:t>panta otrās daļas sankcijā</w:t>
      </w:r>
      <w:r w:rsidR="00365082">
        <w:t xml:space="preserve"> </w:t>
      </w:r>
      <w:r w:rsidR="00177E95" w:rsidRPr="000E40ED">
        <w:t xml:space="preserve">likuma </w:t>
      </w:r>
      <w:r w:rsidR="00177E95" w:rsidRPr="00152978">
        <w:rPr>
          <w:rFonts w:asciiTheme="majorBidi" w:hAnsiTheme="majorBidi" w:cstheme="majorBidi"/>
        </w:rPr>
        <w:t>20</w:t>
      </w:r>
      <w:r w:rsidR="00177E95">
        <w:rPr>
          <w:rFonts w:asciiTheme="majorBidi" w:hAnsiTheme="majorBidi" w:cstheme="majorBidi"/>
        </w:rPr>
        <w:t>15.</w:t>
      </w:r>
      <w:r w:rsidR="00D70D76">
        <w:rPr>
          <w:rFonts w:asciiTheme="majorBidi" w:hAnsiTheme="majorBidi" w:cstheme="majorBidi"/>
        </w:rPr>
        <w:t> </w:t>
      </w:r>
      <w:r w:rsidR="00177E95" w:rsidRPr="00152978">
        <w:rPr>
          <w:rFonts w:asciiTheme="majorBidi" w:hAnsiTheme="majorBidi" w:cstheme="majorBidi"/>
        </w:rPr>
        <w:t xml:space="preserve">gada </w:t>
      </w:r>
      <w:r w:rsidR="00177E95">
        <w:rPr>
          <w:rFonts w:asciiTheme="majorBidi" w:hAnsiTheme="majorBidi" w:cstheme="majorBidi"/>
        </w:rPr>
        <w:t>29</w:t>
      </w:r>
      <w:r w:rsidR="00177E95" w:rsidRPr="00152978">
        <w:rPr>
          <w:rFonts w:asciiTheme="majorBidi" w:hAnsiTheme="majorBidi" w:cstheme="majorBidi"/>
        </w:rPr>
        <w:t>.</w:t>
      </w:r>
      <w:r w:rsidR="00177E95">
        <w:rPr>
          <w:rFonts w:asciiTheme="majorBidi" w:hAnsiTheme="majorBidi" w:cstheme="majorBidi"/>
        </w:rPr>
        <w:t> oktob</w:t>
      </w:r>
      <w:r w:rsidR="00177E95" w:rsidRPr="00152978">
        <w:rPr>
          <w:rFonts w:asciiTheme="majorBidi" w:hAnsiTheme="majorBidi" w:cstheme="majorBidi"/>
        </w:rPr>
        <w:t>ra</w:t>
      </w:r>
      <w:r w:rsidRPr="000E40ED">
        <w:t xml:space="preserve"> redakcijā bija noteikts, ka par šajā panta daļā paredzēto noziedzīgo nodarījumu soda </w:t>
      </w:r>
      <w:r w:rsidRPr="00365082">
        <w:rPr>
          <w:rFonts w:asciiTheme="majorBidi" w:hAnsiTheme="majorBidi" w:cstheme="majorBidi"/>
        </w:rPr>
        <w:t xml:space="preserve">ar </w:t>
      </w:r>
      <w:r w:rsidR="00365082" w:rsidRPr="00365082">
        <w:rPr>
          <w:rFonts w:asciiTheme="majorBidi" w:hAnsiTheme="majorBidi" w:cstheme="majorBidi"/>
          <w:shd w:val="clear" w:color="auto" w:fill="FFFFFF"/>
        </w:rPr>
        <w:t>brīvības atņemšanu uz laiku līdz trim gadiem vai ar īslaicīgu brīvības atņemšanu, vai ar piespiedu darbu, vai ar naudas sodu, konfiscējot mantu vai bez mantas konfiskācijas, un ar probācijas uzraudzību uz laiku līdz trim gadiem</w:t>
      </w:r>
      <w:r w:rsidR="00365082">
        <w:rPr>
          <w:rFonts w:asciiTheme="majorBidi" w:hAnsiTheme="majorBidi" w:cstheme="majorBidi"/>
          <w:shd w:val="clear" w:color="auto" w:fill="FFFFFF"/>
        </w:rPr>
        <w:t>.</w:t>
      </w:r>
    </w:p>
    <w:bookmarkEnd w:id="3"/>
    <w:p w14:paraId="7B645632" w14:textId="1731A4E3" w:rsidR="00D41CDA" w:rsidRPr="000E40ED" w:rsidRDefault="00D41CDA" w:rsidP="00D41CDA">
      <w:pPr>
        <w:spacing w:line="276" w:lineRule="auto"/>
        <w:ind w:firstLine="709"/>
        <w:jc w:val="both"/>
        <w:rPr>
          <w:rFonts w:asciiTheme="majorBidi" w:hAnsiTheme="majorBidi" w:cstheme="majorBidi"/>
        </w:rPr>
      </w:pPr>
      <w:r w:rsidRPr="000E40ED">
        <w:rPr>
          <w:rFonts w:asciiTheme="majorBidi" w:hAnsiTheme="majorBidi" w:cstheme="majorBidi"/>
        </w:rPr>
        <w:t>Savukārt papildsods – probācijas uzraudzība – tika reglamentēts Krimināllikuma 45.</w:t>
      </w:r>
      <w:r w:rsidRPr="000E40ED">
        <w:rPr>
          <w:rFonts w:asciiTheme="majorBidi" w:hAnsiTheme="majorBidi" w:cstheme="majorBidi"/>
          <w:vertAlign w:val="superscript"/>
        </w:rPr>
        <w:t>1</w:t>
      </w:r>
      <w:r w:rsidR="00177E95">
        <w:rPr>
          <w:rFonts w:asciiTheme="majorBidi" w:hAnsiTheme="majorBidi" w:cstheme="majorBidi"/>
          <w:vertAlign w:val="superscript"/>
        </w:rPr>
        <w:t> </w:t>
      </w:r>
      <w:r w:rsidRPr="000E40ED">
        <w:rPr>
          <w:rFonts w:asciiTheme="majorBidi" w:hAnsiTheme="majorBidi" w:cstheme="majorBidi"/>
        </w:rPr>
        <w:t>pantā. Šā panta pirmajā daļā bija noteikts, ka probācijas uzraudzība ir papildsods, ko piespriež tiesa</w:t>
      </w:r>
      <w:proofErr w:type="gramStart"/>
      <w:r w:rsidRPr="000E40ED">
        <w:rPr>
          <w:rFonts w:asciiTheme="majorBidi" w:hAnsiTheme="majorBidi" w:cstheme="majorBidi"/>
        </w:rPr>
        <w:t xml:space="preserve"> vai priekšrakstā par sodu nosaka prokurors kā piespiedu līdzekli, lai nodrošinātu notiesātās personas vai personas, kurai papildsods noteikts ar prokurora priekšrakstu par sodu</w:t>
      </w:r>
      <w:proofErr w:type="gramEnd"/>
      <w:r w:rsidRPr="000E40ED">
        <w:rPr>
          <w:rFonts w:asciiTheme="majorBidi" w:hAnsiTheme="majorBidi" w:cstheme="majorBidi"/>
        </w:rPr>
        <w:t>, uzvedības uzraudzību, sekmētu šīs personas resocializāciju un jaunu noziedzīgu nodarījumu izdarīšanas novēršanu.</w:t>
      </w:r>
    </w:p>
    <w:p w14:paraId="534BC009" w14:textId="77777777" w:rsidR="00D41CDA" w:rsidRPr="00152978" w:rsidRDefault="00D41CDA" w:rsidP="00D41CDA">
      <w:pPr>
        <w:spacing w:line="276" w:lineRule="auto"/>
        <w:ind w:firstLine="709"/>
        <w:jc w:val="both"/>
        <w:rPr>
          <w:rFonts w:asciiTheme="majorBidi" w:hAnsiTheme="majorBidi" w:cstheme="majorBidi"/>
        </w:rPr>
      </w:pPr>
      <w:r w:rsidRPr="00152978">
        <w:rPr>
          <w:rFonts w:asciiTheme="majorBidi" w:hAnsiTheme="majorBidi" w:cstheme="majorBidi"/>
        </w:rPr>
        <w:t xml:space="preserve">No minētā tiesiskā regulējuma izriet, ka papildsodu – probācijas uzraudzību – personai, kura izdarījusi noziedzīgu nodarījumu, Krimināllikuma </w:t>
      </w:r>
      <w:r>
        <w:rPr>
          <w:rFonts w:asciiTheme="majorBidi" w:hAnsiTheme="majorBidi" w:cstheme="majorBidi"/>
        </w:rPr>
        <w:t>S</w:t>
      </w:r>
      <w:r w:rsidRPr="00152978">
        <w:rPr>
          <w:rFonts w:asciiTheme="majorBidi" w:hAnsiTheme="majorBidi" w:cstheme="majorBidi"/>
        </w:rPr>
        <w:t>evišķajā daļā paredzētajos gadījumos varēja noteikt kopā ar jebkuru no likumā paredzētajiem pamatsodiem.</w:t>
      </w:r>
    </w:p>
    <w:p w14:paraId="1C130D7C" w14:textId="026D3428" w:rsidR="00D41CDA" w:rsidRPr="00152978" w:rsidRDefault="00D41CDA" w:rsidP="00D41CDA">
      <w:pPr>
        <w:spacing w:line="276" w:lineRule="auto"/>
        <w:ind w:firstLine="709"/>
        <w:jc w:val="both"/>
        <w:rPr>
          <w:rFonts w:asciiTheme="majorBidi" w:hAnsiTheme="majorBidi" w:cstheme="majorBidi"/>
        </w:rPr>
      </w:pPr>
      <w:r w:rsidRPr="00152978">
        <w:rPr>
          <w:rFonts w:asciiTheme="majorBidi" w:hAnsiTheme="majorBidi" w:cstheme="majorBidi"/>
        </w:rPr>
        <w:t>Ar 2020</w:t>
      </w:r>
      <w:r w:rsidR="00D70D76" w:rsidRPr="00440F6D">
        <w:rPr>
          <w:rFonts w:asciiTheme="majorBidi" w:hAnsiTheme="majorBidi" w:cstheme="majorBidi"/>
          <w:color w:val="000000" w:themeColor="text1"/>
        </w:rPr>
        <w:t>.</w:t>
      </w:r>
      <w:r w:rsidR="00D70D76">
        <w:t> </w:t>
      </w:r>
      <w:r w:rsidRPr="00152978">
        <w:rPr>
          <w:rFonts w:asciiTheme="majorBidi" w:hAnsiTheme="majorBidi" w:cstheme="majorBidi"/>
        </w:rPr>
        <w:t>gada 17.</w:t>
      </w:r>
      <w:r w:rsidR="00177E95">
        <w:rPr>
          <w:rFonts w:asciiTheme="majorBidi" w:hAnsiTheme="majorBidi" w:cstheme="majorBidi"/>
        </w:rPr>
        <w:t> </w:t>
      </w:r>
      <w:r w:rsidRPr="00152978">
        <w:rPr>
          <w:rFonts w:asciiTheme="majorBidi" w:hAnsiTheme="majorBidi" w:cstheme="majorBidi"/>
        </w:rPr>
        <w:t>decembra likumu „Grozījumi Krimināllikumā”, kas stājās spēkā 2022.</w:t>
      </w:r>
      <w:r w:rsidR="00177E95">
        <w:rPr>
          <w:rFonts w:asciiTheme="majorBidi" w:hAnsiTheme="majorBidi" w:cstheme="majorBidi"/>
        </w:rPr>
        <w:t> </w:t>
      </w:r>
      <w:r w:rsidRPr="00152978">
        <w:rPr>
          <w:rFonts w:asciiTheme="majorBidi" w:hAnsiTheme="majorBidi" w:cstheme="majorBidi"/>
        </w:rPr>
        <w:t>gada 1.</w:t>
      </w:r>
      <w:r w:rsidR="00177E95">
        <w:rPr>
          <w:rFonts w:asciiTheme="majorBidi" w:hAnsiTheme="majorBidi" w:cstheme="majorBidi"/>
        </w:rPr>
        <w:t> </w:t>
      </w:r>
      <w:r w:rsidRPr="00152978">
        <w:rPr>
          <w:rFonts w:asciiTheme="majorBidi" w:hAnsiTheme="majorBidi" w:cstheme="majorBidi"/>
        </w:rPr>
        <w:t>janvārī, 45.</w:t>
      </w:r>
      <w:r w:rsidRPr="00152978">
        <w:rPr>
          <w:rFonts w:asciiTheme="majorBidi" w:hAnsiTheme="majorBidi" w:cstheme="majorBidi"/>
          <w:vertAlign w:val="superscript"/>
        </w:rPr>
        <w:t>1</w:t>
      </w:r>
      <w:r w:rsidR="00177E95">
        <w:rPr>
          <w:rFonts w:asciiTheme="majorBidi" w:hAnsiTheme="majorBidi" w:cstheme="majorBidi"/>
          <w:vertAlign w:val="superscript"/>
        </w:rPr>
        <w:t> </w:t>
      </w:r>
      <w:r w:rsidRPr="00152978">
        <w:rPr>
          <w:rFonts w:asciiTheme="majorBidi" w:hAnsiTheme="majorBidi" w:cstheme="majorBidi"/>
        </w:rPr>
        <w:t>pants no Krimināllikuma tika izslēgts un likums tika papildināts ar 38.</w:t>
      </w:r>
      <w:r w:rsidRPr="00152978">
        <w:rPr>
          <w:rFonts w:asciiTheme="majorBidi" w:hAnsiTheme="majorBidi" w:cstheme="majorBidi"/>
          <w:vertAlign w:val="superscript"/>
        </w:rPr>
        <w:t>1</w:t>
      </w:r>
      <w:r w:rsidR="00177E95">
        <w:rPr>
          <w:rFonts w:asciiTheme="majorBidi" w:hAnsiTheme="majorBidi" w:cstheme="majorBidi"/>
          <w:vertAlign w:val="superscript"/>
        </w:rPr>
        <w:t> </w:t>
      </w:r>
      <w:r w:rsidRPr="00152978">
        <w:rPr>
          <w:rFonts w:asciiTheme="majorBidi" w:hAnsiTheme="majorBidi" w:cstheme="majorBidi"/>
        </w:rPr>
        <w:t xml:space="preserve">pantu „Probācijas uzraudzība”. Šā panta trešā daļa noteic, ka probācijas uzraudzību kā papildsodu var piemērot tikai kopā ar brīvības atņemšanu šā likuma </w:t>
      </w:r>
      <w:r>
        <w:rPr>
          <w:rFonts w:asciiTheme="majorBidi" w:hAnsiTheme="majorBidi" w:cstheme="majorBidi"/>
        </w:rPr>
        <w:t>S</w:t>
      </w:r>
      <w:r w:rsidRPr="00152978">
        <w:rPr>
          <w:rFonts w:asciiTheme="majorBidi" w:hAnsiTheme="majorBidi" w:cstheme="majorBidi"/>
        </w:rPr>
        <w:t>evišķajā daļā minētajos gadījumos.</w:t>
      </w:r>
    </w:p>
    <w:p w14:paraId="08B0D25B" w14:textId="29AEB46E" w:rsidR="00365082" w:rsidRPr="00365082" w:rsidRDefault="00D41CDA" w:rsidP="004D5E5F">
      <w:pPr>
        <w:spacing w:line="276" w:lineRule="auto"/>
        <w:ind w:firstLine="709"/>
        <w:jc w:val="both"/>
      </w:pPr>
      <w:r w:rsidRPr="00365082">
        <w:t xml:space="preserve">Savukārt Krimināllikuma </w:t>
      </w:r>
      <w:r w:rsidR="00365082" w:rsidRPr="00365082">
        <w:t>166.</w:t>
      </w:r>
      <w:r w:rsidR="004D5E5F">
        <w:t> </w:t>
      </w:r>
      <w:r w:rsidR="00365082" w:rsidRPr="00365082">
        <w:t xml:space="preserve">panta </w:t>
      </w:r>
      <w:r w:rsidRPr="00365082">
        <w:t xml:space="preserve">otrās daļas sankcijā tās aktuālajā redakcijā noteikts, ka par šajā panta daļā paredzēto noziedzīgo nodarījumu soda ar brīvības atņemšanu uz laiku līdz </w:t>
      </w:r>
      <w:r w:rsidR="00365082" w:rsidRPr="00365082">
        <w:rPr>
          <w:shd w:val="clear" w:color="auto" w:fill="FFFFFF"/>
        </w:rPr>
        <w:t>trim gadiem vai ar īslaicīgu brīvības atņemšanu, vai ar probācijas uzraudzību, vai ar sabiedrisko darbu, vai ar naudas sodu, konfiscējot mantu vai bez mantas konfiskācijas.</w:t>
      </w:r>
    </w:p>
    <w:p w14:paraId="6CE6B35F" w14:textId="60B17981" w:rsidR="00D41CDA" w:rsidRPr="001D5CBF" w:rsidRDefault="00D41CDA" w:rsidP="00A6395F">
      <w:pPr>
        <w:spacing w:line="276" w:lineRule="auto"/>
        <w:ind w:firstLine="709"/>
        <w:jc w:val="both"/>
        <w:rPr>
          <w:color w:val="000000" w:themeColor="text1"/>
        </w:rPr>
      </w:pPr>
      <w:r>
        <w:t>Kā atzīts Augstākās tiesas judikatūrā, p</w:t>
      </w:r>
      <w:r w:rsidRPr="00385070">
        <w:rPr>
          <w:color w:val="000000"/>
        </w:rPr>
        <w:t>ēc 2022.</w:t>
      </w:r>
      <w:r w:rsidR="004D5E5F">
        <w:rPr>
          <w:color w:val="000000"/>
        </w:rPr>
        <w:t> </w:t>
      </w:r>
      <w:r w:rsidRPr="00385070">
        <w:rPr>
          <w:color w:val="000000"/>
        </w:rPr>
        <w:t>gada 1.</w:t>
      </w:r>
      <w:r w:rsidR="004D5E5F">
        <w:rPr>
          <w:color w:val="000000"/>
        </w:rPr>
        <w:t> </w:t>
      </w:r>
      <w:r w:rsidRPr="00385070">
        <w:rPr>
          <w:color w:val="000000"/>
        </w:rPr>
        <w:t>janvāra par noziedzīgu nodarījumu, kas izdarīts</w:t>
      </w:r>
      <w:r w:rsidR="004F2CA6">
        <w:rPr>
          <w:color w:val="000000"/>
        </w:rPr>
        <w:t xml:space="preserve"> </w:t>
      </w:r>
      <w:r w:rsidRPr="00385070">
        <w:rPr>
          <w:color w:val="000000"/>
        </w:rPr>
        <w:t>līdz 2021.</w:t>
      </w:r>
      <w:r w:rsidR="00D70D76">
        <w:rPr>
          <w:color w:val="000000"/>
        </w:rPr>
        <w:t> </w:t>
      </w:r>
      <w:r w:rsidRPr="00385070">
        <w:rPr>
          <w:color w:val="000000"/>
        </w:rPr>
        <w:t>gada 31.</w:t>
      </w:r>
      <w:r w:rsidR="004D5E5F">
        <w:rPr>
          <w:color w:val="000000"/>
        </w:rPr>
        <w:t> </w:t>
      </w:r>
      <w:r w:rsidRPr="00385070">
        <w:rPr>
          <w:color w:val="000000"/>
        </w:rPr>
        <w:t>decembrim, papildsodu – probācijas uzraudzību – var</w:t>
      </w:r>
      <w:proofErr w:type="gramStart"/>
      <w:r w:rsidRPr="00385070">
        <w:rPr>
          <w:color w:val="000000"/>
        </w:rPr>
        <w:t xml:space="preserve"> piemērot tikai kopā ar pamatsodu – brīvības atņemšanu –</w:t>
      </w:r>
      <w:proofErr w:type="gramEnd"/>
      <w:r w:rsidRPr="00385070">
        <w:rPr>
          <w:color w:val="000000"/>
        </w:rPr>
        <w:t>, jo  Krimināllikuma 38.</w:t>
      </w:r>
      <w:r w:rsidRPr="00385070">
        <w:rPr>
          <w:color w:val="000000"/>
          <w:vertAlign w:val="superscript"/>
        </w:rPr>
        <w:t>1</w:t>
      </w:r>
      <w:r w:rsidR="004D5E5F">
        <w:rPr>
          <w:color w:val="000000"/>
          <w:vertAlign w:val="superscript"/>
        </w:rPr>
        <w:t> </w:t>
      </w:r>
      <w:r w:rsidRPr="00385070">
        <w:rPr>
          <w:color w:val="000000"/>
        </w:rPr>
        <w:t>panta trešā daļa, kas stājās spēkā 2022.</w:t>
      </w:r>
      <w:r w:rsidR="004D5E5F">
        <w:rPr>
          <w:color w:val="000000"/>
        </w:rPr>
        <w:t> </w:t>
      </w:r>
      <w:r w:rsidRPr="00385070">
        <w:rPr>
          <w:color w:val="000000"/>
        </w:rPr>
        <w:t>gada 1.</w:t>
      </w:r>
      <w:r w:rsidR="004D5E5F">
        <w:rPr>
          <w:color w:val="000000"/>
        </w:rPr>
        <w:t> </w:t>
      </w:r>
      <w:r w:rsidRPr="00385070">
        <w:rPr>
          <w:color w:val="000000"/>
        </w:rPr>
        <w:t>janvārī un noteic papildsoda – probācijas uzraudzības – piemērošanas kārtību,  salīdzinājumā ar i</w:t>
      </w:r>
      <w:r w:rsidRPr="00385070">
        <w:t>epriekšējo regulējumu, kas bija ietverts Krimināllikuma 45.</w:t>
      </w:r>
      <w:r w:rsidRPr="00385070">
        <w:rPr>
          <w:vertAlign w:val="superscript"/>
        </w:rPr>
        <w:t>1</w:t>
      </w:r>
      <w:r w:rsidR="00D70D76">
        <w:rPr>
          <w:vertAlign w:val="superscript"/>
        </w:rPr>
        <w:t xml:space="preserve"> </w:t>
      </w:r>
      <w:r w:rsidRPr="00385070">
        <w:t>pantā un paredzēja iespēju probācijas uzraudzību kā papildsodu noteikt kopā ar jebkuru pamatsodu, ir personai labvēlīgāka</w:t>
      </w:r>
      <w:r>
        <w:t xml:space="preserve"> </w:t>
      </w:r>
      <w:r w:rsidRPr="00D10008">
        <w:rPr>
          <w:color w:val="000000" w:themeColor="text1"/>
        </w:rPr>
        <w:t>(</w:t>
      </w:r>
      <w:r w:rsidR="00A6395F">
        <w:rPr>
          <w:i/>
          <w:iCs/>
          <w:color w:val="000000" w:themeColor="text1"/>
        </w:rPr>
        <w:t xml:space="preserve">Senāta </w:t>
      </w:r>
      <w:r w:rsidRPr="00EB1595">
        <w:rPr>
          <w:i/>
          <w:iCs/>
          <w:color w:val="000000" w:themeColor="text1"/>
        </w:rPr>
        <w:t>2022.</w:t>
      </w:r>
      <w:r w:rsidR="00D70D76">
        <w:rPr>
          <w:i/>
          <w:iCs/>
          <w:color w:val="000000" w:themeColor="text1"/>
        </w:rPr>
        <w:t> </w:t>
      </w:r>
      <w:r w:rsidRPr="00EB1595">
        <w:rPr>
          <w:i/>
          <w:iCs/>
          <w:color w:val="000000" w:themeColor="text1"/>
        </w:rPr>
        <w:t>gada 28.</w:t>
      </w:r>
      <w:r w:rsidR="004D5E5F">
        <w:rPr>
          <w:i/>
          <w:iCs/>
          <w:color w:val="000000" w:themeColor="text1"/>
        </w:rPr>
        <w:t> </w:t>
      </w:r>
      <w:r w:rsidRPr="00EB1595">
        <w:rPr>
          <w:i/>
          <w:iCs/>
          <w:color w:val="000000" w:themeColor="text1"/>
        </w:rPr>
        <w:t xml:space="preserve">aprīļa </w:t>
      </w:r>
      <w:r>
        <w:rPr>
          <w:i/>
          <w:iCs/>
          <w:color w:val="000000" w:themeColor="text1"/>
        </w:rPr>
        <w:t>lēmum</w:t>
      </w:r>
      <w:r w:rsidR="00A6395F">
        <w:rPr>
          <w:i/>
          <w:iCs/>
          <w:color w:val="000000" w:themeColor="text1"/>
        </w:rPr>
        <w:t>a</w:t>
      </w:r>
      <w:r>
        <w:rPr>
          <w:i/>
          <w:iCs/>
          <w:color w:val="000000" w:themeColor="text1"/>
        </w:rPr>
        <w:t xml:space="preserve"> lietā </w:t>
      </w:r>
      <w:r w:rsidRPr="00EB1595">
        <w:rPr>
          <w:i/>
          <w:iCs/>
          <w:color w:val="000000" w:themeColor="text1"/>
        </w:rPr>
        <w:t xml:space="preserve"> SKK-J-368/2022, </w:t>
      </w:r>
      <w:hyperlink r:id="rId10" w:history="1">
        <w:r w:rsidRPr="00A6395F">
          <w:rPr>
            <w:rStyle w:val="Hyperlink"/>
            <w:i/>
            <w:iCs/>
            <w:shd w:val="clear" w:color="auto" w:fill="FFFFFF"/>
          </w:rPr>
          <w:t>ECLI:LV:AT:2022:0428.11280029420.3.L</w:t>
        </w:r>
      </w:hyperlink>
      <w:r w:rsidR="00A6395F">
        <w:rPr>
          <w:rStyle w:val="Hyperlink"/>
          <w:i/>
          <w:iCs/>
          <w:color w:val="000000" w:themeColor="text1"/>
          <w:u w:val="none"/>
          <w:shd w:val="clear" w:color="auto" w:fill="FFFFFF"/>
        </w:rPr>
        <w:t>, 4.</w:t>
      </w:r>
      <w:r w:rsidR="00446EA6">
        <w:rPr>
          <w:rStyle w:val="Hyperlink"/>
          <w:i/>
          <w:iCs/>
          <w:color w:val="000000" w:themeColor="text1"/>
          <w:u w:val="none"/>
          <w:shd w:val="clear" w:color="auto" w:fill="FFFFFF"/>
        </w:rPr>
        <w:t> </w:t>
      </w:r>
      <w:r w:rsidR="00A6395F">
        <w:rPr>
          <w:rStyle w:val="Hyperlink"/>
          <w:i/>
          <w:iCs/>
          <w:color w:val="000000" w:themeColor="text1"/>
          <w:u w:val="none"/>
          <w:shd w:val="clear" w:color="auto" w:fill="FFFFFF"/>
        </w:rPr>
        <w:t>punkts</w:t>
      </w:r>
      <w:r w:rsidR="001D5CBF">
        <w:rPr>
          <w:rStyle w:val="Hyperlink"/>
          <w:color w:val="000000" w:themeColor="text1"/>
          <w:u w:val="none"/>
          <w:shd w:val="clear" w:color="auto" w:fill="FFFFFF"/>
        </w:rPr>
        <w:t>).</w:t>
      </w:r>
    </w:p>
    <w:p w14:paraId="697C2285" w14:textId="67097A75" w:rsidR="00D41CDA" w:rsidRPr="008C1D0E" w:rsidRDefault="00D41CDA" w:rsidP="00D41CDA">
      <w:pPr>
        <w:spacing w:line="276" w:lineRule="auto"/>
        <w:ind w:firstLine="709"/>
        <w:jc w:val="both"/>
        <w:rPr>
          <w:rFonts w:asciiTheme="majorBidi" w:hAnsiTheme="majorBidi" w:cstheme="majorBidi"/>
        </w:rPr>
      </w:pPr>
      <w:r w:rsidRPr="00177E95">
        <w:rPr>
          <w:rFonts w:asciiTheme="majorBidi" w:hAnsiTheme="majorBidi" w:cstheme="majorBidi"/>
        </w:rPr>
        <w:t>Ievērojo</w:t>
      </w:r>
      <w:r w:rsidR="00513EF4">
        <w:rPr>
          <w:rFonts w:asciiTheme="majorBidi" w:hAnsiTheme="majorBidi" w:cstheme="majorBidi"/>
        </w:rPr>
        <w:t xml:space="preserve">t </w:t>
      </w:r>
      <w:r w:rsidRPr="00177E95">
        <w:rPr>
          <w:rFonts w:asciiTheme="majorBidi" w:hAnsiTheme="majorBidi" w:cstheme="majorBidi"/>
        </w:rPr>
        <w:t>to, ka 2020.</w:t>
      </w:r>
      <w:r w:rsidR="001D5CBF">
        <w:rPr>
          <w:rFonts w:asciiTheme="majorBidi" w:hAnsiTheme="majorBidi" w:cstheme="majorBidi"/>
        </w:rPr>
        <w:t> </w:t>
      </w:r>
      <w:r w:rsidRPr="00177E95">
        <w:rPr>
          <w:rFonts w:asciiTheme="majorBidi" w:hAnsiTheme="majorBidi" w:cstheme="majorBidi"/>
        </w:rPr>
        <w:t xml:space="preserve">gada </w:t>
      </w:r>
      <w:r w:rsidR="00177E95" w:rsidRPr="00177E95">
        <w:rPr>
          <w:rFonts w:asciiTheme="majorBidi" w:hAnsiTheme="majorBidi" w:cstheme="majorBidi"/>
        </w:rPr>
        <w:t>17.</w:t>
      </w:r>
      <w:r w:rsidR="001D5CBF">
        <w:rPr>
          <w:rFonts w:asciiTheme="majorBidi" w:hAnsiTheme="majorBidi" w:cstheme="majorBidi"/>
        </w:rPr>
        <w:t> </w:t>
      </w:r>
      <w:r w:rsidR="00177E95" w:rsidRPr="00177E95">
        <w:rPr>
          <w:rFonts w:asciiTheme="majorBidi" w:hAnsiTheme="majorBidi" w:cstheme="majorBidi"/>
        </w:rPr>
        <w:t xml:space="preserve">decembra </w:t>
      </w:r>
      <w:r w:rsidRPr="00177E95">
        <w:rPr>
          <w:rFonts w:asciiTheme="majorBidi" w:hAnsiTheme="majorBidi" w:cstheme="majorBidi"/>
        </w:rPr>
        <w:t>likuma „Grozījumi Krimināllikumā”</w:t>
      </w:r>
      <w:r w:rsidRPr="008C1D0E">
        <w:rPr>
          <w:rFonts w:asciiTheme="majorBidi" w:hAnsiTheme="majorBidi" w:cstheme="majorBidi"/>
        </w:rPr>
        <w:t xml:space="preserve"> pārejas noteikumos īpašs tiesisks regulējums šajā daļā nav noteikts, Senāts atzīst, ka atbilstoši Krimināllikuma 5.</w:t>
      </w:r>
      <w:r w:rsidR="00177E95">
        <w:rPr>
          <w:rFonts w:asciiTheme="majorBidi" w:hAnsiTheme="majorBidi" w:cstheme="majorBidi"/>
        </w:rPr>
        <w:t> </w:t>
      </w:r>
      <w:r w:rsidRPr="008C1D0E">
        <w:rPr>
          <w:rFonts w:asciiTheme="majorBidi" w:hAnsiTheme="majorBidi" w:cstheme="majorBidi"/>
        </w:rPr>
        <w:t>panta otrās daļas nosacījumiem apsūdzētaja</w:t>
      </w:r>
      <w:r w:rsidR="00513EF4">
        <w:rPr>
          <w:rFonts w:asciiTheme="majorBidi" w:hAnsiTheme="majorBidi" w:cstheme="majorBidi"/>
        </w:rPr>
        <w:t xml:space="preserve">m </w:t>
      </w:r>
      <w:r w:rsidRPr="008C1D0E">
        <w:rPr>
          <w:rFonts w:asciiTheme="majorBidi" w:hAnsiTheme="majorBidi" w:cstheme="majorBidi"/>
        </w:rPr>
        <w:t xml:space="preserve">piemērojams labvēlīgākais likums. </w:t>
      </w:r>
    </w:p>
    <w:p w14:paraId="62369F43" w14:textId="09ACDF14" w:rsidR="008C1D0E" w:rsidRDefault="00D41CDA" w:rsidP="008C1D0E">
      <w:pPr>
        <w:spacing w:line="276" w:lineRule="auto"/>
        <w:ind w:firstLine="709"/>
        <w:jc w:val="both"/>
        <w:rPr>
          <w:rFonts w:asciiTheme="majorBidi" w:hAnsiTheme="majorBidi" w:cstheme="majorBidi"/>
        </w:rPr>
      </w:pPr>
      <w:r w:rsidRPr="008C1D0E">
        <w:t xml:space="preserve">Ievērojot minēto, </w:t>
      </w:r>
      <w:r w:rsidRPr="008C1D0E">
        <w:rPr>
          <w:rFonts w:asciiTheme="majorBidi" w:hAnsiTheme="majorBidi" w:cstheme="majorBidi"/>
        </w:rPr>
        <w:t>Senāts atzīst, ka apelācijas instances tiesa</w:t>
      </w:r>
      <w:r w:rsidR="00365082" w:rsidRPr="008C1D0E">
        <w:rPr>
          <w:rFonts w:asciiTheme="majorBidi" w:hAnsiTheme="majorBidi" w:cstheme="majorBidi"/>
        </w:rPr>
        <w:t xml:space="preserve"> </w:t>
      </w:r>
      <w:r w:rsidR="008C1D0E" w:rsidRPr="008C1D0E">
        <w:rPr>
          <w:rFonts w:asciiTheme="majorBidi" w:hAnsiTheme="majorBidi" w:cstheme="majorBidi"/>
        </w:rPr>
        <w:t>pieļāvusi Kriminālprocesa likuma 574.</w:t>
      </w:r>
      <w:r w:rsidR="001D5CBF">
        <w:rPr>
          <w:rFonts w:asciiTheme="majorBidi" w:hAnsiTheme="majorBidi" w:cstheme="majorBidi"/>
        </w:rPr>
        <w:t> </w:t>
      </w:r>
      <w:r w:rsidR="008C1D0E" w:rsidRPr="008C1D0E">
        <w:rPr>
          <w:rFonts w:asciiTheme="majorBidi" w:hAnsiTheme="majorBidi" w:cstheme="majorBidi"/>
        </w:rPr>
        <w:t>panta 1.</w:t>
      </w:r>
      <w:r w:rsidR="001D5CBF">
        <w:rPr>
          <w:rFonts w:asciiTheme="majorBidi" w:hAnsiTheme="majorBidi" w:cstheme="majorBidi"/>
        </w:rPr>
        <w:t> </w:t>
      </w:r>
      <w:r w:rsidR="008C1D0E" w:rsidRPr="008C1D0E">
        <w:rPr>
          <w:rFonts w:asciiTheme="majorBidi" w:hAnsiTheme="majorBidi" w:cstheme="majorBidi"/>
        </w:rPr>
        <w:t xml:space="preserve">punkta pārkāpumu, </w:t>
      </w:r>
      <w:r w:rsidR="00365082" w:rsidRPr="008C1D0E">
        <w:rPr>
          <w:rFonts w:asciiTheme="majorBidi" w:hAnsiTheme="majorBidi" w:cstheme="majorBidi"/>
        </w:rPr>
        <w:t>nepareizi piemēroj</w:t>
      </w:r>
      <w:r w:rsidR="008C1D0E" w:rsidRPr="008C1D0E">
        <w:rPr>
          <w:rFonts w:asciiTheme="majorBidi" w:hAnsiTheme="majorBidi" w:cstheme="majorBidi"/>
        </w:rPr>
        <w:t>ot</w:t>
      </w:r>
      <w:r w:rsidR="00365082" w:rsidRPr="008C1D0E">
        <w:rPr>
          <w:rFonts w:asciiTheme="majorBidi" w:hAnsiTheme="majorBidi" w:cstheme="majorBidi"/>
        </w:rPr>
        <w:t xml:space="preserve"> Krimināllikuma Vispārīgās daļas pantus</w:t>
      </w:r>
      <w:r w:rsidR="008C1D0E" w:rsidRPr="008C1D0E">
        <w:rPr>
          <w:rFonts w:asciiTheme="majorBidi" w:hAnsiTheme="majorBidi" w:cstheme="majorBidi"/>
        </w:rPr>
        <w:t>.</w:t>
      </w:r>
    </w:p>
    <w:p w14:paraId="1BA15DD6" w14:textId="77777777" w:rsidR="00821F0B" w:rsidRPr="008C1D0E" w:rsidRDefault="00821F0B" w:rsidP="008C1D0E">
      <w:pPr>
        <w:spacing w:line="276" w:lineRule="auto"/>
        <w:ind w:firstLine="709"/>
        <w:jc w:val="both"/>
        <w:rPr>
          <w:rFonts w:ascii="Arial" w:hAnsi="Arial" w:cs="Arial"/>
          <w:sz w:val="20"/>
          <w:szCs w:val="20"/>
        </w:rPr>
      </w:pPr>
    </w:p>
    <w:p w14:paraId="4CDF9ADB" w14:textId="591BE354" w:rsidR="00821F0B" w:rsidRDefault="00821F0B" w:rsidP="00821F0B">
      <w:pPr>
        <w:spacing w:line="276" w:lineRule="auto"/>
        <w:ind w:firstLine="709"/>
        <w:jc w:val="both"/>
      </w:pPr>
      <w:r>
        <w:t xml:space="preserve">[8] </w:t>
      </w:r>
      <w:r w:rsidRPr="00A42C16">
        <w:t xml:space="preserve">Senāts atzīst, ka </w:t>
      </w:r>
      <w:r w:rsidR="00945488">
        <w:t>[..]</w:t>
      </w:r>
      <w:r w:rsidRPr="00A42C16">
        <w:t xml:space="preserve"> apgabaltiesas 202</w:t>
      </w:r>
      <w:r>
        <w:t>2</w:t>
      </w:r>
      <w:r w:rsidRPr="00A42C16">
        <w:t>.</w:t>
      </w:r>
      <w:r>
        <w:t> </w:t>
      </w:r>
      <w:r w:rsidRPr="00A42C16">
        <w:t xml:space="preserve">gada </w:t>
      </w:r>
      <w:r w:rsidR="00945488">
        <w:t>[..]</w:t>
      </w:r>
      <w:r>
        <w:t xml:space="preserve"> lēmums</w:t>
      </w:r>
      <w:r w:rsidRPr="00A42C16">
        <w:t xml:space="preserve"> </w:t>
      </w:r>
      <w:r>
        <w:rPr>
          <w:rFonts w:asciiTheme="majorBidi" w:hAnsiTheme="majorBidi" w:cstheme="majorBidi"/>
          <w:color w:val="000000"/>
        </w:rPr>
        <w:t>atceļams</w:t>
      </w:r>
      <w:r w:rsidRPr="003B229E">
        <w:t xml:space="preserve"> pilnībā</w:t>
      </w:r>
      <w:proofErr w:type="gramStart"/>
      <w:r w:rsidRPr="003B229E">
        <w:t xml:space="preserve"> un</w:t>
      </w:r>
      <w:proofErr w:type="gramEnd"/>
      <w:r w:rsidRPr="003B229E">
        <w:t xml:space="preserve"> lieta nosūtāma jaunai izskatīšanai </w:t>
      </w:r>
      <w:r>
        <w:t xml:space="preserve">apelācijas instances </w:t>
      </w:r>
      <w:r w:rsidRPr="003B229E">
        <w:t>tiesā.</w:t>
      </w:r>
    </w:p>
    <w:p w14:paraId="2E2EBFFB" w14:textId="77777777" w:rsidR="008C6CB9" w:rsidRDefault="008C6CB9" w:rsidP="008C6CB9">
      <w:pPr>
        <w:spacing w:line="276" w:lineRule="auto"/>
        <w:ind w:firstLine="709"/>
        <w:jc w:val="both"/>
        <w:rPr>
          <w:rFonts w:asciiTheme="majorBidi" w:hAnsiTheme="majorBidi" w:cstheme="majorBidi"/>
          <w:color w:val="000000"/>
        </w:rPr>
      </w:pPr>
    </w:p>
    <w:p w14:paraId="57278DC9" w14:textId="03D72807" w:rsidR="00F26C4B" w:rsidRDefault="008C6CB9" w:rsidP="008C6CB9">
      <w:pPr>
        <w:spacing w:line="276" w:lineRule="auto"/>
        <w:ind w:firstLine="709"/>
        <w:jc w:val="both"/>
      </w:pPr>
      <w:r>
        <w:t>[</w:t>
      </w:r>
      <w:r w:rsidR="00821F0B">
        <w:t>9</w:t>
      </w:r>
      <w:r w:rsidR="00E714A2">
        <w:t>]</w:t>
      </w:r>
      <w:r>
        <w:t xml:space="preserve"> Ņemot vērā, ka pārējie kasācijas sūdzībā ietvertie argumenti ir saistīti ar pierādījumu vērtējumu, Senāts tos šajā lēmumā nevērtēs, jo lieta atkārtoti izskatāma apelācijas instances tiesā atbilstoši Kriminālprocesa likuma 53.</w:t>
      </w:r>
      <w:r w:rsidR="00177E95">
        <w:t> </w:t>
      </w:r>
      <w:r>
        <w:t xml:space="preserve">nodaļā noteiktajam. </w:t>
      </w:r>
    </w:p>
    <w:p w14:paraId="567C1986" w14:textId="71EC0D08" w:rsidR="008C6CB9" w:rsidRDefault="008C6CB9" w:rsidP="008C6CB9">
      <w:pPr>
        <w:spacing w:line="276" w:lineRule="auto"/>
        <w:ind w:firstLine="709"/>
        <w:jc w:val="both"/>
      </w:pPr>
    </w:p>
    <w:p w14:paraId="4071D89C" w14:textId="0CF62DC5" w:rsidR="008C1D0E" w:rsidRDefault="008C6CB9" w:rsidP="008C1D0E">
      <w:pPr>
        <w:spacing w:line="276" w:lineRule="auto"/>
        <w:ind w:firstLine="709"/>
        <w:jc w:val="both"/>
      </w:pPr>
      <w:r w:rsidRPr="00DE2D70">
        <w:t>[</w:t>
      </w:r>
      <w:r w:rsidR="00821F0B">
        <w:t>10</w:t>
      </w:r>
      <w:r w:rsidRPr="00DE2D70">
        <w:t>]</w:t>
      </w:r>
      <w:r>
        <w:t xml:space="preserve"> </w:t>
      </w:r>
      <w:r w:rsidRPr="002C7C6F">
        <w:rPr>
          <w:rFonts w:eastAsia="Calibri"/>
          <w:bCs/>
        </w:rPr>
        <w:t>Apsūdzētaja</w:t>
      </w:r>
      <w:r>
        <w:rPr>
          <w:rFonts w:eastAsia="Calibri"/>
          <w:bCs/>
        </w:rPr>
        <w:t>m</w:t>
      </w:r>
      <w:r w:rsidRPr="002C7C6F">
        <w:rPr>
          <w:rFonts w:eastAsia="Calibri"/>
          <w:bCs/>
        </w:rPr>
        <w:t xml:space="preserve"> </w:t>
      </w:r>
      <w:r w:rsidR="00945488">
        <w:t>[pers. A]</w:t>
      </w:r>
      <w:r>
        <w:t xml:space="preserve"> </w:t>
      </w:r>
      <w:r w:rsidRPr="002C7C6F">
        <w:rPr>
          <w:rFonts w:eastAsia="Calibri"/>
          <w:bCs/>
        </w:rPr>
        <w:t>drošības līdzek</w:t>
      </w:r>
      <w:r w:rsidR="008C1D0E">
        <w:rPr>
          <w:rFonts w:eastAsia="Calibri"/>
          <w:bCs/>
        </w:rPr>
        <w:t>lis nav piemērots.</w:t>
      </w:r>
      <w:r w:rsidR="00B3135B" w:rsidRPr="00B3135B">
        <w:t xml:space="preserve"> </w:t>
      </w:r>
      <w:r w:rsidR="00B3135B" w:rsidRPr="00F357AD">
        <w:t>Senāts atzīst, ka drošības līdzekļa piemērošanai apsūdzētajam šajā kriminālprocesa stadijā nav tiesiska pamata</w:t>
      </w:r>
      <w:r w:rsidR="00177E95">
        <w:t>.</w:t>
      </w:r>
    </w:p>
    <w:p w14:paraId="0E507A55" w14:textId="77777777" w:rsidR="008C1D0E" w:rsidRDefault="008C1D0E" w:rsidP="008C6CB9">
      <w:pPr>
        <w:spacing w:line="276" w:lineRule="auto"/>
        <w:ind w:firstLine="709"/>
        <w:jc w:val="both"/>
        <w:rPr>
          <w:rFonts w:eastAsia="Calibri"/>
          <w:bCs/>
        </w:rPr>
      </w:pPr>
    </w:p>
    <w:p w14:paraId="7A9EF308" w14:textId="77777777" w:rsidR="008C6CB9" w:rsidRPr="00DE2D70" w:rsidRDefault="008C6CB9" w:rsidP="008C6CB9">
      <w:pPr>
        <w:spacing w:line="276" w:lineRule="auto"/>
        <w:jc w:val="center"/>
        <w:rPr>
          <w:b/>
        </w:rPr>
      </w:pPr>
      <w:r w:rsidRPr="00DE2D70">
        <w:rPr>
          <w:b/>
        </w:rPr>
        <w:t>Rezolutīvā daļa</w:t>
      </w:r>
    </w:p>
    <w:p w14:paraId="3EDE6474" w14:textId="77777777" w:rsidR="008C6CB9" w:rsidRPr="00DE2D70" w:rsidRDefault="008C6CB9" w:rsidP="008C6CB9">
      <w:pPr>
        <w:spacing w:line="276" w:lineRule="auto"/>
        <w:jc w:val="center"/>
        <w:rPr>
          <w:bCs/>
        </w:rPr>
      </w:pPr>
    </w:p>
    <w:p w14:paraId="74C09B5E" w14:textId="16057ADE" w:rsidR="008C6CB9" w:rsidRPr="00DE2D70" w:rsidRDefault="008C6CB9" w:rsidP="008C6CB9">
      <w:pPr>
        <w:spacing w:line="276" w:lineRule="auto"/>
        <w:ind w:firstLine="709"/>
        <w:jc w:val="both"/>
        <w:rPr>
          <w:b/>
        </w:rPr>
      </w:pPr>
      <w:r w:rsidRPr="00DE2D70">
        <w:t>P</w:t>
      </w:r>
      <w:r w:rsidRPr="00DE2D70">
        <w:rPr>
          <w:bCs/>
        </w:rPr>
        <w:t xml:space="preserve">amatojoties uz Kriminālprocesa likuma 585. un </w:t>
      </w:r>
      <w:proofErr w:type="gramStart"/>
      <w:r w:rsidRPr="00DE2D70">
        <w:rPr>
          <w:bCs/>
        </w:rPr>
        <w:t>587.pantu</w:t>
      </w:r>
      <w:proofErr w:type="gramEnd"/>
      <w:r w:rsidRPr="00DE2D70">
        <w:rPr>
          <w:bCs/>
        </w:rPr>
        <w:t xml:space="preserve">, </w:t>
      </w:r>
      <w:r w:rsidR="007911CD">
        <w:rPr>
          <w:bCs/>
        </w:rPr>
        <w:t>Senāts</w:t>
      </w:r>
    </w:p>
    <w:p w14:paraId="1C154E33" w14:textId="77777777" w:rsidR="008C6CB9" w:rsidRPr="00DE2D70" w:rsidRDefault="008C6CB9" w:rsidP="008C6CB9">
      <w:pPr>
        <w:spacing w:line="276" w:lineRule="auto"/>
      </w:pPr>
    </w:p>
    <w:p w14:paraId="7865C77A" w14:textId="6B4753B6" w:rsidR="008C6CB9" w:rsidRPr="00DE2D70" w:rsidRDefault="008C6CB9" w:rsidP="008C6CB9">
      <w:pPr>
        <w:spacing w:line="276" w:lineRule="auto"/>
        <w:jc w:val="center"/>
        <w:rPr>
          <w:b/>
        </w:rPr>
      </w:pPr>
      <w:r w:rsidRPr="00DE2D70">
        <w:rPr>
          <w:b/>
        </w:rPr>
        <w:t>nolēma</w:t>
      </w:r>
    </w:p>
    <w:p w14:paraId="73A28210" w14:textId="77777777" w:rsidR="008C6CB9" w:rsidRPr="00DE2D70" w:rsidRDefault="008C6CB9" w:rsidP="008C6CB9">
      <w:pPr>
        <w:spacing w:line="276" w:lineRule="auto"/>
        <w:jc w:val="center"/>
        <w:rPr>
          <w:bCs/>
        </w:rPr>
      </w:pPr>
    </w:p>
    <w:p w14:paraId="3C648BA3" w14:textId="69815AF3" w:rsidR="008C6CB9" w:rsidRDefault="00B04C96" w:rsidP="008C6CB9">
      <w:pPr>
        <w:spacing w:line="276" w:lineRule="auto"/>
        <w:ind w:firstLine="709"/>
        <w:jc w:val="both"/>
      </w:pPr>
      <w:bookmarkStart w:id="4" w:name="_Hlk124843929"/>
      <w:r>
        <w:t xml:space="preserve">atcelt </w:t>
      </w:r>
      <w:r w:rsidR="00945488">
        <w:t>[..]</w:t>
      </w:r>
      <w:r w:rsidR="008C6CB9" w:rsidRPr="00A42C16">
        <w:t xml:space="preserve"> apgabaltiesas 202</w:t>
      </w:r>
      <w:r w:rsidR="008C6CB9">
        <w:t>2</w:t>
      </w:r>
      <w:r w:rsidR="008C6CB9" w:rsidRPr="00A42C16">
        <w:t>.</w:t>
      </w:r>
      <w:r w:rsidR="00177E95">
        <w:t> </w:t>
      </w:r>
      <w:r w:rsidR="008C6CB9" w:rsidRPr="00A42C16">
        <w:t xml:space="preserve">gada </w:t>
      </w:r>
      <w:r w:rsidR="00945488">
        <w:t>[..]</w:t>
      </w:r>
      <w:r w:rsidR="008C6CB9">
        <w:t xml:space="preserve"> lēmumu </w:t>
      </w:r>
      <w:r w:rsidR="008C6CB9" w:rsidRPr="003B229E">
        <w:t>pilnībā un liet</w:t>
      </w:r>
      <w:r w:rsidR="008C6CB9">
        <w:t>u</w:t>
      </w:r>
      <w:r w:rsidR="008C6CB9" w:rsidRPr="003B229E">
        <w:t xml:space="preserve"> nosūt</w:t>
      </w:r>
      <w:r w:rsidR="008C6CB9">
        <w:t>īt</w:t>
      </w:r>
      <w:r w:rsidR="008C6CB9" w:rsidRPr="003B229E">
        <w:t xml:space="preserve"> jaunai izskatīšanai </w:t>
      </w:r>
      <w:r w:rsidR="00757832">
        <w:t>[..]</w:t>
      </w:r>
      <w:r w:rsidR="008C6CB9">
        <w:t xml:space="preserve"> apgabal</w:t>
      </w:r>
      <w:r w:rsidR="008C6CB9" w:rsidRPr="003B229E">
        <w:t>tiesā</w:t>
      </w:r>
      <w:r w:rsidR="008C6CB9">
        <w:t>.</w:t>
      </w:r>
    </w:p>
    <w:bookmarkEnd w:id="4"/>
    <w:p w14:paraId="5D84BD2E" w14:textId="77777777" w:rsidR="009941B8" w:rsidRDefault="009941B8" w:rsidP="008C6CB9">
      <w:pPr>
        <w:spacing w:line="276" w:lineRule="auto"/>
        <w:ind w:firstLine="709"/>
        <w:jc w:val="both"/>
      </w:pPr>
    </w:p>
    <w:p w14:paraId="572781A0" w14:textId="77777777" w:rsidR="008C6CB9" w:rsidRPr="00DE2D70" w:rsidRDefault="008C6CB9" w:rsidP="008C6CB9">
      <w:pPr>
        <w:spacing w:line="276" w:lineRule="auto"/>
        <w:ind w:firstLine="709"/>
        <w:jc w:val="both"/>
      </w:pPr>
      <w:r w:rsidRPr="00DE2D70">
        <w:t>Lēmums nav pārsūdzams.</w:t>
      </w:r>
    </w:p>
    <w:sectPr w:rsidR="008C6CB9" w:rsidRPr="00DE2D70" w:rsidSect="004D5E5F">
      <w:footerReference w:type="default" r:id="rId11"/>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F65BF" w14:textId="77777777" w:rsidR="00447CA2" w:rsidRDefault="00447CA2" w:rsidP="00431FA2">
      <w:r>
        <w:separator/>
      </w:r>
    </w:p>
  </w:endnote>
  <w:endnote w:type="continuationSeparator" w:id="0">
    <w:p w14:paraId="0993E5DA" w14:textId="77777777" w:rsidR="00447CA2" w:rsidRDefault="00447CA2" w:rsidP="0043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202087"/>
      <w:docPartObj>
        <w:docPartGallery w:val="Page Numbers (Bottom of Page)"/>
        <w:docPartUnique/>
      </w:docPartObj>
    </w:sdtPr>
    <w:sdtEndPr>
      <w:rPr>
        <w:noProof/>
      </w:rPr>
    </w:sdtEndPr>
    <w:sdtContent>
      <w:sdt>
        <w:sdtPr>
          <w:id w:val="1728636285"/>
          <w:docPartObj>
            <w:docPartGallery w:val="Page Numbers (Top of Page)"/>
            <w:docPartUnique/>
          </w:docPartObj>
        </w:sdtPr>
        <w:sdtEndPr/>
        <w:sdtContent>
          <w:p w14:paraId="2A401294" w14:textId="77777777" w:rsidR="0037753E" w:rsidRDefault="0037753E" w:rsidP="0037753E">
            <w:pPr>
              <w:pStyle w:val="Footer"/>
              <w:tabs>
                <w:tab w:val="center" w:pos="4153"/>
                <w:tab w:val="right" w:pos="8306"/>
              </w:tabs>
              <w:jc w:val="center"/>
            </w:pPr>
            <w:r w:rsidRPr="00BC72DF">
              <w:rPr>
                <w:bCs/>
                <w:sz w:val="20"/>
                <w:szCs w:val="20"/>
              </w:rPr>
              <w:fldChar w:fldCharType="begin"/>
            </w:r>
            <w:r w:rsidRPr="00BC72DF">
              <w:rPr>
                <w:bCs/>
                <w:sz w:val="20"/>
                <w:szCs w:val="20"/>
              </w:rPr>
              <w:instrText xml:space="preserve"> PAGE </w:instrText>
            </w:r>
            <w:r w:rsidRPr="00BC72DF">
              <w:rPr>
                <w:bCs/>
                <w:sz w:val="20"/>
                <w:szCs w:val="20"/>
              </w:rPr>
              <w:fldChar w:fldCharType="separate"/>
            </w:r>
            <w:r w:rsidRPr="00BC72DF">
              <w:rPr>
                <w:bCs/>
                <w:sz w:val="20"/>
                <w:szCs w:val="20"/>
              </w:rPr>
              <w:t>1</w:t>
            </w:r>
            <w:r w:rsidRPr="00BC72DF">
              <w:rPr>
                <w:bCs/>
                <w:sz w:val="20"/>
                <w:szCs w:val="20"/>
              </w:rPr>
              <w:fldChar w:fldCharType="end"/>
            </w:r>
            <w:r w:rsidRPr="00BC72DF">
              <w:rPr>
                <w:sz w:val="20"/>
                <w:szCs w:val="20"/>
              </w:rPr>
              <w:t xml:space="preserve"> no </w:t>
            </w:r>
            <w:r w:rsidRPr="00BC72DF">
              <w:rPr>
                <w:bCs/>
                <w:sz w:val="20"/>
                <w:szCs w:val="20"/>
              </w:rPr>
              <w:fldChar w:fldCharType="begin"/>
            </w:r>
            <w:r w:rsidRPr="00BC72DF">
              <w:rPr>
                <w:bCs/>
                <w:sz w:val="20"/>
                <w:szCs w:val="20"/>
              </w:rPr>
              <w:instrText xml:space="preserve"> NUMPAGES  </w:instrText>
            </w:r>
            <w:r w:rsidRPr="00BC72DF">
              <w:rPr>
                <w:bCs/>
                <w:sz w:val="20"/>
                <w:szCs w:val="20"/>
              </w:rPr>
              <w:fldChar w:fldCharType="separate"/>
            </w:r>
            <w:r w:rsidRPr="00BC72DF">
              <w:rPr>
                <w:bCs/>
                <w:sz w:val="20"/>
                <w:szCs w:val="20"/>
              </w:rPr>
              <w:t>3</w:t>
            </w:r>
            <w:r w:rsidRPr="00BC72DF">
              <w:rPr>
                <w:bCs/>
                <w:sz w:val="20"/>
                <w:szCs w:val="20"/>
              </w:rPr>
              <w:fldChar w:fldCharType="end"/>
            </w:r>
          </w:p>
        </w:sdtContent>
      </w:sdt>
      <w:p w14:paraId="4095C970" w14:textId="66281D16" w:rsidR="0037753E" w:rsidRDefault="00A63B31" w:rsidP="0037753E">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A3F8A" w14:textId="77777777" w:rsidR="00447CA2" w:rsidRDefault="00447CA2" w:rsidP="00431FA2">
      <w:r>
        <w:separator/>
      </w:r>
    </w:p>
  </w:footnote>
  <w:footnote w:type="continuationSeparator" w:id="0">
    <w:p w14:paraId="0DCD45C2" w14:textId="77777777" w:rsidR="00447CA2" w:rsidRDefault="00447CA2" w:rsidP="00431FA2">
      <w:r>
        <w:continuationSeparator/>
      </w:r>
    </w:p>
  </w:footnote>
  <w:footnote w:id="1">
    <w:p w14:paraId="1CE3FA9E" w14:textId="7B30AD34" w:rsidR="00FD4D39" w:rsidRDefault="00FD4D39">
      <w:pPr>
        <w:pStyle w:val="FootnoteText"/>
      </w:pPr>
      <w:r>
        <w:rPr>
          <w:rStyle w:val="FootnoteReference"/>
        </w:rPr>
        <w:footnoteRef/>
      </w:r>
      <w:r>
        <w:t xml:space="preserve"> </w:t>
      </w:r>
      <w:r w:rsidR="000872EA">
        <w:t>Slēgtas lietas statuss. Publicēti izvilkumi no nolēmuma.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CDA"/>
    <w:rsid w:val="00012F56"/>
    <w:rsid w:val="00025C4A"/>
    <w:rsid w:val="000872EA"/>
    <w:rsid w:val="000873C8"/>
    <w:rsid w:val="00095FBE"/>
    <w:rsid w:val="000A4C68"/>
    <w:rsid w:val="000C43DC"/>
    <w:rsid w:val="000C6263"/>
    <w:rsid w:val="000E0C20"/>
    <w:rsid w:val="001146BA"/>
    <w:rsid w:val="00140D05"/>
    <w:rsid w:val="00165E77"/>
    <w:rsid w:val="00177E95"/>
    <w:rsid w:val="001A6B8E"/>
    <w:rsid w:val="001D5CBF"/>
    <w:rsid w:val="001E2018"/>
    <w:rsid w:val="001F45EC"/>
    <w:rsid w:val="00216970"/>
    <w:rsid w:val="00257404"/>
    <w:rsid w:val="003006D4"/>
    <w:rsid w:val="0031122A"/>
    <w:rsid w:val="00313A35"/>
    <w:rsid w:val="00341AC0"/>
    <w:rsid w:val="00347D11"/>
    <w:rsid w:val="00361A47"/>
    <w:rsid w:val="00365082"/>
    <w:rsid w:val="0037753E"/>
    <w:rsid w:val="003D4BEC"/>
    <w:rsid w:val="003E4C11"/>
    <w:rsid w:val="00431FA2"/>
    <w:rsid w:val="00440F6D"/>
    <w:rsid w:val="00446EA6"/>
    <w:rsid w:val="00447CA2"/>
    <w:rsid w:val="00464EA8"/>
    <w:rsid w:val="0046750E"/>
    <w:rsid w:val="004766EF"/>
    <w:rsid w:val="00495577"/>
    <w:rsid w:val="004C0B11"/>
    <w:rsid w:val="004C5D2E"/>
    <w:rsid w:val="004D5E5F"/>
    <w:rsid w:val="004D6A67"/>
    <w:rsid w:val="004F2CA6"/>
    <w:rsid w:val="0050793F"/>
    <w:rsid w:val="00511B01"/>
    <w:rsid w:val="00513EF4"/>
    <w:rsid w:val="00530077"/>
    <w:rsid w:val="005318A0"/>
    <w:rsid w:val="00553D92"/>
    <w:rsid w:val="0056113F"/>
    <w:rsid w:val="005A1949"/>
    <w:rsid w:val="005E0697"/>
    <w:rsid w:val="005E1798"/>
    <w:rsid w:val="005F6811"/>
    <w:rsid w:val="00626787"/>
    <w:rsid w:val="006921A0"/>
    <w:rsid w:val="00692E0F"/>
    <w:rsid w:val="0074796E"/>
    <w:rsid w:val="007510CE"/>
    <w:rsid w:val="00752BC3"/>
    <w:rsid w:val="00757832"/>
    <w:rsid w:val="007911CD"/>
    <w:rsid w:val="007D12CB"/>
    <w:rsid w:val="00821F0B"/>
    <w:rsid w:val="0082265B"/>
    <w:rsid w:val="00822EBF"/>
    <w:rsid w:val="00830020"/>
    <w:rsid w:val="0086647B"/>
    <w:rsid w:val="008A05E4"/>
    <w:rsid w:val="008A078D"/>
    <w:rsid w:val="008A37E6"/>
    <w:rsid w:val="008C1D0E"/>
    <w:rsid w:val="008C6CB9"/>
    <w:rsid w:val="008E5858"/>
    <w:rsid w:val="008F28E8"/>
    <w:rsid w:val="00901FB9"/>
    <w:rsid w:val="00940A7C"/>
    <w:rsid w:val="00945488"/>
    <w:rsid w:val="009771FE"/>
    <w:rsid w:val="00984305"/>
    <w:rsid w:val="00984E0D"/>
    <w:rsid w:val="009941B8"/>
    <w:rsid w:val="009D4248"/>
    <w:rsid w:val="009D5313"/>
    <w:rsid w:val="009E23FF"/>
    <w:rsid w:val="00A01039"/>
    <w:rsid w:val="00A0741B"/>
    <w:rsid w:val="00A27048"/>
    <w:rsid w:val="00A6395F"/>
    <w:rsid w:val="00A63B31"/>
    <w:rsid w:val="00B02BB8"/>
    <w:rsid w:val="00B04C96"/>
    <w:rsid w:val="00B3135B"/>
    <w:rsid w:val="00B353E4"/>
    <w:rsid w:val="00B61AB0"/>
    <w:rsid w:val="00BB1ED6"/>
    <w:rsid w:val="00BC27F9"/>
    <w:rsid w:val="00BC5260"/>
    <w:rsid w:val="00BC72DF"/>
    <w:rsid w:val="00BD04A6"/>
    <w:rsid w:val="00C04011"/>
    <w:rsid w:val="00C15A59"/>
    <w:rsid w:val="00C34FD9"/>
    <w:rsid w:val="00C4616D"/>
    <w:rsid w:val="00C85464"/>
    <w:rsid w:val="00CB524C"/>
    <w:rsid w:val="00D05723"/>
    <w:rsid w:val="00D11539"/>
    <w:rsid w:val="00D256EF"/>
    <w:rsid w:val="00D25FAE"/>
    <w:rsid w:val="00D41CDA"/>
    <w:rsid w:val="00D70D76"/>
    <w:rsid w:val="00D97C3B"/>
    <w:rsid w:val="00DA7070"/>
    <w:rsid w:val="00DB2047"/>
    <w:rsid w:val="00DC1F18"/>
    <w:rsid w:val="00DF7734"/>
    <w:rsid w:val="00E37C50"/>
    <w:rsid w:val="00E714A2"/>
    <w:rsid w:val="00ED48B6"/>
    <w:rsid w:val="00ED79E0"/>
    <w:rsid w:val="00EF0B9B"/>
    <w:rsid w:val="00F25D3E"/>
    <w:rsid w:val="00F26C4B"/>
    <w:rsid w:val="00F52CE0"/>
    <w:rsid w:val="00F52DD3"/>
    <w:rsid w:val="00F64024"/>
    <w:rsid w:val="00FC5E82"/>
    <w:rsid w:val="00FD4D39"/>
    <w:rsid w:val="00FF26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95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DA"/>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uiPriority w:val="9"/>
    <w:qFormat/>
    <w:rsid w:val="00C040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CDA"/>
    <w:rPr>
      <w:color w:val="0000FF"/>
      <w:u w:val="single"/>
    </w:rPr>
  </w:style>
  <w:style w:type="table" w:styleId="TableGrid">
    <w:name w:val="Table Grid"/>
    <w:basedOn w:val="TableNormal"/>
    <w:uiPriority w:val="39"/>
    <w:rsid w:val="008C6CB9"/>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8C1D0E"/>
    <w:pPr>
      <w:spacing w:before="100" w:beforeAutospacing="1" w:after="100" w:afterAutospacing="1"/>
    </w:pPr>
    <w:rPr>
      <w:lang w:val="en-US" w:eastAsia="en-US"/>
    </w:rPr>
  </w:style>
  <w:style w:type="paragraph" w:customStyle="1" w:styleId="naisf">
    <w:name w:val="naisf"/>
    <w:basedOn w:val="Normal"/>
    <w:rsid w:val="00984305"/>
    <w:pPr>
      <w:spacing w:before="60" w:after="60"/>
      <w:ind w:firstLine="300"/>
      <w:jc w:val="both"/>
    </w:pPr>
    <w:rPr>
      <w:lang w:eastAsia="lv-LV"/>
    </w:rPr>
  </w:style>
  <w:style w:type="paragraph" w:customStyle="1" w:styleId="Char">
    <w:name w:val="Char"/>
    <w:basedOn w:val="Normal"/>
    <w:rsid w:val="00752BC3"/>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unhideWhenUsed/>
    <w:rsid w:val="00361A47"/>
    <w:rPr>
      <w:sz w:val="16"/>
      <w:szCs w:val="16"/>
    </w:rPr>
  </w:style>
  <w:style w:type="paragraph" w:styleId="CommentText">
    <w:name w:val="annotation text"/>
    <w:basedOn w:val="Normal"/>
    <w:link w:val="CommentTextChar"/>
    <w:uiPriority w:val="99"/>
    <w:unhideWhenUsed/>
    <w:rsid w:val="00361A47"/>
    <w:pPr>
      <w:ind w:firstLine="567"/>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361A47"/>
    <w:rPr>
      <w:sz w:val="20"/>
      <w:szCs w:val="20"/>
      <w:lang w:val="lv-LV"/>
    </w:rPr>
  </w:style>
  <w:style w:type="paragraph" w:styleId="CommentSubject">
    <w:name w:val="annotation subject"/>
    <w:basedOn w:val="CommentText"/>
    <w:next w:val="CommentText"/>
    <w:link w:val="CommentSubjectChar"/>
    <w:uiPriority w:val="99"/>
    <w:semiHidden/>
    <w:unhideWhenUsed/>
    <w:rsid w:val="00B61AB0"/>
    <w:pPr>
      <w:ind w:firstLine="0"/>
    </w:pPr>
    <w:rPr>
      <w:rFonts w:eastAsia="Times New Roman" w:cs="Times New Roman"/>
      <w:b/>
      <w:bCs/>
      <w:lang w:eastAsia="ru-RU"/>
    </w:rPr>
  </w:style>
  <w:style w:type="character" w:customStyle="1" w:styleId="CommentSubjectChar">
    <w:name w:val="Comment Subject Char"/>
    <w:basedOn w:val="CommentTextChar"/>
    <w:link w:val="CommentSubject"/>
    <w:uiPriority w:val="99"/>
    <w:semiHidden/>
    <w:rsid w:val="00B61AB0"/>
    <w:rPr>
      <w:rFonts w:eastAsia="Times New Roman" w:cs="Times New Roman"/>
      <w:b/>
      <w:bCs/>
      <w:sz w:val="20"/>
      <w:szCs w:val="20"/>
      <w:lang w:val="lv-LV" w:eastAsia="ru-RU"/>
    </w:rPr>
  </w:style>
  <w:style w:type="paragraph" w:styleId="BodyText2">
    <w:name w:val="Body Text 2"/>
    <w:basedOn w:val="Normal"/>
    <w:link w:val="BodyText2Char"/>
    <w:semiHidden/>
    <w:unhideWhenUsed/>
    <w:rsid w:val="00431FA2"/>
    <w:pPr>
      <w:spacing w:after="120" w:line="480" w:lineRule="auto"/>
    </w:pPr>
    <w:rPr>
      <w:lang w:val="x-none"/>
    </w:rPr>
  </w:style>
  <w:style w:type="character" w:customStyle="1" w:styleId="BodyText2Char">
    <w:name w:val="Body Text 2 Char"/>
    <w:basedOn w:val="DefaultParagraphFont"/>
    <w:link w:val="BodyText2"/>
    <w:semiHidden/>
    <w:rsid w:val="00431FA2"/>
    <w:rPr>
      <w:rFonts w:eastAsia="Times New Roman" w:cs="Times New Roman"/>
      <w:szCs w:val="24"/>
      <w:lang w:val="x-none" w:eastAsia="ru-RU"/>
    </w:rPr>
  </w:style>
  <w:style w:type="paragraph" w:styleId="Header">
    <w:name w:val="header"/>
    <w:basedOn w:val="Normal"/>
    <w:link w:val="HeaderChar"/>
    <w:uiPriority w:val="99"/>
    <w:unhideWhenUsed/>
    <w:rsid w:val="00431FA2"/>
    <w:pPr>
      <w:tabs>
        <w:tab w:val="center" w:pos="4680"/>
        <w:tab w:val="right" w:pos="9360"/>
      </w:tabs>
    </w:pPr>
  </w:style>
  <w:style w:type="character" w:customStyle="1" w:styleId="HeaderChar">
    <w:name w:val="Header Char"/>
    <w:basedOn w:val="DefaultParagraphFont"/>
    <w:link w:val="Header"/>
    <w:uiPriority w:val="99"/>
    <w:rsid w:val="00431FA2"/>
    <w:rPr>
      <w:rFonts w:eastAsia="Times New Roman" w:cs="Times New Roman"/>
      <w:szCs w:val="24"/>
      <w:lang w:val="lv-LV" w:eastAsia="ru-RU"/>
    </w:rPr>
  </w:style>
  <w:style w:type="paragraph" w:styleId="Footer">
    <w:name w:val="footer"/>
    <w:basedOn w:val="Normal"/>
    <w:link w:val="FooterChar"/>
    <w:uiPriority w:val="99"/>
    <w:unhideWhenUsed/>
    <w:rsid w:val="00431FA2"/>
    <w:pPr>
      <w:tabs>
        <w:tab w:val="center" w:pos="4680"/>
        <w:tab w:val="right" w:pos="9360"/>
      </w:tabs>
    </w:pPr>
  </w:style>
  <w:style w:type="character" w:customStyle="1" w:styleId="FooterChar">
    <w:name w:val="Footer Char"/>
    <w:basedOn w:val="DefaultParagraphFont"/>
    <w:link w:val="Footer"/>
    <w:uiPriority w:val="99"/>
    <w:rsid w:val="00431FA2"/>
    <w:rPr>
      <w:rFonts w:eastAsia="Times New Roman" w:cs="Times New Roman"/>
      <w:szCs w:val="24"/>
      <w:lang w:val="lv-LV" w:eastAsia="ru-RU"/>
    </w:rPr>
  </w:style>
  <w:style w:type="character" w:customStyle="1" w:styleId="Heading1Char">
    <w:name w:val="Heading 1 Char"/>
    <w:basedOn w:val="DefaultParagraphFont"/>
    <w:link w:val="Heading1"/>
    <w:uiPriority w:val="9"/>
    <w:rsid w:val="00C04011"/>
    <w:rPr>
      <w:rFonts w:asciiTheme="majorHAnsi" w:eastAsiaTheme="majorEastAsia" w:hAnsiTheme="majorHAnsi" w:cstheme="majorBidi"/>
      <w:color w:val="2F5496" w:themeColor="accent1" w:themeShade="BF"/>
      <w:sz w:val="32"/>
      <w:szCs w:val="32"/>
      <w:lang w:val="lv-LV" w:eastAsia="ru-RU"/>
    </w:rPr>
  </w:style>
  <w:style w:type="character" w:styleId="UnresolvedMention">
    <w:name w:val="Unresolved Mention"/>
    <w:basedOn w:val="DefaultParagraphFont"/>
    <w:uiPriority w:val="99"/>
    <w:semiHidden/>
    <w:unhideWhenUsed/>
    <w:rsid w:val="00DA7070"/>
    <w:rPr>
      <w:color w:val="605E5C"/>
      <w:shd w:val="clear" w:color="auto" w:fill="E1DFDD"/>
    </w:rPr>
  </w:style>
  <w:style w:type="paragraph" w:styleId="FootnoteText">
    <w:name w:val="footnote text"/>
    <w:basedOn w:val="Normal"/>
    <w:link w:val="FootnoteTextChar"/>
    <w:uiPriority w:val="99"/>
    <w:semiHidden/>
    <w:unhideWhenUsed/>
    <w:rsid w:val="00FD4D39"/>
    <w:rPr>
      <w:sz w:val="20"/>
      <w:szCs w:val="20"/>
    </w:rPr>
  </w:style>
  <w:style w:type="character" w:customStyle="1" w:styleId="FootnoteTextChar">
    <w:name w:val="Footnote Text Char"/>
    <w:basedOn w:val="DefaultParagraphFont"/>
    <w:link w:val="FootnoteText"/>
    <w:uiPriority w:val="99"/>
    <w:semiHidden/>
    <w:rsid w:val="00FD4D39"/>
    <w:rPr>
      <w:rFonts w:eastAsia="Times New Roman" w:cs="Times New Roman"/>
      <w:sz w:val="20"/>
      <w:szCs w:val="20"/>
      <w:lang w:val="lv-LV" w:eastAsia="ru-RU"/>
    </w:rPr>
  </w:style>
  <w:style w:type="character" w:styleId="FootnoteReference">
    <w:name w:val="footnote reference"/>
    <w:basedOn w:val="DefaultParagraphFont"/>
    <w:uiPriority w:val="99"/>
    <w:semiHidden/>
    <w:unhideWhenUsed/>
    <w:rsid w:val="00FD4D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914">
      <w:bodyDiv w:val="1"/>
      <w:marLeft w:val="0"/>
      <w:marRight w:val="0"/>
      <w:marTop w:val="0"/>
      <w:marBottom w:val="0"/>
      <w:divBdr>
        <w:top w:val="none" w:sz="0" w:space="0" w:color="auto"/>
        <w:left w:val="none" w:sz="0" w:space="0" w:color="auto"/>
        <w:bottom w:val="none" w:sz="0" w:space="0" w:color="auto"/>
        <w:right w:val="none" w:sz="0" w:space="0" w:color="auto"/>
      </w:divBdr>
    </w:div>
    <w:div w:id="215900015">
      <w:bodyDiv w:val="1"/>
      <w:marLeft w:val="0"/>
      <w:marRight w:val="0"/>
      <w:marTop w:val="0"/>
      <w:marBottom w:val="0"/>
      <w:divBdr>
        <w:top w:val="none" w:sz="0" w:space="0" w:color="auto"/>
        <w:left w:val="none" w:sz="0" w:space="0" w:color="auto"/>
        <w:bottom w:val="none" w:sz="0" w:space="0" w:color="auto"/>
        <w:right w:val="none" w:sz="0" w:space="0" w:color="auto"/>
      </w:divBdr>
    </w:div>
    <w:div w:id="635453534">
      <w:bodyDiv w:val="1"/>
      <w:marLeft w:val="0"/>
      <w:marRight w:val="0"/>
      <w:marTop w:val="0"/>
      <w:marBottom w:val="0"/>
      <w:divBdr>
        <w:top w:val="none" w:sz="0" w:space="0" w:color="auto"/>
        <w:left w:val="none" w:sz="0" w:space="0" w:color="auto"/>
        <w:bottom w:val="none" w:sz="0" w:space="0" w:color="auto"/>
        <w:right w:val="none" w:sz="0" w:space="0" w:color="auto"/>
      </w:divBdr>
    </w:div>
    <w:div w:id="765922894">
      <w:bodyDiv w:val="1"/>
      <w:marLeft w:val="0"/>
      <w:marRight w:val="0"/>
      <w:marTop w:val="0"/>
      <w:marBottom w:val="0"/>
      <w:divBdr>
        <w:top w:val="none" w:sz="0" w:space="0" w:color="auto"/>
        <w:left w:val="none" w:sz="0" w:space="0" w:color="auto"/>
        <w:bottom w:val="none" w:sz="0" w:space="0" w:color="auto"/>
        <w:right w:val="none" w:sz="0" w:space="0" w:color="auto"/>
      </w:divBdr>
    </w:div>
    <w:div w:id="955523447">
      <w:bodyDiv w:val="1"/>
      <w:marLeft w:val="0"/>
      <w:marRight w:val="0"/>
      <w:marTop w:val="0"/>
      <w:marBottom w:val="0"/>
      <w:divBdr>
        <w:top w:val="none" w:sz="0" w:space="0" w:color="auto"/>
        <w:left w:val="none" w:sz="0" w:space="0" w:color="auto"/>
        <w:bottom w:val="none" w:sz="0" w:space="0" w:color="auto"/>
        <w:right w:val="none" w:sz="0" w:space="0" w:color="auto"/>
      </w:divBdr>
    </w:div>
    <w:div w:id="1803814382">
      <w:bodyDiv w:val="1"/>
      <w:marLeft w:val="0"/>
      <w:marRight w:val="0"/>
      <w:marTop w:val="0"/>
      <w:marBottom w:val="0"/>
      <w:divBdr>
        <w:top w:val="none" w:sz="0" w:space="0" w:color="auto"/>
        <w:left w:val="none" w:sz="0" w:space="0" w:color="auto"/>
        <w:bottom w:val="none" w:sz="0" w:space="0" w:color="auto"/>
        <w:right w:val="none" w:sz="0" w:space="0" w:color="auto"/>
      </w:divBdr>
    </w:div>
    <w:div w:id="208529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39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t.gov.lv/downloadlawfile/52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8489" TargetMode="External"/><Relationship Id="rId4" Type="http://schemas.openxmlformats.org/officeDocument/2006/relationships/webSettings" Target="webSettings.xml"/><Relationship Id="rId9" Type="http://schemas.openxmlformats.org/officeDocument/2006/relationships/hyperlink" Target="https://www.at.gov.lv/downloadlawfile/6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77254-EB46-44E4-BACF-8D61F1BA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10033</Words>
  <Characters>5720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2023-01-27T07:20:00Z</dcterms:created>
  <dcterms:modified xsi:type="dcterms:W3CDTF">2023-01-27T07:20:00Z</dcterms:modified>
</cp:coreProperties>
</file>