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B7BE3" w14:textId="46FE8C01" w:rsidR="00424471" w:rsidRPr="0065508A" w:rsidRDefault="002A470B" w:rsidP="002A470B">
      <w:pPr>
        <w:spacing w:after="0" w:line="276" w:lineRule="auto"/>
        <w:jc w:val="both"/>
        <w:rPr>
          <w:rFonts w:cs="Times New Roman"/>
          <w:szCs w:val="24"/>
        </w:rPr>
      </w:pPr>
      <w:r w:rsidRPr="002A470B">
        <w:rPr>
          <w:b/>
          <w:bCs/>
        </w:rPr>
        <w:t>Personas, kura īsteno aizstāvību, tiesības apstrīdēt eksperta atzinumu un iesniegt pieteikumu par ekspertīzes noteikšanu</w:t>
      </w:r>
    </w:p>
    <w:p w14:paraId="4F3066A3" w14:textId="548A4E64" w:rsidR="00424471" w:rsidRPr="0065508A" w:rsidRDefault="00424471" w:rsidP="002A470B">
      <w:pPr>
        <w:pStyle w:val="BodyText2"/>
        <w:spacing w:line="276" w:lineRule="auto"/>
        <w:contextualSpacing/>
        <w:jc w:val="left"/>
        <w:rPr>
          <w:rFonts w:ascii="Times New Roman" w:hAnsi="Times New Roman" w:cs="Times New Roman"/>
          <w:sz w:val="24"/>
          <w:szCs w:val="24"/>
        </w:rPr>
      </w:pPr>
    </w:p>
    <w:p w14:paraId="1078C9C7" w14:textId="77777777" w:rsidR="002A470B" w:rsidRPr="002A470B" w:rsidRDefault="00424471" w:rsidP="00F5769E">
      <w:pPr>
        <w:spacing w:after="0" w:line="276" w:lineRule="auto"/>
        <w:contextualSpacing/>
        <w:jc w:val="center"/>
        <w:rPr>
          <w:rFonts w:cs="Times New Roman"/>
          <w:b/>
          <w:szCs w:val="24"/>
        </w:rPr>
      </w:pPr>
      <w:r w:rsidRPr="002A470B">
        <w:rPr>
          <w:rFonts w:cs="Times New Roman"/>
          <w:b/>
          <w:szCs w:val="24"/>
        </w:rPr>
        <w:t>Latvijas Republikas Senāt</w:t>
      </w:r>
      <w:r w:rsidR="002A470B" w:rsidRPr="002A470B">
        <w:rPr>
          <w:rFonts w:cs="Times New Roman"/>
          <w:b/>
          <w:szCs w:val="24"/>
        </w:rPr>
        <w:t xml:space="preserve">a </w:t>
      </w:r>
    </w:p>
    <w:p w14:paraId="78D74566" w14:textId="77777777" w:rsidR="002A470B" w:rsidRPr="002A470B" w:rsidRDefault="002A470B" w:rsidP="00F5769E">
      <w:pPr>
        <w:spacing w:after="0" w:line="276" w:lineRule="auto"/>
        <w:contextualSpacing/>
        <w:jc w:val="center"/>
        <w:rPr>
          <w:rFonts w:cs="Times New Roman"/>
          <w:b/>
          <w:szCs w:val="24"/>
        </w:rPr>
      </w:pPr>
      <w:r w:rsidRPr="002A470B">
        <w:rPr>
          <w:rFonts w:cs="Times New Roman"/>
          <w:b/>
          <w:szCs w:val="24"/>
        </w:rPr>
        <w:t>Krimināllietu departamenta</w:t>
      </w:r>
    </w:p>
    <w:p w14:paraId="0EDE5761" w14:textId="3ED7207B" w:rsidR="00424471" w:rsidRPr="002A470B" w:rsidRDefault="002A470B" w:rsidP="00F5769E">
      <w:pPr>
        <w:spacing w:after="0" w:line="276" w:lineRule="auto"/>
        <w:contextualSpacing/>
        <w:jc w:val="center"/>
        <w:rPr>
          <w:rFonts w:cs="Times New Roman"/>
          <w:b/>
          <w:szCs w:val="24"/>
        </w:rPr>
      </w:pPr>
      <w:proofErr w:type="gramStart"/>
      <w:r w:rsidRPr="002A470B">
        <w:rPr>
          <w:rFonts w:cs="Times New Roman"/>
          <w:b/>
          <w:szCs w:val="24"/>
        </w:rPr>
        <w:t>2022.gada</w:t>
      </w:r>
      <w:proofErr w:type="gramEnd"/>
      <w:r w:rsidRPr="002A470B">
        <w:rPr>
          <w:rFonts w:cs="Times New Roman"/>
          <w:b/>
          <w:szCs w:val="24"/>
        </w:rPr>
        <w:t xml:space="preserve"> </w:t>
      </w:r>
      <w:r>
        <w:rPr>
          <w:rFonts w:cs="Times New Roman"/>
          <w:b/>
          <w:szCs w:val="24"/>
        </w:rPr>
        <w:t>[..]</w:t>
      </w:r>
    </w:p>
    <w:p w14:paraId="02CAE7C1" w14:textId="2CD37FCC" w:rsidR="00424471" w:rsidRPr="002A470B" w:rsidRDefault="00424471" w:rsidP="00F5769E">
      <w:pPr>
        <w:spacing w:after="0" w:line="276" w:lineRule="auto"/>
        <w:contextualSpacing/>
        <w:jc w:val="center"/>
        <w:rPr>
          <w:rFonts w:cs="Times New Roman"/>
          <w:b/>
          <w:szCs w:val="24"/>
        </w:rPr>
      </w:pPr>
      <w:r w:rsidRPr="002A470B">
        <w:rPr>
          <w:rFonts w:cs="Times New Roman"/>
          <w:b/>
          <w:szCs w:val="24"/>
        </w:rPr>
        <w:t>LĒMUMS</w:t>
      </w:r>
      <w:r w:rsidR="002A470B" w:rsidRPr="002A470B">
        <w:rPr>
          <w:rStyle w:val="FootnoteReference"/>
          <w:rFonts w:cs="Times New Roman"/>
          <w:b/>
          <w:szCs w:val="24"/>
        </w:rPr>
        <w:footnoteReference w:id="1"/>
      </w:r>
    </w:p>
    <w:p w14:paraId="3D297D7A" w14:textId="4BFA8037" w:rsidR="00424471" w:rsidRPr="002A470B" w:rsidRDefault="002A470B" w:rsidP="00F5769E">
      <w:pPr>
        <w:spacing w:after="0" w:line="276" w:lineRule="auto"/>
        <w:contextualSpacing/>
        <w:jc w:val="center"/>
        <w:rPr>
          <w:rFonts w:cs="Times New Roman"/>
          <w:b/>
          <w:szCs w:val="24"/>
        </w:rPr>
      </w:pPr>
      <w:r w:rsidRPr="002A470B">
        <w:rPr>
          <w:rFonts w:cs="Times New Roman"/>
          <w:b/>
          <w:szCs w:val="24"/>
        </w:rPr>
        <w:t>Lieta Nr. </w:t>
      </w:r>
      <w:r>
        <w:rPr>
          <w:rFonts w:cs="Times New Roman"/>
          <w:b/>
          <w:szCs w:val="24"/>
        </w:rPr>
        <w:t>[..]</w:t>
      </w:r>
      <w:r w:rsidRPr="002A470B">
        <w:rPr>
          <w:rFonts w:cs="Times New Roman"/>
          <w:b/>
          <w:szCs w:val="24"/>
        </w:rPr>
        <w:t>, SKK</w:t>
      </w:r>
      <w:r w:rsidRPr="002A470B">
        <w:rPr>
          <w:rFonts w:cs="Times New Roman"/>
          <w:b/>
          <w:szCs w:val="24"/>
        </w:rPr>
        <w:noBreakHyphen/>
      </w:r>
      <w:r>
        <w:rPr>
          <w:rFonts w:cs="Times New Roman"/>
          <w:b/>
          <w:szCs w:val="24"/>
        </w:rPr>
        <w:t>[L]</w:t>
      </w:r>
      <w:r w:rsidRPr="002A470B">
        <w:rPr>
          <w:rFonts w:cs="Times New Roman"/>
          <w:b/>
          <w:szCs w:val="24"/>
        </w:rPr>
        <w:t>/2022</w:t>
      </w:r>
    </w:p>
    <w:p w14:paraId="1385C298" w14:textId="74068264" w:rsidR="002A470B" w:rsidRPr="002A470B" w:rsidRDefault="002A470B" w:rsidP="00F5769E">
      <w:pPr>
        <w:spacing w:after="0" w:line="276" w:lineRule="auto"/>
        <w:contextualSpacing/>
        <w:jc w:val="center"/>
        <w:rPr>
          <w:rFonts w:cs="Times New Roman"/>
          <w:szCs w:val="24"/>
        </w:rPr>
      </w:pPr>
      <w:r w:rsidRPr="002A470B">
        <w:rPr>
          <w:rFonts w:cs="Times New Roman"/>
          <w:color w:val="000000"/>
          <w:szCs w:val="24"/>
          <w:shd w:val="clear" w:color="auto" w:fill="FFFFFF"/>
        </w:rPr>
        <w:t>ECLI:LV:AT:2022:</w:t>
      </w:r>
      <w:r>
        <w:rPr>
          <w:rFonts w:cs="Times New Roman"/>
          <w:color w:val="000000"/>
          <w:szCs w:val="24"/>
          <w:shd w:val="clear" w:color="auto" w:fill="FFFFFF"/>
        </w:rPr>
        <w:t>[..]</w:t>
      </w:r>
    </w:p>
    <w:p w14:paraId="1E313046" w14:textId="77777777" w:rsidR="00454F39" w:rsidRPr="0065508A" w:rsidRDefault="00454F39" w:rsidP="00F5769E">
      <w:pPr>
        <w:pStyle w:val="NoSpacing"/>
        <w:spacing w:line="276" w:lineRule="auto"/>
        <w:ind w:firstLine="720"/>
        <w:jc w:val="both"/>
        <w:rPr>
          <w:rFonts w:cs="Times New Roman"/>
          <w:szCs w:val="24"/>
        </w:rPr>
      </w:pPr>
    </w:p>
    <w:p w14:paraId="7BBF8B29" w14:textId="3792213F" w:rsidR="002A249E" w:rsidRPr="0065508A" w:rsidRDefault="00C80940" w:rsidP="00F5769E">
      <w:pPr>
        <w:pStyle w:val="NoSpacing"/>
        <w:spacing w:line="276" w:lineRule="auto"/>
        <w:ind w:firstLine="720"/>
        <w:jc w:val="both"/>
        <w:rPr>
          <w:rFonts w:cs="Times New Roman"/>
          <w:szCs w:val="24"/>
        </w:rPr>
      </w:pPr>
      <w:r w:rsidRPr="0065508A">
        <w:rPr>
          <w:rFonts w:cs="Times New Roman"/>
          <w:szCs w:val="24"/>
        </w:rPr>
        <w:t>Tiesa šādā sastāvā: senatori</w:t>
      </w:r>
      <w:r w:rsidR="003668EC" w:rsidRPr="0065508A">
        <w:rPr>
          <w:rFonts w:cs="Times New Roman"/>
          <w:szCs w:val="24"/>
        </w:rPr>
        <w:t xml:space="preserve"> </w:t>
      </w:r>
      <w:r w:rsidR="009F6314" w:rsidRPr="0065508A">
        <w:rPr>
          <w:rFonts w:cs="Times New Roman"/>
          <w:szCs w:val="24"/>
        </w:rPr>
        <w:t>Aija</w:t>
      </w:r>
      <w:r w:rsidR="00454F39" w:rsidRPr="0065508A">
        <w:rPr>
          <w:rFonts w:cs="Times New Roman"/>
          <w:szCs w:val="24"/>
        </w:rPr>
        <w:t xml:space="preserve"> </w:t>
      </w:r>
      <w:r w:rsidR="009F6314" w:rsidRPr="0065508A">
        <w:rPr>
          <w:rFonts w:cs="Times New Roman"/>
          <w:szCs w:val="24"/>
        </w:rPr>
        <w:t>Branta</w:t>
      </w:r>
      <w:r w:rsidR="00DA5BF4" w:rsidRPr="0065508A">
        <w:rPr>
          <w:rFonts w:cs="Times New Roman"/>
          <w:szCs w:val="24"/>
        </w:rPr>
        <w:t xml:space="preserve">, </w:t>
      </w:r>
      <w:r w:rsidR="000468A8" w:rsidRPr="0065508A">
        <w:rPr>
          <w:rFonts w:cs="Times New Roman"/>
          <w:szCs w:val="24"/>
        </w:rPr>
        <w:t>Ivars Bičkovičs</w:t>
      </w:r>
      <w:r w:rsidR="0059622B" w:rsidRPr="0065508A">
        <w:rPr>
          <w:rFonts w:cs="Times New Roman"/>
          <w:szCs w:val="24"/>
        </w:rPr>
        <w:t xml:space="preserve">, </w:t>
      </w:r>
      <w:r w:rsidR="009F6314" w:rsidRPr="0065508A">
        <w:rPr>
          <w:rFonts w:cs="Times New Roman"/>
          <w:szCs w:val="24"/>
        </w:rPr>
        <w:t>Inese Laura</w:t>
      </w:r>
      <w:r w:rsidR="0059622B" w:rsidRPr="0065508A">
        <w:rPr>
          <w:rFonts w:cs="Times New Roman"/>
          <w:szCs w:val="24"/>
        </w:rPr>
        <w:t xml:space="preserve"> </w:t>
      </w:r>
      <w:r w:rsidR="009F6314" w:rsidRPr="0065508A">
        <w:rPr>
          <w:rFonts w:cs="Times New Roman"/>
          <w:szCs w:val="24"/>
        </w:rPr>
        <w:t>Zemīt</w:t>
      </w:r>
      <w:r w:rsidR="00DE1346" w:rsidRPr="0065508A">
        <w:rPr>
          <w:rFonts w:cs="Times New Roman"/>
          <w:szCs w:val="24"/>
        </w:rPr>
        <w:t>e</w:t>
      </w:r>
      <w:r w:rsidR="00F5769E" w:rsidRPr="0065508A">
        <w:rPr>
          <w:rFonts w:cs="Times New Roman"/>
          <w:szCs w:val="24"/>
        </w:rPr>
        <w:t>,</w:t>
      </w:r>
    </w:p>
    <w:p w14:paraId="7E4A8C91" w14:textId="77777777" w:rsidR="00E77D3E" w:rsidRPr="0065508A" w:rsidRDefault="00E77D3E" w:rsidP="00F5769E">
      <w:pPr>
        <w:pStyle w:val="NoSpacing"/>
        <w:spacing w:line="276" w:lineRule="auto"/>
        <w:ind w:firstLine="720"/>
        <w:jc w:val="both"/>
        <w:rPr>
          <w:rFonts w:cs="Times New Roman"/>
          <w:szCs w:val="24"/>
        </w:rPr>
      </w:pPr>
    </w:p>
    <w:p w14:paraId="63930509" w14:textId="111E3E73" w:rsidR="00F5769E" w:rsidRPr="0065508A" w:rsidRDefault="00424471" w:rsidP="00F5769E">
      <w:pPr>
        <w:pStyle w:val="NoSpacing"/>
        <w:spacing w:line="276" w:lineRule="auto"/>
        <w:ind w:firstLine="720"/>
        <w:jc w:val="both"/>
        <w:rPr>
          <w:rFonts w:cs="Times New Roman"/>
          <w:szCs w:val="24"/>
        </w:rPr>
      </w:pPr>
      <w:r w:rsidRPr="0065508A">
        <w:rPr>
          <w:rFonts w:cs="Times New Roman"/>
          <w:szCs w:val="24"/>
        </w:rPr>
        <w:t xml:space="preserve">izskatīja rakstveida procesā krimināllietu sakarā ar </w:t>
      </w:r>
      <w:bookmarkStart w:id="1" w:name="_Hlk77074141"/>
      <w:r w:rsidR="00454F39" w:rsidRPr="0065508A">
        <w:rPr>
          <w:rFonts w:cs="Times New Roman"/>
          <w:szCs w:val="24"/>
        </w:rPr>
        <w:t xml:space="preserve">apsūdzētā </w:t>
      </w:r>
      <w:r w:rsidR="00DD4040">
        <w:rPr>
          <w:rFonts w:cs="Times New Roman"/>
          <w:szCs w:val="24"/>
        </w:rPr>
        <w:t>[pers. A]</w:t>
      </w:r>
      <w:r w:rsidR="00454F39" w:rsidRPr="0065508A">
        <w:rPr>
          <w:rFonts w:cs="Times New Roman"/>
          <w:szCs w:val="24"/>
        </w:rPr>
        <w:t xml:space="preserve"> aizstāv</w:t>
      </w:r>
      <w:r w:rsidR="00081812" w:rsidRPr="0065508A">
        <w:rPr>
          <w:rFonts w:cs="Times New Roman"/>
          <w:szCs w:val="24"/>
        </w:rPr>
        <w:t>es</w:t>
      </w:r>
      <w:r w:rsidR="00454F39" w:rsidRPr="0065508A">
        <w:rPr>
          <w:rFonts w:cs="Times New Roman"/>
          <w:szCs w:val="24"/>
        </w:rPr>
        <w:t xml:space="preserve"> </w:t>
      </w:r>
      <w:r w:rsidR="00081812" w:rsidRPr="0065508A">
        <w:rPr>
          <w:rFonts w:cs="Times New Roman"/>
          <w:szCs w:val="24"/>
        </w:rPr>
        <w:t>Veras</w:t>
      </w:r>
      <w:r w:rsidR="00454F39" w:rsidRPr="0065508A">
        <w:rPr>
          <w:rFonts w:cs="Times New Roman"/>
          <w:szCs w:val="24"/>
        </w:rPr>
        <w:t xml:space="preserve"> </w:t>
      </w:r>
      <w:proofErr w:type="spellStart"/>
      <w:r w:rsidR="00081812" w:rsidRPr="0065508A">
        <w:rPr>
          <w:rFonts w:cs="Times New Roman"/>
          <w:szCs w:val="24"/>
        </w:rPr>
        <w:t>Mihaiļenko</w:t>
      </w:r>
      <w:proofErr w:type="spellEnd"/>
      <w:r w:rsidR="00847DD8" w:rsidRPr="0065508A">
        <w:rPr>
          <w:rFonts w:cs="Times New Roman"/>
          <w:szCs w:val="24"/>
        </w:rPr>
        <w:t xml:space="preserve"> </w:t>
      </w:r>
      <w:r w:rsidR="001C4034" w:rsidRPr="0065508A">
        <w:rPr>
          <w:rFonts w:cs="Times New Roman"/>
          <w:szCs w:val="24"/>
        </w:rPr>
        <w:t>kasācijas sūdzīb</w:t>
      </w:r>
      <w:r w:rsidR="00847DD8" w:rsidRPr="0065508A">
        <w:rPr>
          <w:rFonts w:cs="Times New Roman"/>
          <w:szCs w:val="24"/>
        </w:rPr>
        <w:t>u</w:t>
      </w:r>
      <w:r w:rsidR="001C4034" w:rsidRPr="0065508A">
        <w:rPr>
          <w:rFonts w:cs="Times New Roman"/>
          <w:szCs w:val="24"/>
        </w:rPr>
        <w:t xml:space="preserve"> </w:t>
      </w:r>
      <w:bookmarkEnd w:id="1"/>
      <w:r w:rsidRPr="0065508A">
        <w:rPr>
          <w:rFonts w:cs="Times New Roman"/>
          <w:szCs w:val="24"/>
        </w:rPr>
        <w:t xml:space="preserve">par </w:t>
      </w:r>
      <w:r w:rsidR="00DD4040">
        <w:rPr>
          <w:rFonts w:cs="Times New Roman"/>
          <w:szCs w:val="24"/>
        </w:rPr>
        <w:t>[..]</w:t>
      </w:r>
      <w:r w:rsidR="00E77D3E" w:rsidRPr="0065508A">
        <w:rPr>
          <w:rFonts w:cs="Times New Roman"/>
          <w:szCs w:val="24"/>
        </w:rPr>
        <w:t xml:space="preserve"> </w:t>
      </w:r>
      <w:r w:rsidR="005738CD" w:rsidRPr="0065508A">
        <w:rPr>
          <w:rFonts w:cs="Times New Roman"/>
          <w:szCs w:val="24"/>
        </w:rPr>
        <w:t>apgabaltiesas</w:t>
      </w:r>
      <w:r w:rsidR="00C80940" w:rsidRPr="0065508A">
        <w:rPr>
          <w:rFonts w:cs="Times New Roman"/>
          <w:szCs w:val="24"/>
        </w:rPr>
        <w:t xml:space="preserve"> </w:t>
      </w:r>
      <w:proofErr w:type="gramStart"/>
      <w:r w:rsidR="00C80940" w:rsidRPr="0065508A">
        <w:rPr>
          <w:rFonts w:cs="Times New Roman"/>
          <w:szCs w:val="24"/>
        </w:rPr>
        <w:t>20</w:t>
      </w:r>
      <w:r w:rsidR="005469B7" w:rsidRPr="0065508A">
        <w:rPr>
          <w:rFonts w:cs="Times New Roman"/>
          <w:szCs w:val="24"/>
        </w:rPr>
        <w:t>2</w:t>
      </w:r>
      <w:r w:rsidR="00847DD8" w:rsidRPr="0065508A">
        <w:rPr>
          <w:rFonts w:cs="Times New Roman"/>
          <w:szCs w:val="24"/>
        </w:rPr>
        <w:t>1</w:t>
      </w:r>
      <w:r w:rsidR="00C80940" w:rsidRPr="0065508A">
        <w:rPr>
          <w:rFonts w:cs="Times New Roman"/>
          <w:szCs w:val="24"/>
        </w:rPr>
        <w:t>.gada</w:t>
      </w:r>
      <w:proofErr w:type="gramEnd"/>
      <w:r w:rsidR="00C80940" w:rsidRPr="0065508A">
        <w:rPr>
          <w:rFonts w:cs="Times New Roman"/>
          <w:szCs w:val="24"/>
        </w:rPr>
        <w:t xml:space="preserve"> </w:t>
      </w:r>
      <w:r w:rsidR="00DD4040">
        <w:rPr>
          <w:rFonts w:cs="Times New Roman"/>
          <w:szCs w:val="24"/>
        </w:rPr>
        <w:t>[..]</w:t>
      </w:r>
      <w:r w:rsidRPr="0065508A">
        <w:rPr>
          <w:rFonts w:cs="Times New Roman"/>
          <w:szCs w:val="24"/>
        </w:rPr>
        <w:t xml:space="preserve"> </w:t>
      </w:r>
      <w:r w:rsidR="00454F39" w:rsidRPr="0065508A">
        <w:rPr>
          <w:rFonts w:cs="Times New Roman"/>
          <w:szCs w:val="24"/>
        </w:rPr>
        <w:t>lēmumu</w:t>
      </w:r>
      <w:r w:rsidR="005469B7" w:rsidRPr="0065508A">
        <w:rPr>
          <w:rFonts w:cs="Times New Roman"/>
          <w:szCs w:val="24"/>
        </w:rPr>
        <w:t>.</w:t>
      </w:r>
    </w:p>
    <w:p w14:paraId="00A06431" w14:textId="77777777" w:rsidR="00F5769E" w:rsidRPr="0065508A" w:rsidRDefault="00F5769E" w:rsidP="00F5769E">
      <w:pPr>
        <w:pStyle w:val="NoSpacing"/>
        <w:spacing w:line="276" w:lineRule="auto"/>
        <w:ind w:firstLine="720"/>
        <w:jc w:val="center"/>
        <w:rPr>
          <w:rFonts w:cs="Times New Roman"/>
          <w:szCs w:val="24"/>
        </w:rPr>
      </w:pPr>
    </w:p>
    <w:p w14:paraId="6D1FE22E" w14:textId="1A350F80" w:rsidR="00424471" w:rsidRPr="0065508A" w:rsidRDefault="00424471" w:rsidP="00F5769E">
      <w:pPr>
        <w:pStyle w:val="NoSpacing"/>
        <w:spacing w:line="276" w:lineRule="auto"/>
        <w:ind w:firstLine="720"/>
        <w:jc w:val="center"/>
        <w:rPr>
          <w:rFonts w:cs="Times New Roman"/>
          <w:b/>
          <w:i/>
          <w:szCs w:val="24"/>
        </w:rPr>
      </w:pPr>
      <w:r w:rsidRPr="0065508A">
        <w:rPr>
          <w:rFonts w:cs="Times New Roman"/>
          <w:b/>
          <w:szCs w:val="24"/>
        </w:rPr>
        <w:t>Aprakstošā daļa</w:t>
      </w:r>
    </w:p>
    <w:p w14:paraId="72365D8C" w14:textId="77777777" w:rsidR="005738CD" w:rsidRPr="0065508A" w:rsidRDefault="005738CD" w:rsidP="00F5769E">
      <w:pPr>
        <w:spacing w:after="0" w:line="276" w:lineRule="auto"/>
        <w:contextualSpacing/>
        <w:jc w:val="both"/>
        <w:rPr>
          <w:rFonts w:cs="Times New Roman"/>
          <w:szCs w:val="24"/>
        </w:rPr>
      </w:pPr>
    </w:p>
    <w:p w14:paraId="27511684" w14:textId="04A6446C" w:rsidR="005738CD" w:rsidRPr="0065508A" w:rsidRDefault="0064488E" w:rsidP="00F5769E">
      <w:pPr>
        <w:spacing w:after="0" w:line="276" w:lineRule="auto"/>
        <w:ind w:firstLine="709"/>
        <w:jc w:val="both"/>
        <w:rPr>
          <w:rFonts w:eastAsia="Calibri" w:cs="Times New Roman"/>
          <w:szCs w:val="24"/>
          <w:lang w:eastAsia="lv-LV"/>
        </w:rPr>
      </w:pPr>
      <w:r w:rsidRPr="0065508A">
        <w:rPr>
          <w:rFonts w:eastAsia="Calibri" w:cs="Times New Roman"/>
          <w:szCs w:val="24"/>
        </w:rPr>
        <w:t>[1] </w:t>
      </w:r>
      <w:r w:rsidR="005738CD" w:rsidRPr="0065508A">
        <w:rPr>
          <w:rFonts w:eastAsia="Calibri" w:cs="Times New Roman"/>
          <w:szCs w:val="24"/>
          <w:lang w:eastAsia="lv-LV"/>
        </w:rPr>
        <w:t xml:space="preserve">Ar </w:t>
      </w:r>
      <w:bookmarkStart w:id="2" w:name="_Hlk85639188"/>
      <w:r w:rsidR="00DD4040">
        <w:rPr>
          <w:rFonts w:eastAsia="Calibri" w:cs="Times New Roman"/>
          <w:szCs w:val="24"/>
          <w:lang w:eastAsia="lv-LV"/>
        </w:rPr>
        <w:t>[rajona (pilsētas)]</w:t>
      </w:r>
      <w:r w:rsidR="003369AE" w:rsidRPr="0065508A">
        <w:rPr>
          <w:rFonts w:eastAsia="Calibri" w:cs="Times New Roman"/>
          <w:szCs w:val="24"/>
          <w:lang w:eastAsia="lv-LV"/>
        </w:rPr>
        <w:t xml:space="preserve"> tiesas</w:t>
      </w:r>
      <w:r w:rsidR="005738CD" w:rsidRPr="0065508A">
        <w:rPr>
          <w:rFonts w:eastAsia="Calibri" w:cs="Times New Roman"/>
          <w:szCs w:val="24"/>
          <w:lang w:eastAsia="lv-LV"/>
        </w:rPr>
        <w:t xml:space="preserve"> </w:t>
      </w:r>
      <w:proofErr w:type="gramStart"/>
      <w:r w:rsidR="00BA30E3" w:rsidRPr="0065508A">
        <w:rPr>
          <w:rFonts w:eastAsia="Calibri" w:cs="Times New Roman"/>
          <w:szCs w:val="24"/>
          <w:lang w:eastAsia="lv-LV"/>
        </w:rPr>
        <w:t>20</w:t>
      </w:r>
      <w:r w:rsidR="00936D78" w:rsidRPr="0065508A">
        <w:rPr>
          <w:rFonts w:eastAsia="Calibri" w:cs="Times New Roman"/>
          <w:szCs w:val="24"/>
          <w:lang w:eastAsia="lv-LV"/>
        </w:rPr>
        <w:t>21</w:t>
      </w:r>
      <w:r w:rsidR="005738CD" w:rsidRPr="0065508A">
        <w:rPr>
          <w:rFonts w:eastAsia="Calibri" w:cs="Times New Roman"/>
          <w:szCs w:val="24"/>
          <w:lang w:eastAsia="lv-LV"/>
        </w:rPr>
        <w:t>.gada</w:t>
      </w:r>
      <w:proofErr w:type="gramEnd"/>
      <w:r w:rsidR="005738CD" w:rsidRPr="0065508A">
        <w:rPr>
          <w:rFonts w:eastAsia="Calibri" w:cs="Times New Roman"/>
          <w:szCs w:val="24"/>
          <w:lang w:eastAsia="lv-LV"/>
        </w:rPr>
        <w:t xml:space="preserve"> </w:t>
      </w:r>
      <w:r w:rsidR="00DD4040">
        <w:rPr>
          <w:rFonts w:eastAsia="Calibri" w:cs="Times New Roman"/>
          <w:szCs w:val="24"/>
          <w:lang w:eastAsia="lv-LV"/>
        </w:rPr>
        <w:t>[..]</w:t>
      </w:r>
      <w:r w:rsidR="005738CD" w:rsidRPr="0065508A">
        <w:rPr>
          <w:rFonts w:eastAsia="Calibri" w:cs="Times New Roman"/>
          <w:szCs w:val="24"/>
          <w:lang w:eastAsia="lv-LV"/>
        </w:rPr>
        <w:t xml:space="preserve"> spriedumu</w:t>
      </w:r>
      <w:bookmarkEnd w:id="2"/>
    </w:p>
    <w:p w14:paraId="6CD99287" w14:textId="4C0F08A4" w:rsidR="005738CD" w:rsidRPr="0065508A" w:rsidRDefault="00DD4040" w:rsidP="00F5769E">
      <w:pPr>
        <w:spacing w:after="0" w:line="276" w:lineRule="auto"/>
        <w:ind w:firstLine="709"/>
        <w:jc w:val="both"/>
        <w:rPr>
          <w:rFonts w:eastAsia="Calibri" w:cs="Times New Roman"/>
          <w:szCs w:val="24"/>
        </w:rPr>
      </w:pPr>
      <w:r>
        <w:rPr>
          <w:rFonts w:eastAsia="Calibri" w:cs="Times New Roman"/>
          <w:szCs w:val="24"/>
        </w:rPr>
        <w:t>[pers. </w:t>
      </w:r>
      <w:r>
        <w:t>A]</w:t>
      </w:r>
      <w:r w:rsidR="003369AE" w:rsidRPr="0065508A">
        <w:rPr>
          <w:rFonts w:eastAsia="Calibri" w:cs="Times New Roman"/>
          <w:szCs w:val="24"/>
        </w:rPr>
        <w:t>,</w:t>
      </w:r>
      <w:r w:rsidR="005738CD" w:rsidRPr="0065508A">
        <w:rPr>
          <w:rFonts w:eastAsia="Calibri" w:cs="Times New Roman"/>
          <w:szCs w:val="24"/>
        </w:rPr>
        <w:t xml:space="preserve"> personas kods </w:t>
      </w:r>
      <w:r>
        <w:rPr>
          <w:rFonts w:eastAsia="Calibri" w:cs="Times New Roman"/>
          <w:szCs w:val="24"/>
        </w:rPr>
        <w:t>[..]</w:t>
      </w:r>
      <w:r w:rsidR="005738CD" w:rsidRPr="0065508A">
        <w:rPr>
          <w:rFonts w:eastAsia="Calibri" w:cs="Times New Roman"/>
          <w:szCs w:val="24"/>
        </w:rPr>
        <w:t>,</w:t>
      </w:r>
    </w:p>
    <w:p w14:paraId="24495441" w14:textId="11ED6CA7" w:rsidR="00D35817" w:rsidRPr="0065508A" w:rsidRDefault="005738CD" w:rsidP="00F5769E">
      <w:pPr>
        <w:spacing w:after="0" w:line="276" w:lineRule="auto"/>
        <w:ind w:firstLine="709"/>
        <w:jc w:val="both"/>
        <w:rPr>
          <w:rFonts w:eastAsia="Calibri" w:cs="Times New Roman"/>
          <w:szCs w:val="24"/>
        </w:rPr>
      </w:pPr>
      <w:r w:rsidRPr="0065508A">
        <w:rPr>
          <w:rFonts w:eastAsia="Calibri" w:cs="Times New Roman"/>
          <w:szCs w:val="24"/>
        </w:rPr>
        <w:t>atzīt</w:t>
      </w:r>
      <w:r w:rsidR="00454F39" w:rsidRPr="0065508A">
        <w:rPr>
          <w:rFonts w:eastAsia="Calibri" w:cs="Times New Roman"/>
          <w:szCs w:val="24"/>
        </w:rPr>
        <w:t>s</w:t>
      </w:r>
      <w:r w:rsidRPr="0065508A">
        <w:rPr>
          <w:rFonts w:eastAsia="Calibri" w:cs="Times New Roman"/>
          <w:szCs w:val="24"/>
        </w:rPr>
        <w:t xml:space="preserve"> par vainīgu Krimināllikuma </w:t>
      </w:r>
      <w:proofErr w:type="gramStart"/>
      <w:r w:rsidR="00454F39" w:rsidRPr="0065508A">
        <w:rPr>
          <w:rFonts w:eastAsia="Calibri" w:cs="Times New Roman"/>
          <w:szCs w:val="24"/>
        </w:rPr>
        <w:t>1</w:t>
      </w:r>
      <w:r w:rsidR="00936D78" w:rsidRPr="0065508A">
        <w:rPr>
          <w:rFonts w:eastAsia="Calibri" w:cs="Times New Roman"/>
          <w:szCs w:val="24"/>
        </w:rPr>
        <w:t>60</w:t>
      </w:r>
      <w:r w:rsidR="00454F39" w:rsidRPr="0065508A">
        <w:rPr>
          <w:rFonts w:eastAsia="Calibri" w:cs="Times New Roman"/>
          <w:szCs w:val="24"/>
        </w:rPr>
        <w:t>.panta</w:t>
      </w:r>
      <w:proofErr w:type="gramEnd"/>
      <w:r w:rsidR="00454F39" w:rsidRPr="0065508A">
        <w:rPr>
          <w:rFonts w:eastAsia="Calibri" w:cs="Times New Roman"/>
          <w:szCs w:val="24"/>
        </w:rPr>
        <w:t xml:space="preserve"> </w:t>
      </w:r>
      <w:r w:rsidR="00936D78" w:rsidRPr="0065508A">
        <w:rPr>
          <w:rFonts w:eastAsia="Calibri" w:cs="Times New Roman"/>
          <w:szCs w:val="24"/>
        </w:rPr>
        <w:t>ceturtajā</w:t>
      </w:r>
      <w:r w:rsidR="00454F39" w:rsidRPr="0065508A">
        <w:rPr>
          <w:rFonts w:eastAsia="Calibri" w:cs="Times New Roman"/>
          <w:szCs w:val="24"/>
        </w:rPr>
        <w:t xml:space="preserve"> daļā </w:t>
      </w:r>
      <w:r w:rsidRPr="0065508A">
        <w:rPr>
          <w:rFonts w:eastAsia="Calibri" w:cs="Times New Roman"/>
          <w:szCs w:val="24"/>
        </w:rPr>
        <w:t xml:space="preserve">paredzētajā noziedzīgajā nodarījumā </w:t>
      </w:r>
      <w:r w:rsidR="0050552D" w:rsidRPr="0065508A">
        <w:rPr>
          <w:rFonts w:eastAsia="Calibri" w:cs="Times New Roman"/>
          <w:szCs w:val="24"/>
        </w:rPr>
        <w:t>un</w:t>
      </w:r>
      <w:r w:rsidR="00454F39" w:rsidRPr="0065508A">
        <w:rPr>
          <w:rFonts w:eastAsia="Calibri" w:cs="Times New Roman"/>
          <w:szCs w:val="24"/>
        </w:rPr>
        <w:t xml:space="preserve"> </w:t>
      </w:r>
      <w:r w:rsidR="005E0978" w:rsidRPr="0065508A">
        <w:rPr>
          <w:rFonts w:eastAsia="Calibri" w:cs="Times New Roman"/>
          <w:szCs w:val="24"/>
        </w:rPr>
        <w:t>sodīt</w:t>
      </w:r>
      <w:r w:rsidR="00454F39" w:rsidRPr="0065508A">
        <w:rPr>
          <w:rFonts w:eastAsia="Calibri" w:cs="Times New Roman"/>
          <w:szCs w:val="24"/>
        </w:rPr>
        <w:t xml:space="preserve">s ar brīvības atņemšanu uz </w:t>
      </w:r>
      <w:r w:rsidR="009229BC" w:rsidRPr="0065508A">
        <w:rPr>
          <w:rFonts w:eastAsia="Calibri" w:cs="Times New Roman"/>
          <w:szCs w:val="24"/>
        </w:rPr>
        <w:t xml:space="preserve">6 </w:t>
      </w:r>
      <w:r w:rsidR="00936D78" w:rsidRPr="0065508A">
        <w:rPr>
          <w:rFonts w:eastAsia="Calibri" w:cs="Times New Roman"/>
          <w:szCs w:val="24"/>
        </w:rPr>
        <w:t>gadiem</w:t>
      </w:r>
      <w:r w:rsidR="00023EBA" w:rsidRPr="0065508A">
        <w:rPr>
          <w:rFonts w:eastAsia="Calibri" w:cs="Times New Roman"/>
          <w:szCs w:val="24"/>
        </w:rPr>
        <w:t xml:space="preserve"> un</w:t>
      </w:r>
      <w:r w:rsidR="00936D78" w:rsidRPr="0065508A">
        <w:rPr>
          <w:rFonts w:eastAsia="Calibri" w:cs="Times New Roman"/>
          <w:szCs w:val="24"/>
        </w:rPr>
        <w:t xml:space="preserve"> probācijas uzraudzību uz </w:t>
      </w:r>
      <w:r w:rsidR="009229BC" w:rsidRPr="0065508A">
        <w:rPr>
          <w:rFonts w:eastAsia="Calibri" w:cs="Times New Roman"/>
          <w:szCs w:val="24"/>
        </w:rPr>
        <w:t xml:space="preserve">2 </w:t>
      </w:r>
      <w:r w:rsidR="00936D78" w:rsidRPr="0065508A">
        <w:rPr>
          <w:rFonts w:eastAsia="Calibri" w:cs="Times New Roman"/>
          <w:szCs w:val="24"/>
        </w:rPr>
        <w:t>gadiem</w:t>
      </w:r>
      <w:r w:rsidR="00454F39" w:rsidRPr="0065508A">
        <w:rPr>
          <w:rFonts w:eastAsia="Calibri" w:cs="Times New Roman"/>
          <w:szCs w:val="24"/>
        </w:rPr>
        <w:t>.</w:t>
      </w:r>
    </w:p>
    <w:p w14:paraId="23DAC64D" w14:textId="77777777" w:rsidR="009F0025" w:rsidRPr="0065508A" w:rsidRDefault="009F0025" w:rsidP="00F5769E">
      <w:pPr>
        <w:autoSpaceDE w:val="0"/>
        <w:autoSpaceDN w:val="0"/>
        <w:adjustRightInd w:val="0"/>
        <w:spacing w:after="0" w:line="276" w:lineRule="auto"/>
        <w:jc w:val="both"/>
        <w:rPr>
          <w:rFonts w:eastAsia="Calibri" w:cs="Times New Roman"/>
          <w:szCs w:val="24"/>
        </w:rPr>
      </w:pPr>
    </w:p>
    <w:p w14:paraId="316D95DD" w14:textId="4F1353F8" w:rsidR="004A59B5" w:rsidRPr="0065508A" w:rsidRDefault="009F0025" w:rsidP="00F5769E">
      <w:pPr>
        <w:autoSpaceDE w:val="0"/>
        <w:autoSpaceDN w:val="0"/>
        <w:adjustRightInd w:val="0"/>
        <w:spacing w:after="0" w:line="276" w:lineRule="auto"/>
        <w:ind w:firstLine="709"/>
        <w:jc w:val="both"/>
        <w:rPr>
          <w:rFonts w:cs="Times New Roman"/>
          <w:szCs w:val="24"/>
        </w:rPr>
      </w:pPr>
      <w:r w:rsidRPr="0065508A">
        <w:rPr>
          <w:rFonts w:eastAsia="Calibri" w:cs="Times New Roman"/>
          <w:szCs w:val="24"/>
        </w:rPr>
        <w:t>[</w:t>
      </w:r>
      <w:r w:rsidR="00623A94" w:rsidRPr="0065508A">
        <w:rPr>
          <w:rFonts w:eastAsia="Calibri" w:cs="Times New Roman"/>
          <w:szCs w:val="24"/>
        </w:rPr>
        <w:t>2</w:t>
      </w:r>
      <w:r w:rsidR="0064488E" w:rsidRPr="0065508A">
        <w:rPr>
          <w:rFonts w:eastAsia="Calibri" w:cs="Times New Roman"/>
          <w:szCs w:val="24"/>
        </w:rPr>
        <w:t>] </w:t>
      </w:r>
      <w:r w:rsidR="00912AB1" w:rsidRPr="0065508A">
        <w:rPr>
          <w:rFonts w:cs="Times New Roman"/>
          <w:szCs w:val="24"/>
        </w:rPr>
        <w:t xml:space="preserve">Ar </w:t>
      </w:r>
      <w:r w:rsidR="00DD4040">
        <w:rPr>
          <w:rFonts w:cs="Times New Roman"/>
          <w:szCs w:val="24"/>
        </w:rPr>
        <w:t>[..]</w:t>
      </w:r>
      <w:r w:rsidR="00912AB1" w:rsidRPr="0065508A">
        <w:rPr>
          <w:rFonts w:cs="Times New Roman"/>
          <w:szCs w:val="24"/>
        </w:rPr>
        <w:t xml:space="preserve"> apgabaltiesas </w:t>
      </w:r>
      <w:proofErr w:type="gramStart"/>
      <w:r w:rsidR="00912AB1" w:rsidRPr="0065508A">
        <w:rPr>
          <w:rFonts w:cs="Times New Roman"/>
          <w:szCs w:val="24"/>
        </w:rPr>
        <w:t>20</w:t>
      </w:r>
      <w:r w:rsidR="000E129B" w:rsidRPr="0065508A">
        <w:rPr>
          <w:rFonts w:cs="Times New Roman"/>
          <w:szCs w:val="24"/>
        </w:rPr>
        <w:t>21</w:t>
      </w:r>
      <w:r w:rsidR="00912AB1" w:rsidRPr="0065508A">
        <w:rPr>
          <w:rFonts w:cs="Times New Roman"/>
          <w:szCs w:val="24"/>
        </w:rPr>
        <w:t>.gada</w:t>
      </w:r>
      <w:proofErr w:type="gramEnd"/>
      <w:r w:rsidR="00912AB1" w:rsidRPr="0065508A">
        <w:rPr>
          <w:rFonts w:cs="Times New Roman"/>
          <w:szCs w:val="24"/>
        </w:rPr>
        <w:t xml:space="preserve"> </w:t>
      </w:r>
      <w:r w:rsidR="00DD4040">
        <w:rPr>
          <w:rFonts w:cs="Times New Roman"/>
          <w:szCs w:val="24"/>
        </w:rPr>
        <w:t>[..]</w:t>
      </w:r>
      <w:r w:rsidR="00912AB1" w:rsidRPr="0065508A">
        <w:rPr>
          <w:rFonts w:cs="Times New Roman"/>
          <w:szCs w:val="24"/>
        </w:rPr>
        <w:t xml:space="preserve"> lēmumu</w:t>
      </w:r>
      <w:r w:rsidR="00623A94" w:rsidRPr="0065508A">
        <w:rPr>
          <w:rFonts w:cs="Times New Roman"/>
          <w:szCs w:val="24"/>
        </w:rPr>
        <w:t xml:space="preserve">, iztiesājot krimināllietu sakarā ar apsūdzētā </w:t>
      </w:r>
      <w:r w:rsidR="00DD4040">
        <w:rPr>
          <w:rFonts w:cs="Times New Roman"/>
          <w:szCs w:val="24"/>
        </w:rPr>
        <w:t>[pers. </w:t>
      </w:r>
      <w:r w:rsidR="00DD4040">
        <w:t>A]</w:t>
      </w:r>
      <w:r w:rsidR="00623A94" w:rsidRPr="0065508A">
        <w:rPr>
          <w:rFonts w:cs="Times New Roman"/>
          <w:szCs w:val="24"/>
        </w:rPr>
        <w:t xml:space="preserve"> aizstāves Kristīnes </w:t>
      </w:r>
      <w:proofErr w:type="spellStart"/>
      <w:r w:rsidR="00623A94" w:rsidRPr="0065508A">
        <w:rPr>
          <w:rFonts w:cs="Times New Roman"/>
          <w:szCs w:val="24"/>
        </w:rPr>
        <w:t>Groznes-Kļusovas</w:t>
      </w:r>
      <w:proofErr w:type="spellEnd"/>
      <w:r w:rsidR="00623A94" w:rsidRPr="0065508A">
        <w:rPr>
          <w:rFonts w:cs="Times New Roman"/>
          <w:szCs w:val="24"/>
        </w:rPr>
        <w:t xml:space="preserve"> apelācijas sūdzību,</w:t>
      </w:r>
      <w:r w:rsidR="00912AB1" w:rsidRPr="0065508A">
        <w:rPr>
          <w:rFonts w:cs="Times New Roman"/>
          <w:szCs w:val="24"/>
        </w:rPr>
        <w:t xml:space="preserve"> </w:t>
      </w:r>
      <w:r w:rsidR="00DD4040">
        <w:rPr>
          <w:rFonts w:cs="Times New Roman"/>
          <w:szCs w:val="24"/>
        </w:rPr>
        <w:t>[rajona (pilsētas)]</w:t>
      </w:r>
      <w:r w:rsidR="00936D78" w:rsidRPr="0065508A">
        <w:rPr>
          <w:rFonts w:cs="Times New Roman"/>
          <w:szCs w:val="24"/>
        </w:rPr>
        <w:t xml:space="preserve"> </w:t>
      </w:r>
      <w:r w:rsidR="00912AB1" w:rsidRPr="0065508A">
        <w:rPr>
          <w:rFonts w:cs="Times New Roman"/>
          <w:szCs w:val="24"/>
        </w:rPr>
        <w:t xml:space="preserve">tiesas </w:t>
      </w:r>
      <w:r w:rsidR="00936D78" w:rsidRPr="0065508A">
        <w:rPr>
          <w:rFonts w:cs="Times New Roman"/>
          <w:szCs w:val="24"/>
        </w:rPr>
        <w:t>2021</w:t>
      </w:r>
      <w:r w:rsidR="00912AB1" w:rsidRPr="0065508A">
        <w:rPr>
          <w:rFonts w:cs="Times New Roman"/>
          <w:szCs w:val="24"/>
        </w:rPr>
        <w:t xml:space="preserve">.gada </w:t>
      </w:r>
      <w:r w:rsidR="00DD4040">
        <w:rPr>
          <w:rFonts w:cs="Times New Roman"/>
          <w:szCs w:val="24"/>
        </w:rPr>
        <w:t>[..]</w:t>
      </w:r>
      <w:r w:rsidR="00452E25" w:rsidRPr="0065508A">
        <w:rPr>
          <w:rFonts w:cs="Times New Roman"/>
          <w:szCs w:val="24"/>
        </w:rPr>
        <w:t xml:space="preserve"> </w:t>
      </w:r>
      <w:r w:rsidR="00912AB1" w:rsidRPr="0065508A">
        <w:rPr>
          <w:rFonts w:cs="Times New Roman"/>
          <w:szCs w:val="24"/>
        </w:rPr>
        <w:t xml:space="preserve">spriedums </w:t>
      </w:r>
      <w:r w:rsidR="00452E25" w:rsidRPr="0065508A">
        <w:rPr>
          <w:rFonts w:cs="Times New Roman"/>
          <w:szCs w:val="24"/>
        </w:rPr>
        <w:t>atstāts negrozīts</w:t>
      </w:r>
      <w:r w:rsidR="00912AB1" w:rsidRPr="0065508A">
        <w:rPr>
          <w:rFonts w:cs="Times New Roman"/>
          <w:szCs w:val="24"/>
        </w:rPr>
        <w:t>.</w:t>
      </w:r>
    </w:p>
    <w:p w14:paraId="17448B69" w14:textId="31F08D6C" w:rsidR="00912AB1" w:rsidRPr="0065508A" w:rsidRDefault="00912AB1" w:rsidP="00F5769E">
      <w:pPr>
        <w:autoSpaceDE w:val="0"/>
        <w:autoSpaceDN w:val="0"/>
        <w:adjustRightInd w:val="0"/>
        <w:spacing w:after="0" w:line="276" w:lineRule="auto"/>
        <w:ind w:firstLine="709"/>
        <w:jc w:val="both"/>
        <w:rPr>
          <w:rFonts w:cs="Times New Roman"/>
          <w:szCs w:val="24"/>
        </w:rPr>
      </w:pPr>
    </w:p>
    <w:p w14:paraId="3E2D1E3D" w14:textId="3F612DA0" w:rsidR="0050552D" w:rsidRPr="0065508A" w:rsidRDefault="0050552D" w:rsidP="00F5769E">
      <w:pPr>
        <w:autoSpaceDE w:val="0"/>
        <w:autoSpaceDN w:val="0"/>
        <w:adjustRightInd w:val="0"/>
        <w:spacing w:after="0" w:line="276" w:lineRule="auto"/>
        <w:ind w:firstLine="709"/>
        <w:jc w:val="both"/>
        <w:rPr>
          <w:rFonts w:eastAsia="Calibri" w:cs="Times New Roman"/>
          <w:szCs w:val="24"/>
        </w:rPr>
      </w:pPr>
      <w:r w:rsidRPr="0065508A">
        <w:rPr>
          <w:rFonts w:eastAsia="Calibri" w:cs="Times New Roman"/>
          <w:szCs w:val="24"/>
        </w:rPr>
        <w:t>[</w:t>
      </w:r>
      <w:r w:rsidR="00623A94" w:rsidRPr="0065508A">
        <w:rPr>
          <w:rFonts w:eastAsia="Calibri" w:cs="Times New Roman"/>
          <w:szCs w:val="24"/>
        </w:rPr>
        <w:t>3</w:t>
      </w:r>
      <w:r w:rsidRPr="0065508A">
        <w:rPr>
          <w:rFonts w:eastAsia="Calibri" w:cs="Times New Roman"/>
          <w:szCs w:val="24"/>
        </w:rPr>
        <w:t>]</w:t>
      </w:r>
      <w:r w:rsidR="00023EBA" w:rsidRPr="0065508A">
        <w:rPr>
          <w:rFonts w:eastAsia="Calibri" w:cs="Times New Roman"/>
          <w:szCs w:val="24"/>
        </w:rPr>
        <w:t> </w:t>
      </w:r>
      <w:r w:rsidR="00651BD7" w:rsidRPr="0065508A">
        <w:rPr>
          <w:rFonts w:eastAsia="Calibri" w:cs="Times New Roman"/>
          <w:szCs w:val="24"/>
        </w:rPr>
        <w:t>P</w:t>
      </w:r>
      <w:r w:rsidR="001748B7" w:rsidRPr="0065508A">
        <w:rPr>
          <w:rFonts w:eastAsia="Calibri" w:cs="Times New Roman"/>
          <w:szCs w:val="24"/>
        </w:rPr>
        <w:t xml:space="preserve">ar </w:t>
      </w:r>
      <w:r w:rsidR="00DD4040">
        <w:rPr>
          <w:rFonts w:eastAsia="Calibri" w:cs="Times New Roman"/>
          <w:szCs w:val="24"/>
        </w:rPr>
        <w:t>[..]</w:t>
      </w:r>
      <w:r w:rsidR="000468A8" w:rsidRPr="0065508A">
        <w:rPr>
          <w:rFonts w:eastAsia="Calibri" w:cs="Times New Roman"/>
          <w:szCs w:val="24"/>
        </w:rPr>
        <w:t xml:space="preserve"> apgabaltiesas</w:t>
      </w:r>
      <w:r w:rsidR="001748B7" w:rsidRPr="0065508A">
        <w:rPr>
          <w:rFonts w:eastAsia="Calibri" w:cs="Times New Roman"/>
          <w:szCs w:val="24"/>
        </w:rPr>
        <w:t xml:space="preserve"> tiesas</w:t>
      </w:r>
      <w:r w:rsidR="000468A8" w:rsidRPr="0065508A">
        <w:rPr>
          <w:rFonts w:eastAsia="Calibri" w:cs="Times New Roman"/>
          <w:szCs w:val="24"/>
        </w:rPr>
        <w:t xml:space="preserve"> </w:t>
      </w:r>
      <w:proofErr w:type="gramStart"/>
      <w:r w:rsidR="000468A8" w:rsidRPr="0065508A">
        <w:rPr>
          <w:rFonts w:eastAsia="Calibri" w:cs="Times New Roman"/>
          <w:szCs w:val="24"/>
        </w:rPr>
        <w:t>2021.gada</w:t>
      </w:r>
      <w:proofErr w:type="gramEnd"/>
      <w:r w:rsidR="000468A8" w:rsidRPr="0065508A">
        <w:rPr>
          <w:rFonts w:eastAsia="Calibri" w:cs="Times New Roman"/>
          <w:szCs w:val="24"/>
        </w:rPr>
        <w:t xml:space="preserve"> </w:t>
      </w:r>
      <w:r w:rsidR="00DD4040">
        <w:rPr>
          <w:rFonts w:eastAsia="Calibri" w:cs="Times New Roman"/>
          <w:szCs w:val="24"/>
        </w:rPr>
        <w:t>[..]</w:t>
      </w:r>
      <w:r w:rsidR="001748B7" w:rsidRPr="0065508A">
        <w:rPr>
          <w:rFonts w:eastAsia="Calibri" w:cs="Times New Roman"/>
          <w:szCs w:val="24"/>
        </w:rPr>
        <w:t xml:space="preserve"> </w:t>
      </w:r>
      <w:r w:rsidR="00D2339B" w:rsidRPr="0065508A">
        <w:rPr>
          <w:rFonts w:eastAsia="Calibri" w:cs="Times New Roman"/>
          <w:szCs w:val="24"/>
        </w:rPr>
        <w:t>lēmumu</w:t>
      </w:r>
      <w:r w:rsidR="001748B7" w:rsidRPr="0065508A">
        <w:rPr>
          <w:rFonts w:eastAsia="Calibri" w:cs="Times New Roman"/>
          <w:szCs w:val="24"/>
        </w:rPr>
        <w:t xml:space="preserve"> </w:t>
      </w:r>
      <w:r w:rsidR="00651BD7" w:rsidRPr="0065508A">
        <w:rPr>
          <w:rFonts w:eastAsia="Calibri" w:cs="Times New Roman"/>
          <w:szCs w:val="24"/>
        </w:rPr>
        <w:t xml:space="preserve">apsūdzētā </w:t>
      </w:r>
      <w:r w:rsidR="00DD4040">
        <w:rPr>
          <w:rFonts w:eastAsia="Calibri" w:cs="Times New Roman"/>
          <w:szCs w:val="24"/>
        </w:rPr>
        <w:t>[pers. </w:t>
      </w:r>
      <w:r w:rsidR="00DD4040">
        <w:t>A]</w:t>
      </w:r>
      <w:r w:rsidR="00D2339B" w:rsidRPr="0065508A">
        <w:rPr>
          <w:rFonts w:eastAsia="Calibri" w:cs="Times New Roman"/>
          <w:szCs w:val="24"/>
        </w:rPr>
        <w:t xml:space="preserve"> aizstāve V. </w:t>
      </w:r>
      <w:proofErr w:type="spellStart"/>
      <w:r w:rsidR="00D2339B" w:rsidRPr="0065508A">
        <w:rPr>
          <w:rFonts w:eastAsia="Calibri" w:cs="Times New Roman"/>
          <w:szCs w:val="24"/>
        </w:rPr>
        <w:t>Mihaiļenko</w:t>
      </w:r>
      <w:proofErr w:type="spellEnd"/>
      <w:r w:rsidR="00D2339B" w:rsidRPr="0065508A">
        <w:rPr>
          <w:rFonts w:eastAsia="Calibri" w:cs="Times New Roman"/>
          <w:szCs w:val="24"/>
        </w:rPr>
        <w:t xml:space="preserve"> iesniegusi kasācijas sūdzību, kurā lūdz atcelt </w:t>
      </w:r>
      <w:r w:rsidR="000468A8" w:rsidRPr="0065508A">
        <w:rPr>
          <w:rFonts w:eastAsia="Calibri" w:cs="Times New Roman"/>
          <w:szCs w:val="24"/>
        </w:rPr>
        <w:t>apelācijas instances tiesas lēmumu</w:t>
      </w:r>
      <w:r w:rsidR="00D2339B" w:rsidRPr="0065508A">
        <w:rPr>
          <w:rFonts w:eastAsia="Calibri" w:cs="Times New Roman"/>
          <w:szCs w:val="24"/>
        </w:rPr>
        <w:t xml:space="preserve"> pilnībā un nosūtīt lietu jaunai izskatīšanai</w:t>
      </w:r>
      <w:r w:rsidR="00521076" w:rsidRPr="0065508A">
        <w:rPr>
          <w:rFonts w:eastAsia="Calibri" w:cs="Times New Roman"/>
          <w:szCs w:val="24"/>
        </w:rPr>
        <w:t xml:space="preserve"> sakarā ar tiesas pieļautajiem Krimināllikuma 1.panta pirmās daļas</w:t>
      </w:r>
      <w:r w:rsidR="001D1A6B" w:rsidRPr="0065508A">
        <w:rPr>
          <w:rFonts w:eastAsia="Calibri" w:cs="Times New Roman"/>
          <w:szCs w:val="24"/>
        </w:rPr>
        <w:t>,</w:t>
      </w:r>
      <w:r w:rsidR="00521076" w:rsidRPr="0065508A">
        <w:rPr>
          <w:rFonts w:eastAsia="Calibri" w:cs="Times New Roman"/>
          <w:szCs w:val="24"/>
        </w:rPr>
        <w:t xml:space="preserve"> Kriminālprocesa likuma 15.panta, 19.panta pirmās un trešās daļas, 20.panta pirmās daļas, 130.panta otrās daļas 1. un 2.punkta, 511.panta otrās daļas, 512.panta otrās daļas un 520.panta pirmās daļas pārkāpum</w:t>
      </w:r>
      <w:r w:rsidR="001D1A6B" w:rsidRPr="0065508A">
        <w:rPr>
          <w:rFonts w:eastAsia="Calibri" w:cs="Times New Roman"/>
          <w:szCs w:val="24"/>
        </w:rPr>
        <w:t>iem</w:t>
      </w:r>
      <w:r w:rsidR="00521076" w:rsidRPr="0065508A">
        <w:rPr>
          <w:rFonts w:eastAsia="Calibri" w:cs="Times New Roman"/>
          <w:szCs w:val="24"/>
        </w:rPr>
        <w:t>, kas noved</w:t>
      </w:r>
      <w:r w:rsidR="00063413" w:rsidRPr="0065508A">
        <w:rPr>
          <w:rFonts w:eastAsia="Calibri" w:cs="Times New Roman"/>
          <w:szCs w:val="24"/>
        </w:rPr>
        <w:t>is</w:t>
      </w:r>
      <w:r w:rsidR="00521076" w:rsidRPr="0065508A">
        <w:rPr>
          <w:rFonts w:eastAsia="Calibri" w:cs="Times New Roman"/>
          <w:szCs w:val="24"/>
        </w:rPr>
        <w:t xml:space="preserve"> pie nelikumīga nolēmuma.</w:t>
      </w:r>
    </w:p>
    <w:p w14:paraId="396F2099" w14:textId="42B2BFE5" w:rsidR="00415960" w:rsidRPr="0065508A" w:rsidRDefault="00C515B5" w:rsidP="00F5769E">
      <w:pPr>
        <w:autoSpaceDE w:val="0"/>
        <w:autoSpaceDN w:val="0"/>
        <w:adjustRightInd w:val="0"/>
        <w:spacing w:after="0" w:line="276" w:lineRule="auto"/>
        <w:ind w:firstLine="709"/>
        <w:jc w:val="both"/>
        <w:rPr>
          <w:rFonts w:eastAsia="Calibri" w:cs="Times New Roman"/>
          <w:szCs w:val="24"/>
        </w:rPr>
      </w:pPr>
      <w:r w:rsidRPr="0065508A">
        <w:rPr>
          <w:rFonts w:eastAsia="Calibri" w:cs="Times New Roman"/>
          <w:szCs w:val="24"/>
        </w:rPr>
        <w:t>Kasācijas sūdzīb</w:t>
      </w:r>
      <w:r w:rsidR="001942CE" w:rsidRPr="0065508A">
        <w:rPr>
          <w:rFonts w:eastAsia="Calibri" w:cs="Times New Roman"/>
          <w:szCs w:val="24"/>
        </w:rPr>
        <w:t>a pamatota ar turpmāk norādītajiem argumentiem.</w:t>
      </w:r>
    </w:p>
    <w:p w14:paraId="5D61794F" w14:textId="0C4E9A5C" w:rsidR="0075058C" w:rsidRPr="0065508A" w:rsidRDefault="006175F4" w:rsidP="00F5769E">
      <w:pPr>
        <w:autoSpaceDE w:val="0"/>
        <w:autoSpaceDN w:val="0"/>
        <w:adjustRightInd w:val="0"/>
        <w:spacing w:after="0" w:line="276" w:lineRule="auto"/>
        <w:ind w:firstLine="709"/>
        <w:jc w:val="both"/>
        <w:rPr>
          <w:rFonts w:eastAsia="Calibri" w:cs="Times New Roman"/>
          <w:szCs w:val="24"/>
        </w:rPr>
      </w:pPr>
      <w:r w:rsidRPr="0065508A">
        <w:rPr>
          <w:rFonts w:eastAsia="Calibri" w:cs="Times New Roman"/>
          <w:szCs w:val="24"/>
        </w:rPr>
        <w:t>[</w:t>
      </w:r>
      <w:r w:rsidR="00533958" w:rsidRPr="0065508A">
        <w:rPr>
          <w:rFonts w:eastAsia="Calibri" w:cs="Times New Roman"/>
          <w:szCs w:val="24"/>
        </w:rPr>
        <w:t>3</w:t>
      </w:r>
      <w:r w:rsidRPr="0065508A">
        <w:rPr>
          <w:rFonts w:eastAsia="Calibri" w:cs="Times New Roman"/>
          <w:szCs w:val="24"/>
        </w:rPr>
        <w:t>.1]</w:t>
      </w:r>
      <w:r w:rsidR="004D5019" w:rsidRPr="0065508A">
        <w:rPr>
          <w:rFonts w:eastAsia="Calibri" w:cs="Times New Roman"/>
          <w:szCs w:val="24"/>
        </w:rPr>
        <w:t xml:space="preserve"> Apsūdzētajam </w:t>
      </w:r>
      <w:r w:rsidR="00DD4040">
        <w:rPr>
          <w:rFonts w:eastAsia="Calibri" w:cs="Times New Roman"/>
          <w:szCs w:val="24"/>
        </w:rPr>
        <w:t>[pers. A]</w:t>
      </w:r>
      <w:r w:rsidR="004D5019" w:rsidRPr="0065508A">
        <w:rPr>
          <w:rFonts w:eastAsia="Calibri" w:cs="Times New Roman"/>
          <w:szCs w:val="24"/>
        </w:rPr>
        <w:t xml:space="preserve"> celtā apsūdzība </w:t>
      </w:r>
      <w:r w:rsidR="009604D6" w:rsidRPr="0065508A">
        <w:rPr>
          <w:rFonts w:eastAsia="Calibri" w:cs="Times New Roman"/>
          <w:szCs w:val="24"/>
        </w:rPr>
        <w:t xml:space="preserve">ir nekonkrēta, </w:t>
      </w:r>
      <w:r w:rsidR="00E93148" w:rsidRPr="0065508A">
        <w:rPr>
          <w:rFonts w:eastAsia="Calibri" w:cs="Times New Roman"/>
          <w:szCs w:val="24"/>
        </w:rPr>
        <w:t>tādēļ</w:t>
      </w:r>
      <w:r w:rsidR="00C2008A" w:rsidRPr="0065508A">
        <w:rPr>
          <w:rFonts w:eastAsia="Calibri" w:cs="Times New Roman"/>
          <w:szCs w:val="24"/>
        </w:rPr>
        <w:t xml:space="preserve"> tā</w:t>
      </w:r>
      <w:r w:rsidR="00E93148" w:rsidRPr="0065508A">
        <w:rPr>
          <w:rFonts w:eastAsia="Calibri" w:cs="Times New Roman"/>
          <w:szCs w:val="24"/>
        </w:rPr>
        <w:t xml:space="preserve"> neatbilst Kriminālprocesa likuma </w:t>
      </w:r>
      <w:proofErr w:type="gramStart"/>
      <w:r w:rsidR="00E93148" w:rsidRPr="0065508A">
        <w:rPr>
          <w:rFonts w:eastAsia="Calibri" w:cs="Times New Roman"/>
          <w:szCs w:val="24"/>
        </w:rPr>
        <w:t>405.pantā</w:t>
      </w:r>
      <w:proofErr w:type="gramEnd"/>
      <w:r w:rsidR="00E93148" w:rsidRPr="0065508A">
        <w:rPr>
          <w:rFonts w:eastAsia="Calibri" w:cs="Times New Roman"/>
          <w:szCs w:val="24"/>
        </w:rPr>
        <w:t xml:space="preserve"> apsūdzības saturam izvirzītajām prasībām.</w:t>
      </w:r>
      <w:r w:rsidR="00161B75" w:rsidRPr="0065508A">
        <w:rPr>
          <w:rFonts w:eastAsia="Calibri" w:cs="Times New Roman"/>
          <w:szCs w:val="24"/>
        </w:rPr>
        <w:t xml:space="preserve"> </w:t>
      </w:r>
      <w:r w:rsidR="00DD4040">
        <w:rPr>
          <w:rFonts w:eastAsia="Calibri" w:cs="Times New Roman"/>
          <w:szCs w:val="24"/>
        </w:rPr>
        <w:t>[Pers. A]</w:t>
      </w:r>
      <w:r w:rsidR="009604D6" w:rsidRPr="0065508A">
        <w:rPr>
          <w:rFonts w:eastAsia="Calibri" w:cs="Times New Roman"/>
          <w:szCs w:val="24"/>
        </w:rPr>
        <w:t xml:space="preserve"> inkriminēt</w:t>
      </w:r>
      <w:r w:rsidR="00C2008A" w:rsidRPr="0065508A">
        <w:rPr>
          <w:rFonts w:eastAsia="Calibri" w:cs="Times New Roman"/>
          <w:szCs w:val="24"/>
        </w:rPr>
        <w:t>a</w:t>
      </w:r>
      <w:r w:rsidR="009604D6" w:rsidRPr="0065508A">
        <w:rPr>
          <w:rFonts w:eastAsia="Calibri" w:cs="Times New Roman"/>
          <w:szCs w:val="24"/>
        </w:rPr>
        <w:t xml:space="preserve"> </w:t>
      </w:r>
      <w:r w:rsidR="00E93148" w:rsidRPr="0065508A">
        <w:rPr>
          <w:rFonts w:eastAsia="Calibri" w:cs="Times New Roman"/>
          <w:szCs w:val="24"/>
        </w:rPr>
        <w:t>viena</w:t>
      </w:r>
      <w:r w:rsidR="001942CE" w:rsidRPr="0065508A">
        <w:rPr>
          <w:rFonts w:eastAsia="Calibri" w:cs="Times New Roman"/>
          <w:szCs w:val="24"/>
        </w:rPr>
        <w:t xml:space="preserve"> darbība, kas izdarīta</w:t>
      </w:r>
      <w:r w:rsidR="00E93148" w:rsidRPr="0065508A">
        <w:rPr>
          <w:rFonts w:eastAsia="Calibri" w:cs="Times New Roman"/>
          <w:szCs w:val="24"/>
        </w:rPr>
        <w:t xml:space="preserve"> </w:t>
      </w:r>
      <w:r w:rsidR="00161B75" w:rsidRPr="0065508A">
        <w:rPr>
          <w:rFonts w:eastAsia="Calibri" w:cs="Times New Roman"/>
          <w:szCs w:val="24"/>
        </w:rPr>
        <w:t>vairāk nekā trīs mēnešu laik</w:t>
      </w:r>
      <w:r w:rsidR="001942CE" w:rsidRPr="0065508A">
        <w:rPr>
          <w:rFonts w:eastAsia="Calibri" w:cs="Times New Roman"/>
          <w:szCs w:val="24"/>
        </w:rPr>
        <w:t>ā</w:t>
      </w:r>
      <w:r w:rsidR="00161B75" w:rsidRPr="0065508A">
        <w:rPr>
          <w:rFonts w:eastAsia="Calibri" w:cs="Times New Roman"/>
          <w:szCs w:val="24"/>
        </w:rPr>
        <w:t xml:space="preserve"> viņa dzīvesvietā </w:t>
      </w:r>
      <w:r w:rsidR="00DD4040">
        <w:rPr>
          <w:rFonts w:eastAsia="Calibri" w:cs="Times New Roman"/>
          <w:szCs w:val="24"/>
        </w:rPr>
        <w:t>[adrese</w:t>
      </w:r>
      <w:r w:rsidR="002575EE">
        <w:rPr>
          <w:rFonts w:eastAsia="Calibri" w:cs="Times New Roman"/>
          <w:szCs w:val="24"/>
        </w:rPr>
        <w:t> 1</w:t>
      </w:r>
      <w:r w:rsidR="00DD4040">
        <w:rPr>
          <w:rFonts w:eastAsia="Calibri" w:cs="Times New Roman"/>
          <w:szCs w:val="24"/>
        </w:rPr>
        <w:t>]</w:t>
      </w:r>
      <w:r w:rsidR="00161B75" w:rsidRPr="0065508A">
        <w:rPr>
          <w:rFonts w:eastAsia="Calibri" w:cs="Times New Roman"/>
          <w:szCs w:val="24"/>
        </w:rPr>
        <w:t>.</w:t>
      </w:r>
      <w:r w:rsidR="009604D6" w:rsidRPr="0065508A">
        <w:rPr>
          <w:rFonts w:eastAsia="Calibri" w:cs="Times New Roman"/>
          <w:szCs w:val="24"/>
        </w:rPr>
        <w:t xml:space="preserve"> </w:t>
      </w:r>
      <w:r w:rsidR="00161B75" w:rsidRPr="0065508A">
        <w:rPr>
          <w:rFonts w:eastAsia="Calibri" w:cs="Times New Roman"/>
          <w:szCs w:val="24"/>
        </w:rPr>
        <w:t>Līdz ar to</w:t>
      </w:r>
      <w:r w:rsidR="009604D6" w:rsidRPr="0065508A">
        <w:rPr>
          <w:rFonts w:eastAsia="Calibri" w:cs="Times New Roman"/>
          <w:szCs w:val="24"/>
        </w:rPr>
        <w:t xml:space="preserve"> </w:t>
      </w:r>
      <w:r w:rsidR="00DD4040">
        <w:rPr>
          <w:rFonts w:eastAsia="Calibri" w:cs="Times New Roman"/>
          <w:szCs w:val="24"/>
        </w:rPr>
        <w:t>[pers. </w:t>
      </w:r>
      <w:r w:rsidR="00DD4040">
        <w:t>A]</w:t>
      </w:r>
      <w:r w:rsidR="00C2008A" w:rsidRPr="0065508A">
        <w:rPr>
          <w:rFonts w:eastAsia="Calibri" w:cs="Times New Roman"/>
          <w:szCs w:val="24"/>
        </w:rPr>
        <w:t xml:space="preserve"> tik</w:t>
      </w:r>
      <w:r w:rsidR="001942CE" w:rsidRPr="0065508A">
        <w:rPr>
          <w:rFonts w:eastAsia="Calibri" w:cs="Times New Roman"/>
          <w:szCs w:val="24"/>
        </w:rPr>
        <w:t>a</w:t>
      </w:r>
      <w:r w:rsidR="009604D6" w:rsidRPr="0065508A">
        <w:rPr>
          <w:rFonts w:eastAsia="Calibri" w:cs="Times New Roman"/>
          <w:szCs w:val="24"/>
        </w:rPr>
        <w:t xml:space="preserve"> liegta iespēja</w:t>
      </w:r>
      <w:r w:rsidR="004D5019" w:rsidRPr="0065508A">
        <w:rPr>
          <w:rFonts w:eastAsia="Calibri" w:cs="Times New Roman"/>
          <w:szCs w:val="24"/>
        </w:rPr>
        <w:t xml:space="preserve"> īstenot Kriminālprocesa likuma </w:t>
      </w:r>
      <w:proofErr w:type="gramStart"/>
      <w:r w:rsidR="004D5019" w:rsidRPr="0065508A">
        <w:rPr>
          <w:rFonts w:eastAsia="Calibri" w:cs="Times New Roman"/>
          <w:szCs w:val="24"/>
        </w:rPr>
        <w:t>67.panta</w:t>
      </w:r>
      <w:proofErr w:type="gramEnd"/>
      <w:r w:rsidR="004D5019" w:rsidRPr="0065508A">
        <w:rPr>
          <w:rFonts w:eastAsia="Calibri" w:cs="Times New Roman"/>
          <w:szCs w:val="24"/>
        </w:rPr>
        <w:t xml:space="preserve"> pirmās daļas 6.punktā noteikto procesuālo pienākumu un norādīt alibi</w:t>
      </w:r>
      <w:r w:rsidR="00A463DA" w:rsidRPr="0065508A">
        <w:rPr>
          <w:rFonts w:eastAsia="Calibri" w:cs="Times New Roman"/>
          <w:szCs w:val="24"/>
        </w:rPr>
        <w:t xml:space="preserve">, </w:t>
      </w:r>
      <w:r w:rsidR="00965D76" w:rsidRPr="0065508A">
        <w:rPr>
          <w:rFonts w:eastAsia="Calibri" w:cs="Times New Roman"/>
          <w:szCs w:val="24"/>
        </w:rPr>
        <w:t>jo apsūdzībā norādītajā laikā</w:t>
      </w:r>
      <w:r w:rsidR="00C2008A" w:rsidRPr="0065508A">
        <w:rPr>
          <w:rFonts w:eastAsia="Calibri" w:cs="Times New Roman"/>
          <w:szCs w:val="24"/>
        </w:rPr>
        <w:t xml:space="preserve">, proti, no 2017.gada </w:t>
      </w:r>
      <w:r w:rsidR="00DD4040">
        <w:rPr>
          <w:rFonts w:eastAsia="Calibri" w:cs="Times New Roman"/>
          <w:szCs w:val="24"/>
        </w:rPr>
        <w:t>[..]</w:t>
      </w:r>
      <w:r w:rsidR="00C2008A" w:rsidRPr="0065508A">
        <w:rPr>
          <w:rFonts w:eastAsia="Calibri" w:cs="Times New Roman"/>
          <w:szCs w:val="24"/>
        </w:rPr>
        <w:t xml:space="preserve"> līdz 2018.gada </w:t>
      </w:r>
      <w:r w:rsidR="00DD4040">
        <w:rPr>
          <w:rFonts w:eastAsia="Calibri" w:cs="Times New Roman"/>
          <w:szCs w:val="24"/>
        </w:rPr>
        <w:t>[..]</w:t>
      </w:r>
      <w:r w:rsidR="00965D76" w:rsidRPr="0065508A">
        <w:rPr>
          <w:rFonts w:eastAsia="Calibri" w:cs="Times New Roman"/>
          <w:szCs w:val="24"/>
        </w:rPr>
        <w:t xml:space="preserve"> </w:t>
      </w:r>
      <w:r w:rsidR="00BE7B49" w:rsidRPr="0065508A">
        <w:rPr>
          <w:rFonts w:eastAsia="Calibri" w:cs="Times New Roman"/>
          <w:szCs w:val="24"/>
        </w:rPr>
        <w:t xml:space="preserve">viņš </w:t>
      </w:r>
      <w:r w:rsidR="005D3802" w:rsidRPr="0065508A">
        <w:rPr>
          <w:rFonts w:eastAsia="Calibri" w:cs="Times New Roman"/>
          <w:szCs w:val="24"/>
        </w:rPr>
        <w:t xml:space="preserve">kopā ar </w:t>
      </w:r>
      <w:r w:rsidR="00BF0E70" w:rsidRPr="0065508A">
        <w:rPr>
          <w:rFonts w:eastAsia="Calibri" w:cs="Times New Roman"/>
          <w:szCs w:val="24"/>
        </w:rPr>
        <w:t>meitu</w:t>
      </w:r>
      <w:r w:rsidR="005D3802" w:rsidRPr="0065508A">
        <w:rPr>
          <w:rFonts w:eastAsia="Calibri" w:cs="Times New Roman"/>
          <w:szCs w:val="24"/>
        </w:rPr>
        <w:t xml:space="preserve"> </w:t>
      </w:r>
      <w:r w:rsidR="00161B75" w:rsidRPr="0065508A">
        <w:rPr>
          <w:rFonts w:eastAsia="Calibri" w:cs="Times New Roman"/>
          <w:szCs w:val="24"/>
        </w:rPr>
        <w:t>uzturējies</w:t>
      </w:r>
      <w:r w:rsidR="005D3802" w:rsidRPr="0065508A">
        <w:rPr>
          <w:rFonts w:eastAsia="Calibri" w:cs="Times New Roman"/>
          <w:szCs w:val="24"/>
        </w:rPr>
        <w:t xml:space="preserve"> gan </w:t>
      </w:r>
      <w:r w:rsidR="00A463DA" w:rsidRPr="0065508A">
        <w:rPr>
          <w:rFonts w:eastAsia="Calibri" w:cs="Times New Roman"/>
          <w:szCs w:val="24"/>
        </w:rPr>
        <w:t xml:space="preserve">savā dzīvesvietā </w:t>
      </w:r>
      <w:r w:rsidR="00DD4040">
        <w:rPr>
          <w:rFonts w:eastAsia="Calibri" w:cs="Times New Roman"/>
          <w:szCs w:val="24"/>
        </w:rPr>
        <w:t>[Pilsētā A]</w:t>
      </w:r>
      <w:r w:rsidR="005D3802" w:rsidRPr="0065508A">
        <w:rPr>
          <w:rFonts w:eastAsia="Calibri" w:cs="Times New Roman"/>
          <w:szCs w:val="24"/>
        </w:rPr>
        <w:t>, gan arī vecāku mājā</w:t>
      </w:r>
      <w:r w:rsidR="00A463DA" w:rsidRPr="0065508A">
        <w:rPr>
          <w:rFonts w:eastAsia="Calibri" w:cs="Times New Roman"/>
          <w:szCs w:val="24"/>
        </w:rPr>
        <w:t xml:space="preserve"> </w:t>
      </w:r>
      <w:r w:rsidR="00DD4040">
        <w:rPr>
          <w:rFonts w:eastAsia="Calibri" w:cs="Times New Roman"/>
          <w:szCs w:val="24"/>
        </w:rPr>
        <w:t>[Pilsētā B]</w:t>
      </w:r>
      <w:r w:rsidR="00921ABA" w:rsidRPr="0065508A">
        <w:rPr>
          <w:rFonts w:eastAsia="Calibri" w:cs="Times New Roman"/>
          <w:szCs w:val="24"/>
        </w:rPr>
        <w:t xml:space="preserve">. </w:t>
      </w:r>
      <w:r w:rsidR="00BA72DB" w:rsidRPr="0065508A">
        <w:rPr>
          <w:rFonts w:eastAsia="Calibri" w:cs="Times New Roman"/>
          <w:szCs w:val="24"/>
        </w:rPr>
        <w:t xml:space="preserve">Par </w:t>
      </w:r>
      <w:r w:rsidR="001942CE" w:rsidRPr="0065508A">
        <w:rPr>
          <w:rFonts w:eastAsia="Calibri" w:cs="Times New Roman"/>
          <w:szCs w:val="24"/>
        </w:rPr>
        <w:t>šiem apstākļiem liecinājuši</w:t>
      </w:r>
      <w:r w:rsidR="00161B75" w:rsidRPr="0065508A">
        <w:rPr>
          <w:rFonts w:eastAsia="Calibri" w:cs="Times New Roman"/>
          <w:szCs w:val="24"/>
        </w:rPr>
        <w:t xml:space="preserve"> gan apsūdzētais </w:t>
      </w:r>
      <w:r w:rsidR="00DD4040">
        <w:rPr>
          <w:rFonts w:eastAsia="Calibri" w:cs="Times New Roman"/>
          <w:szCs w:val="24"/>
        </w:rPr>
        <w:t>[pers. A]</w:t>
      </w:r>
      <w:r w:rsidR="00161B75" w:rsidRPr="0065508A">
        <w:rPr>
          <w:rFonts w:eastAsia="Calibri" w:cs="Times New Roman"/>
          <w:szCs w:val="24"/>
        </w:rPr>
        <w:t xml:space="preserve">, gan liecinieki </w:t>
      </w:r>
      <w:r w:rsidR="00DD4040">
        <w:rPr>
          <w:rFonts w:eastAsia="Calibri" w:cs="Times New Roman"/>
          <w:szCs w:val="24"/>
        </w:rPr>
        <w:t>[pers. </w:t>
      </w:r>
      <w:r w:rsidR="00DD4040">
        <w:t>C]</w:t>
      </w:r>
      <w:r w:rsidR="00161B75" w:rsidRPr="0065508A">
        <w:rPr>
          <w:rFonts w:eastAsia="Calibri" w:cs="Times New Roman"/>
          <w:szCs w:val="24"/>
        </w:rPr>
        <w:t xml:space="preserve"> un </w:t>
      </w:r>
      <w:r w:rsidR="00DD4040">
        <w:rPr>
          <w:rFonts w:eastAsia="Calibri" w:cs="Times New Roman"/>
          <w:szCs w:val="24"/>
        </w:rPr>
        <w:t>[pers. D]</w:t>
      </w:r>
      <w:r w:rsidR="00161B75" w:rsidRPr="0065508A">
        <w:rPr>
          <w:rFonts w:eastAsia="Calibri" w:cs="Times New Roman"/>
          <w:szCs w:val="24"/>
        </w:rPr>
        <w:t>.</w:t>
      </w:r>
      <w:r w:rsidR="00726A23" w:rsidRPr="0065508A">
        <w:rPr>
          <w:rFonts w:eastAsia="Calibri" w:cs="Times New Roman"/>
          <w:szCs w:val="24"/>
        </w:rPr>
        <w:t xml:space="preserve"> </w:t>
      </w:r>
      <w:r w:rsidR="001942CE" w:rsidRPr="0065508A">
        <w:rPr>
          <w:rFonts w:eastAsia="Calibri" w:cs="Times New Roman"/>
          <w:szCs w:val="24"/>
        </w:rPr>
        <w:t>Abas zemāko</w:t>
      </w:r>
      <w:r w:rsidR="00161B75" w:rsidRPr="0065508A">
        <w:rPr>
          <w:rFonts w:eastAsia="Calibri" w:cs="Times New Roman"/>
          <w:szCs w:val="24"/>
        </w:rPr>
        <w:t xml:space="preserve"> instanču tiesas </w:t>
      </w:r>
      <w:r w:rsidR="00E9018A" w:rsidRPr="0065508A">
        <w:rPr>
          <w:rFonts w:eastAsia="Calibri" w:cs="Times New Roman"/>
          <w:szCs w:val="24"/>
        </w:rPr>
        <w:t xml:space="preserve">ir ignorējušas minētos pierādījumus un atzinušas, ka apsūdzībā norādītajā laikā </w:t>
      </w:r>
      <w:r w:rsidR="00DD4040">
        <w:rPr>
          <w:rFonts w:eastAsia="Calibri" w:cs="Times New Roman"/>
          <w:szCs w:val="24"/>
        </w:rPr>
        <w:t>[pers. A]</w:t>
      </w:r>
      <w:r w:rsidR="00553B12" w:rsidRPr="0065508A">
        <w:rPr>
          <w:rFonts w:eastAsia="Calibri" w:cs="Times New Roman"/>
          <w:szCs w:val="24"/>
        </w:rPr>
        <w:t xml:space="preserve"> </w:t>
      </w:r>
      <w:r w:rsidR="00E9018A" w:rsidRPr="0065508A">
        <w:rPr>
          <w:rFonts w:eastAsia="Calibri" w:cs="Times New Roman"/>
          <w:szCs w:val="24"/>
        </w:rPr>
        <w:t xml:space="preserve">ir atradies tikai savā dzīvesvietā </w:t>
      </w:r>
      <w:r w:rsidR="00DD4040">
        <w:rPr>
          <w:rFonts w:eastAsia="Calibri" w:cs="Times New Roman"/>
          <w:szCs w:val="24"/>
        </w:rPr>
        <w:t>[Pilsētā A]</w:t>
      </w:r>
      <w:r w:rsidR="00E9018A" w:rsidRPr="0065508A">
        <w:rPr>
          <w:rFonts w:eastAsia="Calibri" w:cs="Times New Roman"/>
          <w:szCs w:val="24"/>
        </w:rPr>
        <w:t>.</w:t>
      </w:r>
    </w:p>
    <w:p w14:paraId="64B663B5" w14:textId="569C87EE" w:rsidR="00265393" w:rsidRPr="0065508A" w:rsidRDefault="00C449C8" w:rsidP="00F5769E">
      <w:pPr>
        <w:autoSpaceDE w:val="0"/>
        <w:autoSpaceDN w:val="0"/>
        <w:adjustRightInd w:val="0"/>
        <w:spacing w:after="0" w:line="276" w:lineRule="auto"/>
        <w:ind w:firstLine="709"/>
        <w:jc w:val="both"/>
        <w:rPr>
          <w:rFonts w:eastAsia="Calibri" w:cs="Times New Roman"/>
          <w:szCs w:val="24"/>
        </w:rPr>
      </w:pPr>
      <w:r w:rsidRPr="0065508A">
        <w:rPr>
          <w:rFonts w:eastAsia="Calibri" w:cs="Times New Roman"/>
          <w:szCs w:val="24"/>
        </w:rPr>
        <w:lastRenderedPageBreak/>
        <w:t>[3.2] </w:t>
      </w:r>
      <w:r w:rsidR="00265393" w:rsidRPr="0065508A">
        <w:rPr>
          <w:rFonts w:eastAsia="Calibri" w:cs="Times New Roman"/>
          <w:szCs w:val="24"/>
        </w:rPr>
        <w:t xml:space="preserve">Apelācijas instances tiesa apsūdzētā </w:t>
      </w:r>
      <w:r w:rsidR="00DD4040">
        <w:rPr>
          <w:rFonts w:eastAsia="Calibri" w:cs="Times New Roman"/>
          <w:szCs w:val="24"/>
        </w:rPr>
        <w:t>[pers. A]</w:t>
      </w:r>
      <w:r w:rsidR="00265393" w:rsidRPr="0065508A">
        <w:rPr>
          <w:rFonts w:eastAsia="Calibri" w:cs="Times New Roman"/>
          <w:szCs w:val="24"/>
        </w:rPr>
        <w:t xml:space="preserve"> vainīguma pierādīšanai</w:t>
      </w:r>
      <w:r w:rsidR="00553B12" w:rsidRPr="0065508A">
        <w:rPr>
          <w:rFonts w:eastAsia="Calibri" w:cs="Times New Roman"/>
          <w:szCs w:val="24"/>
        </w:rPr>
        <w:t xml:space="preserve"> izšķirošā mērā</w:t>
      </w:r>
      <w:r w:rsidR="00265393" w:rsidRPr="0065508A">
        <w:rPr>
          <w:rFonts w:eastAsia="Calibri" w:cs="Times New Roman"/>
          <w:szCs w:val="24"/>
        </w:rPr>
        <w:t xml:space="preserve"> ir izmantojusi nepilngadīgās cietušās </w:t>
      </w:r>
      <w:proofErr w:type="gramStart"/>
      <w:r w:rsidR="00265393" w:rsidRPr="0065508A">
        <w:rPr>
          <w:rFonts w:eastAsia="Calibri" w:cs="Times New Roman"/>
          <w:szCs w:val="24"/>
        </w:rPr>
        <w:t>2018.gada</w:t>
      </w:r>
      <w:proofErr w:type="gramEnd"/>
      <w:r w:rsidR="00265393" w:rsidRPr="0065508A">
        <w:rPr>
          <w:rFonts w:eastAsia="Calibri" w:cs="Times New Roman"/>
          <w:szCs w:val="24"/>
        </w:rPr>
        <w:t xml:space="preserve"> </w:t>
      </w:r>
      <w:r w:rsidR="00CD4843">
        <w:rPr>
          <w:rFonts w:eastAsia="Calibri" w:cs="Times New Roman"/>
          <w:szCs w:val="24"/>
        </w:rPr>
        <w:t>[..]</w:t>
      </w:r>
      <w:r w:rsidR="00265393" w:rsidRPr="0065508A">
        <w:rPr>
          <w:rFonts w:eastAsia="Calibri" w:cs="Times New Roman"/>
          <w:szCs w:val="24"/>
        </w:rPr>
        <w:t xml:space="preserve"> nopratināšanas protokolā fiksētās ziņas par faktiem. Vienlaikus tiesa nav ņēmusi vērā apstākli, ka apsūdzētajam </w:t>
      </w:r>
      <w:r w:rsidR="00CD4843">
        <w:rPr>
          <w:rFonts w:eastAsia="Calibri" w:cs="Times New Roman"/>
          <w:szCs w:val="24"/>
        </w:rPr>
        <w:t>[pers. A]</w:t>
      </w:r>
      <w:r w:rsidR="00265393" w:rsidRPr="0065508A">
        <w:rPr>
          <w:rFonts w:eastAsia="Calibri" w:cs="Times New Roman"/>
          <w:szCs w:val="24"/>
        </w:rPr>
        <w:t xml:space="preserve"> netika dota iespēja nopratināt cietušo.</w:t>
      </w:r>
    </w:p>
    <w:p w14:paraId="623F10F0" w14:textId="7395C282" w:rsidR="00A463DA" w:rsidRPr="0065508A" w:rsidRDefault="00214BE9" w:rsidP="00F5769E">
      <w:pPr>
        <w:autoSpaceDE w:val="0"/>
        <w:autoSpaceDN w:val="0"/>
        <w:adjustRightInd w:val="0"/>
        <w:spacing w:after="0" w:line="276" w:lineRule="auto"/>
        <w:ind w:firstLine="709"/>
        <w:jc w:val="both"/>
        <w:rPr>
          <w:rFonts w:eastAsia="Calibri" w:cs="Times New Roman"/>
          <w:szCs w:val="24"/>
        </w:rPr>
      </w:pPr>
      <w:r w:rsidRPr="0065508A">
        <w:rPr>
          <w:rFonts w:eastAsia="Calibri" w:cs="Times New Roman"/>
          <w:szCs w:val="24"/>
        </w:rPr>
        <w:t>[</w:t>
      </w:r>
      <w:r w:rsidR="00533958" w:rsidRPr="0065508A">
        <w:rPr>
          <w:rFonts w:eastAsia="Calibri" w:cs="Times New Roman"/>
          <w:szCs w:val="24"/>
        </w:rPr>
        <w:t>3</w:t>
      </w:r>
      <w:r w:rsidRPr="0065508A">
        <w:rPr>
          <w:rFonts w:eastAsia="Calibri" w:cs="Times New Roman"/>
          <w:szCs w:val="24"/>
        </w:rPr>
        <w:t>.</w:t>
      </w:r>
      <w:r w:rsidR="00265393" w:rsidRPr="0065508A">
        <w:rPr>
          <w:rFonts w:eastAsia="Calibri" w:cs="Times New Roman"/>
          <w:szCs w:val="24"/>
        </w:rPr>
        <w:t>3</w:t>
      </w:r>
      <w:r w:rsidR="00A463DA" w:rsidRPr="0065508A">
        <w:rPr>
          <w:rFonts w:eastAsia="Calibri" w:cs="Times New Roman"/>
          <w:szCs w:val="24"/>
        </w:rPr>
        <w:t>] </w:t>
      </w:r>
      <w:r w:rsidR="009A16B7" w:rsidRPr="0065508A">
        <w:rPr>
          <w:rFonts w:eastAsia="Calibri" w:cs="Times New Roman"/>
          <w:szCs w:val="24"/>
        </w:rPr>
        <w:t>Iztiesājot lietu,</w:t>
      </w:r>
      <w:r w:rsidR="00A463DA" w:rsidRPr="0065508A">
        <w:rPr>
          <w:rFonts w:eastAsia="Calibri" w:cs="Times New Roman"/>
          <w:szCs w:val="24"/>
        </w:rPr>
        <w:t xml:space="preserve"> aizstāvībai </w:t>
      </w:r>
      <w:r w:rsidR="00304903" w:rsidRPr="0065508A">
        <w:rPr>
          <w:rFonts w:eastAsia="Calibri" w:cs="Times New Roman"/>
          <w:szCs w:val="24"/>
        </w:rPr>
        <w:t xml:space="preserve">tika </w:t>
      </w:r>
      <w:r w:rsidR="00A463DA" w:rsidRPr="0065508A">
        <w:rPr>
          <w:rFonts w:eastAsia="Calibri" w:cs="Times New Roman"/>
          <w:szCs w:val="24"/>
        </w:rPr>
        <w:t>liegtas tiesības</w:t>
      </w:r>
      <w:r w:rsidR="009A16B7" w:rsidRPr="0065508A">
        <w:rPr>
          <w:rFonts w:eastAsia="Calibri" w:cs="Times New Roman"/>
          <w:szCs w:val="24"/>
        </w:rPr>
        <w:t xml:space="preserve"> </w:t>
      </w:r>
      <w:r w:rsidR="0086398E" w:rsidRPr="0065508A">
        <w:rPr>
          <w:rFonts w:eastAsia="Calibri" w:cs="Times New Roman"/>
          <w:szCs w:val="24"/>
        </w:rPr>
        <w:t xml:space="preserve">iegūt </w:t>
      </w:r>
      <w:r w:rsidR="00CD4843">
        <w:rPr>
          <w:rFonts w:eastAsia="Calibri" w:cs="Times New Roman"/>
          <w:szCs w:val="24"/>
        </w:rPr>
        <w:t>[pers. A]</w:t>
      </w:r>
      <w:r w:rsidR="00BE7B49" w:rsidRPr="0065508A">
        <w:rPr>
          <w:rFonts w:eastAsia="Calibri" w:cs="Times New Roman"/>
          <w:szCs w:val="24"/>
        </w:rPr>
        <w:t xml:space="preserve"> </w:t>
      </w:r>
      <w:r w:rsidR="00DA42E5" w:rsidRPr="0065508A">
        <w:rPr>
          <w:rFonts w:eastAsia="Calibri" w:cs="Times New Roman"/>
          <w:szCs w:val="24"/>
        </w:rPr>
        <w:t xml:space="preserve">attaisnojošus </w:t>
      </w:r>
      <w:r w:rsidR="0086398E" w:rsidRPr="0065508A">
        <w:rPr>
          <w:rFonts w:eastAsia="Calibri" w:cs="Times New Roman"/>
          <w:szCs w:val="24"/>
        </w:rPr>
        <w:t>pierādījumus.</w:t>
      </w:r>
    </w:p>
    <w:p w14:paraId="74E0A28F" w14:textId="3C5EB9F3" w:rsidR="00415960" w:rsidRPr="0065508A" w:rsidRDefault="00307E2B" w:rsidP="00F5769E">
      <w:pPr>
        <w:autoSpaceDE w:val="0"/>
        <w:autoSpaceDN w:val="0"/>
        <w:adjustRightInd w:val="0"/>
        <w:spacing w:after="0" w:line="276" w:lineRule="auto"/>
        <w:ind w:firstLine="709"/>
        <w:jc w:val="both"/>
        <w:rPr>
          <w:rFonts w:eastAsia="Calibri" w:cs="Times New Roman"/>
          <w:szCs w:val="24"/>
        </w:rPr>
      </w:pPr>
      <w:r w:rsidRPr="0065508A">
        <w:rPr>
          <w:rFonts w:eastAsia="Calibri" w:cs="Times New Roman"/>
          <w:szCs w:val="24"/>
        </w:rPr>
        <w:t>Apelācijas instances tiesa</w:t>
      </w:r>
      <w:r w:rsidR="00623A94" w:rsidRPr="0065508A">
        <w:rPr>
          <w:rFonts w:eastAsia="Calibri" w:cs="Times New Roman"/>
          <w:szCs w:val="24"/>
        </w:rPr>
        <w:t xml:space="preserve"> noraidījusi</w:t>
      </w:r>
      <w:r w:rsidR="00BE7B49" w:rsidRPr="0065508A">
        <w:rPr>
          <w:rFonts w:eastAsia="Calibri" w:cs="Times New Roman"/>
          <w:szCs w:val="24"/>
        </w:rPr>
        <w:t xml:space="preserve"> aizstāvības pieteikto lūgumu </w:t>
      </w:r>
      <w:r w:rsidR="00623A94" w:rsidRPr="0065508A">
        <w:rPr>
          <w:rFonts w:eastAsia="Calibri" w:cs="Times New Roman"/>
          <w:szCs w:val="24"/>
        </w:rPr>
        <w:t>uz</w:t>
      </w:r>
      <w:r w:rsidR="00C015D2" w:rsidRPr="0065508A">
        <w:rPr>
          <w:rFonts w:eastAsia="Calibri" w:cs="Times New Roman"/>
          <w:szCs w:val="24"/>
        </w:rPr>
        <w:t>aicināt</w:t>
      </w:r>
      <w:r w:rsidR="00F90B1F" w:rsidRPr="0065508A">
        <w:rPr>
          <w:rFonts w:eastAsia="Calibri" w:cs="Times New Roman"/>
          <w:szCs w:val="24"/>
        </w:rPr>
        <w:t xml:space="preserve"> </w:t>
      </w:r>
      <w:r w:rsidR="0086398E" w:rsidRPr="0065508A">
        <w:rPr>
          <w:rFonts w:eastAsia="Calibri" w:cs="Times New Roman"/>
          <w:szCs w:val="24"/>
        </w:rPr>
        <w:t>psiholoģes</w:t>
      </w:r>
      <w:r w:rsidR="00C015D2" w:rsidRPr="0065508A">
        <w:rPr>
          <w:rFonts w:eastAsia="Calibri" w:cs="Times New Roman"/>
          <w:szCs w:val="24"/>
        </w:rPr>
        <w:t xml:space="preserve"> </w:t>
      </w:r>
      <w:r w:rsidR="00CD4843">
        <w:rPr>
          <w:rFonts w:eastAsia="Calibri" w:cs="Times New Roman"/>
          <w:szCs w:val="24"/>
        </w:rPr>
        <w:t>[pers. </w:t>
      </w:r>
      <w:r w:rsidR="004F4474">
        <w:rPr>
          <w:rFonts w:eastAsia="Calibri" w:cs="Times New Roman"/>
          <w:szCs w:val="24"/>
        </w:rPr>
        <w:t>F</w:t>
      </w:r>
      <w:r w:rsidR="00CD4843">
        <w:rPr>
          <w:rFonts w:eastAsia="Calibri" w:cs="Times New Roman"/>
          <w:szCs w:val="24"/>
        </w:rPr>
        <w:t>]</w:t>
      </w:r>
      <w:r w:rsidR="00C015D2" w:rsidRPr="0065508A">
        <w:rPr>
          <w:rFonts w:eastAsia="Calibri" w:cs="Times New Roman"/>
          <w:szCs w:val="24"/>
        </w:rPr>
        <w:t xml:space="preserve"> un </w:t>
      </w:r>
      <w:r w:rsidR="00CD4843">
        <w:rPr>
          <w:rFonts w:eastAsia="Calibri" w:cs="Times New Roman"/>
          <w:szCs w:val="24"/>
        </w:rPr>
        <w:t>[pers. E]</w:t>
      </w:r>
      <w:r w:rsidR="0086398E" w:rsidRPr="0065508A">
        <w:rPr>
          <w:rFonts w:eastAsia="Calibri" w:cs="Times New Roman"/>
          <w:szCs w:val="24"/>
        </w:rPr>
        <w:t xml:space="preserve"> </w:t>
      </w:r>
      <w:r w:rsidR="00553B12" w:rsidRPr="0065508A">
        <w:rPr>
          <w:rFonts w:eastAsia="Calibri" w:cs="Times New Roman"/>
          <w:szCs w:val="24"/>
        </w:rPr>
        <w:t xml:space="preserve">un uzklausīt viņu </w:t>
      </w:r>
      <w:r w:rsidR="00F90B1F" w:rsidRPr="0065508A">
        <w:rPr>
          <w:rFonts w:eastAsia="Calibri" w:cs="Times New Roman"/>
          <w:szCs w:val="24"/>
        </w:rPr>
        <w:t>liecības</w:t>
      </w:r>
      <w:r w:rsidR="00553B12" w:rsidRPr="0065508A">
        <w:rPr>
          <w:rFonts w:eastAsia="Calibri" w:cs="Times New Roman"/>
          <w:szCs w:val="24"/>
        </w:rPr>
        <w:t xml:space="preserve"> </w:t>
      </w:r>
      <w:r w:rsidR="00F90B1F" w:rsidRPr="0065508A">
        <w:rPr>
          <w:rFonts w:eastAsia="Calibri" w:cs="Times New Roman"/>
          <w:szCs w:val="24"/>
        </w:rPr>
        <w:t xml:space="preserve">par </w:t>
      </w:r>
      <w:r w:rsidR="0070785E" w:rsidRPr="0065508A">
        <w:rPr>
          <w:rFonts w:eastAsia="Calibri" w:cs="Times New Roman"/>
          <w:szCs w:val="24"/>
        </w:rPr>
        <w:t xml:space="preserve">psiholoģes </w:t>
      </w:r>
      <w:r w:rsidR="00CD4843">
        <w:rPr>
          <w:rFonts w:eastAsia="Calibri" w:cs="Times New Roman"/>
          <w:szCs w:val="24"/>
        </w:rPr>
        <w:t>[pers. </w:t>
      </w:r>
      <w:r w:rsidR="00CD4843">
        <w:t>G]</w:t>
      </w:r>
      <w:r w:rsidR="0070785E" w:rsidRPr="0065508A">
        <w:rPr>
          <w:rFonts w:eastAsia="Calibri" w:cs="Times New Roman"/>
          <w:szCs w:val="24"/>
        </w:rPr>
        <w:t xml:space="preserve"> </w:t>
      </w:r>
      <w:r w:rsidR="007827B6" w:rsidRPr="0065508A">
        <w:rPr>
          <w:rFonts w:eastAsia="Calibri" w:cs="Times New Roman"/>
          <w:szCs w:val="24"/>
        </w:rPr>
        <w:t xml:space="preserve">izmantoto taktiku un </w:t>
      </w:r>
      <w:r w:rsidR="0070785E" w:rsidRPr="0065508A">
        <w:rPr>
          <w:rFonts w:eastAsia="Calibri" w:cs="Times New Roman"/>
          <w:szCs w:val="24"/>
        </w:rPr>
        <w:t xml:space="preserve">metodēm </w:t>
      </w:r>
      <w:r w:rsidR="009A42C4" w:rsidRPr="0065508A">
        <w:rPr>
          <w:rFonts w:eastAsia="Calibri" w:cs="Times New Roman"/>
          <w:szCs w:val="24"/>
        </w:rPr>
        <w:t xml:space="preserve">cietušās </w:t>
      </w:r>
      <w:r w:rsidR="00CD4843">
        <w:rPr>
          <w:rFonts w:eastAsia="Calibri" w:cs="Times New Roman"/>
          <w:szCs w:val="24"/>
        </w:rPr>
        <w:t>[pers. H]</w:t>
      </w:r>
      <w:r w:rsidR="009A42C4" w:rsidRPr="0065508A">
        <w:rPr>
          <w:rFonts w:eastAsia="Calibri" w:cs="Times New Roman"/>
          <w:szCs w:val="24"/>
        </w:rPr>
        <w:t xml:space="preserve"> nopratināšanā, kā arī</w:t>
      </w:r>
      <w:proofErr w:type="gramStart"/>
      <w:r w:rsidR="00553B12" w:rsidRPr="0065508A">
        <w:rPr>
          <w:rFonts w:eastAsia="Calibri" w:cs="Times New Roman"/>
          <w:szCs w:val="24"/>
        </w:rPr>
        <w:t xml:space="preserve"> liegusi </w:t>
      </w:r>
      <w:r w:rsidR="0070785E" w:rsidRPr="0065508A">
        <w:rPr>
          <w:rFonts w:eastAsia="Calibri" w:cs="Times New Roman"/>
          <w:szCs w:val="24"/>
        </w:rPr>
        <w:t>iespēju</w:t>
      </w:r>
      <w:proofErr w:type="gramEnd"/>
      <w:r w:rsidR="0070785E" w:rsidRPr="0065508A">
        <w:rPr>
          <w:rFonts w:eastAsia="Calibri" w:cs="Times New Roman"/>
          <w:szCs w:val="24"/>
        </w:rPr>
        <w:t xml:space="preserve"> izjautāt</w:t>
      </w:r>
      <w:r w:rsidRPr="0065508A">
        <w:rPr>
          <w:rFonts w:eastAsia="Calibri" w:cs="Times New Roman"/>
          <w:szCs w:val="24"/>
        </w:rPr>
        <w:t xml:space="preserve"> psiholoģes par</w:t>
      </w:r>
      <w:r w:rsidR="009A42C4" w:rsidRPr="0065508A">
        <w:rPr>
          <w:rFonts w:eastAsia="Calibri" w:cs="Times New Roman"/>
          <w:szCs w:val="24"/>
        </w:rPr>
        <w:t xml:space="preserve"> aizstāvību interesējošajiem jautājumiem</w:t>
      </w:r>
      <w:r w:rsidRPr="0065508A">
        <w:rPr>
          <w:rFonts w:eastAsia="Calibri" w:cs="Times New Roman"/>
          <w:szCs w:val="24"/>
        </w:rPr>
        <w:t>.</w:t>
      </w:r>
      <w:r w:rsidR="009A42C4" w:rsidRPr="0065508A">
        <w:rPr>
          <w:rFonts w:eastAsia="Calibri" w:cs="Times New Roman"/>
          <w:szCs w:val="24"/>
        </w:rPr>
        <w:t xml:space="preserve"> </w:t>
      </w:r>
      <w:r w:rsidRPr="0065508A">
        <w:rPr>
          <w:rFonts w:eastAsia="Calibri" w:cs="Times New Roman"/>
          <w:szCs w:val="24"/>
        </w:rPr>
        <w:t>Vienlaikus</w:t>
      </w:r>
      <w:r w:rsidR="009A42C4" w:rsidRPr="0065508A">
        <w:rPr>
          <w:rFonts w:eastAsia="Calibri" w:cs="Times New Roman"/>
          <w:szCs w:val="24"/>
        </w:rPr>
        <w:t xml:space="preserve"> </w:t>
      </w:r>
      <w:r w:rsidRPr="0065508A">
        <w:rPr>
          <w:rFonts w:eastAsia="Calibri" w:cs="Times New Roman"/>
          <w:szCs w:val="24"/>
        </w:rPr>
        <w:t xml:space="preserve">apelācijas instances tiesa </w:t>
      </w:r>
      <w:r w:rsidR="00533958" w:rsidRPr="0065508A">
        <w:rPr>
          <w:rFonts w:eastAsia="Calibri" w:cs="Times New Roman"/>
          <w:szCs w:val="24"/>
        </w:rPr>
        <w:t xml:space="preserve">nolēmumā </w:t>
      </w:r>
      <w:r w:rsidR="009A42C4" w:rsidRPr="0065508A">
        <w:rPr>
          <w:rFonts w:eastAsia="Calibri" w:cs="Times New Roman"/>
          <w:szCs w:val="24"/>
        </w:rPr>
        <w:t>nav snieg</w:t>
      </w:r>
      <w:r w:rsidRPr="0065508A">
        <w:rPr>
          <w:rFonts w:eastAsia="Calibri" w:cs="Times New Roman"/>
          <w:szCs w:val="24"/>
        </w:rPr>
        <w:t>usi</w:t>
      </w:r>
      <w:r w:rsidR="009A42C4" w:rsidRPr="0065508A">
        <w:rPr>
          <w:rFonts w:eastAsia="Calibri" w:cs="Times New Roman"/>
          <w:szCs w:val="24"/>
        </w:rPr>
        <w:t xml:space="preserve"> atzinum</w:t>
      </w:r>
      <w:r w:rsidRPr="0065508A">
        <w:rPr>
          <w:rFonts w:eastAsia="Calibri" w:cs="Times New Roman"/>
          <w:szCs w:val="24"/>
        </w:rPr>
        <w:t>us</w:t>
      </w:r>
      <w:r w:rsidR="009A42C4" w:rsidRPr="0065508A">
        <w:rPr>
          <w:rFonts w:eastAsia="Calibri" w:cs="Times New Roman"/>
          <w:szCs w:val="24"/>
        </w:rPr>
        <w:t xml:space="preserve"> par aizstāvības</w:t>
      </w:r>
      <w:r w:rsidR="008C2BCA" w:rsidRPr="0065508A">
        <w:rPr>
          <w:rFonts w:eastAsia="Calibri" w:cs="Times New Roman"/>
          <w:szCs w:val="24"/>
        </w:rPr>
        <w:t xml:space="preserve"> izvirzītajiem argumentiem, apstrīdot</w:t>
      </w:r>
      <w:r w:rsidR="00F90B1F" w:rsidRPr="0065508A">
        <w:rPr>
          <w:rFonts w:eastAsia="Calibri" w:cs="Times New Roman"/>
          <w:szCs w:val="24"/>
        </w:rPr>
        <w:t xml:space="preserve"> </w:t>
      </w:r>
      <w:r w:rsidR="008C2BCA" w:rsidRPr="0065508A">
        <w:rPr>
          <w:rFonts w:eastAsia="Calibri" w:cs="Times New Roman"/>
          <w:szCs w:val="24"/>
        </w:rPr>
        <w:t xml:space="preserve">cietušās </w:t>
      </w:r>
      <w:r w:rsidR="00CD4843">
        <w:rPr>
          <w:rFonts w:eastAsia="Calibri" w:cs="Times New Roman"/>
          <w:szCs w:val="24"/>
        </w:rPr>
        <w:t>[pers. H]</w:t>
      </w:r>
      <w:r w:rsidR="008C2BCA" w:rsidRPr="0065508A">
        <w:rPr>
          <w:rFonts w:eastAsia="Calibri" w:cs="Times New Roman"/>
          <w:szCs w:val="24"/>
        </w:rPr>
        <w:t xml:space="preserve"> </w:t>
      </w:r>
      <w:r w:rsidRPr="0065508A">
        <w:rPr>
          <w:rFonts w:eastAsia="Calibri" w:cs="Times New Roman"/>
          <w:szCs w:val="24"/>
        </w:rPr>
        <w:t>nopratināšan</w:t>
      </w:r>
      <w:r w:rsidR="00F90B1F" w:rsidRPr="0065508A">
        <w:rPr>
          <w:rFonts w:eastAsia="Calibri" w:cs="Times New Roman"/>
          <w:szCs w:val="24"/>
        </w:rPr>
        <w:t>ā</w:t>
      </w:r>
      <w:r w:rsidRPr="0065508A">
        <w:rPr>
          <w:rFonts w:eastAsia="Calibri" w:cs="Times New Roman"/>
          <w:szCs w:val="24"/>
        </w:rPr>
        <w:t xml:space="preserve"> </w:t>
      </w:r>
      <w:r w:rsidR="001E0B54" w:rsidRPr="0065508A">
        <w:rPr>
          <w:rFonts w:eastAsia="Calibri" w:cs="Times New Roman"/>
          <w:szCs w:val="24"/>
        </w:rPr>
        <w:t xml:space="preserve">psiholoģes </w:t>
      </w:r>
      <w:r w:rsidR="00CD4843">
        <w:rPr>
          <w:rFonts w:eastAsia="Calibri" w:cs="Times New Roman"/>
          <w:szCs w:val="24"/>
        </w:rPr>
        <w:t>[pers. G]</w:t>
      </w:r>
      <w:r w:rsidR="001E0B54" w:rsidRPr="0065508A">
        <w:rPr>
          <w:rFonts w:eastAsia="Calibri" w:cs="Times New Roman"/>
          <w:szCs w:val="24"/>
        </w:rPr>
        <w:t xml:space="preserve"> izmantoto metožu un taktikas </w:t>
      </w:r>
      <w:r w:rsidRPr="0065508A">
        <w:rPr>
          <w:rFonts w:eastAsia="Calibri" w:cs="Times New Roman"/>
          <w:szCs w:val="24"/>
        </w:rPr>
        <w:t>atbilstību normatīvajos aktos noteiktajām prasībām.</w:t>
      </w:r>
    </w:p>
    <w:p w14:paraId="3DA87640" w14:textId="3EA80AEF" w:rsidR="00415960" w:rsidRPr="0065508A" w:rsidRDefault="00415960" w:rsidP="00F5769E">
      <w:pPr>
        <w:autoSpaceDE w:val="0"/>
        <w:autoSpaceDN w:val="0"/>
        <w:adjustRightInd w:val="0"/>
        <w:spacing w:after="0" w:line="276" w:lineRule="auto"/>
        <w:ind w:firstLine="709"/>
        <w:jc w:val="both"/>
        <w:rPr>
          <w:rFonts w:eastAsia="Calibri" w:cs="Times New Roman"/>
          <w:szCs w:val="24"/>
        </w:rPr>
      </w:pPr>
      <w:r w:rsidRPr="0065508A">
        <w:rPr>
          <w:rFonts w:eastAsia="Calibri" w:cs="Times New Roman"/>
          <w:szCs w:val="24"/>
        </w:rPr>
        <w:t>[3.</w:t>
      </w:r>
      <w:r w:rsidR="00265393" w:rsidRPr="0065508A">
        <w:rPr>
          <w:rFonts w:eastAsia="Calibri" w:cs="Times New Roman"/>
          <w:szCs w:val="24"/>
        </w:rPr>
        <w:t>4</w:t>
      </w:r>
      <w:r w:rsidRPr="0065508A">
        <w:rPr>
          <w:rFonts w:eastAsia="Calibri" w:cs="Times New Roman"/>
          <w:szCs w:val="24"/>
        </w:rPr>
        <w:t xml:space="preserve">] Cietušās </w:t>
      </w:r>
      <w:r w:rsidR="00CD4843">
        <w:rPr>
          <w:rFonts w:eastAsia="Calibri" w:cs="Times New Roman"/>
          <w:szCs w:val="24"/>
        </w:rPr>
        <w:t>[pers. H]</w:t>
      </w:r>
      <w:r w:rsidRPr="0065508A">
        <w:rPr>
          <w:rFonts w:eastAsia="Calibri" w:cs="Times New Roman"/>
          <w:szCs w:val="24"/>
        </w:rPr>
        <w:t xml:space="preserve"> nopratināšanas laikā iegūtās ziņas par faktiem nebija pamata izmantot kā pierādījumu</w:t>
      </w:r>
      <w:r w:rsidR="00E9018A" w:rsidRPr="0065508A">
        <w:rPr>
          <w:rFonts w:eastAsia="Calibri" w:cs="Times New Roman"/>
          <w:szCs w:val="24"/>
        </w:rPr>
        <w:t xml:space="preserve">s saskaņā ar Kriminālprocesa likuma </w:t>
      </w:r>
      <w:proofErr w:type="gramStart"/>
      <w:r w:rsidR="00E9018A" w:rsidRPr="0065508A">
        <w:rPr>
          <w:rFonts w:eastAsia="Calibri" w:cs="Times New Roman"/>
          <w:szCs w:val="24"/>
        </w:rPr>
        <w:t>130.panta</w:t>
      </w:r>
      <w:proofErr w:type="gramEnd"/>
      <w:r w:rsidR="00E9018A" w:rsidRPr="0065508A">
        <w:rPr>
          <w:rFonts w:eastAsia="Calibri" w:cs="Times New Roman"/>
          <w:szCs w:val="24"/>
        </w:rPr>
        <w:t xml:space="preserve"> otrās daļas 1.punktu</w:t>
      </w:r>
      <w:r w:rsidRPr="0065508A">
        <w:rPr>
          <w:rFonts w:eastAsia="Calibri" w:cs="Times New Roman"/>
          <w:szCs w:val="24"/>
        </w:rPr>
        <w:t>, jo nopratināšanā uzdoti uzvedinoši jautājumi, bērna vietā sniegtas atbildes, izteikti draudi un izmantota šantāža.</w:t>
      </w:r>
    </w:p>
    <w:p w14:paraId="317626B6" w14:textId="5A662970" w:rsidR="00415960" w:rsidRPr="0065508A" w:rsidRDefault="00415960" w:rsidP="00F5769E">
      <w:pPr>
        <w:autoSpaceDE w:val="0"/>
        <w:autoSpaceDN w:val="0"/>
        <w:adjustRightInd w:val="0"/>
        <w:spacing w:after="0" w:line="276" w:lineRule="auto"/>
        <w:ind w:firstLine="709"/>
        <w:jc w:val="both"/>
        <w:rPr>
          <w:rFonts w:eastAsia="Calibri" w:cs="Times New Roman"/>
          <w:szCs w:val="24"/>
        </w:rPr>
      </w:pPr>
      <w:r w:rsidRPr="0065508A">
        <w:rPr>
          <w:rFonts w:eastAsia="Calibri" w:cs="Times New Roman"/>
          <w:szCs w:val="24"/>
        </w:rPr>
        <w:t>[3.</w:t>
      </w:r>
      <w:r w:rsidR="00265393" w:rsidRPr="0065508A">
        <w:rPr>
          <w:rFonts w:eastAsia="Calibri" w:cs="Times New Roman"/>
          <w:szCs w:val="24"/>
        </w:rPr>
        <w:t>5</w:t>
      </w:r>
      <w:r w:rsidRPr="0065508A">
        <w:rPr>
          <w:rFonts w:eastAsia="Calibri" w:cs="Times New Roman"/>
          <w:szCs w:val="24"/>
        </w:rPr>
        <w:t xml:space="preserve">] Cietušās </w:t>
      </w:r>
      <w:r w:rsidR="00CD4843">
        <w:rPr>
          <w:rFonts w:eastAsia="Calibri" w:cs="Times New Roman"/>
          <w:szCs w:val="24"/>
        </w:rPr>
        <w:t>[pers. H]</w:t>
      </w:r>
      <w:r w:rsidRPr="0065508A">
        <w:rPr>
          <w:rFonts w:eastAsia="Calibri" w:cs="Times New Roman"/>
          <w:szCs w:val="24"/>
        </w:rPr>
        <w:t xml:space="preserve"> nopratināšanu procesa virzītāja uzdevumā veicis psihologs</w:t>
      </w:r>
      <w:r w:rsidRPr="0065508A">
        <w:rPr>
          <w:rFonts w:cs="Times New Roman"/>
          <w:szCs w:val="24"/>
        </w:rPr>
        <w:t xml:space="preserve">, kas nebija izmeklēšanas iestādes pilnvarota amatpersona Kriminālprocesa likuma </w:t>
      </w:r>
      <w:proofErr w:type="gramStart"/>
      <w:r w:rsidRPr="0065508A">
        <w:rPr>
          <w:rFonts w:cs="Times New Roman"/>
          <w:szCs w:val="24"/>
        </w:rPr>
        <w:t>32.panta</w:t>
      </w:r>
      <w:proofErr w:type="gramEnd"/>
      <w:r w:rsidRPr="0065508A">
        <w:rPr>
          <w:rFonts w:cs="Times New Roman"/>
          <w:szCs w:val="24"/>
        </w:rPr>
        <w:t xml:space="preserve"> pirmās daļas izpratnē.</w:t>
      </w:r>
      <w:r w:rsidR="00265393" w:rsidRPr="0065508A">
        <w:rPr>
          <w:rFonts w:cs="Times New Roman"/>
          <w:szCs w:val="24"/>
        </w:rPr>
        <w:t xml:space="preserve"> Līdz ar to</w:t>
      </w:r>
      <w:r w:rsidRPr="0065508A">
        <w:rPr>
          <w:rFonts w:eastAsia="Calibri" w:cs="Times New Roman"/>
          <w:szCs w:val="24"/>
        </w:rPr>
        <w:t xml:space="preserve"> cietušās </w:t>
      </w:r>
      <w:r w:rsidR="00CD4843">
        <w:rPr>
          <w:rFonts w:eastAsia="Calibri" w:cs="Times New Roman"/>
          <w:szCs w:val="24"/>
        </w:rPr>
        <w:t>[pers. H]</w:t>
      </w:r>
      <w:r w:rsidRPr="0065508A">
        <w:rPr>
          <w:rFonts w:eastAsia="Calibri" w:cs="Times New Roman"/>
          <w:szCs w:val="24"/>
        </w:rPr>
        <w:t xml:space="preserve"> nopratināšanā iegūtās ziņas par faktiem nebija pamata izmantot kā pierādījumu saskaņā ar Kriminālprocesa likuma </w:t>
      </w:r>
      <w:proofErr w:type="gramStart"/>
      <w:r w:rsidR="00B616D8" w:rsidRPr="0065508A">
        <w:rPr>
          <w:rFonts w:eastAsia="Calibri" w:cs="Times New Roman"/>
          <w:szCs w:val="24"/>
        </w:rPr>
        <w:t>130.panta</w:t>
      </w:r>
      <w:proofErr w:type="gramEnd"/>
      <w:r w:rsidR="00B616D8" w:rsidRPr="0065508A">
        <w:rPr>
          <w:rFonts w:eastAsia="Calibri" w:cs="Times New Roman"/>
          <w:szCs w:val="24"/>
        </w:rPr>
        <w:t xml:space="preserve"> otrās daļas 2.punktu.</w:t>
      </w:r>
    </w:p>
    <w:p w14:paraId="1CB7DBC0" w14:textId="3F198286" w:rsidR="00415960" w:rsidRPr="0065508A" w:rsidRDefault="00BA72DB" w:rsidP="00F5769E">
      <w:pPr>
        <w:autoSpaceDE w:val="0"/>
        <w:autoSpaceDN w:val="0"/>
        <w:adjustRightInd w:val="0"/>
        <w:spacing w:after="0" w:line="276" w:lineRule="auto"/>
        <w:ind w:firstLine="709"/>
        <w:jc w:val="both"/>
        <w:rPr>
          <w:rFonts w:eastAsia="Calibri" w:cs="Times New Roman"/>
          <w:szCs w:val="24"/>
        </w:rPr>
      </w:pPr>
      <w:r w:rsidRPr="0065508A">
        <w:rPr>
          <w:rFonts w:eastAsia="Calibri" w:cs="Times New Roman"/>
          <w:szCs w:val="24"/>
        </w:rPr>
        <w:t>C</w:t>
      </w:r>
      <w:r w:rsidR="00415960" w:rsidRPr="0065508A">
        <w:rPr>
          <w:rFonts w:eastAsia="Calibri" w:cs="Times New Roman"/>
          <w:szCs w:val="24"/>
        </w:rPr>
        <w:t xml:space="preserve">ietušās </w:t>
      </w:r>
      <w:r w:rsidR="00CD4843">
        <w:rPr>
          <w:rFonts w:eastAsia="Calibri" w:cs="Times New Roman"/>
          <w:szCs w:val="24"/>
        </w:rPr>
        <w:t>[pers. H]</w:t>
      </w:r>
      <w:r w:rsidR="00415960" w:rsidRPr="0065508A">
        <w:rPr>
          <w:rFonts w:eastAsia="Calibri" w:cs="Times New Roman"/>
          <w:szCs w:val="24"/>
        </w:rPr>
        <w:t xml:space="preserve"> nopratināšanas protokolā norādīts, ka tā tiek veikta saskaņā ar Kriminālprocesa likuma </w:t>
      </w:r>
      <w:proofErr w:type="gramStart"/>
      <w:r w:rsidR="00415960" w:rsidRPr="0065508A">
        <w:rPr>
          <w:rFonts w:eastAsia="Calibri" w:cs="Times New Roman"/>
          <w:szCs w:val="24"/>
        </w:rPr>
        <w:t>152.pantu</w:t>
      </w:r>
      <w:proofErr w:type="gramEnd"/>
      <w:r w:rsidR="00415960" w:rsidRPr="0065508A">
        <w:rPr>
          <w:rFonts w:eastAsia="Calibri" w:cs="Times New Roman"/>
          <w:szCs w:val="24"/>
        </w:rPr>
        <w:t xml:space="preserve">, proti, cietušo pratina inspektore, piedaloties cietušās mātei un psiholoģei </w:t>
      </w:r>
      <w:r w:rsidR="00CD4843">
        <w:rPr>
          <w:rFonts w:eastAsia="Calibri" w:cs="Times New Roman"/>
          <w:szCs w:val="24"/>
        </w:rPr>
        <w:t>[pers. G]</w:t>
      </w:r>
      <w:r w:rsidR="00415960" w:rsidRPr="0065508A">
        <w:rPr>
          <w:rFonts w:cs="Times New Roman"/>
          <w:szCs w:val="24"/>
        </w:rPr>
        <w:t xml:space="preserve">, </w:t>
      </w:r>
      <w:r w:rsidR="003B025F" w:rsidRPr="0065508A">
        <w:rPr>
          <w:rFonts w:cs="Times New Roman"/>
          <w:szCs w:val="24"/>
        </w:rPr>
        <w:t xml:space="preserve">tomēr </w:t>
      </w:r>
      <w:r w:rsidR="00415960" w:rsidRPr="0065508A">
        <w:rPr>
          <w:rFonts w:cs="Times New Roman"/>
          <w:szCs w:val="24"/>
        </w:rPr>
        <w:t xml:space="preserve">no minētā protokola konstatējams, ka nopratināšanu veikusi </w:t>
      </w:r>
      <w:r w:rsidRPr="0065508A">
        <w:rPr>
          <w:rFonts w:cs="Times New Roman"/>
          <w:szCs w:val="24"/>
        </w:rPr>
        <w:t xml:space="preserve">tikai </w:t>
      </w:r>
      <w:r w:rsidR="00415960" w:rsidRPr="0065508A">
        <w:rPr>
          <w:rFonts w:cs="Times New Roman"/>
          <w:szCs w:val="24"/>
        </w:rPr>
        <w:t xml:space="preserve">psiholoģe </w:t>
      </w:r>
      <w:r w:rsidR="00CD4843">
        <w:rPr>
          <w:rFonts w:cs="Times New Roman"/>
          <w:szCs w:val="24"/>
        </w:rPr>
        <w:t>[pers. G]</w:t>
      </w:r>
      <w:r w:rsidR="00415960" w:rsidRPr="0065508A">
        <w:rPr>
          <w:rFonts w:cs="Times New Roman"/>
          <w:szCs w:val="24"/>
        </w:rPr>
        <w:t>. Savukārt procesuālā darbība – nopratināšana ar psihologa starpniecību – ir noteikta Kriminālprocesa likuma 153.pantā.</w:t>
      </w:r>
      <w:r w:rsidR="00415960" w:rsidRPr="0065508A">
        <w:rPr>
          <w:rFonts w:eastAsia="Calibri" w:cs="Times New Roman"/>
          <w:szCs w:val="24"/>
        </w:rPr>
        <w:t xml:space="preserve"> </w:t>
      </w:r>
      <w:r w:rsidR="00415960" w:rsidRPr="0065508A">
        <w:rPr>
          <w:rFonts w:cs="Times New Roman"/>
          <w:szCs w:val="24"/>
        </w:rPr>
        <w:t xml:space="preserve">Lai arī apelācijas instances tiesa lēmumā norādījusi, ka cietušās nopratināšana veikta Kriminālprocesa likuma 153.panta pirmajā un otrajā daļā noteiktajā kārtībā, no minētā protokola un psiholoģes </w:t>
      </w:r>
      <w:r w:rsidR="00CD4843">
        <w:rPr>
          <w:rFonts w:cs="Times New Roman"/>
          <w:szCs w:val="24"/>
        </w:rPr>
        <w:t>[pers. G]</w:t>
      </w:r>
      <w:r w:rsidR="00415960" w:rsidRPr="0065508A">
        <w:rPr>
          <w:rFonts w:cs="Times New Roman"/>
          <w:szCs w:val="24"/>
        </w:rPr>
        <w:t xml:space="preserve"> liecības nav konstatējams, ka pratināšanu būtu veikusi procesa virzītāja ar psihologa palīdzību vai arī, ka psihologs būtu uzdevis procesa virzītājam ar tehniskiem līdzekļiem nodotus jautājumus atbilstoši Kriminālprocesa likuma 153.panta otrajā daļā noteiktajam. Lietā </w:t>
      </w:r>
      <w:r w:rsidR="00E9018A" w:rsidRPr="0065508A">
        <w:rPr>
          <w:rFonts w:cs="Times New Roman"/>
          <w:szCs w:val="24"/>
        </w:rPr>
        <w:t xml:space="preserve">arī </w:t>
      </w:r>
      <w:r w:rsidR="00415960" w:rsidRPr="0065508A">
        <w:rPr>
          <w:rFonts w:cs="Times New Roman"/>
          <w:szCs w:val="24"/>
        </w:rPr>
        <w:t>nav psihologa viedok</w:t>
      </w:r>
      <w:r w:rsidR="005B5236" w:rsidRPr="0065508A">
        <w:rPr>
          <w:rFonts w:cs="Times New Roman"/>
          <w:szCs w:val="24"/>
        </w:rPr>
        <w:t>ļa</w:t>
      </w:r>
      <w:r w:rsidR="00415960" w:rsidRPr="0065508A">
        <w:rPr>
          <w:rFonts w:cs="Times New Roman"/>
          <w:szCs w:val="24"/>
        </w:rPr>
        <w:t xml:space="preserve"> par cietušās </w:t>
      </w:r>
      <w:r w:rsidR="00CD4843">
        <w:rPr>
          <w:rFonts w:cs="Times New Roman"/>
          <w:szCs w:val="24"/>
        </w:rPr>
        <w:t>[pers. H]</w:t>
      </w:r>
      <w:r w:rsidR="00415960" w:rsidRPr="0065508A">
        <w:rPr>
          <w:rFonts w:cs="Times New Roman"/>
          <w:szCs w:val="24"/>
        </w:rPr>
        <w:t xml:space="preserve"> tiešas nopratināšanas neiespējamību, kā to noteic Kriminālprocesa likuma 153.panta pirmā daļa.</w:t>
      </w:r>
    </w:p>
    <w:p w14:paraId="1E7E8027" w14:textId="1CC853DA" w:rsidR="00C3196B" w:rsidRPr="0065508A" w:rsidRDefault="00265393" w:rsidP="00F5769E">
      <w:pPr>
        <w:autoSpaceDE w:val="0"/>
        <w:autoSpaceDN w:val="0"/>
        <w:adjustRightInd w:val="0"/>
        <w:spacing w:after="0" w:line="276" w:lineRule="auto"/>
        <w:ind w:firstLine="709"/>
        <w:jc w:val="both"/>
        <w:rPr>
          <w:rFonts w:cs="Times New Roman"/>
          <w:szCs w:val="24"/>
        </w:rPr>
      </w:pPr>
      <w:r w:rsidRPr="0065508A">
        <w:rPr>
          <w:rFonts w:cs="Times New Roman"/>
          <w:szCs w:val="24"/>
        </w:rPr>
        <w:t xml:space="preserve">[3.6] Apelācijas instances tiesa nav atspēkojusi aizstāvības izvirzītos argumentus, </w:t>
      </w:r>
      <w:r w:rsidR="001E0B54" w:rsidRPr="0065508A">
        <w:rPr>
          <w:rFonts w:cs="Times New Roman"/>
          <w:szCs w:val="24"/>
        </w:rPr>
        <w:t>ar kuriem apstrīdētas</w:t>
      </w:r>
      <w:r w:rsidRPr="0065508A">
        <w:rPr>
          <w:rFonts w:cs="Times New Roman"/>
          <w:szCs w:val="24"/>
        </w:rPr>
        <w:t xml:space="preserve"> psiholoģes </w:t>
      </w:r>
      <w:r w:rsidR="00CD4843">
        <w:rPr>
          <w:rFonts w:cs="Times New Roman"/>
          <w:szCs w:val="24"/>
        </w:rPr>
        <w:t>[pers. G]</w:t>
      </w:r>
      <w:r w:rsidRPr="0065508A">
        <w:rPr>
          <w:rFonts w:cs="Times New Roman"/>
          <w:szCs w:val="24"/>
        </w:rPr>
        <w:t xml:space="preserve"> pilnvaras veikt cietušās </w:t>
      </w:r>
      <w:r w:rsidR="00CD4843">
        <w:rPr>
          <w:rFonts w:cs="Times New Roman"/>
          <w:szCs w:val="24"/>
        </w:rPr>
        <w:t>[pers. H]</w:t>
      </w:r>
      <w:r w:rsidRPr="0065508A">
        <w:rPr>
          <w:rFonts w:cs="Times New Roman"/>
          <w:szCs w:val="24"/>
        </w:rPr>
        <w:t xml:space="preserve"> nopratināšanu, proti, lietā nav ziņu par </w:t>
      </w:r>
      <w:r w:rsidR="00CD4843">
        <w:rPr>
          <w:rFonts w:cs="Times New Roman"/>
          <w:szCs w:val="24"/>
        </w:rPr>
        <w:t>[pers. G]</w:t>
      </w:r>
      <w:r w:rsidRPr="0065508A">
        <w:rPr>
          <w:rFonts w:cs="Times New Roman"/>
          <w:szCs w:val="24"/>
        </w:rPr>
        <w:t xml:space="preserve"> izglītību un kompetenci, </w:t>
      </w:r>
      <w:r w:rsidR="001E0B54" w:rsidRPr="0065508A">
        <w:rPr>
          <w:rFonts w:cs="Times New Roman"/>
          <w:szCs w:val="24"/>
        </w:rPr>
        <w:t>par</w:t>
      </w:r>
      <w:r w:rsidRPr="0065508A">
        <w:rPr>
          <w:rFonts w:cs="Times New Roman"/>
          <w:szCs w:val="24"/>
        </w:rPr>
        <w:t xml:space="preserve"> reģistrāciju </w:t>
      </w:r>
      <w:r w:rsidR="00224170" w:rsidRPr="0065508A">
        <w:rPr>
          <w:rFonts w:cs="Times New Roman"/>
          <w:szCs w:val="24"/>
        </w:rPr>
        <w:t xml:space="preserve">publiski pieejamā </w:t>
      </w:r>
      <w:r w:rsidRPr="0065508A">
        <w:rPr>
          <w:rFonts w:cs="Times New Roman"/>
          <w:szCs w:val="24"/>
        </w:rPr>
        <w:t xml:space="preserve">psihologu reģistrā, </w:t>
      </w:r>
      <w:r w:rsidR="001E0B54" w:rsidRPr="0065508A">
        <w:rPr>
          <w:rFonts w:cs="Times New Roman"/>
          <w:szCs w:val="24"/>
        </w:rPr>
        <w:t>par</w:t>
      </w:r>
      <w:r w:rsidRPr="0065508A">
        <w:rPr>
          <w:rFonts w:cs="Times New Roman"/>
          <w:szCs w:val="24"/>
        </w:rPr>
        <w:t xml:space="preserve"> nodarbinātību </w:t>
      </w:r>
      <w:r w:rsidR="001E0B54" w:rsidRPr="0065508A">
        <w:rPr>
          <w:rFonts w:cs="Times New Roman"/>
          <w:szCs w:val="24"/>
        </w:rPr>
        <w:t>SIA</w:t>
      </w:r>
      <w:r w:rsidR="003B025F" w:rsidRPr="0065508A">
        <w:rPr>
          <w:rFonts w:cs="Times New Roman"/>
          <w:szCs w:val="24"/>
        </w:rPr>
        <w:t xml:space="preserve"> </w:t>
      </w:r>
      <w:r w:rsidRPr="0065508A">
        <w:rPr>
          <w:rFonts w:cs="Times New Roman"/>
          <w:szCs w:val="24"/>
        </w:rPr>
        <w:t>„</w:t>
      </w:r>
      <w:r w:rsidR="00CD4843">
        <w:rPr>
          <w:rFonts w:cs="Times New Roman"/>
          <w:szCs w:val="24"/>
        </w:rPr>
        <w:t>[Nosaukums A]</w:t>
      </w:r>
      <w:r w:rsidRPr="0065508A">
        <w:rPr>
          <w:rFonts w:cs="Times New Roman"/>
          <w:szCs w:val="24"/>
        </w:rPr>
        <w:t xml:space="preserve">”, </w:t>
      </w:r>
      <w:r w:rsidR="00C2712E" w:rsidRPr="0065508A">
        <w:rPr>
          <w:rFonts w:cs="Times New Roman"/>
          <w:szCs w:val="24"/>
        </w:rPr>
        <w:t xml:space="preserve">kā arī nav </w:t>
      </w:r>
      <w:r w:rsidRPr="0065508A">
        <w:rPr>
          <w:rFonts w:cs="Times New Roman"/>
          <w:szCs w:val="24"/>
        </w:rPr>
        <w:t xml:space="preserve">ziņu par </w:t>
      </w:r>
      <w:r w:rsidR="001E0B54" w:rsidRPr="0065508A">
        <w:rPr>
          <w:rFonts w:cs="Times New Roman"/>
          <w:szCs w:val="24"/>
        </w:rPr>
        <w:t>šo sabiedrību</w:t>
      </w:r>
      <w:r w:rsidRPr="0065508A">
        <w:rPr>
          <w:rFonts w:cs="Times New Roman"/>
          <w:szCs w:val="24"/>
        </w:rPr>
        <w:t>.</w:t>
      </w:r>
    </w:p>
    <w:p w14:paraId="1F8BB3C6" w14:textId="1E6FA5CF" w:rsidR="00176D49" w:rsidRPr="0065508A" w:rsidRDefault="00C3196B" w:rsidP="007827B6">
      <w:pPr>
        <w:autoSpaceDE w:val="0"/>
        <w:autoSpaceDN w:val="0"/>
        <w:adjustRightInd w:val="0"/>
        <w:spacing w:after="0" w:line="276" w:lineRule="auto"/>
        <w:ind w:firstLine="709"/>
        <w:jc w:val="both"/>
        <w:rPr>
          <w:rFonts w:eastAsia="Calibri" w:cs="Times New Roman"/>
          <w:szCs w:val="24"/>
        </w:rPr>
      </w:pPr>
      <w:r w:rsidRPr="0065508A">
        <w:rPr>
          <w:rFonts w:eastAsia="Calibri" w:cs="Times New Roman"/>
          <w:szCs w:val="24"/>
        </w:rPr>
        <w:t>[</w:t>
      </w:r>
      <w:r w:rsidR="00533958" w:rsidRPr="0065508A">
        <w:rPr>
          <w:rFonts w:eastAsia="Calibri" w:cs="Times New Roman"/>
          <w:szCs w:val="24"/>
        </w:rPr>
        <w:t>3</w:t>
      </w:r>
      <w:r w:rsidRPr="0065508A">
        <w:rPr>
          <w:rFonts w:eastAsia="Calibri" w:cs="Times New Roman"/>
          <w:szCs w:val="24"/>
        </w:rPr>
        <w:t>.</w:t>
      </w:r>
      <w:r w:rsidR="00265393" w:rsidRPr="0065508A">
        <w:rPr>
          <w:rFonts w:eastAsia="Calibri" w:cs="Times New Roman"/>
          <w:szCs w:val="24"/>
        </w:rPr>
        <w:t>7</w:t>
      </w:r>
      <w:r w:rsidRPr="0065508A">
        <w:rPr>
          <w:rFonts w:eastAsia="Calibri" w:cs="Times New Roman"/>
          <w:szCs w:val="24"/>
        </w:rPr>
        <w:t>] </w:t>
      </w:r>
      <w:r w:rsidR="006C7881" w:rsidRPr="0065508A">
        <w:rPr>
          <w:rFonts w:eastAsia="Calibri" w:cs="Times New Roman"/>
          <w:szCs w:val="24"/>
        </w:rPr>
        <w:t>Apelācijas instances tiesa</w:t>
      </w:r>
      <w:r w:rsidR="005A49F1" w:rsidRPr="0065508A">
        <w:rPr>
          <w:rFonts w:eastAsia="Calibri" w:cs="Times New Roman"/>
          <w:szCs w:val="24"/>
        </w:rPr>
        <w:t>, to nemotivējot,</w:t>
      </w:r>
      <w:r w:rsidR="006C7881" w:rsidRPr="0065508A">
        <w:rPr>
          <w:rFonts w:eastAsia="Calibri" w:cs="Times New Roman"/>
          <w:szCs w:val="24"/>
        </w:rPr>
        <w:t xml:space="preserve"> noraidījusi</w:t>
      </w:r>
      <w:r w:rsidR="00517F96" w:rsidRPr="0065508A">
        <w:rPr>
          <w:rFonts w:eastAsia="Calibri" w:cs="Times New Roman"/>
          <w:szCs w:val="24"/>
        </w:rPr>
        <w:t xml:space="preserve"> aizstāvības </w:t>
      </w:r>
      <w:r w:rsidR="005A49F1" w:rsidRPr="0065508A">
        <w:rPr>
          <w:rFonts w:eastAsia="Calibri" w:cs="Times New Roman"/>
          <w:szCs w:val="24"/>
        </w:rPr>
        <w:t xml:space="preserve">pieteikto </w:t>
      </w:r>
      <w:r w:rsidR="00517F96" w:rsidRPr="0065508A">
        <w:rPr>
          <w:rFonts w:eastAsia="Calibri" w:cs="Times New Roman"/>
          <w:szCs w:val="24"/>
        </w:rPr>
        <w:t>lūgum</w:t>
      </w:r>
      <w:r w:rsidR="006C7881" w:rsidRPr="0065508A">
        <w:rPr>
          <w:rFonts w:eastAsia="Calibri" w:cs="Times New Roman"/>
          <w:szCs w:val="24"/>
        </w:rPr>
        <w:t>u</w:t>
      </w:r>
      <w:r w:rsidR="00517F96" w:rsidRPr="0065508A">
        <w:rPr>
          <w:rFonts w:eastAsia="Calibri" w:cs="Times New Roman"/>
          <w:szCs w:val="24"/>
        </w:rPr>
        <w:t xml:space="preserve"> uzaicināt liecinieku </w:t>
      </w:r>
      <w:r w:rsidR="00CD4843">
        <w:rPr>
          <w:rFonts w:eastAsia="Calibri" w:cs="Times New Roman"/>
          <w:szCs w:val="24"/>
        </w:rPr>
        <w:t>[pers. I]</w:t>
      </w:r>
      <w:r w:rsidR="00517610" w:rsidRPr="0065508A">
        <w:rPr>
          <w:rFonts w:eastAsia="Calibri" w:cs="Times New Roman"/>
          <w:szCs w:val="24"/>
        </w:rPr>
        <w:t xml:space="preserve"> </w:t>
      </w:r>
      <w:r w:rsidR="001E0B54" w:rsidRPr="0065508A">
        <w:rPr>
          <w:rFonts w:eastAsia="Calibri" w:cs="Times New Roman"/>
          <w:szCs w:val="24"/>
        </w:rPr>
        <w:t xml:space="preserve">un nopratināt </w:t>
      </w:r>
      <w:r w:rsidR="005F6C4D" w:rsidRPr="0065508A">
        <w:rPr>
          <w:rFonts w:eastAsia="Calibri" w:cs="Times New Roman"/>
          <w:szCs w:val="24"/>
        </w:rPr>
        <w:t>par apstākļiem, kuriem ir būtiska nozīme krimināltiesisko attiecību taisnīgā noregulējumā.</w:t>
      </w:r>
      <w:r w:rsidR="00517F96" w:rsidRPr="0065508A">
        <w:rPr>
          <w:rFonts w:eastAsia="Calibri" w:cs="Times New Roman"/>
          <w:szCs w:val="24"/>
        </w:rPr>
        <w:t xml:space="preserve"> </w:t>
      </w:r>
      <w:r w:rsidR="00FB6757" w:rsidRPr="0065508A">
        <w:rPr>
          <w:rFonts w:eastAsia="Calibri" w:cs="Times New Roman"/>
          <w:szCs w:val="24"/>
        </w:rPr>
        <w:t xml:space="preserve">Vienlaikus apelācijas instances tiesa </w:t>
      </w:r>
      <w:r w:rsidR="008C2BCA" w:rsidRPr="0065508A">
        <w:rPr>
          <w:rFonts w:eastAsia="Calibri" w:cs="Times New Roman"/>
          <w:szCs w:val="24"/>
        </w:rPr>
        <w:t xml:space="preserve">šo pašu apstākļu pierādīšanai </w:t>
      </w:r>
      <w:r w:rsidR="006C7881" w:rsidRPr="0065508A">
        <w:rPr>
          <w:rFonts w:eastAsia="Calibri" w:cs="Times New Roman"/>
          <w:szCs w:val="24"/>
        </w:rPr>
        <w:t>atsaukusies uz</w:t>
      </w:r>
      <w:r w:rsidR="00FB6757" w:rsidRPr="0065508A">
        <w:rPr>
          <w:rFonts w:eastAsia="Calibri" w:cs="Times New Roman"/>
          <w:szCs w:val="24"/>
        </w:rPr>
        <w:t xml:space="preserve"> pārstāves </w:t>
      </w:r>
      <w:r w:rsidR="00CD4843">
        <w:rPr>
          <w:rFonts w:eastAsia="Calibri" w:cs="Times New Roman"/>
          <w:szCs w:val="24"/>
        </w:rPr>
        <w:t>[pers. </w:t>
      </w:r>
      <w:r w:rsidR="00CD4843">
        <w:t>J]</w:t>
      </w:r>
      <w:r w:rsidR="008C2BCA" w:rsidRPr="0065508A">
        <w:rPr>
          <w:rFonts w:eastAsia="Calibri" w:cs="Times New Roman"/>
          <w:szCs w:val="24"/>
        </w:rPr>
        <w:t xml:space="preserve"> </w:t>
      </w:r>
      <w:r w:rsidR="00FB6757" w:rsidRPr="0065508A">
        <w:rPr>
          <w:rFonts w:eastAsia="Calibri" w:cs="Times New Roman"/>
          <w:szCs w:val="24"/>
        </w:rPr>
        <w:t>liecīb</w:t>
      </w:r>
      <w:r w:rsidR="006C7881" w:rsidRPr="0065508A">
        <w:rPr>
          <w:rFonts w:eastAsia="Calibri" w:cs="Times New Roman"/>
          <w:szCs w:val="24"/>
        </w:rPr>
        <w:t>ās minētajām ziņām par faktiem</w:t>
      </w:r>
      <w:r w:rsidR="008C2BCA" w:rsidRPr="0065508A">
        <w:rPr>
          <w:rFonts w:eastAsia="Calibri" w:cs="Times New Roman"/>
          <w:szCs w:val="24"/>
        </w:rPr>
        <w:t xml:space="preserve">, lai gan šajās liecībās minētās ziņas neapstiprināja apsūdzētais </w:t>
      </w:r>
      <w:r w:rsidR="00CD4843">
        <w:rPr>
          <w:rFonts w:eastAsia="Calibri" w:cs="Times New Roman"/>
          <w:szCs w:val="24"/>
        </w:rPr>
        <w:t>[pers. A]</w:t>
      </w:r>
      <w:r w:rsidR="00356515" w:rsidRPr="0065508A">
        <w:rPr>
          <w:rFonts w:eastAsia="Calibri" w:cs="Times New Roman"/>
          <w:szCs w:val="24"/>
        </w:rPr>
        <w:t>.</w:t>
      </w:r>
      <w:r w:rsidR="00FB6757" w:rsidRPr="0065508A">
        <w:rPr>
          <w:rFonts w:eastAsia="Calibri" w:cs="Times New Roman"/>
          <w:szCs w:val="24"/>
        </w:rPr>
        <w:t xml:space="preserve"> </w:t>
      </w:r>
      <w:r w:rsidR="00FB2D9C" w:rsidRPr="0065508A">
        <w:rPr>
          <w:rFonts w:eastAsia="Calibri" w:cs="Times New Roman"/>
          <w:szCs w:val="24"/>
        </w:rPr>
        <w:t>Savukārt p</w:t>
      </w:r>
      <w:r w:rsidR="008C2BCA" w:rsidRPr="0065508A">
        <w:rPr>
          <w:rFonts w:eastAsia="Calibri" w:cs="Times New Roman"/>
          <w:szCs w:val="24"/>
        </w:rPr>
        <w:t xml:space="preserve">retrunas </w:t>
      </w:r>
      <w:r w:rsidR="00FB2D9C" w:rsidRPr="0065508A">
        <w:rPr>
          <w:rFonts w:eastAsia="Calibri" w:cs="Times New Roman"/>
          <w:szCs w:val="24"/>
        </w:rPr>
        <w:t>minētajās liecībās apelācijas instances tiesa nav izvērtējusi.</w:t>
      </w:r>
    </w:p>
    <w:p w14:paraId="65A9B9D1" w14:textId="77777777" w:rsidR="00CD4843" w:rsidRDefault="00CD4843" w:rsidP="00F5769E">
      <w:pPr>
        <w:spacing w:after="0" w:line="276" w:lineRule="auto"/>
        <w:contextualSpacing/>
        <w:jc w:val="center"/>
        <w:rPr>
          <w:rFonts w:cs="Times New Roman"/>
          <w:b/>
          <w:szCs w:val="24"/>
        </w:rPr>
      </w:pPr>
    </w:p>
    <w:p w14:paraId="2989F622" w14:textId="3C38AF4C" w:rsidR="00424471" w:rsidRPr="0065508A" w:rsidRDefault="00424471" w:rsidP="00F5769E">
      <w:pPr>
        <w:spacing w:after="0" w:line="276" w:lineRule="auto"/>
        <w:contextualSpacing/>
        <w:jc w:val="center"/>
        <w:rPr>
          <w:rFonts w:cs="Times New Roman"/>
          <w:b/>
          <w:szCs w:val="24"/>
        </w:rPr>
      </w:pPr>
      <w:r w:rsidRPr="0065508A">
        <w:rPr>
          <w:rFonts w:cs="Times New Roman"/>
          <w:b/>
          <w:szCs w:val="24"/>
        </w:rPr>
        <w:t>Motīvu daļa</w:t>
      </w:r>
    </w:p>
    <w:p w14:paraId="65FE9993" w14:textId="73568A9E" w:rsidR="005738CD" w:rsidRPr="0065508A" w:rsidRDefault="005738CD" w:rsidP="00F5769E">
      <w:pPr>
        <w:spacing w:after="0" w:line="276" w:lineRule="auto"/>
        <w:contextualSpacing/>
        <w:jc w:val="both"/>
        <w:rPr>
          <w:rFonts w:cs="Times New Roman"/>
          <w:szCs w:val="24"/>
        </w:rPr>
      </w:pPr>
    </w:p>
    <w:p w14:paraId="37BFD283" w14:textId="634BB847" w:rsidR="009B761A" w:rsidRPr="0065508A" w:rsidRDefault="009B761A" w:rsidP="00F5769E">
      <w:pPr>
        <w:autoSpaceDE w:val="0"/>
        <w:autoSpaceDN w:val="0"/>
        <w:adjustRightInd w:val="0"/>
        <w:spacing w:after="0" w:line="276" w:lineRule="auto"/>
        <w:ind w:firstLine="720"/>
        <w:jc w:val="both"/>
        <w:rPr>
          <w:rFonts w:cs="Times New Roman"/>
          <w:szCs w:val="24"/>
        </w:rPr>
      </w:pPr>
      <w:bookmarkStart w:id="3" w:name="_Hlk39751883"/>
      <w:r w:rsidRPr="0065508A">
        <w:rPr>
          <w:rFonts w:eastAsia="Calibri" w:cs="Times New Roman"/>
          <w:szCs w:val="24"/>
        </w:rPr>
        <w:t>[</w:t>
      </w:r>
      <w:r w:rsidR="00A2704F" w:rsidRPr="0065508A">
        <w:rPr>
          <w:rFonts w:eastAsia="Calibri" w:cs="Times New Roman"/>
          <w:szCs w:val="24"/>
        </w:rPr>
        <w:t>4</w:t>
      </w:r>
      <w:r w:rsidRPr="0065508A">
        <w:rPr>
          <w:rFonts w:eastAsia="Calibri" w:cs="Times New Roman"/>
          <w:szCs w:val="24"/>
        </w:rPr>
        <w:t>]</w:t>
      </w:r>
      <w:bookmarkEnd w:id="3"/>
      <w:r w:rsidRPr="0065508A">
        <w:rPr>
          <w:rFonts w:eastAsia="Calibri" w:cs="Times New Roman"/>
          <w:szCs w:val="24"/>
        </w:rPr>
        <w:t xml:space="preserve"> Senāts atzīst, ka </w:t>
      </w:r>
      <w:r w:rsidR="001B3EB2">
        <w:rPr>
          <w:rFonts w:eastAsia="Calibri" w:cs="Times New Roman"/>
          <w:szCs w:val="24"/>
        </w:rPr>
        <w:t>[..]</w:t>
      </w:r>
      <w:r w:rsidRPr="0065508A">
        <w:rPr>
          <w:rFonts w:eastAsia="Calibri" w:cs="Times New Roman"/>
          <w:szCs w:val="24"/>
        </w:rPr>
        <w:t xml:space="preserve"> apgabaltiesas </w:t>
      </w:r>
      <w:proofErr w:type="gramStart"/>
      <w:r w:rsidRPr="0065508A">
        <w:rPr>
          <w:rFonts w:eastAsia="Calibri" w:cs="Times New Roman"/>
          <w:szCs w:val="24"/>
        </w:rPr>
        <w:t>20</w:t>
      </w:r>
      <w:r w:rsidR="00AE60E6" w:rsidRPr="0065508A">
        <w:rPr>
          <w:rFonts w:eastAsia="Calibri" w:cs="Times New Roman"/>
          <w:szCs w:val="24"/>
        </w:rPr>
        <w:t>2</w:t>
      </w:r>
      <w:r w:rsidR="005C6521" w:rsidRPr="0065508A">
        <w:rPr>
          <w:rFonts w:eastAsia="Calibri" w:cs="Times New Roman"/>
          <w:szCs w:val="24"/>
        </w:rPr>
        <w:t>1</w:t>
      </w:r>
      <w:r w:rsidRPr="0065508A">
        <w:rPr>
          <w:rFonts w:eastAsia="Calibri" w:cs="Times New Roman"/>
          <w:szCs w:val="24"/>
        </w:rPr>
        <w:t>.gada</w:t>
      </w:r>
      <w:proofErr w:type="gramEnd"/>
      <w:r w:rsidRPr="0065508A">
        <w:rPr>
          <w:rFonts w:eastAsia="Calibri" w:cs="Times New Roman"/>
          <w:szCs w:val="24"/>
        </w:rPr>
        <w:t xml:space="preserve"> </w:t>
      </w:r>
      <w:r w:rsidR="001B3EB2">
        <w:rPr>
          <w:rFonts w:eastAsia="Calibri" w:cs="Times New Roman"/>
          <w:szCs w:val="24"/>
        </w:rPr>
        <w:t>[..]</w:t>
      </w:r>
      <w:r w:rsidR="00C675CF" w:rsidRPr="0065508A">
        <w:rPr>
          <w:rFonts w:eastAsia="Calibri" w:cs="Times New Roman"/>
          <w:szCs w:val="24"/>
        </w:rPr>
        <w:t xml:space="preserve"> </w:t>
      </w:r>
      <w:r w:rsidR="005C6521" w:rsidRPr="0065508A">
        <w:rPr>
          <w:rFonts w:eastAsia="Calibri" w:cs="Times New Roman"/>
          <w:szCs w:val="24"/>
        </w:rPr>
        <w:t>lēmums</w:t>
      </w:r>
      <w:r w:rsidRPr="0065508A">
        <w:rPr>
          <w:rFonts w:eastAsia="Calibri" w:cs="Times New Roman"/>
          <w:szCs w:val="24"/>
        </w:rPr>
        <w:t xml:space="preserve"> </w:t>
      </w:r>
      <w:r w:rsidR="00AE60E6" w:rsidRPr="0065508A">
        <w:rPr>
          <w:rFonts w:eastAsia="Calibri" w:cs="Times New Roman"/>
          <w:szCs w:val="24"/>
        </w:rPr>
        <w:t>atceļam</w:t>
      </w:r>
      <w:r w:rsidR="00C675CF" w:rsidRPr="0065508A">
        <w:rPr>
          <w:rFonts w:eastAsia="Calibri" w:cs="Times New Roman"/>
          <w:szCs w:val="24"/>
        </w:rPr>
        <w:t>s</w:t>
      </w:r>
      <w:r w:rsidR="00AE60E6" w:rsidRPr="0065508A">
        <w:rPr>
          <w:rFonts w:eastAsia="Calibri" w:cs="Times New Roman"/>
          <w:szCs w:val="24"/>
        </w:rPr>
        <w:t xml:space="preserve"> </w:t>
      </w:r>
      <w:r w:rsidR="00752437" w:rsidRPr="0065508A">
        <w:rPr>
          <w:rFonts w:eastAsia="Calibri" w:cs="Times New Roman"/>
          <w:szCs w:val="24"/>
        </w:rPr>
        <w:t xml:space="preserve">pilnībā </w:t>
      </w:r>
      <w:r w:rsidR="00AE60E6" w:rsidRPr="0065508A">
        <w:rPr>
          <w:rFonts w:eastAsia="Calibri" w:cs="Times New Roman"/>
          <w:szCs w:val="24"/>
        </w:rPr>
        <w:t xml:space="preserve">un lieta nosūtāma izskatīšanai </w:t>
      </w:r>
      <w:r w:rsidR="00C675CF" w:rsidRPr="0065508A">
        <w:rPr>
          <w:rFonts w:eastAsia="Calibri" w:cs="Times New Roman"/>
          <w:szCs w:val="24"/>
        </w:rPr>
        <w:t>apelācijas instances tiesā</w:t>
      </w:r>
      <w:r w:rsidRPr="0065508A">
        <w:rPr>
          <w:rFonts w:cs="Times New Roman"/>
          <w:szCs w:val="24"/>
        </w:rPr>
        <w:t>.</w:t>
      </w:r>
    </w:p>
    <w:p w14:paraId="68916B2A" w14:textId="77777777" w:rsidR="005019BB" w:rsidRPr="0065508A" w:rsidRDefault="005019BB" w:rsidP="00F5769E">
      <w:pPr>
        <w:autoSpaceDE w:val="0"/>
        <w:autoSpaceDN w:val="0"/>
        <w:adjustRightInd w:val="0"/>
        <w:spacing w:after="0" w:line="276" w:lineRule="auto"/>
        <w:ind w:firstLine="720"/>
        <w:jc w:val="both"/>
        <w:rPr>
          <w:rFonts w:cs="Times New Roman"/>
          <w:szCs w:val="24"/>
        </w:rPr>
      </w:pPr>
    </w:p>
    <w:p w14:paraId="22ED1083" w14:textId="21F9E9CC" w:rsidR="0026050F" w:rsidRPr="0065508A" w:rsidRDefault="0026050F" w:rsidP="00F5769E">
      <w:pPr>
        <w:tabs>
          <w:tab w:val="left" w:pos="1710"/>
        </w:tabs>
        <w:spacing w:after="0" w:line="276" w:lineRule="auto"/>
        <w:ind w:firstLine="709"/>
        <w:jc w:val="both"/>
        <w:rPr>
          <w:rFonts w:cs="Times New Roman"/>
          <w:bCs/>
          <w:szCs w:val="24"/>
        </w:rPr>
      </w:pPr>
      <w:r w:rsidRPr="0065508A">
        <w:rPr>
          <w:rFonts w:cs="Times New Roman"/>
          <w:bCs/>
          <w:szCs w:val="24"/>
        </w:rPr>
        <w:t>[</w:t>
      </w:r>
      <w:r w:rsidR="00A2704F" w:rsidRPr="0065508A">
        <w:rPr>
          <w:rFonts w:cs="Times New Roman"/>
          <w:bCs/>
          <w:szCs w:val="24"/>
        </w:rPr>
        <w:t>5</w:t>
      </w:r>
      <w:r w:rsidRPr="0065508A">
        <w:rPr>
          <w:rFonts w:cs="Times New Roman"/>
          <w:bCs/>
          <w:szCs w:val="24"/>
        </w:rPr>
        <w:t>] </w:t>
      </w:r>
      <w:r w:rsidRPr="0065508A">
        <w:rPr>
          <w:rFonts w:cs="Times New Roman"/>
          <w:szCs w:val="24"/>
        </w:rPr>
        <w:t xml:space="preserve">Pirmās instances tiesa apsūdzēto </w:t>
      </w:r>
      <w:r w:rsidR="001B3EB2">
        <w:rPr>
          <w:rFonts w:cs="Times New Roman"/>
          <w:szCs w:val="24"/>
        </w:rPr>
        <w:t>[pers. A]</w:t>
      </w:r>
      <w:r w:rsidRPr="0065508A">
        <w:rPr>
          <w:rFonts w:cs="Times New Roman"/>
          <w:szCs w:val="24"/>
        </w:rPr>
        <w:t xml:space="preserve"> atzinusi par vainīgu Krimināllikuma </w:t>
      </w:r>
      <w:proofErr w:type="gramStart"/>
      <w:r w:rsidRPr="0065508A">
        <w:rPr>
          <w:rFonts w:cs="Times New Roman"/>
          <w:szCs w:val="24"/>
        </w:rPr>
        <w:t>160.panta</w:t>
      </w:r>
      <w:proofErr w:type="gramEnd"/>
      <w:r w:rsidRPr="0065508A">
        <w:rPr>
          <w:rFonts w:cs="Times New Roman"/>
          <w:szCs w:val="24"/>
        </w:rPr>
        <w:t xml:space="preserve"> ceturtajā daļā paredzētajā noziedzīgajā nodarījumā par to, ka viņš nolūkā apmierināt savu dzimumtieksmi fiziskā saskarē ar cietušā</w:t>
      </w:r>
      <w:r w:rsidR="00FB2D9C" w:rsidRPr="0065508A">
        <w:rPr>
          <w:rFonts w:cs="Times New Roman"/>
          <w:szCs w:val="24"/>
        </w:rPr>
        <w:t>s</w:t>
      </w:r>
      <w:r w:rsidRPr="0065508A">
        <w:rPr>
          <w:rFonts w:cs="Times New Roman"/>
          <w:szCs w:val="24"/>
        </w:rPr>
        <w:t xml:space="preserve"> ķermeni izdarīja seksuāla rakstura darbību, izmantojot sešpadsmit gadu vecumu nesasnieguša</w:t>
      </w:r>
      <w:r w:rsidR="00FB2D9C" w:rsidRPr="0065508A">
        <w:rPr>
          <w:rFonts w:cs="Times New Roman"/>
          <w:szCs w:val="24"/>
        </w:rPr>
        <w:t>s</w:t>
      </w:r>
      <w:r w:rsidRPr="0065508A">
        <w:rPr>
          <w:rFonts w:cs="Times New Roman"/>
          <w:szCs w:val="24"/>
        </w:rPr>
        <w:t xml:space="preserve"> cietušā</w:t>
      </w:r>
      <w:r w:rsidR="00FB2D9C" w:rsidRPr="0065508A">
        <w:rPr>
          <w:rFonts w:cs="Times New Roman"/>
          <w:szCs w:val="24"/>
        </w:rPr>
        <w:t>s</w:t>
      </w:r>
      <w:r w:rsidRPr="0065508A">
        <w:rPr>
          <w:rFonts w:cs="Times New Roman"/>
          <w:szCs w:val="24"/>
        </w:rPr>
        <w:t xml:space="preserve"> bezpalīdzības stāvokli.</w:t>
      </w:r>
    </w:p>
    <w:p w14:paraId="2CC5DA80" w14:textId="796B818D" w:rsidR="0026050F" w:rsidRPr="0065508A" w:rsidRDefault="0026050F" w:rsidP="00F5769E">
      <w:pPr>
        <w:tabs>
          <w:tab w:val="left" w:pos="1710"/>
        </w:tabs>
        <w:spacing w:after="0" w:line="276" w:lineRule="auto"/>
        <w:ind w:firstLine="709"/>
        <w:jc w:val="both"/>
        <w:rPr>
          <w:rFonts w:cs="Times New Roman"/>
          <w:szCs w:val="24"/>
        </w:rPr>
      </w:pPr>
      <w:r w:rsidRPr="0065508A">
        <w:rPr>
          <w:rFonts w:cs="Times New Roman"/>
          <w:szCs w:val="24"/>
        </w:rPr>
        <w:t xml:space="preserve">Pierādītā noziedzīgā nodarījuma aprakstā pirmās instances tiesa norādījusi, ka laikā no </w:t>
      </w:r>
      <w:proofErr w:type="gramStart"/>
      <w:r w:rsidRPr="0065508A">
        <w:rPr>
          <w:rFonts w:cs="Times New Roman"/>
          <w:szCs w:val="24"/>
        </w:rPr>
        <w:t>2017.gada</w:t>
      </w:r>
      <w:proofErr w:type="gramEnd"/>
      <w:r w:rsidRPr="0065508A">
        <w:rPr>
          <w:rFonts w:cs="Times New Roman"/>
          <w:szCs w:val="24"/>
        </w:rPr>
        <w:t xml:space="preserve"> </w:t>
      </w:r>
      <w:r w:rsidR="001B3EB2">
        <w:rPr>
          <w:rFonts w:cs="Times New Roman"/>
          <w:szCs w:val="24"/>
        </w:rPr>
        <w:t>[..]</w:t>
      </w:r>
      <w:r w:rsidRPr="0065508A">
        <w:rPr>
          <w:rFonts w:cs="Times New Roman"/>
          <w:szCs w:val="24"/>
        </w:rPr>
        <w:t xml:space="preserve"> līdz 2018.gada </w:t>
      </w:r>
      <w:r w:rsidR="001B3EB2">
        <w:rPr>
          <w:rFonts w:cs="Times New Roman"/>
          <w:szCs w:val="24"/>
        </w:rPr>
        <w:t>[..]</w:t>
      </w:r>
      <w:r w:rsidRPr="0065508A">
        <w:rPr>
          <w:rFonts w:cs="Times New Roman"/>
          <w:szCs w:val="24"/>
        </w:rPr>
        <w:t xml:space="preserve"> pirmstiesas izmeklēšanā precīzi nenoskaidrotā laikā </w:t>
      </w:r>
      <w:r w:rsidR="001B3EB2">
        <w:rPr>
          <w:rFonts w:cs="Times New Roman"/>
          <w:szCs w:val="24"/>
        </w:rPr>
        <w:t>[pers. </w:t>
      </w:r>
      <w:r w:rsidR="001B3EB2">
        <w:t>A]</w:t>
      </w:r>
      <w:r w:rsidRPr="0065508A">
        <w:rPr>
          <w:rFonts w:cs="Times New Roman"/>
          <w:szCs w:val="24"/>
        </w:rPr>
        <w:t xml:space="preserve">, atrodoties savā dzīvesvietā </w:t>
      </w:r>
      <w:r w:rsidR="001B3EB2">
        <w:rPr>
          <w:rFonts w:cs="Times New Roman"/>
          <w:szCs w:val="24"/>
        </w:rPr>
        <w:t>[adrese</w:t>
      </w:r>
      <w:r w:rsidR="002575EE">
        <w:rPr>
          <w:rFonts w:cs="Times New Roman"/>
          <w:szCs w:val="24"/>
        </w:rPr>
        <w:t> 1</w:t>
      </w:r>
      <w:r w:rsidR="001B3EB2">
        <w:rPr>
          <w:rFonts w:cs="Times New Roman"/>
          <w:szCs w:val="24"/>
        </w:rPr>
        <w:t>]</w:t>
      </w:r>
      <w:r w:rsidRPr="0065508A">
        <w:rPr>
          <w:rFonts w:cs="Times New Roman"/>
          <w:szCs w:val="24"/>
        </w:rPr>
        <w:t xml:space="preserve">, </w:t>
      </w:r>
      <w:r w:rsidR="009C58DE" w:rsidRPr="0065508A">
        <w:rPr>
          <w:rFonts w:cs="Times New Roman"/>
          <w:szCs w:val="24"/>
        </w:rPr>
        <w:t xml:space="preserve">apzinoties, ka viņa meita </w:t>
      </w:r>
      <w:r w:rsidR="001B3EB2">
        <w:rPr>
          <w:rFonts w:cs="Times New Roman"/>
          <w:szCs w:val="24"/>
        </w:rPr>
        <w:t>[pers. H]</w:t>
      </w:r>
      <w:r w:rsidR="009C58DE" w:rsidRPr="0065508A">
        <w:rPr>
          <w:rFonts w:cs="Times New Roman"/>
          <w:szCs w:val="24"/>
        </w:rPr>
        <w:t xml:space="preserve"> dzimusi 2014.gadā, izmantojot viņas mazgadību, kuras dēļ </w:t>
      </w:r>
      <w:r w:rsidR="00FD018F" w:rsidRPr="0065508A">
        <w:rPr>
          <w:rFonts w:cs="Times New Roman"/>
          <w:szCs w:val="24"/>
        </w:rPr>
        <w:t xml:space="preserve">viņa </w:t>
      </w:r>
      <w:r w:rsidR="009C58DE" w:rsidRPr="0065508A">
        <w:rPr>
          <w:rFonts w:cs="Times New Roman"/>
          <w:szCs w:val="24"/>
        </w:rPr>
        <w:t>nav spējīga saprast ar viņu izdarīto darbību raksturu un nozīmi, proti, atrodas bezpalīdzības stāvoklī,</w:t>
      </w:r>
      <w:r w:rsidRPr="0065508A">
        <w:rPr>
          <w:rFonts w:cs="Times New Roman"/>
          <w:szCs w:val="24"/>
        </w:rPr>
        <w:t xml:space="preserve"> ne mazāk kā vienu r</w:t>
      </w:r>
      <w:r w:rsidR="00CC7491" w:rsidRPr="0065508A">
        <w:rPr>
          <w:rFonts w:cs="Times New Roman"/>
          <w:szCs w:val="24"/>
        </w:rPr>
        <w:t xml:space="preserve">eizi aiztika mazgadīgās </w:t>
      </w:r>
      <w:r w:rsidR="001B3EB2">
        <w:rPr>
          <w:rFonts w:cs="Times New Roman"/>
          <w:szCs w:val="24"/>
        </w:rPr>
        <w:t>[pers. H]</w:t>
      </w:r>
      <w:r w:rsidRPr="0065508A">
        <w:rPr>
          <w:rFonts w:cs="Times New Roman"/>
          <w:szCs w:val="24"/>
        </w:rPr>
        <w:t xml:space="preserve"> dzimumorgānus</w:t>
      </w:r>
      <w:r w:rsidR="0010100B" w:rsidRPr="0065508A">
        <w:rPr>
          <w:rFonts w:cs="Times New Roman"/>
          <w:szCs w:val="24"/>
        </w:rPr>
        <w:t xml:space="preserve"> – </w:t>
      </w:r>
      <w:r w:rsidRPr="0065508A">
        <w:rPr>
          <w:rFonts w:cs="Times New Roman"/>
          <w:szCs w:val="24"/>
        </w:rPr>
        <w:t xml:space="preserve"> lika pirkstu viņas vaginālajā atverē.</w:t>
      </w:r>
    </w:p>
    <w:p w14:paraId="74AA9786" w14:textId="5D07F00B" w:rsidR="009C58DE" w:rsidRPr="0065508A" w:rsidRDefault="008D6453" w:rsidP="00F5769E">
      <w:pPr>
        <w:spacing w:after="0" w:line="276" w:lineRule="auto"/>
        <w:ind w:firstLine="709"/>
        <w:jc w:val="both"/>
        <w:rPr>
          <w:rFonts w:cs="Times New Roman"/>
          <w:szCs w:val="24"/>
        </w:rPr>
      </w:pPr>
      <w:r w:rsidRPr="0065508A">
        <w:rPr>
          <w:rFonts w:cs="Times New Roman"/>
          <w:szCs w:val="24"/>
        </w:rPr>
        <w:t>K</w:t>
      </w:r>
      <w:r w:rsidR="009C58DE" w:rsidRPr="0065508A">
        <w:rPr>
          <w:rFonts w:cs="Times New Roman"/>
          <w:szCs w:val="24"/>
        </w:rPr>
        <w:t xml:space="preserve">rimināltiesību zinātnē un tiesu praksē atzīts, ka no objektīvās puses Krimināllikuma </w:t>
      </w:r>
      <w:proofErr w:type="gramStart"/>
      <w:r w:rsidR="009C58DE" w:rsidRPr="0065508A">
        <w:rPr>
          <w:rFonts w:cs="Times New Roman"/>
          <w:szCs w:val="24"/>
        </w:rPr>
        <w:t>160.panta</w:t>
      </w:r>
      <w:proofErr w:type="gramEnd"/>
      <w:r w:rsidR="009C58DE" w:rsidRPr="0065508A">
        <w:rPr>
          <w:rFonts w:cs="Times New Roman"/>
          <w:szCs w:val="24"/>
        </w:rPr>
        <w:t xml:space="preserve"> pirmajā daļā paredzētais noziegums izpaužas kā seksuāla rakstura darbības, kas nav saistītas ar iekļūšanu cietušā ķermenī, bet pieļaujot fizisku saskari ar cietušā ķermeni un izmantojot otras personas ķermeni savas dzimumtieksmes apmierināšana</w:t>
      </w:r>
      <w:r w:rsidR="00FB2D9C" w:rsidRPr="0065508A">
        <w:rPr>
          <w:rFonts w:cs="Times New Roman"/>
          <w:szCs w:val="24"/>
        </w:rPr>
        <w:t>i</w:t>
      </w:r>
      <w:r w:rsidR="00092874" w:rsidRPr="0065508A">
        <w:rPr>
          <w:rFonts w:cs="Times New Roman"/>
          <w:szCs w:val="24"/>
        </w:rPr>
        <w:t xml:space="preserve">. Savukārt </w:t>
      </w:r>
      <w:proofErr w:type="gramStart"/>
      <w:r w:rsidR="00092874" w:rsidRPr="0065508A">
        <w:rPr>
          <w:rFonts w:cs="Times New Roman"/>
          <w:szCs w:val="24"/>
        </w:rPr>
        <w:t>160.panta</w:t>
      </w:r>
      <w:proofErr w:type="gramEnd"/>
      <w:r w:rsidR="00092874" w:rsidRPr="0065508A">
        <w:rPr>
          <w:rFonts w:cs="Times New Roman"/>
          <w:szCs w:val="24"/>
        </w:rPr>
        <w:t xml:space="preserve"> ceturtajā daļā paredzēta atbildība par šā panta pirmajā daļā paredzēto noziedzīgo nodarījumu, </w:t>
      </w:r>
      <w:r w:rsidR="00FD018F" w:rsidRPr="0065508A">
        <w:rPr>
          <w:rFonts w:cs="Times New Roman"/>
          <w:szCs w:val="24"/>
        </w:rPr>
        <w:t>[..]</w:t>
      </w:r>
      <w:r w:rsidR="00092874" w:rsidRPr="0065508A">
        <w:rPr>
          <w:rFonts w:cs="Times New Roman"/>
          <w:szCs w:val="24"/>
        </w:rPr>
        <w:t xml:space="preserve"> ja tas izdarīts ar personu, kura nav sasniegusi sešpadsmit gadu vecumu </w:t>
      </w:r>
      <w:r w:rsidR="009C58DE" w:rsidRPr="0065508A">
        <w:rPr>
          <w:rFonts w:cs="Times New Roman"/>
          <w:szCs w:val="24"/>
        </w:rPr>
        <w:t>(</w:t>
      </w:r>
      <w:r w:rsidR="009C58DE" w:rsidRPr="0065508A">
        <w:rPr>
          <w:rFonts w:cs="Times New Roman"/>
          <w:i/>
          <w:szCs w:val="24"/>
        </w:rPr>
        <w:t xml:space="preserve">Krastiņš U., </w:t>
      </w:r>
      <w:proofErr w:type="spellStart"/>
      <w:r w:rsidR="009C58DE" w:rsidRPr="0065508A">
        <w:rPr>
          <w:rFonts w:cs="Times New Roman"/>
          <w:i/>
          <w:szCs w:val="24"/>
        </w:rPr>
        <w:t>Liholaja</w:t>
      </w:r>
      <w:proofErr w:type="spellEnd"/>
      <w:r w:rsidR="009C58DE" w:rsidRPr="0065508A">
        <w:rPr>
          <w:rFonts w:cs="Times New Roman"/>
          <w:i/>
          <w:szCs w:val="24"/>
        </w:rPr>
        <w:t xml:space="preserve"> V. Krimināllikuma komentāri. Otrā daļa (IX-XVII nodaļa). </w:t>
      </w:r>
      <w:r w:rsidR="0010100B" w:rsidRPr="0065508A">
        <w:rPr>
          <w:rFonts w:cs="Times New Roman"/>
          <w:i/>
          <w:szCs w:val="24"/>
        </w:rPr>
        <w:t>Trešais</w:t>
      </w:r>
      <w:r w:rsidR="009C58DE" w:rsidRPr="0065508A">
        <w:rPr>
          <w:rFonts w:cs="Times New Roman"/>
          <w:i/>
          <w:szCs w:val="24"/>
        </w:rPr>
        <w:t xml:space="preserve"> papildinātais izdevums. Rīga: Tiesu namu aģentūra, 2018, </w:t>
      </w:r>
      <w:r w:rsidR="0010100B" w:rsidRPr="0065508A">
        <w:rPr>
          <w:rFonts w:cs="Times New Roman"/>
          <w:i/>
          <w:szCs w:val="24"/>
        </w:rPr>
        <w:t>492.-493.lpp.,</w:t>
      </w:r>
      <w:r w:rsidR="00092874" w:rsidRPr="0065508A">
        <w:rPr>
          <w:rFonts w:cs="Times New Roman"/>
          <w:i/>
          <w:szCs w:val="24"/>
        </w:rPr>
        <w:t xml:space="preserve"> Tiesu prakse krimināllietās par noziedzīgiem nodarījumiem pret tikumību un dzimumneaizskaramību, kas izdarīti ar nepilngadīgo. 2017, 13-14.lpp.</w:t>
      </w:r>
      <w:r w:rsidR="0010100B" w:rsidRPr="0065508A">
        <w:rPr>
          <w:rFonts w:cs="Times New Roman"/>
          <w:i/>
          <w:szCs w:val="24"/>
        </w:rPr>
        <w:t xml:space="preserve"> Pieejams: www.at.gov.lv/lv/judikatura/tiesu-prakses-apkopojums/kriminaltiesibas/</w:t>
      </w:r>
      <w:r w:rsidR="0010100B" w:rsidRPr="0065508A">
        <w:rPr>
          <w:rFonts w:cs="Times New Roman"/>
          <w:iCs/>
          <w:szCs w:val="24"/>
        </w:rPr>
        <w:t>).</w:t>
      </w:r>
    </w:p>
    <w:p w14:paraId="55A53A2B" w14:textId="11A5EA35" w:rsidR="0000207F" w:rsidRPr="0065508A" w:rsidRDefault="00FD018F" w:rsidP="00F5769E">
      <w:pPr>
        <w:spacing w:after="0" w:line="276" w:lineRule="auto"/>
        <w:ind w:firstLine="709"/>
        <w:jc w:val="both"/>
        <w:rPr>
          <w:rFonts w:cs="Times New Roman"/>
          <w:szCs w:val="24"/>
        </w:rPr>
      </w:pPr>
      <w:r w:rsidRPr="0065508A">
        <w:rPr>
          <w:rFonts w:cs="Times New Roman"/>
          <w:szCs w:val="24"/>
        </w:rPr>
        <w:t xml:space="preserve">Kriminālprocesa likuma </w:t>
      </w:r>
      <w:proofErr w:type="gramStart"/>
      <w:r w:rsidRPr="0065508A">
        <w:rPr>
          <w:rFonts w:cs="Times New Roman"/>
          <w:szCs w:val="24"/>
        </w:rPr>
        <w:t>527.panta</w:t>
      </w:r>
      <w:proofErr w:type="gramEnd"/>
      <w:r w:rsidRPr="0065508A">
        <w:rPr>
          <w:rFonts w:cs="Times New Roman"/>
          <w:szCs w:val="24"/>
        </w:rPr>
        <w:t xml:space="preserve"> pirmā daļa noteic, ka notiesājoša sprieduma aprakstošajā daļā sniedz pierādītā </w:t>
      </w:r>
      <w:r w:rsidR="003B7264" w:rsidRPr="0065508A">
        <w:rPr>
          <w:rFonts w:cs="Times New Roman"/>
          <w:szCs w:val="24"/>
        </w:rPr>
        <w:t xml:space="preserve">noziedzīgā </w:t>
      </w:r>
      <w:r w:rsidRPr="0065508A">
        <w:rPr>
          <w:rFonts w:cs="Times New Roman"/>
          <w:szCs w:val="24"/>
        </w:rPr>
        <w:t>nodarījuma aprakstu un juridisko kvalifikāciju, minot tā izdarīšanas laiku, vietu, izdarīšanas veidu, apsūdzētā vainas formu, motīvus un šā nodarījuma sekas.</w:t>
      </w:r>
      <w:r w:rsidR="00A2704F" w:rsidRPr="0065508A">
        <w:rPr>
          <w:rFonts w:cs="Times New Roman"/>
          <w:szCs w:val="24"/>
        </w:rPr>
        <w:t xml:space="preserve"> Turklāt </w:t>
      </w:r>
      <w:r w:rsidR="0000207F" w:rsidRPr="0065508A">
        <w:rPr>
          <w:rFonts w:cs="Times New Roman"/>
          <w:szCs w:val="24"/>
        </w:rPr>
        <w:t xml:space="preserve">Senāts jau iepriekš ir paudis viedokli, ka Krimināllikuma panta dispozīcijas pārrakstīšana nenosaka konkrētā noziedzīgā nodarījuma juridisko kvalifikāciju, to nosaka lietā konstatētie </w:t>
      </w:r>
      <w:r w:rsidR="00A2704F" w:rsidRPr="0065508A">
        <w:rPr>
          <w:rFonts w:cs="Times New Roman"/>
          <w:szCs w:val="24"/>
        </w:rPr>
        <w:t xml:space="preserve">noziedzīgā nodarījuma </w:t>
      </w:r>
      <w:r w:rsidR="0000207F" w:rsidRPr="0065508A">
        <w:rPr>
          <w:rFonts w:cs="Times New Roman"/>
          <w:szCs w:val="24"/>
        </w:rPr>
        <w:t>faktiskie apstākļi (</w:t>
      </w:r>
      <w:r w:rsidR="0000207F" w:rsidRPr="0065508A">
        <w:rPr>
          <w:rFonts w:cs="Times New Roman"/>
          <w:i/>
          <w:szCs w:val="24"/>
        </w:rPr>
        <w:t xml:space="preserve">Augstākās tiesas </w:t>
      </w:r>
      <w:proofErr w:type="gramStart"/>
      <w:r w:rsidR="0000207F" w:rsidRPr="0065508A">
        <w:rPr>
          <w:rFonts w:cs="Times New Roman"/>
          <w:i/>
          <w:szCs w:val="24"/>
        </w:rPr>
        <w:t>2017.gada</w:t>
      </w:r>
      <w:proofErr w:type="gramEnd"/>
      <w:r w:rsidR="0000207F" w:rsidRPr="0065508A">
        <w:rPr>
          <w:rFonts w:cs="Times New Roman"/>
          <w:i/>
          <w:szCs w:val="24"/>
        </w:rPr>
        <w:t xml:space="preserve"> 6.janvāra lēmums lietā Nr. SKK</w:t>
      </w:r>
      <w:r w:rsidR="003B7264" w:rsidRPr="0065508A">
        <w:rPr>
          <w:rFonts w:cs="Times New Roman"/>
          <w:i/>
          <w:szCs w:val="24"/>
        </w:rPr>
        <w:noBreakHyphen/>
      </w:r>
      <w:r w:rsidR="0000207F" w:rsidRPr="0065508A">
        <w:rPr>
          <w:rFonts w:cs="Times New Roman"/>
          <w:i/>
          <w:szCs w:val="24"/>
        </w:rPr>
        <w:t xml:space="preserve">4/2017 (11181143214), 2016.gada </w:t>
      </w:r>
      <w:r w:rsidR="00DB7A9E" w:rsidRPr="0065508A">
        <w:rPr>
          <w:rFonts w:cs="Times New Roman"/>
          <w:i/>
          <w:szCs w:val="24"/>
        </w:rPr>
        <w:t>21.janvāra lēmums lietā Nr. SKK</w:t>
      </w:r>
      <w:r w:rsidR="00DB7A9E" w:rsidRPr="0065508A">
        <w:rPr>
          <w:rFonts w:cs="Times New Roman"/>
          <w:i/>
          <w:szCs w:val="24"/>
        </w:rPr>
        <w:noBreakHyphen/>
      </w:r>
      <w:r w:rsidR="0000207F" w:rsidRPr="0065508A">
        <w:rPr>
          <w:rFonts w:cs="Times New Roman"/>
          <w:i/>
          <w:szCs w:val="24"/>
        </w:rPr>
        <w:t>55/2016 (11250030514)</w:t>
      </w:r>
      <w:r w:rsidR="0000207F" w:rsidRPr="0065508A">
        <w:rPr>
          <w:rFonts w:cs="Times New Roman"/>
          <w:szCs w:val="24"/>
        </w:rPr>
        <w:t>).</w:t>
      </w:r>
    </w:p>
    <w:p w14:paraId="48EE32A3" w14:textId="0BEFBB12" w:rsidR="00D4695A" w:rsidRPr="0065508A" w:rsidRDefault="00FD018F" w:rsidP="00F5769E">
      <w:pPr>
        <w:tabs>
          <w:tab w:val="left" w:pos="1710"/>
        </w:tabs>
        <w:spacing w:after="0" w:line="276" w:lineRule="auto"/>
        <w:ind w:firstLine="709"/>
        <w:jc w:val="both"/>
        <w:rPr>
          <w:rFonts w:cs="Times New Roman"/>
          <w:bCs/>
          <w:szCs w:val="24"/>
        </w:rPr>
      </w:pPr>
      <w:r w:rsidRPr="0065508A">
        <w:rPr>
          <w:rFonts w:cs="Times New Roman"/>
          <w:szCs w:val="24"/>
        </w:rPr>
        <w:t xml:space="preserve">Apelācijas instances tiesa, </w:t>
      </w:r>
      <w:r w:rsidRPr="0065508A">
        <w:rPr>
          <w:rFonts w:cs="Times New Roman"/>
          <w:bCs/>
          <w:szCs w:val="24"/>
        </w:rPr>
        <w:t xml:space="preserve">atstājot negrozītu pirmās instances tiesas </w:t>
      </w:r>
      <w:r w:rsidR="00E41D57" w:rsidRPr="0065508A">
        <w:rPr>
          <w:rFonts w:cs="Times New Roman"/>
          <w:bCs/>
          <w:szCs w:val="24"/>
        </w:rPr>
        <w:t xml:space="preserve">notiesājošo </w:t>
      </w:r>
      <w:r w:rsidRPr="0065508A">
        <w:rPr>
          <w:rFonts w:cs="Times New Roman"/>
          <w:bCs/>
          <w:szCs w:val="24"/>
        </w:rPr>
        <w:t xml:space="preserve">spriedumu, </w:t>
      </w:r>
      <w:r w:rsidR="005F5741" w:rsidRPr="0065508A">
        <w:rPr>
          <w:rFonts w:cs="Times New Roman"/>
          <w:bCs/>
          <w:szCs w:val="24"/>
        </w:rPr>
        <w:t xml:space="preserve">atzinusi, ka apsūdzētā </w:t>
      </w:r>
      <w:r w:rsidR="001B3EB2">
        <w:rPr>
          <w:rFonts w:cs="Times New Roman"/>
          <w:bCs/>
          <w:szCs w:val="24"/>
        </w:rPr>
        <w:t>[pers. A]</w:t>
      </w:r>
      <w:r w:rsidR="005F5741" w:rsidRPr="0065508A">
        <w:rPr>
          <w:rFonts w:cs="Times New Roman"/>
          <w:bCs/>
          <w:szCs w:val="24"/>
        </w:rPr>
        <w:t xml:space="preserve"> vainīgums viņam inkriminēt</w:t>
      </w:r>
      <w:r w:rsidR="00E41D57" w:rsidRPr="0065508A">
        <w:rPr>
          <w:rFonts w:cs="Times New Roman"/>
          <w:bCs/>
          <w:szCs w:val="24"/>
        </w:rPr>
        <w:t>ajā</w:t>
      </w:r>
      <w:r w:rsidR="005F5741" w:rsidRPr="0065508A">
        <w:rPr>
          <w:rFonts w:cs="Times New Roman"/>
          <w:bCs/>
          <w:szCs w:val="24"/>
        </w:rPr>
        <w:t xml:space="preserve"> noziedzīgajā nodarījumā</w:t>
      </w:r>
      <w:r w:rsidR="0040708E" w:rsidRPr="0065508A">
        <w:rPr>
          <w:rFonts w:cs="Times New Roman"/>
          <w:bCs/>
          <w:szCs w:val="24"/>
        </w:rPr>
        <w:t xml:space="preserve"> tādā apjomā, kā tas norādīts pirmās instances tiesas spriedumā, ir pierādīts ar lietā iegūtajiem pierādījumiem un viņa darbības pa</w:t>
      </w:r>
      <w:r w:rsidR="00096C72" w:rsidRPr="0065508A">
        <w:rPr>
          <w:rFonts w:cs="Times New Roman"/>
          <w:bCs/>
          <w:szCs w:val="24"/>
        </w:rPr>
        <w:t>reizi</w:t>
      </w:r>
      <w:r w:rsidR="0040708E" w:rsidRPr="0065508A">
        <w:rPr>
          <w:rFonts w:cs="Times New Roman"/>
          <w:bCs/>
          <w:szCs w:val="24"/>
        </w:rPr>
        <w:t xml:space="preserve"> kvalificētas pēc Krimināllikuma </w:t>
      </w:r>
      <w:proofErr w:type="gramStart"/>
      <w:r w:rsidR="0040708E" w:rsidRPr="0065508A">
        <w:rPr>
          <w:rFonts w:cs="Times New Roman"/>
          <w:bCs/>
          <w:szCs w:val="24"/>
        </w:rPr>
        <w:t>160.panta</w:t>
      </w:r>
      <w:proofErr w:type="gramEnd"/>
      <w:r w:rsidR="0040708E" w:rsidRPr="0065508A">
        <w:rPr>
          <w:rFonts w:cs="Times New Roman"/>
          <w:bCs/>
          <w:szCs w:val="24"/>
        </w:rPr>
        <w:t xml:space="preserve"> ceturtās daļas. </w:t>
      </w:r>
      <w:r w:rsidR="0000207F" w:rsidRPr="0065508A">
        <w:rPr>
          <w:rFonts w:cs="Times New Roman"/>
          <w:bCs/>
          <w:szCs w:val="24"/>
        </w:rPr>
        <w:t>Tādējādi</w:t>
      </w:r>
      <w:r w:rsidRPr="0065508A">
        <w:rPr>
          <w:rFonts w:cs="Times New Roman"/>
          <w:bCs/>
          <w:szCs w:val="24"/>
        </w:rPr>
        <w:t xml:space="preserve"> apelācijas instances tiesa atzinusi</w:t>
      </w:r>
      <w:r w:rsidR="0000207F" w:rsidRPr="0065508A">
        <w:rPr>
          <w:rFonts w:cs="Times New Roman"/>
          <w:bCs/>
          <w:szCs w:val="24"/>
        </w:rPr>
        <w:t xml:space="preserve"> par pamatotu pirmās instances tiesas </w:t>
      </w:r>
      <w:r w:rsidR="005F5741" w:rsidRPr="0065508A">
        <w:rPr>
          <w:rFonts w:cs="Times New Roman"/>
          <w:bCs/>
          <w:szCs w:val="24"/>
        </w:rPr>
        <w:t>spriedumā pierādītā noziedzīgā nodarījuma aprakstā iekļaut</w:t>
      </w:r>
      <w:r w:rsidR="0040708E" w:rsidRPr="0065508A">
        <w:rPr>
          <w:rFonts w:cs="Times New Roman"/>
          <w:bCs/>
          <w:szCs w:val="24"/>
        </w:rPr>
        <w:t>o</w:t>
      </w:r>
      <w:r w:rsidR="005F5741" w:rsidRPr="0065508A">
        <w:rPr>
          <w:rFonts w:cs="Times New Roman"/>
          <w:bCs/>
          <w:szCs w:val="24"/>
        </w:rPr>
        <w:t xml:space="preserve"> tādu apsūdzētā darbību, kas ir saistīta ar iekļūšanu cietušā ķermenī. Līdz ar to apelācijas instances tiesa</w:t>
      </w:r>
      <w:r w:rsidR="0040708E" w:rsidRPr="0065508A">
        <w:rPr>
          <w:rFonts w:cs="Times New Roman"/>
          <w:bCs/>
          <w:szCs w:val="24"/>
        </w:rPr>
        <w:t>s</w:t>
      </w:r>
      <w:r w:rsidR="005F5741" w:rsidRPr="0065508A">
        <w:rPr>
          <w:rFonts w:cs="Times New Roman"/>
          <w:bCs/>
          <w:szCs w:val="24"/>
        </w:rPr>
        <w:t xml:space="preserve"> atzinu</w:t>
      </w:r>
      <w:r w:rsidR="0040708E" w:rsidRPr="0065508A">
        <w:rPr>
          <w:rFonts w:cs="Times New Roman"/>
          <w:bCs/>
          <w:szCs w:val="24"/>
        </w:rPr>
        <w:t>ms</w:t>
      </w:r>
      <w:r w:rsidR="005F5741" w:rsidRPr="0065508A">
        <w:rPr>
          <w:rFonts w:cs="Times New Roman"/>
          <w:bCs/>
          <w:szCs w:val="24"/>
        </w:rPr>
        <w:t xml:space="preserve"> par </w:t>
      </w:r>
      <w:r w:rsidR="0040708E" w:rsidRPr="0065508A">
        <w:rPr>
          <w:rFonts w:cs="Times New Roman"/>
          <w:bCs/>
          <w:szCs w:val="24"/>
        </w:rPr>
        <w:t xml:space="preserve">apsūdzētā </w:t>
      </w:r>
      <w:r w:rsidR="001B3EB2">
        <w:rPr>
          <w:rFonts w:cs="Times New Roman"/>
          <w:bCs/>
          <w:szCs w:val="24"/>
        </w:rPr>
        <w:t>[pers. A]</w:t>
      </w:r>
      <w:r w:rsidR="0040708E" w:rsidRPr="0065508A">
        <w:rPr>
          <w:rFonts w:cs="Times New Roman"/>
          <w:bCs/>
          <w:szCs w:val="24"/>
        </w:rPr>
        <w:t xml:space="preserve"> izdarītā noziedzīgā nodarījuma kvalifikāciju pēc Krimināllikuma 160.panta ceturtās daļas ir kļūdains</w:t>
      </w:r>
      <w:r w:rsidR="004C0D12" w:rsidRPr="0065508A">
        <w:rPr>
          <w:rFonts w:cs="Times New Roman"/>
          <w:bCs/>
          <w:szCs w:val="24"/>
        </w:rPr>
        <w:t>.</w:t>
      </w:r>
    </w:p>
    <w:p w14:paraId="4C91B034" w14:textId="68095426" w:rsidR="0026050F" w:rsidRPr="0065508A" w:rsidRDefault="005F5741" w:rsidP="00F5769E">
      <w:pPr>
        <w:tabs>
          <w:tab w:val="left" w:pos="1710"/>
        </w:tabs>
        <w:spacing w:after="0" w:line="276" w:lineRule="auto"/>
        <w:ind w:firstLine="709"/>
        <w:jc w:val="both"/>
        <w:rPr>
          <w:rFonts w:cs="Times New Roman"/>
          <w:szCs w:val="24"/>
        </w:rPr>
      </w:pPr>
      <w:r w:rsidRPr="0065508A">
        <w:rPr>
          <w:rFonts w:cs="Times New Roman"/>
          <w:bCs/>
          <w:szCs w:val="24"/>
        </w:rPr>
        <w:t xml:space="preserve">Līdz ar to </w:t>
      </w:r>
      <w:r w:rsidR="00727E09" w:rsidRPr="0065508A">
        <w:rPr>
          <w:rFonts w:eastAsia="Calibri" w:cs="Times New Roman"/>
          <w:szCs w:val="24"/>
        </w:rPr>
        <w:t xml:space="preserve">Senāts atzīst, ka </w:t>
      </w:r>
      <w:r w:rsidR="00727E09" w:rsidRPr="0065508A">
        <w:rPr>
          <w:rFonts w:cs="Times New Roman"/>
          <w:szCs w:val="24"/>
        </w:rPr>
        <w:t xml:space="preserve">lietā konstatējams Kriminālprocesa likuma </w:t>
      </w:r>
      <w:proofErr w:type="gramStart"/>
      <w:r w:rsidR="00727E09" w:rsidRPr="0065508A">
        <w:rPr>
          <w:rFonts w:cs="Times New Roman"/>
          <w:szCs w:val="24"/>
        </w:rPr>
        <w:t>574.panta</w:t>
      </w:r>
      <w:proofErr w:type="gramEnd"/>
      <w:r w:rsidR="00727E09" w:rsidRPr="0065508A">
        <w:rPr>
          <w:rFonts w:cs="Times New Roman"/>
          <w:szCs w:val="24"/>
        </w:rPr>
        <w:t xml:space="preserve"> 2.punktā norādītais pamats apelācijas instances tiesas </w:t>
      </w:r>
      <w:r w:rsidR="00096C72" w:rsidRPr="0065508A">
        <w:rPr>
          <w:rFonts w:cs="Times New Roman"/>
          <w:szCs w:val="24"/>
        </w:rPr>
        <w:t>lēmuma</w:t>
      </w:r>
      <w:r w:rsidR="00727E09" w:rsidRPr="0065508A">
        <w:rPr>
          <w:rFonts w:cs="Times New Roman"/>
          <w:szCs w:val="24"/>
        </w:rPr>
        <w:t xml:space="preserve"> atcelšanai, jo apelācijas instances tiesa nepareizi piemērojusi Krimināllikuma 160.panta ceturto daļu.</w:t>
      </w:r>
    </w:p>
    <w:p w14:paraId="2DC90A51" w14:textId="77777777" w:rsidR="005019BB" w:rsidRPr="0065508A" w:rsidRDefault="005019BB" w:rsidP="00F5769E">
      <w:pPr>
        <w:tabs>
          <w:tab w:val="left" w:pos="1710"/>
        </w:tabs>
        <w:spacing w:after="0" w:line="276" w:lineRule="auto"/>
        <w:ind w:firstLine="709"/>
        <w:jc w:val="both"/>
        <w:rPr>
          <w:rFonts w:cs="Times New Roman"/>
          <w:bCs/>
          <w:szCs w:val="24"/>
        </w:rPr>
      </w:pPr>
    </w:p>
    <w:p w14:paraId="04BD56E5" w14:textId="6B04DB7D" w:rsidR="00073FFB" w:rsidRPr="0065508A" w:rsidRDefault="00F32222" w:rsidP="00F5769E">
      <w:pPr>
        <w:tabs>
          <w:tab w:val="left" w:pos="1710"/>
        </w:tabs>
        <w:spacing w:after="0" w:line="276" w:lineRule="auto"/>
        <w:ind w:firstLine="709"/>
        <w:jc w:val="both"/>
        <w:rPr>
          <w:rFonts w:cs="Times New Roman"/>
          <w:szCs w:val="24"/>
        </w:rPr>
      </w:pPr>
      <w:r w:rsidRPr="0065508A">
        <w:rPr>
          <w:rFonts w:cs="Times New Roman"/>
          <w:bCs/>
          <w:szCs w:val="24"/>
        </w:rPr>
        <w:t>[</w:t>
      </w:r>
      <w:r w:rsidR="00CE442D" w:rsidRPr="0065508A">
        <w:rPr>
          <w:rFonts w:cs="Times New Roman"/>
          <w:bCs/>
          <w:szCs w:val="24"/>
        </w:rPr>
        <w:t>6</w:t>
      </w:r>
      <w:r w:rsidRPr="0065508A">
        <w:rPr>
          <w:rFonts w:cs="Times New Roman"/>
          <w:bCs/>
          <w:szCs w:val="24"/>
        </w:rPr>
        <w:t>]</w:t>
      </w:r>
      <w:r w:rsidR="00073FFB" w:rsidRPr="0065508A">
        <w:rPr>
          <w:rFonts w:cs="Times New Roman"/>
          <w:bCs/>
          <w:szCs w:val="24"/>
        </w:rPr>
        <w:t> </w:t>
      </w:r>
      <w:r w:rsidR="00073FFB" w:rsidRPr="0065508A">
        <w:rPr>
          <w:rFonts w:cs="Times New Roman"/>
          <w:szCs w:val="24"/>
        </w:rPr>
        <w:t xml:space="preserve">Eiropas Cilvēktiesību tiesa </w:t>
      </w:r>
      <w:r w:rsidR="00491ABF" w:rsidRPr="0065508A">
        <w:rPr>
          <w:rFonts w:cs="Times New Roman"/>
          <w:szCs w:val="24"/>
        </w:rPr>
        <w:t xml:space="preserve">(turpmāk arī – ECT) </w:t>
      </w:r>
      <w:r w:rsidR="00073FFB" w:rsidRPr="0065508A">
        <w:rPr>
          <w:rFonts w:cs="Times New Roman"/>
          <w:szCs w:val="24"/>
        </w:rPr>
        <w:t>ir norādījusi, ka kriminālprocesos par seksuāla rakstura noziedzīgajiem nodarījumiem, kad cietušā nopratināšana tiesas procesā ir atzīta par traumējošu, ir nepieciešams nodrošināt līdzsvarojošus faktorus, lai tiesas procesu varētu atzīt par taisnīgu. Šiem faktoriem jānodrošina taisnīgs un pienācīgs cietušā liecību ticamības izvērtējums (</w:t>
      </w:r>
      <w:r w:rsidR="00073FFB" w:rsidRPr="0065508A">
        <w:rPr>
          <w:rFonts w:cs="Times New Roman"/>
          <w:i/>
          <w:szCs w:val="24"/>
        </w:rPr>
        <w:t>Eiropas Cilvēktiesību tiesas 2015.gada 15.decembra sprieduma lietā „</w:t>
      </w:r>
      <w:proofErr w:type="spellStart"/>
      <w:r w:rsidR="00073FFB" w:rsidRPr="0065508A">
        <w:rPr>
          <w:rFonts w:cs="Times New Roman"/>
          <w:i/>
          <w:szCs w:val="24"/>
        </w:rPr>
        <w:t>Schatschaschwili</w:t>
      </w:r>
      <w:proofErr w:type="spellEnd"/>
      <w:r w:rsidR="00073FFB" w:rsidRPr="0065508A">
        <w:rPr>
          <w:rFonts w:cs="Times New Roman"/>
          <w:i/>
          <w:szCs w:val="24"/>
        </w:rPr>
        <w:t xml:space="preserve"> v. </w:t>
      </w:r>
      <w:proofErr w:type="spellStart"/>
      <w:r w:rsidR="00073FFB" w:rsidRPr="0065508A">
        <w:rPr>
          <w:rFonts w:cs="Times New Roman"/>
          <w:i/>
          <w:szCs w:val="24"/>
        </w:rPr>
        <w:t>Germany</w:t>
      </w:r>
      <w:proofErr w:type="spellEnd"/>
      <w:r w:rsidR="00073FFB" w:rsidRPr="0065508A">
        <w:rPr>
          <w:rFonts w:cs="Times New Roman"/>
          <w:i/>
          <w:szCs w:val="24"/>
        </w:rPr>
        <w:t>”, iesniegums Nr. 9154/10, 116. un 125.punkts</w:t>
      </w:r>
      <w:r w:rsidR="00073FFB" w:rsidRPr="0065508A">
        <w:rPr>
          <w:rFonts w:cs="Times New Roman"/>
          <w:szCs w:val="24"/>
        </w:rPr>
        <w:t xml:space="preserve">). Turklāt ECT </w:t>
      </w:r>
      <w:r w:rsidR="006A72C9" w:rsidRPr="0065508A">
        <w:rPr>
          <w:rFonts w:cs="Times New Roman"/>
          <w:szCs w:val="24"/>
        </w:rPr>
        <w:t>minējusi</w:t>
      </w:r>
      <w:r w:rsidR="00073FFB" w:rsidRPr="0065508A">
        <w:rPr>
          <w:rFonts w:cs="Times New Roman"/>
          <w:szCs w:val="24"/>
        </w:rPr>
        <w:t xml:space="preserve"> vairākus apstākļus, kam var būt nozīme, veicot šādu izvērtējumu, proti, vai tiesa ar pietiekamu rūpību ir vērtējusi liecības, kuras sniegusi persona, kas nepiedalās tiesas sēdē un vai tiesa ir detalizēti pamatojusi, kāpēc tā uzskata liecības par ticamām, atsaucoties arī uz citiem pieejamiem pierādījumiem (</w:t>
      </w:r>
      <w:r w:rsidR="00073FFB" w:rsidRPr="0065508A">
        <w:rPr>
          <w:rFonts w:cs="Times New Roman"/>
          <w:i/>
          <w:szCs w:val="24"/>
        </w:rPr>
        <w:t>Eiropas Cilvēktiesību tiesas 2017.gada 10.oktobra sprieduma lietā „</w:t>
      </w:r>
      <w:proofErr w:type="spellStart"/>
      <w:r w:rsidR="00073FFB" w:rsidRPr="0065508A">
        <w:rPr>
          <w:rFonts w:cs="Times New Roman"/>
          <w:i/>
          <w:szCs w:val="24"/>
        </w:rPr>
        <w:t>Daştan</w:t>
      </w:r>
      <w:proofErr w:type="spellEnd"/>
      <w:r w:rsidR="00073FFB" w:rsidRPr="0065508A">
        <w:rPr>
          <w:rFonts w:cs="Times New Roman"/>
          <w:i/>
          <w:szCs w:val="24"/>
        </w:rPr>
        <w:t xml:space="preserve"> v. </w:t>
      </w:r>
      <w:proofErr w:type="spellStart"/>
      <w:r w:rsidR="00073FFB" w:rsidRPr="0065508A">
        <w:rPr>
          <w:rFonts w:cs="Times New Roman"/>
          <w:i/>
          <w:szCs w:val="24"/>
        </w:rPr>
        <w:t>Turkey</w:t>
      </w:r>
      <w:proofErr w:type="spellEnd"/>
      <w:r w:rsidR="00073FFB" w:rsidRPr="0065508A">
        <w:rPr>
          <w:rFonts w:cs="Times New Roman"/>
          <w:i/>
          <w:szCs w:val="24"/>
        </w:rPr>
        <w:t>”, iesnieguma Nr. 37272/08, 31.punkts, 2015.gada 15.decembra sprieduma lietā „</w:t>
      </w:r>
      <w:proofErr w:type="spellStart"/>
      <w:r w:rsidR="00073FFB" w:rsidRPr="0065508A">
        <w:rPr>
          <w:rFonts w:cs="Times New Roman"/>
          <w:i/>
          <w:szCs w:val="24"/>
        </w:rPr>
        <w:t>Schatschaschwili</w:t>
      </w:r>
      <w:proofErr w:type="spellEnd"/>
      <w:r w:rsidR="00073FFB" w:rsidRPr="0065508A">
        <w:rPr>
          <w:rFonts w:cs="Times New Roman"/>
          <w:i/>
          <w:szCs w:val="24"/>
        </w:rPr>
        <w:t xml:space="preserve"> v. </w:t>
      </w:r>
      <w:proofErr w:type="spellStart"/>
      <w:r w:rsidR="00073FFB" w:rsidRPr="0065508A">
        <w:rPr>
          <w:rFonts w:cs="Times New Roman"/>
          <w:i/>
          <w:szCs w:val="24"/>
        </w:rPr>
        <w:t>Germany</w:t>
      </w:r>
      <w:proofErr w:type="spellEnd"/>
      <w:r w:rsidR="00073FFB" w:rsidRPr="0065508A">
        <w:rPr>
          <w:rFonts w:cs="Times New Roman"/>
          <w:i/>
          <w:szCs w:val="24"/>
        </w:rPr>
        <w:t>”, iesniegums Nr. 9154/10,126.-131.punkts</w:t>
      </w:r>
      <w:r w:rsidR="00073FFB" w:rsidRPr="0065508A">
        <w:rPr>
          <w:rFonts w:cs="Times New Roman"/>
          <w:szCs w:val="24"/>
        </w:rPr>
        <w:t>); vai liecības, ko izmeklēšanas laikā sniegusi persona, kas nepiedalās tiesas sēdē, ir ierakstītas videoformātā (</w:t>
      </w:r>
      <w:r w:rsidR="00073FFB" w:rsidRPr="0065508A">
        <w:rPr>
          <w:rFonts w:cs="Times New Roman"/>
          <w:i/>
          <w:szCs w:val="24"/>
        </w:rPr>
        <w:t>Eiropas Cilvēktiesību tiesas</w:t>
      </w:r>
      <w:r w:rsidR="00073FFB" w:rsidRPr="0065508A">
        <w:rPr>
          <w:rFonts w:cs="Times New Roman"/>
          <w:szCs w:val="24"/>
        </w:rPr>
        <w:t xml:space="preserve"> </w:t>
      </w:r>
      <w:r w:rsidR="00073FFB" w:rsidRPr="0065508A">
        <w:rPr>
          <w:rFonts w:cs="Times New Roman"/>
          <w:i/>
          <w:szCs w:val="24"/>
        </w:rPr>
        <w:t>2016.gada 24.maija sprieduma lietā „</w:t>
      </w:r>
      <w:proofErr w:type="spellStart"/>
      <w:r w:rsidR="00073FFB" w:rsidRPr="0065508A">
        <w:rPr>
          <w:rFonts w:cs="Times New Roman"/>
          <w:i/>
          <w:szCs w:val="24"/>
        </w:rPr>
        <w:t>Przydział</w:t>
      </w:r>
      <w:proofErr w:type="spellEnd"/>
      <w:r w:rsidR="00073FFB" w:rsidRPr="0065508A">
        <w:rPr>
          <w:rFonts w:cs="Times New Roman"/>
          <w:i/>
          <w:szCs w:val="24"/>
        </w:rPr>
        <w:t xml:space="preserve"> v. </w:t>
      </w:r>
      <w:proofErr w:type="spellStart"/>
      <w:r w:rsidR="00073FFB" w:rsidRPr="0065508A">
        <w:rPr>
          <w:rFonts w:cs="Times New Roman"/>
          <w:i/>
          <w:szCs w:val="24"/>
        </w:rPr>
        <w:t>Poland</w:t>
      </w:r>
      <w:proofErr w:type="spellEnd"/>
      <w:r w:rsidR="00073FFB" w:rsidRPr="0065508A">
        <w:rPr>
          <w:rFonts w:cs="Times New Roman"/>
          <w:i/>
          <w:szCs w:val="24"/>
        </w:rPr>
        <w:t>”, iesnieguma Nr. 15487/08, 53.punkts,</w:t>
      </w:r>
      <w:r w:rsidR="00073FFB" w:rsidRPr="0065508A">
        <w:rPr>
          <w:rFonts w:cs="Times New Roman"/>
          <w:szCs w:val="24"/>
        </w:rPr>
        <w:t>); vai aizstāvībai pirmstiesas procesā vai tiesas izmeklēšanā bija iespēja uzdot jautājumus netieši, piemēram, rakstveidā (</w:t>
      </w:r>
      <w:r w:rsidR="00073FFB" w:rsidRPr="0065508A">
        <w:rPr>
          <w:rFonts w:cs="Times New Roman"/>
          <w:i/>
          <w:szCs w:val="24"/>
        </w:rPr>
        <w:t>Eiropas Cilvēktiesību tiesas 2016.gada 29.marta sprieduma lietā „</w:t>
      </w:r>
      <w:proofErr w:type="spellStart"/>
      <w:r w:rsidR="00073FFB" w:rsidRPr="0065508A">
        <w:rPr>
          <w:rFonts w:cs="Times New Roman"/>
          <w:i/>
          <w:szCs w:val="24"/>
        </w:rPr>
        <w:t>Paić</w:t>
      </w:r>
      <w:proofErr w:type="spellEnd"/>
      <w:r w:rsidR="00073FFB" w:rsidRPr="0065508A">
        <w:rPr>
          <w:rFonts w:cs="Times New Roman"/>
          <w:i/>
          <w:szCs w:val="24"/>
        </w:rPr>
        <w:t xml:space="preserve"> v. </w:t>
      </w:r>
      <w:proofErr w:type="spellStart"/>
      <w:r w:rsidR="00073FFB" w:rsidRPr="0065508A">
        <w:rPr>
          <w:rFonts w:cs="Times New Roman"/>
          <w:i/>
          <w:szCs w:val="24"/>
        </w:rPr>
        <w:t>Croatia</w:t>
      </w:r>
      <w:proofErr w:type="spellEnd"/>
      <w:r w:rsidR="00073FFB" w:rsidRPr="0065508A">
        <w:rPr>
          <w:rFonts w:cs="Times New Roman"/>
          <w:i/>
          <w:szCs w:val="24"/>
        </w:rPr>
        <w:t>”, iesniegums Nr. 47082/12, 47.punkts</w:t>
      </w:r>
      <w:r w:rsidR="00073FFB" w:rsidRPr="0065508A">
        <w:rPr>
          <w:rFonts w:cs="Times New Roman"/>
          <w:iCs/>
          <w:szCs w:val="24"/>
        </w:rPr>
        <w:t>).</w:t>
      </w:r>
    </w:p>
    <w:p w14:paraId="0FFDC60F" w14:textId="76A047D0" w:rsidR="00073FFB" w:rsidRPr="0065508A" w:rsidRDefault="00073FFB" w:rsidP="00F5769E">
      <w:pPr>
        <w:autoSpaceDE w:val="0"/>
        <w:autoSpaceDN w:val="0"/>
        <w:adjustRightInd w:val="0"/>
        <w:spacing w:after="0" w:line="276" w:lineRule="auto"/>
        <w:ind w:firstLine="720"/>
        <w:jc w:val="both"/>
        <w:rPr>
          <w:rFonts w:cs="Times New Roman"/>
          <w:szCs w:val="24"/>
        </w:rPr>
      </w:pPr>
      <w:r w:rsidRPr="0065508A">
        <w:rPr>
          <w:rFonts w:cs="Times New Roman"/>
          <w:szCs w:val="24"/>
        </w:rPr>
        <w:t>[</w:t>
      </w:r>
      <w:r w:rsidR="005E1EF3" w:rsidRPr="0065508A">
        <w:rPr>
          <w:rFonts w:cs="Times New Roman"/>
          <w:szCs w:val="24"/>
        </w:rPr>
        <w:t>6</w:t>
      </w:r>
      <w:r w:rsidRPr="0065508A">
        <w:rPr>
          <w:rFonts w:cs="Times New Roman"/>
          <w:szCs w:val="24"/>
        </w:rPr>
        <w:t xml:space="preserve">.1] Senāts konstatē, ka cietušās </w:t>
      </w:r>
      <w:r w:rsidR="001B3EB2">
        <w:rPr>
          <w:rFonts w:cs="Times New Roman"/>
          <w:szCs w:val="24"/>
        </w:rPr>
        <w:t>[pers. </w:t>
      </w:r>
      <w:r w:rsidR="001B3EB2">
        <w:t>H]</w:t>
      </w:r>
      <w:r w:rsidRPr="0065508A">
        <w:rPr>
          <w:rFonts w:cs="Times New Roman"/>
          <w:szCs w:val="24"/>
        </w:rPr>
        <w:t xml:space="preserve"> liecības pirmstiesas </w:t>
      </w:r>
      <w:r w:rsidR="004C0D12" w:rsidRPr="0065508A">
        <w:rPr>
          <w:rFonts w:cs="Times New Roman"/>
          <w:szCs w:val="24"/>
        </w:rPr>
        <w:t>krimināl</w:t>
      </w:r>
      <w:r w:rsidRPr="0065508A">
        <w:rPr>
          <w:rFonts w:cs="Times New Roman"/>
          <w:szCs w:val="24"/>
        </w:rPr>
        <w:t xml:space="preserve">procesā fiksētas skaņu un attēlu ierakstā. Savukārt ne pirmstiesas </w:t>
      </w:r>
      <w:r w:rsidR="004C0D12" w:rsidRPr="0065508A">
        <w:rPr>
          <w:rFonts w:cs="Times New Roman"/>
          <w:szCs w:val="24"/>
        </w:rPr>
        <w:t>krimināl</w:t>
      </w:r>
      <w:r w:rsidRPr="0065508A">
        <w:rPr>
          <w:rFonts w:cs="Times New Roman"/>
          <w:szCs w:val="24"/>
        </w:rPr>
        <w:t xml:space="preserve">procesā, ne tiesā apsūdzētajam </w:t>
      </w:r>
      <w:r w:rsidR="001B3EB2">
        <w:rPr>
          <w:rFonts w:cs="Times New Roman"/>
          <w:szCs w:val="24"/>
        </w:rPr>
        <w:t>[pers. A]</w:t>
      </w:r>
      <w:r w:rsidRPr="0065508A">
        <w:rPr>
          <w:rFonts w:cs="Times New Roman"/>
          <w:szCs w:val="24"/>
        </w:rPr>
        <w:t xml:space="preserve"> un viņa aizstāv</w:t>
      </w:r>
      <w:r w:rsidR="005172EC" w:rsidRPr="0065508A">
        <w:rPr>
          <w:rFonts w:cs="Times New Roman"/>
          <w:szCs w:val="24"/>
        </w:rPr>
        <w:t xml:space="preserve">ēm </w:t>
      </w:r>
      <w:r w:rsidRPr="0065508A">
        <w:rPr>
          <w:rFonts w:cs="Times New Roman"/>
          <w:szCs w:val="24"/>
        </w:rPr>
        <w:t>n</w:t>
      </w:r>
      <w:r w:rsidR="00AE3F04" w:rsidRPr="0065508A">
        <w:rPr>
          <w:rFonts w:cs="Times New Roman"/>
          <w:szCs w:val="24"/>
        </w:rPr>
        <w:t>av</w:t>
      </w:r>
      <w:r w:rsidRPr="0065508A">
        <w:rPr>
          <w:rFonts w:cs="Times New Roman"/>
          <w:szCs w:val="24"/>
        </w:rPr>
        <w:t xml:space="preserve"> dota iespēja uzdot jautājumus cietušajai </w:t>
      </w:r>
      <w:r w:rsidR="001B3EB2">
        <w:rPr>
          <w:rFonts w:cs="Times New Roman"/>
          <w:szCs w:val="24"/>
        </w:rPr>
        <w:t>[pers. H]</w:t>
      </w:r>
      <w:r w:rsidRPr="0065508A">
        <w:rPr>
          <w:rFonts w:cs="Times New Roman"/>
          <w:szCs w:val="24"/>
        </w:rPr>
        <w:t>, tajā skaitā arī rakstveidā.</w:t>
      </w:r>
    </w:p>
    <w:p w14:paraId="219BDAAC" w14:textId="523E0A73" w:rsidR="00AE3F04" w:rsidRPr="0065508A" w:rsidRDefault="00AE3F04" w:rsidP="00F5769E">
      <w:pPr>
        <w:autoSpaceDE w:val="0"/>
        <w:autoSpaceDN w:val="0"/>
        <w:adjustRightInd w:val="0"/>
        <w:spacing w:after="0" w:line="276" w:lineRule="auto"/>
        <w:ind w:firstLine="720"/>
        <w:jc w:val="both"/>
        <w:rPr>
          <w:rFonts w:cs="Times New Roman"/>
          <w:szCs w:val="24"/>
        </w:rPr>
      </w:pPr>
      <w:r w:rsidRPr="0065508A">
        <w:rPr>
          <w:rFonts w:cs="Times New Roman"/>
          <w:szCs w:val="24"/>
        </w:rPr>
        <w:t>[6.</w:t>
      </w:r>
      <w:r w:rsidR="009C3A04" w:rsidRPr="0065508A">
        <w:rPr>
          <w:rFonts w:cs="Times New Roman"/>
          <w:szCs w:val="24"/>
        </w:rPr>
        <w:t>2</w:t>
      </w:r>
      <w:r w:rsidRPr="0065508A">
        <w:rPr>
          <w:rFonts w:cs="Times New Roman"/>
          <w:szCs w:val="24"/>
        </w:rPr>
        <w:t>] A</w:t>
      </w:r>
      <w:r w:rsidR="004C0D12" w:rsidRPr="0065508A">
        <w:rPr>
          <w:rFonts w:cs="Times New Roman"/>
          <w:szCs w:val="24"/>
        </w:rPr>
        <w:t>pelācijas instances tiesa atzinusi par nepamatotiem pie</w:t>
      </w:r>
      <w:r w:rsidR="001D376D" w:rsidRPr="0065508A">
        <w:rPr>
          <w:rFonts w:cs="Times New Roman"/>
          <w:szCs w:val="24"/>
        </w:rPr>
        <w:t>ņēmumiem</w:t>
      </w:r>
      <w:r w:rsidRPr="0065508A">
        <w:rPr>
          <w:rFonts w:cs="Times New Roman"/>
          <w:szCs w:val="24"/>
        </w:rPr>
        <w:t xml:space="preserve"> apelācijas sūdzībā minētos argumentus</w:t>
      </w:r>
      <w:r w:rsidR="006C6067" w:rsidRPr="0065508A">
        <w:rPr>
          <w:rFonts w:cs="Times New Roman"/>
          <w:szCs w:val="24"/>
        </w:rPr>
        <w:t>, kas atkārtoti arī kasācijas sūdzībā</w:t>
      </w:r>
      <w:r w:rsidR="009823F6" w:rsidRPr="0065508A">
        <w:rPr>
          <w:rFonts w:cs="Times New Roman"/>
          <w:szCs w:val="24"/>
        </w:rPr>
        <w:t>,</w:t>
      </w:r>
      <w:r w:rsidRPr="0065508A">
        <w:rPr>
          <w:rFonts w:cs="Times New Roman"/>
          <w:szCs w:val="24"/>
        </w:rPr>
        <w:t xml:space="preserve"> par draudu, šantāžas, kā arī citu neatļautu metožu izmantošanu cietušās </w:t>
      </w:r>
      <w:r w:rsidR="001B3EB2">
        <w:rPr>
          <w:rFonts w:cs="Times New Roman"/>
          <w:szCs w:val="24"/>
        </w:rPr>
        <w:t>[pers. H]</w:t>
      </w:r>
      <w:r w:rsidRPr="0065508A">
        <w:rPr>
          <w:rFonts w:cs="Times New Roman"/>
          <w:szCs w:val="24"/>
        </w:rPr>
        <w:t xml:space="preserve"> nopratin</w:t>
      </w:r>
      <w:r w:rsidR="006C6067" w:rsidRPr="0065508A">
        <w:rPr>
          <w:rFonts w:cs="Times New Roman"/>
          <w:szCs w:val="24"/>
        </w:rPr>
        <w:t>āšanā</w:t>
      </w:r>
      <w:r w:rsidR="004C0D12" w:rsidRPr="0065508A">
        <w:rPr>
          <w:rFonts w:cs="Times New Roman"/>
          <w:szCs w:val="24"/>
        </w:rPr>
        <w:t>.</w:t>
      </w:r>
      <w:r w:rsidR="005A07E5" w:rsidRPr="0065508A">
        <w:rPr>
          <w:rFonts w:cs="Times New Roman"/>
          <w:szCs w:val="24"/>
        </w:rPr>
        <w:t xml:space="preserve"> </w:t>
      </w:r>
      <w:r w:rsidR="004C0D12" w:rsidRPr="0065508A">
        <w:rPr>
          <w:rFonts w:cs="Times New Roman"/>
          <w:szCs w:val="24"/>
        </w:rPr>
        <w:t>Vienlaikus</w:t>
      </w:r>
      <w:r w:rsidRPr="0065508A">
        <w:rPr>
          <w:rFonts w:cs="Times New Roman"/>
          <w:szCs w:val="24"/>
        </w:rPr>
        <w:t xml:space="preserve"> apelācijas instances tiesa nav izvērtējusi psiholoģes </w:t>
      </w:r>
      <w:r w:rsidR="001B3EB2">
        <w:rPr>
          <w:rFonts w:cs="Times New Roman"/>
          <w:szCs w:val="24"/>
        </w:rPr>
        <w:t>[pers. </w:t>
      </w:r>
      <w:r w:rsidR="001B3EB2">
        <w:t>G]</w:t>
      </w:r>
      <w:r w:rsidRPr="0065508A">
        <w:rPr>
          <w:rFonts w:cs="Times New Roman"/>
          <w:szCs w:val="24"/>
        </w:rPr>
        <w:t xml:space="preserve"> </w:t>
      </w:r>
      <w:r w:rsidR="004C0D12" w:rsidRPr="0065508A">
        <w:rPr>
          <w:rFonts w:cs="Times New Roman"/>
          <w:szCs w:val="24"/>
        </w:rPr>
        <w:t>tiesā sniegtās liec</w:t>
      </w:r>
      <w:r w:rsidR="005A07E5" w:rsidRPr="0065508A">
        <w:rPr>
          <w:rFonts w:cs="Times New Roman"/>
          <w:szCs w:val="24"/>
        </w:rPr>
        <w:t>ības, kurās viņa</w:t>
      </w:r>
      <w:proofErr w:type="gramStart"/>
      <w:r w:rsidR="005A07E5" w:rsidRPr="0065508A">
        <w:rPr>
          <w:rFonts w:cs="Times New Roman"/>
          <w:szCs w:val="24"/>
        </w:rPr>
        <w:t xml:space="preserve"> atzinusi</w:t>
      </w:r>
      <w:r w:rsidRPr="0065508A">
        <w:rPr>
          <w:rFonts w:cs="Times New Roman"/>
          <w:szCs w:val="24"/>
        </w:rPr>
        <w:t xml:space="preserve"> </w:t>
      </w:r>
      <w:r w:rsidR="001E4D38" w:rsidRPr="0065508A">
        <w:rPr>
          <w:rFonts w:cs="Times New Roman"/>
          <w:szCs w:val="24"/>
        </w:rPr>
        <w:t>vairākus</w:t>
      </w:r>
      <w:proofErr w:type="gramEnd"/>
      <w:r w:rsidR="001E4D38" w:rsidRPr="0065508A">
        <w:rPr>
          <w:rFonts w:cs="Times New Roman"/>
          <w:szCs w:val="24"/>
        </w:rPr>
        <w:t xml:space="preserve"> </w:t>
      </w:r>
      <w:r w:rsidR="006A72C9" w:rsidRPr="0065508A">
        <w:rPr>
          <w:rFonts w:cs="Times New Roman"/>
          <w:szCs w:val="24"/>
        </w:rPr>
        <w:t xml:space="preserve">cietušās </w:t>
      </w:r>
      <w:r w:rsidR="001B3EB2">
        <w:rPr>
          <w:rFonts w:cs="Times New Roman"/>
          <w:szCs w:val="24"/>
        </w:rPr>
        <w:t>[pers. </w:t>
      </w:r>
      <w:r w:rsidR="001B3EB2">
        <w:t>H]</w:t>
      </w:r>
      <w:r w:rsidR="006A72C9" w:rsidRPr="0065508A">
        <w:rPr>
          <w:rFonts w:cs="Times New Roman"/>
          <w:szCs w:val="24"/>
        </w:rPr>
        <w:t xml:space="preserve"> nopratināšan</w:t>
      </w:r>
      <w:r w:rsidR="00387B7F" w:rsidRPr="0065508A">
        <w:rPr>
          <w:rFonts w:cs="Times New Roman"/>
          <w:szCs w:val="24"/>
        </w:rPr>
        <w:t>as</w:t>
      </w:r>
      <w:r w:rsidR="006A72C9" w:rsidRPr="0065508A">
        <w:rPr>
          <w:rFonts w:cs="Times New Roman"/>
          <w:szCs w:val="24"/>
        </w:rPr>
        <w:t xml:space="preserve"> </w:t>
      </w:r>
      <w:r w:rsidR="00387B7F" w:rsidRPr="0065508A">
        <w:rPr>
          <w:rFonts w:cs="Times New Roman"/>
          <w:szCs w:val="24"/>
        </w:rPr>
        <w:t xml:space="preserve">laikā </w:t>
      </w:r>
      <w:r w:rsidR="009C3A04" w:rsidRPr="0065508A">
        <w:rPr>
          <w:rFonts w:cs="Times New Roman"/>
          <w:szCs w:val="24"/>
        </w:rPr>
        <w:t xml:space="preserve">pieļautos </w:t>
      </w:r>
      <w:r w:rsidRPr="0065508A">
        <w:rPr>
          <w:rFonts w:cs="Times New Roman"/>
          <w:szCs w:val="24"/>
        </w:rPr>
        <w:t>pārkāpumus</w:t>
      </w:r>
      <w:r w:rsidR="005172EC" w:rsidRPr="0065508A">
        <w:rPr>
          <w:rFonts w:cs="Times New Roman"/>
          <w:szCs w:val="24"/>
        </w:rPr>
        <w:t>, uz kuriem apelācijas sūdzībā bija norādījusi aizstāve K. </w:t>
      </w:r>
      <w:proofErr w:type="spellStart"/>
      <w:r w:rsidR="005172EC" w:rsidRPr="0065508A">
        <w:rPr>
          <w:rFonts w:cs="Times New Roman"/>
          <w:szCs w:val="24"/>
        </w:rPr>
        <w:t>Grozne-Kļusova</w:t>
      </w:r>
      <w:r w:rsidR="002E7722" w:rsidRPr="0065508A">
        <w:rPr>
          <w:rFonts w:cs="Times New Roman"/>
          <w:szCs w:val="24"/>
        </w:rPr>
        <w:t>.</w:t>
      </w:r>
      <w:proofErr w:type="spellEnd"/>
    </w:p>
    <w:p w14:paraId="4D9732A6" w14:textId="696AC2EB" w:rsidR="00AE3F04" w:rsidRPr="0065508A" w:rsidRDefault="005E1EF3" w:rsidP="002E7722">
      <w:pPr>
        <w:autoSpaceDE w:val="0"/>
        <w:autoSpaceDN w:val="0"/>
        <w:adjustRightInd w:val="0"/>
        <w:spacing w:after="0" w:line="276" w:lineRule="auto"/>
        <w:ind w:firstLine="709"/>
        <w:jc w:val="both"/>
        <w:rPr>
          <w:rFonts w:cs="Times New Roman"/>
          <w:szCs w:val="24"/>
        </w:rPr>
      </w:pPr>
      <w:r w:rsidRPr="0065508A">
        <w:rPr>
          <w:rFonts w:cs="Times New Roman"/>
          <w:szCs w:val="24"/>
        </w:rPr>
        <w:t>[6.3] </w:t>
      </w:r>
      <w:r w:rsidR="009C3A04" w:rsidRPr="0065508A">
        <w:rPr>
          <w:rFonts w:cs="Times New Roman"/>
          <w:szCs w:val="24"/>
        </w:rPr>
        <w:t>Turklāt a</w:t>
      </w:r>
      <w:r w:rsidRPr="0065508A">
        <w:rPr>
          <w:rFonts w:cs="Times New Roman"/>
          <w:szCs w:val="24"/>
        </w:rPr>
        <w:t>pelācijas instances tiesa nav izvērtējusi un sniegusi atzinumus par aizstāves K. </w:t>
      </w:r>
      <w:proofErr w:type="spellStart"/>
      <w:r w:rsidRPr="0065508A">
        <w:rPr>
          <w:rFonts w:cs="Times New Roman"/>
          <w:szCs w:val="24"/>
        </w:rPr>
        <w:t>Groznes-Kļusovas</w:t>
      </w:r>
      <w:proofErr w:type="spellEnd"/>
      <w:r w:rsidRPr="0065508A">
        <w:rPr>
          <w:rFonts w:cs="Times New Roman"/>
          <w:szCs w:val="24"/>
        </w:rPr>
        <w:t xml:space="preserve"> apelācijas sūdzībā norādītajiem argumentiem, kas atkārtoti arī kasācijas sūdzībā, </w:t>
      </w:r>
      <w:r w:rsidR="006B033B" w:rsidRPr="0065508A">
        <w:rPr>
          <w:rFonts w:cs="Times New Roman"/>
          <w:szCs w:val="24"/>
        </w:rPr>
        <w:t xml:space="preserve">kurā </w:t>
      </w:r>
      <w:proofErr w:type="gramStart"/>
      <w:r w:rsidR="005A07E5" w:rsidRPr="0065508A">
        <w:rPr>
          <w:rFonts w:cs="Times New Roman"/>
          <w:szCs w:val="24"/>
        </w:rPr>
        <w:t>apšaubīta</w:t>
      </w:r>
      <w:r w:rsidRPr="0065508A">
        <w:rPr>
          <w:rFonts w:cs="Times New Roman"/>
          <w:szCs w:val="24"/>
        </w:rPr>
        <w:t xml:space="preserve"> ekspertes</w:t>
      </w:r>
      <w:proofErr w:type="gramEnd"/>
      <w:r w:rsidRPr="0065508A">
        <w:rPr>
          <w:rFonts w:cs="Times New Roman"/>
          <w:szCs w:val="24"/>
        </w:rPr>
        <w:t xml:space="preserve"> </w:t>
      </w:r>
      <w:r w:rsidR="001B3EB2">
        <w:rPr>
          <w:rFonts w:cs="Times New Roman"/>
          <w:szCs w:val="24"/>
        </w:rPr>
        <w:t>[pers. </w:t>
      </w:r>
      <w:r w:rsidR="001B3EB2">
        <w:t>G]</w:t>
      </w:r>
      <w:r w:rsidRPr="0065508A">
        <w:rPr>
          <w:rFonts w:cs="Times New Roman"/>
          <w:szCs w:val="24"/>
        </w:rPr>
        <w:t xml:space="preserve"> kompetenc</w:t>
      </w:r>
      <w:r w:rsidR="005A07E5" w:rsidRPr="0065508A">
        <w:rPr>
          <w:rFonts w:cs="Times New Roman"/>
          <w:szCs w:val="24"/>
        </w:rPr>
        <w:t>e</w:t>
      </w:r>
      <w:r w:rsidRPr="0065508A">
        <w:rPr>
          <w:rFonts w:cs="Times New Roman"/>
          <w:szCs w:val="24"/>
        </w:rPr>
        <w:t xml:space="preserve"> veikt cietušās </w:t>
      </w:r>
      <w:r w:rsidR="001B3EB2">
        <w:rPr>
          <w:rFonts w:cs="Times New Roman"/>
          <w:szCs w:val="24"/>
        </w:rPr>
        <w:t>[pers. H]</w:t>
      </w:r>
      <w:r w:rsidRPr="0065508A">
        <w:rPr>
          <w:rFonts w:cs="Times New Roman"/>
          <w:szCs w:val="24"/>
        </w:rPr>
        <w:t xml:space="preserve"> nopratināšanu</w:t>
      </w:r>
      <w:r w:rsidR="00FB4644" w:rsidRPr="0065508A">
        <w:rPr>
          <w:rFonts w:cs="Times New Roman"/>
          <w:szCs w:val="24"/>
        </w:rPr>
        <w:t>, tajā skaitā</w:t>
      </w:r>
      <w:r w:rsidR="00792C33" w:rsidRPr="0065508A">
        <w:rPr>
          <w:rFonts w:cs="Times New Roman"/>
          <w:szCs w:val="24"/>
        </w:rPr>
        <w:t xml:space="preserve"> </w:t>
      </w:r>
      <w:r w:rsidR="005A07E5" w:rsidRPr="0065508A">
        <w:rPr>
          <w:rFonts w:cs="Times New Roman"/>
          <w:szCs w:val="24"/>
        </w:rPr>
        <w:t xml:space="preserve">par to, </w:t>
      </w:r>
      <w:r w:rsidR="00792C33" w:rsidRPr="0065508A">
        <w:rPr>
          <w:rFonts w:cs="Times New Roman"/>
          <w:szCs w:val="24"/>
        </w:rPr>
        <w:t xml:space="preserve">ka lietā nav ziņu par </w:t>
      </w:r>
      <w:r w:rsidR="001B3EB2">
        <w:rPr>
          <w:rFonts w:cs="Times New Roman"/>
          <w:szCs w:val="24"/>
        </w:rPr>
        <w:t>[pers. G]</w:t>
      </w:r>
      <w:r w:rsidR="00792C33" w:rsidRPr="0065508A">
        <w:rPr>
          <w:rFonts w:cs="Times New Roman"/>
          <w:szCs w:val="24"/>
        </w:rPr>
        <w:t xml:space="preserve"> izglītību</w:t>
      </w:r>
      <w:r w:rsidR="00A93689" w:rsidRPr="0065508A">
        <w:rPr>
          <w:rFonts w:cs="Times New Roman"/>
          <w:szCs w:val="24"/>
        </w:rPr>
        <w:t xml:space="preserve">, </w:t>
      </w:r>
      <w:r w:rsidR="00792C33" w:rsidRPr="0065508A">
        <w:rPr>
          <w:rFonts w:cs="Times New Roman"/>
          <w:szCs w:val="24"/>
        </w:rPr>
        <w:t>reģistrāciju publiski pieejamā psihologu reģistrā</w:t>
      </w:r>
      <w:r w:rsidR="005A07E5" w:rsidRPr="0065508A">
        <w:rPr>
          <w:rFonts w:cs="Times New Roman"/>
          <w:szCs w:val="24"/>
        </w:rPr>
        <w:t xml:space="preserve"> un</w:t>
      </w:r>
      <w:r w:rsidR="00792C33" w:rsidRPr="0065508A">
        <w:rPr>
          <w:rFonts w:cs="Times New Roman"/>
          <w:szCs w:val="24"/>
        </w:rPr>
        <w:t xml:space="preserve"> nodarbinātību</w:t>
      </w:r>
      <w:r w:rsidR="005A07E5" w:rsidRPr="0065508A">
        <w:rPr>
          <w:rFonts w:cs="Times New Roman"/>
          <w:szCs w:val="24"/>
        </w:rPr>
        <w:t xml:space="preserve"> SIA „</w:t>
      </w:r>
      <w:r w:rsidR="001B3EB2">
        <w:rPr>
          <w:rFonts w:cs="Times New Roman"/>
          <w:szCs w:val="24"/>
        </w:rPr>
        <w:t>[Nosaukums A]</w:t>
      </w:r>
      <w:r w:rsidR="005A07E5" w:rsidRPr="0065508A">
        <w:rPr>
          <w:rFonts w:cs="Times New Roman"/>
          <w:szCs w:val="24"/>
        </w:rPr>
        <w:t>”</w:t>
      </w:r>
      <w:r w:rsidR="00792C33" w:rsidRPr="0065508A">
        <w:rPr>
          <w:rFonts w:cs="Times New Roman"/>
          <w:szCs w:val="24"/>
        </w:rPr>
        <w:t>.</w:t>
      </w:r>
    </w:p>
    <w:p w14:paraId="73E99C66" w14:textId="0D8305F4" w:rsidR="009C3A04" w:rsidRPr="0065508A" w:rsidRDefault="009C3A04" w:rsidP="00F5769E">
      <w:pPr>
        <w:autoSpaceDE w:val="0"/>
        <w:autoSpaceDN w:val="0"/>
        <w:adjustRightInd w:val="0"/>
        <w:spacing w:after="0" w:line="276" w:lineRule="auto"/>
        <w:ind w:firstLine="720"/>
        <w:jc w:val="both"/>
        <w:rPr>
          <w:rFonts w:cs="Times New Roman"/>
          <w:szCs w:val="24"/>
        </w:rPr>
      </w:pPr>
      <w:r w:rsidRPr="0065508A">
        <w:rPr>
          <w:rFonts w:cs="Times New Roman"/>
          <w:szCs w:val="24"/>
        </w:rPr>
        <w:t>[6.4] Senāts norāda uz Eiropas Cilvēktiesību tiesas atziņām par to, ka</w:t>
      </w:r>
      <w:r w:rsidR="00D8470E" w:rsidRPr="0065508A">
        <w:rPr>
          <w:rFonts w:cs="Times New Roman"/>
          <w:szCs w:val="24"/>
        </w:rPr>
        <w:t>,</w:t>
      </w:r>
      <w:r w:rsidRPr="0065508A">
        <w:rPr>
          <w:rFonts w:cs="Times New Roman"/>
          <w:szCs w:val="24"/>
        </w:rPr>
        <w:t xml:space="preserve"> </w:t>
      </w:r>
      <w:r w:rsidR="00D8470E" w:rsidRPr="0065508A">
        <w:rPr>
          <w:rFonts w:cs="Times New Roman"/>
          <w:szCs w:val="24"/>
        </w:rPr>
        <w:t xml:space="preserve">neraugoties uz </w:t>
      </w:r>
      <w:r w:rsidRPr="0065508A">
        <w:rPr>
          <w:rFonts w:cs="Times New Roman"/>
          <w:szCs w:val="24"/>
        </w:rPr>
        <w:t>valstu ties</w:t>
      </w:r>
      <w:r w:rsidR="00D8470E" w:rsidRPr="0065508A">
        <w:rPr>
          <w:rFonts w:cs="Times New Roman"/>
          <w:szCs w:val="24"/>
        </w:rPr>
        <w:t>u</w:t>
      </w:r>
      <w:r w:rsidRPr="0065508A">
        <w:rPr>
          <w:rFonts w:cs="Times New Roman"/>
          <w:szCs w:val="24"/>
        </w:rPr>
        <w:t xml:space="preserve"> plaš</w:t>
      </w:r>
      <w:r w:rsidR="00D8470E" w:rsidRPr="0065508A">
        <w:rPr>
          <w:rFonts w:cs="Times New Roman"/>
          <w:szCs w:val="24"/>
        </w:rPr>
        <w:t>o</w:t>
      </w:r>
      <w:r w:rsidRPr="0065508A">
        <w:rPr>
          <w:rFonts w:cs="Times New Roman"/>
          <w:szCs w:val="24"/>
        </w:rPr>
        <w:t xml:space="preserve"> rīcības brīvīb</w:t>
      </w:r>
      <w:r w:rsidR="00D8470E" w:rsidRPr="0065508A">
        <w:rPr>
          <w:rFonts w:cs="Times New Roman"/>
          <w:szCs w:val="24"/>
        </w:rPr>
        <w:t>u,</w:t>
      </w:r>
      <w:r w:rsidRPr="0065508A">
        <w:rPr>
          <w:rFonts w:cs="Times New Roman"/>
          <w:szCs w:val="24"/>
        </w:rPr>
        <w:t xml:space="preserve"> izvēloties starp atšķirīgiem ekspertu viedokļiem</w:t>
      </w:r>
      <w:r w:rsidR="00D8470E" w:rsidRPr="0065508A">
        <w:rPr>
          <w:rFonts w:cs="Times New Roman"/>
          <w:szCs w:val="24"/>
        </w:rPr>
        <w:t xml:space="preserve">, noteiktos apstākļos aizstāvībai nedrīkst liegt iespēju efektīvi apstrīdēt lietā iegūtos ekspertu atzinumus, tajā skaitā lūgt iegūt alternatīvus atzinumus un ziņojumus. Savukārt </w:t>
      </w:r>
      <w:r w:rsidR="00CF26C7" w:rsidRPr="0065508A">
        <w:rPr>
          <w:rFonts w:cs="Times New Roman"/>
          <w:szCs w:val="24"/>
        </w:rPr>
        <w:t xml:space="preserve"> atteikums</w:t>
      </w:r>
      <w:r w:rsidR="00D8470E" w:rsidRPr="0065508A">
        <w:rPr>
          <w:rFonts w:cs="Times New Roman"/>
          <w:szCs w:val="24"/>
        </w:rPr>
        <w:t xml:space="preserve"> atļaut veikt alternatīvu ekspertīzi noteiktos apstākļos var tikt uzskatīts par Eiropas Cilvēka tiesību un pamatbrīvību aizsardzības konvencijas 6.panta 1.punkta pārkāpumu (</w:t>
      </w:r>
      <w:r w:rsidR="00D8470E" w:rsidRPr="0065508A">
        <w:rPr>
          <w:rFonts w:cs="Times New Roman"/>
          <w:i/>
          <w:iCs/>
          <w:szCs w:val="24"/>
        </w:rPr>
        <w:t>Eiropas Cilvēktiesību tiesas 2022.gada 8.novembra sprieduma lietā „</w:t>
      </w:r>
      <w:proofErr w:type="spellStart"/>
      <w:r w:rsidR="00D8470E" w:rsidRPr="0065508A">
        <w:rPr>
          <w:rFonts w:cs="Times New Roman"/>
          <w:i/>
          <w:iCs/>
          <w:szCs w:val="24"/>
        </w:rPr>
        <w:t>Gaggl</w:t>
      </w:r>
      <w:proofErr w:type="spellEnd"/>
      <w:r w:rsidR="00D8470E" w:rsidRPr="0065508A">
        <w:rPr>
          <w:rFonts w:cs="Times New Roman"/>
          <w:i/>
          <w:iCs/>
          <w:szCs w:val="24"/>
        </w:rPr>
        <w:t xml:space="preserve"> v. </w:t>
      </w:r>
      <w:proofErr w:type="spellStart"/>
      <w:r w:rsidR="00D8470E" w:rsidRPr="0065508A">
        <w:rPr>
          <w:rFonts w:cs="Times New Roman"/>
          <w:i/>
          <w:iCs/>
          <w:szCs w:val="24"/>
        </w:rPr>
        <w:t>Austria</w:t>
      </w:r>
      <w:proofErr w:type="spellEnd"/>
      <w:r w:rsidR="00D8470E" w:rsidRPr="0065508A">
        <w:rPr>
          <w:rFonts w:cs="Times New Roman"/>
          <w:i/>
          <w:iCs/>
          <w:szCs w:val="24"/>
        </w:rPr>
        <w:t>”, iesnieguma Nr. 63950/19, 50.punkts, 2014.gada 27.marta sprieduma lietā „</w:t>
      </w:r>
      <w:proofErr w:type="spellStart"/>
      <w:r w:rsidR="00D8470E" w:rsidRPr="0065508A">
        <w:rPr>
          <w:rFonts w:cs="Times New Roman"/>
          <w:i/>
          <w:iCs/>
          <w:szCs w:val="24"/>
        </w:rPr>
        <w:t>Matytsina</w:t>
      </w:r>
      <w:proofErr w:type="spellEnd"/>
      <w:r w:rsidR="00D8470E" w:rsidRPr="0065508A">
        <w:rPr>
          <w:rFonts w:cs="Times New Roman"/>
          <w:i/>
          <w:iCs/>
          <w:szCs w:val="24"/>
        </w:rPr>
        <w:t xml:space="preserve"> v. </w:t>
      </w:r>
      <w:proofErr w:type="spellStart"/>
      <w:r w:rsidR="00D8470E" w:rsidRPr="0065508A">
        <w:rPr>
          <w:rFonts w:cs="Times New Roman"/>
          <w:i/>
          <w:iCs/>
          <w:szCs w:val="24"/>
        </w:rPr>
        <w:t>Russia</w:t>
      </w:r>
      <w:proofErr w:type="spellEnd"/>
      <w:r w:rsidR="00D8470E" w:rsidRPr="0065508A">
        <w:rPr>
          <w:rFonts w:cs="Times New Roman"/>
          <w:i/>
          <w:iCs/>
          <w:szCs w:val="24"/>
        </w:rPr>
        <w:t>”, iesnieguma Nr. 58428/10, 169.punkts, 2007.gada 5.aprīļa sprieduma lietā „</w:t>
      </w:r>
      <w:proofErr w:type="spellStart"/>
      <w:r w:rsidR="00D8470E" w:rsidRPr="0065508A">
        <w:rPr>
          <w:rFonts w:cs="Times New Roman"/>
          <w:i/>
          <w:iCs/>
          <w:szCs w:val="24"/>
        </w:rPr>
        <w:t>Stoimenov</w:t>
      </w:r>
      <w:proofErr w:type="spellEnd"/>
      <w:r w:rsidR="00D8470E" w:rsidRPr="0065508A">
        <w:rPr>
          <w:rFonts w:cs="Times New Roman"/>
          <w:i/>
          <w:iCs/>
          <w:szCs w:val="24"/>
        </w:rPr>
        <w:t xml:space="preserve"> v. </w:t>
      </w:r>
      <w:proofErr w:type="spellStart"/>
      <w:r w:rsidR="00D8470E" w:rsidRPr="0065508A">
        <w:rPr>
          <w:rStyle w:val="s7d2086b4"/>
          <w:rFonts w:cs="Times New Roman"/>
          <w:i/>
          <w:iCs/>
          <w:szCs w:val="24"/>
          <w:shd w:val="clear" w:color="auto" w:fill="FFFFFF"/>
        </w:rPr>
        <w:t>The</w:t>
      </w:r>
      <w:proofErr w:type="spellEnd"/>
      <w:r w:rsidR="00D8470E" w:rsidRPr="0065508A">
        <w:rPr>
          <w:rStyle w:val="s7d2086b4"/>
          <w:rFonts w:cs="Times New Roman"/>
          <w:i/>
          <w:iCs/>
          <w:szCs w:val="24"/>
          <w:shd w:val="clear" w:color="auto" w:fill="FFFFFF"/>
        </w:rPr>
        <w:t xml:space="preserve"> </w:t>
      </w:r>
      <w:proofErr w:type="spellStart"/>
      <w:r w:rsidR="00D8470E" w:rsidRPr="0065508A">
        <w:rPr>
          <w:rStyle w:val="s7d2086b4"/>
          <w:rFonts w:cs="Times New Roman"/>
          <w:i/>
          <w:iCs/>
          <w:szCs w:val="24"/>
          <w:shd w:val="clear" w:color="auto" w:fill="FFFFFF"/>
        </w:rPr>
        <w:t>former</w:t>
      </w:r>
      <w:proofErr w:type="spellEnd"/>
      <w:r w:rsidR="00D8470E" w:rsidRPr="0065508A">
        <w:rPr>
          <w:rStyle w:val="s7d2086b4"/>
          <w:rFonts w:cs="Times New Roman"/>
          <w:i/>
          <w:iCs/>
          <w:szCs w:val="24"/>
          <w:shd w:val="clear" w:color="auto" w:fill="FFFFFF"/>
        </w:rPr>
        <w:t xml:space="preserve"> </w:t>
      </w:r>
      <w:proofErr w:type="spellStart"/>
      <w:r w:rsidR="00D8470E" w:rsidRPr="0065508A">
        <w:rPr>
          <w:rStyle w:val="s7d2086b4"/>
          <w:rFonts w:cs="Times New Roman"/>
          <w:i/>
          <w:iCs/>
          <w:szCs w:val="24"/>
          <w:shd w:val="clear" w:color="auto" w:fill="FFFFFF"/>
        </w:rPr>
        <w:t>Yugoslav</w:t>
      </w:r>
      <w:proofErr w:type="spellEnd"/>
      <w:r w:rsidR="00D8470E" w:rsidRPr="0065508A">
        <w:rPr>
          <w:rStyle w:val="s7d2086b4"/>
          <w:rFonts w:cs="Times New Roman"/>
          <w:i/>
          <w:iCs/>
          <w:szCs w:val="24"/>
          <w:shd w:val="clear" w:color="auto" w:fill="FFFFFF"/>
        </w:rPr>
        <w:t xml:space="preserve"> </w:t>
      </w:r>
      <w:proofErr w:type="spellStart"/>
      <w:r w:rsidR="00D8470E" w:rsidRPr="0065508A">
        <w:rPr>
          <w:rStyle w:val="s7d2086b4"/>
          <w:rFonts w:cs="Times New Roman"/>
          <w:i/>
          <w:iCs/>
          <w:szCs w:val="24"/>
          <w:shd w:val="clear" w:color="auto" w:fill="FFFFFF"/>
        </w:rPr>
        <w:t>Republic</w:t>
      </w:r>
      <w:proofErr w:type="spellEnd"/>
      <w:r w:rsidR="00D8470E" w:rsidRPr="0065508A">
        <w:rPr>
          <w:rStyle w:val="s7d2086b4"/>
          <w:rFonts w:cs="Times New Roman"/>
          <w:i/>
          <w:iCs/>
          <w:szCs w:val="24"/>
          <w:shd w:val="clear" w:color="auto" w:fill="FFFFFF"/>
        </w:rPr>
        <w:t xml:space="preserve"> </w:t>
      </w:r>
      <w:proofErr w:type="spellStart"/>
      <w:r w:rsidR="00D8470E" w:rsidRPr="0065508A">
        <w:rPr>
          <w:rStyle w:val="s7d2086b4"/>
          <w:rFonts w:cs="Times New Roman"/>
          <w:i/>
          <w:iCs/>
          <w:szCs w:val="24"/>
          <w:shd w:val="clear" w:color="auto" w:fill="FFFFFF"/>
        </w:rPr>
        <w:t>of</w:t>
      </w:r>
      <w:proofErr w:type="spellEnd"/>
      <w:r w:rsidR="00D8470E" w:rsidRPr="0065508A">
        <w:rPr>
          <w:rStyle w:val="s7d2086b4"/>
          <w:rFonts w:cs="Times New Roman"/>
          <w:i/>
          <w:iCs/>
          <w:szCs w:val="24"/>
          <w:shd w:val="clear" w:color="auto" w:fill="FFFFFF"/>
        </w:rPr>
        <w:t xml:space="preserve"> </w:t>
      </w:r>
      <w:proofErr w:type="spellStart"/>
      <w:r w:rsidR="00D8470E" w:rsidRPr="0065508A">
        <w:rPr>
          <w:rStyle w:val="s7d2086b4"/>
          <w:rFonts w:cs="Times New Roman"/>
          <w:i/>
          <w:iCs/>
          <w:szCs w:val="24"/>
          <w:shd w:val="clear" w:color="auto" w:fill="FFFFFF"/>
        </w:rPr>
        <w:t>Macedonia</w:t>
      </w:r>
      <w:proofErr w:type="spellEnd"/>
      <w:r w:rsidR="00D8470E" w:rsidRPr="0065508A">
        <w:rPr>
          <w:rFonts w:cs="Times New Roman"/>
          <w:i/>
          <w:iCs/>
          <w:szCs w:val="24"/>
        </w:rPr>
        <w:t xml:space="preserve">, iesnieguma Nr. 17995/02, </w:t>
      </w:r>
      <w:r w:rsidR="001C3C8E" w:rsidRPr="0065508A">
        <w:rPr>
          <w:rFonts w:cs="Times New Roman"/>
          <w:i/>
          <w:iCs/>
          <w:szCs w:val="24"/>
        </w:rPr>
        <w:t>41.punkts</w:t>
      </w:r>
      <w:r w:rsidR="00D8470E" w:rsidRPr="0065508A">
        <w:rPr>
          <w:rFonts w:cs="Times New Roman"/>
          <w:szCs w:val="24"/>
        </w:rPr>
        <w:t>).</w:t>
      </w:r>
    </w:p>
    <w:p w14:paraId="44540511" w14:textId="7D26274A" w:rsidR="009C3A04" w:rsidRPr="0065508A" w:rsidRDefault="005A07E5" w:rsidP="00F5769E">
      <w:pPr>
        <w:autoSpaceDE w:val="0"/>
        <w:autoSpaceDN w:val="0"/>
        <w:adjustRightInd w:val="0"/>
        <w:spacing w:after="0" w:line="276" w:lineRule="auto"/>
        <w:ind w:firstLine="720"/>
        <w:jc w:val="both"/>
        <w:rPr>
          <w:rFonts w:cs="Times New Roman"/>
          <w:szCs w:val="24"/>
        </w:rPr>
      </w:pPr>
      <w:r w:rsidRPr="0065508A">
        <w:rPr>
          <w:rFonts w:cs="Times New Roman"/>
          <w:szCs w:val="24"/>
        </w:rPr>
        <w:t>N</w:t>
      </w:r>
      <w:r w:rsidR="009C3A04" w:rsidRPr="0065508A">
        <w:rPr>
          <w:rFonts w:cs="Times New Roman"/>
          <w:szCs w:val="24"/>
        </w:rPr>
        <w:t xml:space="preserve">o lietas materiāliem konstatējams, ka gan pirmās instances tiesa, gan apelācijas instances tiesa noraidījusi aizstāvības pieteikto lūgumu uzaicināt un nopratināt ekspertes </w:t>
      </w:r>
      <w:r w:rsidR="001B3EB2">
        <w:rPr>
          <w:rFonts w:cs="Times New Roman"/>
          <w:szCs w:val="24"/>
        </w:rPr>
        <w:t>[pers. </w:t>
      </w:r>
      <w:r w:rsidR="001B3EB2">
        <w:t>F]</w:t>
      </w:r>
      <w:r w:rsidRPr="0065508A">
        <w:rPr>
          <w:rFonts w:cs="Times New Roman"/>
          <w:szCs w:val="24"/>
        </w:rPr>
        <w:t xml:space="preserve"> un </w:t>
      </w:r>
      <w:r w:rsidR="001B3EB2">
        <w:rPr>
          <w:rFonts w:cs="Times New Roman"/>
          <w:szCs w:val="24"/>
        </w:rPr>
        <w:t>[pers. E]</w:t>
      </w:r>
      <w:r w:rsidR="009C3A04" w:rsidRPr="0065508A">
        <w:rPr>
          <w:rFonts w:cs="Times New Roman"/>
          <w:szCs w:val="24"/>
        </w:rPr>
        <w:t xml:space="preserve">, </w:t>
      </w:r>
      <w:r w:rsidR="003F0112" w:rsidRPr="0065508A">
        <w:rPr>
          <w:rFonts w:cs="Times New Roman"/>
          <w:szCs w:val="24"/>
        </w:rPr>
        <w:t>lai</w:t>
      </w:r>
      <w:r w:rsidR="009C3A04" w:rsidRPr="0065508A">
        <w:rPr>
          <w:rFonts w:cs="Times New Roman"/>
          <w:szCs w:val="24"/>
        </w:rPr>
        <w:t xml:space="preserve"> arī aizstāvība savu lūgumu par ekspertu alternatīva atzinuma nepieciešamību pamatojusi ar lietā iegūtajiem pierādījumiem.</w:t>
      </w:r>
      <w:r w:rsidR="00D8470E" w:rsidRPr="0065508A">
        <w:rPr>
          <w:rFonts w:cs="Times New Roman"/>
          <w:szCs w:val="24"/>
        </w:rPr>
        <w:t xml:space="preserve"> Turklāt apelācijas instances tiesas lēmumā norādītais, ka cietušās </w:t>
      </w:r>
      <w:r w:rsidR="001B3EB2">
        <w:rPr>
          <w:rFonts w:cs="Times New Roman"/>
          <w:szCs w:val="24"/>
        </w:rPr>
        <w:t>[pers. </w:t>
      </w:r>
      <w:r w:rsidR="001B3EB2">
        <w:t>H]</w:t>
      </w:r>
      <w:r w:rsidR="00D8470E" w:rsidRPr="0065508A">
        <w:rPr>
          <w:rFonts w:cs="Times New Roman"/>
          <w:szCs w:val="24"/>
        </w:rPr>
        <w:t xml:space="preserve"> nopratināšana veikta</w:t>
      </w:r>
      <w:r w:rsidR="003F0112" w:rsidRPr="0065508A">
        <w:rPr>
          <w:rFonts w:cs="Times New Roman"/>
          <w:szCs w:val="24"/>
        </w:rPr>
        <w:t>, ievērojot mazgadīgo cietušo nopratināšanai noteiktās īpašās prasības,</w:t>
      </w:r>
      <w:r w:rsidR="00D8470E" w:rsidRPr="0065508A">
        <w:rPr>
          <w:rFonts w:cs="Times New Roman"/>
          <w:szCs w:val="24"/>
        </w:rPr>
        <w:t xml:space="preserve"> ir pretrunā ar ekspertes </w:t>
      </w:r>
      <w:r w:rsidR="001B3EB2">
        <w:rPr>
          <w:rFonts w:cs="Times New Roman"/>
          <w:szCs w:val="24"/>
        </w:rPr>
        <w:t>[pers. G]</w:t>
      </w:r>
      <w:r w:rsidR="00D8470E" w:rsidRPr="0065508A">
        <w:rPr>
          <w:rFonts w:cs="Times New Roman"/>
          <w:szCs w:val="24"/>
        </w:rPr>
        <w:t xml:space="preserve"> liecībām</w:t>
      </w:r>
      <w:r w:rsidR="003F0112" w:rsidRPr="0065508A">
        <w:rPr>
          <w:rFonts w:cs="Times New Roman"/>
          <w:szCs w:val="24"/>
        </w:rPr>
        <w:t xml:space="preserve"> tiesas sēdē</w:t>
      </w:r>
      <w:r w:rsidR="00D8470E" w:rsidRPr="0065508A">
        <w:rPr>
          <w:rFonts w:cs="Times New Roman"/>
          <w:szCs w:val="24"/>
        </w:rPr>
        <w:t xml:space="preserve">, atzīstot cietušās </w:t>
      </w:r>
      <w:r w:rsidR="00CC2D1B">
        <w:rPr>
          <w:rFonts w:cs="Times New Roman"/>
          <w:szCs w:val="24"/>
        </w:rPr>
        <w:t>[pers. </w:t>
      </w:r>
      <w:r w:rsidR="00CC2D1B">
        <w:t>H]</w:t>
      </w:r>
      <w:r w:rsidR="00D8470E" w:rsidRPr="0065508A">
        <w:rPr>
          <w:rFonts w:cs="Times New Roman"/>
          <w:szCs w:val="24"/>
        </w:rPr>
        <w:t xml:space="preserve"> pratināšanā pieļautos pārkāpumus.</w:t>
      </w:r>
    </w:p>
    <w:p w14:paraId="01C5A507" w14:textId="38164667" w:rsidR="009C3A04" w:rsidRPr="0065508A" w:rsidRDefault="009C3A04" w:rsidP="00F5769E">
      <w:pPr>
        <w:autoSpaceDE w:val="0"/>
        <w:autoSpaceDN w:val="0"/>
        <w:adjustRightInd w:val="0"/>
        <w:spacing w:after="0" w:line="276" w:lineRule="auto"/>
        <w:ind w:firstLine="720"/>
        <w:jc w:val="both"/>
        <w:rPr>
          <w:rFonts w:cs="Times New Roman"/>
          <w:szCs w:val="24"/>
        </w:rPr>
      </w:pPr>
      <w:r w:rsidRPr="0065508A">
        <w:rPr>
          <w:rFonts w:cs="Times New Roman"/>
          <w:szCs w:val="24"/>
        </w:rPr>
        <w:t>Senāts atzīst, ka</w:t>
      </w:r>
      <w:r w:rsidR="00CD2E08" w:rsidRPr="0065508A">
        <w:rPr>
          <w:rFonts w:cs="Times New Roman"/>
          <w:szCs w:val="24"/>
        </w:rPr>
        <w:t>,</w:t>
      </w:r>
      <w:r w:rsidRPr="0065508A">
        <w:rPr>
          <w:rFonts w:cs="Times New Roman"/>
          <w:szCs w:val="24"/>
        </w:rPr>
        <w:t xml:space="preserve"> noraidot aizstāvības lūgumu uzaicināt un nopratināt ekspertes, apelācijas instances tiesa pieļāvusi Kriminālprocesa likuma </w:t>
      </w:r>
      <w:proofErr w:type="gramStart"/>
      <w:r w:rsidRPr="0065508A">
        <w:rPr>
          <w:rFonts w:cs="Times New Roman"/>
          <w:szCs w:val="24"/>
        </w:rPr>
        <w:t>18.pantā</w:t>
      </w:r>
      <w:proofErr w:type="gramEnd"/>
      <w:r w:rsidRPr="0065508A">
        <w:rPr>
          <w:rFonts w:cs="Times New Roman"/>
          <w:szCs w:val="24"/>
        </w:rPr>
        <w:t xml:space="preserve"> noteikto procesuālo pilnvaru līdztiesības principa pārkāpumu, kas noteic, ka lietas izskatīšanas procesā procesa dalībnieku tiesībām jābūt taisnīgi līdzsvarotām (</w:t>
      </w:r>
      <w:proofErr w:type="spellStart"/>
      <w:r w:rsidRPr="0065508A">
        <w:rPr>
          <w:rFonts w:cs="Times New Roman"/>
          <w:i/>
          <w:iCs/>
          <w:szCs w:val="24"/>
        </w:rPr>
        <w:t>fair</w:t>
      </w:r>
      <w:proofErr w:type="spellEnd"/>
      <w:r w:rsidRPr="0065508A">
        <w:rPr>
          <w:rFonts w:cs="Times New Roman"/>
          <w:i/>
          <w:iCs/>
          <w:szCs w:val="24"/>
        </w:rPr>
        <w:t xml:space="preserve"> </w:t>
      </w:r>
      <w:proofErr w:type="spellStart"/>
      <w:r w:rsidRPr="0065508A">
        <w:rPr>
          <w:rFonts w:cs="Times New Roman"/>
          <w:i/>
          <w:iCs/>
          <w:szCs w:val="24"/>
        </w:rPr>
        <w:t>balance</w:t>
      </w:r>
      <w:proofErr w:type="spellEnd"/>
      <w:r w:rsidRPr="0065508A">
        <w:rPr>
          <w:rFonts w:cs="Times New Roman"/>
          <w:szCs w:val="24"/>
        </w:rPr>
        <w:t xml:space="preserve">) – proti, katram ir jābūt nodrošinātām </w:t>
      </w:r>
      <w:r w:rsidR="00D56D47" w:rsidRPr="0065508A">
        <w:rPr>
          <w:rFonts w:cs="Times New Roman"/>
          <w:szCs w:val="24"/>
        </w:rPr>
        <w:t xml:space="preserve">adekvātām </w:t>
      </w:r>
      <w:r w:rsidRPr="0065508A">
        <w:rPr>
          <w:rFonts w:cs="Times New Roman"/>
          <w:szCs w:val="24"/>
        </w:rPr>
        <w:t>iespējām izmantot procesuālos līdzekļus, neesot nepamatoti nostādītam nelabvēlīgākā stāvoklī kā citi procesa dalībnieki (</w:t>
      </w:r>
      <w:r w:rsidRPr="0065508A">
        <w:rPr>
          <w:rFonts w:cs="Times New Roman"/>
          <w:i/>
          <w:iCs/>
          <w:szCs w:val="24"/>
        </w:rPr>
        <w:t xml:space="preserve">Kriminālprocesa likuma komentāri. A daļa. Zinātniska monogrāfija prof. Kristīnes </w:t>
      </w:r>
      <w:proofErr w:type="spellStart"/>
      <w:r w:rsidRPr="0065508A">
        <w:rPr>
          <w:rFonts w:cs="Times New Roman"/>
          <w:i/>
          <w:iCs/>
          <w:szCs w:val="24"/>
        </w:rPr>
        <w:t>Stradas-Rozenbergas</w:t>
      </w:r>
      <w:proofErr w:type="spellEnd"/>
      <w:r w:rsidRPr="0065508A">
        <w:rPr>
          <w:rFonts w:cs="Times New Roman"/>
          <w:i/>
          <w:iCs/>
          <w:szCs w:val="24"/>
        </w:rPr>
        <w:t xml:space="preserve"> zinātniskā redakcijā. Rīga: Latvijas Vēstnesis, 2019, 87.</w:t>
      </w:r>
      <w:r w:rsidR="00D56D47" w:rsidRPr="0065508A">
        <w:rPr>
          <w:rFonts w:cs="Times New Roman"/>
          <w:i/>
          <w:iCs/>
          <w:szCs w:val="24"/>
        </w:rPr>
        <w:t>lpp</w:t>
      </w:r>
      <w:r w:rsidRPr="0065508A">
        <w:rPr>
          <w:rFonts w:cs="Times New Roman"/>
          <w:szCs w:val="24"/>
        </w:rPr>
        <w:t>).</w:t>
      </w:r>
    </w:p>
    <w:p w14:paraId="054FF532" w14:textId="265F6ECE" w:rsidR="00D062D5" w:rsidRPr="0065508A" w:rsidRDefault="003F0112" w:rsidP="00F5769E">
      <w:pPr>
        <w:spacing w:after="0" w:line="276" w:lineRule="auto"/>
        <w:ind w:firstLine="709"/>
        <w:jc w:val="both"/>
        <w:rPr>
          <w:rFonts w:cs="Times New Roman"/>
          <w:szCs w:val="24"/>
        </w:rPr>
      </w:pPr>
      <w:r w:rsidRPr="0065508A">
        <w:rPr>
          <w:rFonts w:cs="Times New Roman"/>
          <w:szCs w:val="24"/>
        </w:rPr>
        <w:t>[6.5] </w:t>
      </w:r>
      <w:r w:rsidR="006556C7" w:rsidRPr="0065508A">
        <w:rPr>
          <w:rFonts w:cs="Times New Roman"/>
          <w:szCs w:val="24"/>
        </w:rPr>
        <w:t>P</w:t>
      </w:r>
      <w:r w:rsidR="00796FE4" w:rsidRPr="0065508A">
        <w:rPr>
          <w:rFonts w:cs="Times New Roman"/>
          <w:szCs w:val="24"/>
        </w:rPr>
        <w:t>amatot</w:t>
      </w:r>
      <w:r w:rsidR="006556C7" w:rsidRPr="0065508A">
        <w:rPr>
          <w:rFonts w:cs="Times New Roman"/>
          <w:szCs w:val="24"/>
        </w:rPr>
        <w:t>s ir</w:t>
      </w:r>
      <w:r w:rsidR="00796FE4" w:rsidRPr="0065508A">
        <w:rPr>
          <w:rFonts w:cs="Times New Roman"/>
          <w:szCs w:val="24"/>
        </w:rPr>
        <w:t xml:space="preserve"> aizstāves V. </w:t>
      </w:r>
      <w:proofErr w:type="spellStart"/>
      <w:r w:rsidR="00796FE4" w:rsidRPr="0065508A">
        <w:rPr>
          <w:rFonts w:cs="Times New Roman"/>
          <w:szCs w:val="24"/>
        </w:rPr>
        <w:t>Mihaiļenko</w:t>
      </w:r>
      <w:proofErr w:type="spellEnd"/>
      <w:r w:rsidR="00796FE4" w:rsidRPr="0065508A">
        <w:rPr>
          <w:rFonts w:cs="Times New Roman"/>
          <w:szCs w:val="24"/>
        </w:rPr>
        <w:t xml:space="preserve"> kasācijas sūdzībā paust</w:t>
      </w:r>
      <w:r w:rsidR="006556C7" w:rsidRPr="0065508A">
        <w:rPr>
          <w:rFonts w:cs="Times New Roman"/>
          <w:szCs w:val="24"/>
        </w:rPr>
        <w:t>ais</w:t>
      </w:r>
      <w:r w:rsidR="00796FE4" w:rsidRPr="0065508A">
        <w:rPr>
          <w:rFonts w:cs="Times New Roman"/>
          <w:szCs w:val="24"/>
        </w:rPr>
        <w:t xml:space="preserve"> viedokli</w:t>
      </w:r>
      <w:r w:rsidR="006556C7" w:rsidRPr="0065508A">
        <w:rPr>
          <w:rFonts w:cs="Times New Roman"/>
          <w:szCs w:val="24"/>
        </w:rPr>
        <w:t>s</w:t>
      </w:r>
      <w:r w:rsidR="00796FE4" w:rsidRPr="0065508A">
        <w:rPr>
          <w:rFonts w:cs="Times New Roman"/>
          <w:szCs w:val="24"/>
        </w:rPr>
        <w:t>, ka apelācijas instances tiesa</w:t>
      </w:r>
      <w:r w:rsidR="00E93148" w:rsidRPr="0065508A">
        <w:rPr>
          <w:rFonts w:cs="Times New Roman"/>
          <w:szCs w:val="24"/>
        </w:rPr>
        <w:t xml:space="preserve"> nav sniegusi atzinumu par aizstāves apelācijas sūdzībā minētajiem argumentiem, proti, ka līdz </w:t>
      </w:r>
      <w:r w:rsidR="00796FE4" w:rsidRPr="0065508A">
        <w:rPr>
          <w:rFonts w:cs="Times New Roman"/>
          <w:szCs w:val="24"/>
        </w:rPr>
        <w:t xml:space="preserve">kriminālprocesa uzsākšanai starp apsūdzēto </w:t>
      </w:r>
      <w:r w:rsidR="00CC2D1B">
        <w:rPr>
          <w:rFonts w:cs="Times New Roman"/>
          <w:szCs w:val="24"/>
        </w:rPr>
        <w:t>[pers. A]</w:t>
      </w:r>
      <w:r w:rsidR="00796FE4" w:rsidRPr="0065508A">
        <w:rPr>
          <w:rFonts w:cs="Times New Roman"/>
          <w:szCs w:val="24"/>
        </w:rPr>
        <w:t xml:space="preserve"> un pārstāvi </w:t>
      </w:r>
      <w:r w:rsidR="00CC2D1B">
        <w:rPr>
          <w:rFonts w:cs="Times New Roman"/>
          <w:szCs w:val="24"/>
        </w:rPr>
        <w:t>[pers. J]</w:t>
      </w:r>
      <w:r w:rsidR="00796FE4" w:rsidRPr="0065508A">
        <w:rPr>
          <w:rFonts w:cs="Times New Roman"/>
          <w:szCs w:val="24"/>
        </w:rPr>
        <w:t xml:space="preserve"> </w:t>
      </w:r>
      <w:r w:rsidR="00E93148" w:rsidRPr="0065508A">
        <w:rPr>
          <w:rFonts w:cs="Times New Roman"/>
          <w:szCs w:val="24"/>
        </w:rPr>
        <w:t>notikuši</w:t>
      </w:r>
      <w:r w:rsidR="00796FE4" w:rsidRPr="0065508A">
        <w:rPr>
          <w:rFonts w:cs="Times New Roman"/>
          <w:szCs w:val="24"/>
        </w:rPr>
        <w:t xml:space="preserve"> strīdi</w:t>
      </w:r>
      <w:r w:rsidR="00E93148" w:rsidRPr="0065508A">
        <w:rPr>
          <w:rFonts w:cs="Times New Roman"/>
          <w:szCs w:val="24"/>
        </w:rPr>
        <w:t xml:space="preserve"> </w:t>
      </w:r>
      <w:r w:rsidR="006556C7" w:rsidRPr="0065508A">
        <w:rPr>
          <w:rFonts w:cs="Times New Roman"/>
          <w:szCs w:val="24"/>
        </w:rPr>
        <w:t>par saskarsmes tiesībām ar meitu</w:t>
      </w:r>
      <w:r w:rsidR="00387B7F" w:rsidRPr="0065508A">
        <w:rPr>
          <w:rFonts w:cs="Times New Roman"/>
          <w:szCs w:val="24"/>
        </w:rPr>
        <w:t>, kas</w:t>
      </w:r>
      <w:r w:rsidR="006556C7" w:rsidRPr="0065508A">
        <w:rPr>
          <w:rFonts w:cs="Times New Roman"/>
          <w:szCs w:val="24"/>
        </w:rPr>
        <w:t xml:space="preserve"> ietekmējuši</w:t>
      </w:r>
      <w:r w:rsidR="00796FE4" w:rsidRPr="0065508A">
        <w:rPr>
          <w:rFonts w:cs="Times New Roman"/>
          <w:szCs w:val="24"/>
        </w:rPr>
        <w:t xml:space="preserve"> pārstāves </w:t>
      </w:r>
      <w:r w:rsidR="00CC2D1B">
        <w:rPr>
          <w:rFonts w:cs="Times New Roman"/>
          <w:szCs w:val="24"/>
        </w:rPr>
        <w:t>[pers. </w:t>
      </w:r>
      <w:r w:rsidR="00CC2D1B">
        <w:t>J]</w:t>
      </w:r>
      <w:r w:rsidR="00796FE4" w:rsidRPr="0065508A">
        <w:rPr>
          <w:rFonts w:cs="Times New Roman"/>
          <w:szCs w:val="24"/>
        </w:rPr>
        <w:t xml:space="preserve"> sniegto liecību satur</w:t>
      </w:r>
      <w:r w:rsidR="00E93148" w:rsidRPr="0065508A">
        <w:rPr>
          <w:rFonts w:cs="Times New Roman"/>
          <w:szCs w:val="24"/>
        </w:rPr>
        <w:t>u</w:t>
      </w:r>
      <w:r w:rsidR="00796FE4" w:rsidRPr="0065508A">
        <w:rPr>
          <w:rFonts w:cs="Times New Roman"/>
          <w:szCs w:val="24"/>
        </w:rPr>
        <w:t>.</w:t>
      </w:r>
    </w:p>
    <w:p w14:paraId="792B4EBC" w14:textId="4F33F006" w:rsidR="00387B7F" w:rsidRPr="0065508A" w:rsidRDefault="00387B7F" w:rsidP="00F5769E">
      <w:pPr>
        <w:autoSpaceDE w:val="0"/>
        <w:autoSpaceDN w:val="0"/>
        <w:adjustRightInd w:val="0"/>
        <w:spacing w:after="0" w:line="276" w:lineRule="auto"/>
        <w:ind w:firstLine="720"/>
        <w:jc w:val="both"/>
        <w:rPr>
          <w:rFonts w:cs="Times New Roman"/>
          <w:szCs w:val="24"/>
        </w:rPr>
      </w:pPr>
      <w:r w:rsidRPr="0065508A">
        <w:rPr>
          <w:rFonts w:cs="Times New Roman"/>
          <w:szCs w:val="24"/>
        </w:rPr>
        <w:t xml:space="preserve">[6.6] Apelācijas instances tiesa nav motivējusi, </w:t>
      </w:r>
      <w:proofErr w:type="gramStart"/>
      <w:r w:rsidRPr="0065508A">
        <w:rPr>
          <w:rFonts w:cs="Times New Roman"/>
          <w:szCs w:val="24"/>
        </w:rPr>
        <w:t>kāpēc tā augstāku ticamības pakāpi piešķīrusi</w:t>
      </w:r>
      <w:proofErr w:type="gramEnd"/>
      <w:r w:rsidRPr="0065508A">
        <w:rPr>
          <w:rFonts w:cs="Times New Roman"/>
          <w:szCs w:val="24"/>
        </w:rPr>
        <w:t xml:space="preserve"> cietušās pārstāves </w:t>
      </w:r>
      <w:r w:rsidR="00CC2D1B">
        <w:rPr>
          <w:rFonts w:cs="Times New Roman"/>
          <w:szCs w:val="24"/>
        </w:rPr>
        <w:t>[pers. J]</w:t>
      </w:r>
      <w:r w:rsidRPr="0065508A">
        <w:rPr>
          <w:rFonts w:cs="Times New Roman"/>
          <w:szCs w:val="24"/>
        </w:rPr>
        <w:t xml:space="preserve"> un liecinieces </w:t>
      </w:r>
      <w:r w:rsidR="00CC2D1B">
        <w:rPr>
          <w:rFonts w:cs="Times New Roman"/>
          <w:szCs w:val="24"/>
        </w:rPr>
        <w:t>[pers. K]</w:t>
      </w:r>
      <w:r w:rsidRPr="0065508A">
        <w:rPr>
          <w:rFonts w:cs="Times New Roman"/>
          <w:szCs w:val="24"/>
        </w:rPr>
        <w:t xml:space="preserve"> liecībām, </w:t>
      </w:r>
      <w:r w:rsidR="00512C65" w:rsidRPr="0065508A">
        <w:rPr>
          <w:rFonts w:cs="Times New Roman"/>
          <w:szCs w:val="24"/>
        </w:rPr>
        <w:t>un</w:t>
      </w:r>
      <w:r w:rsidRPr="0065508A">
        <w:rPr>
          <w:rFonts w:cs="Times New Roman"/>
          <w:szCs w:val="24"/>
        </w:rPr>
        <w:t xml:space="preserve"> nav izvērtējusi šīs liecības kopsakarā ar vizītes laikā pie ārstes </w:t>
      </w:r>
      <w:r w:rsidR="00CC2D1B">
        <w:rPr>
          <w:rFonts w:cs="Times New Roman"/>
          <w:szCs w:val="24"/>
        </w:rPr>
        <w:t>[pers. </w:t>
      </w:r>
      <w:r w:rsidR="00CC2D1B">
        <w:t>L]</w:t>
      </w:r>
      <w:r w:rsidRPr="0065508A">
        <w:rPr>
          <w:rFonts w:cs="Times New Roman"/>
          <w:szCs w:val="24"/>
        </w:rPr>
        <w:t xml:space="preserve"> cietušajai </w:t>
      </w:r>
      <w:r w:rsidR="00CC2D1B">
        <w:rPr>
          <w:rFonts w:cs="Times New Roman"/>
          <w:szCs w:val="24"/>
        </w:rPr>
        <w:t>[pers. H]</w:t>
      </w:r>
      <w:r w:rsidRPr="0065508A">
        <w:rPr>
          <w:rFonts w:cs="Times New Roman"/>
          <w:szCs w:val="24"/>
        </w:rPr>
        <w:t xml:space="preserve"> konstatēto diagnozi un liecinieku </w:t>
      </w:r>
      <w:r w:rsidR="00CC2D1B">
        <w:rPr>
          <w:rFonts w:cs="Times New Roman"/>
          <w:szCs w:val="24"/>
        </w:rPr>
        <w:t>[pers. C]</w:t>
      </w:r>
      <w:r w:rsidR="005172EC" w:rsidRPr="0065508A">
        <w:rPr>
          <w:rFonts w:cs="Times New Roman"/>
          <w:szCs w:val="24"/>
        </w:rPr>
        <w:t xml:space="preserve"> un</w:t>
      </w:r>
      <w:r w:rsidRPr="0065508A">
        <w:rPr>
          <w:rFonts w:cs="Times New Roman"/>
          <w:szCs w:val="24"/>
        </w:rPr>
        <w:t xml:space="preserve"> </w:t>
      </w:r>
      <w:r w:rsidR="00CC2D1B">
        <w:rPr>
          <w:rFonts w:cs="Times New Roman"/>
          <w:szCs w:val="24"/>
        </w:rPr>
        <w:t>[pers. D]</w:t>
      </w:r>
      <w:r w:rsidRPr="0065508A">
        <w:rPr>
          <w:rFonts w:cs="Times New Roman"/>
          <w:szCs w:val="24"/>
        </w:rPr>
        <w:t xml:space="preserve"> liecībās norādītajām ziņām par faktiem. Tāpat Senāts atzīst, ka apelācijas instances tiesa</w:t>
      </w:r>
      <w:r w:rsidR="00CF0B5B" w:rsidRPr="0065508A">
        <w:rPr>
          <w:rFonts w:cs="Times New Roman"/>
          <w:szCs w:val="24"/>
        </w:rPr>
        <w:t>,</w:t>
      </w:r>
      <w:r w:rsidRPr="0065508A">
        <w:rPr>
          <w:rFonts w:cs="Times New Roman"/>
          <w:szCs w:val="24"/>
        </w:rPr>
        <w:t xml:space="preserve"> 2021.gada </w:t>
      </w:r>
      <w:r w:rsidR="00CC2D1B">
        <w:rPr>
          <w:rFonts w:cs="Times New Roman"/>
          <w:szCs w:val="24"/>
        </w:rPr>
        <w:t>[..]</w:t>
      </w:r>
      <w:r w:rsidRPr="0065508A">
        <w:rPr>
          <w:rFonts w:cs="Times New Roman"/>
          <w:szCs w:val="24"/>
        </w:rPr>
        <w:t xml:space="preserve"> sēdē</w:t>
      </w:r>
      <w:r w:rsidR="00512C65" w:rsidRPr="0065508A">
        <w:rPr>
          <w:rFonts w:cs="Times New Roman"/>
          <w:szCs w:val="24"/>
        </w:rPr>
        <w:t>,</w:t>
      </w:r>
      <w:r w:rsidRPr="0065508A">
        <w:rPr>
          <w:rFonts w:cs="Times New Roman"/>
          <w:szCs w:val="24"/>
        </w:rPr>
        <w:t xml:space="preserve"> noraidot apsūdzētā aizstāves V. </w:t>
      </w:r>
      <w:proofErr w:type="spellStart"/>
      <w:r w:rsidRPr="0065508A">
        <w:rPr>
          <w:rFonts w:cs="Times New Roman"/>
          <w:szCs w:val="24"/>
        </w:rPr>
        <w:t>Mihaiļenko</w:t>
      </w:r>
      <w:proofErr w:type="spellEnd"/>
      <w:r w:rsidRPr="0065508A">
        <w:rPr>
          <w:rFonts w:cs="Times New Roman"/>
          <w:szCs w:val="24"/>
        </w:rPr>
        <w:t xml:space="preserve"> pieteikto lūgumu uzaicināt un nopratināt liecinieku </w:t>
      </w:r>
      <w:r w:rsidR="00CC2D1B">
        <w:rPr>
          <w:rFonts w:cs="Times New Roman"/>
          <w:szCs w:val="24"/>
        </w:rPr>
        <w:t>[pers. </w:t>
      </w:r>
      <w:r w:rsidR="00CC2D1B">
        <w:t>I]</w:t>
      </w:r>
      <w:r w:rsidRPr="0065508A">
        <w:rPr>
          <w:rFonts w:cs="Times New Roman"/>
          <w:szCs w:val="24"/>
        </w:rPr>
        <w:t xml:space="preserve">, apsūdzētajam </w:t>
      </w:r>
      <w:r w:rsidR="00725E5F" w:rsidRPr="0065508A">
        <w:rPr>
          <w:rFonts w:cs="Times New Roman"/>
          <w:szCs w:val="24"/>
        </w:rPr>
        <w:t xml:space="preserve">liegusi </w:t>
      </w:r>
      <w:r w:rsidRPr="0065508A">
        <w:rPr>
          <w:rFonts w:cs="Times New Roman"/>
          <w:szCs w:val="24"/>
        </w:rPr>
        <w:t>iespēj</w:t>
      </w:r>
      <w:r w:rsidR="00725E5F" w:rsidRPr="0065508A">
        <w:rPr>
          <w:rFonts w:cs="Times New Roman"/>
          <w:szCs w:val="24"/>
        </w:rPr>
        <w:t>u</w:t>
      </w:r>
      <w:r w:rsidRPr="0065508A">
        <w:rPr>
          <w:rFonts w:cs="Times New Roman"/>
          <w:szCs w:val="24"/>
        </w:rPr>
        <w:t xml:space="preserve"> iegūt pierādījumus par cietušās </w:t>
      </w:r>
      <w:r w:rsidR="00CC2D1B">
        <w:rPr>
          <w:rFonts w:cs="Times New Roman"/>
          <w:szCs w:val="24"/>
        </w:rPr>
        <w:t>[pers. </w:t>
      </w:r>
      <w:r w:rsidR="00CC2D1B">
        <w:t>H]</w:t>
      </w:r>
      <w:r w:rsidRPr="0065508A">
        <w:rPr>
          <w:rFonts w:cs="Times New Roman"/>
          <w:szCs w:val="24"/>
        </w:rPr>
        <w:t xml:space="preserve"> nogādāšanu uz tikšanos pie tēva, kā arī </w:t>
      </w:r>
      <w:r w:rsidR="00512C65" w:rsidRPr="0065508A">
        <w:rPr>
          <w:rFonts w:cs="Times New Roman"/>
          <w:szCs w:val="24"/>
        </w:rPr>
        <w:t xml:space="preserve">nokļūšanu </w:t>
      </w:r>
      <w:r w:rsidRPr="0065508A">
        <w:rPr>
          <w:rFonts w:cs="Times New Roman"/>
          <w:szCs w:val="24"/>
        </w:rPr>
        <w:t>atpakaļ pie mātes. Vienlaikus nolēmumā tiesa nav pamatojusi, kāpēc</w:t>
      </w:r>
      <w:r w:rsidR="00725E5F" w:rsidRPr="0065508A">
        <w:rPr>
          <w:rFonts w:cs="Times New Roman"/>
          <w:szCs w:val="24"/>
        </w:rPr>
        <w:t>,</w:t>
      </w:r>
      <w:r w:rsidRPr="0065508A">
        <w:rPr>
          <w:rFonts w:cs="Times New Roman"/>
          <w:szCs w:val="24"/>
        </w:rPr>
        <w:t xml:space="preserve"> salīdzinot ar apsūdzētā </w:t>
      </w:r>
      <w:r w:rsidR="00CC2D1B">
        <w:rPr>
          <w:rFonts w:cs="Times New Roman"/>
          <w:szCs w:val="24"/>
        </w:rPr>
        <w:t>[pers. A]</w:t>
      </w:r>
      <w:r w:rsidRPr="0065508A">
        <w:rPr>
          <w:rFonts w:cs="Times New Roman"/>
          <w:szCs w:val="24"/>
        </w:rPr>
        <w:t xml:space="preserve"> liecībām</w:t>
      </w:r>
      <w:r w:rsidR="00725E5F" w:rsidRPr="0065508A">
        <w:rPr>
          <w:rFonts w:cs="Times New Roman"/>
          <w:szCs w:val="24"/>
        </w:rPr>
        <w:t>,</w:t>
      </w:r>
      <w:r w:rsidRPr="0065508A">
        <w:rPr>
          <w:rFonts w:cs="Times New Roman"/>
          <w:szCs w:val="24"/>
        </w:rPr>
        <w:t xml:space="preserve"> tā augstāku ticamības pakāpi piešķīrusi cietušās pārstāves </w:t>
      </w:r>
      <w:r w:rsidR="00CC2D1B">
        <w:rPr>
          <w:rFonts w:cs="Times New Roman"/>
          <w:szCs w:val="24"/>
        </w:rPr>
        <w:t>[pers. </w:t>
      </w:r>
      <w:r w:rsidR="00CC2D1B">
        <w:t>J]</w:t>
      </w:r>
      <w:r w:rsidRPr="0065508A">
        <w:rPr>
          <w:rFonts w:cs="Times New Roman"/>
          <w:szCs w:val="24"/>
        </w:rPr>
        <w:t xml:space="preserve"> liecībām šajā daļā.</w:t>
      </w:r>
    </w:p>
    <w:p w14:paraId="77C3C1EC" w14:textId="6BFD1306" w:rsidR="009C3A04" w:rsidRPr="0065508A" w:rsidRDefault="00D062D5" w:rsidP="00F5769E">
      <w:pPr>
        <w:spacing w:after="0" w:line="276" w:lineRule="auto"/>
        <w:ind w:firstLine="709"/>
        <w:jc w:val="both"/>
        <w:rPr>
          <w:rFonts w:cs="Times New Roman"/>
          <w:szCs w:val="24"/>
        </w:rPr>
      </w:pPr>
      <w:r w:rsidRPr="0065508A">
        <w:rPr>
          <w:rFonts w:cs="Times New Roman"/>
          <w:szCs w:val="24"/>
        </w:rPr>
        <w:t>[6.</w:t>
      </w:r>
      <w:r w:rsidR="00387B7F" w:rsidRPr="0065508A">
        <w:rPr>
          <w:rFonts w:cs="Times New Roman"/>
          <w:szCs w:val="24"/>
        </w:rPr>
        <w:t>7</w:t>
      </w:r>
      <w:r w:rsidRPr="0065508A">
        <w:rPr>
          <w:rFonts w:cs="Times New Roman"/>
          <w:szCs w:val="24"/>
        </w:rPr>
        <w:t>] Senāts atzīst, ka apelācijas instances tiesas pieļaut</w:t>
      </w:r>
      <w:r w:rsidR="006556C7" w:rsidRPr="0065508A">
        <w:rPr>
          <w:rFonts w:cs="Times New Roman"/>
          <w:szCs w:val="24"/>
        </w:rPr>
        <w:t>ie</w:t>
      </w:r>
      <w:r w:rsidRPr="0065508A">
        <w:rPr>
          <w:rFonts w:cs="Times New Roman"/>
          <w:szCs w:val="24"/>
        </w:rPr>
        <w:t xml:space="preserve"> pārkāpum</w:t>
      </w:r>
      <w:r w:rsidR="006556C7" w:rsidRPr="0065508A">
        <w:rPr>
          <w:rFonts w:cs="Times New Roman"/>
          <w:szCs w:val="24"/>
        </w:rPr>
        <w:t>i, iztiesājot lietu,</w:t>
      </w:r>
      <w:r w:rsidRPr="0065508A">
        <w:rPr>
          <w:rFonts w:cs="Times New Roman"/>
          <w:szCs w:val="24"/>
        </w:rPr>
        <w:t xml:space="preserve"> </w:t>
      </w:r>
      <w:r w:rsidR="006556C7" w:rsidRPr="0065508A">
        <w:rPr>
          <w:rFonts w:cs="Times New Roman"/>
          <w:szCs w:val="24"/>
        </w:rPr>
        <w:t xml:space="preserve">ir atzīstami par būtiskiem pārkāpumiem šā likuma </w:t>
      </w:r>
      <w:proofErr w:type="gramStart"/>
      <w:r w:rsidR="006556C7" w:rsidRPr="0065508A">
        <w:rPr>
          <w:rFonts w:cs="Times New Roman"/>
          <w:szCs w:val="24"/>
        </w:rPr>
        <w:t>575.panta</w:t>
      </w:r>
      <w:proofErr w:type="gramEnd"/>
      <w:r w:rsidR="006556C7" w:rsidRPr="0065508A">
        <w:rPr>
          <w:rFonts w:cs="Times New Roman"/>
          <w:szCs w:val="24"/>
        </w:rPr>
        <w:t xml:space="preserve"> trešās daļas izpratnē, kas novedis pie Kriminālprocesa likuma 511.panta otrās daļas un 512.panta pirmās daļas prasībām neatbilstoša nolēmuma pieņemšanas</w:t>
      </w:r>
      <w:r w:rsidRPr="0065508A">
        <w:rPr>
          <w:rFonts w:cs="Times New Roman"/>
          <w:szCs w:val="24"/>
        </w:rPr>
        <w:t>.</w:t>
      </w:r>
    </w:p>
    <w:p w14:paraId="23CD7EDB" w14:textId="739E987E" w:rsidR="007B6828" w:rsidRPr="0065508A" w:rsidRDefault="007B6828" w:rsidP="00F5769E">
      <w:pPr>
        <w:autoSpaceDE w:val="0"/>
        <w:autoSpaceDN w:val="0"/>
        <w:adjustRightInd w:val="0"/>
        <w:spacing w:after="0" w:line="276" w:lineRule="auto"/>
        <w:ind w:firstLine="720"/>
        <w:jc w:val="both"/>
        <w:rPr>
          <w:rFonts w:cs="Times New Roman"/>
          <w:szCs w:val="24"/>
        </w:rPr>
      </w:pPr>
      <w:r w:rsidRPr="0065508A">
        <w:rPr>
          <w:rFonts w:cs="Times New Roman"/>
          <w:szCs w:val="24"/>
        </w:rPr>
        <w:t xml:space="preserve">[6.8] Vienlaikus Senātam nav pamata apšaubīt apelācijas instances tiesas atzinuma pamatotību par apsūdzētajam </w:t>
      </w:r>
      <w:r w:rsidR="00CC2D1B">
        <w:rPr>
          <w:rFonts w:cs="Times New Roman"/>
          <w:szCs w:val="24"/>
        </w:rPr>
        <w:t>[pers. </w:t>
      </w:r>
      <w:r w:rsidR="00CC2D1B">
        <w:t>A]</w:t>
      </w:r>
      <w:r w:rsidRPr="0065508A">
        <w:rPr>
          <w:rFonts w:cs="Times New Roman"/>
          <w:szCs w:val="24"/>
        </w:rPr>
        <w:t xml:space="preserve"> celtās apsūdzības atbilstību Kriminālprocesa likuma </w:t>
      </w:r>
      <w:proofErr w:type="gramStart"/>
      <w:r w:rsidRPr="0065508A">
        <w:rPr>
          <w:rFonts w:cs="Times New Roman"/>
          <w:szCs w:val="24"/>
        </w:rPr>
        <w:t>405.pantā</w:t>
      </w:r>
      <w:proofErr w:type="gramEnd"/>
      <w:r w:rsidRPr="0065508A">
        <w:rPr>
          <w:rFonts w:cs="Times New Roman"/>
          <w:szCs w:val="24"/>
        </w:rPr>
        <w:t xml:space="preserve"> noteiktajām prasībām. Senāts atzīst, ka </w:t>
      </w:r>
      <w:r w:rsidR="00CC2D1B">
        <w:rPr>
          <w:rFonts w:cs="Times New Roman"/>
          <w:szCs w:val="24"/>
        </w:rPr>
        <w:t>[pers. A]</w:t>
      </w:r>
      <w:r w:rsidRPr="0065508A">
        <w:rPr>
          <w:rFonts w:cs="Times New Roman"/>
          <w:szCs w:val="24"/>
        </w:rPr>
        <w:t xml:space="preserve"> celtā apsūdzība izpilda tās norobežojošo un informatīvo funkciju (</w:t>
      </w:r>
      <w:r w:rsidRPr="0065508A">
        <w:rPr>
          <w:rFonts w:cs="Times New Roman"/>
          <w:i/>
          <w:iCs/>
          <w:szCs w:val="24"/>
        </w:rPr>
        <w:t xml:space="preserve">Augstākās tiesas </w:t>
      </w:r>
      <w:proofErr w:type="gramStart"/>
      <w:r w:rsidRPr="0065508A">
        <w:rPr>
          <w:rFonts w:cs="Times New Roman"/>
          <w:i/>
          <w:iCs/>
          <w:szCs w:val="24"/>
        </w:rPr>
        <w:t>2022.gada</w:t>
      </w:r>
      <w:proofErr w:type="gramEnd"/>
      <w:r w:rsidRPr="0065508A">
        <w:rPr>
          <w:rFonts w:cs="Times New Roman"/>
          <w:i/>
          <w:iCs/>
          <w:szCs w:val="24"/>
        </w:rPr>
        <w:t xml:space="preserve"> 5.jūlija lēmums lietā </w:t>
      </w:r>
      <w:r w:rsidR="002B572A" w:rsidRPr="0065508A">
        <w:rPr>
          <w:rFonts w:cs="Times New Roman"/>
          <w:i/>
          <w:iCs/>
          <w:szCs w:val="24"/>
        </w:rPr>
        <w:t>Nr. SKK</w:t>
      </w:r>
      <w:r w:rsidR="00BA3652" w:rsidRPr="0065508A">
        <w:rPr>
          <w:rFonts w:cs="Times New Roman"/>
          <w:i/>
          <w:iCs/>
          <w:szCs w:val="24"/>
        </w:rPr>
        <w:noBreakHyphen/>
      </w:r>
      <w:r w:rsidRPr="0065508A">
        <w:rPr>
          <w:rFonts w:cs="Times New Roman"/>
          <w:i/>
          <w:iCs/>
          <w:szCs w:val="24"/>
        </w:rPr>
        <w:t>1/2022 (ECLI:LV:AT:2022:0705.11816006914.4.L)</w:t>
      </w:r>
      <w:r w:rsidRPr="0065508A">
        <w:rPr>
          <w:rFonts w:cs="Times New Roman"/>
          <w:szCs w:val="24"/>
        </w:rPr>
        <w:t>). Turklāt no lietas materiāliem konstatējams, ka apsūdzēt</w:t>
      </w:r>
      <w:r w:rsidR="00056152" w:rsidRPr="0065508A">
        <w:rPr>
          <w:rFonts w:cs="Times New Roman"/>
          <w:szCs w:val="24"/>
        </w:rPr>
        <w:t>ajam</w:t>
      </w:r>
      <w:r w:rsidRPr="0065508A">
        <w:rPr>
          <w:rFonts w:cs="Times New Roman"/>
          <w:szCs w:val="24"/>
        </w:rPr>
        <w:t xml:space="preserve"> </w:t>
      </w:r>
      <w:r w:rsidR="00CC2D1B">
        <w:rPr>
          <w:rFonts w:cs="Times New Roman"/>
          <w:szCs w:val="24"/>
        </w:rPr>
        <w:t>[pers. A]</w:t>
      </w:r>
      <w:r w:rsidR="00056152" w:rsidRPr="0065508A">
        <w:rPr>
          <w:rFonts w:cs="Times New Roman"/>
          <w:szCs w:val="24"/>
        </w:rPr>
        <w:t xml:space="preserve"> ir saprotama</w:t>
      </w:r>
      <w:r w:rsidRPr="0065508A">
        <w:rPr>
          <w:rFonts w:cs="Times New Roman"/>
          <w:szCs w:val="24"/>
        </w:rPr>
        <w:t xml:space="preserve"> celtā apsūdzība, </w:t>
      </w:r>
      <w:r w:rsidR="00056152" w:rsidRPr="0065508A">
        <w:rPr>
          <w:rFonts w:cs="Times New Roman"/>
          <w:szCs w:val="24"/>
        </w:rPr>
        <w:t>taču</w:t>
      </w:r>
      <w:r w:rsidRPr="0065508A">
        <w:rPr>
          <w:rFonts w:cs="Times New Roman"/>
          <w:szCs w:val="24"/>
        </w:rPr>
        <w:t xml:space="preserve"> sevi par vainīgu neatzīst. Aizstāvoties pret viņam celto apsūdzību, apsūdzētais gan pats, gan ar aizstāvju palīdzību apstrīdējis lietā iegūto pierādījumu ticamību un pieļaujamību, pieteicis lūgumus</w:t>
      </w:r>
      <w:r w:rsidR="00056152" w:rsidRPr="0065508A">
        <w:rPr>
          <w:rFonts w:cs="Times New Roman"/>
          <w:szCs w:val="24"/>
        </w:rPr>
        <w:t xml:space="preserve"> un</w:t>
      </w:r>
      <w:r w:rsidRPr="0065508A">
        <w:rPr>
          <w:rFonts w:cs="Times New Roman"/>
          <w:szCs w:val="24"/>
        </w:rPr>
        <w:t xml:space="preserve"> pārsūdzējis abu instanču tiesu nolēmumus.</w:t>
      </w:r>
    </w:p>
    <w:p w14:paraId="799A9461" w14:textId="07B2C0D7" w:rsidR="00D062D5" w:rsidRPr="0065508A" w:rsidRDefault="00AE3F04" w:rsidP="00F5769E">
      <w:pPr>
        <w:autoSpaceDE w:val="0"/>
        <w:autoSpaceDN w:val="0"/>
        <w:adjustRightInd w:val="0"/>
        <w:spacing w:after="0" w:line="276" w:lineRule="auto"/>
        <w:ind w:firstLine="720"/>
        <w:jc w:val="both"/>
        <w:rPr>
          <w:rFonts w:cs="Times New Roman"/>
          <w:szCs w:val="24"/>
        </w:rPr>
      </w:pPr>
      <w:r w:rsidRPr="0065508A">
        <w:rPr>
          <w:rFonts w:cs="Times New Roman"/>
          <w:szCs w:val="24"/>
        </w:rPr>
        <w:t>[6.</w:t>
      </w:r>
      <w:r w:rsidR="007B6828" w:rsidRPr="0065508A">
        <w:rPr>
          <w:rFonts w:cs="Times New Roman"/>
          <w:szCs w:val="24"/>
        </w:rPr>
        <w:t>9</w:t>
      </w:r>
      <w:r w:rsidRPr="0065508A">
        <w:rPr>
          <w:rFonts w:cs="Times New Roman"/>
          <w:szCs w:val="24"/>
        </w:rPr>
        <w:t>] </w:t>
      </w:r>
      <w:r w:rsidR="007B6828" w:rsidRPr="0065508A">
        <w:rPr>
          <w:rFonts w:cs="Times New Roman"/>
          <w:szCs w:val="24"/>
        </w:rPr>
        <w:t xml:space="preserve">Senāts atzīst par pamatotiem apelācijas instances tiesas secinājumus, </w:t>
      </w:r>
      <w:r w:rsidRPr="0065508A">
        <w:rPr>
          <w:rFonts w:cs="Times New Roman"/>
          <w:szCs w:val="24"/>
        </w:rPr>
        <w:t>izvērtējot aizstāv</w:t>
      </w:r>
      <w:r w:rsidR="007B6828" w:rsidRPr="0065508A">
        <w:rPr>
          <w:rFonts w:cs="Times New Roman"/>
          <w:szCs w:val="24"/>
        </w:rPr>
        <w:t>es K. </w:t>
      </w:r>
      <w:proofErr w:type="spellStart"/>
      <w:r w:rsidR="007B6828" w:rsidRPr="0065508A">
        <w:rPr>
          <w:rFonts w:cs="Times New Roman"/>
          <w:szCs w:val="24"/>
        </w:rPr>
        <w:t>Groznes-Kļusovas</w:t>
      </w:r>
      <w:proofErr w:type="spellEnd"/>
      <w:r w:rsidR="007B6828" w:rsidRPr="0065508A">
        <w:rPr>
          <w:rFonts w:cs="Times New Roman"/>
          <w:szCs w:val="24"/>
        </w:rPr>
        <w:t xml:space="preserve"> apelācijas sūdzībā</w:t>
      </w:r>
      <w:r w:rsidRPr="0065508A">
        <w:rPr>
          <w:rFonts w:cs="Times New Roman"/>
          <w:szCs w:val="24"/>
        </w:rPr>
        <w:t xml:space="preserve"> minētos argumentus par</w:t>
      </w:r>
      <w:r w:rsidR="00CC37C9" w:rsidRPr="0065508A">
        <w:rPr>
          <w:rFonts w:cs="Times New Roman"/>
          <w:szCs w:val="24"/>
        </w:rPr>
        <w:t xml:space="preserve"> to, ka</w:t>
      </w:r>
      <w:r w:rsidRPr="0065508A">
        <w:rPr>
          <w:rFonts w:cs="Times New Roman"/>
          <w:szCs w:val="24"/>
        </w:rPr>
        <w:t xml:space="preserve"> cietušās </w:t>
      </w:r>
      <w:r w:rsidR="00CC2D1B">
        <w:rPr>
          <w:rFonts w:cs="Times New Roman"/>
          <w:szCs w:val="24"/>
        </w:rPr>
        <w:t>[pers. </w:t>
      </w:r>
      <w:r w:rsidR="00CC2D1B">
        <w:t>H]</w:t>
      </w:r>
      <w:r w:rsidRPr="0065508A">
        <w:rPr>
          <w:rFonts w:cs="Times New Roman"/>
          <w:szCs w:val="24"/>
        </w:rPr>
        <w:t xml:space="preserve"> nopratināšan</w:t>
      </w:r>
      <w:r w:rsidR="00CC37C9" w:rsidRPr="0065508A">
        <w:rPr>
          <w:rFonts w:cs="Times New Roman"/>
          <w:szCs w:val="24"/>
        </w:rPr>
        <w:t>a notikusi saskaņā ar</w:t>
      </w:r>
      <w:r w:rsidRPr="0065508A">
        <w:rPr>
          <w:rFonts w:cs="Times New Roman"/>
          <w:szCs w:val="24"/>
        </w:rPr>
        <w:t xml:space="preserve"> Kriminālprocesa likuma </w:t>
      </w:r>
      <w:proofErr w:type="gramStart"/>
      <w:r w:rsidR="00CC37C9" w:rsidRPr="0065508A">
        <w:rPr>
          <w:rFonts w:cs="Times New Roman"/>
          <w:szCs w:val="24"/>
        </w:rPr>
        <w:t>153.pantu</w:t>
      </w:r>
      <w:proofErr w:type="gramEnd"/>
      <w:r w:rsidR="00CC37C9" w:rsidRPr="0065508A">
        <w:rPr>
          <w:rFonts w:cs="Times New Roman"/>
          <w:szCs w:val="24"/>
        </w:rPr>
        <w:t xml:space="preserve">, nevis saskaņā ar </w:t>
      </w:r>
      <w:r w:rsidR="001D376D" w:rsidRPr="0065508A">
        <w:rPr>
          <w:rFonts w:cs="Times New Roman"/>
          <w:szCs w:val="24"/>
        </w:rPr>
        <w:t>šā</w:t>
      </w:r>
      <w:r w:rsidR="00CC37C9" w:rsidRPr="0065508A">
        <w:rPr>
          <w:rFonts w:cs="Times New Roman"/>
          <w:szCs w:val="24"/>
        </w:rPr>
        <w:t xml:space="preserve"> likuma 152.pantu, kā tas norādīts</w:t>
      </w:r>
      <w:r w:rsidR="001D376D" w:rsidRPr="0065508A">
        <w:rPr>
          <w:rFonts w:cs="Times New Roman"/>
          <w:szCs w:val="24"/>
        </w:rPr>
        <w:t xml:space="preserve"> </w:t>
      </w:r>
      <w:r w:rsidR="00CC37C9" w:rsidRPr="0065508A">
        <w:rPr>
          <w:rFonts w:cs="Times New Roman"/>
          <w:szCs w:val="24"/>
        </w:rPr>
        <w:t>minētajā dokumentā. Vienlaikus Senāts atzīst par pamatotu apelāc</w:t>
      </w:r>
      <w:r w:rsidR="00A0745F" w:rsidRPr="0065508A">
        <w:rPr>
          <w:rFonts w:cs="Times New Roman"/>
          <w:szCs w:val="24"/>
        </w:rPr>
        <w:t>ijas instances tiesas secināto, ka</w:t>
      </w:r>
      <w:r w:rsidR="007B6828" w:rsidRPr="0065508A">
        <w:rPr>
          <w:rFonts w:cs="Times New Roman"/>
          <w:szCs w:val="24"/>
        </w:rPr>
        <w:t xml:space="preserve"> minēt</w:t>
      </w:r>
      <w:r w:rsidR="00CC37C9" w:rsidRPr="0065508A">
        <w:rPr>
          <w:rFonts w:cs="Times New Roman"/>
          <w:szCs w:val="24"/>
        </w:rPr>
        <w:t>ais</w:t>
      </w:r>
      <w:r w:rsidRPr="0065508A">
        <w:rPr>
          <w:rFonts w:cs="Times New Roman"/>
          <w:szCs w:val="24"/>
        </w:rPr>
        <w:t xml:space="preserve"> pārkāpum</w:t>
      </w:r>
      <w:r w:rsidR="00CC37C9" w:rsidRPr="0065508A">
        <w:rPr>
          <w:rFonts w:cs="Times New Roman"/>
          <w:szCs w:val="24"/>
        </w:rPr>
        <w:t>s</w:t>
      </w:r>
      <w:r w:rsidRPr="0065508A">
        <w:rPr>
          <w:rFonts w:cs="Times New Roman"/>
          <w:szCs w:val="24"/>
        </w:rPr>
        <w:t xml:space="preserve"> nav atzīstam</w:t>
      </w:r>
      <w:r w:rsidR="00CC37C9" w:rsidRPr="0065508A">
        <w:rPr>
          <w:rFonts w:cs="Times New Roman"/>
          <w:szCs w:val="24"/>
        </w:rPr>
        <w:t>s</w:t>
      </w:r>
      <w:r w:rsidRPr="0065508A">
        <w:rPr>
          <w:rFonts w:cs="Times New Roman"/>
          <w:szCs w:val="24"/>
        </w:rPr>
        <w:t xml:space="preserve"> par </w:t>
      </w:r>
      <w:r w:rsidR="007B6828" w:rsidRPr="0065508A">
        <w:rPr>
          <w:rFonts w:cs="Times New Roman"/>
          <w:szCs w:val="24"/>
        </w:rPr>
        <w:t>tād</w:t>
      </w:r>
      <w:r w:rsidR="00CC37C9" w:rsidRPr="0065508A">
        <w:rPr>
          <w:rFonts w:cs="Times New Roman"/>
          <w:szCs w:val="24"/>
        </w:rPr>
        <w:t>u</w:t>
      </w:r>
      <w:r w:rsidRPr="0065508A">
        <w:rPr>
          <w:rFonts w:cs="Times New Roman"/>
          <w:szCs w:val="24"/>
        </w:rPr>
        <w:t xml:space="preserve">, lai </w:t>
      </w:r>
      <w:r w:rsidR="003B025F" w:rsidRPr="0065508A">
        <w:rPr>
          <w:rFonts w:cs="Times New Roman"/>
          <w:szCs w:val="24"/>
        </w:rPr>
        <w:t>šī iemesla dēļ cietušās liecības atzītu par nepieļaujamu pierādījumu.</w:t>
      </w:r>
    </w:p>
    <w:p w14:paraId="149D9A06" w14:textId="77777777" w:rsidR="005019BB" w:rsidRPr="0065508A" w:rsidRDefault="005019BB" w:rsidP="00F5769E">
      <w:pPr>
        <w:autoSpaceDE w:val="0"/>
        <w:autoSpaceDN w:val="0"/>
        <w:adjustRightInd w:val="0"/>
        <w:spacing w:after="0" w:line="276" w:lineRule="auto"/>
        <w:ind w:firstLine="720"/>
        <w:jc w:val="both"/>
        <w:rPr>
          <w:rFonts w:cs="Times New Roman"/>
          <w:szCs w:val="24"/>
        </w:rPr>
      </w:pPr>
    </w:p>
    <w:p w14:paraId="68D5862F" w14:textId="38237130" w:rsidR="004E3AC6" w:rsidRPr="0065508A" w:rsidRDefault="005C6521" w:rsidP="00F5769E">
      <w:pPr>
        <w:spacing w:after="0" w:line="276" w:lineRule="auto"/>
        <w:ind w:firstLine="720"/>
        <w:contextualSpacing/>
        <w:jc w:val="both"/>
        <w:rPr>
          <w:rFonts w:cs="Times New Roman"/>
          <w:szCs w:val="24"/>
        </w:rPr>
      </w:pPr>
      <w:r w:rsidRPr="0065508A">
        <w:rPr>
          <w:rFonts w:cs="Times New Roman"/>
          <w:szCs w:val="24"/>
        </w:rPr>
        <w:t>[</w:t>
      </w:r>
      <w:r w:rsidR="004E3AC6" w:rsidRPr="0065508A">
        <w:rPr>
          <w:rFonts w:cs="Times New Roman"/>
          <w:szCs w:val="24"/>
        </w:rPr>
        <w:t>7</w:t>
      </w:r>
      <w:r w:rsidR="002E1894" w:rsidRPr="0065508A">
        <w:rPr>
          <w:rFonts w:cs="Times New Roman"/>
          <w:szCs w:val="24"/>
        </w:rPr>
        <w:t>] </w:t>
      </w:r>
      <w:r w:rsidRPr="0065508A">
        <w:rPr>
          <w:rFonts w:cs="Times New Roman"/>
          <w:szCs w:val="24"/>
        </w:rPr>
        <w:t xml:space="preserve">Kriminālprocesa likuma </w:t>
      </w:r>
      <w:proofErr w:type="gramStart"/>
      <w:r w:rsidRPr="0065508A">
        <w:rPr>
          <w:rFonts w:cs="Times New Roman"/>
          <w:szCs w:val="24"/>
        </w:rPr>
        <w:t>588.panta</w:t>
      </w:r>
      <w:proofErr w:type="gramEnd"/>
      <w:r w:rsidRPr="0065508A">
        <w:rPr>
          <w:rFonts w:cs="Times New Roman"/>
          <w:szCs w:val="24"/>
        </w:rPr>
        <w:t xml:space="preserve"> </w:t>
      </w:r>
      <w:r w:rsidR="00056152" w:rsidRPr="0065508A">
        <w:rPr>
          <w:rFonts w:cs="Times New Roman"/>
          <w:szCs w:val="24"/>
        </w:rPr>
        <w:t>3.</w:t>
      </w:r>
      <w:r w:rsidR="00056152" w:rsidRPr="0065508A">
        <w:rPr>
          <w:rFonts w:cs="Times New Roman"/>
          <w:szCs w:val="24"/>
          <w:vertAlign w:val="superscript"/>
        </w:rPr>
        <w:t>1</w:t>
      </w:r>
      <w:r w:rsidR="00A0745F" w:rsidRPr="0065508A">
        <w:rPr>
          <w:rFonts w:cs="Times New Roman"/>
          <w:szCs w:val="24"/>
        </w:rPr>
        <w:t xml:space="preserve">daļa </w:t>
      </w:r>
      <w:r w:rsidR="004E3AC6" w:rsidRPr="0065508A">
        <w:rPr>
          <w:rFonts w:cs="Times New Roman"/>
          <w:szCs w:val="24"/>
        </w:rPr>
        <w:t>noteic</w:t>
      </w:r>
      <w:r w:rsidRPr="0065508A">
        <w:rPr>
          <w:rFonts w:cs="Times New Roman"/>
          <w:szCs w:val="24"/>
        </w:rPr>
        <w:t>, ka gadījumā, ja kasācijas instances tiesa pieņem šā likuma 587.panta pirmās daļas 2.punktā paredzēto lēmumu, tas ir, atceļ nolēmumu pilnībā, tā izlemj jautājumu arī par drošības līdzekli.</w:t>
      </w:r>
    </w:p>
    <w:p w14:paraId="2D10FE8B" w14:textId="51F3A770" w:rsidR="004E3AC6" w:rsidRPr="0065508A" w:rsidRDefault="004E3AC6" w:rsidP="00F5769E">
      <w:pPr>
        <w:spacing w:after="0" w:line="276" w:lineRule="auto"/>
        <w:ind w:firstLine="720"/>
        <w:contextualSpacing/>
        <w:jc w:val="both"/>
        <w:rPr>
          <w:rFonts w:cs="Times New Roman"/>
          <w:szCs w:val="24"/>
        </w:rPr>
      </w:pPr>
      <w:r w:rsidRPr="0065508A">
        <w:rPr>
          <w:rFonts w:cs="Times New Roman"/>
          <w:szCs w:val="24"/>
        </w:rPr>
        <w:t xml:space="preserve">Ar pirmās instances tiesas spriedumu apsūdzētajam </w:t>
      </w:r>
      <w:r w:rsidR="00CC2D1B">
        <w:rPr>
          <w:rFonts w:cs="Times New Roman"/>
          <w:szCs w:val="24"/>
        </w:rPr>
        <w:t>[pers. A]</w:t>
      </w:r>
      <w:r w:rsidR="008A4C95" w:rsidRPr="0065508A">
        <w:rPr>
          <w:rFonts w:cs="Times New Roman"/>
          <w:szCs w:val="24"/>
        </w:rPr>
        <w:t xml:space="preserve"> </w:t>
      </w:r>
      <w:r w:rsidRPr="0065508A">
        <w:rPr>
          <w:rFonts w:cs="Times New Roman"/>
          <w:szCs w:val="24"/>
        </w:rPr>
        <w:t>piemērots drošības līdzeklis – apcietinājums –, ievērojot to, ka viņš atzīts par vainīgu sevišķi smaga nozieguma izdarīšanā un notiesāts ar reālu brīvības atņemšanas sodu.</w:t>
      </w:r>
    </w:p>
    <w:p w14:paraId="3515FBB9" w14:textId="5D21691A" w:rsidR="004E3AC6" w:rsidRPr="0065508A" w:rsidRDefault="004E3AC6" w:rsidP="00F5769E">
      <w:pPr>
        <w:spacing w:after="0" w:line="276" w:lineRule="auto"/>
        <w:ind w:firstLine="720"/>
        <w:contextualSpacing/>
        <w:jc w:val="both"/>
        <w:rPr>
          <w:rFonts w:cs="Times New Roman"/>
          <w:szCs w:val="24"/>
        </w:rPr>
      </w:pPr>
      <w:r w:rsidRPr="0065508A">
        <w:rPr>
          <w:rFonts w:cs="Times New Roman"/>
          <w:szCs w:val="24"/>
        </w:rPr>
        <w:t xml:space="preserve">Saskaņā ar </w:t>
      </w:r>
      <w:r w:rsidR="00C77774" w:rsidRPr="0065508A">
        <w:rPr>
          <w:rFonts w:cs="Times New Roman"/>
          <w:szCs w:val="24"/>
        </w:rPr>
        <w:t>K</w:t>
      </w:r>
      <w:r w:rsidRPr="0065508A">
        <w:rPr>
          <w:rFonts w:cs="Times New Roman"/>
          <w:szCs w:val="24"/>
        </w:rPr>
        <w:t xml:space="preserve">riminālprocesa likuma </w:t>
      </w:r>
      <w:proofErr w:type="gramStart"/>
      <w:r w:rsidRPr="0065508A">
        <w:rPr>
          <w:rFonts w:cs="Times New Roman"/>
          <w:szCs w:val="24"/>
        </w:rPr>
        <w:t>272.panta</w:t>
      </w:r>
      <w:proofErr w:type="gramEnd"/>
      <w:r w:rsidRPr="0065508A">
        <w:rPr>
          <w:rFonts w:cs="Times New Roman"/>
          <w:szCs w:val="24"/>
        </w:rPr>
        <w:t xml:space="preserve"> pirmo daļu apcietinājumu var piemērot tikai tad, ja kriminālprocesā iegūtās </w:t>
      </w:r>
      <w:r w:rsidR="00C77774" w:rsidRPr="0065508A">
        <w:rPr>
          <w:rFonts w:cs="Times New Roman"/>
          <w:szCs w:val="24"/>
        </w:rPr>
        <w:t xml:space="preserve">konkrētās </w:t>
      </w:r>
      <w:r w:rsidRPr="0065508A">
        <w:rPr>
          <w:rFonts w:cs="Times New Roman"/>
          <w:szCs w:val="24"/>
        </w:rPr>
        <w:t>ziņas</w:t>
      </w:r>
      <w:r w:rsidR="00C77774" w:rsidRPr="0065508A">
        <w:rPr>
          <w:rFonts w:cs="Times New Roman"/>
          <w:szCs w:val="24"/>
        </w:rPr>
        <w:t xml:space="preserve"> par faktiem rada pamatotas aizdomas, ka persona ir izdarījusi noziedzīgu nodarījumu, par kuru likums paredz brīvības atņemšanas sodu, un cita drošības līdzekļa piemērošana nevar nodrošināt, ka persona </w:t>
      </w:r>
      <w:r w:rsidR="002E1894" w:rsidRPr="0065508A">
        <w:rPr>
          <w:rFonts w:cs="Times New Roman"/>
          <w:szCs w:val="24"/>
        </w:rPr>
        <w:t>ne</w:t>
      </w:r>
      <w:r w:rsidR="00C77774" w:rsidRPr="0065508A">
        <w:rPr>
          <w:rFonts w:cs="Times New Roman"/>
          <w:szCs w:val="24"/>
        </w:rPr>
        <w:t>izdarīs jaunu noziedzīgu nodarījumu, netraucēs vai neizvairīsies no pirmstiesas kriminālprocesa, tiesas vai sprieduma izpildīšanas. Šā panta ceturtā daļa noteic, ka pamats apcietinājumam var būt tiesas spriedums par smaga vai sevišķi smaga nozieguma izdarīšanu, par kuru piespriests brīvības atņemšanas sods. Līdzīgs regulējums ietverts Kriminālprocesa likuma 241.panta treš</w:t>
      </w:r>
      <w:r w:rsidR="002E1894" w:rsidRPr="0065508A">
        <w:rPr>
          <w:rFonts w:cs="Times New Roman"/>
          <w:szCs w:val="24"/>
        </w:rPr>
        <w:t>ajā daļā.</w:t>
      </w:r>
    </w:p>
    <w:p w14:paraId="1FF85619" w14:textId="0B88575F" w:rsidR="00F93E7C" w:rsidRPr="0065508A" w:rsidRDefault="00B80B32" w:rsidP="00F5769E">
      <w:pPr>
        <w:spacing w:after="0" w:line="276" w:lineRule="auto"/>
        <w:ind w:firstLine="720"/>
        <w:contextualSpacing/>
        <w:jc w:val="both"/>
        <w:rPr>
          <w:rFonts w:cs="Times New Roman"/>
          <w:szCs w:val="24"/>
        </w:rPr>
      </w:pPr>
      <w:r w:rsidRPr="0065508A">
        <w:rPr>
          <w:rFonts w:cs="Times New Roman"/>
          <w:szCs w:val="24"/>
        </w:rPr>
        <w:t>I</w:t>
      </w:r>
      <w:r w:rsidR="00F933E8" w:rsidRPr="0065508A">
        <w:rPr>
          <w:rFonts w:cs="Times New Roman"/>
          <w:szCs w:val="24"/>
        </w:rPr>
        <w:t>evērojot to, ka apelācijas instances tiesas lēmums tiek atcelts</w:t>
      </w:r>
      <w:r w:rsidR="00056152" w:rsidRPr="0065508A">
        <w:rPr>
          <w:rFonts w:cs="Times New Roman"/>
          <w:szCs w:val="24"/>
        </w:rPr>
        <w:t xml:space="preserve"> pilnībā</w:t>
      </w:r>
      <w:r w:rsidR="00F933E8" w:rsidRPr="0065508A">
        <w:rPr>
          <w:rFonts w:cs="Times New Roman"/>
          <w:szCs w:val="24"/>
        </w:rPr>
        <w:t xml:space="preserve"> un lieta tiek nosūtīta jaunai izskatīšanai apelācijas instances tiesā, </w:t>
      </w:r>
      <w:r w:rsidR="00056152" w:rsidRPr="0065508A">
        <w:rPr>
          <w:rFonts w:cs="Times New Roman"/>
          <w:szCs w:val="24"/>
        </w:rPr>
        <w:t xml:space="preserve">turklāt </w:t>
      </w:r>
      <w:r w:rsidR="00F933E8" w:rsidRPr="0065508A">
        <w:rPr>
          <w:rFonts w:cs="Times New Roman"/>
          <w:szCs w:val="24"/>
        </w:rPr>
        <w:t xml:space="preserve">apsūdzētais atrodas apcietinājumā no </w:t>
      </w:r>
      <w:proofErr w:type="gramStart"/>
      <w:r w:rsidR="00F933E8" w:rsidRPr="0065508A">
        <w:rPr>
          <w:rFonts w:cs="Times New Roman"/>
          <w:szCs w:val="24"/>
        </w:rPr>
        <w:t>2021.gada</w:t>
      </w:r>
      <w:proofErr w:type="gramEnd"/>
      <w:r w:rsidR="00F933E8" w:rsidRPr="0065508A">
        <w:rPr>
          <w:rFonts w:cs="Times New Roman"/>
          <w:szCs w:val="24"/>
        </w:rPr>
        <w:t xml:space="preserve"> </w:t>
      </w:r>
      <w:r w:rsidR="001F1478">
        <w:rPr>
          <w:rFonts w:cs="Times New Roman"/>
          <w:szCs w:val="24"/>
        </w:rPr>
        <w:t>[..]</w:t>
      </w:r>
      <w:r w:rsidR="00056152" w:rsidRPr="0065508A">
        <w:rPr>
          <w:rFonts w:cs="Times New Roman"/>
          <w:szCs w:val="24"/>
        </w:rPr>
        <w:t>,</w:t>
      </w:r>
      <w:r w:rsidR="008A4C95" w:rsidRPr="0065508A">
        <w:rPr>
          <w:rFonts w:cs="Times New Roman"/>
          <w:szCs w:val="24"/>
        </w:rPr>
        <w:t xml:space="preserve"> agrāk nav sodīts, viņam ir pastāvīga dzīvesvieta un darbavieta,</w:t>
      </w:r>
      <w:r w:rsidR="00DC7CBE" w:rsidRPr="0065508A">
        <w:rPr>
          <w:rFonts w:cs="Times New Roman"/>
          <w:szCs w:val="24"/>
        </w:rPr>
        <w:t xml:space="preserve"> </w:t>
      </w:r>
      <w:r w:rsidR="008A4C95" w:rsidRPr="0065508A">
        <w:rPr>
          <w:rFonts w:cs="Times New Roman"/>
          <w:szCs w:val="24"/>
        </w:rPr>
        <w:t xml:space="preserve">pirmstiesas </w:t>
      </w:r>
      <w:r w:rsidRPr="0065508A">
        <w:rPr>
          <w:rFonts w:cs="Times New Roman"/>
          <w:szCs w:val="24"/>
        </w:rPr>
        <w:t>krimināl</w:t>
      </w:r>
      <w:r w:rsidR="008A4C95" w:rsidRPr="0065508A">
        <w:rPr>
          <w:rFonts w:cs="Times New Roman"/>
          <w:szCs w:val="24"/>
        </w:rPr>
        <w:t xml:space="preserve">procesā </w:t>
      </w:r>
      <w:r w:rsidR="00CC2D1B">
        <w:rPr>
          <w:rFonts w:cs="Times New Roman"/>
          <w:szCs w:val="24"/>
        </w:rPr>
        <w:t>[pers. A]</w:t>
      </w:r>
      <w:r w:rsidRPr="0065508A">
        <w:rPr>
          <w:rFonts w:cs="Times New Roman"/>
          <w:szCs w:val="24"/>
        </w:rPr>
        <w:t xml:space="preserve"> ievēroja viņam piemērotos ar brīvības atņemšanu nesaistītos drošības līdzekļus,</w:t>
      </w:r>
      <w:r w:rsidR="008A4C95" w:rsidRPr="0065508A">
        <w:rPr>
          <w:rFonts w:cs="Times New Roman"/>
          <w:szCs w:val="24"/>
        </w:rPr>
        <w:t xml:space="preserve"> </w:t>
      </w:r>
      <w:r w:rsidR="00DC7CBE" w:rsidRPr="0065508A">
        <w:rPr>
          <w:rFonts w:cs="Times New Roman"/>
          <w:szCs w:val="24"/>
        </w:rPr>
        <w:t xml:space="preserve">ir pamats uzskatīt, ka, atrodoties brīvībā, viņš neizdarīs jaunu noziedzīgu nodarījumu, </w:t>
      </w:r>
      <w:r w:rsidRPr="0065508A">
        <w:rPr>
          <w:rFonts w:cs="Times New Roman"/>
          <w:szCs w:val="24"/>
        </w:rPr>
        <w:t xml:space="preserve">Senāts </w:t>
      </w:r>
      <w:r w:rsidR="00F933E8" w:rsidRPr="0065508A">
        <w:rPr>
          <w:rFonts w:cs="Times New Roman"/>
          <w:szCs w:val="24"/>
        </w:rPr>
        <w:t xml:space="preserve">atzīst, ka </w:t>
      </w:r>
      <w:r w:rsidR="00DC7CBE" w:rsidRPr="0065508A">
        <w:rPr>
          <w:rFonts w:cs="Times New Roman"/>
          <w:szCs w:val="24"/>
        </w:rPr>
        <w:t xml:space="preserve">šādos apstākļos </w:t>
      </w:r>
      <w:r w:rsidR="00F933E8" w:rsidRPr="0065508A">
        <w:rPr>
          <w:rFonts w:cs="Times New Roman"/>
          <w:szCs w:val="24"/>
        </w:rPr>
        <w:t xml:space="preserve">ir iespējams apsūdzētajam </w:t>
      </w:r>
      <w:r w:rsidR="00CC2D1B">
        <w:rPr>
          <w:rFonts w:cs="Times New Roman"/>
          <w:szCs w:val="24"/>
        </w:rPr>
        <w:t>[pers. A]</w:t>
      </w:r>
      <w:r w:rsidRPr="0065508A">
        <w:rPr>
          <w:rFonts w:cs="Times New Roman"/>
          <w:szCs w:val="24"/>
        </w:rPr>
        <w:t xml:space="preserve"> </w:t>
      </w:r>
      <w:r w:rsidR="00F933E8" w:rsidRPr="0065508A">
        <w:rPr>
          <w:rFonts w:cs="Times New Roman"/>
          <w:szCs w:val="24"/>
        </w:rPr>
        <w:t>grozīt piemēroto drošības līdzekli – apcietinājumu</w:t>
      </w:r>
      <w:r w:rsidRPr="0065508A">
        <w:rPr>
          <w:rFonts w:cs="Times New Roman"/>
          <w:szCs w:val="24"/>
        </w:rPr>
        <w:t xml:space="preserve"> – un turpināt piemērot </w:t>
      </w:r>
      <w:r w:rsidR="00F933E8" w:rsidRPr="0065508A">
        <w:rPr>
          <w:rFonts w:cs="Times New Roman"/>
          <w:szCs w:val="24"/>
        </w:rPr>
        <w:t>pirmstiesas kriminālprocesā piemērot</w:t>
      </w:r>
      <w:r w:rsidRPr="0065508A">
        <w:rPr>
          <w:rFonts w:cs="Times New Roman"/>
          <w:szCs w:val="24"/>
        </w:rPr>
        <w:t>os</w:t>
      </w:r>
      <w:r w:rsidR="00F933E8" w:rsidRPr="0065508A">
        <w:rPr>
          <w:rFonts w:cs="Times New Roman"/>
          <w:szCs w:val="24"/>
        </w:rPr>
        <w:t xml:space="preserve"> drošības līdzekļ</w:t>
      </w:r>
      <w:r w:rsidRPr="0065508A">
        <w:rPr>
          <w:rFonts w:cs="Times New Roman"/>
          <w:szCs w:val="24"/>
        </w:rPr>
        <w:t>us</w:t>
      </w:r>
      <w:r w:rsidR="00F933E8" w:rsidRPr="0065508A">
        <w:rPr>
          <w:rFonts w:cs="Times New Roman"/>
          <w:szCs w:val="24"/>
        </w:rPr>
        <w:t xml:space="preserve"> – uzturēšan</w:t>
      </w:r>
      <w:r w:rsidRPr="0065508A">
        <w:rPr>
          <w:rFonts w:cs="Times New Roman"/>
          <w:szCs w:val="24"/>
        </w:rPr>
        <w:t>o</w:t>
      </w:r>
      <w:r w:rsidR="00F933E8" w:rsidRPr="0065508A">
        <w:rPr>
          <w:rFonts w:cs="Times New Roman"/>
          <w:szCs w:val="24"/>
        </w:rPr>
        <w:t xml:space="preserve">s noteiktā vietā </w:t>
      </w:r>
      <w:r w:rsidRPr="0065508A">
        <w:rPr>
          <w:rFonts w:cs="Times New Roman"/>
          <w:szCs w:val="24"/>
        </w:rPr>
        <w:t xml:space="preserve">– </w:t>
      </w:r>
      <w:r w:rsidR="00CC2D1B">
        <w:rPr>
          <w:rFonts w:cs="Times New Roman"/>
          <w:szCs w:val="24"/>
        </w:rPr>
        <w:t>[adrese 2]</w:t>
      </w:r>
      <w:r w:rsidR="009A0F91" w:rsidRPr="0065508A">
        <w:rPr>
          <w:rFonts w:cs="Times New Roman"/>
          <w:szCs w:val="24"/>
        </w:rPr>
        <w:t xml:space="preserve"> –</w:t>
      </w:r>
      <w:r w:rsidR="00F933E8" w:rsidRPr="0065508A">
        <w:rPr>
          <w:rFonts w:cs="Times New Roman"/>
          <w:szCs w:val="24"/>
        </w:rPr>
        <w:t>, aizliegum</w:t>
      </w:r>
      <w:r w:rsidR="001D434C" w:rsidRPr="0065508A">
        <w:rPr>
          <w:rFonts w:cs="Times New Roman"/>
          <w:szCs w:val="24"/>
        </w:rPr>
        <w:t>u</w:t>
      </w:r>
      <w:r w:rsidR="00F933E8" w:rsidRPr="0065508A">
        <w:rPr>
          <w:rFonts w:cs="Times New Roman"/>
          <w:szCs w:val="24"/>
        </w:rPr>
        <w:t xml:space="preserve"> tuvoties noteikta</w:t>
      </w:r>
      <w:r w:rsidRPr="0065508A">
        <w:rPr>
          <w:rFonts w:cs="Times New Roman"/>
          <w:szCs w:val="24"/>
        </w:rPr>
        <w:t>i</w:t>
      </w:r>
      <w:r w:rsidR="00F933E8" w:rsidRPr="0065508A">
        <w:rPr>
          <w:rFonts w:cs="Times New Roman"/>
          <w:szCs w:val="24"/>
        </w:rPr>
        <w:t xml:space="preserve"> personai</w:t>
      </w:r>
      <w:r w:rsidRPr="0065508A">
        <w:rPr>
          <w:rFonts w:cs="Times New Roman"/>
          <w:szCs w:val="24"/>
        </w:rPr>
        <w:t xml:space="preserve">, tas ir, </w:t>
      </w:r>
      <w:r w:rsidR="00F933E8" w:rsidRPr="0065508A">
        <w:rPr>
          <w:rFonts w:cs="Times New Roman"/>
          <w:szCs w:val="24"/>
        </w:rPr>
        <w:t xml:space="preserve">aizliegts atrasties </w:t>
      </w:r>
      <w:r w:rsidR="00CC2D1B">
        <w:rPr>
          <w:rFonts w:cs="Times New Roman"/>
          <w:szCs w:val="24"/>
        </w:rPr>
        <w:t>[pers. H]</w:t>
      </w:r>
      <w:r w:rsidR="00F933E8" w:rsidRPr="0065508A">
        <w:rPr>
          <w:rFonts w:cs="Times New Roman"/>
          <w:szCs w:val="24"/>
        </w:rPr>
        <w:t xml:space="preserve"> un </w:t>
      </w:r>
      <w:r w:rsidR="00CC2D1B">
        <w:rPr>
          <w:rFonts w:cs="Times New Roman"/>
          <w:szCs w:val="24"/>
        </w:rPr>
        <w:t>[pers. J]</w:t>
      </w:r>
      <w:r w:rsidR="00F933E8" w:rsidRPr="0065508A">
        <w:rPr>
          <w:rFonts w:cs="Times New Roman"/>
          <w:szCs w:val="24"/>
        </w:rPr>
        <w:t xml:space="preserve"> tuvāk par 100 metriem, pienākum</w:t>
      </w:r>
      <w:r w:rsidR="00126FFA" w:rsidRPr="0065508A">
        <w:rPr>
          <w:rFonts w:cs="Times New Roman"/>
          <w:szCs w:val="24"/>
        </w:rPr>
        <w:t>s</w:t>
      </w:r>
      <w:r w:rsidR="00F933E8" w:rsidRPr="0065508A">
        <w:rPr>
          <w:rFonts w:cs="Times New Roman"/>
          <w:szCs w:val="24"/>
        </w:rPr>
        <w:t xml:space="preserve"> izvairīties no fiziska vai vizuāla kontakta ar </w:t>
      </w:r>
      <w:r w:rsidR="00CC2D1B">
        <w:rPr>
          <w:rFonts w:cs="Times New Roman"/>
          <w:szCs w:val="24"/>
        </w:rPr>
        <w:t>[pers. H]</w:t>
      </w:r>
      <w:r w:rsidR="00F933E8" w:rsidRPr="0065508A">
        <w:rPr>
          <w:rFonts w:cs="Times New Roman"/>
          <w:szCs w:val="24"/>
        </w:rPr>
        <w:t xml:space="preserve">, neizmantot nekādus sakaru līdzekļus vai informācijas nodošanas paņēmienus, lai kontaktētos ar </w:t>
      </w:r>
      <w:r w:rsidR="00CC2D1B">
        <w:rPr>
          <w:rFonts w:cs="Times New Roman"/>
          <w:szCs w:val="24"/>
        </w:rPr>
        <w:t>[pers. H]</w:t>
      </w:r>
      <w:r w:rsidR="00F933E8" w:rsidRPr="0065508A">
        <w:rPr>
          <w:rFonts w:cs="Times New Roman"/>
          <w:szCs w:val="24"/>
        </w:rPr>
        <w:t xml:space="preserve"> un </w:t>
      </w:r>
      <w:r w:rsidR="00CC2D1B">
        <w:rPr>
          <w:rFonts w:cs="Times New Roman"/>
          <w:szCs w:val="24"/>
        </w:rPr>
        <w:t>[pers. </w:t>
      </w:r>
      <w:r w:rsidR="00CC2D1B">
        <w:t>J]</w:t>
      </w:r>
      <w:r w:rsidR="00DC7CBE" w:rsidRPr="0065508A">
        <w:rPr>
          <w:rFonts w:cs="Times New Roman"/>
          <w:szCs w:val="24"/>
        </w:rPr>
        <w:t>, aizliegumu izbraukt no valsts.</w:t>
      </w:r>
    </w:p>
    <w:p w14:paraId="4CCE2270" w14:textId="77777777" w:rsidR="00F93E7C" w:rsidRPr="0065508A" w:rsidRDefault="00F93E7C" w:rsidP="00F5769E">
      <w:pPr>
        <w:spacing w:after="0" w:line="276" w:lineRule="auto"/>
        <w:contextualSpacing/>
        <w:jc w:val="both"/>
        <w:rPr>
          <w:rFonts w:cs="Times New Roman"/>
          <w:szCs w:val="24"/>
        </w:rPr>
      </w:pPr>
    </w:p>
    <w:p w14:paraId="09B0F3DC" w14:textId="1D533D86" w:rsidR="00424471" w:rsidRPr="0065508A" w:rsidRDefault="00424471" w:rsidP="00F5769E">
      <w:pPr>
        <w:spacing w:after="0" w:line="276" w:lineRule="auto"/>
        <w:contextualSpacing/>
        <w:jc w:val="center"/>
        <w:rPr>
          <w:rFonts w:eastAsia="Calibri" w:cs="Times New Roman"/>
          <w:b/>
          <w:szCs w:val="24"/>
          <w:lang w:eastAsia="lv-LV"/>
        </w:rPr>
      </w:pPr>
      <w:r w:rsidRPr="0065508A">
        <w:rPr>
          <w:rFonts w:eastAsia="Calibri" w:cs="Times New Roman"/>
          <w:b/>
          <w:szCs w:val="24"/>
          <w:lang w:eastAsia="lv-LV"/>
        </w:rPr>
        <w:t>Rezolutīvā daļa</w:t>
      </w:r>
    </w:p>
    <w:p w14:paraId="6487EDC0" w14:textId="77777777" w:rsidR="00D05B59" w:rsidRPr="0065508A" w:rsidRDefault="00D05B59" w:rsidP="00F5769E">
      <w:pPr>
        <w:spacing w:after="0" w:line="276" w:lineRule="auto"/>
        <w:contextualSpacing/>
        <w:jc w:val="both"/>
        <w:rPr>
          <w:rFonts w:eastAsia="Calibri" w:cs="Times New Roman"/>
          <w:b/>
          <w:szCs w:val="24"/>
          <w:lang w:eastAsia="lv-LV"/>
        </w:rPr>
      </w:pPr>
    </w:p>
    <w:p w14:paraId="2AD34D13" w14:textId="4E81F7B4" w:rsidR="00D124D3" w:rsidRPr="0065508A" w:rsidRDefault="00424471" w:rsidP="009263D3">
      <w:pPr>
        <w:spacing w:after="0" w:line="276" w:lineRule="auto"/>
        <w:ind w:firstLine="652"/>
        <w:contextualSpacing/>
        <w:jc w:val="both"/>
        <w:outlineLvl w:val="1"/>
        <w:rPr>
          <w:rFonts w:eastAsia="Calibri" w:cs="Times New Roman"/>
          <w:iCs/>
          <w:szCs w:val="24"/>
        </w:rPr>
      </w:pPr>
      <w:r w:rsidRPr="0065508A">
        <w:rPr>
          <w:rFonts w:eastAsia="Calibri" w:cs="Times New Roman"/>
          <w:iCs/>
          <w:szCs w:val="24"/>
        </w:rPr>
        <w:t>Pamatojoties uz Kriminālprocesa likuma 585.</w:t>
      </w:r>
      <w:r w:rsidR="009263D3" w:rsidRPr="0065508A">
        <w:rPr>
          <w:rFonts w:eastAsia="Calibri" w:cs="Times New Roman"/>
          <w:iCs/>
          <w:szCs w:val="24"/>
        </w:rPr>
        <w:t xml:space="preserve"> un</w:t>
      </w:r>
      <w:r w:rsidRPr="0065508A">
        <w:rPr>
          <w:rFonts w:eastAsia="Calibri" w:cs="Times New Roman"/>
          <w:iCs/>
          <w:szCs w:val="24"/>
        </w:rPr>
        <w:t xml:space="preserve"> </w:t>
      </w:r>
      <w:proofErr w:type="gramStart"/>
      <w:r w:rsidRPr="0065508A">
        <w:rPr>
          <w:rFonts w:eastAsia="Calibri" w:cs="Times New Roman"/>
          <w:iCs/>
          <w:szCs w:val="24"/>
        </w:rPr>
        <w:t>587</w:t>
      </w:r>
      <w:r w:rsidRPr="0065508A">
        <w:rPr>
          <w:rFonts w:cs="Times New Roman"/>
          <w:szCs w:val="24"/>
        </w:rPr>
        <w:t>.pantu</w:t>
      </w:r>
      <w:proofErr w:type="gramEnd"/>
      <w:r w:rsidRPr="0065508A">
        <w:rPr>
          <w:rFonts w:cs="Times New Roman"/>
          <w:szCs w:val="24"/>
        </w:rPr>
        <w:t>, tiesa</w:t>
      </w:r>
      <w:r w:rsidRPr="0065508A">
        <w:rPr>
          <w:rFonts w:eastAsia="Calibri" w:cs="Times New Roman"/>
          <w:iCs/>
          <w:szCs w:val="24"/>
        </w:rPr>
        <w:t xml:space="preserve"> </w:t>
      </w:r>
    </w:p>
    <w:p w14:paraId="384319C5" w14:textId="77777777" w:rsidR="003A4600" w:rsidRPr="0065508A" w:rsidRDefault="003A4600" w:rsidP="009263D3">
      <w:pPr>
        <w:spacing w:after="0" w:line="276" w:lineRule="auto"/>
        <w:ind w:firstLine="652"/>
        <w:contextualSpacing/>
        <w:jc w:val="both"/>
        <w:outlineLvl w:val="1"/>
        <w:rPr>
          <w:rFonts w:eastAsia="Calibri" w:cs="Times New Roman"/>
          <w:iCs/>
          <w:szCs w:val="24"/>
        </w:rPr>
      </w:pPr>
    </w:p>
    <w:p w14:paraId="6818A88A" w14:textId="77777777" w:rsidR="00F57790" w:rsidRPr="0065508A" w:rsidRDefault="00424471" w:rsidP="007408A3">
      <w:pPr>
        <w:spacing w:after="0" w:line="276" w:lineRule="auto"/>
        <w:contextualSpacing/>
        <w:jc w:val="center"/>
        <w:outlineLvl w:val="1"/>
        <w:rPr>
          <w:rFonts w:eastAsia="Calibri" w:cs="Times New Roman"/>
          <w:b/>
          <w:iCs/>
          <w:szCs w:val="24"/>
        </w:rPr>
      </w:pPr>
      <w:r w:rsidRPr="0065508A">
        <w:rPr>
          <w:rFonts w:eastAsia="Calibri" w:cs="Times New Roman"/>
          <w:b/>
          <w:iCs/>
          <w:szCs w:val="24"/>
        </w:rPr>
        <w:t>nolēma:</w:t>
      </w:r>
    </w:p>
    <w:p w14:paraId="15069F1C" w14:textId="77777777" w:rsidR="00D05B59" w:rsidRPr="0065508A" w:rsidRDefault="00D05B59" w:rsidP="00F5769E">
      <w:pPr>
        <w:tabs>
          <w:tab w:val="left" w:pos="284"/>
          <w:tab w:val="left" w:pos="567"/>
        </w:tabs>
        <w:spacing w:after="0" w:line="276" w:lineRule="auto"/>
        <w:ind w:firstLine="652"/>
        <w:contextualSpacing/>
        <w:jc w:val="both"/>
        <w:rPr>
          <w:rFonts w:cs="Times New Roman"/>
          <w:szCs w:val="24"/>
        </w:rPr>
      </w:pPr>
    </w:p>
    <w:p w14:paraId="3DD47CE5" w14:textId="01E3EA0F" w:rsidR="009A095F" w:rsidRPr="0065508A" w:rsidRDefault="00CA42E7" w:rsidP="00F5769E">
      <w:pPr>
        <w:autoSpaceDE w:val="0"/>
        <w:autoSpaceDN w:val="0"/>
        <w:adjustRightInd w:val="0"/>
        <w:spacing w:after="0" w:line="276" w:lineRule="auto"/>
        <w:ind w:firstLine="709"/>
        <w:jc w:val="both"/>
        <w:rPr>
          <w:rFonts w:eastAsia="Calibri" w:cs="Times New Roman"/>
          <w:szCs w:val="24"/>
        </w:rPr>
      </w:pPr>
      <w:r w:rsidRPr="0065508A">
        <w:rPr>
          <w:rFonts w:eastAsia="Calibri" w:cs="Times New Roman"/>
          <w:szCs w:val="24"/>
        </w:rPr>
        <w:t>atcelt</w:t>
      </w:r>
      <w:r w:rsidR="00A405E4" w:rsidRPr="0065508A">
        <w:rPr>
          <w:rFonts w:eastAsia="Calibri" w:cs="Times New Roman"/>
          <w:szCs w:val="24"/>
        </w:rPr>
        <w:t xml:space="preserve"> </w:t>
      </w:r>
      <w:r w:rsidR="00CC2D1B">
        <w:rPr>
          <w:rFonts w:eastAsia="Calibri" w:cs="Times New Roman"/>
          <w:szCs w:val="24"/>
        </w:rPr>
        <w:t>[..]</w:t>
      </w:r>
      <w:r w:rsidR="005738CD" w:rsidRPr="0065508A">
        <w:rPr>
          <w:rFonts w:eastAsia="Calibri" w:cs="Times New Roman"/>
          <w:szCs w:val="24"/>
        </w:rPr>
        <w:t xml:space="preserve"> apgabaltiesas </w:t>
      </w:r>
      <w:proofErr w:type="gramStart"/>
      <w:r w:rsidR="005738CD" w:rsidRPr="0065508A">
        <w:rPr>
          <w:rFonts w:eastAsia="Calibri" w:cs="Times New Roman"/>
          <w:szCs w:val="24"/>
        </w:rPr>
        <w:t>202</w:t>
      </w:r>
      <w:r w:rsidRPr="0065508A">
        <w:rPr>
          <w:rFonts w:eastAsia="Calibri" w:cs="Times New Roman"/>
          <w:szCs w:val="24"/>
        </w:rPr>
        <w:t>1</w:t>
      </w:r>
      <w:r w:rsidR="005738CD" w:rsidRPr="0065508A">
        <w:rPr>
          <w:rFonts w:eastAsia="Calibri" w:cs="Times New Roman"/>
          <w:szCs w:val="24"/>
        </w:rPr>
        <w:t>.gada</w:t>
      </w:r>
      <w:proofErr w:type="gramEnd"/>
      <w:r w:rsidR="005738CD" w:rsidRPr="0065508A">
        <w:rPr>
          <w:rFonts w:eastAsia="Calibri" w:cs="Times New Roman"/>
          <w:szCs w:val="24"/>
        </w:rPr>
        <w:t xml:space="preserve"> </w:t>
      </w:r>
      <w:r w:rsidR="00CC2D1B">
        <w:rPr>
          <w:rFonts w:eastAsia="Calibri" w:cs="Times New Roman"/>
          <w:szCs w:val="24"/>
        </w:rPr>
        <w:t>[..]</w:t>
      </w:r>
      <w:r w:rsidRPr="0065508A">
        <w:rPr>
          <w:rFonts w:eastAsia="Calibri" w:cs="Times New Roman"/>
          <w:szCs w:val="24"/>
        </w:rPr>
        <w:t xml:space="preserve"> lēmumu un lietu nosūtīt jaunai izskatīšanai </w:t>
      </w:r>
      <w:r w:rsidR="00CC2D1B">
        <w:rPr>
          <w:rFonts w:eastAsia="Calibri" w:cs="Times New Roman"/>
          <w:szCs w:val="24"/>
        </w:rPr>
        <w:t>[..]</w:t>
      </w:r>
      <w:r w:rsidR="00F933E8" w:rsidRPr="0065508A">
        <w:rPr>
          <w:rFonts w:eastAsia="Calibri" w:cs="Times New Roman"/>
          <w:szCs w:val="24"/>
        </w:rPr>
        <w:t xml:space="preserve"> apgabal</w:t>
      </w:r>
      <w:r w:rsidRPr="0065508A">
        <w:rPr>
          <w:rFonts w:eastAsia="Calibri" w:cs="Times New Roman"/>
          <w:szCs w:val="24"/>
        </w:rPr>
        <w:t>tiesā.</w:t>
      </w:r>
    </w:p>
    <w:p w14:paraId="45C45FF6" w14:textId="323A7434" w:rsidR="00F933E8" w:rsidRPr="0065508A" w:rsidRDefault="00F933E8" w:rsidP="00F5769E">
      <w:pPr>
        <w:spacing w:after="0" w:line="276" w:lineRule="auto"/>
        <w:ind w:firstLine="720"/>
        <w:contextualSpacing/>
        <w:jc w:val="both"/>
        <w:rPr>
          <w:rFonts w:cs="Times New Roman"/>
          <w:szCs w:val="24"/>
        </w:rPr>
      </w:pPr>
      <w:r w:rsidRPr="0065508A">
        <w:rPr>
          <w:rFonts w:cs="Times New Roman"/>
          <w:szCs w:val="24"/>
        </w:rPr>
        <w:t xml:space="preserve">Grozīt apsūdzētajam </w:t>
      </w:r>
      <w:r w:rsidR="00CC2D1B">
        <w:rPr>
          <w:rFonts w:cs="Times New Roman"/>
          <w:szCs w:val="24"/>
        </w:rPr>
        <w:t>[pers. A]</w:t>
      </w:r>
      <w:r w:rsidRPr="0065508A">
        <w:rPr>
          <w:rFonts w:cs="Times New Roman"/>
          <w:szCs w:val="24"/>
        </w:rPr>
        <w:t xml:space="preserve"> piemēroto drošības līdzekli – apcietinājumu – un atbrīvot viņu no apcietinājuma nekavējoties.</w:t>
      </w:r>
    </w:p>
    <w:p w14:paraId="5931B82E" w14:textId="7BE9E06B" w:rsidR="00F933E8" w:rsidRPr="0065508A" w:rsidRDefault="00F933E8" w:rsidP="00C07144">
      <w:pPr>
        <w:spacing w:after="0" w:line="276" w:lineRule="auto"/>
        <w:ind w:firstLine="720"/>
        <w:contextualSpacing/>
        <w:jc w:val="both"/>
        <w:rPr>
          <w:rFonts w:cs="Times New Roman"/>
          <w:szCs w:val="24"/>
        </w:rPr>
      </w:pPr>
      <w:r w:rsidRPr="0065508A">
        <w:rPr>
          <w:rFonts w:cs="Times New Roman"/>
          <w:szCs w:val="24"/>
        </w:rPr>
        <w:t xml:space="preserve">Apsūdzētajam </w:t>
      </w:r>
      <w:r w:rsidR="00CC2D1B">
        <w:rPr>
          <w:rFonts w:cs="Times New Roman"/>
          <w:szCs w:val="24"/>
        </w:rPr>
        <w:t>[pers. A]</w:t>
      </w:r>
      <w:r w:rsidRPr="0065508A">
        <w:rPr>
          <w:rFonts w:cs="Times New Roman"/>
          <w:szCs w:val="24"/>
        </w:rPr>
        <w:t xml:space="preserve"> turpināt piemērot </w:t>
      </w:r>
      <w:r w:rsidR="001D434C" w:rsidRPr="0065508A">
        <w:rPr>
          <w:rFonts w:cs="Times New Roman"/>
          <w:szCs w:val="24"/>
        </w:rPr>
        <w:t xml:space="preserve">pirmstiesas kriminālprocesā izraudzītos drošības līdzekļus – </w:t>
      </w:r>
      <w:r w:rsidRPr="0065508A">
        <w:rPr>
          <w:rFonts w:cs="Times New Roman"/>
          <w:szCs w:val="24"/>
        </w:rPr>
        <w:t>uzturēšan</w:t>
      </w:r>
      <w:r w:rsidR="00126FFA" w:rsidRPr="0065508A">
        <w:rPr>
          <w:rFonts w:cs="Times New Roman"/>
          <w:szCs w:val="24"/>
        </w:rPr>
        <w:t>o</w:t>
      </w:r>
      <w:r w:rsidRPr="0065508A">
        <w:rPr>
          <w:rFonts w:cs="Times New Roman"/>
          <w:szCs w:val="24"/>
        </w:rPr>
        <w:t>s noteiktā vietā</w:t>
      </w:r>
      <w:r w:rsidR="001D434C" w:rsidRPr="0065508A">
        <w:rPr>
          <w:rFonts w:cs="Times New Roman"/>
          <w:szCs w:val="24"/>
        </w:rPr>
        <w:t xml:space="preserve"> </w:t>
      </w:r>
      <w:r w:rsidR="00CC2D1B">
        <w:rPr>
          <w:rFonts w:cs="Times New Roman"/>
          <w:szCs w:val="24"/>
        </w:rPr>
        <w:t>[adrese 2]</w:t>
      </w:r>
      <w:r w:rsidR="001D376D" w:rsidRPr="0065508A">
        <w:rPr>
          <w:rFonts w:cs="Times New Roman"/>
          <w:szCs w:val="24"/>
        </w:rPr>
        <w:t xml:space="preserve"> –</w:t>
      </w:r>
      <w:r w:rsidRPr="0065508A">
        <w:rPr>
          <w:rFonts w:cs="Times New Roman"/>
          <w:szCs w:val="24"/>
        </w:rPr>
        <w:t>,</w:t>
      </w:r>
      <w:r w:rsidR="001D376D" w:rsidRPr="0065508A">
        <w:rPr>
          <w:rFonts w:cs="Times New Roman"/>
          <w:szCs w:val="24"/>
        </w:rPr>
        <w:t xml:space="preserve"> aizliegumu </w:t>
      </w:r>
      <w:r w:rsidRPr="0065508A">
        <w:rPr>
          <w:rFonts w:cs="Times New Roman"/>
          <w:szCs w:val="24"/>
        </w:rPr>
        <w:t>tuvoties noteikta</w:t>
      </w:r>
      <w:r w:rsidR="001D434C" w:rsidRPr="0065508A">
        <w:rPr>
          <w:rFonts w:cs="Times New Roman"/>
          <w:szCs w:val="24"/>
        </w:rPr>
        <w:t>i</w:t>
      </w:r>
      <w:r w:rsidRPr="0065508A">
        <w:rPr>
          <w:rFonts w:cs="Times New Roman"/>
          <w:szCs w:val="24"/>
        </w:rPr>
        <w:t xml:space="preserve"> personai – aizliegts atrasties </w:t>
      </w:r>
      <w:r w:rsidR="00CC2D1B">
        <w:rPr>
          <w:rFonts w:cs="Times New Roman"/>
          <w:szCs w:val="24"/>
        </w:rPr>
        <w:t>[pers. H]</w:t>
      </w:r>
      <w:r w:rsidRPr="0065508A">
        <w:rPr>
          <w:rFonts w:cs="Times New Roman"/>
          <w:szCs w:val="24"/>
        </w:rPr>
        <w:t xml:space="preserve"> un </w:t>
      </w:r>
      <w:r w:rsidR="00CC2D1B">
        <w:rPr>
          <w:rFonts w:cs="Times New Roman"/>
          <w:szCs w:val="24"/>
        </w:rPr>
        <w:t>[pers. J]</w:t>
      </w:r>
      <w:r w:rsidRPr="0065508A">
        <w:rPr>
          <w:rFonts w:cs="Times New Roman"/>
          <w:szCs w:val="24"/>
        </w:rPr>
        <w:t xml:space="preserve"> tuvāk par 100 metriem, pienākum</w:t>
      </w:r>
      <w:r w:rsidR="00126FFA" w:rsidRPr="0065508A">
        <w:rPr>
          <w:rFonts w:cs="Times New Roman"/>
          <w:szCs w:val="24"/>
        </w:rPr>
        <w:t>s</w:t>
      </w:r>
      <w:r w:rsidRPr="0065508A">
        <w:rPr>
          <w:rFonts w:cs="Times New Roman"/>
          <w:szCs w:val="24"/>
        </w:rPr>
        <w:t xml:space="preserve"> izvairīties no fiziska vai vizuāla kontakta ar </w:t>
      </w:r>
      <w:proofErr w:type="gramStart"/>
      <w:r w:rsidR="00CC2D1B">
        <w:rPr>
          <w:rFonts w:cs="Times New Roman"/>
          <w:szCs w:val="24"/>
        </w:rPr>
        <w:t>[</w:t>
      </w:r>
      <w:proofErr w:type="gramEnd"/>
      <w:r w:rsidR="00CC2D1B">
        <w:rPr>
          <w:rFonts w:cs="Times New Roman"/>
          <w:szCs w:val="24"/>
        </w:rPr>
        <w:t>pers. </w:t>
      </w:r>
      <w:r w:rsidR="00CC2D1B">
        <w:t>H]</w:t>
      </w:r>
      <w:r w:rsidRPr="0065508A">
        <w:rPr>
          <w:rFonts w:cs="Times New Roman"/>
          <w:szCs w:val="24"/>
        </w:rPr>
        <w:t xml:space="preserve">, neizmantot nekādus sakaru līdzekļus vai informācijas nodošanas paņēmienus, lai kontaktētos ar </w:t>
      </w:r>
      <w:r w:rsidR="00CC2D1B">
        <w:rPr>
          <w:rFonts w:cs="Times New Roman"/>
          <w:szCs w:val="24"/>
        </w:rPr>
        <w:t>[pers. </w:t>
      </w:r>
      <w:r w:rsidR="00CC2D1B">
        <w:t>H]</w:t>
      </w:r>
      <w:r w:rsidRPr="0065508A">
        <w:rPr>
          <w:rFonts w:cs="Times New Roman"/>
          <w:szCs w:val="24"/>
        </w:rPr>
        <w:t xml:space="preserve"> un </w:t>
      </w:r>
      <w:r w:rsidR="00CC2D1B">
        <w:rPr>
          <w:rFonts w:cs="Times New Roman"/>
          <w:szCs w:val="24"/>
        </w:rPr>
        <w:t>[pers. J]</w:t>
      </w:r>
      <w:r w:rsidR="00166A2F" w:rsidRPr="0065508A">
        <w:rPr>
          <w:rFonts w:cs="Times New Roman"/>
          <w:szCs w:val="24"/>
        </w:rPr>
        <w:t xml:space="preserve"> –</w:t>
      </w:r>
      <w:r w:rsidR="00DC7CBE" w:rsidRPr="0065508A">
        <w:rPr>
          <w:rFonts w:cs="Times New Roman"/>
          <w:szCs w:val="24"/>
        </w:rPr>
        <w:t>, aizliegumu izbraukt no valsts.</w:t>
      </w:r>
    </w:p>
    <w:p w14:paraId="3A29DC35" w14:textId="56E7A72F" w:rsidR="00242EF8" w:rsidRPr="00CC2D1B" w:rsidRDefault="005738CD" w:rsidP="00CC2D1B">
      <w:pPr>
        <w:tabs>
          <w:tab w:val="left" w:pos="0"/>
          <w:tab w:val="left" w:pos="6660"/>
        </w:tabs>
        <w:spacing w:after="0" w:line="276" w:lineRule="auto"/>
        <w:ind w:firstLine="709"/>
        <w:jc w:val="both"/>
        <w:rPr>
          <w:rFonts w:eastAsia="Calibri" w:cs="Times New Roman"/>
          <w:szCs w:val="24"/>
        </w:rPr>
      </w:pPr>
      <w:r w:rsidRPr="0065508A">
        <w:rPr>
          <w:rFonts w:eastAsia="Calibri" w:cs="Times New Roman"/>
          <w:szCs w:val="24"/>
        </w:rPr>
        <w:t>Lēmums nav pārsūdzams.</w:t>
      </w:r>
    </w:p>
    <w:sectPr w:rsidR="00242EF8" w:rsidRPr="00CC2D1B" w:rsidSect="00F5769E">
      <w:footerReference w:type="default" r:id="rId8"/>
      <w:pgSz w:w="11906" w:h="16838"/>
      <w:pgMar w:top="1134" w:right="1134" w:bottom="1134" w:left="1701"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DAD9" w14:textId="77777777" w:rsidR="00B43E76" w:rsidRDefault="00B43E76" w:rsidP="00325ACB">
      <w:pPr>
        <w:spacing w:after="0" w:line="240" w:lineRule="auto"/>
      </w:pPr>
      <w:r>
        <w:separator/>
      </w:r>
    </w:p>
  </w:endnote>
  <w:endnote w:type="continuationSeparator" w:id="0">
    <w:p w14:paraId="14D99641" w14:textId="77777777" w:rsidR="00B43E76" w:rsidRDefault="00B43E76" w:rsidP="00325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93374"/>
      <w:docPartObj>
        <w:docPartGallery w:val="Page Numbers (Bottom of Page)"/>
        <w:docPartUnique/>
      </w:docPartObj>
    </w:sdtPr>
    <w:sdtEndPr/>
    <w:sdtContent>
      <w:sdt>
        <w:sdtPr>
          <w:id w:val="1728636285"/>
          <w:docPartObj>
            <w:docPartGallery w:val="Page Numbers (Top of Page)"/>
            <w:docPartUnique/>
          </w:docPartObj>
        </w:sdtPr>
        <w:sdtEndPr/>
        <w:sdtContent>
          <w:p w14:paraId="4CF87444" w14:textId="67622B4E" w:rsidR="00566235" w:rsidRDefault="00566235" w:rsidP="00F71DFE">
            <w:pPr>
              <w:pStyle w:val="Footer"/>
              <w:jc w:val="center"/>
            </w:pPr>
            <w:r w:rsidRPr="00566235">
              <w:rPr>
                <w:bCs/>
                <w:szCs w:val="24"/>
              </w:rPr>
              <w:fldChar w:fldCharType="begin"/>
            </w:r>
            <w:r w:rsidRPr="00566235">
              <w:rPr>
                <w:bCs/>
              </w:rPr>
              <w:instrText xml:space="preserve"> PAGE </w:instrText>
            </w:r>
            <w:r w:rsidRPr="00566235">
              <w:rPr>
                <w:bCs/>
                <w:szCs w:val="24"/>
              </w:rPr>
              <w:fldChar w:fldCharType="separate"/>
            </w:r>
            <w:r w:rsidR="006570B7">
              <w:rPr>
                <w:bCs/>
                <w:noProof/>
              </w:rPr>
              <w:t>7</w:t>
            </w:r>
            <w:r w:rsidRPr="00566235">
              <w:rPr>
                <w:bCs/>
                <w:szCs w:val="24"/>
              </w:rPr>
              <w:fldChar w:fldCharType="end"/>
            </w:r>
            <w:r w:rsidRPr="00566235">
              <w:t xml:space="preserve"> no </w:t>
            </w:r>
            <w:r w:rsidRPr="00566235">
              <w:rPr>
                <w:bCs/>
                <w:szCs w:val="24"/>
              </w:rPr>
              <w:fldChar w:fldCharType="begin"/>
            </w:r>
            <w:r w:rsidRPr="00566235">
              <w:rPr>
                <w:bCs/>
              </w:rPr>
              <w:instrText xml:space="preserve"> NUMPAGES  </w:instrText>
            </w:r>
            <w:r w:rsidRPr="00566235">
              <w:rPr>
                <w:bCs/>
                <w:szCs w:val="24"/>
              </w:rPr>
              <w:fldChar w:fldCharType="separate"/>
            </w:r>
            <w:r w:rsidR="006570B7">
              <w:rPr>
                <w:bCs/>
                <w:noProof/>
              </w:rPr>
              <w:t>7</w:t>
            </w:r>
            <w:r w:rsidRPr="00566235">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9D98F" w14:textId="77777777" w:rsidR="00B43E76" w:rsidRDefault="00B43E76" w:rsidP="00325ACB">
      <w:pPr>
        <w:spacing w:after="0" w:line="240" w:lineRule="auto"/>
      </w:pPr>
      <w:r>
        <w:separator/>
      </w:r>
    </w:p>
  </w:footnote>
  <w:footnote w:type="continuationSeparator" w:id="0">
    <w:p w14:paraId="01604647" w14:textId="77777777" w:rsidR="00B43E76" w:rsidRDefault="00B43E76" w:rsidP="00325ACB">
      <w:pPr>
        <w:spacing w:after="0" w:line="240" w:lineRule="auto"/>
      </w:pPr>
      <w:r>
        <w:continuationSeparator/>
      </w:r>
    </w:p>
  </w:footnote>
  <w:footnote w:id="1">
    <w:p w14:paraId="48DA777F" w14:textId="219159E8" w:rsidR="002A470B" w:rsidRDefault="002A470B">
      <w:pPr>
        <w:pStyle w:val="FootnoteText"/>
      </w:pPr>
      <w:r>
        <w:rPr>
          <w:rStyle w:val="FootnoteReference"/>
        </w:rPr>
        <w:footnoteRef/>
      </w:r>
      <w:r>
        <w:t xml:space="preserve"> </w:t>
      </w:r>
      <w:bookmarkStart w:id="0" w:name="_Hlk67044535"/>
      <w:r w:rsidRPr="00ED57A6">
        <w:t>Slēgtas lietas statuss. Publicēti izvilkumi no nolēmuma.</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7258"/>
    <w:multiLevelType w:val="hybridMultilevel"/>
    <w:tmpl w:val="B7DC0CE2"/>
    <w:lvl w:ilvl="0" w:tplc="4C16794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52146AB"/>
    <w:multiLevelType w:val="hybridMultilevel"/>
    <w:tmpl w:val="6EFA0810"/>
    <w:lvl w:ilvl="0" w:tplc="8B1C59B2">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48760B17"/>
    <w:multiLevelType w:val="hybridMultilevel"/>
    <w:tmpl w:val="6EA058CA"/>
    <w:lvl w:ilvl="0" w:tplc="8E06FBE0">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6CD62AD0"/>
    <w:multiLevelType w:val="hybridMultilevel"/>
    <w:tmpl w:val="226855A4"/>
    <w:lvl w:ilvl="0" w:tplc="B6EC30A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312439367">
    <w:abstractNumId w:val="1"/>
  </w:num>
  <w:num w:numId="2" w16cid:durableId="1821266100">
    <w:abstractNumId w:val="0"/>
  </w:num>
  <w:num w:numId="3" w16cid:durableId="532156983">
    <w:abstractNumId w:val="3"/>
  </w:num>
  <w:num w:numId="4" w16cid:durableId="1621450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71"/>
    <w:rsid w:val="000003C8"/>
    <w:rsid w:val="0000184E"/>
    <w:rsid w:val="0000207F"/>
    <w:rsid w:val="000027DC"/>
    <w:rsid w:val="000071B6"/>
    <w:rsid w:val="00007E3D"/>
    <w:rsid w:val="0001002D"/>
    <w:rsid w:val="00011679"/>
    <w:rsid w:val="0001710A"/>
    <w:rsid w:val="0001737B"/>
    <w:rsid w:val="00023AF4"/>
    <w:rsid w:val="00023EBA"/>
    <w:rsid w:val="00024BA1"/>
    <w:rsid w:val="00027340"/>
    <w:rsid w:val="00027D86"/>
    <w:rsid w:val="0003231D"/>
    <w:rsid w:val="0003321C"/>
    <w:rsid w:val="00035CC7"/>
    <w:rsid w:val="00040A04"/>
    <w:rsid w:val="000422A9"/>
    <w:rsid w:val="00044108"/>
    <w:rsid w:val="0004518D"/>
    <w:rsid w:val="000454A3"/>
    <w:rsid w:val="0004644B"/>
    <w:rsid w:val="000468A8"/>
    <w:rsid w:val="00050065"/>
    <w:rsid w:val="00050711"/>
    <w:rsid w:val="000515CD"/>
    <w:rsid w:val="00051E3D"/>
    <w:rsid w:val="000527CA"/>
    <w:rsid w:val="00056152"/>
    <w:rsid w:val="00057E63"/>
    <w:rsid w:val="00063413"/>
    <w:rsid w:val="0007024F"/>
    <w:rsid w:val="00070709"/>
    <w:rsid w:val="00071FB1"/>
    <w:rsid w:val="00073FFB"/>
    <w:rsid w:val="00074EBF"/>
    <w:rsid w:val="000765C1"/>
    <w:rsid w:val="00076A64"/>
    <w:rsid w:val="000772BC"/>
    <w:rsid w:val="000779EB"/>
    <w:rsid w:val="00081774"/>
    <w:rsid w:val="00081812"/>
    <w:rsid w:val="00081E6F"/>
    <w:rsid w:val="00084F43"/>
    <w:rsid w:val="0008577D"/>
    <w:rsid w:val="000858AB"/>
    <w:rsid w:val="00087960"/>
    <w:rsid w:val="00090432"/>
    <w:rsid w:val="0009052C"/>
    <w:rsid w:val="00092874"/>
    <w:rsid w:val="0009552C"/>
    <w:rsid w:val="00096C72"/>
    <w:rsid w:val="000A2A8B"/>
    <w:rsid w:val="000A314C"/>
    <w:rsid w:val="000A3BAA"/>
    <w:rsid w:val="000A4468"/>
    <w:rsid w:val="000A6AEA"/>
    <w:rsid w:val="000B07C7"/>
    <w:rsid w:val="000B0A2A"/>
    <w:rsid w:val="000B0BDA"/>
    <w:rsid w:val="000B1C44"/>
    <w:rsid w:val="000B3898"/>
    <w:rsid w:val="000B4EA0"/>
    <w:rsid w:val="000C3A8D"/>
    <w:rsid w:val="000C7A85"/>
    <w:rsid w:val="000D3951"/>
    <w:rsid w:val="000E0B03"/>
    <w:rsid w:val="000E129B"/>
    <w:rsid w:val="000E13A0"/>
    <w:rsid w:val="000E343D"/>
    <w:rsid w:val="000E63B6"/>
    <w:rsid w:val="000F32F9"/>
    <w:rsid w:val="000F365C"/>
    <w:rsid w:val="000F4A20"/>
    <w:rsid w:val="001009FF"/>
    <w:rsid w:val="0010100B"/>
    <w:rsid w:val="001048C5"/>
    <w:rsid w:val="001072B0"/>
    <w:rsid w:val="001131D5"/>
    <w:rsid w:val="00113C5C"/>
    <w:rsid w:val="00114E22"/>
    <w:rsid w:val="00116574"/>
    <w:rsid w:val="001173E7"/>
    <w:rsid w:val="00122EA4"/>
    <w:rsid w:val="00126FFA"/>
    <w:rsid w:val="00131559"/>
    <w:rsid w:val="001325E1"/>
    <w:rsid w:val="00140272"/>
    <w:rsid w:val="00141E85"/>
    <w:rsid w:val="00144C10"/>
    <w:rsid w:val="00145909"/>
    <w:rsid w:val="00151760"/>
    <w:rsid w:val="00151971"/>
    <w:rsid w:val="00151B83"/>
    <w:rsid w:val="00151EDC"/>
    <w:rsid w:val="0015378F"/>
    <w:rsid w:val="00160EFD"/>
    <w:rsid w:val="00161B75"/>
    <w:rsid w:val="00162029"/>
    <w:rsid w:val="00162871"/>
    <w:rsid w:val="0016353C"/>
    <w:rsid w:val="00166A2F"/>
    <w:rsid w:val="00166A82"/>
    <w:rsid w:val="00167796"/>
    <w:rsid w:val="001748B7"/>
    <w:rsid w:val="00174E55"/>
    <w:rsid w:val="00176D49"/>
    <w:rsid w:val="00177432"/>
    <w:rsid w:val="00177E0E"/>
    <w:rsid w:val="00183986"/>
    <w:rsid w:val="00183A80"/>
    <w:rsid w:val="00184AF2"/>
    <w:rsid w:val="00186355"/>
    <w:rsid w:val="0018642A"/>
    <w:rsid w:val="0018759B"/>
    <w:rsid w:val="001942CE"/>
    <w:rsid w:val="00195CE7"/>
    <w:rsid w:val="001966AB"/>
    <w:rsid w:val="00196A1D"/>
    <w:rsid w:val="001A1E17"/>
    <w:rsid w:val="001A29D3"/>
    <w:rsid w:val="001A31B5"/>
    <w:rsid w:val="001B1089"/>
    <w:rsid w:val="001B1748"/>
    <w:rsid w:val="001B3EB2"/>
    <w:rsid w:val="001B4F2C"/>
    <w:rsid w:val="001B5CDC"/>
    <w:rsid w:val="001B6715"/>
    <w:rsid w:val="001B6E05"/>
    <w:rsid w:val="001C3C8E"/>
    <w:rsid w:val="001C3D02"/>
    <w:rsid w:val="001C4034"/>
    <w:rsid w:val="001C5BB9"/>
    <w:rsid w:val="001C5DF2"/>
    <w:rsid w:val="001D1A6B"/>
    <w:rsid w:val="001D327F"/>
    <w:rsid w:val="001D376D"/>
    <w:rsid w:val="001D3943"/>
    <w:rsid w:val="001D434C"/>
    <w:rsid w:val="001E0B54"/>
    <w:rsid w:val="001E3E17"/>
    <w:rsid w:val="001E4358"/>
    <w:rsid w:val="001E4D38"/>
    <w:rsid w:val="001F1478"/>
    <w:rsid w:val="001F1CF6"/>
    <w:rsid w:val="001F314D"/>
    <w:rsid w:val="001F4B3C"/>
    <w:rsid w:val="001F7D12"/>
    <w:rsid w:val="00205C9A"/>
    <w:rsid w:val="002073E5"/>
    <w:rsid w:val="00210E0C"/>
    <w:rsid w:val="00211CD3"/>
    <w:rsid w:val="002139D9"/>
    <w:rsid w:val="00214BE9"/>
    <w:rsid w:val="00216EDB"/>
    <w:rsid w:val="002224EF"/>
    <w:rsid w:val="002230A8"/>
    <w:rsid w:val="00224170"/>
    <w:rsid w:val="00232BAD"/>
    <w:rsid w:val="00234277"/>
    <w:rsid w:val="00242EF8"/>
    <w:rsid w:val="002540CA"/>
    <w:rsid w:val="00256405"/>
    <w:rsid w:val="00256CB9"/>
    <w:rsid w:val="002575EE"/>
    <w:rsid w:val="0026050F"/>
    <w:rsid w:val="00262BA6"/>
    <w:rsid w:val="00265393"/>
    <w:rsid w:val="00265B8E"/>
    <w:rsid w:val="002671E5"/>
    <w:rsid w:val="0026750F"/>
    <w:rsid w:val="00271B26"/>
    <w:rsid w:val="0027392E"/>
    <w:rsid w:val="0027531B"/>
    <w:rsid w:val="00276AB6"/>
    <w:rsid w:val="00276F5D"/>
    <w:rsid w:val="00282144"/>
    <w:rsid w:val="002858DC"/>
    <w:rsid w:val="0029103A"/>
    <w:rsid w:val="00292100"/>
    <w:rsid w:val="00294C63"/>
    <w:rsid w:val="00295668"/>
    <w:rsid w:val="0029607E"/>
    <w:rsid w:val="002A061B"/>
    <w:rsid w:val="002A0ACE"/>
    <w:rsid w:val="002A17A0"/>
    <w:rsid w:val="002A249E"/>
    <w:rsid w:val="002A3AB9"/>
    <w:rsid w:val="002A470B"/>
    <w:rsid w:val="002A4723"/>
    <w:rsid w:val="002A666A"/>
    <w:rsid w:val="002A727F"/>
    <w:rsid w:val="002A7D04"/>
    <w:rsid w:val="002B1442"/>
    <w:rsid w:val="002B1E3E"/>
    <w:rsid w:val="002B572A"/>
    <w:rsid w:val="002C4F24"/>
    <w:rsid w:val="002C523D"/>
    <w:rsid w:val="002C68A8"/>
    <w:rsid w:val="002D0CE4"/>
    <w:rsid w:val="002D2DC4"/>
    <w:rsid w:val="002D7090"/>
    <w:rsid w:val="002E1894"/>
    <w:rsid w:val="002E1BC9"/>
    <w:rsid w:val="002E36A0"/>
    <w:rsid w:val="002E3B99"/>
    <w:rsid w:val="002E6063"/>
    <w:rsid w:val="002E7722"/>
    <w:rsid w:val="002F1CBE"/>
    <w:rsid w:val="002F6F85"/>
    <w:rsid w:val="003016C2"/>
    <w:rsid w:val="00304903"/>
    <w:rsid w:val="00305441"/>
    <w:rsid w:val="00305456"/>
    <w:rsid w:val="00307E2B"/>
    <w:rsid w:val="003231B1"/>
    <w:rsid w:val="00324BE1"/>
    <w:rsid w:val="00325581"/>
    <w:rsid w:val="00325ACB"/>
    <w:rsid w:val="00330F02"/>
    <w:rsid w:val="0033388F"/>
    <w:rsid w:val="003369AE"/>
    <w:rsid w:val="003413EE"/>
    <w:rsid w:val="00342BE6"/>
    <w:rsid w:val="00343812"/>
    <w:rsid w:val="00344E23"/>
    <w:rsid w:val="003464C0"/>
    <w:rsid w:val="003472A7"/>
    <w:rsid w:val="00347488"/>
    <w:rsid w:val="003500FF"/>
    <w:rsid w:val="00350587"/>
    <w:rsid w:val="00350C0B"/>
    <w:rsid w:val="00351635"/>
    <w:rsid w:val="00356515"/>
    <w:rsid w:val="003616E0"/>
    <w:rsid w:val="003668EC"/>
    <w:rsid w:val="0036773C"/>
    <w:rsid w:val="00371E8B"/>
    <w:rsid w:val="003732AA"/>
    <w:rsid w:val="00375E5C"/>
    <w:rsid w:val="0038122A"/>
    <w:rsid w:val="0038352C"/>
    <w:rsid w:val="00387B7F"/>
    <w:rsid w:val="00387DA9"/>
    <w:rsid w:val="00390770"/>
    <w:rsid w:val="0039160F"/>
    <w:rsid w:val="003937FD"/>
    <w:rsid w:val="003969E6"/>
    <w:rsid w:val="00396E9E"/>
    <w:rsid w:val="003A4600"/>
    <w:rsid w:val="003B025F"/>
    <w:rsid w:val="003B7264"/>
    <w:rsid w:val="003C02E9"/>
    <w:rsid w:val="003C1989"/>
    <w:rsid w:val="003C2E93"/>
    <w:rsid w:val="003C339F"/>
    <w:rsid w:val="003C3ED0"/>
    <w:rsid w:val="003C600B"/>
    <w:rsid w:val="003D2F97"/>
    <w:rsid w:val="003E0E37"/>
    <w:rsid w:val="003E2D88"/>
    <w:rsid w:val="003E2DA6"/>
    <w:rsid w:val="003E3F09"/>
    <w:rsid w:val="003F0112"/>
    <w:rsid w:val="003F3877"/>
    <w:rsid w:val="003F38CB"/>
    <w:rsid w:val="003F598C"/>
    <w:rsid w:val="00400837"/>
    <w:rsid w:val="00401C6E"/>
    <w:rsid w:val="00407026"/>
    <w:rsid w:val="0040708E"/>
    <w:rsid w:val="00410D36"/>
    <w:rsid w:val="00414AEB"/>
    <w:rsid w:val="0041524C"/>
    <w:rsid w:val="00415960"/>
    <w:rsid w:val="00415964"/>
    <w:rsid w:val="00417931"/>
    <w:rsid w:val="00424471"/>
    <w:rsid w:val="004259D7"/>
    <w:rsid w:val="0042743D"/>
    <w:rsid w:val="00427CA9"/>
    <w:rsid w:val="00432C8C"/>
    <w:rsid w:val="00437274"/>
    <w:rsid w:val="0044247C"/>
    <w:rsid w:val="00443A5C"/>
    <w:rsid w:val="00444F77"/>
    <w:rsid w:val="004503F4"/>
    <w:rsid w:val="00451C4B"/>
    <w:rsid w:val="00452E25"/>
    <w:rsid w:val="00454F39"/>
    <w:rsid w:val="00457642"/>
    <w:rsid w:val="00462C02"/>
    <w:rsid w:val="00464696"/>
    <w:rsid w:val="004653E0"/>
    <w:rsid w:val="00465901"/>
    <w:rsid w:val="00465EDF"/>
    <w:rsid w:val="00465F49"/>
    <w:rsid w:val="004715AE"/>
    <w:rsid w:val="004721F4"/>
    <w:rsid w:val="00472BF1"/>
    <w:rsid w:val="0047349C"/>
    <w:rsid w:val="00473A3E"/>
    <w:rsid w:val="00473BFD"/>
    <w:rsid w:val="00473CAA"/>
    <w:rsid w:val="00475D3D"/>
    <w:rsid w:val="00476423"/>
    <w:rsid w:val="004777EF"/>
    <w:rsid w:val="00480517"/>
    <w:rsid w:val="004805FE"/>
    <w:rsid w:val="00480F1C"/>
    <w:rsid w:val="004841A0"/>
    <w:rsid w:val="004844CF"/>
    <w:rsid w:val="0048628A"/>
    <w:rsid w:val="00491ABF"/>
    <w:rsid w:val="00491E56"/>
    <w:rsid w:val="004949F3"/>
    <w:rsid w:val="00495309"/>
    <w:rsid w:val="00495489"/>
    <w:rsid w:val="00497246"/>
    <w:rsid w:val="004A59B5"/>
    <w:rsid w:val="004B1DB0"/>
    <w:rsid w:val="004B43A0"/>
    <w:rsid w:val="004B5678"/>
    <w:rsid w:val="004B5A97"/>
    <w:rsid w:val="004B6963"/>
    <w:rsid w:val="004C0D12"/>
    <w:rsid w:val="004C49EB"/>
    <w:rsid w:val="004D0EB7"/>
    <w:rsid w:val="004D373E"/>
    <w:rsid w:val="004D3A83"/>
    <w:rsid w:val="004D5019"/>
    <w:rsid w:val="004D521E"/>
    <w:rsid w:val="004D5856"/>
    <w:rsid w:val="004E2A00"/>
    <w:rsid w:val="004E3AC6"/>
    <w:rsid w:val="004E48A7"/>
    <w:rsid w:val="004E52F9"/>
    <w:rsid w:val="004E695C"/>
    <w:rsid w:val="004E7D2D"/>
    <w:rsid w:val="004F0560"/>
    <w:rsid w:val="004F307F"/>
    <w:rsid w:val="004F36C9"/>
    <w:rsid w:val="004F4474"/>
    <w:rsid w:val="005019BB"/>
    <w:rsid w:val="005039B7"/>
    <w:rsid w:val="0050552D"/>
    <w:rsid w:val="00506CF4"/>
    <w:rsid w:val="00506F20"/>
    <w:rsid w:val="0051101B"/>
    <w:rsid w:val="005116B6"/>
    <w:rsid w:val="00512C65"/>
    <w:rsid w:val="00512C71"/>
    <w:rsid w:val="00514546"/>
    <w:rsid w:val="0051521E"/>
    <w:rsid w:val="005172EC"/>
    <w:rsid w:val="00517610"/>
    <w:rsid w:val="00517F96"/>
    <w:rsid w:val="00521076"/>
    <w:rsid w:val="00522357"/>
    <w:rsid w:val="005334CE"/>
    <w:rsid w:val="00533958"/>
    <w:rsid w:val="00533F10"/>
    <w:rsid w:val="00534F57"/>
    <w:rsid w:val="00537234"/>
    <w:rsid w:val="005432D9"/>
    <w:rsid w:val="00544671"/>
    <w:rsid w:val="005460BE"/>
    <w:rsid w:val="00546222"/>
    <w:rsid w:val="005469B7"/>
    <w:rsid w:val="00547217"/>
    <w:rsid w:val="005479F7"/>
    <w:rsid w:val="005508E2"/>
    <w:rsid w:val="00552558"/>
    <w:rsid w:val="00552AD1"/>
    <w:rsid w:val="00553B12"/>
    <w:rsid w:val="00554902"/>
    <w:rsid w:val="005571AD"/>
    <w:rsid w:val="005613DE"/>
    <w:rsid w:val="00566235"/>
    <w:rsid w:val="005738CD"/>
    <w:rsid w:val="00580D1D"/>
    <w:rsid w:val="005823F9"/>
    <w:rsid w:val="005866A7"/>
    <w:rsid w:val="005905D0"/>
    <w:rsid w:val="005917ED"/>
    <w:rsid w:val="00591E7D"/>
    <w:rsid w:val="00595AD0"/>
    <w:rsid w:val="0059622B"/>
    <w:rsid w:val="005A07E5"/>
    <w:rsid w:val="005A1C75"/>
    <w:rsid w:val="005A49F1"/>
    <w:rsid w:val="005A7429"/>
    <w:rsid w:val="005A7E1B"/>
    <w:rsid w:val="005B0E3B"/>
    <w:rsid w:val="005B226D"/>
    <w:rsid w:val="005B36FF"/>
    <w:rsid w:val="005B443D"/>
    <w:rsid w:val="005B50D9"/>
    <w:rsid w:val="005B5236"/>
    <w:rsid w:val="005B683C"/>
    <w:rsid w:val="005B786D"/>
    <w:rsid w:val="005C6521"/>
    <w:rsid w:val="005D093A"/>
    <w:rsid w:val="005D1FF1"/>
    <w:rsid w:val="005D3802"/>
    <w:rsid w:val="005D68D7"/>
    <w:rsid w:val="005D6BD6"/>
    <w:rsid w:val="005D7A25"/>
    <w:rsid w:val="005E0857"/>
    <w:rsid w:val="005E0978"/>
    <w:rsid w:val="005E1EF3"/>
    <w:rsid w:val="005E3732"/>
    <w:rsid w:val="005E3CDA"/>
    <w:rsid w:val="005E5F71"/>
    <w:rsid w:val="005E680C"/>
    <w:rsid w:val="005E6979"/>
    <w:rsid w:val="005F0D9F"/>
    <w:rsid w:val="005F1079"/>
    <w:rsid w:val="005F3724"/>
    <w:rsid w:val="005F40AD"/>
    <w:rsid w:val="005F5741"/>
    <w:rsid w:val="005F6938"/>
    <w:rsid w:val="005F6C4D"/>
    <w:rsid w:val="005F772A"/>
    <w:rsid w:val="006051E8"/>
    <w:rsid w:val="006054EE"/>
    <w:rsid w:val="00606CCF"/>
    <w:rsid w:val="006078E0"/>
    <w:rsid w:val="00607E7C"/>
    <w:rsid w:val="0061490E"/>
    <w:rsid w:val="006150A5"/>
    <w:rsid w:val="006175F4"/>
    <w:rsid w:val="00621760"/>
    <w:rsid w:val="006218E9"/>
    <w:rsid w:val="00623A94"/>
    <w:rsid w:val="00623E46"/>
    <w:rsid w:val="0062409F"/>
    <w:rsid w:val="006240F6"/>
    <w:rsid w:val="00626110"/>
    <w:rsid w:val="0062676D"/>
    <w:rsid w:val="006357DF"/>
    <w:rsid w:val="006419D0"/>
    <w:rsid w:val="00643543"/>
    <w:rsid w:val="00643F42"/>
    <w:rsid w:val="0064488E"/>
    <w:rsid w:val="0065137A"/>
    <w:rsid w:val="00651758"/>
    <w:rsid w:val="00651BD7"/>
    <w:rsid w:val="0065508A"/>
    <w:rsid w:val="006556C7"/>
    <w:rsid w:val="006570B7"/>
    <w:rsid w:val="00660034"/>
    <w:rsid w:val="006604B8"/>
    <w:rsid w:val="00662576"/>
    <w:rsid w:val="00662F38"/>
    <w:rsid w:val="00665352"/>
    <w:rsid w:val="00665DDC"/>
    <w:rsid w:val="00673FC3"/>
    <w:rsid w:val="00681F72"/>
    <w:rsid w:val="0068271D"/>
    <w:rsid w:val="00682CF6"/>
    <w:rsid w:val="00683723"/>
    <w:rsid w:val="00684C27"/>
    <w:rsid w:val="00684F04"/>
    <w:rsid w:val="006864C4"/>
    <w:rsid w:val="00686FF3"/>
    <w:rsid w:val="006906C2"/>
    <w:rsid w:val="0069194E"/>
    <w:rsid w:val="006920B5"/>
    <w:rsid w:val="00692529"/>
    <w:rsid w:val="00693AB3"/>
    <w:rsid w:val="00694B16"/>
    <w:rsid w:val="00695678"/>
    <w:rsid w:val="006958D9"/>
    <w:rsid w:val="006977FB"/>
    <w:rsid w:val="006A0205"/>
    <w:rsid w:val="006A04AD"/>
    <w:rsid w:val="006A20DF"/>
    <w:rsid w:val="006A38A8"/>
    <w:rsid w:val="006A6B50"/>
    <w:rsid w:val="006A72C9"/>
    <w:rsid w:val="006B033B"/>
    <w:rsid w:val="006B1AED"/>
    <w:rsid w:val="006B25D0"/>
    <w:rsid w:val="006B298C"/>
    <w:rsid w:val="006B311B"/>
    <w:rsid w:val="006B5B84"/>
    <w:rsid w:val="006B73DF"/>
    <w:rsid w:val="006B7E31"/>
    <w:rsid w:val="006C4C79"/>
    <w:rsid w:val="006C6067"/>
    <w:rsid w:val="006C7881"/>
    <w:rsid w:val="006D0EFD"/>
    <w:rsid w:val="006D1371"/>
    <w:rsid w:val="006D301B"/>
    <w:rsid w:val="006D30C6"/>
    <w:rsid w:val="006D30E8"/>
    <w:rsid w:val="006D3AEA"/>
    <w:rsid w:val="006D4D2C"/>
    <w:rsid w:val="006D4E7A"/>
    <w:rsid w:val="006D5B75"/>
    <w:rsid w:val="006D7897"/>
    <w:rsid w:val="006E61D9"/>
    <w:rsid w:val="006F0EE6"/>
    <w:rsid w:val="006F0F1E"/>
    <w:rsid w:val="006F33E2"/>
    <w:rsid w:val="006F48A7"/>
    <w:rsid w:val="006F789E"/>
    <w:rsid w:val="007005FC"/>
    <w:rsid w:val="007011D8"/>
    <w:rsid w:val="00702450"/>
    <w:rsid w:val="00704E7A"/>
    <w:rsid w:val="007060A6"/>
    <w:rsid w:val="00706140"/>
    <w:rsid w:val="0070785E"/>
    <w:rsid w:val="007114A4"/>
    <w:rsid w:val="00711538"/>
    <w:rsid w:val="0071219B"/>
    <w:rsid w:val="00712885"/>
    <w:rsid w:val="00712F4F"/>
    <w:rsid w:val="007137FF"/>
    <w:rsid w:val="00713920"/>
    <w:rsid w:val="00713BEC"/>
    <w:rsid w:val="0071507F"/>
    <w:rsid w:val="007152EB"/>
    <w:rsid w:val="00716076"/>
    <w:rsid w:val="007201E6"/>
    <w:rsid w:val="00720388"/>
    <w:rsid w:val="00725D9C"/>
    <w:rsid w:val="00725E5F"/>
    <w:rsid w:val="00726A23"/>
    <w:rsid w:val="00727B68"/>
    <w:rsid w:val="00727E09"/>
    <w:rsid w:val="00735A17"/>
    <w:rsid w:val="007406BE"/>
    <w:rsid w:val="007408A3"/>
    <w:rsid w:val="007433F8"/>
    <w:rsid w:val="00743B26"/>
    <w:rsid w:val="00744FC9"/>
    <w:rsid w:val="00744FE6"/>
    <w:rsid w:val="007477C4"/>
    <w:rsid w:val="0075058C"/>
    <w:rsid w:val="00752437"/>
    <w:rsid w:val="00753D46"/>
    <w:rsid w:val="007540EC"/>
    <w:rsid w:val="00754D2B"/>
    <w:rsid w:val="00760578"/>
    <w:rsid w:val="00760D44"/>
    <w:rsid w:val="007631F9"/>
    <w:rsid w:val="00766487"/>
    <w:rsid w:val="00766DE7"/>
    <w:rsid w:val="007715B4"/>
    <w:rsid w:val="00771A33"/>
    <w:rsid w:val="007827B6"/>
    <w:rsid w:val="0078523C"/>
    <w:rsid w:val="00786C02"/>
    <w:rsid w:val="00790EE4"/>
    <w:rsid w:val="00791526"/>
    <w:rsid w:val="00792C33"/>
    <w:rsid w:val="00796FE4"/>
    <w:rsid w:val="007973A6"/>
    <w:rsid w:val="007A2E51"/>
    <w:rsid w:val="007A3FCA"/>
    <w:rsid w:val="007A40C9"/>
    <w:rsid w:val="007B0D8C"/>
    <w:rsid w:val="007B15F5"/>
    <w:rsid w:val="007B2E5C"/>
    <w:rsid w:val="007B3427"/>
    <w:rsid w:val="007B4137"/>
    <w:rsid w:val="007B666C"/>
    <w:rsid w:val="007B6828"/>
    <w:rsid w:val="007B75E1"/>
    <w:rsid w:val="007B76DF"/>
    <w:rsid w:val="007C4B8B"/>
    <w:rsid w:val="007C584D"/>
    <w:rsid w:val="007C61F6"/>
    <w:rsid w:val="007D1987"/>
    <w:rsid w:val="007D429B"/>
    <w:rsid w:val="007D540D"/>
    <w:rsid w:val="007D584A"/>
    <w:rsid w:val="007D6988"/>
    <w:rsid w:val="007D7064"/>
    <w:rsid w:val="007E13E3"/>
    <w:rsid w:val="007E32DB"/>
    <w:rsid w:val="007E6EEA"/>
    <w:rsid w:val="007F1CB6"/>
    <w:rsid w:val="007F61A0"/>
    <w:rsid w:val="007F658A"/>
    <w:rsid w:val="007F7E10"/>
    <w:rsid w:val="008034E0"/>
    <w:rsid w:val="008037D4"/>
    <w:rsid w:val="00803996"/>
    <w:rsid w:val="008050C0"/>
    <w:rsid w:val="0081102C"/>
    <w:rsid w:val="0081150E"/>
    <w:rsid w:val="008124BA"/>
    <w:rsid w:val="00815726"/>
    <w:rsid w:val="008169C0"/>
    <w:rsid w:val="00822FB9"/>
    <w:rsid w:val="00823DE2"/>
    <w:rsid w:val="008242D6"/>
    <w:rsid w:val="00824A15"/>
    <w:rsid w:val="008257AD"/>
    <w:rsid w:val="0082604A"/>
    <w:rsid w:val="00827A06"/>
    <w:rsid w:val="0083099B"/>
    <w:rsid w:val="00831F87"/>
    <w:rsid w:val="00834CE2"/>
    <w:rsid w:val="0083567C"/>
    <w:rsid w:val="008367FF"/>
    <w:rsid w:val="008373AC"/>
    <w:rsid w:val="00837E88"/>
    <w:rsid w:val="00842DFD"/>
    <w:rsid w:val="00844517"/>
    <w:rsid w:val="00845622"/>
    <w:rsid w:val="0084616C"/>
    <w:rsid w:val="00846349"/>
    <w:rsid w:val="00847DD8"/>
    <w:rsid w:val="0085080D"/>
    <w:rsid w:val="008510FC"/>
    <w:rsid w:val="0085196D"/>
    <w:rsid w:val="00852452"/>
    <w:rsid w:val="00852ACF"/>
    <w:rsid w:val="00855CBA"/>
    <w:rsid w:val="00861F5E"/>
    <w:rsid w:val="0086398E"/>
    <w:rsid w:val="008676CF"/>
    <w:rsid w:val="00874F36"/>
    <w:rsid w:val="008778DF"/>
    <w:rsid w:val="008818A9"/>
    <w:rsid w:val="00882642"/>
    <w:rsid w:val="008835CF"/>
    <w:rsid w:val="00885E7A"/>
    <w:rsid w:val="00886668"/>
    <w:rsid w:val="00887FB4"/>
    <w:rsid w:val="008908A1"/>
    <w:rsid w:val="008A1A6B"/>
    <w:rsid w:val="008A252A"/>
    <w:rsid w:val="008A4C95"/>
    <w:rsid w:val="008B2229"/>
    <w:rsid w:val="008B240C"/>
    <w:rsid w:val="008B6CD4"/>
    <w:rsid w:val="008B7DEA"/>
    <w:rsid w:val="008C06D6"/>
    <w:rsid w:val="008C2BCA"/>
    <w:rsid w:val="008C2F17"/>
    <w:rsid w:val="008C2FC4"/>
    <w:rsid w:val="008C30F3"/>
    <w:rsid w:val="008C315D"/>
    <w:rsid w:val="008C4A1D"/>
    <w:rsid w:val="008C758C"/>
    <w:rsid w:val="008C79C5"/>
    <w:rsid w:val="008D0321"/>
    <w:rsid w:val="008D162F"/>
    <w:rsid w:val="008D3A7D"/>
    <w:rsid w:val="008D46B3"/>
    <w:rsid w:val="008D6453"/>
    <w:rsid w:val="008D6570"/>
    <w:rsid w:val="008D7FB6"/>
    <w:rsid w:val="008E138A"/>
    <w:rsid w:val="008E5786"/>
    <w:rsid w:val="008F07BD"/>
    <w:rsid w:val="008F49D6"/>
    <w:rsid w:val="008F6A77"/>
    <w:rsid w:val="008F705B"/>
    <w:rsid w:val="00906374"/>
    <w:rsid w:val="009070A3"/>
    <w:rsid w:val="00907B1E"/>
    <w:rsid w:val="00912AB1"/>
    <w:rsid w:val="00913E8F"/>
    <w:rsid w:val="00915EB2"/>
    <w:rsid w:val="00921ABA"/>
    <w:rsid w:val="009229BC"/>
    <w:rsid w:val="00923CC3"/>
    <w:rsid w:val="00924504"/>
    <w:rsid w:val="0092480D"/>
    <w:rsid w:val="00925161"/>
    <w:rsid w:val="009263D3"/>
    <w:rsid w:val="0093007C"/>
    <w:rsid w:val="00936D78"/>
    <w:rsid w:val="00941E2D"/>
    <w:rsid w:val="00944C59"/>
    <w:rsid w:val="00946B5B"/>
    <w:rsid w:val="009540B0"/>
    <w:rsid w:val="00954A8E"/>
    <w:rsid w:val="0095539C"/>
    <w:rsid w:val="009604D6"/>
    <w:rsid w:val="00961015"/>
    <w:rsid w:val="00961DFC"/>
    <w:rsid w:val="009632CD"/>
    <w:rsid w:val="0096466D"/>
    <w:rsid w:val="00965D76"/>
    <w:rsid w:val="00966463"/>
    <w:rsid w:val="00970E41"/>
    <w:rsid w:val="00973C4B"/>
    <w:rsid w:val="009743B5"/>
    <w:rsid w:val="0097518E"/>
    <w:rsid w:val="009823F6"/>
    <w:rsid w:val="0098265C"/>
    <w:rsid w:val="00983ACE"/>
    <w:rsid w:val="00983DD5"/>
    <w:rsid w:val="00985FC3"/>
    <w:rsid w:val="009902AC"/>
    <w:rsid w:val="00994CDC"/>
    <w:rsid w:val="009963A2"/>
    <w:rsid w:val="0099648E"/>
    <w:rsid w:val="009A009D"/>
    <w:rsid w:val="009A095F"/>
    <w:rsid w:val="009A0F91"/>
    <w:rsid w:val="009A16B7"/>
    <w:rsid w:val="009A2346"/>
    <w:rsid w:val="009A2991"/>
    <w:rsid w:val="009A42C4"/>
    <w:rsid w:val="009A79BE"/>
    <w:rsid w:val="009B3938"/>
    <w:rsid w:val="009B4AF2"/>
    <w:rsid w:val="009B5AE8"/>
    <w:rsid w:val="009B761A"/>
    <w:rsid w:val="009C14D6"/>
    <w:rsid w:val="009C3A04"/>
    <w:rsid w:val="009C499D"/>
    <w:rsid w:val="009C58DE"/>
    <w:rsid w:val="009D0AE8"/>
    <w:rsid w:val="009D2E35"/>
    <w:rsid w:val="009D5688"/>
    <w:rsid w:val="009D5840"/>
    <w:rsid w:val="009D5859"/>
    <w:rsid w:val="009E29C9"/>
    <w:rsid w:val="009E39C0"/>
    <w:rsid w:val="009E62DA"/>
    <w:rsid w:val="009E697A"/>
    <w:rsid w:val="009F0025"/>
    <w:rsid w:val="009F31C0"/>
    <w:rsid w:val="009F44A3"/>
    <w:rsid w:val="009F6314"/>
    <w:rsid w:val="009F6673"/>
    <w:rsid w:val="00A02B15"/>
    <w:rsid w:val="00A044B1"/>
    <w:rsid w:val="00A05311"/>
    <w:rsid w:val="00A0570F"/>
    <w:rsid w:val="00A0745F"/>
    <w:rsid w:val="00A1139A"/>
    <w:rsid w:val="00A12F53"/>
    <w:rsid w:val="00A13A53"/>
    <w:rsid w:val="00A14B65"/>
    <w:rsid w:val="00A173B6"/>
    <w:rsid w:val="00A174CB"/>
    <w:rsid w:val="00A219BA"/>
    <w:rsid w:val="00A23E0F"/>
    <w:rsid w:val="00A251AE"/>
    <w:rsid w:val="00A2704F"/>
    <w:rsid w:val="00A2738A"/>
    <w:rsid w:val="00A30413"/>
    <w:rsid w:val="00A31C9A"/>
    <w:rsid w:val="00A320BA"/>
    <w:rsid w:val="00A32594"/>
    <w:rsid w:val="00A32CA7"/>
    <w:rsid w:val="00A3418D"/>
    <w:rsid w:val="00A34A91"/>
    <w:rsid w:val="00A378F4"/>
    <w:rsid w:val="00A37ECC"/>
    <w:rsid w:val="00A37FE1"/>
    <w:rsid w:val="00A405E4"/>
    <w:rsid w:val="00A43021"/>
    <w:rsid w:val="00A435A0"/>
    <w:rsid w:val="00A44D43"/>
    <w:rsid w:val="00A4574D"/>
    <w:rsid w:val="00A463DA"/>
    <w:rsid w:val="00A472F9"/>
    <w:rsid w:val="00A473C5"/>
    <w:rsid w:val="00A47DC4"/>
    <w:rsid w:val="00A512AD"/>
    <w:rsid w:val="00A514C8"/>
    <w:rsid w:val="00A51A4E"/>
    <w:rsid w:val="00A525C2"/>
    <w:rsid w:val="00A52E3C"/>
    <w:rsid w:val="00A538BB"/>
    <w:rsid w:val="00A54670"/>
    <w:rsid w:val="00A54B25"/>
    <w:rsid w:val="00A57117"/>
    <w:rsid w:val="00A5711F"/>
    <w:rsid w:val="00A57517"/>
    <w:rsid w:val="00A57D80"/>
    <w:rsid w:val="00A60EFC"/>
    <w:rsid w:val="00A610C9"/>
    <w:rsid w:val="00A64171"/>
    <w:rsid w:val="00A66B02"/>
    <w:rsid w:val="00A67F6B"/>
    <w:rsid w:val="00A7004A"/>
    <w:rsid w:val="00A708D4"/>
    <w:rsid w:val="00A7091E"/>
    <w:rsid w:val="00A73104"/>
    <w:rsid w:val="00A74BEE"/>
    <w:rsid w:val="00A77041"/>
    <w:rsid w:val="00A77DDB"/>
    <w:rsid w:val="00A80EA2"/>
    <w:rsid w:val="00A83B67"/>
    <w:rsid w:val="00A85727"/>
    <w:rsid w:val="00A866B5"/>
    <w:rsid w:val="00A93689"/>
    <w:rsid w:val="00A93D59"/>
    <w:rsid w:val="00A9454B"/>
    <w:rsid w:val="00A95FE7"/>
    <w:rsid w:val="00A96954"/>
    <w:rsid w:val="00AA04DC"/>
    <w:rsid w:val="00AA3591"/>
    <w:rsid w:val="00AA453C"/>
    <w:rsid w:val="00AB104E"/>
    <w:rsid w:val="00AB2D3D"/>
    <w:rsid w:val="00AB4D61"/>
    <w:rsid w:val="00AB5D55"/>
    <w:rsid w:val="00AB7043"/>
    <w:rsid w:val="00AB74C3"/>
    <w:rsid w:val="00AC0281"/>
    <w:rsid w:val="00AC07D5"/>
    <w:rsid w:val="00AC1547"/>
    <w:rsid w:val="00AC16B7"/>
    <w:rsid w:val="00AC22A1"/>
    <w:rsid w:val="00AC2F3D"/>
    <w:rsid w:val="00AC4FEE"/>
    <w:rsid w:val="00AC77F2"/>
    <w:rsid w:val="00AD0D87"/>
    <w:rsid w:val="00AD19EA"/>
    <w:rsid w:val="00AD3176"/>
    <w:rsid w:val="00AD4542"/>
    <w:rsid w:val="00AD5D3A"/>
    <w:rsid w:val="00AD627B"/>
    <w:rsid w:val="00AD65B2"/>
    <w:rsid w:val="00AE3F04"/>
    <w:rsid w:val="00AE45EB"/>
    <w:rsid w:val="00AE60E6"/>
    <w:rsid w:val="00AE66D6"/>
    <w:rsid w:val="00AE6FD1"/>
    <w:rsid w:val="00AF0BC5"/>
    <w:rsid w:val="00AF430C"/>
    <w:rsid w:val="00B00A12"/>
    <w:rsid w:val="00B03575"/>
    <w:rsid w:val="00B035B5"/>
    <w:rsid w:val="00B04B77"/>
    <w:rsid w:val="00B074CA"/>
    <w:rsid w:val="00B07827"/>
    <w:rsid w:val="00B103C3"/>
    <w:rsid w:val="00B153AE"/>
    <w:rsid w:val="00B20533"/>
    <w:rsid w:val="00B21864"/>
    <w:rsid w:val="00B30EE8"/>
    <w:rsid w:val="00B33783"/>
    <w:rsid w:val="00B3740D"/>
    <w:rsid w:val="00B42302"/>
    <w:rsid w:val="00B43E76"/>
    <w:rsid w:val="00B511BB"/>
    <w:rsid w:val="00B53410"/>
    <w:rsid w:val="00B53E37"/>
    <w:rsid w:val="00B546EE"/>
    <w:rsid w:val="00B56D2A"/>
    <w:rsid w:val="00B616D8"/>
    <w:rsid w:val="00B633B4"/>
    <w:rsid w:val="00B641A4"/>
    <w:rsid w:val="00B66B6D"/>
    <w:rsid w:val="00B676D1"/>
    <w:rsid w:val="00B67E1F"/>
    <w:rsid w:val="00B716A5"/>
    <w:rsid w:val="00B73181"/>
    <w:rsid w:val="00B73F56"/>
    <w:rsid w:val="00B75374"/>
    <w:rsid w:val="00B80B32"/>
    <w:rsid w:val="00B85C0D"/>
    <w:rsid w:val="00B87A03"/>
    <w:rsid w:val="00B9190E"/>
    <w:rsid w:val="00B91BE0"/>
    <w:rsid w:val="00B935D0"/>
    <w:rsid w:val="00B93F4B"/>
    <w:rsid w:val="00BA30E3"/>
    <w:rsid w:val="00BA3652"/>
    <w:rsid w:val="00BA63B0"/>
    <w:rsid w:val="00BA72DB"/>
    <w:rsid w:val="00BA7516"/>
    <w:rsid w:val="00BB14D1"/>
    <w:rsid w:val="00BB690E"/>
    <w:rsid w:val="00BB7B00"/>
    <w:rsid w:val="00BC0D57"/>
    <w:rsid w:val="00BC2257"/>
    <w:rsid w:val="00BC3C1B"/>
    <w:rsid w:val="00BC5BA7"/>
    <w:rsid w:val="00BD0F2D"/>
    <w:rsid w:val="00BD2A37"/>
    <w:rsid w:val="00BD5450"/>
    <w:rsid w:val="00BD5C6C"/>
    <w:rsid w:val="00BD6269"/>
    <w:rsid w:val="00BE083E"/>
    <w:rsid w:val="00BE0F1B"/>
    <w:rsid w:val="00BE2B7C"/>
    <w:rsid w:val="00BE30B1"/>
    <w:rsid w:val="00BE34A2"/>
    <w:rsid w:val="00BE551A"/>
    <w:rsid w:val="00BE7B49"/>
    <w:rsid w:val="00BE7F79"/>
    <w:rsid w:val="00BF0E70"/>
    <w:rsid w:val="00BF473D"/>
    <w:rsid w:val="00BF5106"/>
    <w:rsid w:val="00C00546"/>
    <w:rsid w:val="00C015D2"/>
    <w:rsid w:val="00C03957"/>
    <w:rsid w:val="00C0534A"/>
    <w:rsid w:val="00C07144"/>
    <w:rsid w:val="00C10540"/>
    <w:rsid w:val="00C16A50"/>
    <w:rsid w:val="00C2008A"/>
    <w:rsid w:val="00C26346"/>
    <w:rsid w:val="00C265F5"/>
    <w:rsid w:val="00C2712E"/>
    <w:rsid w:val="00C3002E"/>
    <w:rsid w:val="00C3196B"/>
    <w:rsid w:val="00C33D35"/>
    <w:rsid w:val="00C4018F"/>
    <w:rsid w:val="00C441B4"/>
    <w:rsid w:val="00C449C8"/>
    <w:rsid w:val="00C515B5"/>
    <w:rsid w:val="00C53398"/>
    <w:rsid w:val="00C54154"/>
    <w:rsid w:val="00C55050"/>
    <w:rsid w:val="00C6565F"/>
    <w:rsid w:val="00C65DB3"/>
    <w:rsid w:val="00C675CF"/>
    <w:rsid w:val="00C74AAB"/>
    <w:rsid w:val="00C7573B"/>
    <w:rsid w:val="00C76877"/>
    <w:rsid w:val="00C77774"/>
    <w:rsid w:val="00C806CC"/>
    <w:rsid w:val="00C80940"/>
    <w:rsid w:val="00C811B8"/>
    <w:rsid w:val="00C835B0"/>
    <w:rsid w:val="00C84FB4"/>
    <w:rsid w:val="00C9286E"/>
    <w:rsid w:val="00C94023"/>
    <w:rsid w:val="00C97D0F"/>
    <w:rsid w:val="00C97F71"/>
    <w:rsid w:val="00CA30D2"/>
    <w:rsid w:val="00CA42E7"/>
    <w:rsid w:val="00CA5AE1"/>
    <w:rsid w:val="00CA771E"/>
    <w:rsid w:val="00CB1C90"/>
    <w:rsid w:val="00CB38CE"/>
    <w:rsid w:val="00CB797E"/>
    <w:rsid w:val="00CB7F03"/>
    <w:rsid w:val="00CC0162"/>
    <w:rsid w:val="00CC191E"/>
    <w:rsid w:val="00CC2D1B"/>
    <w:rsid w:val="00CC37C9"/>
    <w:rsid w:val="00CC6371"/>
    <w:rsid w:val="00CC7491"/>
    <w:rsid w:val="00CC7A33"/>
    <w:rsid w:val="00CD0754"/>
    <w:rsid w:val="00CD088C"/>
    <w:rsid w:val="00CD1DE4"/>
    <w:rsid w:val="00CD20FE"/>
    <w:rsid w:val="00CD2E08"/>
    <w:rsid w:val="00CD2E31"/>
    <w:rsid w:val="00CD3267"/>
    <w:rsid w:val="00CD3423"/>
    <w:rsid w:val="00CD4843"/>
    <w:rsid w:val="00CD5E32"/>
    <w:rsid w:val="00CD7095"/>
    <w:rsid w:val="00CD7BD7"/>
    <w:rsid w:val="00CE187A"/>
    <w:rsid w:val="00CE4074"/>
    <w:rsid w:val="00CE442D"/>
    <w:rsid w:val="00CE567C"/>
    <w:rsid w:val="00CE6C07"/>
    <w:rsid w:val="00CF0B5B"/>
    <w:rsid w:val="00CF0D30"/>
    <w:rsid w:val="00CF26C7"/>
    <w:rsid w:val="00CF306E"/>
    <w:rsid w:val="00CF631A"/>
    <w:rsid w:val="00CF7476"/>
    <w:rsid w:val="00D0206C"/>
    <w:rsid w:val="00D03804"/>
    <w:rsid w:val="00D05B59"/>
    <w:rsid w:val="00D062D5"/>
    <w:rsid w:val="00D06802"/>
    <w:rsid w:val="00D124D3"/>
    <w:rsid w:val="00D129CE"/>
    <w:rsid w:val="00D12DB9"/>
    <w:rsid w:val="00D204B8"/>
    <w:rsid w:val="00D21DE5"/>
    <w:rsid w:val="00D22005"/>
    <w:rsid w:val="00D230BB"/>
    <w:rsid w:val="00D2339B"/>
    <w:rsid w:val="00D26929"/>
    <w:rsid w:val="00D30069"/>
    <w:rsid w:val="00D31521"/>
    <w:rsid w:val="00D31BBE"/>
    <w:rsid w:val="00D32D7E"/>
    <w:rsid w:val="00D33BCE"/>
    <w:rsid w:val="00D35817"/>
    <w:rsid w:val="00D3649E"/>
    <w:rsid w:val="00D364EC"/>
    <w:rsid w:val="00D37F8C"/>
    <w:rsid w:val="00D4425D"/>
    <w:rsid w:val="00D4695A"/>
    <w:rsid w:val="00D50FB4"/>
    <w:rsid w:val="00D5283B"/>
    <w:rsid w:val="00D55F9D"/>
    <w:rsid w:val="00D56D47"/>
    <w:rsid w:val="00D5788E"/>
    <w:rsid w:val="00D57EC6"/>
    <w:rsid w:val="00D6212D"/>
    <w:rsid w:val="00D62F43"/>
    <w:rsid w:val="00D660F9"/>
    <w:rsid w:val="00D76644"/>
    <w:rsid w:val="00D77EDE"/>
    <w:rsid w:val="00D8107E"/>
    <w:rsid w:val="00D84442"/>
    <w:rsid w:val="00D8470E"/>
    <w:rsid w:val="00D85E67"/>
    <w:rsid w:val="00D864DC"/>
    <w:rsid w:val="00DA0CD4"/>
    <w:rsid w:val="00DA3A60"/>
    <w:rsid w:val="00DA42E5"/>
    <w:rsid w:val="00DA4492"/>
    <w:rsid w:val="00DA5508"/>
    <w:rsid w:val="00DA5591"/>
    <w:rsid w:val="00DA5BF4"/>
    <w:rsid w:val="00DA5CC4"/>
    <w:rsid w:val="00DA693F"/>
    <w:rsid w:val="00DB2B97"/>
    <w:rsid w:val="00DB7524"/>
    <w:rsid w:val="00DB7A9E"/>
    <w:rsid w:val="00DC0CCD"/>
    <w:rsid w:val="00DC1020"/>
    <w:rsid w:val="00DC7CBE"/>
    <w:rsid w:val="00DD371D"/>
    <w:rsid w:val="00DD4040"/>
    <w:rsid w:val="00DE1346"/>
    <w:rsid w:val="00DE2421"/>
    <w:rsid w:val="00DE38E4"/>
    <w:rsid w:val="00DE4DC8"/>
    <w:rsid w:val="00DE671E"/>
    <w:rsid w:val="00DF6C62"/>
    <w:rsid w:val="00DF7EFC"/>
    <w:rsid w:val="00E050E0"/>
    <w:rsid w:val="00E052C1"/>
    <w:rsid w:val="00E052F0"/>
    <w:rsid w:val="00E0605F"/>
    <w:rsid w:val="00E10879"/>
    <w:rsid w:val="00E12C12"/>
    <w:rsid w:val="00E139FD"/>
    <w:rsid w:val="00E13C8E"/>
    <w:rsid w:val="00E17DDB"/>
    <w:rsid w:val="00E2355F"/>
    <w:rsid w:val="00E24D00"/>
    <w:rsid w:val="00E259BC"/>
    <w:rsid w:val="00E27709"/>
    <w:rsid w:val="00E31587"/>
    <w:rsid w:val="00E31DFD"/>
    <w:rsid w:val="00E32C80"/>
    <w:rsid w:val="00E339E8"/>
    <w:rsid w:val="00E35EED"/>
    <w:rsid w:val="00E414C6"/>
    <w:rsid w:val="00E41C0A"/>
    <w:rsid w:val="00E41D57"/>
    <w:rsid w:val="00E422FE"/>
    <w:rsid w:val="00E430A5"/>
    <w:rsid w:val="00E444B3"/>
    <w:rsid w:val="00E45017"/>
    <w:rsid w:val="00E45510"/>
    <w:rsid w:val="00E464E3"/>
    <w:rsid w:val="00E539F4"/>
    <w:rsid w:val="00E54398"/>
    <w:rsid w:val="00E5508B"/>
    <w:rsid w:val="00E60CD0"/>
    <w:rsid w:val="00E65986"/>
    <w:rsid w:val="00E70202"/>
    <w:rsid w:val="00E70DD3"/>
    <w:rsid w:val="00E7182D"/>
    <w:rsid w:val="00E736CE"/>
    <w:rsid w:val="00E7503A"/>
    <w:rsid w:val="00E7629B"/>
    <w:rsid w:val="00E77D3E"/>
    <w:rsid w:val="00E8196D"/>
    <w:rsid w:val="00E81B93"/>
    <w:rsid w:val="00E821F0"/>
    <w:rsid w:val="00E82694"/>
    <w:rsid w:val="00E84170"/>
    <w:rsid w:val="00E85823"/>
    <w:rsid w:val="00E9018A"/>
    <w:rsid w:val="00E93148"/>
    <w:rsid w:val="00E96750"/>
    <w:rsid w:val="00E97133"/>
    <w:rsid w:val="00E97D4F"/>
    <w:rsid w:val="00EA375B"/>
    <w:rsid w:val="00EB0468"/>
    <w:rsid w:val="00EB06D1"/>
    <w:rsid w:val="00EB0DFE"/>
    <w:rsid w:val="00EB3B68"/>
    <w:rsid w:val="00EB49B9"/>
    <w:rsid w:val="00EB4ACA"/>
    <w:rsid w:val="00EB553B"/>
    <w:rsid w:val="00EC2EBB"/>
    <w:rsid w:val="00EC2FB6"/>
    <w:rsid w:val="00EC5F32"/>
    <w:rsid w:val="00ED03A1"/>
    <w:rsid w:val="00ED07AB"/>
    <w:rsid w:val="00ED2865"/>
    <w:rsid w:val="00ED30CA"/>
    <w:rsid w:val="00ED477C"/>
    <w:rsid w:val="00ED5D6C"/>
    <w:rsid w:val="00ED6041"/>
    <w:rsid w:val="00ED617C"/>
    <w:rsid w:val="00EE12A7"/>
    <w:rsid w:val="00EE247E"/>
    <w:rsid w:val="00EE6A3F"/>
    <w:rsid w:val="00EF0199"/>
    <w:rsid w:val="00EF2AE5"/>
    <w:rsid w:val="00EF4798"/>
    <w:rsid w:val="00EF584F"/>
    <w:rsid w:val="00F0095C"/>
    <w:rsid w:val="00F00DCB"/>
    <w:rsid w:val="00F06849"/>
    <w:rsid w:val="00F13580"/>
    <w:rsid w:val="00F13980"/>
    <w:rsid w:val="00F15CE8"/>
    <w:rsid w:val="00F20C31"/>
    <w:rsid w:val="00F22AF5"/>
    <w:rsid w:val="00F248C8"/>
    <w:rsid w:val="00F24A5B"/>
    <w:rsid w:val="00F31CBB"/>
    <w:rsid w:val="00F32222"/>
    <w:rsid w:val="00F336E7"/>
    <w:rsid w:val="00F33A32"/>
    <w:rsid w:val="00F345A0"/>
    <w:rsid w:val="00F35698"/>
    <w:rsid w:val="00F370CE"/>
    <w:rsid w:val="00F4131A"/>
    <w:rsid w:val="00F445CE"/>
    <w:rsid w:val="00F45C9E"/>
    <w:rsid w:val="00F45E7E"/>
    <w:rsid w:val="00F536E1"/>
    <w:rsid w:val="00F548D4"/>
    <w:rsid w:val="00F55977"/>
    <w:rsid w:val="00F5751A"/>
    <w:rsid w:val="00F5769E"/>
    <w:rsid w:val="00F57790"/>
    <w:rsid w:val="00F62C7C"/>
    <w:rsid w:val="00F71DFE"/>
    <w:rsid w:val="00F740C4"/>
    <w:rsid w:val="00F7538F"/>
    <w:rsid w:val="00F770A9"/>
    <w:rsid w:val="00F773D0"/>
    <w:rsid w:val="00F81004"/>
    <w:rsid w:val="00F836A5"/>
    <w:rsid w:val="00F84107"/>
    <w:rsid w:val="00F867FB"/>
    <w:rsid w:val="00F86D33"/>
    <w:rsid w:val="00F87BB9"/>
    <w:rsid w:val="00F90884"/>
    <w:rsid w:val="00F90B1F"/>
    <w:rsid w:val="00F933E8"/>
    <w:rsid w:val="00F93412"/>
    <w:rsid w:val="00F93A8A"/>
    <w:rsid w:val="00F93D16"/>
    <w:rsid w:val="00F93E7C"/>
    <w:rsid w:val="00F94B3F"/>
    <w:rsid w:val="00F95C21"/>
    <w:rsid w:val="00F95C6C"/>
    <w:rsid w:val="00F96D52"/>
    <w:rsid w:val="00FA170D"/>
    <w:rsid w:val="00FA1A77"/>
    <w:rsid w:val="00FA31E9"/>
    <w:rsid w:val="00FB2D9C"/>
    <w:rsid w:val="00FB3D84"/>
    <w:rsid w:val="00FB4644"/>
    <w:rsid w:val="00FB6757"/>
    <w:rsid w:val="00FC085E"/>
    <w:rsid w:val="00FC2BCB"/>
    <w:rsid w:val="00FC4261"/>
    <w:rsid w:val="00FC48E6"/>
    <w:rsid w:val="00FC6031"/>
    <w:rsid w:val="00FD018F"/>
    <w:rsid w:val="00FD1006"/>
    <w:rsid w:val="00FD11E2"/>
    <w:rsid w:val="00FD1330"/>
    <w:rsid w:val="00FD6BCC"/>
    <w:rsid w:val="00FE0F04"/>
    <w:rsid w:val="00FE363D"/>
    <w:rsid w:val="00FE5213"/>
    <w:rsid w:val="00FE6F7A"/>
    <w:rsid w:val="00FF447A"/>
    <w:rsid w:val="00FF608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3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471"/>
  </w:style>
  <w:style w:type="paragraph" w:styleId="Heading2">
    <w:name w:val="heading 2"/>
    <w:basedOn w:val="Normal"/>
    <w:next w:val="Normal"/>
    <w:link w:val="Heading2Char"/>
    <w:qFormat/>
    <w:rsid w:val="00424471"/>
    <w:pPr>
      <w:keepNext/>
      <w:spacing w:before="240" w:after="60" w:line="240" w:lineRule="auto"/>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4471"/>
    <w:rPr>
      <w:rFonts w:ascii="Arial" w:eastAsia="Calibri" w:hAnsi="Arial" w:cs="Arial"/>
      <w:b/>
      <w:bCs/>
      <w:i/>
      <w:iCs/>
      <w:sz w:val="28"/>
      <w:szCs w:val="28"/>
    </w:rPr>
  </w:style>
  <w:style w:type="character" w:customStyle="1" w:styleId="BodyText2Char">
    <w:name w:val="Body Text 2 Char"/>
    <w:link w:val="BodyText2"/>
    <w:semiHidden/>
    <w:locked/>
    <w:rsid w:val="00424471"/>
    <w:rPr>
      <w:rFonts w:ascii="Garamond" w:eastAsia="Calibri" w:hAnsi="Garamond"/>
      <w:sz w:val="28"/>
      <w:szCs w:val="28"/>
    </w:rPr>
  </w:style>
  <w:style w:type="paragraph" w:styleId="BodyText2">
    <w:name w:val="Body Text 2"/>
    <w:basedOn w:val="Normal"/>
    <w:link w:val="BodyText2Char"/>
    <w:semiHidden/>
    <w:rsid w:val="00424471"/>
    <w:pPr>
      <w:spacing w:after="0" w:line="240" w:lineRule="auto"/>
      <w:jc w:val="right"/>
    </w:pPr>
    <w:rPr>
      <w:rFonts w:ascii="Garamond" w:eastAsia="Calibri" w:hAnsi="Garamond"/>
      <w:sz w:val="28"/>
      <w:szCs w:val="28"/>
    </w:rPr>
  </w:style>
  <w:style w:type="character" w:customStyle="1" w:styleId="BodyText2Char1">
    <w:name w:val="Body Text 2 Char1"/>
    <w:basedOn w:val="DefaultParagraphFont"/>
    <w:uiPriority w:val="99"/>
    <w:semiHidden/>
    <w:rsid w:val="00424471"/>
  </w:style>
  <w:style w:type="table" w:styleId="TableGrid">
    <w:name w:val="Table Grid"/>
    <w:basedOn w:val="TableNormal"/>
    <w:uiPriority w:val="39"/>
    <w:rsid w:val="0042447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CF6"/>
    <w:rPr>
      <w:color w:val="0000FF"/>
      <w:u w:val="single"/>
    </w:rPr>
  </w:style>
  <w:style w:type="paragraph" w:styleId="Header">
    <w:name w:val="header"/>
    <w:basedOn w:val="Normal"/>
    <w:link w:val="HeaderChar"/>
    <w:uiPriority w:val="99"/>
    <w:unhideWhenUsed/>
    <w:rsid w:val="00325AC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5ACB"/>
  </w:style>
  <w:style w:type="paragraph" w:styleId="Footer">
    <w:name w:val="footer"/>
    <w:basedOn w:val="Normal"/>
    <w:link w:val="FooterChar"/>
    <w:uiPriority w:val="99"/>
    <w:unhideWhenUsed/>
    <w:rsid w:val="00325AC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5ACB"/>
  </w:style>
  <w:style w:type="paragraph" w:styleId="BalloonText">
    <w:name w:val="Balloon Text"/>
    <w:basedOn w:val="Normal"/>
    <w:link w:val="BalloonTextChar"/>
    <w:uiPriority w:val="99"/>
    <w:semiHidden/>
    <w:unhideWhenUsed/>
    <w:rsid w:val="00465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EDF"/>
    <w:rPr>
      <w:rFonts w:ascii="Segoe UI" w:hAnsi="Segoe UI" w:cs="Segoe UI"/>
      <w:sz w:val="18"/>
      <w:szCs w:val="18"/>
    </w:rPr>
  </w:style>
  <w:style w:type="paragraph" w:styleId="NoSpacing">
    <w:name w:val="No Spacing"/>
    <w:uiPriority w:val="1"/>
    <w:qFormat/>
    <w:rsid w:val="002A249E"/>
    <w:pPr>
      <w:spacing w:after="0" w:line="240" w:lineRule="auto"/>
    </w:pPr>
  </w:style>
  <w:style w:type="character" w:styleId="CommentReference">
    <w:name w:val="annotation reference"/>
    <w:basedOn w:val="DefaultParagraphFont"/>
    <w:uiPriority w:val="99"/>
    <w:semiHidden/>
    <w:unhideWhenUsed/>
    <w:rsid w:val="001B6715"/>
    <w:rPr>
      <w:sz w:val="16"/>
      <w:szCs w:val="16"/>
    </w:rPr>
  </w:style>
  <w:style w:type="paragraph" w:styleId="CommentText">
    <w:name w:val="annotation text"/>
    <w:basedOn w:val="Normal"/>
    <w:link w:val="CommentTextChar"/>
    <w:uiPriority w:val="99"/>
    <w:semiHidden/>
    <w:unhideWhenUsed/>
    <w:rsid w:val="001B6715"/>
    <w:pPr>
      <w:spacing w:line="240" w:lineRule="auto"/>
    </w:pPr>
    <w:rPr>
      <w:sz w:val="20"/>
      <w:szCs w:val="20"/>
    </w:rPr>
  </w:style>
  <w:style w:type="character" w:customStyle="1" w:styleId="CommentTextChar">
    <w:name w:val="Comment Text Char"/>
    <w:basedOn w:val="DefaultParagraphFont"/>
    <w:link w:val="CommentText"/>
    <w:uiPriority w:val="99"/>
    <w:semiHidden/>
    <w:rsid w:val="001B6715"/>
    <w:rPr>
      <w:sz w:val="20"/>
      <w:szCs w:val="20"/>
    </w:rPr>
  </w:style>
  <w:style w:type="paragraph" w:styleId="CommentSubject">
    <w:name w:val="annotation subject"/>
    <w:basedOn w:val="CommentText"/>
    <w:next w:val="CommentText"/>
    <w:link w:val="CommentSubjectChar"/>
    <w:uiPriority w:val="99"/>
    <w:semiHidden/>
    <w:unhideWhenUsed/>
    <w:rsid w:val="001B6715"/>
    <w:rPr>
      <w:b/>
      <w:bCs/>
    </w:rPr>
  </w:style>
  <w:style w:type="character" w:customStyle="1" w:styleId="CommentSubjectChar">
    <w:name w:val="Comment Subject Char"/>
    <w:basedOn w:val="CommentTextChar"/>
    <w:link w:val="CommentSubject"/>
    <w:uiPriority w:val="99"/>
    <w:semiHidden/>
    <w:rsid w:val="001B6715"/>
    <w:rPr>
      <w:b/>
      <w:bCs/>
      <w:sz w:val="20"/>
      <w:szCs w:val="20"/>
    </w:rPr>
  </w:style>
  <w:style w:type="paragraph" w:styleId="ListParagraph">
    <w:name w:val="List Paragraph"/>
    <w:basedOn w:val="Normal"/>
    <w:uiPriority w:val="34"/>
    <w:qFormat/>
    <w:rsid w:val="005D1FF1"/>
    <w:pPr>
      <w:ind w:left="720"/>
      <w:contextualSpacing/>
    </w:pPr>
  </w:style>
  <w:style w:type="character" w:styleId="FootnoteReference">
    <w:name w:val="footnote reference"/>
    <w:basedOn w:val="DefaultParagraphFont"/>
    <w:uiPriority w:val="99"/>
    <w:semiHidden/>
    <w:unhideWhenUsed/>
    <w:rsid w:val="00643F42"/>
    <w:rPr>
      <w:vertAlign w:val="superscript"/>
    </w:rPr>
  </w:style>
  <w:style w:type="paragraph" w:customStyle="1" w:styleId="tv213">
    <w:name w:val="tv213"/>
    <w:basedOn w:val="Normal"/>
    <w:rsid w:val="00827A06"/>
    <w:pPr>
      <w:spacing w:before="100" w:beforeAutospacing="1" w:after="100" w:afterAutospacing="1" w:line="240" w:lineRule="auto"/>
    </w:pPr>
    <w:rPr>
      <w:rFonts w:eastAsia="Times New Roman" w:cs="Times New Roman"/>
      <w:szCs w:val="24"/>
      <w:lang w:eastAsia="lv-LV"/>
    </w:rPr>
  </w:style>
  <w:style w:type="character" w:customStyle="1" w:styleId="s7d2086b4">
    <w:name w:val="s7d2086b4"/>
    <w:basedOn w:val="DefaultParagraphFont"/>
    <w:rsid w:val="00A44D43"/>
  </w:style>
  <w:style w:type="character" w:customStyle="1" w:styleId="UnresolvedMention1">
    <w:name w:val="Unresolved Mention1"/>
    <w:basedOn w:val="DefaultParagraphFont"/>
    <w:uiPriority w:val="99"/>
    <w:semiHidden/>
    <w:unhideWhenUsed/>
    <w:rsid w:val="00092874"/>
    <w:rPr>
      <w:color w:val="605E5C"/>
      <w:shd w:val="clear" w:color="auto" w:fill="E1DFDD"/>
    </w:rPr>
  </w:style>
  <w:style w:type="character" w:styleId="FollowedHyperlink">
    <w:name w:val="FollowedHyperlink"/>
    <w:basedOn w:val="DefaultParagraphFont"/>
    <w:uiPriority w:val="99"/>
    <w:semiHidden/>
    <w:unhideWhenUsed/>
    <w:rsid w:val="003B7264"/>
    <w:rPr>
      <w:color w:val="954F72" w:themeColor="followedHyperlink"/>
      <w:u w:val="single"/>
    </w:rPr>
  </w:style>
  <w:style w:type="paragraph" w:styleId="Revision">
    <w:name w:val="Revision"/>
    <w:hidden/>
    <w:uiPriority w:val="99"/>
    <w:semiHidden/>
    <w:rsid w:val="001942CE"/>
    <w:pPr>
      <w:spacing w:after="0" w:line="240" w:lineRule="auto"/>
    </w:pPr>
  </w:style>
  <w:style w:type="paragraph" w:styleId="FootnoteText">
    <w:name w:val="footnote text"/>
    <w:basedOn w:val="Normal"/>
    <w:link w:val="FootnoteTextChar"/>
    <w:uiPriority w:val="99"/>
    <w:semiHidden/>
    <w:unhideWhenUsed/>
    <w:rsid w:val="002A47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47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600645">
      <w:bodyDiv w:val="1"/>
      <w:marLeft w:val="0"/>
      <w:marRight w:val="0"/>
      <w:marTop w:val="0"/>
      <w:marBottom w:val="0"/>
      <w:divBdr>
        <w:top w:val="none" w:sz="0" w:space="0" w:color="auto"/>
        <w:left w:val="none" w:sz="0" w:space="0" w:color="auto"/>
        <w:bottom w:val="none" w:sz="0" w:space="0" w:color="auto"/>
        <w:right w:val="none" w:sz="0" w:space="0" w:color="auto"/>
      </w:divBdr>
    </w:div>
    <w:div w:id="1635792264">
      <w:bodyDiv w:val="1"/>
      <w:marLeft w:val="0"/>
      <w:marRight w:val="0"/>
      <w:marTop w:val="0"/>
      <w:marBottom w:val="0"/>
      <w:divBdr>
        <w:top w:val="none" w:sz="0" w:space="0" w:color="auto"/>
        <w:left w:val="none" w:sz="0" w:space="0" w:color="auto"/>
        <w:bottom w:val="none" w:sz="0" w:space="0" w:color="auto"/>
        <w:right w:val="none" w:sz="0" w:space="0" w:color="auto"/>
      </w:divBdr>
    </w:div>
    <w:div w:id="1853757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C236-ECB1-4C89-8ED8-19E1827D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13061</Words>
  <Characters>7445</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2023-02-08T11:23:00Z</dcterms:created>
  <dcterms:modified xsi:type="dcterms:W3CDTF">2023-02-08T11:23:00Z</dcterms:modified>
</cp:coreProperties>
</file>