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0C42" w14:textId="35AF280B" w:rsidR="001D13EA" w:rsidRDefault="00D56F4E" w:rsidP="00D56F4E">
      <w:pPr>
        <w:spacing w:line="276" w:lineRule="auto"/>
        <w:jc w:val="both"/>
        <w:rPr>
          <w:b/>
          <w:bCs/>
        </w:rPr>
      </w:pPr>
      <w:r>
        <w:rPr>
          <w:b/>
          <w:bCs/>
        </w:rPr>
        <w:t>Brīvības atņemšanas soda noteikšana personai ar smagiem funkcionēšanas ierobežojumiem</w:t>
      </w:r>
    </w:p>
    <w:p w14:paraId="1BA01121" w14:textId="1D0F9F2B" w:rsidR="00D56F4E" w:rsidRDefault="00D56F4E" w:rsidP="00D56F4E">
      <w:pPr>
        <w:spacing w:line="276" w:lineRule="auto"/>
        <w:jc w:val="both"/>
      </w:pPr>
      <w:r w:rsidRPr="00D56F4E">
        <w:t>Izlemjot jautājumu par nosakāmo sodu personai, kurai smagu funkcionēšanas ierobežojumu dēļ ikdienas dzīves aktivitāšu veikšanai, lai arī epizodiski, tomēr ir nepieciešama citu personu palīdzība vai uzraudzība, tiesa izvērtē, vai šāda palīdzība vai uzraudzība personai var tikt nodrošināta brīvības atņemšanas vietā un vai pretējā gadījumā persona netiks pakļauta tādām ciešanām, kas sasniedz necilvēcīgas un pazemojošas izturēšanās slieksni, kā arī to, vai persona, atrodoties brīvības atņemšanas</w:t>
      </w:r>
      <w:r w:rsidRPr="00D56F4E">
        <w:rPr>
          <w:color w:val="FF0000"/>
        </w:rPr>
        <w:t xml:space="preserve"> </w:t>
      </w:r>
      <w:r w:rsidRPr="00D56F4E">
        <w:t>vietā, varēs saņemt nepieciešamo ārstēšanu.</w:t>
      </w:r>
    </w:p>
    <w:p w14:paraId="7B5A0850" w14:textId="47FDE125" w:rsidR="00D56F4E" w:rsidRDefault="00D56F4E" w:rsidP="00D56F4E">
      <w:pPr>
        <w:spacing w:line="276" w:lineRule="auto"/>
        <w:jc w:val="both"/>
      </w:pPr>
    </w:p>
    <w:p w14:paraId="71B31A7C" w14:textId="11B3D028" w:rsidR="00D56F4E" w:rsidRPr="00D56F4E" w:rsidRDefault="00D56F4E" w:rsidP="00D56F4E">
      <w:pPr>
        <w:spacing w:line="276" w:lineRule="auto"/>
        <w:jc w:val="both"/>
        <w:rPr>
          <w:b/>
          <w:bCs/>
          <w:color w:val="000000"/>
        </w:rPr>
      </w:pPr>
      <w:r w:rsidRPr="00D56F4E">
        <w:rPr>
          <w:b/>
          <w:bCs/>
          <w:color w:val="000000"/>
        </w:rPr>
        <w:t>Sabiedriskā darba piemērošana personai ar invaliditāti</w:t>
      </w:r>
    </w:p>
    <w:p w14:paraId="3A45527E" w14:textId="6A54023F" w:rsidR="00D56F4E" w:rsidRDefault="00D56F4E" w:rsidP="00D56F4E">
      <w:pPr>
        <w:spacing w:line="276" w:lineRule="auto"/>
        <w:jc w:val="both"/>
      </w:pPr>
      <w:r w:rsidRPr="00D56F4E">
        <w:rPr>
          <w:color w:val="000000"/>
        </w:rPr>
        <w:t>Personai ar fiziskiem vai psihiskiem traucējumiem soda veids – sabiedriskais darbs</w:t>
      </w:r>
      <w:r w:rsidRPr="00D56F4E">
        <w:t xml:space="preserve"> </w:t>
      </w:r>
      <w:r w:rsidRPr="00D56F4E">
        <w:rPr>
          <w:color w:val="000000"/>
        </w:rPr>
        <w:t> </w:t>
      </w:r>
      <w:r w:rsidRPr="00D56F4E">
        <w:t>–  </w:t>
      </w:r>
      <w:r w:rsidRPr="00D56F4E">
        <w:rPr>
          <w:color w:val="000000"/>
        </w:rPr>
        <w:t xml:space="preserve">ir piemērojams, ja tiesa, individuāli izvērtējot, atzīst, ka persona to spēj </w:t>
      </w:r>
      <w:r w:rsidRPr="00D56F4E">
        <w:t>veikt</w:t>
      </w:r>
      <w:r w:rsidRPr="00D56F4E">
        <w:rPr>
          <w:color w:val="000000"/>
        </w:rPr>
        <w:t xml:space="preserve">. Apstāklis, ka personai ir noteikta invaliditāte, pats par sevi nav šķērslis sabiedriskā darba piemērošanai, tai skaitā par noziedzīgu nodarījumu, </w:t>
      </w:r>
      <w:r w:rsidRPr="00D56F4E">
        <w:t xml:space="preserve">kas izdarīts </w:t>
      </w:r>
      <w:r w:rsidRPr="00D56F4E">
        <w:rPr>
          <w:color w:val="000000"/>
        </w:rPr>
        <w:t>pirms 2022. gada 1. janvāra.</w:t>
      </w:r>
    </w:p>
    <w:p w14:paraId="4B3BAAFE" w14:textId="412A3689" w:rsidR="001D13EA" w:rsidRPr="001303ED" w:rsidRDefault="001D13EA" w:rsidP="00D56F4E">
      <w:pPr>
        <w:pStyle w:val="BodyText2"/>
        <w:spacing w:after="0" w:line="276" w:lineRule="auto"/>
      </w:pPr>
    </w:p>
    <w:p w14:paraId="0A8CC85B" w14:textId="77777777" w:rsidR="00D56F4E" w:rsidRPr="00D56F4E" w:rsidRDefault="001D13EA" w:rsidP="001D13EA">
      <w:pPr>
        <w:spacing w:line="276" w:lineRule="auto"/>
        <w:jc w:val="center"/>
        <w:rPr>
          <w:b/>
        </w:rPr>
      </w:pPr>
      <w:r w:rsidRPr="00D56F4E">
        <w:rPr>
          <w:b/>
        </w:rPr>
        <w:t>Latvijas Republikas Senāt</w:t>
      </w:r>
      <w:r w:rsidR="00D56F4E" w:rsidRPr="00D56F4E">
        <w:rPr>
          <w:b/>
        </w:rPr>
        <w:t xml:space="preserve">a </w:t>
      </w:r>
    </w:p>
    <w:p w14:paraId="5A3AD905" w14:textId="77777777" w:rsidR="00D56F4E" w:rsidRPr="00D56F4E" w:rsidRDefault="00D56F4E" w:rsidP="001D13EA">
      <w:pPr>
        <w:spacing w:line="276" w:lineRule="auto"/>
        <w:jc w:val="center"/>
        <w:rPr>
          <w:b/>
        </w:rPr>
      </w:pPr>
      <w:r w:rsidRPr="00D56F4E">
        <w:rPr>
          <w:b/>
        </w:rPr>
        <w:t>Krimināllietu departamenta</w:t>
      </w:r>
    </w:p>
    <w:p w14:paraId="4B1BBDB8" w14:textId="1A200A61" w:rsidR="001D13EA" w:rsidRPr="00D56F4E" w:rsidRDefault="00D56F4E" w:rsidP="001D13EA">
      <w:pPr>
        <w:spacing w:line="276" w:lineRule="auto"/>
        <w:jc w:val="center"/>
        <w:rPr>
          <w:b/>
        </w:rPr>
      </w:pPr>
      <w:r w:rsidRPr="00D56F4E">
        <w:rPr>
          <w:b/>
          <w:color w:val="000000" w:themeColor="text1"/>
        </w:rPr>
        <w:t>2023. gada 26. janvāra</w:t>
      </w:r>
    </w:p>
    <w:p w14:paraId="024A27D2" w14:textId="77777777" w:rsidR="001D13EA" w:rsidRPr="00D56F4E" w:rsidRDefault="001D13EA" w:rsidP="001D13EA">
      <w:pPr>
        <w:spacing w:line="276" w:lineRule="auto"/>
        <w:jc w:val="center"/>
        <w:rPr>
          <w:b/>
        </w:rPr>
      </w:pPr>
      <w:r w:rsidRPr="00D56F4E">
        <w:rPr>
          <w:b/>
        </w:rPr>
        <w:t>LĒMUMS</w:t>
      </w:r>
    </w:p>
    <w:p w14:paraId="71E64CF2" w14:textId="7F7C3D1E" w:rsidR="001D13EA" w:rsidRPr="00D56F4E" w:rsidRDefault="00D56F4E" w:rsidP="001D13EA">
      <w:pPr>
        <w:spacing w:line="276" w:lineRule="auto"/>
        <w:jc w:val="center"/>
        <w:rPr>
          <w:b/>
        </w:rPr>
      </w:pPr>
      <w:r w:rsidRPr="00D56F4E">
        <w:rPr>
          <w:b/>
        </w:rPr>
        <w:t>Lieta Nr. 11088175812, SKK</w:t>
      </w:r>
      <w:r w:rsidRPr="00D56F4E">
        <w:rPr>
          <w:b/>
        </w:rPr>
        <w:noBreakHyphen/>
        <w:t>37/2023</w:t>
      </w:r>
    </w:p>
    <w:p w14:paraId="5C41960B" w14:textId="547AD082" w:rsidR="00D56F4E" w:rsidRPr="00D56F4E" w:rsidRDefault="0024144D" w:rsidP="001D13EA">
      <w:pPr>
        <w:spacing w:line="276" w:lineRule="auto"/>
        <w:jc w:val="center"/>
        <w:rPr>
          <w:b/>
          <w:color w:val="000000" w:themeColor="text1"/>
        </w:rPr>
      </w:pPr>
      <w:hyperlink r:id="rId7" w:history="1">
        <w:r w:rsidR="00D56F4E" w:rsidRPr="00D56F4E">
          <w:rPr>
            <w:rStyle w:val="Hyperlink"/>
            <w:shd w:val="clear" w:color="auto" w:fill="FFFFFF"/>
          </w:rPr>
          <w:t>ECLI:LV:AT:2023:0126.11088175812.12.L</w:t>
        </w:r>
      </w:hyperlink>
    </w:p>
    <w:p w14:paraId="2B22DFD2" w14:textId="77777777" w:rsidR="001D13EA" w:rsidRPr="001303ED" w:rsidRDefault="001D13EA" w:rsidP="001D13EA">
      <w:pPr>
        <w:spacing w:line="276" w:lineRule="auto"/>
        <w:ind w:firstLine="567"/>
        <w:jc w:val="both"/>
      </w:pPr>
    </w:p>
    <w:p w14:paraId="73F14816" w14:textId="669B09BC" w:rsidR="001D13EA" w:rsidRPr="001303ED" w:rsidRDefault="001D13EA" w:rsidP="001D13EA">
      <w:pPr>
        <w:spacing w:line="276" w:lineRule="auto"/>
        <w:ind w:firstLine="567"/>
        <w:jc w:val="both"/>
      </w:pPr>
      <w:r>
        <w:t>Senāts</w:t>
      </w:r>
      <w:r w:rsidRPr="001303ED">
        <w:t xml:space="preserve"> šādā sastāvā: senatore</w:t>
      </w:r>
      <w:r>
        <w:t xml:space="preserve"> referente</w:t>
      </w:r>
      <w:r w:rsidRPr="001303ED">
        <w:t xml:space="preserve"> Sandra Kaija, </w:t>
      </w:r>
      <w:r>
        <w:t xml:space="preserve">senatores </w:t>
      </w:r>
      <w:r w:rsidRPr="001303ED">
        <w:t>Irīna Jansone</w:t>
      </w:r>
      <w:r>
        <w:t xml:space="preserve"> un</w:t>
      </w:r>
      <w:r w:rsidRPr="001303ED">
        <w:t xml:space="preserve"> </w:t>
      </w:r>
      <w:r>
        <w:t>Anita Poļakova</w:t>
      </w:r>
    </w:p>
    <w:p w14:paraId="0A677B2B" w14:textId="77777777" w:rsidR="001D13EA" w:rsidRPr="001303ED" w:rsidRDefault="001D13EA" w:rsidP="001D13EA">
      <w:pPr>
        <w:spacing w:line="276" w:lineRule="auto"/>
        <w:ind w:firstLine="567"/>
        <w:jc w:val="both"/>
      </w:pPr>
    </w:p>
    <w:p w14:paraId="3EECC7CF" w14:textId="5C25970B" w:rsidR="001D13EA" w:rsidRPr="001303ED" w:rsidRDefault="001D13EA" w:rsidP="001D13EA">
      <w:pPr>
        <w:spacing w:line="276" w:lineRule="auto"/>
        <w:ind w:firstLine="567"/>
        <w:jc w:val="both"/>
      </w:pPr>
      <w:r w:rsidRPr="001303ED">
        <w:t xml:space="preserve">izskatīja rakstveida procesā krimināllietu sakarā ar apsūdzētā </w:t>
      </w:r>
      <w:r w:rsidR="00D56F4E">
        <w:t>[pers. A]</w:t>
      </w:r>
      <w:r>
        <w:t xml:space="preserve"> </w:t>
      </w:r>
      <w:r w:rsidRPr="001303ED">
        <w:t xml:space="preserve">kasācijas sūdzību par Rīgas apgabaltiesas </w:t>
      </w:r>
      <w:r>
        <w:t>2022.</w:t>
      </w:r>
      <w:r w:rsidR="0012572F">
        <w:t> </w:t>
      </w:r>
      <w:r>
        <w:t>gada 6.</w:t>
      </w:r>
      <w:r w:rsidR="0012572F">
        <w:t> </w:t>
      </w:r>
      <w:r>
        <w:t xml:space="preserve">aprīļa </w:t>
      </w:r>
      <w:r w:rsidRPr="001303ED">
        <w:t>lēmumu.</w:t>
      </w:r>
    </w:p>
    <w:p w14:paraId="1CBA29F7" w14:textId="77777777" w:rsidR="001D13EA" w:rsidRPr="001303ED" w:rsidRDefault="001D13EA" w:rsidP="001D13EA">
      <w:pPr>
        <w:spacing w:line="276" w:lineRule="auto"/>
        <w:ind w:firstLine="567"/>
        <w:jc w:val="both"/>
      </w:pPr>
    </w:p>
    <w:p w14:paraId="2CE8B36F" w14:textId="77777777" w:rsidR="001D13EA" w:rsidRPr="001303ED" w:rsidRDefault="001D13EA" w:rsidP="001D13EA">
      <w:pPr>
        <w:spacing w:line="276" w:lineRule="auto"/>
        <w:jc w:val="center"/>
        <w:rPr>
          <w:b/>
        </w:rPr>
      </w:pPr>
      <w:r w:rsidRPr="001303ED">
        <w:rPr>
          <w:b/>
        </w:rPr>
        <w:t>Aprakstošā daļa</w:t>
      </w:r>
    </w:p>
    <w:p w14:paraId="763886D5" w14:textId="77777777" w:rsidR="001D13EA" w:rsidRPr="001303ED" w:rsidRDefault="001D13EA" w:rsidP="001D13EA">
      <w:pPr>
        <w:spacing w:line="276" w:lineRule="auto"/>
        <w:ind w:firstLine="567"/>
        <w:jc w:val="both"/>
      </w:pPr>
    </w:p>
    <w:p w14:paraId="12743CAB" w14:textId="21C629ED" w:rsidR="00053359" w:rsidRDefault="00053359" w:rsidP="00053359">
      <w:pPr>
        <w:spacing w:line="276" w:lineRule="auto"/>
        <w:ind w:firstLine="567"/>
        <w:jc w:val="both"/>
      </w:pPr>
      <w:r w:rsidRPr="00EA5EAB">
        <w:t>[1]</w:t>
      </w:r>
      <w:r>
        <w:t xml:space="preserve"> Ar </w:t>
      </w:r>
      <w:bookmarkStart w:id="0" w:name="_Hlk122506980"/>
      <w:r>
        <w:t xml:space="preserve">Rīgas pilsētas Latgales priekšpilsētas tiesas 2021. gada 7. jūnija </w:t>
      </w:r>
      <w:bookmarkEnd w:id="0"/>
      <w:r>
        <w:t>spriedumu</w:t>
      </w:r>
    </w:p>
    <w:p w14:paraId="104816D5" w14:textId="78AEE0F0" w:rsidR="00053359" w:rsidRDefault="00D56F4E" w:rsidP="00053359">
      <w:pPr>
        <w:spacing w:line="276" w:lineRule="auto"/>
        <w:ind w:firstLine="567"/>
        <w:jc w:val="both"/>
      </w:pPr>
      <w:r>
        <w:t>[pers. A]</w:t>
      </w:r>
      <w:r w:rsidR="00053359">
        <w:t xml:space="preserve">, </w:t>
      </w:r>
      <w:bookmarkStart w:id="1" w:name="_Hlk122505110"/>
      <w:r w:rsidR="00053359">
        <w:t xml:space="preserve">personas kods </w:t>
      </w:r>
      <w:r>
        <w:t>[..]</w:t>
      </w:r>
      <w:r w:rsidR="00053359">
        <w:t>,</w:t>
      </w:r>
    </w:p>
    <w:p w14:paraId="38A0B163" w14:textId="5FF7F127" w:rsidR="00053359" w:rsidRDefault="00053359" w:rsidP="00053359">
      <w:pPr>
        <w:spacing w:line="276" w:lineRule="auto"/>
        <w:ind w:firstLine="567"/>
        <w:jc w:val="both"/>
      </w:pPr>
      <w:bookmarkStart w:id="2" w:name="_Hlk122505146"/>
      <w:bookmarkEnd w:id="1"/>
      <w:r>
        <w:t xml:space="preserve">atzīts par vainīgu </w:t>
      </w:r>
      <w:bookmarkStart w:id="3" w:name="_Hlk121319357"/>
      <w:r>
        <w:t>Krimināllikuma 17</w:t>
      </w:r>
      <w:r w:rsidR="00670C1C">
        <w:t>9</w:t>
      </w:r>
      <w:r>
        <w:t xml:space="preserve">. panta </w:t>
      </w:r>
      <w:r w:rsidR="00670C1C">
        <w:t>pirmajā</w:t>
      </w:r>
      <w:r>
        <w:t xml:space="preserve"> daļā paredzētajā noziedzīgajā nodarījumā</w:t>
      </w:r>
      <w:bookmarkEnd w:id="3"/>
      <w:r>
        <w:t xml:space="preserve"> un</w:t>
      </w:r>
      <w:r w:rsidR="00670C1C">
        <w:t xml:space="preserve">, piemērojot </w:t>
      </w:r>
      <w:proofErr w:type="gramStart"/>
      <w:r w:rsidR="00670C1C">
        <w:t>Krimināllikuma 49.</w:t>
      </w:r>
      <w:r w:rsidR="00670C1C">
        <w:rPr>
          <w:vertAlign w:val="superscript"/>
        </w:rPr>
        <w:t>1</w:t>
      </w:r>
      <w:r w:rsidR="0072403F">
        <w:rPr>
          <w:vertAlign w:val="superscript"/>
        </w:rPr>
        <w:t> </w:t>
      </w:r>
      <w:r w:rsidR="00670C1C">
        <w:t>panta pirmās daļas 1</w:t>
      </w:r>
      <w:r w:rsidR="0072403F">
        <w:t>. </w:t>
      </w:r>
      <w:r w:rsidR="00670C1C">
        <w:t>punktu,</w:t>
      </w:r>
      <w:proofErr w:type="gramEnd"/>
      <w:r>
        <w:t xml:space="preserve"> </w:t>
      </w:r>
      <w:r w:rsidRPr="00694E60">
        <w:t>sodīts ar</w:t>
      </w:r>
      <w:r w:rsidR="00670C1C">
        <w:t xml:space="preserve"> īslaicīgu brīvības atņemšanu uz 3 mēnešiem.</w:t>
      </w:r>
    </w:p>
    <w:bookmarkEnd w:id="2"/>
    <w:p w14:paraId="217F785D" w14:textId="059C8C71" w:rsidR="001D13EA" w:rsidRDefault="00053359" w:rsidP="004D0241">
      <w:pPr>
        <w:spacing w:line="276" w:lineRule="auto"/>
        <w:ind w:firstLine="567"/>
        <w:jc w:val="both"/>
      </w:pPr>
      <w:r>
        <w:t xml:space="preserve">No </w:t>
      </w:r>
      <w:r w:rsidR="00D56F4E">
        <w:t>[pers. A]</w:t>
      </w:r>
      <w:r>
        <w:t xml:space="preserve"> </w:t>
      </w:r>
      <w:r w:rsidR="00D56F4E">
        <w:t>[pers.</w:t>
      </w:r>
      <w:r w:rsidR="007725A9">
        <w:t> </w:t>
      </w:r>
      <w:r w:rsidR="00D56F4E">
        <w:t>B]</w:t>
      </w:r>
      <w:r w:rsidR="00D603E2">
        <w:t xml:space="preserve"> </w:t>
      </w:r>
      <w:r>
        <w:t xml:space="preserve">labā piedzīta </w:t>
      </w:r>
      <w:r w:rsidR="00D603E2">
        <w:t xml:space="preserve">mantiskā </w:t>
      </w:r>
      <w:r>
        <w:t xml:space="preserve">kaitējuma kompensācija </w:t>
      </w:r>
      <w:r w:rsidR="00D603E2">
        <w:t>2004,32</w:t>
      </w:r>
      <w:r w:rsidR="002438D5">
        <w:t> </w:t>
      </w:r>
      <w:r w:rsidRPr="00EC0E57">
        <w:rPr>
          <w:i/>
          <w:iCs/>
        </w:rPr>
        <w:t>euro</w:t>
      </w:r>
      <w:r w:rsidR="00F545EC">
        <w:t xml:space="preserve"> un</w:t>
      </w:r>
      <w:r w:rsidR="00D603E2">
        <w:t xml:space="preserve"> morālā kaitējuma kompensācija </w:t>
      </w:r>
      <w:r w:rsidR="004D0241">
        <w:t>1000 </w:t>
      </w:r>
      <w:r w:rsidR="004D0241" w:rsidRPr="004D0241">
        <w:rPr>
          <w:i/>
          <w:iCs/>
        </w:rPr>
        <w:t>euro</w:t>
      </w:r>
      <w:r w:rsidR="004D0241">
        <w:t xml:space="preserve">. Pārējā daļā kaitējuma kompensācija </w:t>
      </w:r>
      <w:r w:rsidR="00D56F4E">
        <w:t>[pers. B]</w:t>
      </w:r>
      <w:r w:rsidR="004D0241">
        <w:t xml:space="preserve"> labā nav noteikta.</w:t>
      </w:r>
    </w:p>
    <w:p w14:paraId="4CEB1007" w14:textId="70D2B003" w:rsidR="004D0241" w:rsidRDefault="004D0241" w:rsidP="004D0241">
      <w:pPr>
        <w:spacing w:line="276" w:lineRule="auto"/>
        <w:ind w:firstLine="567"/>
        <w:jc w:val="both"/>
      </w:pPr>
    </w:p>
    <w:p w14:paraId="0D86FAAE" w14:textId="55D0E177" w:rsidR="00F545EC" w:rsidRDefault="004D0241" w:rsidP="004D0241">
      <w:pPr>
        <w:spacing w:line="276" w:lineRule="auto"/>
        <w:ind w:firstLine="567"/>
        <w:jc w:val="both"/>
      </w:pPr>
      <w:r w:rsidRPr="001303ED">
        <w:t xml:space="preserve">[2] Ar Rīgas pilsētas </w:t>
      </w:r>
      <w:r w:rsidR="001E47D4">
        <w:t>Latgales priekšpilsētas tiesas 2021.</w:t>
      </w:r>
      <w:r w:rsidR="002438D5">
        <w:t> </w:t>
      </w:r>
      <w:r w:rsidR="001E47D4">
        <w:t xml:space="preserve">gada 7. jūnija </w:t>
      </w:r>
      <w:r w:rsidR="00F545EC" w:rsidRPr="001303ED">
        <w:t>spriedumu</w:t>
      </w:r>
      <w:r w:rsidR="00F545EC">
        <w:t xml:space="preserve"> </w:t>
      </w:r>
      <w:r w:rsidR="00D56F4E">
        <w:t>[pers. A]</w:t>
      </w:r>
      <w:r w:rsidR="001E47D4">
        <w:t xml:space="preserve"> </w:t>
      </w:r>
      <w:r w:rsidRPr="001303ED">
        <w:t>atzīts par vainīgu un sodīts par</w:t>
      </w:r>
      <w:r w:rsidR="00F545EC">
        <w:t xml:space="preserve"> </w:t>
      </w:r>
      <w:proofErr w:type="gramStart"/>
      <w:r w:rsidR="00F545EC">
        <w:t>svešas mantas, kura viņam uzticēta, prettiesisku iegūšanu</w:t>
      </w:r>
      <w:r w:rsidR="002A4CB3">
        <w:t xml:space="preserve"> </w:t>
      </w:r>
      <w:r w:rsidR="001E47D4">
        <w:t>(piesavināšanos)</w:t>
      </w:r>
      <w:proofErr w:type="gramEnd"/>
      <w:r w:rsidR="001E47D4">
        <w:t>.</w:t>
      </w:r>
    </w:p>
    <w:p w14:paraId="2724F830" w14:textId="77777777" w:rsidR="004D0241" w:rsidRPr="001303ED" w:rsidRDefault="004D0241" w:rsidP="00B7264A">
      <w:pPr>
        <w:spacing w:line="276" w:lineRule="auto"/>
        <w:jc w:val="both"/>
      </w:pPr>
    </w:p>
    <w:p w14:paraId="5DB74A44" w14:textId="021AE7CD" w:rsidR="004D0241" w:rsidRDefault="004D0241" w:rsidP="004D0241">
      <w:pPr>
        <w:spacing w:line="276" w:lineRule="auto"/>
        <w:ind w:firstLine="567"/>
        <w:jc w:val="both"/>
      </w:pPr>
      <w:r w:rsidRPr="001303ED">
        <w:lastRenderedPageBreak/>
        <w:t>[3] Ar Rīgas apgabaltiesas 2022.</w:t>
      </w:r>
      <w:r>
        <w:t> </w:t>
      </w:r>
      <w:r w:rsidRPr="001303ED">
        <w:t>gada 6.</w:t>
      </w:r>
      <w:r w:rsidR="001E47D4">
        <w:t> aprīļa</w:t>
      </w:r>
      <w:r w:rsidRPr="001303ED">
        <w:t xml:space="preserve"> lēmumu, iztiesājot lietu sakarā ar apsūdzētā </w:t>
      </w:r>
      <w:r w:rsidR="00D56F4E">
        <w:t>[pers. A]</w:t>
      </w:r>
      <w:r w:rsidR="001E47D4">
        <w:t xml:space="preserve"> </w:t>
      </w:r>
      <w:r w:rsidRPr="001303ED">
        <w:t xml:space="preserve">apelācijas sūdzību, </w:t>
      </w:r>
      <w:r w:rsidR="001E47D4">
        <w:t xml:space="preserve">Rīgas pilsētas Latgales priekšpilsētas tiesas 2021. gada 7. jūnija </w:t>
      </w:r>
      <w:r w:rsidRPr="001303ED">
        <w:t>spriedums atstāts negrozīts.</w:t>
      </w:r>
    </w:p>
    <w:p w14:paraId="0FC1D171" w14:textId="77777777" w:rsidR="00053359" w:rsidRDefault="00053359" w:rsidP="00730708">
      <w:pPr>
        <w:spacing w:line="276" w:lineRule="auto"/>
        <w:jc w:val="both"/>
      </w:pPr>
    </w:p>
    <w:p w14:paraId="021806C5" w14:textId="3EF51833" w:rsidR="006379A1" w:rsidRDefault="006379A1" w:rsidP="001D13EA">
      <w:pPr>
        <w:spacing w:line="276" w:lineRule="auto"/>
        <w:ind w:firstLine="567"/>
        <w:jc w:val="both"/>
      </w:pPr>
      <w:r>
        <w:t>[4] Par apelācijas instances tiesas lēmumu kasācijas sūdzību iesniedzis apsūdzētais</w:t>
      </w:r>
      <w:r w:rsidRPr="00EE199F">
        <w:t xml:space="preserve"> </w:t>
      </w:r>
      <w:r w:rsidR="00D56F4E">
        <w:t>[pers. A]</w:t>
      </w:r>
      <w:r>
        <w:t>, lūdzot atcelt Rīgas apgabaltiesas 2022.</w:t>
      </w:r>
      <w:r w:rsidR="00EC60F3">
        <w:t> </w:t>
      </w:r>
      <w:r>
        <w:t>gada 6.</w:t>
      </w:r>
      <w:r w:rsidR="00EC60F3">
        <w:t> </w:t>
      </w:r>
      <w:r>
        <w:t>aprīļa lēmumu pilnībā</w:t>
      </w:r>
      <w:proofErr w:type="gramStart"/>
      <w:r w:rsidR="00EC60F3">
        <w:t>, un</w:t>
      </w:r>
      <w:r>
        <w:t xml:space="preserve"> nosūtīt lietu jaunai izskatīšanai apelācijas instances tiesā</w:t>
      </w:r>
      <w:proofErr w:type="gramEnd"/>
      <w:r>
        <w:t>.</w:t>
      </w:r>
    </w:p>
    <w:p w14:paraId="6EC86EAF" w14:textId="56426386" w:rsidR="006379A1" w:rsidRDefault="006379A1" w:rsidP="007C3DD1">
      <w:pPr>
        <w:spacing w:line="276" w:lineRule="auto"/>
        <w:ind w:firstLine="567"/>
        <w:jc w:val="both"/>
      </w:pPr>
      <w:r w:rsidRPr="00694E60">
        <w:t xml:space="preserve">Kasācijas </w:t>
      </w:r>
      <w:r>
        <w:t>sūdzīb</w:t>
      </w:r>
      <w:r w:rsidR="00BC7A65">
        <w:t>a</w:t>
      </w:r>
      <w:r w:rsidRPr="006379A1">
        <w:t xml:space="preserve"> </w:t>
      </w:r>
      <w:r w:rsidR="00BC7A65">
        <w:t>pamatota</w:t>
      </w:r>
      <w:r w:rsidRPr="00694E60">
        <w:t xml:space="preserve"> ar </w:t>
      </w:r>
      <w:r>
        <w:t>šādiem argumentiem.</w:t>
      </w:r>
    </w:p>
    <w:p w14:paraId="64893EFF" w14:textId="384CA5EC" w:rsidR="00A32B7F" w:rsidRDefault="006379A1" w:rsidP="00A32B7F">
      <w:pPr>
        <w:spacing w:line="276" w:lineRule="auto"/>
        <w:ind w:firstLine="567"/>
        <w:jc w:val="both"/>
      </w:pPr>
      <w:r>
        <w:t>[4.1]</w:t>
      </w:r>
      <w:r w:rsidR="001E2720">
        <w:t xml:space="preserve"> Apelācijas instances tiesa pārkāpusi Kriminālprocesa likuma 128.</w:t>
      </w:r>
      <w:r w:rsidR="00E75497">
        <w:t> </w:t>
      </w:r>
      <w:r w:rsidR="001E2720">
        <w:t xml:space="preserve">panta trešo daļu, jo </w:t>
      </w:r>
      <w:r w:rsidR="00A32B7F">
        <w:t xml:space="preserve">nepamatoti nav piešķīrusi ticamību aizstāvības liecinieces </w:t>
      </w:r>
      <w:r w:rsidR="00D56F4E">
        <w:t>[pers. C]</w:t>
      </w:r>
      <w:r w:rsidR="00A32B7F">
        <w:t xml:space="preserve"> liecībās sniegtajām ziņām par faktiem, savukārt cietušā </w:t>
      </w:r>
      <w:r w:rsidR="00D56F4E">
        <w:t>[pers. B]</w:t>
      </w:r>
      <w:r w:rsidR="00A32B7F">
        <w:t xml:space="preserve"> liecībās apzināti nepatiesi sniegtajām ziņām, </w:t>
      </w:r>
      <w:bookmarkStart w:id="4" w:name="_Hlk124931069"/>
      <w:r w:rsidR="00A32B7F">
        <w:t>ka viņam nav bijuši zināmi konti, kuros maksājama valsts nodeva un ar tiem saistītie maksājumi, noteikusi augstāku ticamības pakāpi nekā citiem pierādījumiem</w:t>
      </w:r>
      <w:r w:rsidR="00CC3D6A">
        <w:t xml:space="preserve"> lietā.</w:t>
      </w:r>
      <w:bookmarkEnd w:id="4"/>
      <w:r w:rsidR="00A32B7F">
        <w:t xml:space="preserve"> </w:t>
      </w:r>
    </w:p>
    <w:p w14:paraId="2511255B" w14:textId="61BB0C7C" w:rsidR="00A32B7F" w:rsidRDefault="00A32B7F" w:rsidP="00E60D83">
      <w:pPr>
        <w:spacing w:line="276" w:lineRule="auto"/>
        <w:ind w:firstLine="567"/>
        <w:jc w:val="both"/>
      </w:pPr>
      <w:r>
        <w:t xml:space="preserve">[4.2] Apelācijas instances tiesa nepamatoti noraidījusi </w:t>
      </w:r>
      <w:r w:rsidR="00E60D83">
        <w:t xml:space="preserve">apsūdzētā </w:t>
      </w:r>
      <w:r>
        <w:t xml:space="preserve">apelācijas sūdzībā izteikto lūgumu atkārtoti aicināt </w:t>
      </w:r>
      <w:r w:rsidR="00E60D83">
        <w:t xml:space="preserve">un nopratināt </w:t>
      </w:r>
      <w:r>
        <w:t xml:space="preserve">lieciniekus. Savukārt, apmierinot lūgumu </w:t>
      </w:r>
      <w:r w:rsidR="0019573B">
        <w:t xml:space="preserve">par valsts nodevas maksājuma kvīts </w:t>
      </w:r>
      <w:r>
        <w:t>izprasīšanu no Kurzemes rajona tiesas</w:t>
      </w:r>
      <w:r w:rsidR="00B65786">
        <w:t xml:space="preserve">, </w:t>
      </w:r>
      <w:r>
        <w:t>tiesa</w:t>
      </w:r>
      <w:r w:rsidR="00E51529">
        <w:t xml:space="preserve"> </w:t>
      </w:r>
      <w:r w:rsidR="00E60D83">
        <w:t xml:space="preserve">lēmumā </w:t>
      </w:r>
      <w:r>
        <w:t xml:space="preserve">nav sniegusi </w:t>
      </w:r>
      <w:r w:rsidR="00075F54">
        <w:t xml:space="preserve">šī dokumenta </w:t>
      </w:r>
      <w:r>
        <w:t>vērtējumu.</w:t>
      </w:r>
    </w:p>
    <w:p w14:paraId="22520EE8" w14:textId="4A5B9753" w:rsidR="006379A1" w:rsidRDefault="00A32B7F" w:rsidP="00F545EC">
      <w:pPr>
        <w:spacing w:line="276" w:lineRule="auto"/>
        <w:ind w:firstLine="567"/>
        <w:jc w:val="both"/>
      </w:pPr>
      <w:r>
        <w:t xml:space="preserve">[4.3] </w:t>
      </w:r>
      <w:r w:rsidR="006379A1">
        <w:t>Turklāt abu instanču tiesas nepamatoti ir piemērojušas Krimināllikuma 46.</w:t>
      </w:r>
      <w:r w:rsidR="00E75497">
        <w:t> </w:t>
      </w:r>
      <w:r w:rsidR="006379A1">
        <w:t>panta ceturto daļu, nosakot sodu brīvības atņemšanas veidā, kā arī nav piemērojušas Krimināllikuma 49.</w:t>
      </w:r>
      <w:r w:rsidR="006379A1">
        <w:rPr>
          <w:vertAlign w:val="superscript"/>
        </w:rPr>
        <w:t>1</w:t>
      </w:r>
      <w:r w:rsidR="00CC3D6A">
        <w:rPr>
          <w:vertAlign w:val="superscript"/>
        </w:rPr>
        <w:t> </w:t>
      </w:r>
      <w:r w:rsidR="006379A1">
        <w:t>panta pirmās daļas 3.</w:t>
      </w:r>
      <w:r w:rsidR="00E75497">
        <w:t> </w:t>
      </w:r>
      <w:r w:rsidR="006379A1">
        <w:t xml:space="preserve">punkta nosacījumus. </w:t>
      </w:r>
      <w:r w:rsidR="00E75497">
        <w:t xml:space="preserve">Tiesai </w:t>
      </w:r>
      <w:r w:rsidR="006379A1">
        <w:t>bijis pamats sodu noteikt nosacīti saskaņā ar Krimināllikuma 55.</w:t>
      </w:r>
      <w:r w:rsidR="00E75497">
        <w:t> </w:t>
      </w:r>
      <w:r w:rsidR="006379A1">
        <w:t xml:space="preserve">panta pirmo daļu, jo </w:t>
      </w:r>
      <w:r w:rsidR="00D56F4E">
        <w:t>[pers. A]</w:t>
      </w:r>
      <w:r w:rsidR="00615FAF">
        <w:t xml:space="preserve"> </w:t>
      </w:r>
      <w:r w:rsidR="006379A1">
        <w:t>iepriekš</w:t>
      </w:r>
      <w:r w:rsidR="00E51529">
        <w:t xml:space="preserve"> </w:t>
      </w:r>
      <w:r w:rsidR="006379A1">
        <w:t>nav bijis piespriests brīvības atņemšanas sods</w:t>
      </w:r>
      <w:r w:rsidR="00583D42">
        <w:t>. T</w:t>
      </w:r>
      <w:r w:rsidR="006379A1">
        <w:t xml:space="preserve">urklāt </w:t>
      </w:r>
      <w:r w:rsidR="00583D42">
        <w:t xml:space="preserve">apelācijas instances tiesa nav </w:t>
      </w:r>
      <w:r w:rsidR="00E60D83">
        <w:t xml:space="preserve">pienācīgi </w:t>
      </w:r>
      <w:r w:rsidR="00583D42">
        <w:t xml:space="preserve">izvērtējusi </w:t>
      </w:r>
      <w:r w:rsidR="00F545EC">
        <w:t>lietā esošās ziņas par apsūdzētā veselības stāvokli, tai skaitā to, ka viņš ir II grupas invalīds ar izteiktiem kustību ierobežojumiem.</w:t>
      </w:r>
    </w:p>
    <w:p w14:paraId="766E376A" w14:textId="7392FAC7" w:rsidR="003C675E" w:rsidRDefault="003C675E" w:rsidP="00F545EC">
      <w:pPr>
        <w:spacing w:line="276" w:lineRule="auto"/>
        <w:ind w:firstLine="567"/>
        <w:jc w:val="both"/>
      </w:pPr>
      <w:r>
        <w:t>[4.4]</w:t>
      </w:r>
      <w:r w:rsidR="00E3356E">
        <w:t xml:space="preserve"> </w:t>
      </w:r>
      <w:bookmarkStart w:id="5" w:name="_Hlk124927615"/>
      <w:r w:rsidR="00615FAF">
        <w:t>A</w:t>
      </w:r>
      <w:r w:rsidR="002A214C">
        <w:t>pelācijas instances tiesa pārkāpusi Krimināllikuma 1., 6., 9., 16., 28. pantu, Kriminālprocesa likuma 19. panta trešo daļu, 124. panta pirmo daļu, 197., 198.</w:t>
      </w:r>
      <w:r w:rsidR="008F6078">
        <w:t> </w:t>
      </w:r>
      <w:r w:rsidR="002A214C">
        <w:t>pantu, 511. panta otro daļu, 512. panta otro daļu un 527. panta otrās daļas 2. punktu</w:t>
      </w:r>
      <w:r w:rsidR="008F6078">
        <w:t>.</w:t>
      </w:r>
    </w:p>
    <w:bookmarkEnd w:id="5"/>
    <w:p w14:paraId="4173C8FE" w14:textId="77777777" w:rsidR="006379A1" w:rsidRDefault="006379A1" w:rsidP="007C3DD1">
      <w:pPr>
        <w:spacing w:line="276" w:lineRule="auto"/>
        <w:ind w:firstLine="567"/>
        <w:jc w:val="both"/>
      </w:pPr>
    </w:p>
    <w:p w14:paraId="0642E7A6" w14:textId="77777777" w:rsidR="006379A1" w:rsidRDefault="006379A1" w:rsidP="007C3DD1">
      <w:pPr>
        <w:spacing w:line="276" w:lineRule="auto"/>
        <w:jc w:val="center"/>
        <w:rPr>
          <w:b/>
        </w:rPr>
      </w:pPr>
      <w:r w:rsidRPr="003F2999">
        <w:rPr>
          <w:b/>
        </w:rPr>
        <w:t>Motīvu daļa</w:t>
      </w:r>
    </w:p>
    <w:p w14:paraId="6F1F2011" w14:textId="77777777" w:rsidR="006379A1" w:rsidRPr="00A42C16" w:rsidRDefault="006379A1" w:rsidP="007C3DD1">
      <w:pPr>
        <w:spacing w:line="276" w:lineRule="auto"/>
      </w:pPr>
    </w:p>
    <w:p w14:paraId="49111B4E" w14:textId="5512625B" w:rsidR="00F52E3B" w:rsidRDefault="006379A1" w:rsidP="00F52E3B">
      <w:pPr>
        <w:spacing w:line="276" w:lineRule="auto"/>
        <w:ind w:firstLine="567"/>
        <w:jc w:val="both"/>
      </w:pPr>
      <w:r w:rsidRPr="00A42C16">
        <w:t>[5]</w:t>
      </w:r>
      <w:r w:rsidR="0078143C">
        <w:t xml:space="preserve"> </w:t>
      </w:r>
      <w:r w:rsidR="00F52E3B" w:rsidRPr="00042DAC">
        <w:t xml:space="preserve">Senāts konstatē, ka </w:t>
      </w:r>
      <w:r w:rsidR="00F52E3B" w:rsidRPr="00E51529">
        <w:t>vispirms kasācijas</w:t>
      </w:r>
      <w:r w:rsidR="00F52E3B" w:rsidRPr="00042DAC">
        <w:t xml:space="preserve"> instances tiesas kompetencē ir sniegt atbildi</w:t>
      </w:r>
      <w:r w:rsidR="00E3356E">
        <w:t>:</w:t>
      </w:r>
      <w:r w:rsidR="00165117">
        <w:t xml:space="preserve"> 1) </w:t>
      </w:r>
      <w:r w:rsidR="00F52E3B" w:rsidRPr="00042DAC">
        <w:t>vai apelācijas instances tiesa, nosakot sodu</w:t>
      </w:r>
      <w:r w:rsidR="00F52E3B">
        <w:t xml:space="preserve">, ir sniegusi atzinumu par apelācijas sūdzības pamatotību atbilstoši </w:t>
      </w:r>
      <w:r w:rsidR="00F52E3B" w:rsidRPr="00042DAC">
        <w:t>Kriminālprocesa likuma</w:t>
      </w:r>
      <w:r w:rsidR="00794BD6">
        <w:t xml:space="preserve"> 564. panta ceturtajai daļai</w:t>
      </w:r>
      <w:r w:rsidR="00165117">
        <w:t xml:space="preserve">; 2) </w:t>
      </w:r>
      <w:r w:rsidR="00165117" w:rsidRPr="00940A7C">
        <w:t xml:space="preserve">vai tiesa, </w:t>
      </w:r>
      <w:r w:rsidR="00165117" w:rsidRPr="00095FBE">
        <w:t xml:space="preserve">nosakot sodu </w:t>
      </w:r>
      <w:r w:rsidR="00165117" w:rsidRPr="00940A7C">
        <w:t>pēc Krimināllikuma 1</w:t>
      </w:r>
      <w:r w:rsidR="00165117">
        <w:t>79</w:t>
      </w:r>
      <w:r w:rsidR="00165117" w:rsidRPr="00940A7C">
        <w:t xml:space="preserve">. panta </w:t>
      </w:r>
      <w:r w:rsidR="00165117">
        <w:t>pi</w:t>
      </w:r>
      <w:r w:rsidR="00165117" w:rsidRPr="00940A7C">
        <w:t>r</w:t>
      </w:r>
      <w:r w:rsidR="00165117">
        <w:t>m</w:t>
      </w:r>
      <w:r w:rsidR="00165117" w:rsidRPr="00940A7C">
        <w:t>ās daļas, nav pieļāvusi Kriminālprocesa likuma 574.</w:t>
      </w:r>
      <w:r w:rsidR="00165117">
        <w:t> </w:t>
      </w:r>
      <w:r w:rsidR="00165117" w:rsidRPr="00940A7C">
        <w:t>pantā norādīto Krimināllikuma pārkāpumu.</w:t>
      </w:r>
    </w:p>
    <w:p w14:paraId="4C2B7768" w14:textId="77777777" w:rsidR="00165117" w:rsidRPr="00042DAC" w:rsidRDefault="00165117" w:rsidP="00F52E3B">
      <w:pPr>
        <w:spacing w:line="276" w:lineRule="auto"/>
        <w:ind w:firstLine="567"/>
        <w:jc w:val="both"/>
      </w:pPr>
    </w:p>
    <w:p w14:paraId="4CF7A81E" w14:textId="43F20852" w:rsidR="00165117" w:rsidRDefault="00536C00" w:rsidP="00165117">
      <w:pPr>
        <w:spacing w:line="276" w:lineRule="auto"/>
        <w:ind w:firstLine="567"/>
        <w:jc w:val="both"/>
        <w:rPr>
          <w:color w:val="000000" w:themeColor="text1"/>
        </w:rPr>
      </w:pPr>
      <w:r w:rsidRPr="00B14CA7">
        <w:rPr>
          <w:color w:val="000000" w:themeColor="text1"/>
        </w:rPr>
        <w:t>[</w:t>
      </w:r>
      <w:r w:rsidR="00165117">
        <w:rPr>
          <w:color w:val="000000" w:themeColor="text1"/>
        </w:rPr>
        <w:t>6</w:t>
      </w:r>
      <w:r w:rsidRPr="00B14CA7">
        <w:rPr>
          <w:color w:val="000000" w:themeColor="text1"/>
        </w:rPr>
        <w:t>]</w:t>
      </w:r>
      <w:r w:rsidR="0078143C">
        <w:rPr>
          <w:color w:val="000000" w:themeColor="text1"/>
        </w:rPr>
        <w:t xml:space="preserve"> </w:t>
      </w:r>
      <w:r w:rsidR="00165117" w:rsidRPr="00B14CA7">
        <w:rPr>
          <w:color w:val="000000" w:themeColor="text1"/>
        </w:rPr>
        <w:t>Senāts atzīst</w:t>
      </w:r>
      <w:r w:rsidR="00165117">
        <w:rPr>
          <w:color w:val="000000" w:themeColor="text1"/>
        </w:rPr>
        <w:t xml:space="preserve"> par pamatotām apsūdzētā </w:t>
      </w:r>
      <w:r w:rsidR="00D56F4E">
        <w:t>[pers. A]</w:t>
      </w:r>
      <w:r w:rsidR="00B7264A">
        <w:t xml:space="preserve"> </w:t>
      </w:r>
      <w:r w:rsidR="00165117">
        <w:rPr>
          <w:color w:val="000000" w:themeColor="text1"/>
        </w:rPr>
        <w:t xml:space="preserve">kasācijas sūdzībā paustās norādes, ka apelācijas instances tiesa </w:t>
      </w:r>
      <w:r w:rsidR="00165117" w:rsidRPr="00B14CA7">
        <w:rPr>
          <w:color w:val="000000" w:themeColor="text1"/>
        </w:rPr>
        <w:t xml:space="preserve">nav vērtējusi </w:t>
      </w:r>
      <w:r w:rsidR="00B7264A">
        <w:rPr>
          <w:color w:val="000000" w:themeColor="text1"/>
        </w:rPr>
        <w:t xml:space="preserve">viņa </w:t>
      </w:r>
      <w:r w:rsidR="00165117">
        <w:rPr>
          <w:color w:val="000000" w:themeColor="text1"/>
        </w:rPr>
        <w:t xml:space="preserve">apelācijas sūdzībā paustos argumentus par </w:t>
      </w:r>
      <w:r w:rsidR="00165117" w:rsidRPr="00B14CA7">
        <w:rPr>
          <w:color w:val="000000" w:themeColor="text1"/>
        </w:rPr>
        <w:t>invaliditāt</w:t>
      </w:r>
      <w:r w:rsidR="00165117">
        <w:rPr>
          <w:color w:val="000000" w:themeColor="text1"/>
        </w:rPr>
        <w:t>i.</w:t>
      </w:r>
    </w:p>
    <w:p w14:paraId="7AA7483B" w14:textId="1E3C9C21" w:rsidR="007C3DD1" w:rsidRDefault="00165117" w:rsidP="00165117">
      <w:pPr>
        <w:spacing w:line="276" w:lineRule="auto"/>
        <w:ind w:firstLine="567"/>
        <w:jc w:val="both"/>
      </w:pPr>
      <w:r>
        <w:rPr>
          <w:color w:val="000000" w:themeColor="text1"/>
        </w:rPr>
        <w:t xml:space="preserve">[6.1] </w:t>
      </w:r>
      <w:r w:rsidR="00536C00">
        <w:t>Kriminālprocesa likuma 564.</w:t>
      </w:r>
      <w:r w:rsidR="0012572F">
        <w:t> </w:t>
      </w:r>
      <w:r w:rsidR="00536C00">
        <w:t>panta ceturtā daļa noteic, ka n</w:t>
      </w:r>
      <w:r w:rsidR="00536C00" w:rsidRPr="003F1990">
        <w:t>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6980D4DE" w14:textId="739B4C8B" w:rsidR="007C3DD1" w:rsidRDefault="00536C00" w:rsidP="00165117">
      <w:pPr>
        <w:spacing w:line="276" w:lineRule="auto"/>
        <w:ind w:firstLine="567"/>
        <w:jc w:val="both"/>
        <w:rPr>
          <w:color w:val="000000" w:themeColor="text1"/>
        </w:rPr>
      </w:pPr>
      <w:r w:rsidRPr="00B14CA7">
        <w:rPr>
          <w:color w:val="000000" w:themeColor="text1"/>
        </w:rPr>
        <w:lastRenderedPageBreak/>
        <w:t>Krimināllikuma 46.</w:t>
      </w:r>
      <w:r w:rsidR="0012572F">
        <w:rPr>
          <w:color w:val="000000" w:themeColor="text1"/>
        </w:rPr>
        <w:t> </w:t>
      </w:r>
      <w:r w:rsidRPr="00B14CA7">
        <w:rPr>
          <w:color w:val="000000" w:themeColor="text1"/>
        </w:rPr>
        <w:t>panta otrā daļa noteic, ka, nosakot soda veidu, ņem vērā izdarītā noziedzīgā nodarījuma raksturu un radīto kaitējumu, kā arī vainīgā personību.</w:t>
      </w:r>
    </w:p>
    <w:p w14:paraId="714947A5" w14:textId="62496BA4" w:rsidR="00583D42" w:rsidRDefault="00583D42" w:rsidP="00583D42">
      <w:pPr>
        <w:spacing w:line="276" w:lineRule="auto"/>
        <w:ind w:firstLine="567"/>
        <w:jc w:val="both"/>
        <w:rPr>
          <w:color w:val="000000" w:themeColor="text1"/>
        </w:rPr>
      </w:pPr>
      <w:r w:rsidRPr="00B14CA7">
        <w:rPr>
          <w:color w:val="000000" w:themeColor="text1"/>
        </w:rPr>
        <w:t>Juridiskajā literatūrā norādīts, ka ziņas, kas raksturo personību un kurām ir krimināltiesiska nozīme, skar četrus cilvēka dzīves un darbības aspektus: 1)</w:t>
      </w:r>
      <w:r w:rsidR="009C3D9B">
        <w:rPr>
          <w:color w:val="000000" w:themeColor="text1"/>
        </w:rPr>
        <w:t xml:space="preserve"> </w:t>
      </w:r>
      <w:r w:rsidRPr="00B14CA7">
        <w:rPr>
          <w:color w:val="000000" w:themeColor="text1"/>
        </w:rPr>
        <w:t>fizisko stāvokli, 2)</w:t>
      </w:r>
      <w:r w:rsidR="009C3D9B">
        <w:rPr>
          <w:color w:val="000000" w:themeColor="text1"/>
        </w:rPr>
        <w:t xml:space="preserve"> </w:t>
      </w:r>
      <w:r w:rsidRPr="00B14CA7">
        <w:rPr>
          <w:color w:val="000000" w:themeColor="text1"/>
        </w:rPr>
        <w:t>psihisko stāvokli, 3) sociālo statusu un 4) tiesisko statusu, un to izvērtēšana ļauj, no vienas puses, noskaidrot personas noziedzīgās uzvedības cēloņus, tās noziedzīgo tieksmju stabilitāti, bet, no otras puses, noteikt maksimāli lietderīgo soda veidu, lai sasniegtu tā mērķi. Savukārt viens no apstākļiem, kas raksturo personas fizisko stāvokli ir invaliditāte (</w:t>
      </w:r>
      <w:r>
        <w:rPr>
          <w:i/>
          <w:color w:val="000000" w:themeColor="text1"/>
        </w:rPr>
        <w:t>Krastiņš</w:t>
      </w:r>
      <w:r w:rsidR="00EF1D39">
        <w:rPr>
          <w:i/>
          <w:color w:val="000000" w:themeColor="text1"/>
        </w:rPr>
        <w:t> </w:t>
      </w:r>
      <w:r>
        <w:rPr>
          <w:i/>
          <w:color w:val="000000" w:themeColor="text1"/>
        </w:rPr>
        <w:t xml:space="preserve">U., </w:t>
      </w:r>
      <w:proofErr w:type="spellStart"/>
      <w:r>
        <w:rPr>
          <w:i/>
          <w:color w:val="000000" w:themeColor="text1"/>
        </w:rPr>
        <w:t>Liholaja</w:t>
      </w:r>
      <w:proofErr w:type="spellEnd"/>
      <w:r>
        <w:rPr>
          <w:i/>
          <w:color w:val="000000" w:themeColor="text1"/>
        </w:rPr>
        <w:t> </w:t>
      </w:r>
      <w:r w:rsidRPr="00B14CA7">
        <w:rPr>
          <w:i/>
          <w:color w:val="000000" w:themeColor="text1"/>
        </w:rPr>
        <w:t>V.</w:t>
      </w:r>
      <w:r w:rsidR="00802FFA">
        <w:rPr>
          <w:i/>
          <w:color w:val="000000" w:themeColor="text1"/>
        </w:rPr>
        <w:t xml:space="preserve"> </w:t>
      </w:r>
      <w:r w:rsidRPr="00B14CA7">
        <w:rPr>
          <w:i/>
          <w:color w:val="000000" w:themeColor="text1"/>
        </w:rPr>
        <w:t>Krimināllikuma komentāri. Pirmā daļa (I-VIII</w:t>
      </w:r>
      <w:r w:rsidRPr="00B14CA7">
        <w:rPr>
          <w:i/>
          <w:color w:val="000000" w:themeColor="text1"/>
          <w:vertAlign w:val="superscript"/>
        </w:rPr>
        <w:t>2</w:t>
      </w:r>
      <w:r w:rsidRPr="00B14CA7">
        <w:rPr>
          <w:i/>
          <w:color w:val="000000" w:themeColor="text1"/>
        </w:rPr>
        <w:t xml:space="preserve"> nodaļa). Otrais papildinātais izdevums. Rīga: Tiesu namu aģentūra, 2018, 197.</w:t>
      </w:r>
      <w:r w:rsidR="00EF1D39">
        <w:rPr>
          <w:i/>
          <w:color w:val="000000" w:themeColor="text1"/>
        </w:rPr>
        <w:t> </w:t>
      </w:r>
      <w:r w:rsidRPr="00B14CA7">
        <w:rPr>
          <w:i/>
          <w:color w:val="000000" w:themeColor="text1"/>
        </w:rPr>
        <w:t>lapa</w:t>
      </w:r>
      <w:r w:rsidRPr="00B14CA7">
        <w:rPr>
          <w:color w:val="000000" w:themeColor="text1"/>
        </w:rPr>
        <w:t>).</w:t>
      </w:r>
    </w:p>
    <w:p w14:paraId="234E6946" w14:textId="77777777" w:rsidR="00583D42" w:rsidRDefault="00583D42" w:rsidP="00583D42">
      <w:pPr>
        <w:spacing w:line="276" w:lineRule="auto"/>
        <w:ind w:firstLine="567"/>
        <w:jc w:val="both"/>
        <w:rPr>
          <w:color w:val="000000" w:themeColor="text1"/>
        </w:rPr>
      </w:pPr>
      <w:r w:rsidRPr="00B14CA7">
        <w:rPr>
          <w:color w:val="000000" w:themeColor="text1"/>
        </w:rPr>
        <w:t>Tādējādi ziņ</w:t>
      </w:r>
      <w:r>
        <w:rPr>
          <w:color w:val="000000" w:themeColor="text1"/>
        </w:rPr>
        <w:t>as</w:t>
      </w:r>
      <w:r w:rsidRPr="00B14CA7">
        <w:rPr>
          <w:color w:val="000000" w:themeColor="text1"/>
        </w:rPr>
        <w:t xml:space="preserve"> par personas invaliditāti ir </w:t>
      </w:r>
      <w:r>
        <w:rPr>
          <w:color w:val="000000" w:themeColor="text1"/>
        </w:rPr>
        <w:t xml:space="preserve">personību raksturojoša ziņa un tai ir </w:t>
      </w:r>
      <w:r w:rsidRPr="00B14CA7">
        <w:rPr>
          <w:color w:val="000000" w:themeColor="text1"/>
        </w:rPr>
        <w:t xml:space="preserve">būtiska nozīme individualizēta un taisnīga soda noteikšanā. </w:t>
      </w:r>
    </w:p>
    <w:p w14:paraId="231DB401" w14:textId="17C2795E" w:rsidR="00FC10AD" w:rsidRDefault="00722572" w:rsidP="00752B7A">
      <w:pPr>
        <w:spacing w:line="276" w:lineRule="auto"/>
        <w:ind w:firstLine="567"/>
        <w:jc w:val="both"/>
      </w:pPr>
      <w:r>
        <w:rPr>
          <w:color w:val="000000" w:themeColor="text1"/>
        </w:rPr>
        <w:t>[</w:t>
      </w:r>
      <w:r w:rsidR="00165117">
        <w:rPr>
          <w:color w:val="000000" w:themeColor="text1"/>
        </w:rPr>
        <w:t>6</w:t>
      </w:r>
      <w:r>
        <w:rPr>
          <w:color w:val="000000" w:themeColor="text1"/>
        </w:rPr>
        <w:t xml:space="preserve">.2.] </w:t>
      </w:r>
      <w:r w:rsidR="008A79E6">
        <w:rPr>
          <w:color w:val="000000" w:themeColor="text1"/>
        </w:rPr>
        <w:t>No lietas materiāliem konstatējams, ka a</w:t>
      </w:r>
      <w:r w:rsidR="00536C00">
        <w:rPr>
          <w:color w:val="000000" w:themeColor="text1"/>
        </w:rPr>
        <w:t xml:space="preserve">psūdzētais </w:t>
      </w:r>
      <w:r w:rsidR="00D56F4E">
        <w:t>[pers. A]</w:t>
      </w:r>
      <w:r w:rsidR="008A79E6">
        <w:t xml:space="preserve"> </w:t>
      </w:r>
      <w:r w:rsidR="00F6019B">
        <w:rPr>
          <w:color w:val="000000" w:themeColor="text1"/>
        </w:rPr>
        <w:t xml:space="preserve">pirmās instances tiesā iesniedzis </w:t>
      </w:r>
      <w:r w:rsidR="00536C00">
        <w:rPr>
          <w:color w:val="000000" w:themeColor="text1"/>
        </w:rPr>
        <w:t xml:space="preserve">Veselības un darbspēju ekspertīzes ārstu </w:t>
      </w:r>
      <w:r w:rsidR="00E3356E">
        <w:rPr>
          <w:color w:val="000000" w:themeColor="text1"/>
        </w:rPr>
        <w:t>v</w:t>
      </w:r>
      <w:r w:rsidR="00536C00">
        <w:rPr>
          <w:color w:val="000000" w:themeColor="text1"/>
        </w:rPr>
        <w:t xml:space="preserve">alsts komisijas lēmumu </w:t>
      </w:r>
      <w:r w:rsidR="00536C00" w:rsidRPr="00E437E4">
        <w:rPr>
          <w:color w:val="000000" w:themeColor="text1"/>
        </w:rPr>
        <w:t>Nr.</w:t>
      </w:r>
      <w:r w:rsidR="007C28B6" w:rsidRPr="00E437E4">
        <w:rPr>
          <w:color w:val="000000" w:themeColor="text1"/>
        </w:rPr>
        <w:t> 30</w:t>
      </w:r>
      <w:r w:rsidR="00ED7CFA">
        <w:rPr>
          <w:color w:val="000000" w:themeColor="text1"/>
        </w:rPr>
        <w:noBreakHyphen/>
      </w:r>
      <w:r w:rsidR="007C28B6" w:rsidRPr="00E437E4">
        <w:rPr>
          <w:color w:val="000000" w:themeColor="text1"/>
        </w:rPr>
        <w:t>20</w:t>
      </w:r>
      <w:r w:rsidR="00D30F6C" w:rsidRPr="00E437E4">
        <w:rPr>
          <w:color w:val="000000" w:themeColor="text1"/>
        </w:rPr>
        <w:t>20</w:t>
      </w:r>
      <w:r w:rsidR="00ED7CFA">
        <w:rPr>
          <w:color w:val="000000" w:themeColor="text1"/>
        </w:rPr>
        <w:noBreakHyphen/>
      </w:r>
      <w:r w:rsidR="00BF7CEC">
        <w:rPr>
          <w:color w:val="000000" w:themeColor="text1"/>
        </w:rPr>
        <w:t>7108</w:t>
      </w:r>
      <w:r w:rsidR="00536C00" w:rsidRPr="00E437E4">
        <w:rPr>
          <w:color w:val="000000" w:themeColor="text1"/>
        </w:rPr>
        <w:t xml:space="preserve">, </w:t>
      </w:r>
      <w:proofErr w:type="gramStart"/>
      <w:r w:rsidR="00536C00" w:rsidRPr="00E437E4">
        <w:rPr>
          <w:color w:val="000000" w:themeColor="text1"/>
        </w:rPr>
        <w:t>ar kuru</w:t>
      </w:r>
      <w:r w:rsidR="00536C00">
        <w:rPr>
          <w:color w:val="000000" w:themeColor="text1"/>
        </w:rPr>
        <w:t xml:space="preserve"> </w:t>
      </w:r>
      <w:r w:rsidR="008A79E6">
        <w:rPr>
          <w:color w:val="000000" w:themeColor="text1"/>
        </w:rPr>
        <w:t xml:space="preserve">viņam </w:t>
      </w:r>
      <w:r w:rsidR="00536C00">
        <w:rPr>
          <w:color w:val="000000" w:themeColor="text1"/>
        </w:rPr>
        <w:t xml:space="preserve">noteikta </w:t>
      </w:r>
      <w:r w:rsidR="00F545EC">
        <w:t>II</w:t>
      </w:r>
      <w:proofErr w:type="gramEnd"/>
      <w:r w:rsidR="00536C00">
        <w:rPr>
          <w:color w:val="000000" w:themeColor="text1"/>
        </w:rPr>
        <w:t xml:space="preserve"> invaliditātes </w:t>
      </w:r>
      <w:r w:rsidR="00EF1D39">
        <w:rPr>
          <w:color w:val="000000" w:themeColor="text1"/>
        </w:rPr>
        <w:t xml:space="preserve">grupa </w:t>
      </w:r>
      <w:r w:rsidR="007C28B6">
        <w:rPr>
          <w:color w:val="000000" w:themeColor="text1"/>
        </w:rPr>
        <w:t>līdz 2025. gada 25. februārim</w:t>
      </w:r>
      <w:r w:rsidR="00FC10AD">
        <w:t>.</w:t>
      </w:r>
    </w:p>
    <w:p w14:paraId="2E7A2A42" w14:textId="79C99B2D" w:rsidR="00FC2937" w:rsidRDefault="00F6019B" w:rsidP="00FC2937">
      <w:pPr>
        <w:spacing w:line="276" w:lineRule="auto"/>
        <w:ind w:firstLine="567"/>
        <w:jc w:val="both"/>
        <w:rPr>
          <w:color w:val="000000" w:themeColor="text1"/>
        </w:rPr>
      </w:pPr>
      <w:r>
        <w:rPr>
          <w:color w:val="000000" w:themeColor="text1"/>
        </w:rPr>
        <w:t>Pirmās instances tiesa</w:t>
      </w:r>
      <w:r w:rsidR="00177A90">
        <w:rPr>
          <w:color w:val="000000" w:themeColor="text1"/>
        </w:rPr>
        <w:t>,</w:t>
      </w:r>
      <w:r>
        <w:rPr>
          <w:color w:val="000000" w:themeColor="text1"/>
        </w:rPr>
        <w:t xml:space="preserve"> nosakot soda veidu, norādījusi, ka tā neatstāj bez ievērības ziņas par </w:t>
      </w:r>
      <w:r w:rsidR="00752B7A">
        <w:rPr>
          <w:color w:val="000000" w:themeColor="text1"/>
        </w:rPr>
        <w:t xml:space="preserve">apsūdzētā </w:t>
      </w:r>
      <w:r w:rsidR="00D56F4E">
        <w:t>[pers. A]</w:t>
      </w:r>
      <w:r w:rsidR="00752B7A">
        <w:t xml:space="preserve"> </w:t>
      </w:r>
      <w:r>
        <w:rPr>
          <w:color w:val="000000" w:themeColor="text1"/>
        </w:rPr>
        <w:t xml:space="preserve">invaliditāti, un ka </w:t>
      </w:r>
      <w:r w:rsidRPr="00F6019B">
        <w:rPr>
          <w:rFonts w:ascii="TimesNewRomanPSMT" w:eastAsiaTheme="minorHAnsi" w:hAnsi="TimesNewRomanPSMT" w:cs="TimesNewRomanPSMT"/>
          <w:lang w:eastAsia="en-US"/>
        </w:rPr>
        <w:t>kriminālprocesā nav ziņu par to, ka apsūdzētais</w:t>
      </w:r>
      <w:r>
        <w:rPr>
          <w:rFonts w:ascii="TimesNewRomanPSMT" w:eastAsiaTheme="minorHAnsi" w:hAnsi="TimesNewRomanPSMT" w:cs="TimesNewRomanPSMT"/>
          <w:lang w:eastAsia="en-US"/>
        </w:rPr>
        <w:t xml:space="preserve"> </w:t>
      </w:r>
      <w:r w:rsidRPr="00F6019B">
        <w:rPr>
          <w:rFonts w:ascii="TimesNewRomanPSMT" w:eastAsiaTheme="minorHAnsi" w:hAnsi="TimesNewRomanPSMT" w:cs="TimesNewRomanPSMT"/>
          <w:lang w:eastAsia="en-US"/>
        </w:rPr>
        <w:t>veselības stāvokļa dēļ nevarētu atrasties apcietinājumā un izciest viņam</w:t>
      </w:r>
      <w:r>
        <w:rPr>
          <w:rFonts w:ascii="TimesNewRomanPSMT" w:eastAsiaTheme="minorHAnsi" w:hAnsi="TimesNewRomanPSMT" w:cs="TimesNewRomanPSMT"/>
          <w:lang w:eastAsia="en-US"/>
        </w:rPr>
        <w:t xml:space="preserve"> </w:t>
      </w:r>
      <w:r w:rsidRPr="00F6019B">
        <w:rPr>
          <w:rFonts w:ascii="TimesNewRomanPSMT" w:eastAsiaTheme="minorHAnsi" w:hAnsi="TimesNewRomanPSMT" w:cs="TimesNewRomanPSMT"/>
          <w:lang w:eastAsia="en-US"/>
        </w:rPr>
        <w:t>piespriesto brīvības atņemšanas sodu, savukārt saskaņā ar Ministru kabineta 2015</w:t>
      </w:r>
      <w:r w:rsidR="00AD65D2">
        <w:rPr>
          <w:rFonts w:ascii="TimesNewRomanPSMT" w:eastAsiaTheme="minorHAnsi" w:hAnsi="TimesNewRomanPSMT" w:cs="TimesNewRomanPSMT"/>
          <w:lang w:eastAsia="en-US"/>
        </w:rPr>
        <w:t>. </w:t>
      </w:r>
      <w:r w:rsidRPr="00F6019B">
        <w:rPr>
          <w:rFonts w:ascii="TimesNewRomanPSMT" w:eastAsiaTheme="minorHAnsi" w:hAnsi="TimesNewRomanPSMT" w:cs="TimesNewRomanPSMT"/>
          <w:lang w:eastAsia="en-US"/>
        </w:rPr>
        <w:t>gada 2.</w:t>
      </w:r>
      <w:r w:rsidR="00AD65D2">
        <w:rPr>
          <w:rFonts w:ascii="TimesNewRomanPSMT" w:eastAsiaTheme="minorHAnsi" w:hAnsi="TimesNewRomanPSMT" w:cs="TimesNewRomanPSMT"/>
          <w:lang w:eastAsia="en-US"/>
        </w:rPr>
        <w:t> </w:t>
      </w:r>
      <w:r w:rsidRPr="00F6019B">
        <w:rPr>
          <w:rFonts w:ascii="TimesNewRomanPSMT" w:eastAsiaTheme="minorHAnsi" w:hAnsi="TimesNewRomanPSMT" w:cs="TimesNewRomanPSMT"/>
          <w:lang w:eastAsia="en-US"/>
        </w:rPr>
        <w:t>jūnija</w:t>
      </w:r>
      <w:r>
        <w:rPr>
          <w:rFonts w:ascii="TimesNewRomanPSMT" w:eastAsiaTheme="minorHAnsi" w:hAnsi="TimesNewRomanPSMT" w:cs="TimesNewRomanPSMT"/>
          <w:lang w:eastAsia="en-US"/>
        </w:rPr>
        <w:t xml:space="preserve"> </w:t>
      </w:r>
      <w:r w:rsidRPr="00F6019B">
        <w:rPr>
          <w:rFonts w:ascii="TimesNewRomanPSMT" w:eastAsiaTheme="minorHAnsi" w:hAnsi="TimesNewRomanPSMT" w:cs="TimesNewRomanPSMT"/>
          <w:lang w:eastAsia="en-US"/>
        </w:rPr>
        <w:t>noteikumiem Nr.</w:t>
      </w:r>
      <w:r w:rsidR="0012572F">
        <w:rPr>
          <w:rFonts w:ascii="TimesNewRomanPSMT" w:eastAsiaTheme="minorHAnsi" w:hAnsi="TimesNewRomanPSMT" w:cs="TimesNewRomanPSMT"/>
          <w:lang w:eastAsia="en-US"/>
        </w:rPr>
        <w:t> </w:t>
      </w:r>
      <w:r w:rsidRPr="00F6019B">
        <w:rPr>
          <w:rFonts w:ascii="TimesNewRomanPSMT" w:eastAsiaTheme="minorHAnsi" w:hAnsi="TimesNewRomanPSMT" w:cs="TimesNewRomanPSMT"/>
          <w:lang w:eastAsia="en-US"/>
        </w:rPr>
        <w:t>276</w:t>
      </w:r>
      <w:r w:rsidR="00BF7CEC">
        <w:rPr>
          <w:rFonts w:ascii="TimesNewRomanPSMT" w:eastAsiaTheme="minorHAnsi" w:hAnsi="TimesNewRomanPSMT" w:cs="TimesNewRomanPSMT"/>
          <w:lang w:eastAsia="en-US"/>
        </w:rPr>
        <w:t xml:space="preserve"> </w:t>
      </w:r>
      <w:r w:rsidR="00AD65D2">
        <w:rPr>
          <w:rFonts w:ascii="TimesNewRomanPSMT" w:eastAsiaTheme="minorHAnsi" w:hAnsi="TimesNewRomanPSMT" w:cs="TimesNewRomanPSMT"/>
          <w:lang w:eastAsia="en-US"/>
        </w:rPr>
        <w:t>,,</w:t>
      </w:r>
      <w:r w:rsidRPr="00F6019B">
        <w:rPr>
          <w:rFonts w:ascii="TimesNewRomanPSMT" w:eastAsiaTheme="minorHAnsi" w:hAnsi="TimesNewRomanPSMT" w:cs="TimesNewRomanPSMT"/>
          <w:lang w:eastAsia="en-US"/>
        </w:rPr>
        <w:t>Apcietināto un notiesāto personu veselības aprūpes īstenošanas kārtība”,</w:t>
      </w:r>
      <w:r>
        <w:rPr>
          <w:rFonts w:ascii="TimesNewRomanPSMT" w:eastAsiaTheme="minorHAnsi" w:hAnsi="TimesNewRomanPSMT" w:cs="TimesNewRomanPSMT"/>
          <w:lang w:eastAsia="en-US"/>
        </w:rPr>
        <w:t xml:space="preserve"> </w:t>
      </w:r>
      <w:r w:rsidRPr="00F6019B">
        <w:rPr>
          <w:rFonts w:ascii="TimesNewRomanPSMT" w:eastAsiaTheme="minorHAnsi" w:hAnsi="TimesNewRomanPSMT" w:cs="TimesNewRomanPSMT"/>
          <w:lang w:eastAsia="en-US"/>
        </w:rPr>
        <w:t>apcietinājumā esoša persona var saņemt nepieciešamos veselības aprūpes pakalpojumus, ja tai ir</w:t>
      </w:r>
      <w:r>
        <w:rPr>
          <w:rFonts w:ascii="TimesNewRomanPSMT" w:eastAsiaTheme="minorHAnsi" w:hAnsi="TimesNewRomanPSMT" w:cs="TimesNewRomanPSMT"/>
          <w:lang w:eastAsia="en-US"/>
        </w:rPr>
        <w:t xml:space="preserve"> </w:t>
      </w:r>
      <w:r w:rsidRPr="00F6019B">
        <w:rPr>
          <w:rFonts w:ascii="TimesNewRomanPSMT" w:eastAsiaTheme="minorHAnsi" w:hAnsi="TimesNewRomanPSMT" w:cs="TimesNewRomanPSMT"/>
          <w:lang w:eastAsia="en-US"/>
        </w:rPr>
        <w:t>konstatēti veselības traucējumi, tostarp primāro, sekundāro un neatliekamo medicīnisko palīdzību.</w:t>
      </w:r>
      <w:r>
        <w:rPr>
          <w:color w:val="000000" w:themeColor="text1"/>
        </w:rPr>
        <w:t xml:space="preserve"> </w:t>
      </w:r>
    </w:p>
    <w:p w14:paraId="1C21A8E5" w14:textId="225F7F09" w:rsidR="00FC2937" w:rsidRDefault="005C1722" w:rsidP="00FC2937">
      <w:pPr>
        <w:spacing w:line="276" w:lineRule="auto"/>
        <w:ind w:firstLine="567"/>
        <w:jc w:val="both"/>
        <w:rPr>
          <w:color w:val="000000" w:themeColor="text1"/>
        </w:rPr>
      </w:pPr>
      <w:r>
        <w:rPr>
          <w:color w:val="000000" w:themeColor="text1"/>
        </w:rPr>
        <w:t>Senāts konstatē, ka a</w:t>
      </w:r>
      <w:r w:rsidR="007C28B6">
        <w:rPr>
          <w:color w:val="000000" w:themeColor="text1"/>
        </w:rPr>
        <w:t xml:space="preserve">psūdzētais </w:t>
      </w:r>
      <w:r w:rsidR="00D56F4E">
        <w:t>[pers. A]</w:t>
      </w:r>
      <w:r w:rsidR="00BD501E">
        <w:t xml:space="preserve">, pārsūdzot pirmās instances tiesas spriedumu, </w:t>
      </w:r>
      <w:r w:rsidR="007C28B6">
        <w:t xml:space="preserve">apelācijas sūdzībā norādījis, </w:t>
      </w:r>
      <w:r w:rsidR="007C28B6" w:rsidRPr="00722572">
        <w:t xml:space="preserve">ka viņam ir </w:t>
      </w:r>
      <w:r w:rsidR="00984A22" w:rsidRPr="002D3EFC">
        <w:t>II</w:t>
      </w:r>
      <w:r w:rsidR="00D747BE" w:rsidRPr="00722572">
        <w:t xml:space="preserve"> </w:t>
      </w:r>
      <w:r w:rsidR="00D747BE" w:rsidRPr="00722572">
        <w:rPr>
          <w:color w:val="000000" w:themeColor="text1"/>
        </w:rPr>
        <w:t>invaliditātes</w:t>
      </w:r>
      <w:r>
        <w:rPr>
          <w:color w:val="000000" w:themeColor="text1"/>
        </w:rPr>
        <w:t xml:space="preserve"> </w:t>
      </w:r>
      <w:r w:rsidR="00D747BE">
        <w:rPr>
          <w:color w:val="000000" w:themeColor="text1"/>
        </w:rPr>
        <w:t>grupa</w:t>
      </w:r>
      <w:r w:rsidR="00D747BE" w:rsidRPr="00E51529">
        <w:rPr>
          <w:color w:val="000000" w:themeColor="text1"/>
        </w:rPr>
        <w:t xml:space="preserve">, </w:t>
      </w:r>
      <w:r w:rsidR="00F545EC" w:rsidRPr="00E51529">
        <w:rPr>
          <w:color w:val="000000" w:themeColor="text1"/>
        </w:rPr>
        <w:t xml:space="preserve">slimības </w:t>
      </w:r>
      <w:r w:rsidR="00D747BE" w:rsidRPr="00E51529">
        <w:rPr>
          <w:color w:val="000000" w:themeColor="text1"/>
        </w:rPr>
        <w:t xml:space="preserve">izraisītas </w:t>
      </w:r>
      <w:r w:rsidR="00E51529" w:rsidRPr="00E51529">
        <w:rPr>
          <w:color w:val="000000" w:themeColor="text1"/>
        </w:rPr>
        <w:t xml:space="preserve">regulāras </w:t>
      </w:r>
      <w:r w:rsidR="00D747BE" w:rsidRPr="00E51529">
        <w:rPr>
          <w:color w:val="000000" w:themeColor="text1"/>
        </w:rPr>
        <w:t>lēkmes un izteikti kustību ierobežojumi, tādēļ viņam katru nedēļu</w:t>
      </w:r>
      <w:r w:rsidR="00D747BE" w:rsidRPr="00D747BE">
        <w:rPr>
          <w:color w:val="000000" w:themeColor="text1"/>
        </w:rPr>
        <w:t xml:space="preserve"> slimnīcā ir jāsaņem</w:t>
      </w:r>
      <w:r w:rsidR="00D747BE" w:rsidRPr="008A79E6">
        <w:t xml:space="preserve"> bioloģisko </w:t>
      </w:r>
      <w:r w:rsidR="00D747BE" w:rsidRPr="00D747BE">
        <w:rPr>
          <w:color w:val="000000" w:themeColor="text1"/>
        </w:rPr>
        <w:t>preparāt</w:t>
      </w:r>
      <w:r w:rsidR="00D747BE">
        <w:rPr>
          <w:color w:val="000000" w:themeColor="text1"/>
        </w:rPr>
        <w:t>u</w:t>
      </w:r>
      <w:r w:rsidR="00D747BE" w:rsidRPr="00D747BE">
        <w:rPr>
          <w:color w:val="000000" w:themeColor="text1"/>
        </w:rPr>
        <w:t xml:space="preserve"> injekcijas un ikdienā jālieto virkne medikamentu</w:t>
      </w:r>
      <w:r w:rsidR="00D747BE">
        <w:rPr>
          <w:color w:val="000000" w:themeColor="text1"/>
        </w:rPr>
        <w:t>, citādāk viņam iestājas kāju paralīze un nav iespējams pārvietoties.</w:t>
      </w:r>
      <w:r>
        <w:rPr>
          <w:color w:val="000000" w:themeColor="text1"/>
        </w:rPr>
        <w:t xml:space="preserve"> Apsūdzētais arī lūdzis izvērtēt, vai</w:t>
      </w:r>
      <w:r w:rsidR="00BD501E">
        <w:rPr>
          <w:color w:val="000000" w:themeColor="text1"/>
        </w:rPr>
        <w:t>,</w:t>
      </w:r>
      <w:r>
        <w:rPr>
          <w:color w:val="000000" w:themeColor="text1"/>
        </w:rPr>
        <w:t xml:space="preserve"> atrodoties brīvības atņemšanas vietā</w:t>
      </w:r>
      <w:r w:rsidR="00BD501E">
        <w:rPr>
          <w:color w:val="000000" w:themeColor="text1"/>
        </w:rPr>
        <w:t>,</w:t>
      </w:r>
      <w:r>
        <w:rPr>
          <w:color w:val="000000" w:themeColor="text1"/>
        </w:rPr>
        <w:t xml:space="preserve"> būs iespējams viņam nodrošināt regulārās injekcijas un medikamentozo ārstniecību.</w:t>
      </w:r>
    </w:p>
    <w:p w14:paraId="0AEFC8F4" w14:textId="7BB6294C" w:rsidR="00752B7A" w:rsidRDefault="00FC2937" w:rsidP="00752B7A">
      <w:pPr>
        <w:spacing w:line="276" w:lineRule="auto"/>
        <w:ind w:firstLine="567"/>
        <w:jc w:val="both"/>
      </w:pPr>
      <w:r>
        <w:t xml:space="preserve">Apelācijas instances tiesa, atstājot </w:t>
      </w:r>
      <w:r w:rsidR="009C3D9B">
        <w:t xml:space="preserve">negrozītu </w:t>
      </w:r>
      <w:r>
        <w:t xml:space="preserve">pirmās instances tiesas spriedumu, atzinusi, ka pirmās instances tiesas apsūdzētajam </w:t>
      </w:r>
      <w:r w:rsidRPr="00E3356E">
        <w:t>noteiktais sods</w:t>
      </w:r>
      <w:r>
        <w:t xml:space="preserve"> ir taisnīgs un samērīgs, atbilstošs Krimināllikuma 35. pantā noteiktajam soda mērķim un Krimināllikuma 46. pantā paredzētajiem soda noteikšanas nosacījumiem.</w:t>
      </w:r>
    </w:p>
    <w:p w14:paraId="5DCA5664" w14:textId="03928BA2" w:rsidR="00752B7A" w:rsidRPr="00F01EA4" w:rsidRDefault="00FC2937" w:rsidP="009A426E">
      <w:pPr>
        <w:spacing w:line="276" w:lineRule="auto"/>
        <w:ind w:firstLine="567"/>
        <w:jc w:val="both"/>
        <w:rPr>
          <w:b/>
          <w:lang w:eastAsia="en-US"/>
        </w:rPr>
      </w:pPr>
      <w:r w:rsidRPr="002D3EFC">
        <w:t xml:space="preserve">Senāts jau iepriekš ir norādījis, ka personas ar veselības traucējumiem </w:t>
      </w:r>
      <w:bookmarkStart w:id="6" w:name="_Hlk124928155"/>
      <w:r w:rsidRPr="002D3EFC">
        <w:t>ieslodzījumā ir</w:t>
      </w:r>
      <w:r>
        <w:t xml:space="preserve"> </w:t>
      </w:r>
      <w:r w:rsidRPr="002D3EFC">
        <w:t>pakļautas lielākām ciešanām</w:t>
      </w:r>
      <w:bookmarkEnd w:id="6"/>
      <w:r w:rsidRPr="002D3EFC">
        <w:t>, nekā veselas personas, tādēļ rūpīgi izvērtējama nepieciešamība šādām</w:t>
      </w:r>
      <w:r>
        <w:t xml:space="preserve"> </w:t>
      </w:r>
      <w:r w:rsidRPr="002D3EFC">
        <w:t>personām piemērot ar brīvības atņemšanu saistītu sodu. Izvērtējot ar smagu slimību sirgstošu</w:t>
      </w:r>
      <w:r>
        <w:t xml:space="preserve"> </w:t>
      </w:r>
      <w:r w:rsidRPr="002D3EFC">
        <w:t>personu iespēju izciest ar brīvības atņemšanu saistītu sodu, jāņem vērā Latvijas Republikas</w:t>
      </w:r>
      <w:r>
        <w:t xml:space="preserve"> </w:t>
      </w:r>
      <w:r w:rsidRPr="002D3EFC">
        <w:t>Satversmes 95. un 111.</w:t>
      </w:r>
      <w:r w:rsidR="0012572F">
        <w:t> </w:t>
      </w:r>
      <w:r w:rsidRPr="002D3EFC">
        <w:t xml:space="preserve">pantā noteiktās pamattiesības </w:t>
      </w:r>
      <w:proofErr w:type="gramStart"/>
      <w:r w:rsidRPr="00F01EA4">
        <w:t>(</w:t>
      </w:r>
      <w:proofErr w:type="gramEnd"/>
      <w:r w:rsidR="0072403F" w:rsidRPr="00F01EA4">
        <w:rPr>
          <w:i/>
          <w:iCs/>
        </w:rPr>
        <w:t>Senāta</w:t>
      </w:r>
      <w:r w:rsidRPr="00F01EA4">
        <w:t xml:space="preserve"> </w:t>
      </w:r>
      <w:r w:rsidRPr="00F01EA4">
        <w:rPr>
          <w:i/>
          <w:iCs/>
        </w:rPr>
        <w:t>202</w:t>
      </w:r>
      <w:r w:rsidR="008F6078" w:rsidRPr="00F01EA4">
        <w:rPr>
          <w:i/>
          <w:iCs/>
        </w:rPr>
        <w:t>0</w:t>
      </w:r>
      <w:r w:rsidRPr="00F01EA4">
        <w:rPr>
          <w:i/>
          <w:iCs/>
        </w:rPr>
        <w:t>.</w:t>
      </w:r>
      <w:r w:rsidR="0012572F" w:rsidRPr="00F01EA4">
        <w:rPr>
          <w:i/>
          <w:iCs/>
        </w:rPr>
        <w:t> </w:t>
      </w:r>
      <w:r w:rsidRPr="00F01EA4">
        <w:rPr>
          <w:i/>
          <w:iCs/>
        </w:rPr>
        <w:t xml:space="preserve">gada </w:t>
      </w:r>
      <w:r w:rsidR="008F6078" w:rsidRPr="00F01EA4">
        <w:rPr>
          <w:i/>
          <w:iCs/>
        </w:rPr>
        <w:t>8</w:t>
      </w:r>
      <w:r w:rsidRPr="00F01EA4">
        <w:rPr>
          <w:i/>
          <w:iCs/>
        </w:rPr>
        <w:t>.</w:t>
      </w:r>
      <w:r w:rsidR="0012572F" w:rsidRPr="00F01EA4">
        <w:rPr>
          <w:i/>
          <w:iCs/>
        </w:rPr>
        <w:t> </w:t>
      </w:r>
      <w:r w:rsidR="008F6078" w:rsidRPr="00F01EA4">
        <w:rPr>
          <w:i/>
          <w:iCs/>
        </w:rPr>
        <w:t>aprīļa</w:t>
      </w:r>
      <w:r w:rsidRPr="00F01EA4">
        <w:rPr>
          <w:i/>
          <w:iCs/>
        </w:rPr>
        <w:t xml:space="preserve"> lēmum</w:t>
      </w:r>
      <w:r w:rsidR="008F6078" w:rsidRPr="00F01EA4">
        <w:rPr>
          <w:i/>
          <w:iCs/>
        </w:rPr>
        <w:t>a</w:t>
      </w:r>
      <w:r w:rsidRPr="00F01EA4">
        <w:rPr>
          <w:i/>
          <w:iCs/>
        </w:rPr>
        <w:t xml:space="preserve"> lietā Nr.</w:t>
      </w:r>
      <w:r w:rsidR="0044332C">
        <w:rPr>
          <w:i/>
          <w:iCs/>
        </w:rPr>
        <w:t> SKK-91/2020</w:t>
      </w:r>
      <w:r w:rsidR="008F6078" w:rsidRPr="00F01EA4">
        <w:rPr>
          <w:i/>
          <w:iCs/>
        </w:rPr>
        <w:t>,</w:t>
      </w:r>
      <w:r w:rsidR="009A426E" w:rsidRPr="009A426E">
        <w:t xml:space="preserve"> </w:t>
      </w:r>
      <w:hyperlink r:id="rId8" w:history="1">
        <w:r w:rsidR="009A426E" w:rsidRPr="009A426E">
          <w:rPr>
            <w:rStyle w:val="Hyperlink"/>
            <w:i/>
            <w:iCs/>
            <w:shd w:val="clear" w:color="auto" w:fill="FFFFFF"/>
          </w:rPr>
          <w:t>ECLI:LV:AT:2020:0408.11410010317.6.L</w:t>
        </w:r>
      </w:hyperlink>
      <w:r w:rsidR="004741AF" w:rsidRPr="00F01EA4">
        <w:rPr>
          <w:i/>
          <w:iCs/>
        </w:rPr>
        <w:t>, 7. punkts</w:t>
      </w:r>
      <w:r w:rsidR="004741AF" w:rsidRPr="00C42F4A">
        <w:t>)</w:t>
      </w:r>
      <w:r w:rsidRPr="002D3EFC">
        <w:t>.</w:t>
      </w:r>
      <w:r>
        <w:t xml:space="preserve"> </w:t>
      </w:r>
    </w:p>
    <w:p w14:paraId="5AF27FF0" w14:textId="28187350" w:rsidR="00FC2937" w:rsidRDefault="00FC2937" w:rsidP="001B2A36">
      <w:pPr>
        <w:spacing w:line="276" w:lineRule="auto"/>
        <w:ind w:firstLine="567"/>
        <w:jc w:val="both"/>
      </w:pPr>
      <w:r w:rsidRPr="002D3EFC">
        <w:t xml:space="preserve">Veselības un darbspēju ekspertīzes ārstu valsts komisijas </w:t>
      </w:r>
      <w:r w:rsidRPr="001C7037">
        <w:t>20</w:t>
      </w:r>
      <w:r w:rsidR="00E437E4" w:rsidRPr="001C7037">
        <w:t>20</w:t>
      </w:r>
      <w:r w:rsidRPr="001C7037">
        <w:t>.</w:t>
      </w:r>
      <w:r w:rsidR="00752B7A" w:rsidRPr="001C7037">
        <w:t> </w:t>
      </w:r>
      <w:r w:rsidRPr="001C7037">
        <w:t xml:space="preserve">gada </w:t>
      </w:r>
      <w:r w:rsidR="00E437E4" w:rsidRPr="001C7037">
        <w:t>15</w:t>
      </w:r>
      <w:r w:rsidRPr="001C7037">
        <w:t>.</w:t>
      </w:r>
      <w:r w:rsidR="00752B7A" w:rsidRPr="001C7037">
        <w:t> </w:t>
      </w:r>
      <w:r w:rsidR="00E437E4" w:rsidRPr="001C7037">
        <w:t xml:space="preserve">aprīļa </w:t>
      </w:r>
      <w:r w:rsidRPr="001C7037">
        <w:t>lēmum</w:t>
      </w:r>
      <w:r w:rsidR="001C7037" w:rsidRPr="001C7037">
        <w:t>ā</w:t>
      </w:r>
      <w:r w:rsidRPr="001C7037">
        <w:t xml:space="preserve"> </w:t>
      </w:r>
      <w:r w:rsidR="00E437E4" w:rsidRPr="001C7037">
        <w:rPr>
          <w:color w:val="000000" w:themeColor="text1"/>
        </w:rPr>
        <w:t>Nr. 30</w:t>
      </w:r>
      <w:r w:rsidR="00DC0C7C">
        <w:rPr>
          <w:color w:val="000000" w:themeColor="text1"/>
        </w:rPr>
        <w:noBreakHyphen/>
      </w:r>
      <w:r w:rsidR="00E437E4" w:rsidRPr="001C7037">
        <w:rPr>
          <w:color w:val="000000" w:themeColor="text1"/>
        </w:rPr>
        <w:t>2020</w:t>
      </w:r>
      <w:r w:rsidR="00DC0C7C">
        <w:rPr>
          <w:color w:val="000000" w:themeColor="text1"/>
        </w:rPr>
        <w:noBreakHyphen/>
      </w:r>
      <w:r w:rsidR="00E437E4" w:rsidRPr="001C7037">
        <w:rPr>
          <w:color w:val="000000" w:themeColor="text1"/>
        </w:rPr>
        <w:t>10609</w:t>
      </w:r>
      <w:r w:rsidR="00E437E4" w:rsidRPr="001C7037">
        <w:t xml:space="preserve"> </w:t>
      </w:r>
      <w:r w:rsidRPr="001C7037">
        <w:t>(</w:t>
      </w:r>
      <w:r w:rsidR="00FF14BA" w:rsidRPr="00BF7CEC">
        <w:rPr>
          <w:i/>
          <w:iCs/>
          <w:color w:val="000000" w:themeColor="text1"/>
        </w:rPr>
        <w:t>lietas</w:t>
      </w:r>
      <w:r w:rsidR="00FF14BA" w:rsidRPr="0003147B">
        <w:rPr>
          <w:i/>
          <w:iCs/>
        </w:rPr>
        <w:t xml:space="preserve"> </w:t>
      </w:r>
      <w:r w:rsidR="00752B7A" w:rsidRPr="00FF14BA">
        <w:rPr>
          <w:i/>
          <w:iCs/>
        </w:rPr>
        <w:t>3</w:t>
      </w:r>
      <w:r w:rsidRPr="00FF14BA">
        <w:rPr>
          <w:i/>
          <w:iCs/>
        </w:rPr>
        <w:t>.</w:t>
      </w:r>
      <w:r w:rsidR="009C3D9B" w:rsidRPr="00FF14BA">
        <w:rPr>
          <w:i/>
          <w:iCs/>
        </w:rPr>
        <w:t> </w:t>
      </w:r>
      <w:r w:rsidRPr="00FF14BA">
        <w:rPr>
          <w:i/>
          <w:iCs/>
        </w:rPr>
        <w:t xml:space="preserve">sējuma </w:t>
      </w:r>
      <w:r w:rsidR="00752B7A" w:rsidRPr="00FF14BA">
        <w:rPr>
          <w:i/>
          <w:iCs/>
        </w:rPr>
        <w:t>64</w:t>
      </w:r>
      <w:r w:rsidRPr="00FF14BA">
        <w:rPr>
          <w:i/>
          <w:iCs/>
        </w:rPr>
        <w:t>.</w:t>
      </w:r>
      <w:r w:rsidR="009C3D9B" w:rsidRPr="00FF14BA">
        <w:rPr>
          <w:i/>
          <w:iCs/>
        </w:rPr>
        <w:t> </w:t>
      </w:r>
      <w:r w:rsidRPr="00FF14BA">
        <w:rPr>
          <w:i/>
          <w:iCs/>
        </w:rPr>
        <w:t>lapa</w:t>
      </w:r>
      <w:r w:rsidRPr="001C7037">
        <w:t xml:space="preserve">) </w:t>
      </w:r>
      <w:r w:rsidR="001C7037" w:rsidRPr="001C7037">
        <w:t xml:space="preserve">norādīts, ka </w:t>
      </w:r>
      <w:r w:rsidR="00D56F4E">
        <w:t>[pers. A]</w:t>
      </w:r>
      <w:r w:rsidR="001C7037" w:rsidRPr="001C7037">
        <w:t xml:space="preserve"> </w:t>
      </w:r>
      <w:r w:rsidRPr="001C7037">
        <w:t xml:space="preserve">ir </w:t>
      </w:r>
      <w:r w:rsidR="00E437E4" w:rsidRPr="001C7037">
        <w:t xml:space="preserve">smagas pakāpes funkcionēšanas ierobežojums, </w:t>
      </w:r>
      <w:r w:rsidRPr="001C7037">
        <w:t>tāpēc, pamatojoties uz Invaliditātes likuma 5.</w:t>
      </w:r>
      <w:r w:rsidR="0012572F" w:rsidRPr="001C7037">
        <w:t> </w:t>
      </w:r>
      <w:r w:rsidRPr="001C7037">
        <w:t>panta pirmo daļu, 6.</w:t>
      </w:r>
      <w:r w:rsidR="0012572F" w:rsidRPr="001C7037">
        <w:t> </w:t>
      </w:r>
      <w:r w:rsidRPr="001C7037">
        <w:t>panta trešās daļas 1.</w:t>
      </w:r>
      <w:r w:rsidR="0012572F" w:rsidRPr="001C7037">
        <w:t> </w:t>
      </w:r>
      <w:r w:rsidRPr="001C7037">
        <w:t>punkta b apakšpunktu, kā arī Ministru kabineta 2014.</w:t>
      </w:r>
      <w:r w:rsidR="0012572F" w:rsidRPr="001C7037">
        <w:t> </w:t>
      </w:r>
      <w:r w:rsidRPr="001C7037">
        <w:t>gada 23.</w:t>
      </w:r>
      <w:r w:rsidR="0012572F" w:rsidRPr="001C7037">
        <w:t> </w:t>
      </w:r>
      <w:r w:rsidRPr="001C7037">
        <w:t>decembra noteikumu Nr.</w:t>
      </w:r>
      <w:r w:rsidR="0012572F" w:rsidRPr="001C7037">
        <w:t> </w:t>
      </w:r>
      <w:r w:rsidRPr="001C7037">
        <w:t xml:space="preserve">805 „Noteikumi par prognozējamas invaliditātes, invaliditātes un darbspēju zaudējuma noteikšanas kritērijiem, termiņiem un kārtību” </w:t>
      </w:r>
      <w:r w:rsidR="00E437E4" w:rsidRPr="001C7037">
        <w:t xml:space="preserve">14., </w:t>
      </w:r>
      <w:r w:rsidRPr="001C7037">
        <w:t>18.2., 19., 20.2.1</w:t>
      </w:r>
      <w:r w:rsidR="00984A22" w:rsidRPr="00BF7CEC">
        <w:rPr>
          <w:color w:val="000000" w:themeColor="text1"/>
        </w:rPr>
        <w:t>.</w:t>
      </w:r>
      <w:r w:rsidR="0012572F" w:rsidRPr="00BF7CEC">
        <w:rPr>
          <w:color w:val="000000" w:themeColor="text1"/>
        </w:rPr>
        <w:t> </w:t>
      </w:r>
      <w:r w:rsidR="00FF14BA" w:rsidRPr="00BF7CEC">
        <w:rPr>
          <w:color w:val="000000" w:themeColor="text1"/>
        </w:rPr>
        <w:t>apakš</w:t>
      </w:r>
      <w:r w:rsidRPr="00BF7CEC">
        <w:rPr>
          <w:color w:val="000000" w:themeColor="text1"/>
        </w:rPr>
        <w:t xml:space="preserve">punktu </w:t>
      </w:r>
      <w:r w:rsidRPr="001C7037">
        <w:t>un 5.</w:t>
      </w:r>
      <w:r w:rsidR="0012572F" w:rsidRPr="001C7037">
        <w:t> </w:t>
      </w:r>
      <w:r w:rsidRPr="001C7037">
        <w:t>pielikuma</w:t>
      </w:r>
      <w:r w:rsidR="00E437E4" w:rsidRPr="001C7037">
        <w:t xml:space="preserve"> 4. punktu un</w:t>
      </w:r>
      <w:r w:rsidRPr="001C7037">
        <w:t xml:space="preserve"> 3.3</w:t>
      </w:r>
      <w:r w:rsidR="00B7264A">
        <w:t>. </w:t>
      </w:r>
      <w:r w:rsidRPr="001C7037">
        <w:t xml:space="preserve">piezīmi, </w:t>
      </w:r>
      <w:r w:rsidR="00D56F4E">
        <w:t>[pers. A]</w:t>
      </w:r>
      <w:r w:rsidR="00752B7A" w:rsidRPr="001C7037">
        <w:t xml:space="preserve"> </w:t>
      </w:r>
      <w:r w:rsidRPr="001C7037">
        <w:t xml:space="preserve">ir noteikta II invaliditātes grupa ar vispārējo darbspēju zaudējumu </w:t>
      </w:r>
      <w:bookmarkStart w:id="7" w:name="_Hlk124861486"/>
      <w:r w:rsidRPr="001C7037">
        <w:t>60</w:t>
      </w:r>
      <w:r w:rsidR="00FF14BA">
        <w:t> </w:t>
      </w:r>
      <w:r w:rsidRPr="001C7037">
        <w:t>%</w:t>
      </w:r>
      <w:r w:rsidR="001B2A36">
        <w:t xml:space="preserve"> – </w:t>
      </w:r>
      <w:r w:rsidR="00FF14BA">
        <w:t>7</w:t>
      </w:r>
      <w:r w:rsidRPr="001C7037">
        <w:t>9</w:t>
      </w:r>
      <w:r w:rsidR="00FF14BA">
        <w:t> </w:t>
      </w:r>
      <w:r w:rsidRPr="001C7037">
        <w:t>%.</w:t>
      </w:r>
      <w:bookmarkEnd w:id="7"/>
    </w:p>
    <w:p w14:paraId="132A21CF" w14:textId="7BB29FCE" w:rsidR="00752B7A" w:rsidRDefault="00FC2937" w:rsidP="00752B7A">
      <w:pPr>
        <w:spacing w:line="276" w:lineRule="auto"/>
        <w:ind w:firstLine="567"/>
        <w:jc w:val="both"/>
      </w:pPr>
      <w:r w:rsidRPr="002D3EFC">
        <w:t>Atbilstoši Invaliditātes likuma 5.</w:t>
      </w:r>
      <w:r w:rsidR="0012572F">
        <w:t> </w:t>
      </w:r>
      <w:r w:rsidRPr="002D3EFC">
        <w:t>panta pirmajai daļai invaliditāte ir ilgstošs vai nepārejošs</w:t>
      </w:r>
      <w:r>
        <w:t xml:space="preserve"> </w:t>
      </w:r>
      <w:r w:rsidRPr="002D3EFC">
        <w:t>ļoti smagas, smagas vai mērenas pakāpes funkcionēšanas ierobežojums, kas ietekmē personas</w:t>
      </w:r>
      <w:r>
        <w:t xml:space="preserve"> </w:t>
      </w:r>
      <w:r w:rsidRPr="002D3EFC">
        <w:t>garīgās vai fiziskās spējas, darbspējas, pašaprūpi un iekļaušanos sabiedrībā.</w:t>
      </w:r>
    </w:p>
    <w:p w14:paraId="0A979080" w14:textId="77777777" w:rsidR="00B7264A" w:rsidRDefault="00FC2937" w:rsidP="00B7264A">
      <w:pPr>
        <w:spacing w:line="276" w:lineRule="auto"/>
        <w:ind w:firstLine="567"/>
        <w:jc w:val="both"/>
      </w:pPr>
      <w:r w:rsidRPr="002D3EFC">
        <w:t>Saskaņā ar Invaliditātes likuma 6.</w:t>
      </w:r>
      <w:r w:rsidR="0012572F">
        <w:t> </w:t>
      </w:r>
      <w:r w:rsidRPr="002D3EFC">
        <w:t>panta trešās daļas 1.</w:t>
      </w:r>
      <w:r w:rsidR="00FF14BA">
        <w:t> </w:t>
      </w:r>
      <w:r w:rsidRPr="002D3EFC">
        <w:t>punkta b</w:t>
      </w:r>
      <w:r w:rsidR="00177A90">
        <w:t>)</w:t>
      </w:r>
      <w:r w:rsidRPr="002D3EFC">
        <w:t xml:space="preserve"> apakšpunktu II </w:t>
      </w:r>
      <w:r w:rsidRPr="001C7037">
        <w:t xml:space="preserve">invaliditātes grupa, ja darbspēju zaudējums ir </w:t>
      </w:r>
      <w:r w:rsidRPr="00E3356E">
        <w:rPr>
          <w:color w:val="000000" w:themeColor="text1"/>
        </w:rPr>
        <w:t>60</w:t>
      </w:r>
      <w:r w:rsidR="00FF14BA" w:rsidRPr="00E3356E">
        <w:rPr>
          <w:color w:val="000000" w:themeColor="text1"/>
        </w:rPr>
        <w:t>%</w:t>
      </w:r>
      <w:r w:rsidR="001B2A36" w:rsidRPr="00E3356E">
        <w:rPr>
          <w:color w:val="000000" w:themeColor="text1"/>
        </w:rPr>
        <w:t>–</w:t>
      </w:r>
      <w:r w:rsidRPr="00E3356E">
        <w:rPr>
          <w:color w:val="000000" w:themeColor="text1"/>
        </w:rPr>
        <w:t xml:space="preserve">79% </w:t>
      </w:r>
      <w:r w:rsidRPr="001C7037">
        <w:t xml:space="preserve">apmērā, ir smaga invaliditāte. </w:t>
      </w:r>
    </w:p>
    <w:p w14:paraId="2C2E9FCB" w14:textId="6A7E4E87" w:rsidR="00752B7A" w:rsidRDefault="00FC2937" w:rsidP="00B7264A">
      <w:pPr>
        <w:spacing w:line="276" w:lineRule="auto"/>
        <w:ind w:firstLine="567"/>
        <w:jc w:val="both"/>
      </w:pPr>
      <w:r w:rsidRPr="001C7037">
        <w:t>Saskaņā ar Ministru kabineta 2014.</w:t>
      </w:r>
      <w:r w:rsidR="00722572" w:rsidRPr="001C7037">
        <w:t> </w:t>
      </w:r>
      <w:r w:rsidRPr="001C7037">
        <w:t>gada 23.</w:t>
      </w:r>
      <w:r w:rsidR="00722572" w:rsidRPr="001C7037">
        <w:t> </w:t>
      </w:r>
      <w:r w:rsidRPr="001C7037">
        <w:t>decembra noteikumu Nr.</w:t>
      </w:r>
      <w:r w:rsidR="0012572F" w:rsidRPr="001C7037">
        <w:t> </w:t>
      </w:r>
      <w:r w:rsidRPr="001C7037">
        <w:t>805 „Prognozējamās invaliditātes, invaliditātes un darbspēju zaudējuma noteikšanas un invaliditāti apliecinoša dokumenta izsniegšanas noteikumi” 5.</w:t>
      </w:r>
      <w:r w:rsidR="00722572" w:rsidRPr="001C7037">
        <w:t> </w:t>
      </w:r>
      <w:r w:rsidRPr="001C7037">
        <w:t>pielikuma 3.3.</w:t>
      </w:r>
      <w:r w:rsidR="00722572" w:rsidRPr="001C7037">
        <w:t> </w:t>
      </w:r>
      <w:r w:rsidRPr="001C7037">
        <w:t>piezīmi funkcionēšanas ierobežojumi ir smagi, ja funkcionēšana ir būtiski ierobežota, ierobežojums ir lielāks par mērenu, bet tas nav ļoti smags (ikdienas dzīves aktivitāšu lielāko daļu var veikt patstāvīgi, bet būtiski lēnākā tempā vai ar lielāku piepūli, vai sliktākā kvalitātē, salīdzinot ar normāli pieņemto attiecīgā vecuma grupā, epizodiski nepieciešama palīdzība vai uzraudzība).</w:t>
      </w:r>
    </w:p>
    <w:p w14:paraId="35DCE2D4" w14:textId="13E113A7" w:rsidR="001C7037" w:rsidRDefault="00752B7A" w:rsidP="001C7037">
      <w:pPr>
        <w:spacing w:line="276" w:lineRule="auto"/>
        <w:ind w:firstLine="709"/>
        <w:jc w:val="both"/>
      </w:pPr>
      <w:r>
        <w:t xml:space="preserve">Senāts konstatē, </w:t>
      </w:r>
      <w:r w:rsidRPr="009C3D9B">
        <w:t>ka</w:t>
      </w:r>
      <w:r w:rsidR="001C7037" w:rsidRPr="009C3D9B">
        <w:t xml:space="preserve"> </w:t>
      </w:r>
      <w:r w:rsidR="00E3356E">
        <w:t xml:space="preserve">abu instanču tiesas </w:t>
      </w:r>
      <w:r w:rsidR="001C7037" w:rsidRPr="00722572">
        <w:t>nav izvērtēju</w:t>
      </w:r>
      <w:r w:rsidR="00E95002">
        <w:t>šas</w:t>
      </w:r>
      <w:r w:rsidR="001C7037" w:rsidRPr="00722572">
        <w:t xml:space="preserve">, vai apsūdzētajam </w:t>
      </w:r>
      <w:r w:rsidR="00D56F4E">
        <w:t>[pers. A]</w:t>
      </w:r>
      <w:r w:rsidR="001C7037" w:rsidRPr="00722572">
        <w:t>, kuram smagu funkcionēšanas ierobežojumu dēļ ikdienas dzīves aktivitāšu veikšanai, lai arī epizodiski, tomēr ir nepieciešama citu personu palīdzība vai uzraudzība, šāda palīdzība</w:t>
      </w:r>
      <w:proofErr w:type="gramStart"/>
      <w:r w:rsidR="001C7037" w:rsidRPr="00722572">
        <w:t xml:space="preserve"> vai uzraudzība var tikt nodrošināta brīvības atņemšanas soda izciešanas vietā</w:t>
      </w:r>
      <w:proofErr w:type="gramEnd"/>
      <w:r w:rsidR="001C7037" w:rsidRPr="00722572">
        <w:t>, un vai pretējā gadījumā apsūdzētais netiks pakļauts tādām ciešanām, kas sasniedz necilvēcīgas un pazemojošas izturēšanās slieksni.</w:t>
      </w:r>
      <w:r w:rsidR="001C7037">
        <w:t xml:space="preserve"> Apelācijas instances tiesa nav arī vērtējusi apsūdzētā apelācijas sūdzības argumentu par iespēju</w:t>
      </w:r>
      <w:r w:rsidR="001C7037">
        <w:rPr>
          <w:color w:val="000000" w:themeColor="text1"/>
        </w:rPr>
        <w:t>, atrodoties brīvības atņemšanas vietā, saņemt regulārās injekcijas un medikamentozo ārstniecību.</w:t>
      </w:r>
    </w:p>
    <w:p w14:paraId="5484FE86" w14:textId="4F85F296" w:rsidR="00722572" w:rsidRDefault="006C4DE5" w:rsidP="001C7037">
      <w:pPr>
        <w:spacing w:line="276" w:lineRule="auto"/>
        <w:ind w:firstLine="709"/>
        <w:jc w:val="both"/>
      </w:pPr>
      <w:r w:rsidRPr="004A7C94">
        <w:rPr>
          <w:rFonts w:asciiTheme="majorBidi" w:hAnsiTheme="majorBidi" w:cstheme="majorBidi"/>
          <w:color w:val="000000" w:themeColor="text1"/>
        </w:rPr>
        <w:t xml:space="preserve">Ievērojot minēto, Senāts atzīst, ka apelācijas instances tiesa nav izvērtējusi </w:t>
      </w:r>
      <w:proofErr w:type="gramStart"/>
      <w:r w:rsidRPr="004A7C94">
        <w:rPr>
          <w:rFonts w:asciiTheme="majorBidi" w:hAnsiTheme="majorBidi" w:cstheme="majorBidi"/>
          <w:color w:val="000000" w:themeColor="text1"/>
        </w:rPr>
        <w:t>būtiskus apsūdzētā</w:t>
      </w:r>
      <w:proofErr w:type="gramEnd"/>
      <w:r w:rsidRPr="004A7C94">
        <w:rPr>
          <w:rFonts w:asciiTheme="majorBidi" w:hAnsiTheme="majorBidi" w:cstheme="majorBidi"/>
          <w:color w:val="000000" w:themeColor="text1"/>
        </w:rPr>
        <w:t xml:space="preserve"> </w:t>
      </w:r>
      <w:r w:rsidR="00D56F4E">
        <w:t>[pers. A]</w:t>
      </w:r>
      <w:r>
        <w:t xml:space="preserve"> </w:t>
      </w:r>
      <w:r w:rsidRPr="004A7C94">
        <w:rPr>
          <w:rFonts w:asciiTheme="majorBidi" w:hAnsiTheme="majorBidi" w:cstheme="majorBidi"/>
          <w:color w:val="000000" w:themeColor="text1"/>
        </w:rPr>
        <w:t>apelācijas sūdzības argumentus, kuriem ir nozīme lietas taisnīgā izspriešanā, un līdz ar to pieļāvusi Kriminālprocesa likuma 564.</w:t>
      </w:r>
      <w:r w:rsidR="0012572F">
        <w:rPr>
          <w:rFonts w:asciiTheme="majorBidi" w:hAnsiTheme="majorBidi" w:cstheme="majorBidi"/>
          <w:color w:val="000000" w:themeColor="text1"/>
        </w:rPr>
        <w:t> </w:t>
      </w:r>
      <w:r w:rsidRPr="004A7C94">
        <w:rPr>
          <w:rFonts w:asciiTheme="majorBidi" w:hAnsiTheme="majorBidi" w:cstheme="majorBidi"/>
          <w:color w:val="000000" w:themeColor="text1"/>
        </w:rPr>
        <w:t>panta ceturtās daļas pārkāpumu. Minētais likuma pārkāpums atzīstams par Kriminālprocesa likuma būtisku pārkāpumu šā likuma 575.</w:t>
      </w:r>
      <w:r w:rsidR="0012572F">
        <w:rPr>
          <w:rFonts w:asciiTheme="majorBidi" w:hAnsiTheme="majorBidi" w:cstheme="majorBidi"/>
          <w:color w:val="000000" w:themeColor="text1"/>
        </w:rPr>
        <w:t> </w:t>
      </w:r>
      <w:r w:rsidRPr="004A7C94">
        <w:rPr>
          <w:rFonts w:asciiTheme="majorBidi" w:hAnsiTheme="majorBidi" w:cstheme="majorBidi"/>
          <w:color w:val="000000" w:themeColor="text1"/>
        </w:rPr>
        <w:t xml:space="preserve">panta trešās daļas izpratnē, </w:t>
      </w:r>
      <w:r w:rsidR="00722572">
        <w:t>kas novedis pie nelikumīga</w:t>
      </w:r>
      <w:r w:rsidR="00E95002">
        <w:t xml:space="preserve"> </w:t>
      </w:r>
      <w:r w:rsidR="00722572">
        <w:t xml:space="preserve">nolēmuma un ir pamats apelācijas instances tiesas lēmuma atcelšanai daļā par apsūdzētajam </w:t>
      </w:r>
      <w:r w:rsidR="00D56F4E">
        <w:t>[pers. A]</w:t>
      </w:r>
      <w:r w:rsidR="00722572">
        <w:t xml:space="preserve"> noteikto sodu.</w:t>
      </w:r>
    </w:p>
    <w:p w14:paraId="3BC1D02A" w14:textId="155BB998" w:rsidR="00873BA5" w:rsidRDefault="00873BA5" w:rsidP="00722572">
      <w:pPr>
        <w:spacing w:line="276" w:lineRule="auto"/>
        <w:ind w:firstLine="709"/>
        <w:jc w:val="both"/>
      </w:pPr>
    </w:p>
    <w:p w14:paraId="02BBF2FB" w14:textId="604C69C7" w:rsidR="00873BA5" w:rsidRDefault="00873BA5" w:rsidP="00873BA5">
      <w:pPr>
        <w:spacing w:line="276" w:lineRule="auto"/>
        <w:ind w:firstLine="709"/>
        <w:jc w:val="both"/>
      </w:pPr>
      <w:r>
        <w:t>[</w:t>
      </w:r>
      <w:r w:rsidR="00165117">
        <w:t>7</w:t>
      </w:r>
      <w:r>
        <w:t>] Atbilstoši Kriminālprocesa likuma 584. panta pirmajai daļai tiesas nolēmumu tiesiskuma pārbaude notiek kasācijas sūdzībā vai protestā izteikto prasību apjomā un ietvaros. Saskaņā ar minētā panta otro daļu kasācijas instances tiesa drīkst pārsniegt kasācijas sūdzībā vai protestā izteikto prasību apjomu un ietvarus gadījumos, kad tā konstatē šā likuma 574. un 575. pantā norādītos pārkāpumus un tie nav norādīti sūdzībā vai protestā.</w:t>
      </w:r>
    </w:p>
    <w:p w14:paraId="1378542F" w14:textId="2E3E4B84" w:rsidR="00873BA5" w:rsidRDefault="00873BA5" w:rsidP="00873BA5">
      <w:pPr>
        <w:spacing w:line="276" w:lineRule="auto"/>
        <w:ind w:firstLine="709"/>
        <w:jc w:val="both"/>
      </w:pPr>
      <w:r>
        <w:t xml:space="preserve">Senāts, pamatojoties uz Kriminālprocesa likuma 584. panta otro daļu, atzīst par nepieciešamu pārsniegt apsūdzētā </w:t>
      </w:r>
      <w:bookmarkStart w:id="8" w:name="_Hlk124514503"/>
      <w:r w:rsidR="00D56F4E">
        <w:t>[pers. A]</w:t>
      </w:r>
      <w:r>
        <w:t xml:space="preserve"> </w:t>
      </w:r>
      <w:bookmarkEnd w:id="8"/>
      <w:r>
        <w:t>kasācijas sūdzībā izteikto prasību apjomu, jo konstatē tādu Krimināllikuma pārkāpumu, kas nav norādīts sūdzībā.</w:t>
      </w:r>
    </w:p>
    <w:p w14:paraId="72F01DDD" w14:textId="2F6F2B0E" w:rsidR="002579CF" w:rsidRDefault="00873BA5" w:rsidP="002579CF">
      <w:pPr>
        <w:tabs>
          <w:tab w:val="left" w:pos="1134"/>
        </w:tabs>
        <w:spacing w:line="276" w:lineRule="auto"/>
        <w:ind w:firstLine="710"/>
        <w:jc w:val="both"/>
      </w:pPr>
      <w:r>
        <w:t>[</w:t>
      </w:r>
      <w:r w:rsidR="00165117">
        <w:t>7</w:t>
      </w:r>
      <w:r>
        <w:t xml:space="preserve">.1] Pirmās instances tiesa atzinusi, ka sods apsūdzētajam nosakāms īslaicīgas brīvības atņemšanas veidā. Vienlaikus tiesa secinājusi, ka </w:t>
      </w:r>
      <w:r w:rsidR="002579CF">
        <w:t xml:space="preserve">brīvības atņemšanai </w:t>
      </w:r>
      <w:r>
        <w:t>alternatīvo sodu piemērošana</w:t>
      </w:r>
      <w:r w:rsidR="002579CF">
        <w:t xml:space="preserve">i </w:t>
      </w:r>
      <w:r>
        <w:t xml:space="preserve">nav </w:t>
      </w:r>
      <w:r w:rsidR="002579CF">
        <w:t>pamata, arī norādot, ka saskaņā ar Krimināllikuma 40. panta otro daļu piespiedu darbs nav piemērojams darbnespējīgām personām. Tiesa, atsaucoties uz Augstākās tiesas judikatūru un tiesību zinātnes atziņām, konstatējusi, ka invalīdi ir</w:t>
      </w:r>
      <w:r w:rsidR="002579CF" w:rsidRPr="002579CF">
        <w:t xml:space="preserve"> </w:t>
      </w:r>
      <w:r w:rsidR="002579CF">
        <w:t>darbnespējīgas personas.</w:t>
      </w:r>
    </w:p>
    <w:p w14:paraId="401BEECA" w14:textId="1751A7F6" w:rsidR="002579CF" w:rsidRDefault="00873BA5" w:rsidP="002579CF">
      <w:pPr>
        <w:tabs>
          <w:tab w:val="left" w:pos="1134"/>
        </w:tabs>
        <w:spacing w:line="276" w:lineRule="auto"/>
        <w:ind w:firstLine="710"/>
        <w:jc w:val="both"/>
      </w:pPr>
      <w:r>
        <w:t xml:space="preserve">Savukārt apelācijas instances tiesa, atstājot </w:t>
      </w:r>
      <w:r w:rsidR="00176137">
        <w:t xml:space="preserve">negrozītu </w:t>
      </w:r>
      <w:r>
        <w:t>pirmās instances tiesas spriedumu, šādus pirmās instances tiesas secinājumus atzinusi par pamatotiem.</w:t>
      </w:r>
    </w:p>
    <w:p w14:paraId="741F6D15" w14:textId="77777777" w:rsidR="00227057" w:rsidRDefault="00873BA5" w:rsidP="00227057">
      <w:pPr>
        <w:tabs>
          <w:tab w:val="left" w:pos="1134"/>
        </w:tabs>
        <w:spacing w:line="276" w:lineRule="auto"/>
        <w:ind w:firstLine="710"/>
        <w:jc w:val="both"/>
      </w:pPr>
      <w:r>
        <w:t>Tādējādi abu zemāko instanču tiesas atzinušas, ka</w:t>
      </w:r>
      <w:r w:rsidR="002579CF">
        <w:t xml:space="preserve"> piespiedu darbs </w:t>
      </w:r>
      <w:r>
        <w:t>par izdarīto noziedzīgo nodarījumu apsūdzētajam nav piemērojams</w:t>
      </w:r>
      <w:r w:rsidR="002579CF">
        <w:t xml:space="preserve"> arī</w:t>
      </w:r>
      <w:r>
        <w:t xml:space="preserve"> viņa </w:t>
      </w:r>
      <w:r w:rsidR="002579CF">
        <w:t>invaliditātes</w:t>
      </w:r>
      <w:r>
        <w:t xml:space="preserve"> dēļ</w:t>
      </w:r>
      <w:r w:rsidR="002579CF">
        <w:t>.</w:t>
      </w:r>
    </w:p>
    <w:p w14:paraId="061AF790" w14:textId="7FBD14A5" w:rsidR="00227057" w:rsidRDefault="002579CF" w:rsidP="00811BAB">
      <w:pPr>
        <w:tabs>
          <w:tab w:val="left" w:pos="1134"/>
        </w:tabs>
        <w:spacing w:line="276" w:lineRule="auto"/>
        <w:ind w:firstLine="710"/>
        <w:jc w:val="both"/>
      </w:pPr>
      <w:r>
        <w:t>[</w:t>
      </w:r>
      <w:r w:rsidR="00165117">
        <w:t>7</w:t>
      </w:r>
      <w:r>
        <w:t>.2] Senāts</w:t>
      </w:r>
      <w:r w:rsidR="00873BA5">
        <w:t xml:space="preserve"> atzīst, ka </w:t>
      </w:r>
      <w:r>
        <w:t>apelācijas instances tiesa</w:t>
      </w:r>
      <w:r w:rsidR="00811BAB" w:rsidRPr="00811BAB">
        <w:t xml:space="preserve"> </w:t>
      </w:r>
      <w:r w:rsidR="00811BAB">
        <w:t xml:space="preserve">nav piemērojusi Krimināllikuma 5. panta otro daļu, izdarot atzinumu par </w:t>
      </w:r>
      <w:r w:rsidR="00811BAB" w:rsidRPr="00371666">
        <w:t xml:space="preserve">apsūdzētajam </w:t>
      </w:r>
      <w:r w:rsidR="00D56F4E">
        <w:t>[pers. A]</w:t>
      </w:r>
      <w:r w:rsidR="00811BAB">
        <w:t xml:space="preserve"> nosakāmo sodu.</w:t>
      </w:r>
    </w:p>
    <w:p w14:paraId="609204E1" w14:textId="5F3E01F1" w:rsidR="000F1321" w:rsidRDefault="00227057" w:rsidP="000F1321">
      <w:pPr>
        <w:tabs>
          <w:tab w:val="left" w:pos="1134"/>
        </w:tabs>
        <w:spacing w:line="276" w:lineRule="auto"/>
        <w:ind w:firstLine="680"/>
        <w:jc w:val="both"/>
      </w:pPr>
      <w:r>
        <w:t>Krimināllikuma 1</w:t>
      </w:r>
      <w:r w:rsidR="000F1321">
        <w:t>79</w:t>
      </w:r>
      <w:r>
        <w:t>.</w:t>
      </w:r>
      <w:r w:rsidR="0012572F">
        <w:t> </w:t>
      </w:r>
      <w:r>
        <w:t xml:space="preserve">panta </w:t>
      </w:r>
      <w:r w:rsidR="000F1321">
        <w:t>pirm</w:t>
      </w:r>
      <w:r>
        <w:t>ās daļas sankcijā likuma redakcijā, kas bija spēkā inkriminētā noziedzīgā nodarījuma izdarīšanas laikā – 20</w:t>
      </w:r>
      <w:r w:rsidR="000F1321">
        <w:t>12</w:t>
      </w:r>
      <w:r>
        <w:t>.</w:t>
      </w:r>
      <w:r w:rsidR="0012572F">
        <w:t> </w:t>
      </w:r>
      <w:r>
        <w:t>gada</w:t>
      </w:r>
      <w:r w:rsidR="005E5753">
        <w:t xml:space="preserve"> janvārī</w:t>
      </w:r>
      <w:r>
        <w:t xml:space="preserve"> – bija noteikts, ka par šajā panta daļā paredzēto noziedzīgo nodarījumu soda ar brīvības atņemšanu uz laiku līdz pieciem</w:t>
      </w:r>
      <w:r w:rsidR="0007775F">
        <w:t xml:space="preserve"> gadiem</w:t>
      </w:r>
      <w:r>
        <w:t xml:space="preserve"> </w:t>
      </w:r>
      <w:r w:rsidR="000F1321" w:rsidRPr="000F1321">
        <w:t>vai ar arestu, vai ar mantas konfiskāciju, vai ar piespiedu darbu, vai ar naudas sodu līdz piecdesmit minimālajām mēnešalgām.</w:t>
      </w:r>
    </w:p>
    <w:p w14:paraId="4BB3C921" w14:textId="053EE9F7" w:rsidR="00DF1CA2" w:rsidRDefault="00DF1CA2" w:rsidP="00DF1CA2">
      <w:pPr>
        <w:tabs>
          <w:tab w:val="left" w:pos="1134"/>
        </w:tabs>
        <w:spacing w:line="276" w:lineRule="auto"/>
        <w:ind w:firstLine="680"/>
        <w:jc w:val="both"/>
        <w:rPr>
          <w:rFonts w:ascii="Arial" w:hAnsi="Arial" w:cs="Arial"/>
          <w:color w:val="414142"/>
          <w:sz w:val="20"/>
          <w:szCs w:val="20"/>
        </w:rPr>
      </w:pPr>
      <w:r>
        <w:t xml:space="preserve">Sods – </w:t>
      </w:r>
      <w:r w:rsidRPr="000F1321">
        <w:t>piespiedu darb</w:t>
      </w:r>
      <w:r>
        <w:t xml:space="preserve">s – tika reglamentēts Krimināllikuma 40. pantā. Šā panta otrajā daļā bija noteikts, ka </w:t>
      </w:r>
      <w:r w:rsidRPr="000F1321">
        <w:t>p</w:t>
      </w:r>
      <w:r w:rsidRPr="000F1321">
        <w:rPr>
          <w:shd w:val="clear" w:color="auto" w:fill="FFFFFF"/>
        </w:rPr>
        <w:t>iespiedu darbs nav piemērojams darbnespējīgām personām un karavīriem</w:t>
      </w:r>
      <w:r>
        <w:rPr>
          <w:rFonts w:ascii="Arial" w:hAnsi="Arial" w:cs="Arial"/>
          <w:color w:val="414142"/>
          <w:sz w:val="20"/>
          <w:szCs w:val="20"/>
          <w:shd w:val="clear" w:color="auto" w:fill="FFFFFF"/>
        </w:rPr>
        <w:t>.</w:t>
      </w:r>
      <w:r>
        <w:t xml:space="preserve"> </w:t>
      </w:r>
    </w:p>
    <w:p w14:paraId="07DECB98" w14:textId="77359C47" w:rsidR="00DF1CA2" w:rsidRDefault="00227057" w:rsidP="00DF1CA2">
      <w:pPr>
        <w:tabs>
          <w:tab w:val="left" w:pos="1134"/>
        </w:tabs>
        <w:spacing w:line="276" w:lineRule="auto"/>
        <w:ind w:firstLine="680"/>
        <w:jc w:val="both"/>
        <w:rPr>
          <w:shd w:val="clear" w:color="auto" w:fill="FFFFFF"/>
        </w:rPr>
      </w:pPr>
      <w:r w:rsidRPr="00DF1CA2">
        <w:t xml:space="preserve">Savukārt Krimināllikuma </w:t>
      </w:r>
      <w:r w:rsidR="00DF1CA2">
        <w:t>179.</w:t>
      </w:r>
      <w:r w:rsidR="002438D5">
        <w:t> </w:t>
      </w:r>
      <w:r w:rsidR="00DF1CA2">
        <w:t xml:space="preserve">panta pirmās </w:t>
      </w:r>
      <w:r>
        <w:t xml:space="preserve">daļas sankcijā tās aktuālajā redakcijā noteikts, ka par šajā panta daļā paredzēto noziedzīgo nodarījumu soda </w:t>
      </w:r>
      <w:r w:rsidR="00DF1CA2" w:rsidRPr="00DF1CA2">
        <w:rPr>
          <w:shd w:val="clear" w:color="auto" w:fill="FFFFFF"/>
        </w:rPr>
        <w:t>ar brīvības atņemšanu uz laiku līdz diviem gadiem vai ar īslaicīgu brīvības atņemšanu, vai ar probācijas uzraudzību, vai ar sabiedrisko darbu, vai ar naudas sodu, konfiscējot mantu vai bez mantas konfiskācijas.</w:t>
      </w:r>
    </w:p>
    <w:p w14:paraId="3523548C" w14:textId="50C958B8" w:rsidR="00763FB8" w:rsidRDefault="00DF1CA2" w:rsidP="00E021FD">
      <w:pPr>
        <w:tabs>
          <w:tab w:val="left" w:pos="1134"/>
        </w:tabs>
        <w:spacing w:line="276" w:lineRule="auto"/>
        <w:ind w:firstLine="680"/>
        <w:jc w:val="both"/>
        <w:rPr>
          <w:shd w:val="clear" w:color="auto" w:fill="FFFFFF"/>
        </w:rPr>
      </w:pPr>
      <w:r>
        <w:t>Ar 2020.</w:t>
      </w:r>
      <w:r w:rsidR="0012572F">
        <w:t> </w:t>
      </w:r>
      <w:r>
        <w:t>gada 17.</w:t>
      </w:r>
      <w:r w:rsidR="0012572F">
        <w:t> </w:t>
      </w:r>
      <w:r>
        <w:t>decembra likumu „Grozījumi Krimināllikumā”, kas stājās spēkā 2022.</w:t>
      </w:r>
      <w:r w:rsidR="0012572F">
        <w:t> </w:t>
      </w:r>
      <w:r>
        <w:t>gada 1.</w:t>
      </w:r>
      <w:r w:rsidR="0012572F">
        <w:t> </w:t>
      </w:r>
      <w:r>
        <w:t xml:space="preserve">janvārī, Krimināllikuma 40. pants tika izteikts jaunā redakcijā. Šā panta trešā daļa noteic, ka </w:t>
      </w:r>
      <w:r w:rsidRPr="00DF1CA2">
        <w:t>s</w:t>
      </w:r>
      <w:r w:rsidRPr="00DF1CA2">
        <w:rPr>
          <w:shd w:val="clear" w:color="auto" w:fill="FFFFFF"/>
        </w:rPr>
        <w:t xml:space="preserve">abiedriskais </w:t>
      </w:r>
      <w:r w:rsidRPr="00477753">
        <w:rPr>
          <w:shd w:val="clear" w:color="auto" w:fill="FFFFFF"/>
        </w:rPr>
        <w:t>darbs nav piemērojams personām, kuras fizisku vai psihisku traucējumu dēļ to nespēj veikt.</w:t>
      </w:r>
      <w:r w:rsidR="00477753" w:rsidRPr="00477753">
        <w:rPr>
          <w:shd w:val="clear" w:color="auto" w:fill="FFFFFF"/>
        </w:rPr>
        <w:t xml:space="preserve"> Šā</w:t>
      </w:r>
      <w:r w:rsidRPr="00477753">
        <w:t xml:space="preserve"> likuma pārejas</w:t>
      </w:r>
      <w:r w:rsidRPr="00DF1CA2">
        <w:t xml:space="preserve"> noteikumu </w:t>
      </w:r>
      <w:r w:rsidRPr="00DF1CA2">
        <w:rPr>
          <w:shd w:val="clear" w:color="auto" w:fill="FFFFFF"/>
        </w:rPr>
        <w:t xml:space="preserve">24. punkts noteic, ka soda veida </w:t>
      </w:r>
      <w:r w:rsidR="00E021FD">
        <w:rPr>
          <w:shd w:val="clear" w:color="auto" w:fill="FFFFFF"/>
        </w:rPr>
        <w:t>–</w:t>
      </w:r>
      <w:r w:rsidRPr="00DF1CA2">
        <w:rPr>
          <w:shd w:val="clear" w:color="auto" w:fill="FFFFFF"/>
        </w:rPr>
        <w:t xml:space="preserve"> piespiedu darbs </w:t>
      </w:r>
      <w:r w:rsidR="00E021FD">
        <w:rPr>
          <w:shd w:val="clear" w:color="auto" w:fill="FFFFFF"/>
        </w:rPr>
        <w:t>–</w:t>
      </w:r>
      <w:r w:rsidRPr="00DF1CA2">
        <w:rPr>
          <w:shd w:val="clear" w:color="auto" w:fill="FFFFFF"/>
        </w:rPr>
        <w:t xml:space="preserve"> jaunais nosaukums </w:t>
      </w:r>
      <w:r w:rsidR="00E021FD">
        <w:rPr>
          <w:shd w:val="clear" w:color="auto" w:fill="FFFFFF"/>
        </w:rPr>
        <w:t>,,</w:t>
      </w:r>
      <w:r w:rsidRPr="00DF1CA2">
        <w:rPr>
          <w:shd w:val="clear" w:color="auto" w:fill="FFFFFF"/>
        </w:rPr>
        <w:t>sabiedriskais darbs</w:t>
      </w:r>
      <w:r w:rsidR="00E021FD">
        <w:rPr>
          <w:shd w:val="clear" w:color="auto" w:fill="FFFFFF"/>
        </w:rPr>
        <w:t>”</w:t>
      </w:r>
      <w:r w:rsidRPr="00DF1CA2">
        <w:rPr>
          <w:shd w:val="clear" w:color="auto" w:fill="FFFFFF"/>
        </w:rPr>
        <w:t xml:space="preserve"> ir izmantojams, pieņemot nolēmumus par soda piemērošanu arī par tādiem noziedzīgiem nodarījumiem, kas izdarīti līdz 2021.</w:t>
      </w:r>
      <w:r w:rsidR="0012572F">
        <w:rPr>
          <w:shd w:val="clear" w:color="auto" w:fill="FFFFFF"/>
        </w:rPr>
        <w:t> </w:t>
      </w:r>
      <w:r w:rsidRPr="00DF1CA2">
        <w:rPr>
          <w:shd w:val="clear" w:color="auto" w:fill="FFFFFF"/>
        </w:rPr>
        <w:t>gada 31.</w:t>
      </w:r>
      <w:r w:rsidR="0012572F">
        <w:rPr>
          <w:shd w:val="clear" w:color="auto" w:fill="FFFFFF"/>
        </w:rPr>
        <w:t> </w:t>
      </w:r>
      <w:r w:rsidRPr="00DF1CA2">
        <w:rPr>
          <w:shd w:val="clear" w:color="auto" w:fill="FFFFFF"/>
        </w:rPr>
        <w:t>decembrim.</w:t>
      </w:r>
    </w:p>
    <w:p w14:paraId="53DF4852" w14:textId="2049F8C4" w:rsidR="00763FB8" w:rsidRPr="00763FB8" w:rsidRDefault="00763FB8" w:rsidP="00086988">
      <w:pPr>
        <w:tabs>
          <w:tab w:val="left" w:pos="1134"/>
        </w:tabs>
        <w:spacing w:line="276" w:lineRule="auto"/>
        <w:ind w:firstLine="680"/>
        <w:jc w:val="both"/>
        <w:rPr>
          <w:bCs/>
        </w:rPr>
      </w:pPr>
      <w:r w:rsidRPr="00763FB8">
        <w:rPr>
          <w:bCs/>
          <w:lang w:eastAsia="lv-LV"/>
        </w:rPr>
        <w:t>Likumprojekta</w:t>
      </w:r>
      <w:r w:rsidR="00460F6B">
        <w:rPr>
          <w:bCs/>
          <w:lang w:eastAsia="lv-LV"/>
        </w:rPr>
        <w:t xml:space="preserve"> „</w:t>
      </w:r>
      <w:r w:rsidRPr="00763FB8">
        <w:rPr>
          <w:bCs/>
          <w:lang w:eastAsia="lv-LV"/>
        </w:rPr>
        <w:t>Grozījumi Krimināllikumā</w:t>
      </w:r>
      <w:r w:rsidR="00460F6B">
        <w:rPr>
          <w:bCs/>
          <w:lang w:eastAsia="lv-LV"/>
        </w:rPr>
        <w:t>”</w:t>
      </w:r>
      <w:r w:rsidRPr="00763FB8">
        <w:rPr>
          <w:bCs/>
          <w:lang w:eastAsia="lv-LV"/>
        </w:rPr>
        <w:t xml:space="preserve"> sākotnējās ietekmes novērtējuma ziņojumā (anotācijā) norādīts, ka</w:t>
      </w:r>
      <w:proofErr w:type="gramStart"/>
      <w:r w:rsidRPr="00763FB8">
        <w:rPr>
          <w:b/>
          <w:lang w:eastAsia="lv-LV"/>
        </w:rPr>
        <w:t xml:space="preserve"> </w:t>
      </w:r>
      <w:r w:rsidR="00E021FD" w:rsidRPr="00E021FD">
        <w:rPr>
          <w:bCs/>
          <w:lang w:eastAsia="lv-LV"/>
        </w:rPr>
        <w:t>,,</w:t>
      </w:r>
      <w:proofErr w:type="gramEnd"/>
      <w:r w:rsidRPr="00763FB8">
        <w:rPr>
          <w:bCs/>
          <w:lang w:eastAsia="lv-LV"/>
        </w:rPr>
        <w:t>p</w:t>
      </w:r>
      <w:r w:rsidRPr="00763FB8">
        <w:rPr>
          <w:bCs/>
        </w:rPr>
        <w:t>ašreiz K</w:t>
      </w:r>
      <w:r w:rsidR="00E021FD">
        <w:rPr>
          <w:bCs/>
        </w:rPr>
        <w:t>rimināllikuma</w:t>
      </w:r>
      <w:r w:rsidRPr="00763FB8">
        <w:rPr>
          <w:bCs/>
        </w:rPr>
        <w:t xml:space="preserve"> 40. panta otrajā daļā noteikts, ka piespiedu darbs nav piemērojams darbnespējīgām personām, kas tiesu praksē tiek interpretēts tā, ka</w:t>
      </w:r>
      <w:r w:rsidRPr="00763FB8">
        <w:t xml:space="preserve"> </w:t>
      </w:r>
      <w:r w:rsidRPr="00763FB8">
        <w:rPr>
          <w:bCs/>
        </w:rPr>
        <w:t xml:space="preserve">personām ar invaliditāti (neatkarīgi no invaliditātes grupas, vai iemesliem, kāpēc invaliditāte noteikta) nedrīkst piemērot piespiedu darbu, pat ja persona ar invaliditāti vēlas un piekrīt šāda soda piemērošanai. Personas ar invaliditāti bieži vien nav spējīgas samaksāt arī naudas sodu, rezultātā vienīgā alternatīva, ko var piemērot, ir brīvības atņemšana, kas nav samērīgi – īpaši pret personām ar invaliditāti. </w:t>
      </w:r>
      <w:r w:rsidRPr="00763FB8">
        <w:t>I</w:t>
      </w:r>
      <w:r w:rsidRPr="00763FB8">
        <w:rPr>
          <w:bCs/>
        </w:rPr>
        <w:t xml:space="preserve">r jāņem vērā, ka ir personas ar trešās un pat otrās grupas invaliditāti, kas ir darbspējīgas un, turklāt, ne visām šīm personām ir nepieciešama sociālās uzvedības korekcija, ko saskaņā ar likumprojektu ļautu nodrošināt pamatsods – probācijas uzraudzība. Tāpat ir jāņem vērā, ka Valsts probācijas dienests novērtē katra notiesātā spējas un piemeklē tam atbilstošāko darbu. Piemēram, ja personai ir noteiktas zināšanas un prasmes datorzinībās un programmēšanā, pedagoģijas vai mākslas jomā u.tml., Valsts probācijas dienests apzina un piesaista darba devējus, kuriem ir nepieciešams attiecīgās jomas speciālists (bibliotēkas, nevalstiskās organizācijas, izglītības iestādes, pansionāti, bērnu nami u.c.). Valsts probācijas dienests ir noslēdzis vairāk kā 1600 līgumus ar valsts un pašvaldību institūcijām, nevalstiskajām organizācijām un reliģiskajām organizācijām par probācijas klientu nodarbināšanu piespiedu darbā, kas ļauj nodrošināt individuālu pieeju katram probācijas klientam atbilstoši viņa veselības stāvoklim, vecumam, prasmēm un iemaņām. </w:t>
      </w:r>
      <w:bookmarkStart w:id="9" w:name="_Hlk124864210"/>
      <w:r w:rsidRPr="00763FB8">
        <w:rPr>
          <w:bCs/>
        </w:rPr>
        <w:t>Ievērojot minēto, K</w:t>
      </w:r>
      <w:r w:rsidR="00F67868">
        <w:rPr>
          <w:bCs/>
        </w:rPr>
        <w:t>rimināllikuma</w:t>
      </w:r>
      <w:r w:rsidRPr="00763FB8">
        <w:rPr>
          <w:bCs/>
        </w:rPr>
        <w:t xml:space="preserve"> 40. panta trešajā daļā tiek noteikts, ka sabiedriskais darbs nav piemērojams personām, kuras fizisku vai psihisku traucējumu dēļ nespēj veikt sabiedrisko darbu. Šādā veidā piespiedu darba piemērošana netiek sasaistīta ar formāliem kritērijiem – invaliditātes statuss vai darba nespējas lapa, bet ar objektīviem kritērijiem, kas liecina par spēju vai nespēju veikt sabiedrisko darbu</w:t>
      </w:r>
      <w:bookmarkStart w:id="10" w:name="OLE_LINK1"/>
      <w:r w:rsidRPr="00763FB8">
        <w:rPr>
          <w:bCs/>
        </w:rPr>
        <w:t>”</w:t>
      </w:r>
      <w:r>
        <w:rPr>
          <w:bCs/>
        </w:rPr>
        <w:t xml:space="preserve"> </w:t>
      </w:r>
      <w:r w:rsidRPr="00763FB8">
        <w:rPr>
          <w:bCs/>
        </w:rPr>
        <w:t>(</w:t>
      </w:r>
      <w:bookmarkStart w:id="11" w:name="_Hlk124863266"/>
      <w:r w:rsidR="00086988" w:rsidRPr="008F6078">
        <w:rPr>
          <w:bCs/>
          <w:i/>
          <w:iCs/>
        </w:rPr>
        <w:t xml:space="preserve">13. Saeimas likumprojekta </w:t>
      </w:r>
      <w:hyperlink r:id="rId9" w:history="1">
        <w:r w:rsidR="00086988" w:rsidRPr="008F6078">
          <w:rPr>
            <w:rStyle w:val="Hyperlink"/>
            <w:bCs/>
            <w:i/>
            <w:iCs/>
          </w:rPr>
          <w:t>Nr. 357/Lp13</w:t>
        </w:r>
      </w:hyperlink>
      <w:r w:rsidR="00086988" w:rsidRPr="008F6078">
        <w:rPr>
          <w:bCs/>
          <w:i/>
          <w:iCs/>
        </w:rPr>
        <w:t xml:space="preserve"> </w:t>
      </w:r>
      <w:r w:rsidR="00F67868" w:rsidRPr="008F6078">
        <w:rPr>
          <w:bCs/>
          <w:i/>
          <w:iCs/>
          <w:lang w:eastAsia="lv-LV"/>
        </w:rPr>
        <w:t>,,</w:t>
      </w:r>
      <w:r w:rsidRPr="008F6078">
        <w:rPr>
          <w:bCs/>
          <w:i/>
          <w:iCs/>
          <w:lang w:eastAsia="lv-LV"/>
        </w:rPr>
        <w:t>Grozījumi Krimināllikumā</w:t>
      </w:r>
      <w:r w:rsidR="00F67868" w:rsidRPr="008F6078">
        <w:rPr>
          <w:bCs/>
          <w:i/>
          <w:iCs/>
          <w:lang w:eastAsia="lv-LV"/>
        </w:rPr>
        <w:t>”</w:t>
      </w:r>
      <w:r w:rsidRPr="008F6078">
        <w:rPr>
          <w:bCs/>
          <w:i/>
          <w:iCs/>
          <w:lang w:eastAsia="lv-LV"/>
        </w:rPr>
        <w:t xml:space="preserve"> </w:t>
      </w:r>
      <w:hyperlink r:id="rId10" w:history="1">
        <w:r w:rsidRPr="008F6078">
          <w:rPr>
            <w:rStyle w:val="Hyperlink"/>
            <w:bCs/>
            <w:i/>
            <w:iCs/>
            <w:lang w:eastAsia="lv-LV"/>
          </w:rPr>
          <w:t>anotācija</w:t>
        </w:r>
        <w:bookmarkEnd w:id="10"/>
      </w:hyperlink>
      <w:r w:rsidR="00086988" w:rsidRPr="008F6078">
        <w:rPr>
          <w:bCs/>
          <w:lang w:eastAsia="lv-LV"/>
        </w:rPr>
        <w:t>)</w:t>
      </w:r>
      <w:r w:rsidRPr="00E021FD">
        <w:rPr>
          <w:bCs/>
          <w:i/>
          <w:iCs/>
          <w:lang w:eastAsia="lv-LV"/>
        </w:rPr>
        <w:t xml:space="preserve">. </w:t>
      </w:r>
      <w:bookmarkEnd w:id="11"/>
    </w:p>
    <w:bookmarkEnd w:id="9"/>
    <w:p w14:paraId="3A677B0E" w14:textId="77777777" w:rsidR="00371666" w:rsidRDefault="00763FB8" w:rsidP="00371666">
      <w:pPr>
        <w:tabs>
          <w:tab w:val="left" w:pos="1134"/>
          <w:tab w:val="left" w:pos="1276"/>
        </w:tabs>
        <w:spacing w:line="276" w:lineRule="auto"/>
        <w:ind w:firstLine="680"/>
        <w:jc w:val="both"/>
      </w:pPr>
      <w:r>
        <w:t>Senāts atzīst, ka t</w:t>
      </w:r>
      <w:r w:rsidR="00227057">
        <w:t xml:space="preserve">ādējādi Krimināllikuma </w:t>
      </w:r>
      <w:r>
        <w:t>40. </w:t>
      </w:r>
      <w:r w:rsidR="00227057">
        <w:t xml:space="preserve">panta trešā daļa salīdzinājumā ar iepriekšējo regulējumu, kas bija ietverts Krimināllikuma </w:t>
      </w:r>
      <w:r>
        <w:t>40. </w:t>
      </w:r>
      <w:r w:rsidR="00227057">
        <w:t>pant</w:t>
      </w:r>
      <w:r>
        <w:t>a otrajā daļ</w:t>
      </w:r>
      <w:r w:rsidR="00227057">
        <w:t xml:space="preserve">ā un paredzēja </w:t>
      </w:r>
      <w:r w:rsidRPr="00763FB8">
        <w:rPr>
          <w:bCs/>
        </w:rPr>
        <w:t>piespiedu darb</w:t>
      </w:r>
      <w:r>
        <w:rPr>
          <w:bCs/>
        </w:rPr>
        <w:t xml:space="preserve">a </w:t>
      </w:r>
      <w:r w:rsidRPr="00763FB8">
        <w:rPr>
          <w:bCs/>
        </w:rPr>
        <w:t>piemēro</w:t>
      </w:r>
      <w:r>
        <w:rPr>
          <w:bCs/>
        </w:rPr>
        <w:t>šanas aizliegumu</w:t>
      </w:r>
      <w:r w:rsidRPr="00763FB8">
        <w:rPr>
          <w:bCs/>
        </w:rPr>
        <w:t xml:space="preserve"> </w:t>
      </w:r>
      <w:r w:rsidR="00371666">
        <w:rPr>
          <w:bCs/>
        </w:rPr>
        <w:t xml:space="preserve">jebkurai </w:t>
      </w:r>
      <w:r w:rsidRPr="00763FB8">
        <w:rPr>
          <w:bCs/>
        </w:rPr>
        <w:t>darbnespējīg</w:t>
      </w:r>
      <w:r w:rsidR="00371666">
        <w:rPr>
          <w:bCs/>
        </w:rPr>
        <w:t>ai</w:t>
      </w:r>
      <w:r w:rsidRPr="00763FB8">
        <w:rPr>
          <w:bCs/>
        </w:rPr>
        <w:t xml:space="preserve"> person</w:t>
      </w:r>
      <w:r w:rsidR="00371666">
        <w:rPr>
          <w:bCs/>
        </w:rPr>
        <w:t>ai</w:t>
      </w:r>
      <w:r>
        <w:rPr>
          <w:bCs/>
        </w:rPr>
        <w:t xml:space="preserve">, </w:t>
      </w:r>
      <w:r w:rsidR="00227057">
        <w:t>ir kļuvusi personai labvēlīgāka</w:t>
      </w:r>
      <w:r w:rsidR="00176137">
        <w:t xml:space="preserve">, ļaujot sabiedrisko darbu piemērot plašākam personu lokam, </w:t>
      </w:r>
      <w:r w:rsidR="00371666">
        <w:t xml:space="preserve">individuāli </w:t>
      </w:r>
      <w:r w:rsidR="00176137">
        <w:t>izvērtējot, vai persona, kurai ir fiziski vai psihiski trauc</w:t>
      </w:r>
      <w:r w:rsidR="00371666">
        <w:t>ē</w:t>
      </w:r>
      <w:r w:rsidR="00176137">
        <w:t xml:space="preserve">jumi, spēj </w:t>
      </w:r>
      <w:r w:rsidR="00371666">
        <w:t>to veikt.</w:t>
      </w:r>
    </w:p>
    <w:p w14:paraId="3ED4788B" w14:textId="51E7885F" w:rsidR="00763FB8" w:rsidRDefault="00227057" w:rsidP="00371666">
      <w:pPr>
        <w:tabs>
          <w:tab w:val="left" w:pos="1134"/>
          <w:tab w:val="left" w:pos="1276"/>
        </w:tabs>
        <w:spacing w:line="276" w:lineRule="auto"/>
        <w:ind w:firstLine="680"/>
        <w:jc w:val="both"/>
      </w:pPr>
      <w:r>
        <w:t>Krimināllikuma 5.</w:t>
      </w:r>
      <w:r w:rsidR="00763FB8">
        <w:t> </w:t>
      </w:r>
      <w:r>
        <w:t>panta otrā daļa noteic, ka likumam, kas atzīst nodarījumu par nesodāmu, mīkstina sodu vai ir citādi labvēlīgs personai, ja vien attiecīgajā likumā nav noteikts citādi, ir atpakaļejošs spēks, proti, tas attiecas uz nodarījumiem, kas izdarīti pirms attiecīgā likuma spēkā stāšanās, kā arī uz personu, kura izcieš sodu vai izcietusi sodu, bet kurai saglabājusies sodāmība.</w:t>
      </w:r>
    </w:p>
    <w:p w14:paraId="47B507A5" w14:textId="2073F622" w:rsidR="0045088E" w:rsidRDefault="00227057" w:rsidP="0045088E">
      <w:pPr>
        <w:tabs>
          <w:tab w:val="left" w:pos="1134"/>
          <w:tab w:val="left" w:pos="1276"/>
        </w:tabs>
        <w:spacing w:line="276" w:lineRule="auto"/>
        <w:ind w:firstLine="680"/>
        <w:jc w:val="both"/>
      </w:pPr>
      <w:r>
        <w:t>Ievērojot to, ka 2020.</w:t>
      </w:r>
      <w:r w:rsidR="00763FB8">
        <w:t> </w:t>
      </w:r>
      <w:r>
        <w:t>gada</w:t>
      </w:r>
      <w:r w:rsidR="00763FB8">
        <w:t xml:space="preserve"> 17.</w:t>
      </w:r>
      <w:r w:rsidR="0012572F">
        <w:t> </w:t>
      </w:r>
      <w:r w:rsidR="00763FB8">
        <w:t>decembra</w:t>
      </w:r>
      <w:r>
        <w:t xml:space="preserve"> likuma „Grozījumi Krimināllikumā” pārejas noteikumos īpašs tiesisks regulējums šajā daļā nav noteikts, tiesai, konstatējot, ka ar šiem likuma grozījumiem ir radīts jauns tiesiskais stāvoklis, bija jāveic likumu salīdzināšana atbilstoši Krimināllikuma 5.</w:t>
      </w:r>
      <w:r w:rsidR="00773E98">
        <w:t> </w:t>
      </w:r>
      <w:r>
        <w:t>panta otrās daļas nosacījumiem</w:t>
      </w:r>
      <w:r w:rsidR="0045088E">
        <w:t>.</w:t>
      </w:r>
    </w:p>
    <w:p w14:paraId="747D5C55" w14:textId="77777777" w:rsidR="00773E98" w:rsidRDefault="00477753" w:rsidP="00773E98">
      <w:pPr>
        <w:tabs>
          <w:tab w:val="left" w:pos="1134"/>
          <w:tab w:val="left" w:pos="1276"/>
        </w:tabs>
        <w:spacing w:line="276" w:lineRule="auto"/>
        <w:ind w:firstLine="680"/>
        <w:jc w:val="both"/>
      </w:pPr>
      <w:r w:rsidRPr="003A746C">
        <w:rPr>
          <w:bCs/>
        </w:rPr>
        <w:t>Senāts atzīst, ka apelācijas instances tiesa</w:t>
      </w:r>
      <w:r w:rsidR="0045088E">
        <w:rPr>
          <w:bCs/>
        </w:rPr>
        <w:t xml:space="preserve"> </w:t>
      </w:r>
      <w:r w:rsidR="00773E98">
        <w:rPr>
          <w:bCs/>
        </w:rPr>
        <w:t xml:space="preserve">šādu salīdzināšanu nav veikusi, tādējādi pieļaujot </w:t>
      </w:r>
      <w:r w:rsidR="00773E98" w:rsidRPr="00042DAC">
        <w:t>Kriminālprocesa likuma 574.</w:t>
      </w:r>
      <w:r w:rsidR="00773E98">
        <w:t> </w:t>
      </w:r>
      <w:r w:rsidR="00773E98" w:rsidRPr="00042DAC">
        <w:t xml:space="preserve">panta </w:t>
      </w:r>
      <w:r w:rsidR="00773E98">
        <w:t>1</w:t>
      </w:r>
      <w:r w:rsidR="00773E98" w:rsidRPr="00042DAC">
        <w:t>.</w:t>
      </w:r>
      <w:r w:rsidR="00773E98">
        <w:t> </w:t>
      </w:r>
      <w:r w:rsidR="00773E98" w:rsidRPr="00042DAC">
        <w:t>punkt</w:t>
      </w:r>
      <w:r w:rsidR="00773E98">
        <w:t>ā norādīto Krimināllikuma</w:t>
      </w:r>
      <w:r w:rsidR="00773E98" w:rsidRPr="00042DAC">
        <w:t xml:space="preserve"> pārkāpumu</w:t>
      </w:r>
      <w:r w:rsidR="00773E98">
        <w:t>.</w:t>
      </w:r>
    </w:p>
    <w:p w14:paraId="6B91CAA7" w14:textId="77777777" w:rsidR="00773E98" w:rsidRDefault="00773E98" w:rsidP="00773E98">
      <w:pPr>
        <w:tabs>
          <w:tab w:val="left" w:pos="1134"/>
          <w:tab w:val="left" w:pos="1276"/>
        </w:tabs>
        <w:spacing w:line="276" w:lineRule="auto"/>
        <w:ind w:firstLine="680"/>
        <w:jc w:val="both"/>
      </w:pPr>
    </w:p>
    <w:p w14:paraId="523ACD99" w14:textId="2DD4DC11" w:rsidR="00873BA5" w:rsidRDefault="00773E98" w:rsidP="00773E98">
      <w:pPr>
        <w:spacing w:line="276" w:lineRule="auto"/>
        <w:ind w:firstLine="709"/>
        <w:jc w:val="both"/>
      </w:pPr>
      <w:r>
        <w:t>[</w:t>
      </w:r>
      <w:r w:rsidR="00165117">
        <w:t>8</w:t>
      </w:r>
      <w:r>
        <w:t xml:space="preserve">] Ņemot vērā iepriekš minēto, </w:t>
      </w:r>
      <w:r w:rsidRPr="00A42C16">
        <w:t xml:space="preserve">Senāts atzīst, ka </w:t>
      </w:r>
      <w:r w:rsidRPr="001303ED">
        <w:t xml:space="preserve">Rīgas apgabaltiesas </w:t>
      </w:r>
      <w:r>
        <w:t>2022.</w:t>
      </w:r>
      <w:r w:rsidR="0012572F">
        <w:t> </w:t>
      </w:r>
      <w:r>
        <w:t>gada 6.</w:t>
      </w:r>
      <w:r w:rsidR="0012572F">
        <w:t> </w:t>
      </w:r>
      <w:r>
        <w:t>aprīļa lēmums</w:t>
      </w:r>
      <w:r w:rsidRPr="00A42C16">
        <w:t xml:space="preserve"> </w:t>
      </w:r>
      <w:r>
        <w:rPr>
          <w:rFonts w:asciiTheme="majorBidi" w:hAnsiTheme="majorBidi" w:cstheme="majorBidi"/>
          <w:color w:val="000000"/>
        </w:rPr>
        <w:t>atceļams</w:t>
      </w:r>
      <w:r w:rsidRPr="003B229E">
        <w:t xml:space="preserve"> </w:t>
      </w:r>
      <w:r w:rsidR="00873BA5">
        <w:t xml:space="preserve">daļā par apsūdzētajam </w:t>
      </w:r>
      <w:r w:rsidR="00D56F4E">
        <w:t>[pers. A]</w:t>
      </w:r>
      <w:r>
        <w:t xml:space="preserve"> </w:t>
      </w:r>
      <w:r w:rsidR="00873BA5">
        <w:t>noteikto sodu</w:t>
      </w:r>
      <w:proofErr w:type="gramStart"/>
      <w:r w:rsidR="00873BA5">
        <w:t xml:space="preserve"> un</w:t>
      </w:r>
      <w:proofErr w:type="gramEnd"/>
      <w:r w:rsidR="00873BA5">
        <w:t xml:space="preserve"> lieta šajā daļā nosūtāma jaunai izskatīšanai apelācijas instances tiesā.</w:t>
      </w:r>
    </w:p>
    <w:p w14:paraId="7B818FDA" w14:textId="77777777" w:rsidR="00873BA5" w:rsidRDefault="00873BA5" w:rsidP="00722572">
      <w:pPr>
        <w:spacing w:line="276" w:lineRule="auto"/>
        <w:ind w:firstLine="709"/>
        <w:jc w:val="both"/>
      </w:pPr>
    </w:p>
    <w:p w14:paraId="52A96240" w14:textId="558A1B0E" w:rsidR="006C4DE5" w:rsidRDefault="006C4DE5" w:rsidP="006C4DE5">
      <w:pPr>
        <w:pStyle w:val="tv213"/>
        <w:shd w:val="clear" w:color="auto" w:fill="FFFFFF"/>
        <w:spacing w:before="0" w:beforeAutospacing="0" w:after="0" w:afterAutospacing="0" w:line="276" w:lineRule="auto"/>
        <w:ind w:firstLine="709"/>
        <w:jc w:val="both"/>
      </w:pPr>
      <w:r>
        <w:t>[</w:t>
      </w:r>
      <w:r w:rsidR="00165117">
        <w:t>9</w:t>
      </w:r>
      <w:r>
        <w:t xml:space="preserve">] Senāts atzīst, ka pārējā daļā apelācijas instances tiesas lēmums atstājams negrozīts, bet apsūdzētā </w:t>
      </w:r>
      <w:r w:rsidR="00D56F4E">
        <w:t>[pers. A]</w:t>
      </w:r>
      <w:r>
        <w:t xml:space="preserve"> kasācijas sūdzība noraidāma kā nepamatota. </w:t>
      </w:r>
    </w:p>
    <w:p w14:paraId="356DCB6A" w14:textId="77777777" w:rsidR="003C675E" w:rsidRDefault="006C4DE5" w:rsidP="003C675E">
      <w:pPr>
        <w:pStyle w:val="tv213"/>
        <w:shd w:val="clear" w:color="auto" w:fill="FFFFFF"/>
        <w:spacing w:before="0" w:beforeAutospacing="0" w:after="0" w:afterAutospacing="0" w:line="276" w:lineRule="auto"/>
        <w:ind w:firstLine="709"/>
        <w:jc w:val="both"/>
      </w:pPr>
      <w:r>
        <w:t>Kas</w:t>
      </w:r>
      <w:r w:rsidR="00141DEA">
        <w:t>ācijas sūdzības iesniedzēja</w:t>
      </w:r>
      <w:r>
        <w:t xml:space="preserve"> apsvērumi par Kriminālprocesa likuma pārkāpumiem ir saistīti ar lietā esošo pierādījumu citādu vērtējumu, nekā tos vērtējusi apelācijas instances tiesa un kasācijas sūdzība šajā daļā iesniegta ar mērķi atcelt apelācijas instances tiesas lēmumu faktisku iemeslu dēļ, kas neatbilst Kriminālprocesa likuma 569. panta nosacījumiem.</w:t>
      </w:r>
    </w:p>
    <w:p w14:paraId="5A71D639" w14:textId="447F677E" w:rsidR="006C4DE5" w:rsidRDefault="006C4DE5" w:rsidP="006C4DE5">
      <w:pPr>
        <w:spacing w:line="276" w:lineRule="auto"/>
        <w:ind w:firstLine="680"/>
        <w:jc w:val="both"/>
      </w:pPr>
      <w:r>
        <w:t>[</w:t>
      </w:r>
      <w:r w:rsidR="00165117">
        <w:t>9</w:t>
      </w:r>
      <w:r>
        <w:t xml:space="preserve">.1] </w:t>
      </w:r>
      <w:r w:rsidRPr="0074246B">
        <w:t xml:space="preserve">Atstājot negrozītu pirmās instances tiesas spriedumu, apelācijas instances tiesa atzinusi, </w:t>
      </w:r>
      <w:r>
        <w:t>ka pirmās instances tiesa</w:t>
      </w:r>
      <w:r w:rsidRPr="006A5008">
        <w:t xml:space="preserve"> </w:t>
      </w:r>
      <w:r>
        <w:t>atbilstoši Kriminālprocesa likuma 520.</w:t>
      </w:r>
      <w:r w:rsidR="0012572F">
        <w:t> </w:t>
      </w:r>
      <w:r>
        <w:t>panta pirmās daļas noteikumiem pamatoti taisījusi lietā notiesājošu spriedumu. Apelācijas instances tiesa pievienojusies pirmās instances tiesas spriedumā dotajiem atzinumiem un atbilstoši Kriminālprocesa likuma 564.</w:t>
      </w:r>
      <w:r w:rsidR="0012572F">
        <w:t> </w:t>
      </w:r>
      <w:r>
        <w:t xml:space="preserve">panta sestajai daļai atzinusi, ka nav nepieciešams nolēmumā vēlreiz atkārtot pirmās instances tiesas spriedumā minētos pierādījumus. </w:t>
      </w:r>
    </w:p>
    <w:p w14:paraId="5ED40D6E" w14:textId="03EBD893" w:rsidR="008E2253" w:rsidRPr="008E2253" w:rsidRDefault="006C4DE5" w:rsidP="008E2253">
      <w:pPr>
        <w:spacing w:line="276" w:lineRule="auto"/>
        <w:ind w:firstLine="680"/>
        <w:jc w:val="both"/>
      </w:pPr>
      <w:r w:rsidRPr="008E2253">
        <w:t xml:space="preserve">Senāts atzīst, ka pretēji kasācijas sūdzībā norādītajam tiesa konstatējusi, ka, izvērtējot visas lietā iegūtās ziņas par faktiem to kopumā un savstarpējā sakarībā, pirmās instances tiesa pamatoti atzinusi cietušā </w:t>
      </w:r>
      <w:r w:rsidR="00D56F4E">
        <w:t>[pers. B]</w:t>
      </w:r>
      <w:r w:rsidRPr="008E2253">
        <w:t xml:space="preserve"> liecības par ticamām</w:t>
      </w:r>
      <w:r w:rsidR="008E2253" w:rsidRPr="008E2253">
        <w:t xml:space="preserve">. Tiesa norādījusi, ka cietušā liecības ir </w:t>
      </w:r>
      <w:r w:rsidR="0087262F" w:rsidRPr="008E2253">
        <w:t>konstant</w:t>
      </w:r>
      <w:r w:rsidR="008E2253" w:rsidRPr="008E2253">
        <w:t>as</w:t>
      </w:r>
      <w:r w:rsidR="0087262F" w:rsidRPr="008E2253">
        <w:t xml:space="preserve"> – cietušais kriminālprocesa gaitā vairākkārt pratināts, savas liecības nav mainījis –</w:t>
      </w:r>
      <w:r w:rsidRPr="008E2253">
        <w:t xml:space="preserve">, </w:t>
      </w:r>
      <w:r w:rsidR="008E2253" w:rsidRPr="008E2253">
        <w:t xml:space="preserve">turklāt tajās sniegtās ziņas par faktiem apstiprinājuši arī liecinieki </w:t>
      </w:r>
      <w:r w:rsidR="00D56F4E">
        <w:rPr>
          <w:rFonts w:ascii="TimesNewRomanPSMT" w:eastAsiaTheme="minorHAnsi" w:hAnsi="TimesNewRomanPSMT" w:cs="TimesNewRomanPSMT"/>
          <w:lang w:eastAsia="en-US"/>
        </w:rPr>
        <w:t>[pers. D]</w:t>
      </w:r>
      <w:r w:rsidR="008E2253" w:rsidRPr="008E2253">
        <w:rPr>
          <w:rFonts w:ascii="TimesNewRomanPSMT" w:eastAsiaTheme="minorHAnsi" w:hAnsi="TimesNewRomanPSMT" w:cs="TimesNewRomanPSMT"/>
          <w:lang w:eastAsia="en-US"/>
        </w:rPr>
        <w:t xml:space="preserve"> un </w:t>
      </w:r>
      <w:r w:rsidR="00D56F4E">
        <w:rPr>
          <w:rFonts w:ascii="TimesNewRomanPSMT" w:eastAsiaTheme="minorHAnsi" w:hAnsi="TimesNewRomanPSMT" w:cs="TimesNewRomanPSMT"/>
          <w:lang w:eastAsia="en-US"/>
        </w:rPr>
        <w:t>[pers. </w:t>
      </w:r>
      <w:r w:rsidR="00D56F4E">
        <w:rPr>
          <w:rFonts w:eastAsiaTheme="minorHAnsi"/>
        </w:rPr>
        <w:t>E]</w:t>
      </w:r>
      <w:r w:rsidR="008E2253" w:rsidRPr="008E2253">
        <w:rPr>
          <w:rFonts w:ascii="TimesNewRomanPSMT" w:eastAsiaTheme="minorHAnsi" w:hAnsi="TimesNewRomanPSMT" w:cs="TimesNewRomanPSMT"/>
          <w:lang w:eastAsia="en-US"/>
        </w:rPr>
        <w:t>, norādot, ka viņi redzēj</w:t>
      </w:r>
      <w:r w:rsidR="008E2253">
        <w:rPr>
          <w:rFonts w:ascii="TimesNewRomanPSMT" w:eastAsiaTheme="minorHAnsi" w:hAnsi="TimesNewRomanPSMT" w:cs="TimesNewRomanPSMT"/>
          <w:lang w:eastAsia="en-US"/>
        </w:rPr>
        <w:t>uši</w:t>
      </w:r>
      <w:r w:rsidR="008E2253" w:rsidRPr="008E2253">
        <w:rPr>
          <w:rFonts w:ascii="TimesNewRomanPSMT" w:eastAsiaTheme="minorHAnsi" w:hAnsi="TimesNewRomanPSMT" w:cs="TimesNewRomanPSMT"/>
          <w:lang w:eastAsia="en-US"/>
        </w:rPr>
        <w:t xml:space="preserve">, ka cietušais </w:t>
      </w:r>
      <w:r w:rsidR="00D56F4E">
        <w:rPr>
          <w:rFonts w:ascii="TimesNewRomanPSMT" w:eastAsiaTheme="minorHAnsi" w:hAnsi="TimesNewRomanPSMT" w:cs="TimesNewRomanPSMT"/>
          <w:lang w:eastAsia="en-US"/>
        </w:rPr>
        <w:t>[pers. B]</w:t>
      </w:r>
      <w:r w:rsidR="008E2253" w:rsidRPr="008E2253">
        <w:rPr>
          <w:rFonts w:ascii="TimesNewRomanPSMT" w:eastAsiaTheme="minorHAnsi" w:hAnsi="TimesNewRomanPSMT" w:cs="TimesNewRomanPSMT"/>
          <w:lang w:eastAsia="en-US"/>
        </w:rPr>
        <w:t xml:space="preserve"> </w:t>
      </w:r>
      <w:r w:rsidR="008E2253">
        <w:rPr>
          <w:rFonts w:ascii="TimesNewRomanPSMT" w:eastAsiaTheme="minorHAnsi" w:hAnsi="TimesNewRomanPSMT" w:cs="TimesNewRomanPSMT"/>
          <w:lang w:eastAsia="en-US"/>
        </w:rPr>
        <w:t>iedevis</w:t>
      </w:r>
      <w:r w:rsidR="008E2253" w:rsidRPr="008E2253">
        <w:rPr>
          <w:rFonts w:ascii="TimesNewRomanPSMT" w:eastAsiaTheme="minorHAnsi" w:hAnsi="TimesNewRomanPSMT" w:cs="TimesNewRomanPSMT"/>
          <w:lang w:eastAsia="en-US"/>
        </w:rPr>
        <w:t xml:space="preserve"> apsūdzētajam </w:t>
      </w:r>
      <w:r w:rsidR="00D56F4E">
        <w:rPr>
          <w:rFonts w:ascii="TimesNewRomanPSMT" w:eastAsiaTheme="minorHAnsi" w:hAnsi="TimesNewRomanPSMT" w:cs="TimesNewRomanPSMT"/>
          <w:lang w:eastAsia="en-US"/>
        </w:rPr>
        <w:t>[pers. A]</w:t>
      </w:r>
      <w:r w:rsidR="008E2253" w:rsidRPr="008E2253">
        <w:rPr>
          <w:rFonts w:ascii="TimesNewRomanPSMT" w:eastAsiaTheme="minorHAnsi" w:hAnsi="TimesNewRomanPSMT" w:cs="TimesNewRomanPSMT"/>
          <w:lang w:eastAsia="en-US"/>
        </w:rPr>
        <w:t xml:space="preserve"> </w:t>
      </w:r>
      <w:r w:rsidR="008E2253">
        <w:rPr>
          <w:rFonts w:ascii="TimesNewRomanPSMT" w:eastAsiaTheme="minorHAnsi" w:hAnsi="TimesNewRomanPSMT" w:cs="TimesNewRomanPSMT"/>
          <w:lang w:eastAsia="en-US"/>
        </w:rPr>
        <w:t xml:space="preserve">naudu </w:t>
      </w:r>
      <w:r w:rsidR="008E2253" w:rsidRPr="008E2253">
        <w:rPr>
          <w:rFonts w:ascii="TimesNewRomanPSMT" w:eastAsiaTheme="minorHAnsi" w:hAnsi="TimesNewRomanPSMT" w:cs="TimesNewRomanPSMT"/>
          <w:lang w:eastAsia="en-US"/>
        </w:rPr>
        <w:t>arī par valsts nodevu.</w:t>
      </w:r>
    </w:p>
    <w:p w14:paraId="0158C1F3" w14:textId="1CA9BEF7" w:rsidR="0012572F" w:rsidRDefault="0012572F" w:rsidP="006C4DE5">
      <w:pPr>
        <w:spacing w:line="276" w:lineRule="auto"/>
        <w:ind w:firstLine="680"/>
        <w:jc w:val="both"/>
      </w:pPr>
      <w:r w:rsidRPr="008E2253">
        <w:t>Senāts konstatē, ka kasācijas sūdzībā ietvertā norāde, ka apelācijas instances tiesa</w:t>
      </w:r>
      <w:r w:rsidRPr="00371666">
        <w:t xml:space="preserve"> nav </w:t>
      </w:r>
      <w:r w:rsidR="0019573B">
        <w:t xml:space="preserve">sniegusi </w:t>
      </w:r>
      <w:r w:rsidR="0019573B" w:rsidRPr="00142DC3">
        <w:t xml:space="preserve">vērtējumu </w:t>
      </w:r>
      <w:r w:rsidRPr="00142DC3">
        <w:t xml:space="preserve">maksājuma </w:t>
      </w:r>
      <w:r w:rsidR="0019573B" w:rsidRPr="00142DC3">
        <w:t xml:space="preserve">kvītī iekļautajām ziņām par faktiem, </w:t>
      </w:r>
      <w:r w:rsidRPr="00142DC3">
        <w:t>nav pamatota atbilstoši Kriminālprocesa likuma 573.</w:t>
      </w:r>
      <w:r w:rsidR="009C3D9B">
        <w:t> </w:t>
      </w:r>
      <w:r w:rsidRPr="00142DC3">
        <w:t xml:space="preserve">panta pirmās daļas prasībām. Kasācijas sūdzības autors </w:t>
      </w:r>
      <w:r w:rsidRPr="00142DC3">
        <w:rPr>
          <w:rFonts w:ascii="TimesNewRomanPSMT" w:hAnsi="TimesNewRomanPSMT" w:cs="TimesNewRomanPSMT"/>
          <w:szCs w:val="28"/>
        </w:rPr>
        <w:t xml:space="preserve">nav pamatojis, kā </w:t>
      </w:r>
      <w:r w:rsidR="00D56F4E">
        <w:t>[pers. B]</w:t>
      </w:r>
      <w:r w:rsidR="00EC524A" w:rsidRPr="00142DC3">
        <w:t xml:space="preserve"> </w:t>
      </w:r>
      <w:r w:rsidRPr="00142DC3">
        <w:rPr>
          <w:rFonts w:ascii="TimesNewRomanPSMT" w:hAnsi="TimesNewRomanPSMT" w:cs="TimesNewRomanPSMT"/>
          <w:szCs w:val="28"/>
        </w:rPr>
        <w:t xml:space="preserve">prasības pieteikumam civillietā pievienotā maksājuma </w:t>
      </w:r>
      <w:r w:rsidR="00142DC3" w:rsidRPr="00142DC3">
        <w:rPr>
          <w:rFonts w:ascii="TimesNewRomanPSMT" w:hAnsi="TimesNewRomanPSMT" w:cs="TimesNewRomanPSMT"/>
          <w:szCs w:val="28"/>
        </w:rPr>
        <w:t xml:space="preserve">kvīts </w:t>
      </w:r>
      <w:r w:rsidRPr="00142DC3">
        <w:rPr>
          <w:rFonts w:ascii="TimesNewRomanPSMT" w:hAnsi="TimesNewRomanPSMT" w:cs="TimesNewRomanPSMT"/>
          <w:szCs w:val="28"/>
        </w:rPr>
        <w:t>neizmantošana pierādīšanā</w:t>
      </w:r>
      <w:r w:rsidR="00142DC3" w:rsidRPr="00142DC3">
        <w:rPr>
          <w:rFonts w:ascii="TimesNewRomanPSMT" w:hAnsi="TimesNewRomanPSMT" w:cs="TimesNewRomanPSMT"/>
          <w:szCs w:val="28"/>
        </w:rPr>
        <w:t>,</w:t>
      </w:r>
      <w:r w:rsidRPr="00142DC3">
        <w:rPr>
          <w:rFonts w:ascii="TimesNewRomanPSMT" w:hAnsi="TimesNewRomanPSMT" w:cs="TimesNewRomanPSMT"/>
          <w:szCs w:val="28"/>
        </w:rPr>
        <w:t xml:space="preserve"> ir </w:t>
      </w:r>
      <w:r w:rsidRPr="00371666">
        <w:t xml:space="preserve">novedusi pie nelikumīga nolēmuma par Krimināllikuma 179. panta pirmajā daļā paredzēto noziedzīgo nodarījumu, t.i., </w:t>
      </w:r>
      <w:r w:rsidRPr="00371666">
        <w:rPr>
          <w:rFonts w:ascii="TimesNewRomanPSMT" w:hAnsi="TimesNewRomanPSMT" w:cs="TimesNewRomanPSMT"/>
          <w:szCs w:val="28"/>
        </w:rPr>
        <w:t xml:space="preserve">kā izpaudies Kriminālprocesa likuma būtisks pārkāpums. </w:t>
      </w:r>
      <w:r w:rsidR="00485FF1">
        <w:t>Apsūdzētais kasācijas sūdzībā nav norādījis</w:t>
      </w:r>
      <w:r w:rsidR="00394579">
        <w:t xml:space="preserve"> arī</w:t>
      </w:r>
      <w:r w:rsidR="00485FF1">
        <w:t>, kā izpaudušies</w:t>
      </w:r>
      <w:r w:rsidR="00394579">
        <w:t xml:space="preserve"> šā</w:t>
      </w:r>
      <w:r w:rsidR="00485FF1">
        <w:t xml:space="preserve"> lēmuma [4.4] minēto tiesību normu pārkāpumi, aprobežojoties šajā daļā ar vispārīgu apgalvojumu, ka apelācijas instances tiesa, iztiesājot lietu, minēto normu prasības nav ievērojusi.</w:t>
      </w:r>
      <w:r w:rsidR="003C675E">
        <w:t xml:space="preserve"> </w:t>
      </w:r>
      <w:r w:rsidRPr="00371666">
        <w:rPr>
          <w:rFonts w:ascii="TimesNewRomanPSMT" w:hAnsi="TimesNewRomanPSMT" w:cs="TimesNewRomanPSMT"/>
          <w:szCs w:val="28"/>
        </w:rPr>
        <w:t>T</w:t>
      </w:r>
      <w:r w:rsidRPr="00371666">
        <w:rPr>
          <w:color w:val="000000" w:themeColor="text1"/>
        </w:rPr>
        <w:t>ādējādi šajā daļā kasācijas sūdzība nav pārbaudāma</w:t>
      </w:r>
      <w:r w:rsidR="00371666" w:rsidRPr="00371666">
        <w:rPr>
          <w:color w:val="000000" w:themeColor="text1"/>
        </w:rPr>
        <w:t>.</w:t>
      </w:r>
    </w:p>
    <w:p w14:paraId="59266F1F" w14:textId="5C2EBC3A" w:rsidR="006C4DE5" w:rsidRDefault="006C4DE5" w:rsidP="006C4DE5">
      <w:pPr>
        <w:spacing w:line="276" w:lineRule="auto"/>
        <w:ind w:firstLine="680"/>
        <w:jc w:val="both"/>
      </w:pPr>
      <w:r w:rsidRPr="00011A9C">
        <w:t xml:space="preserve">Apelācijas instances tiesa </w:t>
      </w:r>
      <w:r>
        <w:t xml:space="preserve">arī </w:t>
      </w:r>
      <w:r w:rsidRPr="00011A9C">
        <w:t xml:space="preserve">atzinusi, ka pirmās instances tiesa pamatoti apšaubījusi liecinieces </w:t>
      </w:r>
      <w:r w:rsidR="00D56F4E">
        <w:t>[pers. C]</w:t>
      </w:r>
      <w:r w:rsidRPr="00011A9C">
        <w:t xml:space="preserve"> pirmās instances tiesā sniegto liecību ticamību, ņemot vērā, ka 7 gadus pēc notikušā lieciniece tiesas sēdē pēkšņi spēja atcerēties skaidras naudas izņemšanas faktu no bankomāta</w:t>
      </w:r>
      <w:r>
        <w:t xml:space="preserve">. Tiesa arī konstatējusi, </w:t>
      </w:r>
      <w:r w:rsidRPr="00011A9C">
        <w:t xml:space="preserve">ka tiesas sēdē sniegtās liecības ir pretrunā ar pirmstiesas procesā liecināto, ka </w:t>
      </w:r>
      <w:r w:rsidR="00D56F4E">
        <w:t>[pers. C]</w:t>
      </w:r>
      <w:r w:rsidRPr="00011A9C">
        <w:t xml:space="preserve"> </w:t>
      </w:r>
      <w:r w:rsidR="00EC524A">
        <w:t>ar</w:t>
      </w:r>
      <w:r w:rsidRPr="00011A9C">
        <w:t xml:space="preserve"> viņas rīcībā nodot</w:t>
      </w:r>
      <w:r w:rsidR="00EC524A">
        <w:t>o</w:t>
      </w:r>
      <w:r w:rsidRPr="00011A9C">
        <w:t xml:space="preserve"> maksājumu kart</w:t>
      </w:r>
      <w:r w:rsidR="00EC524A">
        <w:t>i</w:t>
      </w:r>
      <w:r w:rsidRPr="00011A9C">
        <w:t xml:space="preserve"> nav ņēmusi naudu no</w:t>
      </w:r>
      <w:r>
        <w:t xml:space="preserve"> bankomāta, tikai norēķinājusies ar šo karti veikalos.</w:t>
      </w:r>
    </w:p>
    <w:p w14:paraId="3281E702" w14:textId="6C885788" w:rsidR="006C4DE5" w:rsidRPr="00A3582C" w:rsidRDefault="006C4DE5" w:rsidP="006C4DE5">
      <w:pPr>
        <w:spacing w:line="276" w:lineRule="auto"/>
        <w:ind w:firstLine="709"/>
        <w:jc w:val="both"/>
        <w:rPr>
          <w:rFonts w:asciiTheme="majorBidi" w:hAnsiTheme="majorBidi" w:cstheme="majorBidi"/>
        </w:rPr>
      </w:pPr>
      <w:r w:rsidRPr="00920BF3">
        <w:rPr>
          <w:rFonts w:asciiTheme="majorBidi" w:hAnsiTheme="majorBidi" w:cstheme="majorBidi"/>
        </w:rPr>
        <w:t>Augstākā tiesa jau iepriekš ir paudusi atziņu, ka izvēle, kuriem pierādījumiem ticēt, bet kuriem n</w:t>
      </w:r>
      <w:r>
        <w:rPr>
          <w:rFonts w:asciiTheme="majorBidi" w:hAnsiTheme="majorBidi" w:cstheme="majorBidi"/>
        </w:rPr>
        <w:t>ē,</w:t>
      </w:r>
      <w:r w:rsidRPr="00920BF3">
        <w:rPr>
          <w:rFonts w:asciiTheme="majorBidi" w:hAnsiTheme="majorBidi" w:cstheme="majorBidi"/>
        </w:rPr>
        <w:t xml:space="preserve"> ir tās tiesas kompetencē, kas izspriež lietu pēc būtības. Arī jautājums par to, vai lietā esošie pierādījumi ir vai nav pietiekami apsūdzētā vainīguma konstatēšanai, ir būtības jautājums</w:t>
      </w:r>
      <w:r>
        <w:rPr>
          <w:rFonts w:asciiTheme="majorBidi" w:hAnsiTheme="majorBidi" w:cstheme="majorBidi"/>
        </w:rPr>
        <w:t>, kas kasācijas kārtībā nav pārbaudāms</w:t>
      </w:r>
      <w:r w:rsidRPr="00920BF3">
        <w:rPr>
          <w:rFonts w:asciiTheme="majorBidi" w:hAnsiTheme="majorBidi" w:cstheme="majorBidi"/>
        </w:rPr>
        <w:t xml:space="preserve"> (</w:t>
      </w:r>
      <w:r w:rsidR="009C3D9B">
        <w:rPr>
          <w:rFonts w:asciiTheme="majorBidi" w:hAnsiTheme="majorBidi" w:cstheme="majorBidi"/>
          <w:i/>
          <w:iCs/>
        </w:rPr>
        <w:t>Senāta</w:t>
      </w:r>
      <w:r w:rsidRPr="00920BF3">
        <w:rPr>
          <w:rFonts w:asciiTheme="majorBidi" w:hAnsiTheme="majorBidi" w:cstheme="majorBidi"/>
          <w:i/>
          <w:iCs/>
        </w:rPr>
        <w:t xml:space="preserve"> 2013.</w:t>
      </w:r>
      <w:r w:rsidR="00E021FD">
        <w:rPr>
          <w:rFonts w:asciiTheme="majorBidi" w:hAnsiTheme="majorBidi" w:cstheme="majorBidi"/>
          <w:i/>
          <w:iCs/>
        </w:rPr>
        <w:t> </w:t>
      </w:r>
      <w:r w:rsidRPr="00920BF3">
        <w:rPr>
          <w:rFonts w:asciiTheme="majorBidi" w:hAnsiTheme="majorBidi" w:cstheme="majorBidi"/>
          <w:i/>
          <w:iCs/>
        </w:rPr>
        <w:t>gada 3.</w:t>
      </w:r>
      <w:r w:rsidR="007E612B">
        <w:rPr>
          <w:rFonts w:asciiTheme="majorBidi" w:hAnsiTheme="majorBidi" w:cstheme="majorBidi"/>
          <w:i/>
          <w:iCs/>
        </w:rPr>
        <w:t> </w:t>
      </w:r>
      <w:r w:rsidRPr="00920BF3">
        <w:rPr>
          <w:rFonts w:asciiTheme="majorBidi" w:hAnsiTheme="majorBidi" w:cstheme="majorBidi"/>
          <w:i/>
          <w:iCs/>
        </w:rPr>
        <w:t>jūlija lēmums lietā Nr. </w:t>
      </w:r>
      <w:hyperlink r:id="rId11" w:history="1">
        <w:r w:rsidRPr="00AA04EB">
          <w:rPr>
            <w:rStyle w:val="Hyperlink"/>
            <w:rFonts w:asciiTheme="majorBidi" w:hAnsiTheme="majorBidi" w:cstheme="majorBidi"/>
            <w:i/>
            <w:iCs/>
          </w:rPr>
          <w:t>SKK-333/2013</w:t>
        </w:r>
      </w:hyperlink>
      <w:r w:rsidR="00E021FD">
        <w:rPr>
          <w:rFonts w:asciiTheme="majorBidi" w:hAnsiTheme="majorBidi" w:cstheme="majorBidi"/>
          <w:i/>
          <w:iCs/>
        </w:rPr>
        <w:t xml:space="preserve">, </w:t>
      </w:r>
      <w:r w:rsidRPr="00920BF3">
        <w:rPr>
          <w:rFonts w:asciiTheme="majorBidi" w:hAnsiTheme="majorBidi" w:cstheme="majorBidi"/>
          <w:i/>
          <w:iCs/>
        </w:rPr>
        <w:t>15890002407</w:t>
      </w:r>
      <w:r w:rsidRPr="00A3582C">
        <w:rPr>
          <w:rFonts w:asciiTheme="majorBidi" w:hAnsiTheme="majorBidi" w:cstheme="majorBidi"/>
        </w:rPr>
        <w:t>).</w:t>
      </w:r>
    </w:p>
    <w:p w14:paraId="3C87FD09" w14:textId="5AE9C5D2" w:rsidR="006C4DE5" w:rsidRPr="005A7008" w:rsidRDefault="006C4DE5" w:rsidP="006C4DE5">
      <w:pPr>
        <w:spacing w:line="276" w:lineRule="auto"/>
        <w:ind w:firstLine="720"/>
        <w:jc w:val="both"/>
      </w:pPr>
      <w:r w:rsidRPr="00A3582C">
        <w:rPr>
          <w:rFonts w:asciiTheme="majorBidi" w:hAnsiTheme="majorBidi" w:cstheme="majorBidi"/>
        </w:rPr>
        <w:t>[</w:t>
      </w:r>
      <w:r w:rsidR="00165117">
        <w:rPr>
          <w:rFonts w:asciiTheme="majorBidi" w:hAnsiTheme="majorBidi" w:cstheme="majorBidi"/>
        </w:rPr>
        <w:t>9</w:t>
      </w:r>
      <w:r w:rsidRPr="00A3582C">
        <w:rPr>
          <w:rFonts w:asciiTheme="majorBidi" w:hAnsiTheme="majorBidi" w:cstheme="majorBidi"/>
        </w:rPr>
        <w:t xml:space="preserve">.2] </w:t>
      </w:r>
      <w:r w:rsidRPr="00A3582C">
        <w:t xml:space="preserve">No 2021. gada 24. novembra lēmuma par lietas pieņemšanu iztiesāšanai apelācijas kārtībā rakstveida procesā </w:t>
      </w:r>
      <w:r w:rsidR="00A3582C">
        <w:t>konstatējams</w:t>
      </w:r>
      <w:r w:rsidRPr="00A3582C">
        <w:t>,</w:t>
      </w:r>
      <w:r w:rsidRPr="005A7008">
        <w:t xml:space="preserve"> ka </w:t>
      </w:r>
      <w:r w:rsidR="00DC37BC">
        <w:t>apelācijas</w:t>
      </w:r>
      <w:r>
        <w:t xml:space="preserve"> instances tiesa</w:t>
      </w:r>
      <w:r w:rsidR="00DC37BC">
        <w:t>s tiesnesis</w:t>
      </w:r>
      <w:r>
        <w:t xml:space="preserve"> apsūdzētā </w:t>
      </w:r>
      <w:r w:rsidR="00D56F4E">
        <w:t>[pers. A]</w:t>
      </w:r>
      <w:r w:rsidR="00DC37BC">
        <w:t xml:space="preserve"> </w:t>
      </w:r>
      <w:r w:rsidRPr="005A7008">
        <w:t>lūgumu par lieci</w:t>
      </w:r>
      <w:r>
        <w:t>nie</w:t>
      </w:r>
      <w:r w:rsidR="00DC37BC">
        <w:t xml:space="preserve">ku </w:t>
      </w:r>
      <w:r w:rsidRPr="005A7008">
        <w:t>aicināšanu un nopratināšanu tiesā ir iz</w:t>
      </w:r>
      <w:r>
        <w:t>vērtēji</w:t>
      </w:r>
      <w:r w:rsidR="00A3582C">
        <w:t>s</w:t>
      </w:r>
      <w:r w:rsidRPr="005A7008">
        <w:t xml:space="preserve"> un motivēti noraidīji</w:t>
      </w:r>
      <w:r w:rsidR="00A3582C">
        <w:t>s</w:t>
      </w:r>
      <w:r w:rsidRPr="005A7008">
        <w:t>.</w:t>
      </w:r>
    </w:p>
    <w:p w14:paraId="1C1604DC" w14:textId="53BCDD11" w:rsidR="00092A49" w:rsidRPr="00092A49" w:rsidRDefault="006C4DE5" w:rsidP="00092A49">
      <w:pPr>
        <w:spacing w:line="276" w:lineRule="auto"/>
        <w:ind w:firstLine="720"/>
        <w:jc w:val="both"/>
      </w:pPr>
      <w:r w:rsidRPr="005A7008">
        <w:t>Senāts jau vairākkārt norādījis, ka apsūdzēto personu vai viņu aizstāvju pieteikto lūgumu motivēta noraidīšana lietas iztiesāšanas laikā nav vērtējama kā apsūdzētā tiesību ierobežošana, jo atbilstoši Kriminālprocesa likuma 496.</w:t>
      </w:r>
      <w:r w:rsidR="0012572F">
        <w:t> </w:t>
      </w:r>
      <w:r w:rsidRPr="005A7008">
        <w:t xml:space="preserve">panta otrās daļas nosacījumiem tiesai prokurora, cietušā, apsūdzētā un viņa aizstāvja lūgumi ir jāizvērtē un jāizlemj, bet tai nav obligāta pienākuma šos lūgumus apmierināt </w:t>
      </w:r>
      <w:proofErr w:type="gramStart"/>
      <w:r w:rsidRPr="005A7008">
        <w:t>(</w:t>
      </w:r>
      <w:proofErr w:type="gramEnd"/>
      <w:r w:rsidR="009C3D9B">
        <w:rPr>
          <w:rFonts w:asciiTheme="majorBidi" w:hAnsiTheme="majorBidi" w:cstheme="majorBidi"/>
          <w:i/>
          <w:iCs/>
        </w:rPr>
        <w:t>Senāta</w:t>
      </w:r>
      <w:r w:rsidR="009C3D9B" w:rsidRPr="00920BF3">
        <w:rPr>
          <w:rFonts w:asciiTheme="majorBidi" w:hAnsiTheme="majorBidi" w:cstheme="majorBidi"/>
          <w:i/>
          <w:iCs/>
        </w:rPr>
        <w:t xml:space="preserve"> </w:t>
      </w:r>
      <w:r w:rsidRPr="005A7008">
        <w:rPr>
          <w:i/>
        </w:rPr>
        <w:t>2015.</w:t>
      </w:r>
      <w:r w:rsidR="00092A49">
        <w:rPr>
          <w:i/>
        </w:rPr>
        <w:t> </w:t>
      </w:r>
      <w:r w:rsidRPr="005A7008">
        <w:rPr>
          <w:i/>
        </w:rPr>
        <w:t>gada 17.</w:t>
      </w:r>
      <w:r w:rsidR="00092A49">
        <w:rPr>
          <w:i/>
        </w:rPr>
        <w:t> </w:t>
      </w:r>
      <w:r w:rsidRPr="005A7008">
        <w:rPr>
          <w:i/>
        </w:rPr>
        <w:t>septembra lēmums lietā Nr. </w:t>
      </w:r>
      <w:hyperlink r:id="rId12" w:history="1">
        <w:r w:rsidRPr="00AA04EB">
          <w:rPr>
            <w:rStyle w:val="Hyperlink"/>
            <w:i/>
          </w:rPr>
          <w:t>SKK-473/2015</w:t>
        </w:r>
      </w:hyperlink>
      <w:r w:rsidR="00AA04EB">
        <w:rPr>
          <w:i/>
        </w:rPr>
        <w:t xml:space="preserve">, </w:t>
      </w:r>
      <w:r w:rsidRPr="005A7008">
        <w:rPr>
          <w:i/>
        </w:rPr>
        <w:t>11096124414</w:t>
      </w:r>
      <w:r w:rsidR="00AA04EB">
        <w:rPr>
          <w:i/>
        </w:rPr>
        <w:t>,</w:t>
      </w:r>
      <w:r w:rsidRPr="005A7008">
        <w:rPr>
          <w:i/>
        </w:rPr>
        <w:t xml:space="preserve"> 20</w:t>
      </w:r>
      <w:r w:rsidR="00092A49">
        <w:rPr>
          <w:i/>
        </w:rPr>
        <w:t>20 </w:t>
      </w:r>
      <w:r w:rsidRPr="005A7008">
        <w:rPr>
          <w:i/>
        </w:rPr>
        <w:t>.gada 1</w:t>
      </w:r>
      <w:r w:rsidR="00092A49">
        <w:rPr>
          <w:i/>
        </w:rPr>
        <w:t>4</w:t>
      </w:r>
      <w:r w:rsidRPr="005A7008">
        <w:rPr>
          <w:i/>
        </w:rPr>
        <w:t>.</w:t>
      </w:r>
      <w:r w:rsidR="00092A49">
        <w:rPr>
          <w:i/>
        </w:rPr>
        <w:t> jūlija</w:t>
      </w:r>
      <w:r w:rsidRPr="005A7008">
        <w:rPr>
          <w:i/>
        </w:rPr>
        <w:t xml:space="preserve"> lēmum</w:t>
      </w:r>
      <w:r w:rsidR="00AA04EB">
        <w:rPr>
          <w:i/>
        </w:rPr>
        <w:t>a</w:t>
      </w:r>
      <w:r w:rsidRPr="005A7008">
        <w:rPr>
          <w:i/>
        </w:rPr>
        <w:t xml:space="preserve"> lietā Nr.</w:t>
      </w:r>
      <w:r>
        <w:rPr>
          <w:i/>
        </w:rPr>
        <w:t> </w:t>
      </w:r>
      <w:r w:rsidRPr="005A7008">
        <w:rPr>
          <w:i/>
        </w:rPr>
        <w:t>SKK-</w:t>
      </w:r>
      <w:r w:rsidR="00092A49">
        <w:rPr>
          <w:i/>
        </w:rPr>
        <w:t>359</w:t>
      </w:r>
      <w:r w:rsidRPr="005A7008">
        <w:rPr>
          <w:i/>
        </w:rPr>
        <w:t>/20</w:t>
      </w:r>
      <w:r w:rsidR="00092A49">
        <w:rPr>
          <w:i/>
        </w:rPr>
        <w:t xml:space="preserve">20, </w:t>
      </w:r>
      <w:hyperlink r:id="rId13" w:history="1">
        <w:r w:rsidR="00092A49" w:rsidRPr="0072403F">
          <w:rPr>
            <w:rStyle w:val="Hyperlink"/>
            <w:i/>
            <w:iCs/>
            <w:shd w:val="clear" w:color="auto" w:fill="FFFFFF"/>
          </w:rPr>
          <w:t>ECLI:LV:AT:2020:0714.11120092918.8.L</w:t>
        </w:r>
      </w:hyperlink>
      <w:r w:rsidR="00092A49" w:rsidRPr="0072403F">
        <w:rPr>
          <w:i/>
          <w:iCs/>
        </w:rPr>
        <w:t>, 7. punkts, 2020. gada 6. oktobra lēmum</w:t>
      </w:r>
      <w:r w:rsidR="00AA04EB">
        <w:rPr>
          <w:i/>
          <w:iCs/>
        </w:rPr>
        <w:t>a</w:t>
      </w:r>
      <w:r w:rsidR="00092A49" w:rsidRPr="0072403F">
        <w:rPr>
          <w:i/>
          <w:iCs/>
        </w:rPr>
        <w:t xml:space="preserve"> lietā Nr. SKK-77/2022, </w:t>
      </w:r>
      <w:hyperlink r:id="rId14" w:history="1">
        <w:r w:rsidR="00092A49" w:rsidRPr="0072403F">
          <w:rPr>
            <w:rStyle w:val="Hyperlink"/>
            <w:bCs/>
            <w:i/>
            <w:iCs/>
            <w:shd w:val="clear" w:color="auto" w:fill="FFFFFF"/>
          </w:rPr>
          <w:t>ECLI:LV:AT:2020:1006.11181005715.6.L</w:t>
        </w:r>
      </w:hyperlink>
      <w:r w:rsidR="00092A49" w:rsidRPr="0072403F">
        <w:rPr>
          <w:i/>
          <w:iCs/>
        </w:rPr>
        <w:t>, 6.4. punkts</w:t>
      </w:r>
      <w:r w:rsidR="00092A49">
        <w:t>).</w:t>
      </w:r>
    </w:p>
    <w:p w14:paraId="6EC8CDD2" w14:textId="77777777" w:rsidR="00165117" w:rsidRDefault="00DC37BC" w:rsidP="00165117">
      <w:pPr>
        <w:pStyle w:val="tv213"/>
        <w:shd w:val="clear" w:color="auto" w:fill="FFFFFF"/>
        <w:spacing w:before="0" w:beforeAutospacing="0" w:after="0" w:afterAutospacing="0" w:line="276" w:lineRule="auto"/>
        <w:ind w:firstLine="709"/>
        <w:jc w:val="both"/>
      </w:pPr>
      <w:r>
        <w:t>Senāts norāda, ka atbilstoši Kriminālprocesa likuma 569.</w:t>
      </w:r>
      <w:r w:rsidR="0012572F">
        <w:t> </w:t>
      </w:r>
      <w:r>
        <w:t>panta pirmajai un trešajai daļai kasācijas instances tiesa lietu pēc būtības neizskata, lietas faktiskos apstākļus neskaidro un pierādījumus lietā no jauna neizvērtē. Kriminālprocesa likuma normu pārkāpumus pierādījumu vērtēšanā Senāts nekonstatē.</w:t>
      </w:r>
    </w:p>
    <w:p w14:paraId="3F420151" w14:textId="77777777" w:rsidR="00165117" w:rsidRDefault="00165117" w:rsidP="00165117">
      <w:pPr>
        <w:pStyle w:val="tv213"/>
        <w:shd w:val="clear" w:color="auto" w:fill="FFFFFF"/>
        <w:spacing w:before="0" w:beforeAutospacing="0" w:after="0" w:afterAutospacing="0" w:line="276" w:lineRule="auto"/>
        <w:ind w:firstLine="709"/>
        <w:jc w:val="both"/>
      </w:pPr>
    </w:p>
    <w:p w14:paraId="212672AE" w14:textId="742043C1" w:rsidR="007C3DD1" w:rsidRPr="00165117" w:rsidRDefault="00536C00" w:rsidP="00165117">
      <w:pPr>
        <w:pStyle w:val="tv213"/>
        <w:shd w:val="clear" w:color="auto" w:fill="FFFFFF"/>
        <w:spacing w:before="0" w:beforeAutospacing="0" w:after="0" w:afterAutospacing="0" w:line="276" w:lineRule="auto"/>
        <w:ind w:firstLine="709"/>
        <w:jc w:val="both"/>
      </w:pPr>
      <w:r>
        <w:rPr>
          <w:color w:val="000000" w:themeColor="text1"/>
        </w:rPr>
        <w:t>[</w:t>
      </w:r>
      <w:r w:rsidR="00165117">
        <w:rPr>
          <w:color w:val="000000" w:themeColor="text1"/>
        </w:rPr>
        <w:t>10</w:t>
      </w:r>
      <w:r w:rsidRPr="00B14CA7">
        <w:rPr>
          <w:color w:val="000000" w:themeColor="text1"/>
        </w:rPr>
        <w:t>]</w:t>
      </w:r>
      <w:r w:rsidR="0012572F">
        <w:rPr>
          <w:color w:val="000000" w:themeColor="text1"/>
        </w:rPr>
        <w:t xml:space="preserve"> </w:t>
      </w:r>
      <w:r>
        <w:rPr>
          <w:color w:val="000000" w:themeColor="text1"/>
        </w:rPr>
        <w:t>Pirmās instances tiesa un a</w:t>
      </w:r>
      <w:r w:rsidRPr="00B14CA7">
        <w:rPr>
          <w:color w:val="000000" w:themeColor="text1"/>
        </w:rPr>
        <w:t xml:space="preserve">pelācijas instances tiesa </w:t>
      </w:r>
      <w:r w:rsidR="00D56F4E">
        <w:t>[pers. A]</w:t>
      </w:r>
      <w:r w:rsidR="007C3DD1">
        <w:t xml:space="preserve"> </w:t>
      </w:r>
      <w:r w:rsidRPr="00B14CA7">
        <w:rPr>
          <w:color w:val="000000" w:themeColor="text1"/>
        </w:rPr>
        <w:t xml:space="preserve">nav piemērojusi drošības līdzekli. </w:t>
      </w:r>
    </w:p>
    <w:p w14:paraId="1513F7F3" w14:textId="2DF9ADCE" w:rsidR="00536C00" w:rsidRPr="00B14CA7" w:rsidRDefault="00536C00" w:rsidP="007C3DD1">
      <w:pPr>
        <w:spacing w:line="276" w:lineRule="auto"/>
        <w:ind w:firstLine="567"/>
        <w:jc w:val="both"/>
        <w:rPr>
          <w:color w:val="000000" w:themeColor="text1"/>
        </w:rPr>
      </w:pPr>
      <w:r w:rsidRPr="00B14CA7">
        <w:rPr>
          <w:color w:val="000000" w:themeColor="text1"/>
        </w:rPr>
        <w:t>Senāts atzīst, ka drošības līdzekļa piemērošanai</w:t>
      </w:r>
      <w:r>
        <w:rPr>
          <w:color w:val="000000" w:themeColor="text1"/>
        </w:rPr>
        <w:t xml:space="preserve"> apsūdzētajam </w:t>
      </w:r>
      <w:r w:rsidRPr="00B14CA7">
        <w:rPr>
          <w:color w:val="000000" w:themeColor="text1"/>
        </w:rPr>
        <w:t>šajā kriminālprocesa stadijā nav tiesiska pamata.</w:t>
      </w:r>
    </w:p>
    <w:p w14:paraId="3A1BEBB6" w14:textId="111E177C" w:rsidR="00536C00" w:rsidRDefault="00536C00" w:rsidP="007C3DD1">
      <w:pPr>
        <w:spacing w:line="276" w:lineRule="auto"/>
        <w:ind w:firstLine="720"/>
        <w:jc w:val="both"/>
        <w:rPr>
          <w:color w:val="000000" w:themeColor="text1"/>
        </w:rPr>
      </w:pPr>
    </w:p>
    <w:p w14:paraId="3C6BDCBE" w14:textId="77777777" w:rsidR="001B2A36" w:rsidRPr="00B14CA7" w:rsidRDefault="001B2A36" w:rsidP="000A043A">
      <w:pPr>
        <w:spacing w:line="276" w:lineRule="auto"/>
        <w:jc w:val="both"/>
        <w:rPr>
          <w:color w:val="000000" w:themeColor="text1"/>
        </w:rPr>
      </w:pPr>
    </w:p>
    <w:p w14:paraId="5C2E7510" w14:textId="037FD1ED" w:rsidR="00536C00" w:rsidRPr="00B14CA7" w:rsidRDefault="00536C00" w:rsidP="007C3DD1">
      <w:pPr>
        <w:spacing w:line="276" w:lineRule="auto"/>
        <w:jc w:val="center"/>
        <w:rPr>
          <w:b/>
          <w:color w:val="000000" w:themeColor="text1"/>
        </w:rPr>
      </w:pPr>
      <w:r w:rsidRPr="00B14CA7">
        <w:rPr>
          <w:b/>
          <w:color w:val="000000" w:themeColor="text1"/>
        </w:rPr>
        <w:t>Rezolutīvā daļa</w:t>
      </w:r>
    </w:p>
    <w:p w14:paraId="7D4DDFBE" w14:textId="77777777" w:rsidR="00536C00" w:rsidRPr="00B14CA7" w:rsidRDefault="00536C00" w:rsidP="007C3DD1">
      <w:pPr>
        <w:spacing w:line="276" w:lineRule="auto"/>
        <w:jc w:val="center"/>
        <w:rPr>
          <w:b/>
          <w:color w:val="000000" w:themeColor="text1"/>
        </w:rPr>
      </w:pPr>
    </w:p>
    <w:p w14:paraId="2F8D82AC" w14:textId="00842729" w:rsidR="00536C00" w:rsidRPr="00B14CA7" w:rsidRDefault="00536C00" w:rsidP="007C3DD1">
      <w:pPr>
        <w:spacing w:line="276" w:lineRule="auto"/>
        <w:ind w:firstLine="720"/>
        <w:jc w:val="both"/>
        <w:rPr>
          <w:color w:val="000000" w:themeColor="text1"/>
        </w:rPr>
      </w:pPr>
      <w:r w:rsidRPr="00B14CA7">
        <w:rPr>
          <w:color w:val="000000" w:themeColor="text1"/>
        </w:rPr>
        <w:t>Pamatojoties uz Kriminālprocesa likuma 585. un 587.</w:t>
      </w:r>
      <w:r w:rsidR="0012572F">
        <w:rPr>
          <w:color w:val="000000" w:themeColor="text1"/>
        </w:rPr>
        <w:t> </w:t>
      </w:r>
      <w:r w:rsidRPr="00B14CA7">
        <w:rPr>
          <w:color w:val="000000" w:themeColor="text1"/>
        </w:rPr>
        <w:t>pant</w:t>
      </w:r>
      <w:r>
        <w:rPr>
          <w:color w:val="000000" w:themeColor="text1"/>
        </w:rPr>
        <w:t>a pirmās daļas 2.</w:t>
      </w:r>
      <w:r w:rsidR="0012572F">
        <w:rPr>
          <w:color w:val="000000" w:themeColor="text1"/>
        </w:rPr>
        <w:t> </w:t>
      </w:r>
      <w:r>
        <w:rPr>
          <w:color w:val="000000" w:themeColor="text1"/>
        </w:rPr>
        <w:t>punktu</w:t>
      </w:r>
      <w:r w:rsidRPr="00B14CA7">
        <w:rPr>
          <w:color w:val="000000" w:themeColor="text1"/>
        </w:rPr>
        <w:t xml:space="preserve">, </w:t>
      </w:r>
      <w:r w:rsidR="007C3DD1">
        <w:rPr>
          <w:color w:val="000000" w:themeColor="text1"/>
        </w:rPr>
        <w:t>Senāts</w:t>
      </w:r>
    </w:p>
    <w:p w14:paraId="62DAC3B1" w14:textId="77777777" w:rsidR="00536C00" w:rsidRPr="00B14CA7" w:rsidRDefault="00536C00" w:rsidP="007C3DD1">
      <w:pPr>
        <w:spacing w:line="276" w:lineRule="auto"/>
        <w:ind w:firstLine="720"/>
        <w:rPr>
          <w:color w:val="000000" w:themeColor="text1"/>
        </w:rPr>
      </w:pPr>
    </w:p>
    <w:p w14:paraId="72B5540F" w14:textId="57DBDC79" w:rsidR="00536C00" w:rsidRDefault="00536C00" w:rsidP="007C3DD1">
      <w:pPr>
        <w:spacing w:line="276" w:lineRule="auto"/>
        <w:jc w:val="center"/>
        <w:rPr>
          <w:b/>
          <w:color w:val="000000" w:themeColor="text1"/>
        </w:rPr>
      </w:pPr>
      <w:r w:rsidRPr="00B14CA7">
        <w:rPr>
          <w:b/>
          <w:color w:val="000000" w:themeColor="text1"/>
        </w:rPr>
        <w:t>nolēma</w:t>
      </w:r>
    </w:p>
    <w:p w14:paraId="0DD0477B" w14:textId="77777777" w:rsidR="007C3DD1" w:rsidRPr="00B14CA7" w:rsidRDefault="007C3DD1" w:rsidP="007C3DD1">
      <w:pPr>
        <w:spacing w:line="276" w:lineRule="auto"/>
        <w:jc w:val="center"/>
        <w:rPr>
          <w:b/>
          <w:color w:val="000000" w:themeColor="text1"/>
        </w:rPr>
      </w:pPr>
    </w:p>
    <w:p w14:paraId="3166BA10" w14:textId="1982CF1A" w:rsidR="00536C00" w:rsidRDefault="00536C00" w:rsidP="007C3DD1">
      <w:pPr>
        <w:spacing w:line="276" w:lineRule="auto"/>
        <w:ind w:firstLine="720"/>
        <w:jc w:val="both"/>
      </w:pPr>
      <w:r>
        <w:rPr>
          <w:color w:val="000000" w:themeColor="text1"/>
        </w:rPr>
        <w:t>atcelt</w:t>
      </w:r>
      <w:r w:rsidRPr="00B14CA7">
        <w:rPr>
          <w:color w:val="000000" w:themeColor="text1"/>
        </w:rPr>
        <w:t xml:space="preserve"> </w:t>
      </w:r>
      <w:r w:rsidR="007C3DD1">
        <w:t xml:space="preserve">Rīgas apgabaltiesas </w:t>
      </w:r>
      <w:bookmarkStart w:id="12" w:name="_Hlk123650215"/>
      <w:r w:rsidR="007C3DD1">
        <w:t>2022.</w:t>
      </w:r>
      <w:r w:rsidR="0012572F">
        <w:t> </w:t>
      </w:r>
      <w:r w:rsidR="007C3DD1">
        <w:t>gada 6.</w:t>
      </w:r>
      <w:r w:rsidR="0012572F">
        <w:t> </w:t>
      </w:r>
      <w:r w:rsidR="007C3DD1">
        <w:t xml:space="preserve">aprīļa </w:t>
      </w:r>
      <w:bookmarkEnd w:id="12"/>
      <w:r w:rsidR="007C3DD1" w:rsidRPr="00B14CA7">
        <w:rPr>
          <w:color w:val="000000" w:themeColor="text1"/>
        </w:rPr>
        <w:t>lēmum</w:t>
      </w:r>
      <w:r w:rsidR="007C3DD1">
        <w:rPr>
          <w:color w:val="000000" w:themeColor="text1"/>
        </w:rPr>
        <w:t>u</w:t>
      </w:r>
      <w:r w:rsidR="007C3DD1" w:rsidRPr="00B14CA7">
        <w:rPr>
          <w:color w:val="000000" w:themeColor="text1"/>
        </w:rPr>
        <w:t xml:space="preserve"> </w:t>
      </w:r>
      <w:r w:rsidRPr="00B14CA7">
        <w:rPr>
          <w:color w:val="000000" w:themeColor="text1"/>
        </w:rPr>
        <w:t xml:space="preserve">daļā par </w:t>
      </w:r>
      <w:r w:rsidR="00873E09">
        <w:t>[pers. A]</w:t>
      </w:r>
      <w:r w:rsidR="007C3DD1">
        <w:t xml:space="preserve"> </w:t>
      </w:r>
      <w:r w:rsidRPr="00B14CA7">
        <w:rPr>
          <w:color w:val="000000" w:themeColor="text1"/>
        </w:rPr>
        <w:t xml:space="preserve">noteikto sodu </w:t>
      </w:r>
      <w:r w:rsidR="007C3DD1" w:rsidRPr="00B14CA7">
        <w:rPr>
          <w:color w:val="000000" w:themeColor="text1"/>
        </w:rPr>
        <w:t xml:space="preserve">par Krimināllikuma </w:t>
      </w:r>
      <w:r w:rsidR="007C3DD1">
        <w:rPr>
          <w:color w:val="000000" w:themeColor="text1"/>
        </w:rPr>
        <w:t>179. panta pirmajā daļā</w:t>
      </w:r>
      <w:r w:rsidR="007C3DD1" w:rsidRPr="004C4688">
        <w:rPr>
          <w:color w:val="000000" w:themeColor="text1"/>
        </w:rPr>
        <w:t xml:space="preserve"> </w:t>
      </w:r>
      <w:r w:rsidR="007C3DD1">
        <w:rPr>
          <w:color w:val="000000" w:themeColor="text1"/>
        </w:rPr>
        <w:t>paredzēto noziedzīgo nodarījumu</w:t>
      </w:r>
      <w:r w:rsidR="00DC37BC">
        <w:t>;</w:t>
      </w:r>
    </w:p>
    <w:p w14:paraId="4CFCBFF8" w14:textId="50ED566D" w:rsidR="00536C00" w:rsidRPr="00B14CA7" w:rsidRDefault="00DC37BC" w:rsidP="007C3DD1">
      <w:pPr>
        <w:spacing w:line="276" w:lineRule="auto"/>
        <w:ind w:firstLine="720"/>
        <w:jc w:val="both"/>
        <w:rPr>
          <w:color w:val="000000" w:themeColor="text1"/>
        </w:rPr>
      </w:pPr>
      <w:r>
        <w:rPr>
          <w:color w:val="000000" w:themeColor="text1"/>
        </w:rPr>
        <w:t>a</w:t>
      </w:r>
      <w:r w:rsidR="00536C00" w:rsidRPr="00B14CA7">
        <w:rPr>
          <w:color w:val="000000" w:themeColor="text1"/>
        </w:rPr>
        <w:t xml:space="preserve">tceltajā daļā lietu nosūtīt jaunai izskatīšanai </w:t>
      </w:r>
      <w:r w:rsidR="007C3DD1">
        <w:rPr>
          <w:color w:val="000000" w:themeColor="text1"/>
        </w:rPr>
        <w:t xml:space="preserve">Rīgas </w:t>
      </w:r>
      <w:r w:rsidR="00536C00" w:rsidRPr="00B14CA7">
        <w:rPr>
          <w:color w:val="000000" w:themeColor="text1"/>
        </w:rPr>
        <w:t>apgabaltiesā</w:t>
      </w:r>
      <w:r>
        <w:rPr>
          <w:color w:val="000000" w:themeColor="text1"/>
        </w:rPr>
        <w:t>;</w:t>
      </w:r>
    </w:p>
    <w:p w14:paraId="175D63DD" w14:textId="55C675C1" w:rsidR="00536C00" w:rsidRDefault="00DC37BC" w:rsidP="007C3DD1">
      <w:pPr>
        <w:spacing w:line="276" w:lineRule="auto"/>
        <w:ind w:firstLine="720"/>
        <w:jc w:val="both"/>
        <w:rPr>
          <w:bCs/>
          <w:color w:val="000000" w:themeColor="text1"/>
        </w:rPr>
      </w:pPr>
      <w:r>
        <w:rPr>
          <w:bCs/>
          <w:color w:val="000000" w:themeColor="text1"/>
        </w:rPr>
        <w:t>p</w:t>
      </w:r>
      <w:r w:rsidR="00536C00" w:rsidRPr="00A4062D">
        <w:rPr>
          <w:bCs/>
          <w:color w:val="000000" w:themeColor="text1"/>
        </w:rPr>
        <w:t xml:space="preserve">ārējā daļā </w:t>
      </w:r>
      <w:r w:rsidR="007C3DD1">
        <w:rPr>
          <w:bCs/>
          <w:color w:val="000000" w:themeColor="text1"/>
        </w:rPr>
        <w:t>Rīgas</w:t>
      </w:r>
      <w:r w:rsidR="00536C00" w:rsidRPr="00A4062D">
        <w:rPr>
          <w:bCs/>
          <w:color w:val="000000" w:themeColor="text1"/>
        </w:rPr>
        <w:t xml:space="preserve"> apgabaltiesas </w:t>
      </w:r>
      <w:r w:rsidR="007C3DD1">
        <w:t>2022.</w:t>
      </w:r>
      <w:r w:rsidR="0012572F">
        <w:t> </w:t>
      </w:r>
      <w:r w:rsidR="007C3DD1">
        <w:t>gada 6.</w:t>
      </w:r>
      <w:r w:rsidR="0012572F">
        <w:t> </w:t>
      </w:r>
      <w:r w:rsidR="007C3DD1">
        <w:t xml:space="preserve">aprīļa </w:t>
      </w:r>
      <w:r w:rsidR="00536C00" w:rsidRPr="00A4062D">
        <w:rPr>
          <w:bCs/>
          <w:color w:val="000000" w:themeColor="text1"/>
        </w:rPr>
        <w:t>lēmumu atstāt negrozītu.</w:t>
      </w:r>
    </w:p>
    <w:p w14:paraId="3554A133" w14:textId="77777777" w:rsidR="00DC37BC" w:rsidRPr="00A4062D" w:rsidRDefault="00DC37BC" w:rsidP="007C3DD1">
      <w:pPr>
        <w:spacing w:line="276" w:lineRule="auto"/>
        <w:ind w:firstLine="720"/>
        <w:jc w:val="both"/>
        <w:rPr>
          <w:bCs/>
          <w:color w:val="000000" w:themeColor="text1"/>
        </w:rPr>
      </w:pPr>
    </w:p>
    <w:p w14:paraId="74CCD5CC" w14:textId="77777777" w:rsidR="00536C00" w:rsidRDefault="00536C00" w:rsidP="007C3DD1">
      <w:pPr>
        <w:spacing w:line="276" w:lineRule="auto"/>
        <w:ind w:firstLine="720"/>
        <w:jc w:val="both"/>
        <w:rPr>
          <w:color w:val="000000" w:themeColor="text1"/>
        </w:rPr>
      </w:pPr>
      <w:r w:rsidRPr="00B14CA7">
        <w:rPr>
          <w:color w:val="000000" w:themeColor="text1"/>
        </w:rPr>
        <w:t>Lēmums nav pārsūdzams.</w:t>
      </w:r>
    </w:p>
    <w:sectPr w:rsidR="00536C00" w:rsidSect="00490F9A">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8A8E3" w14:textId="77777777" w:rsidR="007274FE" w:rsidRDefault="007274FE">
      <w:r>
        <w:separator/>
      </w:r>
    </w:p>
  </w:endnote>
  <w:endnote w:type="continuationSeparator" w:id="0">
    <w:p w14:paraId="108D1638" w14:textId="77777777" w:rsidR="007274FE" w:rsidRDefault="0072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5AA84D1E" w14:textId="77777777" w:rsidR="00DA0153" w:rsidRPr="00DA0153" w:rsidRDefault="007C3DD1">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p w14:paraId="05A34DD8" w14:textId="77777777" w:rsidR="00DA0153" w:rsidRDefault="00241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3D66A" w14:textId="77777777" w:rsidR="007274FE" w:rsidRDefault="007274FE">
      <w:r>
        <w:separator/>
      </w:r>
    </w:p>
  </w:footnote>
  <w:footnote w:type="continuationSeparator" w:id="0">
    <w:p w14:paraId="128E21D7" w14:textId="77777777" w:rsidR="007274FE" w:rsidRDefault="00727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A1"/>
    <w:rsid w:val="0003147B"/>
    <w:rsid w:val="00053359"/>
    <w:rsid w:val="00075F54"/>
    <w:rsid w:val="0007775F"/>
    <w:rsid w:val="0008003E"/>
    <w:rsid w:val="00086988"/>
    <w:rsid w:val="00092A49"/>
    <w:rsid w:val="000A043A"/>
    <w:rsid w:val="000F1321"/>
    <w:rsid w:val="000F34B3"/>
    <w:rsid w:val="0012572F"/>
    <w:rsid w:val="00141DEA"/>
    <w:rsid w:val="00142DC3"/>
    <w:rsid w:val="00165117"/>
    <w:rsid w:val="00176137"/>
    <w:rsid w:val="00177A90"/>
    <w:rsid w:val="001821F5"/>
    <w:rsid w:val="0018244E"/>
    <w:rsid w:val="001842C9"/>
    <w:rsid w:val="0019573B"/>
    <w:rsid w:val="001B2A36"/>
    <w:rsid w:val="001C7037"/>
    <w:rsid w:val="001D13EA"/>
    <w:rsid w:val="001E2720"/>
    <w:rsid w:val="001E47D4"/>
    <w:rsid w:val="00227057"/>
    <w:rsid w:val="00230241"/>
    <w:rsid w:val="002438D5"/>
    <w:rsid w:val="002579CF"/>
    <w:rsid w:val="00262840"/>
    <w:rsid w:val="00274F5F"/>
    <w:rsid w:val="002A214C"/>
    <w:rsid w:val="002A4CB3"/>
    <w:rsid w:val="00303E79"/>
    <w:rsid w:val="00371666"/>
    <w:rsid w:val="003775E4"/>
    <w:rsid w:val="00394579"/>
    <w:rsid w:val="003C675E"/>
    <w:rsid w:val="003D4BEC"/>
    <w:rsid w:val="0044332C"/>
    <w:rsid w:val="0045088E"/>
    <w:rsid w:val="00453BA7"/>
    <w:rsid w:val="00460F6B"/>
    <w:rsid w:val="004741AF"/>
    <w:rsid w:val="00477753"/>
    <w:rsid w:val="00485FF1"/>
    <w:rsid w:val="00490F9A"/>
    <w:rsid w:val="004A17D1"/>
    <w:rsid w:val="004D0241"/>
    <w:rsid w:val="00536C00"/>
    <w:rsid w:val="00565A52"/>
    <w:rsid w:val="0057455E"/>
    <w:rsid w:val="00583D42"/>
    <w:rsid w:val="005A630E"/>
    <w:rsid w:val="005C1722"/>
    <w:rsid w:val="005C783A"/>
    <w:rsid w:val="005E5753"/>
    <w:rsid w:val="00615FAF"/>
    <w:rsid w:val="0061753A"/>
    <w:rsid w:val="00632A55"/>
    <w:rsid w:val="006379A1"/>
    <w:rsid w:val="00670C1C"/>
    <w:rsid w:val="006C4DE5"/>
    <w:rsid w:val="006E2DE4"/>
    <w:rsid w:val="00722572"/>
    <w:rsid w:val="0072403F"/>
    <w:rsid w:val="007274FE"/>
    <w:rsid w:val="00730708"/>
    <w:rsid w:val="00733FEF"/>
    <w:rsid w:val="00752B7A"/>
    <w:rsid w:val="00763FB8"/>
    <w:rsid w:val="007725A9"/>
    <w:rsid w:val="00773E98"/>
    <w:rsid w:val="0078143C"/>
    <w:rsid w:val="00794BD6"/>
    <w:rsid w:val="007C28B6"/>
    <w:rsid w:val="007C3DD1"/>
    <w:rsid w:val="007E612B"/>
    <w:rsid w:val="00802FFA"/>
    <w:rsid w:val="00811BAB"/>
    <w:rsid w:val="00841E88"/>
    <w:rsid w:val="0087262F"/>
    <w:rsid w:val="00873BA5"/>
    <w:rsid w:val="00873E09"/>
    <w:rsid w:val="008A79E6"/>
    <w:rsid w:val="008E2253"/>
    <w:rsid w:val="008E67F1"/>
    <w:rsid w:val="008F6078"/>
    <w:rsid w:val="00912255"/>
    <w:rsid w:val="00984A22"/>
    <w:rsid w:val="009A426E"/>
    <w:rsid w:val="009C3D9B"/>
    <w:rsid w:val="009C5FCC"/>
    <w:rsid w:val="009F1528"/>
    <w:rsid w:val="00A32B7F"/>
    <w:rsid w:val="00A33787"/>
    <w:rsid w:val="00A3582C"/>
    <w:rsid w:val="00A75C41"/>
    <w:rsid w:val="00A92D60"/>
    <w:rsid w:val="00AA04EB"/>
    <w:rsid w:val="00AB5098"/>
    <w:rsid w:val="00AD37B2"/>
    <w:rsid w:val="00AD65D2"/>
    <w:rsid w:val="00B608ED"/>
    <w:rsid w:val="00B65786"/>
    <w:rsid w:val="00B7264A"/>
    <w:rsid w:val="00BB64BF"/>
    <w:rsid w:val="00BC7A65"/>
    <w:rsid w:val="00BD501E"/>
    <w:rsid w:val="00BD5389"/>
    <w:rsid w:val="00BF7CEC"/>
    <w:rsid w:val="00C42F4A"/>
    <w:rsid w:val="00C478A2"/>
    <w:rsid w:val="00C828F7"/>
    <w:rsid w:val="00CC3D6A"/>
    <w:rsid w:val="00D23D0E"/>
    <w:rsid w:val="00D30F6C"/>
    <w:rsid w:val="00D56F4E"/>
    <w:rsid w:val="00D603E2"/>
    <w:rsid w:val="00D747BE"/>
    <w:rsid w:val="00DA7D45"/>
    <w:rsid w:val="00DC0C7C"/>
    <w:rsid w:val="00DC37BC"/>
    <w:rsid w:val="00DF1CA2"/>
    <w:rsid w:val="00DF54D3"/>
    <w:rsid w:val="00DF7D1C"/>
    <w:rsid w:val="00E021FD"/>
    <w:rsid w:val="00E3356E"/>
    <w:rsid w:val="00E437E4"/>
    <w:rsid w:val="00E51529"/>
    <w:rsid w:val="00E60D83"/>
    <w:rsid w:val="00E71965"/>
    <w:rsid w:val="00E75497"/>
    <w:rsid w:val="00E95002"/>
    <w:rsid w:val="00EA2253"/>
    <w:rsid w:val="00EA5E86"/>
    <w:rsid w:val="00EC524A"/>
    <w:rsid w:val="00EC60F3"/>
    <w:rsid w:val="00ED69A6"/>
    <w:rsid w:val="00ED7CFA"/>
    <w:rsid w:val="00EF1D39"/>
    <w:rsid w:val="00F01EA4"/>
    <w:rsid w:val="00F0536E"/>
    <w:rsid w:val="00F13A66"/>
    <w:rsid w:val="00F26C4B"/>
    <w:rsid w:val="00F52E3B"/>
    <w:rsid w:val="00F545EC"/>
    <w:rsid w:val="00F6019B"/>
    <w:rsid w:val="00F67868"/>
    <w:rsid w:val="00F872BE"/>
    <w:rsid w:val="00FA330A"/>
    <w:rsid w:val="00FC10AD"/>
    <w:rsid w:val="00FC2937"/>
    <w:rsid w:val="00FF14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A7D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9A1"/>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6379A1"/>
    <w:pPr>
      <w:spacing w:after="120" w:line="480" w:lineRule="auto"/>
    </w:pPr>
    <w:rPr>
      <w:lang w:val="x-none"/>
    </w:rPr>
  </w:style>
  <w:style w:type="character" w:customStyle="1" w:styleId="BodyText2Char">
    <w:name w:val="Body Text 2 Char"/>
    <w:basedOn w:val="DefaultParagraphFont"/>
    <w:link w:val="BodyText2"/>
    <w:semiHidden/>
    <w:rsid w:val="006379A1"/>
    <w:rPr>
      <w:rFonts w:eastAsia="Times New Roman" w:cs="Times New Roman"/>
      <w:szCs w:val="24"/>
      <w:lang w:val="x-none" w:eastAsia="ru-RU"/>
    </w:rPr>
  </w:style>
  <w:style w:type="paragraph" w:styleId="Footer">
    <w:name w:val="footer"/>
    <w:basedOn w:val="Normal"/>
    <w:link w:val="FooterChar"/>
    <w:uiPriority w:val="99"/>
    <w:unhideWhenUsed/>
    <w:rsid w:val="006379A1"/>
    <w:pPr>
      <w:tabs>
        <w:tab w:val="center" w:pos="4153"/>
        <w:tab w:val="right" w:pos="8306"/>
      </w:tabs>
    </w:pPr>
  </w:style>
  <w:style w:type="character" w:customStyle="1" w:styleId="FooterChar">
    <w:name w:val="Footer Char"/>
    <w:basedOn w:val="DefaultParagraphFont"/>
    <w:link w:val="Footer"/>
    <w:uiPriority w:val="99"/>
    <w:rsid w:val="006379A1"/>
    <w:rPr>
      <w:rFonts w:eastAsia="Times New Roman" w:cs="Times New Roman"/>
      <w:szCs w:val="24"/>
      <w:lang w:val="lv-LV" w:eastAsia="ru-RU"/>
    </w:rPr>
  </w:style>
  <w:style w:type="paragraph" w:customStyle="1" w:styleId="tv213">
    <w:name w:val="tv213"/>
    <w:basedOn w:val="Normal"/>
    <w:rsid w:val="006379A1"/>
    <w:pPr>
      <w:spacing w:before="100" w:beforeAutospacing="1" w:after="100" w:afterAutospacing="1"/>
    </w:pPr>
    <w:rPr>
      <w:lang w:eastAsia="lv-LV"/>
    </w:rPr>
  </w:style>
  <w:style w:type="table" w:styleId="TableGrid">
    <w:name w:val="Table Grid"/>
    <w:basedOn w:val="TableNormal"/>
    <w:uiPriority w:val="39"/>
    <w:rsid w:val="006379A1"/>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79A1"/>
    <w:rPr>
      <w:sz w:val="16"/>
      <w:szCs w:val="16"/>
    </w:rPr>
  </w:style>
  <w:style w:type="paragraph" w:styleId="Header">
    <w:name w:val="header"/>
    <w:basedOn w:val="Normal"/>
    <w:link w:val="HeaderChar"/>
    <w:uiPriority w:val="99"/>
    <w:unhideWhenUsed/>
    <w:rsid w:val="00EA2253"/>
    <w:pPr>
      <w:tabs>
        <w:tab w:val="center" w:pos="4680"/>
        <w:tab w:val="right" w:pos="9360"/>
      </w:tabs>
    </w:pPr>
  </w:style>
  <w:style w:type="character" w:customStyle="1" w:styleId="HeaderChar">
    <w:name w:val="Header Char"/>
    <w:basedOn w:val="DefaultParagraphFont"/>
    <w:link w:val="Header"/>
    <w:uiPriority w:val="99"/>
    <w:rsid w:val="00EA2253"/>
    <w:rPr>
      <w:rFonts w:eastAsia="Times New Roman" w:cs="Times New Roman"/>
      <w:szCs w:val="24"/>
      <w:lang w:val="lv-LV" w:eastAsia="ru-RU"/>
    </w:rPr>
  </w:style>
  <w:style w:type="paragraph" w:styleId="CommentText">
    <w:name w:val="annotation text"/>
    <w:basedOn w:val="Normal"/>
    <w:link w:val="CommentTextChar"/>
    <w:uiPriority w:val="99"/>
    <w:unhideWhenUsed/>
    <w:rsid w:val="00453BA7"/>
    <w:rPr>
      <w:sz w:val="20"/>
      <w:szCs w:val="20"/>
    </w:rPr>
  </w:style>
  <w:style w:type="character" w:customStyle="1" w:styleId="CommentTextChar">
    <w:name w:val="Comment Text Char"/>
    <w:basedOn w:val="DefaultParagraphFont"/>
    <w:link w:val="CommentText"/>
    <w:uiPriority w:val="99"/>
    <w:rsid w:val="00453BA7"/>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453BA7"/>
    <w:rPr>
      <w:b/>
      <w:bCs/>
    </w:rPr>
  </w:style>
  <w:style w:type="character" w:customStyle="1" w:styleId="CommentSubjectChar">
    <w:name w:val="Comment Subject Char"/>
    <w:basedOn w:val="CommentTextChar"/>
    <w:link w:val="CommentSubject"/>
    <w:uiPriority w:val="99"/>
    <w:semiHidden/>
    <w:rsid w:val="00453BA7"/>
    <w:rPr>
      <w:rFonts w:eastAsia="Times New Roman" w:cs="Times New Roman"/>
      <w:b/>
      <w:bCs/>
      <w:sz w:val="20"/>
      <w:szCs w:val="20"/>
      <w:lang w:val="lv-LV" w:eastAsia="ru-RU"/>
    </w:rPr>
  </w:style>
  <w:style w:type="character" w:styleId="Hyperlink">
    <w:name w:val="Hyperlink"/>
    <w:basedOn w:val="DefaultParagraphFont"/>
    <w:uiPriority w:val="99"/>
    <w:unhideWhenUsed/>
    <w:rsid w:val="00092A49"/>
    <w:rPr>
      <w:color w:val="0563C1" w:themeColor="hyperlink"/>
      <w:u w:val="single"/>
    </w:rPr>
  </w:style>
  <w:style w:type="character" w:styleId="UnresolvedMention">
    <w:name w:val="Unresolved Mention"/>
    <w:basedOn w:val="DefaultParagraphFont"/>
    <w:uiPriority w:val="99"/>
    <w:semiHidden/>
    <w:unhideWhenUsed/>
    <w:rsid w:val="00AA04EB"/>
    <w:rPr>
      <w:color w:val="605E5C"/>
      <w:shd w:val="clear" w:color="auto" w:fill="E1DFDD"/>
    </w:rPr>
  </w:style>
  <w:style w:type="paragraph" w:styleId="Revision">
    <w:name w:val="Revision"/>
    <w:hidden/>
    <w:uiPriority w:val="99"/>
    <w:semiHidden/>
    <w:rsid w:val="00F545EC"/>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E515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2102">
      <w:bodyDiv w:val="1"/>
      <w:marLeft w:val="0"/>
      <w:marRight w:val="0"/>
      <w:marTop w:val="0"/>
      <w:marBottom w:val="0"/>
      <w:divBdr>
        <w:top w:val="none" w:sz="0" w:space="0" w:color="auto"/>
        <w:left w:val="none" w:sz="0" w:space="0" w:color="auto"/>
        <w:bottom w:val="none" w:sz="0" w:space="0" w:color="auto"/>
        <w:right w:val="none" w:sz="0" w:space="0" w:color="auto"/>
      </w:divBdr>
    </w:div>
    <w:div w:id="242229626">
      <w:bodyDiv w:val="1"/>
      <w:marLeft w:val="0"/>
      <w:marRight w:val="0"/>
      <w:marTop w:val="0"/>
      <w:marBottom w:val="0"/>
      <w:divBdr>
        <w:top w:val="none" w:sz="0" w:space="0" w:color="auto"/>
        <w:left w:val="none" w:sz="0" w:space="0" w:color="auto"/>
        <w:bottom w:val="none" w:sz="0" w:space="0" w:color="auto"/>
        <w:right w:val="none" w:sz="0" w:space="0" w:color="auto"/>
      </w:divBdr>
    </w:div>
    <w:div w:id="372270345">
      <w:bodyDiv w:val="1"/>
      <w:marLeft w:val="0"/>
      <w:marRight w:val="0"/>
      <w:marTop w:val="0"/>
      <w:marBottom w:val="0"/>
      <w:divBdr>
        <w:top w:val="none" w:sz="0" w:space="0" w:color="auto"/>
        <w:left w:val="none" w:sz="0" w:space="0" w:color="auto"/>
        <w:bottom w:val="none" w:sz="0" w:space="0" w:color="auto"/>
        <w:right w:val="none" w:sz="0" w:space="0" w:color="auto"/>
      </w:divBdr>
    </w:div>
    <w:div w:id="737367542">
      <w:bodyDiv w:val="1"/>
      <w:marLeft w:val="0"/>
      <w:marRight w:val="0"/>
      <w:marTop w:val="0"/>
      <w:marBottom w:val="0"/>
      <w:divBdr>
        <w:top w:val="none" w:sz="0" w:space="0" w:color="auto"/>
        <w:left w:val="none" w:sz="0" w:space="0" w:color="auto"/>
        <w:bottom w:val="none" w:sz="0" w:space="0" w:color="auto"/>
        <w:right w:val="none" w:sz="0" w:space="0" w:color="auto"/>
      </w:divBdr>
    </w:div>
    <w:div w:id="921639580">
      <w:bodyDiv w:val="1"/>
      <w:marLeft w:val="0"/>
      <w:marRight w:val="0"/>
      <w:marTop w:val="0"/>
      <w:marBottom w:val="0"/>
      <w:divBdr>
        <w:top w:val="none" w:sz="0" w:space="0" w:color="auto"/>
        <w:left w:val="none" w:sz="0" w:space="0" w:color="auto"/>
        <w:bottom w:val="none" w:sz="0" w:space="0" w:color="auto"/>
        <w:right w:val="none" w:sz="0" w:space="0" w:color="auto"/>
      </w:divBdr>
    </w:div>
    <w:div w:id="198242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6167" TargetMode="External"/><Relationship Id="rId13" Type="http://schemas.openxmlformats.org/officeDocument/2006/relationships/hyperlink" Target="https://manas.tiesas.lv/eTiesasMvc/nolemumi/pdf/418970.pdf" TargetMode="External"/><Relationship Id="rId3" Type="http://schemas.openxmlformats.org/officeDocument/2006/relationships/settings" Target="settings.xml"/><Relationship Id="rId7" Type="http://schemas.openxmlformats.org/officeDocument/2006/relationships/hyperlink" Target="https://manas.tiesas.lv/eTiesasMvc/nolemumi/pdf/497020.pdf" TargetMode="External"/><Relationship Id="rId12" Type="http://schemas.openxmlformats.org/officeDocument/2006/relationships/hyperlink" Target="https://www.at.gov.lv/downloadlawfile/367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t.gov.lv/downloadlawfile/375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itania.saeima.lv/LIVS13/saeimalivs13.nsf/0/DE025229C1591133C225842700427684?OpenDocument" TargetMode="External"/><Relationship Id="rId4" Type="http://schemas.openxmlformats.org/officeDocument/2006/relationships/webSettings" Target="webSettings.xml"/><Relationship Id="rId9" Type="http://schemas.openxmlformats.org/officeDocument/2006/relationships/hyperlink" Target="https://titania.saeima.lv/LIVS13/saeimalivs13.nsf/webSasaiste?OpenView&amp;count=1000&amp;restricttocategory=357/Lp13" TargetMode="External"/><Relationship Id="rId14" Type="http://schemas.openxmlformats.org/officeDocument/2006/relationships/hyperlink" Target="https://manas.tiesas.lv/eTiesasMvc/nolemumi/pdf/4226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B907-4E46-48CE-8525-091B1C0E7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15529</Words>
  <Characters>8853</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2023-02-21T08:53:00Z</dcterms:created>
  <dcterms:modified xsi:type="dcterms:W3CDTF">2023-02-21T08:53:00Z</dcterms:modified>
</cp:coreProperties>
</file>