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49D7" w14:textId="77777777" w:rsidR="00425D95" w:rsidRPr="00425D95" w:rsidRDefault="00425D95" w:rsidP="00425D95">
      <w:pPr>
        <w:spacing w:after="0" w:line="276" w:lineRule="auto"/>
        <w:jc w:val="both"/>
        <w:rPr>
          <w:b/>
          <w:bCs/>
        </w:rPr>
      </w:pPr>
      <w:r w:rsidRPr="00425D95">
        <w:rPr>
          <w:b/>
          <w:bCs/>
        </w:rPr>
        <w:t>Narkotiskās vai psihotropās vielas pārvietošana pāri Latvijas Republikas valsts robežai ar kurjera starpniecību</w:t>
      </w:r>
    </w:p>
    <w:p w14:paraId="2AC08603" w14:textId="77777777" w:rsidR="00425D95" w:rsidRPr="00425D95" w:rsidRDefault="00425D95" w:rsidP="00425D95">
      <w:pPr>
        <w:spacing w:after="0" w:line="276" w:lineRule="auto"/>
        <w:jc w:val="both"/>
      </w:pPr>
      <w:r w:rsidRPr="00425D95">
        <w:t>Ja persona ir veikusi narkotiskās vai psihotropās vielas pasūtījumu no citas valsts un ar kurjerdienestu vienojusies par minētā sūtījuma nogādāšanu uz Latviju, proti, ir veikusi visu nepieciešamo darbību kopumu, lai sūtījums ar narkotisko vai psihotropo vielu no citas valsts nonāktu pie tās Latvijā, šī persona ir saucama pie kriminālatbildības pēc Krimināllikuma 190.</w:t>
      </w:r>
      <w:r w:rsidRPr="00425D95">
        <w:rPr>
          <w:vertAlign w:val="superscript"/>
        </w:rPr>
        <w:t>1</w:t>
      </w:r>
      <w:r w:rsidRPr="00425D95">
        <w:t> panta. Noziedzīgā nodarījuma kvalifikāciju neietekmē tas, ka aizliegto vielu sūtījumā ārvalstī ievietojusi cita persona, bet pāri Latvijas Republikas valsts robežai pārvietojis kurjerdienests.</w:t>
      </w:r>
    </w:p>
    <w:p w14:paraId="1E8C1BA9" w14:textId="76C06EFF" w:rsidR="007A0EF4" w:rsidRPr="00C13843" w:rsidRDefault="007A0EF4" w:rsidP="00425D95">
      <w:pPr>
        <w:spacing w:after="0" w:line="276" w:lineRule="auto"/>
        <w:rPr>
          <w:rFonts w:asciiTheme="majorBidi" w:hAnsiTheme="majorBidi" w:cstheme="majorBidi"/>
          <w:szCs w:val="24"/>
        </w:rPr>
      </w:pPr>
    </w:p>
    <w:p w14:paraId="2A8890BC" w14:textId="77777777" w:rsidR="00425D95" w:rsidRPr="00425D95" w:rsidRDefault="007A0EF4" w:rsidP="007F63B7">
      <w:pPr>
        <w:spacing w:after="0" w:line="276" w:lineRule="auto"/>
        <w:jc w:val="center"/>
        <w:rPr>
          <w:rFonts w:cs="Times New Roman"/>
          <w:b/>
          <w:szCs w:val="24"/>
        </w:rPr>
      </w:pPr>
      <w:r w:rsidRPr="00425D95">
        <w:rPr>
          <w:rFonts w:cs="Times New Roman"/>
          <w:b/>
          <w:szCs w:val="24"/>
        </w:rPr>
        <w:t>Latvijas Republikas Senāt</w:t>
      </w:r>
      <w:r w:rsidR="00425D95" w:rsidRPr="00425D95">
        <w:rPr>
          <w:rFonts w:cs="Times New Roman"/>
          <w:b/>
          <w:szCs w:val="24"/>
        </w:rPr>
        <w:t xml:space="preserve">a </w:t>
      </w:r>
    </w:p>
    <w:p w14:paraId="226780C7" w14:textId="77777777" w:rsidR="00425D95" w:rsidRPr="00425D95" w:rsidRDefault="00425D95" w:rsidP="007F63B7">
      <w:pPr>
        <w:spacing w:after="0" w:line="276" w:lineRule="auto"/>
        <w:jc w:val="center"/>
        <w:rPr>
          <w:rFonts w:cs="Times New Roman"/>
          <w:b/>
          <w:szCs w:val="24"/>
        </w:rPr>
      </w:pPr>
      <w:r w:rsidRPr="00425D95">
        <w:rPr>
          <w:rFonts w:cs="Times New Roman"/>
          <w:b/>
          <w:szCs w:val="24"/>
        </w:rPr>
        <w:t>Krimināllietu departamenta</w:t>
      </w:r>
    </w:p>
    <w:p w14:paraId="000DDA4C" w14:textId="5201996B" w:rsidR="007A0EF4" w:rsidRPr="00425D95" w:rsidRDefault="00425D95" w:rsidP="007F63B7">
      <w:pPr>
        <w:spacing w:after="0" w:line="276" w:lineRule="auto"/>
        <w:jc w:val="center"/>
        <w:rPr>
          <w:rFonts w:cs="Times New Roman"/>
          <w:b/>
          <w:szCs w:val="24"/>
        </w:rPr>
      </w:pPr>
      <w:r w:rsidRPr="00425D95">
        <w:rPr>
          <w:rFonts w:cs="Times New Roman"/>
          <w:b/>
          <w:szCs w:val="24"/>
        </w:rPr>
        <w:t>2023. gada 13. janvāra</w:t>
      </w:r>
    </w:p>
    <w:p w14:paraId="2E7C360E" w14:textId="77777777" w:rsidR="007A0EF4" w:rsidRPr="00425D95" w:rsidRDefault="007A0EF4" w:rsidP="007F63B7">
      <w:pPr>
        <w:spacing w:after="0" w:line="276" w:lineRule="auto"/>
        <w:jc w:val="center"/>
        <w:rPr>
          <w:rFonts w:cs="Times New Roman"/>
          <w:b/>
          <w:szCs w:val="24"/>
        </w:rPr>
      </w:pPr>
      <w:r w:rsidRPr="00425D95">
        <w:rPr>
          <w:rFonts w:cs="Times New Roman"/>
          <w:b/>
          <w:szCs w:val="24"/>
        </w:rPr>
        <w:t>LĒMUMS</w:t>
      </w:r>
    </w:p>
    <w:p w14:paraId="6E328383" w14:textId="210FDA9D" w:rsidR="007A0EF4" w:rsidRPr="00425D95" w:rsidRDefault="00425D95" w:rsidP="007F63B7">
      <w:pPr>
        <w:spacing w:after="0" w:line="276" w:lineRule="auto"/>
        <w:jc w:val="center"/>
        <w:rPr>
          <w:rFonts w:cs="Times New Roman"/>
          <w:szCs w:val="24"/>
        </w:rPr>
      </w:pPr>
      <w:r w:rsidRPr="00425D95">
        <w:rPr>
          <w:rFonts w:cs="Times New Roman"/>
          <w:b/>
          <w:szCs w:val="24"/>
        </w:rPr>
        <w:t>Lieta Nr. 15840041419, SKK-125/2023</w:t>
      </w:r>
    </w:p>
    <w:p w14:paraId="784287A2" w14:textId="2E73EF9E" w:rsidR="00425D95" w:rsidRPr="00425D95" w:rsidRDefault="00CB3998" w:rsidP="007F63B7">
      <w:pPr>
        <w:spacing w:after="0" w:line="276" w:lineRule="auto"/>
        <w:jc w:val="center"/>
        <w:rPr>
          <w:rFonts w:cs="Times New Roman"/>
          <w:szCs w:val="24"/>
        </w:rPr>
      </w:pPr>
      <w:hyperlink r:id="rId7" w:history="1">
        <w:r w:rsidR="00425D95" w:rsidRPr="00425D95">
          <w:rPr>
            <w:rStyle w:val="Hyperlink"/>
            <w:rFonts w:cs="Times New Roman"/>
            <w:szCs w:val="24"/>
            <w:shd w:val="clear" w:color="auto" w:fill="FFFFFF"/>
          </w:rPr>
          <w:t>ECLI:LV:AT:2023:0113.15840041419.8.L</w:t>
        </w:r>
      </w:hyperlink>
    </w:p>
    <w:p w14:paraId="22EC2A8F" w14:textId="77777777" w:rsidR="007A0EF4" w:rsidRPr="00C13843" w:rsidRDefault="007A0EF4" w:rsidP="00697480">
      <w:pPr>
        <w:spacing w:after="0" w:line="276" w:lineRule="auto"/>
        <w:jc w:val="center"/>
        <w:rPr>
          <w:rFonts w:asciiTheme="majorBidi" w:hAnsiTheme="majorBidi" w:cstheme="majorBidi"/>
          <w:szCs w:val="24"/>
        </w:rPr>
      </w:pPr>
    </w:p>
    <w:p w14:paraId="59296E10" w14:textId="2982AAD9" w:rsidR="007A0EF4" w:rsidRPr="00C13843" w:rsidRDefault="009D2F47" w:rsidP="00697480">
      <w:pPr>
        <w:tabs>
          <w:tab w:val="left" w:pos="6096"/>
        </w:tabs>
        <w:suppressAutoHyphens/>
        <w:spacing w:after="0" w:line="276" w:lineRule="auto"/>
        <w:ind w:firstLine="720"/>
        <w:jc w:val="both"/>
        <w:rPr>
          <w:rFonts w:asciiTheme="majorBidi" w:hAnsiTheme="majorBidi" w:cstheme="majorBidi"/>
          <w:szCs w:val="24"/>
        </w:rPr>
      </w:pPr>
      <w:r w:rsidRPr="00C13843">
        <w:rPr>
          <w:rFonts w:asciiTheme="majorBidi" w:hAnsiTheme="majorBidi" w:cstheme="majorBidi"/>
          <w:szCs w:val="24"/>
        </w:rPr>
        <w:t xml:space="preserve">Senāts </w:t>
      </w:r>
      <w:r w:rsidR="007A0EF4" w:rsidRPr="00C13843">
        <w:rPr>
          <w:rFonts w:asciiTheme="majorBidi" w:hAnsiTheme="majorBidi" w:cstheme="majorBidi"/>
          <w:szCs w:val="24"/>
        </w:rPr>
        <w:t>šādā sastāvā: senator</w:t>
      </w:r>
      <w:r w:rsidR="005C37CD" w:rsidRPr="00C13843">
        <w:rPr>
          <w:rFonts w:asciiTheme="majorBidi" w:hAnsiTheme="majorBidi" w:cstheme="majorBidi"/>
          <w:szCs w:val="24"/>
        </w:rPr>
        <w:t>i</w:t>
      </w:r>
      <w:r w:rsidR="007A0EF4" w:rsidRPr="00C13843">
        <w:rPr>
          <w:rFonts w:asciiTheme="majorBidi" w:hAnsiTheme="majorBidi" w:cstheme="majorBidi"/>
          <w:szCs w:val="24"/>
        </w:rPr>
        <w:t xml:space="preserve"> Inguna Radzeviča, </w:t>
      </w:r>
      <w:r w:rsidR="007336EC" w:rsidRPr="00C13843">
        <w:rPr>
          <w:rFonts w:asciiTheme="majorBidi" w:hAnsiTheme="majorBidi" w:cstheme="majorBidi"/>
          <w:szCs w:val="24"/>
        </w:rPr>
        <w:t>Ivars Bičkovičs</w:t>
      </w:r>
      <w:r w:rsidR="007A0EF4" w:rsidRPr="00C13843">
        <w:rPr>
          <w:rFonts w:asciiTheme="majorBidi" w:hAnsiTheme="majorBidi" w:cstheme="majorBidi"/>
          <w:szCs w:val="24"/>
        </w:rPr>
        <w:t xml:space="preserve">, </w:t>
      </w:r>
      <w:r w:rsidR="007336EC" w:rsidRPr="00C13843">
        <w:rPr>
          <w:rFonts w:asciiTheme="majorBidi" w:hAnsiTheme="majorBidi" w:cstheme="majorBidi"/>
          <w:szCs w:val="24"/>
        </w:rPr>
        <w:t>Aivars Uminskis</w:t>
      </w:r>
      <w:r w:rsidR="007A0EF4" w:rsidRPr="00C13843">
        <w:rPr>
          <w:rFonts w:asciiTheme="majorBidi" w:hAnsiTheme="majorBidi" w:cstheme="majorBidi"/>
          <w:szCs w:val="24"/>
        </w:rPr>
        <w:t>,</w:t>
      </w:r>
    </w:p>
    <w:p w14:paraId="25704BE8" w14:textId="77777777" w:rsidR="007A0EF4" w:rsidRPr="00C13843" w:rsidRDefault="007A0EF4" w:rsidP="00697480">
      <w:pPr>
        <w:tabs>
          <w:tab w:val="left" w:pos="6096"/>
        </w:tabs>
        <w:suppressAutoHyphens/>
        <w:spacing w:after="0" w:line="276" w:lineRule="auto"/>
        <w:ind w:firstLine="720"/>
        <w:jc w:val="both"/>
        <w:rPr>
          <w:rFonts w:asciiTheme="majorBidi" w:eastAsia="Calibri" w:hAnsiTheme="majorBidi" w:cstheme="majorBidi"/>
          <w:szCs w:val="24"/>
        </w:rPr>
      </w:pPr>
    </w:p>
    <w:p w14:paraId="601CD2EE" w14:textId="037C7269" w:rsidR="007A0EF4" w:rsidRPr="00C13843" w:rsidRDefault="007A0EF4" w:rsidP="00697480">
      <w:pPr>
        <w:tabs>
          <w:tab w:val="left" w:pos="6096"/>
        </w:tabs>
        <w:spacing w:after="0" w:line="276" w:lineRule="auto"/>
        <w:ind w:firstLine="720"/>
        <w:jc w:val="both"/>
        <w:rPr>
          <w:rFonts w:asciiTheme="majorBidi" w:hAnsiTheme="majorBidi" w:cstheme="majorBidi"/>
          <w:szCs w:val="24"/>
        </w:rPr>
      </w:pPr>
      <w:r w:rsidRPr="00C13843">
        <w:rPr>
          <w:rFonts w:asciiTheme="majorBidi" w:hAnsiTheme="majorBidi" w:cstheme="majorBidi"/>
          <w:szCs w:val="24"/>
        </w:rPr>
        <w:t>iepazinies ar apsūdzētā</w:t>
      </w:r>
      <w:r w:rsidR="00635DBB" w:rsidRPr="00C13843">
        <w:rPr>
          <w:rFonts w:asciiTheme="majorBidi" w:hAnsiTheme="majorBidi" w:cstheme="majorBidi"/>
          <w:szCs w:val="24"/>
        </w:rPr>
        <w:t xml:space="preserve"> </w:t>
      </w:r>
      <w:r w:rsidR="00425D95">
        <w:rPr>
          <w:rFonts w:asciiTheme="majorBidi" w:hAnsiTheme="majorBidi" w:cstheme="majorBidi"/>
          <w:szCs w:val="24"/>
        </w:rPr>
        <w:t>[pers. A]</w:t>
      </w:r>
      <w:r w:rsidR="007336EC" w:rsidRPr="00C13843">
        <w:rPr>
          <w:rFonts w:asciiTheme="majorBidi" w:hAnsiTheme="majorBidi" w:cstheme="majorBidi"/>
          <w:szCs w:val="24"/>
        </w:rPr>
        <w:t xml:space="preserve"> </w:t>
      </w:r>
      <w:r w:rsidRPr="00C13843">
        <w:rPr>
          <w:rFonts w:asciiTheme="majorBidi" w:hAnsiTheme="majorBidi" w:cstheme="majorBidi"/>
          <w:szCs w:val="24"/>
        </w:rPr>
        <w:t>kasācijas sūdzīb</w:t>
      </w:r>
      <w:r w:rsidR="005C37CD" w:rsidRPr="00C13843">
        <w:rPr>
          <w:rFonts w:asciiTheme="majorBidi" w:hAnsiTheme="majorBidi" w:cstheme="majorBidi"/>
          <w:szCs w:val="24"/>
        </w:rPr>
        <w:t>u par Zemgales</w:t>
      </w:r>
      <w:r w:rsidRPr="00C13843">
        <w:rPr>
          <w:rFonts w:asciiTheme="majorBidi" w:hAnsiTheme="majorBidi" w:cstheme="majorBidi"/>
          <w:szCs w:val="24"/>
        </w:rPr>
        <w:t xml:space="preserve"> apgabaltiesas 2022.</w:t>
      </w:r>
      <w:r w:rsidR="00257E5B" w:rsidRPr="00C13843">
        <w:rPr>
          <w:rFonts w:asciiTheme="majorBidi" w:hAnsiTheme="majorBidi" w:cstheme="majorBidi"/>
          <w:szCs w:val="24"/>
        </w:rPr>
        <w:t> </w:t>
      </w:r>
      <w:r w:rsidRPr="00C13843">
        <w:rPr>
          <w:rFonts w:asciiTheme="majorBidi" w:hAnsiTheme="majorBidi" w:cstheme="majorBidi"/>
          <w:szCs w:val="24"/>
        </w:rPr>
        <w:t xml:space="preserve">gada </w:t>
      </w:r>
      <w:r w:rsidR="00635DBB" w:rsidRPr="00C13843">
        <w:rPr>
          <w:rFonts w:asciiTheme="majorBidi" w:hAnsiTheme="majorBidi" w:cstheme="majorBidi"/>
          <w:szCs w:val="24"/>
        </w:rPr>
        <w:t>1</w:t>
      </w:r>
      <w:r w:rsidR="007336EC" w:rsidRPr="00C13843">
        <w:rPr>
          <w:rFonts w:asciiTheme="majorBidi" w:hAnsiTheme="majorBidi" w:cstheme="majorBidi"/>
          <w:szCs w:val="24"/>
        </w:rPr>
        <w:t>8.</w:t>
      </w:r>
      <w:r w:rsidR="00257E5B" w:rsidRPr="00C13843">
        <w:rPr>
          <w:rFonts w:asciiTheme="majorBidi" w:hAnsiTheme="majorBidi" w:cstheme="majorBidi"/>
          <w:szCs w:val="24"/>
        </w:rPr>
        <w:t> </w:t>
      </w:r>
      <w:r w:rsidR="007336EC" w:rsidRPr="00C13843">
        <w:rPr>
          <w:rFonts w:asciiTheme="majorBidi" w:hAnsiTheme="majorBidi" w:cstheme="majorBidi"/>
          <w:szCs w:val="24"/>
        </w:rPr>
        <w:t>oktobra</w:t>
      </w:r>
      <w:r w:rsidR="005C37CD" w:rsidRPr="00C13843">
        <w:rPr>
          <w:rFonts w:asciiTheme="majorBidi" w:hAnsiTheme="majorBidi" w:cstheme="majorBidi"/>
          <w:szCs w:val="24"/>
        </w:rPr>
        <w:t xml:space="preserve"> lēmumu</w:t>
      </w:r>
      <w:r w:rsidRPr="00C13843">
        <w:rPr>
          <w:rFonts w:asciiTheme="majorBidi" w:hAnsiTheme="majorBidi" w:cstheme="majorBidi"/>
          <w:szCs w:val="24"/>
        </w:rPr>
        <w:t>, atzīst, ka ir pamats atteikt ierosināt kasācijas tiesvedību.</w:t>
      </w:r>
    </w:p>
    <w:p w14:paraId="65AC93B0" w14:textId="54833589" w:rsidR="0035323A" w:rsidRPr="00C13843" w:rsidRDefault="007A0EF4" w:rsidP="00697480">
      <w:pPr>
        <w:tabs>
          <w:tab w:val="left" w:pos="6096"/>
        </w:tabs>
        <w:spacing w:after="0" w:line="276" w:lineRule="auto"/>
        <w:ind w:firstLine="720"/>
        <w:jc w:val="both"/>
        <w:rPr>
          <w:rFonts w:asciiTheme="majorBidi" w:hAnsiTheme="majorBidi" w:cstheme="majorBidi"/>
          <w:szCs w:val="24"/>
        </w:rPr>
      </w:pPr>
      <w:r w:rsidRPr="00C13843">
        <w:rPr>
          <w:rFonts w:asciiTheme="majorBidi" w:hAnsiTheme="majorBidi" w:cstheme="majorBidi"/>
          <w:szCs w:val="24"/>
        </w:rPr>
        <w:t>Saskaņā ar Kriminālprocesa likuma 573.</w:t>
      </w:r>
      <w:r w:rsidRPr="00C13843">
        <w:rPr>
          <w:rFonts w:asciiTheme="majorBidi" w:hAnsiTheme="majorBidi" w:cstheme="majorBidi"/>
          <w:szCs w:val="24"/>
          <w:vertAlign w:val="superscript"/>
        </w:rPr>
        <w:t>1</w:t>
      </w:r>
      <w:r w:rsidR="00257E5B" w:rsidRPr="00C13843">
        <w:rPr>
          <w:rFonts w:asciiTheme="majorBidi" w:hAnsiTheme="majorBidi" w:cstheme="majorBidi"/>
          <w:szCs w:val="24"/>
          <w:vertAlign w:val="superscript"/>
        </w:rPr>
        <w:t> </w:t>
      </w:r>
      <w:r w:rsidRPr="00C13843">
        <w:rPr>
          <w:rFonts w:asciiTheme="majorBidi" w:hAnsiTheme="majorBidi" w:cstheme="majorBidi"/>
          <w:szCs w:val="24"/>
        </w:rPr>
        <w:t>panta pirmo daļu tiesa atsakās ierosināt kasācijas tiesvedību, ja kasācijas sūdzība vai protests neatbilst šā likuma 569., 571., 572.</w:t>
      </w:r>
      <w:r w:rsidR="00257E5B" w:rsidRPr="00C13843">
        <w:rPr>
          <w:rFonts w:asciiTheme="majorBidi" w:hAnsiTheme="majorBidi" w:cstheme="majorBidi"/>
          <w:szCs w:val="24"/>
        </w:rPr>
        <w:t> </w:t>
      </w:r>
      <w:r w:rsidRPr="00C13843">
        <w:rPr>
          <w:rFonts w:asciiTheme="majorBidi" w:hAnsiTheme="majorBidi" w:cstheme="majorBidi"/>
          <w:szCs w:val="24"/>
        </w:rPr>
        <w:t>pantā un 573.</w:t>
      </w:r>
      <w:r w:rsidR="00257E5B" w:rsidRPr="00C13843">
        <w:rPr>
          <w:rFonts w:asciiTheme="majorBidi" w:hAnsiTheme="majorBidi" w:cstheme="majorBidi"/>
          <w:szCs w:val="24"/>
        </w:rPr>
        <w:t> </w:t>
      </w:r>
      <w:r w:rsidRPr="00C13843">
        <w:rPr>
          <w:rFonts w:asciiTheme="majorBidi" w:hAnsiTheme="majorBidi" w:cstheme="majorBidi"/>
          <w:szCs w:val="24"/>
        </w:rPr>
        <w:t>panta pirmajā daļā minētajām prasībām.</w:t>
      </w:r>
    </w:p>
    <w:p w14:paraId="14430FA6" w14:textId="1C5B3F8D" w:rsidR="008D71CA" w:rsidRPr="00C13843" w:rsidRDefault="008D71CA" w:rsidP="00697480">
      <w:pPr>
        <w:spacing w:after="0" w:line="276" w:lineRule="auto"/>
        <w:ind w:firstLine="720"/>
        <w:jc w:val="both"/>
        <w:rPr>
          <w:szCs w:val="24"/>
        </w:rPr>
      </w:pPr>
      <w:r w:rsidRPr="00C13843">
        <w:rPr>
          <w:szCs w:val="24"/>
        </w:rPr>
        <w:t>Atbilstoši Kriminālprocesa likuma 569.</w:t>
      </w:r>
      <w:r w:rsidR="009001FE" w:rsidRPr="00C13843">
        <w:rPr>
          <w:szCs w:val="24"/>
        </w:rPr>
        <w:t> </w:t>
      </w:r>
      <w:r w:rsidRPr="00C13843">
        <w:rPr>
          <w:szCs w:val="24"/>
        </w:rPr>
        <w:t xml:space="preserve">panta pirmajai daļai pārsūdzēšana kasācijas kārtībā ir rakstveida kasācijas protesta vai sūdzības iesniegšana Augstākajā tiesā par tāda apelācijas instances tiesas nolēmuma tiesiskumu, </w:t>
      </w:r>
      <w:proofErr w:type="gramStart"/>
      <w:r w:rsidRPr="00C13843">
        <w:rPr>
          <w:szCs w:val="24"/>
        </w:rPr>
        <w:t>kurš vēl nav stājies spēkā, nolūkā panākt tā atcelšanu pilnībā vai kādā tā daļā</w:t>
      </w:r>
      <w:proofErr w:type="gramEnd"/>
      <w:r w:rsidRPr="00C13843">
        <w:rPr>
          <w:szCs w:val="24"/>
        </w:rPr>
        <w:t xml:space="preserve"> vai arī tā grozīšanu juridisku iemeslu dēļ. Šī panta trešā daļa noteic, ka kasācijas instances tiesa pierādījumus lietā no jauna neizvērtē.</w:t>
      </w:r>
    </w:p>
    <w:p w14:paraId="2F44D963" w14:textId="1D325381" w:rsidR="00C94448" w:rsidRPr="00C13843" w:rsidRDefault="00C94448" w:rsidP="00697480">
      <w:pPr>
        <w:spacing w:after="0" w:line="276" w:lineRule="auto"/>
        <w:ind w:firstLine="720"/>
        <w:jc w:val="both"/>
        <w:rPr>
          <w:szCs w:val="24"/>
        </w:rPr>
      </w:pPr>
      <w:r w:rsidRPr="00C13843">
        <w:rPr>
          <w:szCs w:val="24"/>
        </w:rPr>
        <w:t>Senāts konstatē, ka apsūdzēt</w:t>
      </w:r>
      <w:r w:rsidR="007336EC" w:rsidRPr="00C13843">
        <w:rPr>
          <w:szCs w:val="24"/>
        </w:rPr>
        <w:t xml:space="preserve">ais </w:t>
      </w:r>
      <w:r w:rsidR="00425D95">
        <w:rPr>
          <w:szCs w:val="24"/>
        </w:rPr>
        <w:t>[pers. </w:t>
      </w:r>
      <w:r w:rsidR="00425D95">
        <w:t>A]</w:t>
      </w:r>
      <w:r w:rsidR="007336EC" w:rsidRPr="00C13843">
        <w:rPr>
          <w:szCs w:val="24"/>
        </w:rPr>
        <w:t xml:space="preserve"> </w:t>
      </w:r>
      <w:r w:rsidRPr="00C13843">
        <w:rPr>
          <w:szCs w:val="24"/>
        </w:rPr>
        <w:t xml:space="preserve">kasācijas sūdzībā pamatā atkārtojis apelācijas sūdzības argumentus, kurus apelācijas instances tiesa ir izvērtējusi un </w:t>
      </w:r>
      <w:r w:rsidR="007336EC" w:rsidRPr="00C13843">
        <w:rPr>
          <w:szCs w:val="24"/>
        </w:rPr>
        <w:t>motivēti</w:t>
      </w:r>
      <w:r w:rsidRPr="00C13843">
        <w:rPr>
          <w:szCs w:val="24"/>
        </w:rPr>
        <w:t xml:space="preserve"> noraidījusi.</w:t>
      </w:r>
    </w:p>
    <w:p w14:paraId="59040FC2" w14:textId="416A430D" w:rsidR="009F07D8" w:rsidRPr="00C13843" w:rsidRDefault="00C94448" w:rsidP="00697480">
      <w:pPr>
        <w:spacing w:after="0" w:line="276" w:lineRule="auto"/>
        <w:ind w:firstLine="720"/>
        <w:jc w:val="both"/>
        <w:rPr>
          <w:szCs w:val="24"/>
        </w:rPr>
      </w:pPr>
      <w:r w:rsidRPr="00C13843">
        <w:rPr>
          <w:szCs w:val="24"/>
        </w:rPr>
        <w:t>Apelācijas instances tiesa</w:t>
      </w:r>
      <w:r w:rsidR="00E95BFC" w:rsidRPr="00C13843">
        <w:rPr>
          <w:szCs w:val="24"/>
        </w:rPr>
        <w:t xml:space="preserve">, atkārtoti izvērtējusi lietā iegūtos pierādījumus, atzinusi, ka apsūdzētā </w:t>
      </w:r>
      <w:r w:rsidR="00425D95">
        <w:rPr>
          <w:szCs w:val="24"/>
        </w:rPr>
        <w:t>[pers. </w:t>
      </w:r>
      <w:r w:rsidR="00425D95">
        <w:t>A]</w:t>
      </w:r>
      <w:r w:rsidR="00E95BFC" w:rsidRPr="00C13843">
        <w:rPr>
          <w:szCs w:val="24"/>
        </w:rPr>
        <w:t xml:space="preserve"> vainīgums inkriminētajā noziedzīgajā nodarījumā ir pierādīts ārpus saprātīgām šaubām</w:t>
      </w:r>
      <w:proofErr w:type="gramStart"/>
      <w:r w:rsidR="00E95BFC" w:rsidRPr="00C13843">
        <w:rPr>
          <w:szCs w:val="24"/>
        </w:rPr>
        <w:t xml:space="preserve"> un</w:t>
      </w:r>
      <w:proofErr w:type="gramEnd"/>
      <w:r w:rsidR="00E95BFC" w:rsidRPr="00C13843">
        <w:rPr>
          <w:szCs w:val="24"/>
        </w:rPr>
        <w:t xml:space="preserve"> viņa darbības pareizi kvalificētas pēc Krimināllikuma 190.</w:t>
      </w:r>
      <w:r w:rsidR="00E95BFC" w:rsidRPr="00C13843">
        <w:rPr>
          <w:szCs w:val="24"/>
          <w:vertAlign w:val="superscript"/>
        </w:rPr>
        <w:t>1</w:t>
      </w:r>
      <w:r w:rsidR="00D93EFD" w:rsidRPr="00C13843">
        <w:rPr>
          <w:szCs w:val="24"/>
          <w:vertAlign w:val="superscript"/>
        </w:rPr>
        <w:t> </w:t>
      </w:r>
      <w:r w:rsidR="00E95BFC" w:rsidRPr="00C13843">
        <w:rPr>
          <w:szCs w:val="24"/>
        </w:rPr>
        <w:t>panta otrās daļas.</w:t>
      </w:r>
      <w:r w:rsidR="00085E10" w:rsidRPr="00C13843">
        <w:rPr>
          <w:szCs w:val="24"/>
        </w:rPr>
        <w:t xml:space="preserve"> </w:t>
      </w:r>
      <w:r w:rsidR="00E95BFC" w:rsidRPr="00C13843">
        <w:rPr>
          <w:szCs w:val="24"/>
        </w:rPr>
        <w:t xml:space="preserve">Pamatojoties uz lietā iegūtajiem pierādījumiem, tai skaitā paša apsūdzētā </w:t>
      </w:r>
      <w:r w:rsidR="00425D95">
        <w:rPr>
          <w:szCs w:val="24"/>
        </w:rPr>
        <w:t>[pers. A]</w:t>
      </w:r>
      <w:r w:rsidR="00E95BFC" w:rsidRPr="00C13843">
        <w:rPr>
          <w:szCs w:val="24"/>
        </w:rPr>
        <w:t xml:space="preserve"> pirmstiesas kriminālprocesa laikā sniegtajām liecībām, apelācijas instances tiesa</w:t>
      </w:r>
      <w:r w:rsidR="005608E1" w:rsidRPr="00C13843">
        <w:rPr>
          <w:szCs w:val="24"/>
        </w:rPr>
        <w:t xml:space="preserve"> konstatējusi</w:t>
      </w:r>
      <w:r w:rsidR="00E95BFC" w:rsidRPr="00C13843">
        <w:rPr>
          <w:szCs w:val="24"/>
        </w:rPr>
        <w:t>, ka</w:t>
      </w:r>
      <w:r w:rsidR="005608E1" w:rsidRPr="00C13843">
        <w:rPr>
          <w:szCs w:val="24"/>
        </w:rPr>
        <w:t xml:space="preserve"> apsūdzētais nolūkā saņemt no Nīderlandes Karalistes narkotisko un psihotropo vielu, </w:t>
      </w:r>
      <w:r w:rsidR="000D45B4" w:rsidRPr="00C13843">
        <w:rPr>
          <w:szCs w:val="24"/>
        </w:rPr>
        <w:t xml:space="preserve">mobilā </w:t>
      </w:r>
      <w:r w:rsidR="005608E1" w:rsidRPr="00C13843">
        <w:rPr>
          <w:szCs w:val="24"/>
        </w:rPr>
        <w:t>telefona</w:t>
      </w:r>
      <w:r w:rsidR="000D45B4" w:rsidRPr="00C13843">
        <w:rPr>
          <w:szCs w:val="24"/>
        </w:rPr>
        <w:t xml:space="preserve"> lietotnē</w:t>
      </w:r>
      <w:r w:rsidR="005608E1" w:rsidRPr="00C13843">
        <w:rPr>
          <w:szCs w:val="24"/>
        </w:rPr>
        <w:t xml:space="preserve"> </w:t>
      </w:r>
      <w:r w:rsidR="00D93EFD" w:rsidRPr="00C13843">
        <w:rPr>
          <w:rFonts w:cs="Times New Roman"/>
          <w:szCs w:val="24"/>
        </w:rPr>
        <w:t>„</w:t>
      </w:r>
      <w:r w:rsidR="005608E1" w:rsidRPr="00C13843">
        <w:rPr>
          <w:szCs w:val="24"/>
        </w:rPr>
        <w:t>Telegram” sazin</w:t>
      </w:r>
      <w:r w:rsidR="00E03977" w:rsidRPr="00C13843">
        <w:rPr>
          <w:szCs w:val="24"/>
        </w:rPr>
        <w:t xml:space="preserve">ājās ar izmeklēšanā nenoskaidrotu personu </w:t>
      </w:r>
      <w:r w:rsidR="00596278" w:rsidRPr="00C13843">
        <w:rPr>
          <w:szCs w:val="24"/>
        </w:rPr>
        <w:t xml:space="preserve">Nīderlandes Karalistē un veica narkotiskās un psihotropās vielas pasūtījumu ar piegādi uz Latviju, samaksājot par to </w:t>
      </w:r>
      <w:r w:rsidR="00F348F9" w:rsidRPr="00C13843">
        <w:rPr>
          <w:szCs w:val="24"/>
        </w:rPr>
        <w:t xml:space="preserve">digitālo </w:t>
      </w:r>
      <w:r w:rsidR="00596278" w:rsidRPr="00C13843">
        <w:rPr>
          <w:szCs w:val="24"/>
        </w:rPr>
        <w:t>valūtu 0,7</w:t>
      </w:r>
      <w:r w:rsidR="00FB57F7" w:rsidRPr="00C13843">
        <w:rPr>
          <w:szCs w:val="24"/>
        </w:rPr>
        <w:t> </w:t>
      </w:r>
      <w:r w:rsidR="00850C00" w:rsidRPr="00C13843">
        <w:rPr>
          <w:szCs w:val="24"/>
        </w:rPr>
        <w:t>bitkoin</w:t>
      </w:r>
      <w:r w:rsidR="00705282" w:rsidRPr="00C13843">
        <w:rPr>
          <w:szCs w:val="24"/>
        </w:rPr>
        <w:t>us</w:t>
      </w:r>
      <w:r w:rsidR="00596278" w:rsidRPr="00C13843">
        <w:rPr>
          <w:szCs w:val="24"/>
        </w:rPr>
        <w:t xml:space="preserve">, bet pēc tam ar </w:t>
      </w:r>
      <w:r w:rsidR="00085E10" w:rsidRPr="00C13843">
        <w:rPr>
          <w:szCs w:val="24"/>
        </w:rPr>
        <w:t xml:space="preserve">sludinājumu portāla </w:t>
      </w:r>
      <w:proofErr w:type="spellStart"/>
      <w:r w:rsidR="00596278" w:rsidRPr="00697480">
        <w:rPr>
          <w:szCs w:val="24"/>
        </w:rPr>
        <w:t>ss.lv</w:t>
      </w:r>
      <w:proofErr w:type="spellEnd"/>
      <w:r w:rsidR="00596278" w:rsidRPr="00C13843">
        <w:rPr>
          <w:i/>
          <w:iCs/>
          <w:szCs w:val="24"/>
        </w:rPr>
        <w:t xml:space="preserve"> </w:t>
      </w:r>
      <w:r w:rsidR="00596278" w:rsidRPr="00C13843">
        <w:rPr>
          <w:szCs w:val="24"/>
        </w:rPr>
        <w:t>starpniecību</w:t>
      </w:r>
      <w:r w:rsidR="000D45B4" w:rsidRPr="00C13843">
        <w:rPr>
          <w:szCs w:val="24"/>
        </w:rPr>
        <w:t xml:space="preserve"> sameklēja kurjerdienestu un vienojās par sūtījuma nogādāšanu no Nīderlandes Karalistes un Latviju, </w:t>
      </w:r>
      <w:r w:rsidR="000D45B4" w:rsidRPr="00C13843">
        <w:rPr>
          <w:szCs w:val="24"/>
        </w:rPr>
        <w:lastRenderedPageBreak/>
        <w:t>samaksājot par pakalpojumu 30</w:t>
      </w:r>
      <w:r w:rsidR="00BB052F" w:rsidRPr="00C13843">
        <w:rPr>
          <w:szCs w:val="24"/>
        </w:rPr>
        <w:t> </w:t>
      </w:r>
      <w:r w:rsidR="000D45B4" w:rsidRPr="00C13843">
        <w:rPr>
          <w:i/>
          <w:iCs/>
          <w:szCs w:val="24"/>
        </w:rPr>
        <w:t>euro</w:t>
      </w:r>
      <w:r w:rsidR="00085E10" w:rsidRPr="00C13843">
        <w:rPr>
          <w:szCs w:val="24"/>
        </w:rPr>
        <w:t xml:space="preserve">, savukārt pēc sūtījuma saņemšanas Latvijā </w:t>
      </w:r>
      <w:r w:rsidR="00425D95">
        <w:rPr>
          <w:szCs w:val="24"/>
        </w:rPr>
        <w:t>[pers. A]</w:t>
      </w:r>
      <w:r w:rsidR="00085E10" w:rsidRPr="00C13843">
        <w:rPr>
          <w:szCs w:val="24"/>
        </w:rPr>
        <w:t xml:space="preserve"> tika aizturēts.</w:t>
      </w:r>
    </w:p>
    <w:p w14:paraId="1DA92C9B" w14:textId="56B50AEB" w:rsidR="0072154F" w:rsidRPr="00C13843" w:rsidRDefault="009F07D8" w:rsidP="00697480">
      <w:pPr>
        <w:spacing w:after="0" w:line="276" w:lineRule="auto"/>
        <w:ind w:firstLine="720"/>
        <w:jc w:val="both"/>
        <w:rPr>
          <w:szCs w:val="24"/>
        </w:rPr>
      </w:pPr>
      <w:r w:rsidRPr="00C13843">
        <w:rPr>
          <w:szCs w:val="24"/>
        </w:rPr>
        <w:t xml:space="preserve">Apelācijas instances tiesa atzinusi, ka apsūdzētā </w:t>
      </w:r>
      <w:r w:rsidR="00425D95">
        <w:rPr>
          <w:szCs w:val="24"/>
        </w:rPr>
        <w:t>[pers. A]</w:t>
      </w:r>
      <w:r w:rsidRPr="00C13843">
        <w:rPr>
          <w:szCs w:val="24"/>
        </w:rPr>
        <w:t xml:space="preserve"> pirmstiesas kriminālprocesa laikā sniegtās liecības, kurās viņš atzina savu vainīgumu narkotiskās un psihotropās vielas pārvietošanā pāri Latvijas Republikas valsts robežai un detalizēti izklāstīja inkriminētā noziedzīgā nodarījuma apstākļus, ir ticamas, jo tās apstiprina citi lietā iegūtie pierādījumi</w:t>
      </w:r>
      <w:r w:rsidR="0072154F" w:rsidRPr="00C13843">
        <w:rPr>
          <w:szCs w:val="24"/>
        </w:rPr>
        <w:t xml:space="preserve">, un </w:t>
      </w:r>
      <w:r w:rsidRPr="00C13843">
        <w:rPr>
          <w:szCs w:val="24"/>
        </w:rPr>
        <w:t>argumentēti noraidījusi aizstāvības apgalvojumus par to, ka vaļsirdīgo atzīšanos un citas liecības pirmstiesas kriminālprocesa laikā apsūdzētais sniedzis policijas darbi</w:t>
      </w:r>
      <w:r w:rsidR="0072154F" w:rsidRPr="00C13843">
        <w:rPr>
          <w:szCs w:val="24"/>
        </w:rPr>
        <w:t>n</w:t>
      </w:r>
      <w:r w:rsidRPr="00C13843">
        <w:rPr>
          <w:szCs w:val="24"/>
        </w:rPr>
        <w:t>ieku prettiesisk</w:t>
      </w:r>
      <w:r w:rsidR="0072154F" w:rsidRPr="00C13843">
        <w:rPr>
          <w:szCs w:val="24"/>
        </w:rPr>
        <w:t>ā ietekmē.</w:t>
      </w:r>
    </w:p>
    <w:p w14:paraId="4B2BF2AB" w14:textId="567A4929" w:rsidR="009B6AA5" w:rsidRPr="00C13843" w:rsidRDefault="008A44DF" w:rsidP="00697480">
      <w:pPr>
        <w:spacing w:after="0" w:line="276" w:lineRule="auto"/>
        <w:ind w:firstLine="720"/>
        <w:jc w:val="both"/>
        <w:rPr>
          <w:szCs w:val="24"/>
        </w:rPr>
      </w:pPr>
      <w:r w:rsidRPr="00C13843">
        <w:rPr>
          <w:szCs w:val="24"/>
        </w:rPr>
        <w:t>Izvērtējusi apsūdzētā argumentus par to, ka viņš pats narkotisko un psihotropo vielu nav pārvietojis pāri Latvijas Republikas valsts robežai, apelācijas instances tiesa, atsaucoties uz lietā iegūtajiem pierādījumiem un juridiskajā literatūrā paustajām atziņām, norādījusi, ka apsūdzētā darbībās ir Krimināllikuma 190.</w:t>
      </w:r>
      <w:r w:rsidRPr="00C13843">
        <w:rPr>
          <w:szCs w:val="24"/>
          <w:vertAlign w:val="superscript"/>
        </w:rPr>
        <w:t>1</w:t>
      </w:r>
      <w:r w:rsidR="001F1B37">
        <w:rPr>
          <w:szCs w:val="24"/>
          <w:vertAlign w:val="superscript"/>
        </w:rPr>
        <w:t> </w:t>
      </w:r>
      <w:r w:rsidRPr="00C13843">
        <w:rPr>
          <w:szCs w:val="24"/>
        </w:rPr>
        <w:t xml:space="preserve">pantā paredzētā noziedzīgā nodarījuma sastāvs, jo tieši apsūdzētais ir veicis visu nepieciešamo darbību kopumu, lai sūtījums ar narkotisko un psihotropo vielu </w:t>
      </w:r>
      <w:r w:rsidR="00815B7A" w:rsidRPr="00C13843">
        <w:rPr>
          <w:szCs w:val="24"/>
        </w:rPr>
        <w:t xml:space="preserve">no Nīderlandes Karalistes nonāktu pie viņa Latvijā, tādēļ tam faktam, ka aizliegtās vielas somā Nīderlandes Karalistē ievietojusi cita persona un fiziski pāri Latvijas </w:t>
      </w:r>
      <w:r w:rsidR="00F14444">
        <w:rPr>
          <w:szCs w:val="24"/>
        </w:rPr>
        <w:t>v</w:t>
      </w:r>
      <w:r w:rsidR="00815B7A" w:rsidRPr="00C13843">
        <w:rPr>
          <w:szCs w:val="24"/>
        </w:rPr>
        <w:t>alsts robežai pārvietojis kurjerdienesta darbinieks, nav būtiskas nozīmes noziedzīgā nodarījuma kvalifikācijā.</w:t>
      </w:r>
    </w:p>
    <w:p w14:paraId="129C8DE3" w14:textId="179F4DB0" w:rsidR="00CA7501" w:rsidRPr="00C13843" w:rsidRDefault="0072154F" w:rsidP="00697480">
      <w:pPr>
        <w:spacing w:after="0" w:line="276" w:lineRule="auto"/>
        <w:ind w:firstLine="720"/>
        <w:jc w:val="both"/>
        <w:rPr>
          <w:szCs w:val="24"/>
        </w:rPr>
      </w:pPr>
      <w:r w:rsidRPr="00C13843">
        <w:rPr>
          <w:szCs w:val="24"/>
        </w:rPr>
        <w:t xml:space="preserve">Apelācijas instances tiesa ir izvērtējusi apsūdzētā </w:t>
      </w:r>
      <w:r w:rsidR="00425D95">
        <w:rPr>
          <w:szCs w:val="24"/>
        </w:rPr>
        <w:t>[pers. </w:t>
      </w:r>
      <w:r w:rsidR="00425D95">
        <w:t>A]</w:t>
      </w:r>
      <w:r w:rsidRPr="00C13843">
        <w:rPr>
          <w:szCs w:val="24"/>
        </w:rPr>
        <w:t xml:space="preserve"> </w:t>
      </w:r>
      <w:r w:rsidR="008A44DF" w:rsidRPr="00C13843">
        <w:rPr>
          <w:szCs w:val="24"/>
        </w:rPr>
        <w:t xml:space="preserve">aizstāvja tiesas sēdē </w:t>
      </w:r>
      <w:r w:rsidRPr="00C13843">
        <w:rPr>
          <w:szCs w:val="24"/>
        </w:rPr>
        <w:t>norādītos un kasācijas sūdzībā atkārtotos argumentus</w:t>
      </w:r>
      <w:r w:rsidR="00815B7A" w:rsidRPr="00C13843">
        <w:rPr>
          <w:szCs w:val="24"/>
        </w:rPr>
        <w:t xml:space="preserve"> par izmeklētāja </w:t>
      </w:r>
      <w:r w:rsidR="00425D95">
        <w:rPr>
          <w:szCs w:val="24"/>
        </w:rPr>
        <w:t>[pers. B]</w:t>
      </w:r>
      <w:r w:rsidR="00815B7A" w:rsidRPr="00C13843">
        <w:rPr>
          <w:szCs w:val="24"/>
        </w:rPr>
        <w:t xml:space="preserve"> </w:t>
      </w:r>
      <w:r w:rsidR="00EB3254" w:rsidRPr="00C13843">
        <w:rPr>
          <w:szCs w:val="24"/>
        </w:rPr>
        <w:t>2019.</w:t>
      </w:r>
      <w:r w:rsidR="00550B5D">
        <w:rPr>
          <w:szCs w:val="24"/>
        </w:rPr>
        <w:t> </w:t>
      </w:r>
      <w:r w:rsidR="00EB3254" w:rsidRPr="00C13843">
        <w:rPr>
          <w:szCs w:val="24"/>
        </w:rPr>
        <w:t>gada 21.</w:t>
      </w:r>
      <w:r w:rsidR="00550B5D">
        <w:rPr>
          <w:szCs w:val="24"/>
        </w:rPr>
        <w:t> </w:t>
      </w:r>
      <w:r w:rsidR="00EB3254" w:rsidRPr="00C13843">
        <w:rPr>
          <w:szCs w:val="24"/>
        </w:rPr>
        <w:t xml:space="preserve">aprīlī veiktās vielu apskates tiesiskumu un atzinusi, ka vielu apskate bija objektīvi nepieciešama, </w:t>
      </w:r>
      <w:r w:rsidR="00FE6595" w:rsidRPr="00C13843">
        <w:rPr>
          <w:szCs w:val="24"/>
        </w:rPr>
        <w:t xml:space="preserve">tā veikta uzsāktā kriminālprocesa ietvaros, ievērojot Kriminālprocesa likuma normu prasības, </w:t>
      </w:r>
      <w:r w:rsidR="00EB3254" w:rsidRPr="00C13843">
        <w:rPr>
          <w:szCs w:val="24"/>
        </w:rPr>
        <w:t xml:space="preserve">līdz ar to nav pamata apšaubīt, ka ekspertīzei izmeklētājs nosūtījis tieši tās vielas, kas izņemtas </w:t>
      </w:r>
      <w:r w:rsidR="00FE6595" w:rsidRPr="00C13843">
        <w:rPr>
          <w:szCs w:val="24"/>
        </w:rPr>
        <w:t>kurjera nodotajā somā un fiksētas 2019.</w:t>
      </w:r>
      <w:r w:rsidR="00550B5D">
        <w:rPr>
          <w:szCs w:val="24"/>
        </w:rPr>
        <w:t> </w:t>
      </w:r>
      <w:r w:rsidR="00FE6595" w:rsidRPr="00C13843">
        <w:rPr>
          <w:szCs w:val="24"/>
        </w:rPr>
        <w:t>gada 20.</w:t>
      </w:r>
      <w:r w:rsidR="00367009">
        <w:rPr>
          <w:szCs w:val="24"/>
        </w:rPr>
        <w:t> </w:t>
      </w:r>
      <w:r w:rsidR="00FE6595" w:rsidRPr="00C13843">
        <w:rPr>
          <w:szCs w:val="24"/>
        </w:rPr>
        <w:t>aprīlī sastādītajā pārbaudes aktā.</w:t>
      </w:r>
    </w:p>
    <w:p w14:paraId="4C7DA48C" w14:textId="200C8C6D" w:rsidR="007800B9" w:rsidRPr="00C13843" w:rsidRDefault="00C75097" w:rsidP="00697480">
      <w:pPr>
        <w:spacing w:after="0" w:line="276" w:lineRule="auto"/>
        <w:ind w:firstLine="720"/>
        <w:jc w:val="both"/>
        <w:rPr>
          <w:rFonts w:asciiTheme="majorBidi" w:hAnsiTheme="majorBidi" w:cstheme="majorBidi"/>
          <w:szCs w:val="24"/>
        </w:rPr>
      </w:pPr>
      <w:r w:rsidRPr="00C13843">
        <w:rPr>
          <w:rFonts w:asciiTheme="majorBidi" w:hAnsiTheme="majorBidi" w:cstheme="majorBidi"/>
          <w:szCs w:val="24"/>
        </w:rPr>
        <w:t xml:space="preserve">Ievērojot minēto, Senāts atzīst, ka </w:t>
      </w:r>
      <w:r w:rsidR="008E603C" w:rsidRPr="00C13843">
        <w:rPr>
          <w:rFonts w:asciiTheme="majorBidi" w:hAnsiTheme="majorBidi" w:cstheme="majorBidi"/>
          <w:szCs w:val="24"/>
        </w:rPr>
        <w:t>apsūdzēt</w:t>
      </w:r>
      <w:r w:rsidR="006547B5" w:rsidRPr="00C13843">
        <w:rPr>
          <w:rFonts w:asciiTheme="majorBidi" w:hAnsiTheme="majorBidi" w:cstheme="majorBidi"/>
          <w:szCs w:val="24"/>
        </w:rPr>
        <w:t xml:space="preserve">ā </w:t>
      </w:r>
      <w:r w:rsidR="00425D95">
        <w:rPr>
          <w:rFonts w:asciiTheme="majorBidi" w:hAnsiTheme="majorBidi" w:cstheme="majorBidi"/>
          <w:szCs w:val="24"/>
        </w:rPr>
        <w:t>[pers. </w:t>
      </w:r>
      <w:r w:rsidR="00425D95">
        <w:t>A]</w:t>
      </w:r>
      <w:r w:rsidR="00FE6595" w:rsidRPr="00C13843">
        <w:rPr>
          <w:rFonts w:asciiTheme="majorBidi" w:hAnsiTheme="majorBidi" w:cstheme="majorBidi"/>
          <w:szCs w:val="24"/>
        </w:rPr>
        <w:t xml:space="preserve"> </w:t>
      </w:r>
      <w:r w:rsidR="008E603C" w:rsidRPr="00C13843">
        <w:rPr>
          <w:rFonts w:asciiTheme="majorBidi" w:hAnsiTheme="majorBidi" w:cstheme="majorBidi"/>
          <w:szCs w:val="24"/>
        </w:rPr>
        <w:t>kasācijas</w:t>
      </w:r>
      <w:r w:rsidRPr="00C13843">
        <w:rPr>
          <w:rFonts w:asciiTheme="majorBidi" w:hAnsiTheme="majorBidi" w:cstheme="majorBidi"/>
          <w:szCs w:val="24"/>
        </w:rPr>
        <w:t xml:space="preserve"> sūdzīb</w:t>
      </w:r>
      <w:r w:rsidR="006547B5" w:rsidRPr="00C13843">
        <w:rPr>
          <w:rFonts w:asciiTheme="majorBidi" w:hAnsiTheme="majorBidi" w:cstheme="majorBidi"/>
          <w:szCs w:val="24"/>
        </w:rPr>
        <w:t>as</w:t>
      </w:r>
      <w:r w:rsidRPr="00C13843">
        <w:rPr>
          <w:rFonts w:asciiTheme="majorBidi" w:hAnsiTheme="majorBidi" w:cstheme="majorBidi"/>
          <w:szCs w:val="24"/>
        </w:rPr>
        <w:t xml:space="preserve"> argumenti</w:t>
      </w:r>
      <w:r w:rsidR="006547B5" w:rsidRPr="00C13843">
        <w:rPr>
          <w:rFonts w:asciiTheme="majorBidi" w:hAnsiTheme="majorBidi" w:cstheme="majorBidi"/>
          <w:szCs w:val="24"/>
        </w:rPr>
        <w:t xml:space="preserve"> šajā daļā</w:t>
      </w:r>
      <w:r w:rsidRPr="00C13843">
        <w:rPr>
          <w:rFonts w:asciiTheme="majorBidi" w:hAnsiTheme="majorBidi" w:cstheme="majorBidi"/>
          <w:szCs w:val="24"/>
        </w:rPr>
        <w:t xml:space="preserve"> </w:t>
      </w:r>
      <w:r w:rsidR="00625F14" w:rsidRPr="00C13843">
        <w:rPr>
          <w:rFonts w:asciiTheme="majorBidi" w:hAnsiTheme="majorBidi" w:cstheme="majorBidi"/>
          <w:szCs w:val="24"/>
        </w:rPr>
        <w:t xml:space="preserve">kopumā </w:t>
      </w:r>
      <w:r w:rsidRPr="00C13843">
        <w:rPr>
          <w:rFonts w:asciiTheme="majorBidi" w:hAnsiTheme="majorBidi" w:cstheme="majorBidi"/>
          <w:szCs w:val="24"/>
        </w:rPr>
        <w:t xml:space="preserve">pamatoti ar </w:t>
      </w:r>
      <w:r w:rsidR="008E603C" w:rsidRPr="00C13843">
        <w:rPr>
          <w:rFonts w:asciiTheme="majorBidi" w:hAnsiTheme="majorBidi" w:cstheme="majorBidi"/>
          <w:szCs w:val="24"/>
        </w:rPr>
        <w:t>viņ</w:t>
      </w:r>
      <w:r w:rsidR="006547B5" w:rsidRPr="00C13843">
        <w:rPr>
          <w:rFonts w:asciiTheme="majorBidi" w:hAnsiTheme="majorBidi" w:cstheme="majorBidi"/>
          <w:szCs w:val="24"/>
        </w:rPr>
        <w:t>a</w:t>
      </w:r>
      <w:r w:rsidRPr="00C13843">
        <w:rPr>
          <w:rFonts w:asciiTheme="majorBidi" w:hAnsiTheme="majorBidi" w:cstheme="majorBidi"/>
          <w:szCs w:val="24"/>
        </w:rPr>
        <w:t xml:space="preserve"> atšķirīgo viedokli par lietā iegūto pierādījumu </w:t>
      </w:r>
      <w:r w:rsidR="002F497E" w:rsidRPr="00C13843">
        <w:rPr>
          <w:rFonts w:asciiTheme="majorBidi" w:hAnsiTheme="majorBidi" w:cstheme="majorBidi"/>
          <w:szCs w:val="24"/>
        </w:rPr>
        <w:t>ticamību</w:t>
      </w:r>
      <w:proofErr w:type="gramStart"/>
      <w:r w:rsidR="006547B5" w:rsidRPr="00C13843">
        <w:rPr>
          <w:rFonts w:asciiTheme="majorBidi" w:hAnsiTheme="majorBidi" w:cstheme="majorBidi"/>
          <w:szCs w:val="24"/>
        </w:rPr>
        <w:t xml:space="preserve"> un</w:t>
      </w:r>
      <w:proofErr w:type="gramEnd"/>
      <w:r w:rsidR="006547B5" w:rsidRPr="00C13843">
        <w:rPr>
          <w:rFonts w:asciiTheme="majorBidi" w:hAnsiTheme="majorBidi" w:cstheme="majorBidi"/>
          <w:szCs w:val="24"/>
        </w:rPr>
        <w:t xml:space="preserve"> pietiekamību</w:t>
      </w:r>
      <w:r w:rsidR="00B15370" w:rsidRPr="00C13843">
        <w:rPr>
          <w:rFonts w:asciiTheme="majorBidi" w:hAnsiTheme="majorBidi" w:cstheme="majorBidi"/>
          <w:szCs w:val="24"/>
        </w:rPr>
        <w:t xml:space="preserve">, </w:t>
      </w:r>
      <w:r w:rsidR="00B15370" w:rsidRPr="00C13843">
        <w:rPr>
          <w:szCs w:val="24"/>
        </w:rPr>
        <w:t>savukārt lietā iegūto pierādījumu izvērtēšanu atbilstoši likumam</w:t>
      </w:r>
      <w:r w:rsidR="00B15370" w:rsidRPr="00C13843">
        <w:rPr>
          <w:rFonts w:asciiTheme="majorBidi" w:hAnsiTheme="majorBidi" w:cstheme="majorBidi"/>
          <w:szCs w:val="24"/>
        </w:rPr>
        <w:t xml:space="preserve"> </w:t>
      </w:r>
      <w:r w:rsidRPr="00C13843">
        <w:rPr>
          <w:rFonts w:asciiTheme="majorBidi" w:hAnsiTheme="majorBidi" w:cstheme="majorBidi"/>
          <w:szCs w:val="24"/>
        </w:rPr>
        <w:t xml:space="preserve">veic tā tiesa, kas izskata lietu pēc būtības. Senāts konstatē, ka </w:t>
      </w:r>
      <w:r w:rsidR="00B31632" w:rsidRPr="00C13843">
        <w:rPr>
          <w:rFonts w:asciiTheme="majorBidi" w:hAnsiTheme="majorBidi" w:cstheme="majorBidi"/>
          <w:szCs w:val="24"/>
        </w:rPr>
        <w:t>a</w:t>
      </w:r>
      <w:r w:rsidR="00FE6595" w:rsidRPr="00C13843">
        <w:rPr>
          <w:rFonts w:asciiTheme="majorBidi" w:hAnsiTheme="majorBidi" w:cstheme="majorBidi"/>
          <w:szCs w:val="24"/>
        </w:rPr>
        <w:t xml:space="preserve">psūdzētā </w:t>
      </w:r>
      <w:r w:rsidRPr="00C13843">
        <w:rPr>
          <w:rFonts w:asciiTheme="majorBidi" w:hAnsiTheme="majorBidi" w:cstheme="majorBidi"/>
          <w:szCs w:val="24"/>
        </w:rPr>
        <w:t>kasācijas sūdzīb</w:t>
      </w:r>
      <w:r w:rsidR="006547B5" w:rsidRPr="00C13843">
        <w:rPr>
          <w:rFonts w:asciiTheme="majorBidi" w:hAnsiTheme="majorBidi" w:cstheme="majorBidi"/>
          <w:szCs w:val="24"/>
        </w:rPr>
        <w:t>as</w:t>
      </w:r>
      <w:r w:rsidR="002F497E" w:rsidRPr="00C13843">
        <w:rPr>
          <w:rFonts w:asciiTheme="majorBidi" w:hAnsiTheme="majorBidi" w:cstheme="majorBidi"/>
          <w:szCs w:val="24"/>
        </w:rPr>
        <w:t xml:space="preserve"> argumenti</w:t>
      </w:r>
      <w:r w:rsidRPr="00C13843">
        <w:rPr>
          <w:rFonts w:asciiTheme="majorBidi" w:hAnsiTheme="majorBidi" w:cstheme="majorBidi"/>
          <w:szCs w:val="24"/>
        </w:rPr>
        <w:t xml:space="preserve"> faktiski pauž sūdzības iesniedzēj</w:t>
      </w:r>
      <w:r w:rsidR="006547B5" w:rsidRPr="00C13843">
        <w:rPr>
          <w:rFonts w:asciiTheme="majorBidi" w:hAnsiTheme="majorBidi" w:cstheme="majorBidi"/>
          <w:szCs w:val="24"/>
        </w:rPr>
        <w:t>a</w:t>
      </w:r>
      <w:r w:rsidRPr="00C13843">
        <w:rPr>
          <w:rFonts w:asciiTheme="majorBidi" w:hAnsiTheme="majorBidi" w:cstheme="majorBidi"/>
          <w:szCs w:val="24"/>
        </w:rPr>
        <w:t xml:space="preserve">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w:t>
      </w:r>
      <w:r w:rsidR="00196E98">
        <w:rPr>
          <w:rFonts w:asciiTheme="majorBidi" w:hAnsiTheme="majorBidi" w:cstheme="majorBidi"/>
          <w:szCs w:val="24"/>
        </w:rPr>
        <w:t> </w:t>
      </w:r>
      <w:r w:rsidRPr="00C13843">
        <w:rPr>
          <w:rFonts w:asciiTheme="majorBidi" w:hAnsiTheme="majorBidi" w:cstheme="majorBidi"/>
          <w:szCs w:val="24"/>
        </w:rPr>
        <w:t>panta pirmo daļu</w:t>
      </w:r>
      <w:r w:rsidR="00625F14" w:rsidRPr="00C13843">
        <w:rPr>
          <w:rFonts w:asciiTheme="majorBidi" w:hAnsiTheme="majorBidi" w:cstheme="majorBidi"/>
          <w:szCs w:val="24"/>
        </w:rPr>
        <w:t>.</w:t>
      </w:r>
    </w:p>
    <w:p w14:paraId="103802D8" w14:textId="4FAA5808" w:rsidR="007800B9" w:rsidRPr="00C13843" w:rsidRDefault="007800B9" w:rsidP="00697480">
      <w:pPr>
        <w:spacing w:after="0" w:line="276" w:lineRule="auto"/>
        <w:ind w:firstLine="720"/>
        <w:jc w:val="both"/>
        <w:rPr>
          <w:szCs w:val="24"/>
        </w:rPr>
      </w:pPr>
      <w:r w:rsidRPr="00C13843">
        <w:rPr>
          <w:szCs w:val="24"/>
        </w:rPr>
        <w:t>Atbilstoši Kriminālprocesa likuma 572.</w:t>
      </w:r>
      <w:r w:rsidR="00196E98">
        <w:rPr>
          <w:szCs w:val="24"/>
        </w:rPr>
        <w:t> </w:t>
      </w:r>
      <w:r w:rsidRPr="00C13843">
        <w:rPr>
          <w:szCs w:val="24"/>
        </w:rPr>
        <w:t xml:space="preserve">pantam kasācijas sūdzībā jāiekļauj tajā izteikto prasību pamatojums ar norādi uz </w:t>
      </w:r>
      <w:hyperlink r:id="rId8" w:tgtFrame="_blank" w:history="1">
        <w:r w:rsidRPr="00C13843">
          <w:rPr>
            <w:rStyle w:val="Hyperlink"/>
            <w:color w:val="000000" w:themeColor="text1"/>
            <w:szCs w:val="24"/>
            <w:u w:val="none"/>
          </w:rPr>
          <w:t>Krimināllikuma</w:t>
        </w:r>
      </w:hyperlink>
      <w:r w:rsidRPr="00C13843">
        <w:rPr>
          <w:szCs w:val="24"/>
        </w:rPr>
        <w:t xml:space="preserve"> pārkāpumu vai šā likuma normu būtisku pārkāpumu, kā arī motivēts lūgums par lietas skatīšanu mutvārdu procesā tiesas sēdē, ja sūdzības vai protesta iesniedzējs to vēlas.</w:t>
      </w:r>
    </w:p>
    <w:p w14:paraId="4FD1BFE1" w14:textId="5698F506" w:rsidR="007800B9" w:rsidRPr="00C13843" w:rsidRDefault="007800B9" w:rsidP="00697480">
      <w:pPr>
        <w:spacing w:after="0" w:line="276" w:lineRule="auto"/>
        <w:ind w:firstLine="720"/>
        <w:jc w:val="both"/>
        <w:rPr>
          <w:szCs w:val="24"/>
        </w:rPr>
      </w:pPr>
      <w:r w:rsidRPr="00C13843">
        <w:rPr>
          <w:szCs w:val="24"/>
        </w:rPr>
        <w:t xml:space="preserve">Senāts konstatē, ka apsūdzētā </w:t>
      </w:r>
      <w:r w:rsidR="00425D95">
        <w:rPr>
          <w:szCs w:val="24"/>
        </w:rPr>
        <w:t>[pers. A]</w:t>
      </w:r>
      <w:r w:rsidRPr="00C13843">
        <w:rPr>
          <w:szCs w:val="24"/>
        </w:rPr>
        <w:t xml:space="preserve"> kasācijas sūdzība daļā par apsūdzētā un kopā ar viņu esošo personu aizturēšanu un daļā </w:t>
      </w:r>
      <w:r w:rsidR="00393CB5">
        <w:rPr>
          <w:szCs w:val="24"/>
        </w:rPr>
        <w:t xml:space="preserve">par </w:t>
      </w:r>
      <w:r w:rsidRPr="00C13843">
        <w:rPr>
          <w:szCs w:val="24"/>
        </w:rPr>
        <w:t>pārbaudes akta Nr. 0032-19 saturu neatbilst Kriminālprocesa likuma 572.</w:t>
      </w:r>
      <w:r w:rsidR="00C31C31">
        <w:rPr>
          <w:szCs w:val="24"/>
        </w:rPr>
        <w:t> </w:t>
      </w:r>
      <w:r w:rsidRPr="00C13843">
        <w:rPr>
          <w:szCs w:val="24"/>
        </w:rPr>
        <w:t>panta nosacījumiem, jo apsūdzētais nav norādījis, kādus likuma pārkāpumus aizturēšanā un pārbaudes akta sastādīšanā iesaistītās valsts amatpersonas pieļāvušas un kā tie ietekmējuši tiesas nolēmuma tiesiskumu un pamatotību.</w:t>
      </w:r>
    </w:p>
    <w:p w14:paraId="3F9CE866" w14:textId="69C581C4" w:rsidR="007A6405" w:rsidRPr="00C13843" w:rsidRDefault="00625F14" w:rsidP="00697480">
      <w:pPr>
        <w:tabs>
          <w:tab w:val="left" w:pos="6096"/>
        </w:tabs>
        <w:spacing w:after="0" w:line="276" w:lineRule="auto"/>
        <w:ind w:firstLine="720"/>
        <w:jc w:val="both"/>
        <w:rPr>
          <w:rFonts w:asciiTheme="majorBidi" w:hAnsiTheme="majorBidi" w:cstheme="majorBidi"/>
          <w:szCs w:val="24"/>
        </w:rPr>
      </w:pPr>
      <w:r w:rsidRPr="00C13843">
        <w:rPr>
          <w:rFonts w:asciiTheme="majorBidi" w:hAnsiTheme="majorBidi" w:cstheme="majorBidi"/>
          <w:szCs w:val="24"/>
        </w:rPr>
        <w:t xml:space="preserve">Tādējādi </w:t>
      </w:r>
      <w:r w:rsidR="006547B5" w:rsidRPr="00C13843">
        <w:rPr>
          <w:rFonts w:asciiTheme="majorBidi" w:hAnsiTheme="majorBidi" w:cstheme="majorBidi"/>
          <w:szCs w:val="24"/>
        </w:rPr>
        <w:t xml:space="preserve">šajā daļā </w:t>
      </w:r>
      <w:r w:rsidR="00C75097" w:rsidRPr="00C13843">
        <w:rPr>
          <w:rFonts w:asciiTheme="majorBidi" w:hAnsiTheme="majorBidi" w:cstheme="majorBidi"/>
          <w:szCs w:val="24"/>
        </w:rPr>
        <w:t>konstatējams Kriminālprocesa likuma 573.</w:t>
      </w:r>
      <w:r w:rsidR="00C75097" w:rsidRPr="00C13843">
        <w:rPr>
          <w:rFonts w:asciiTheme="majorBidi" w:hAnsiTheme="majorBidi" w:cstheme="majorBidi"/>
          <w:szCs w:val="24"/>
          <w:vertAlign w:val="superscript"/>
        </w:rPr>
        <w:t>1</w:t>
      </w:r>
      <w:r w:rsidR="00C31C31">
        <w:rPr>
          <w:rFonts w:asciiTheme="majorBidi" w:hAnsiTheme="majorBidi" w:cstheme="majorBidi"/>
          <w:szCs w:val="24"/>
          <w:vertAlign w:val="superscript"/>
        </w:rPr>
        <w:t> </w:t>
      </w:r>
      <w:r w:rsidR="00C75097" w:rsidRPr="00C13843">
        <w:rPr>
          <w:rFonts w:asciiTheme="majorBidi" w:hAnsiTheme="majorBidi" w:cstheme="majorBidi"/>
          <w:szCs w:val="24"/>
        </w:rPr>
        <w:t>panta pirmajā daļā paredzētais pamats atteikumam ierosināt kasācijas tiesvedību.</w:t>
      </w:r>
    </w:p>
    <w:p w14:paraId="6F10F08E" w14:textId="0CCBBA97" w:rsidR="000A4C87" w:rsidRPr="00C13843" w:rsidRDefault="000A4C87" w:rsidP="00697480">
      <w:pPr>
        <w:tabs>
          <w:tab w:val="left" w:pos="6096"/>
        </w:tabs>
        <w:spacing w:after="0" w:line="276" w:lineRule="auto"/>
        <w:ind w:firstLine="720"/>
        <w:jc w:val="both"/>
        <w:rPr>
          <w:szCs w:val="24"/>
        </w:rPr>
      </w:pPr>
      <w:r w:rsidRPr="00C13843">
        <w:rPr>
          <w:szCs w:val="24"/>
        </w:rPr>
        <w:lastRenderedPageBreak/>
        <w:t>Saskaņā ar Kriminālprocesa likuma 573.</w:t>
      </w:r>
      <w:r w:rsidRPr="00C13843">
        <w:rPr>
          <w:szCs w:val="24"/>
          <w:vertAlign w:val="superscript"/>
        </w:rPr>
        <w:t>1</w:t>
      </w:r>
      <w:r w:rsidR="00C31C31">
        <w:rPr>
          <w:szCs w:val="24"/>
          <w:vertAlign w:val="superscript"/>
        </w:rPr>
        <w:t> </w:t>
      </w:r>
      <w:r w:rsidRPr="00C13843">
        <w:rPr>
          <w:szCs w:val="24"/>
        </w:rPr>
        <w:t>panta otrās daļas 2.</w:t>
      </w:r>
      <w:r w:rsidR="00C31C31">
        <w:rPr>
          <w:szCs w:val="24"/>
        </w:rPr>
        <w:t> </w:t>
      </w:r>
      <w:r w:rsidRPr="00C13843">
        <w:rPr>
          <w:szCs w:val="24"/>
        </w:rPr>
        <w:t>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6F4EE6DB" w14:textId="437B46E2" w:rsidR="00233C7D" w:rsidRPr="00C13843" w:rsidRDefault="00396FE8" w:rsidP="00697480">
      <w:pPr>
        <w:tabs>
          <w:tab w:val="left" w:pos="6096"/>
        </w:tabs>
        <w:spacing w:after="0" w:line="276" w:lineRule="auto"/>
        <w:ind w:firstLine="720"/>
        <w:jc w:val="both"/>
        <w:rPr>
          <w:szCs w:val="24"/>
        </w:rPr>
      </w:pPr>
      <w:r w:rsidRPr="00C13843">
        <w:rPr>
          <w:szCs w:val="24"/>
        </w:rPr>
        <w:t xml:space="preserve">Apsūdzētais </w:t>
      </w:r>
      <w:r w:rsidR="00425D95">
        <w:rPr>
          <w:szCs w:val="24"/>
        </w:rPr>
        <w:t>[pers. A]</w:t>
      </w:r>
      <w:r w:rsidRPr="00C13843">
        <w:rPr>
          <w:szCs w:val="24"/>
        </w:rPr>
        <w:t xml:space="preserve"> kasācijas sūdzībā norādījis, ka apelācijas instances tiesa: 1) pārkāpusi Kriminālprocesa likuma 562.</w:t>
      </w:r>
      <w:r w:rsidR="00C31C31">
        <w:rPr>
          <w:szCs w:val="24"/>
        </w:rPr>
        <w:t> </w:t>
      </w:r>
      <w:r w:rsidRPr="00C13843">
        <w:rPr>
          <w:szCs w:val="24"/>
        </w:rPr>
        <w:t xml:space="preserve">pantu, jo pēc savas iniciatīvas uzaicinājusi un nopratinājusi liecinieku </w:t>
      </w:r>
      <w:r w:rsidR="00425D95">
        <w:rPr>
          <w:szCs w:val="24"/>
        </w:rPr>
        <w:t>[pers. B]</w:t>
      </w:r>
      <w:r w:rsidRPr="00C13843">
        <w:rPr>
          <w:szCs w:val="24"/>
        </w:rPr>
        <w:t xml:space="preserve">; 2) atstājusi bez ievērības faktu, ka pirmstiesas kriminālprocesa laikā nepastāvēja objektīvi šķēršļi, lai nopratinātu liecinieka </w:t>
      </w:r>
      <w:r w:rsidR="00425D95">
        <w:rPr>
          <w:szCs w:val="24"/>
        </w:rPr>
        <w:t>[pers. </w:t>
      </w:r>
      <w:r w:rsidR="00425D95">
        <w:t>C]</w:t>
      </w:r>
      <w:r w:rsidR="00233C7D" w:rsidRPr="00C13843">
        <w:rPr>
          <w:szCs w:val="24"/>
        </w:rPr>
        <w:t xml:space="preserve"> pieminēto</w:t>
      </w:r>
      <w:r w:rsidRPr="00C13843">
        <w:rPr>
          <w:szCs w:val="24"/>
        </w:rPr>
        <w:t xml:space="preserve"> kurjerdienesta darbinieku</w:t>
      </w:r>
      <w:r w:rsidR="00233C7D" w:rsidRPr="00C13843">
        <w:rPr>
          <w:szCs w:val="24"/>
        </w:rPr>
        <w:t xml:space="preserve"> vai</w:t>
      </w:r>
      <w:r w:rsidR="00376317" w:rsidRPr="00C13843">
        <w:rPr>
          <w:szCs w:val="24"/>
        </w:rPr>
        <w:t xml:space="preserve"> </w:t>
      </w:r>
      <w:r w:rsidR="00233C7D" w:rsidRPr="00C13843">
        <w:rPr>
          <w:szCs w:val="24"/>
        </w:rPr>
        <w:t>pievienotu lietas materiāliem dokumentus, kas apliecina kurjerdienesta automašīnas maršrutu no Nīderlandes Karalistes līdz Latvijai.</w:t>
      </w:r>
    </w:p>
    <w:p w14:paraId="560B31EB" w14:textId="42703BF0" w:rsidR="00EA62E4" w:rsidRPr="00C13843" w:rsidRDefault="00EA62E4" w:rsidP="00697480">
      <w:pPr>
        <w:widowControl w:val="0"/>
        <w:spacing w:after="0" w:line="276" w:lineRule="auto"/>
        <w:ind w:firstLine="720"/>
        <w:jc w:val="both"/>
        <w:rPr>
          <w:szCs w:val="24"/>
        </w:rPr>
      </w:pPr>
      <w:r w:rsidRPr="00C13843">
        <w:rPr>
          <w:szCs w:val="24"/>
        </w:rPr>
        <w:t xml:space="preserve">No lietas materiāliem izriet, ka apelācijas instances tiesa </w:t>
      </w:r>
      <w:r w:rsidR="006C0BF1" w:rsidRPr="00C13843">
        <w:rPr>
          <w:szCs w:val="24"/>
        </w:rPr>
        <w:t>2022.</w:t>
      </w:r>
      <w:r w:rsidR="00C31C31">
        <w:rPr>
          <w:szCs w:val="24"/>
        </w:rPr>
        <w:t> </w:t>
      </w:r>
      <w:r w:rsidR="006C0BF1" w:rsidRPr="00C13843">
        <w:rPr>
          <w:szCs w:val="24"/>
        </w:rPr>
        <w:t>gada 7.</w:t>
      </w:r>
      <w:r w:rsidR="00C31C31">
        <w:rPr>
          <w:szCs w:val="24"/>
        </w:rPr>
        <w:t> </w:t>
      </w:r>
      <w:r w:rsidR="006C0BF1" w:rsidRPr="00C13843">
        <w:rPr>
          <w:szCs w:val="24"/>
        </w:rPr>
        <w:t xml:space="preserve">jūnija tiesas sēdē pēc apsūdzētā </w:t>
      </w:r>
      <w:r w:rsidR="00425D95">
        <w:rPr>
          <w:szCs w:val="24"/>
        </w:rPr>
        <w:t>[pers. A]</w:t>
      </w:r>
      <w:r w:rsidR="006C0BF1" w:rsidRPr="00C13843">
        <w:rPr>
          <w:szCs w:val="24"/>
        </w:rPr>
        <w:t xml:space="preserve"> pēdējā vārda uzklausīšanas, pamatojoties uz Kriminālprocesa likuma 509.</w:t>
      </w:r>
      <w:r w:rsidR="00C31C31">
        <w:rPr>
          <w:szCs w:val="24"/>
        </w:rPr>
        <w:t> </w:t>
      </w:r>
      <w:r w:rsidR="006C0BF1" w:rsidRPr="00C13843">
        <w:rPr>
          <w:szCs w:val="24"/>
        </w:rPr>
        <w:t xml:space="preserve">panta pirmo daļu, sakarā ar procesā iesaistīto personu tiesas debatēs norādītajiem apstākļiem nolēmusi atjaunot tiesas izmeklēšanu lietā un atkārtoti nopratināt liecinieku </w:t>
      </w:r>
      <w:proofErr w:type="gramStart"/>
      <w:r w:rsidR="00425D95">
        <w:rPr>
          <w:szCs w:val="24"/>
        </w:rPr>
        <w:t>[</w:t>
      </w:r>
      <w:proofErr w:type="gramEnd"/>
      <w:r w:rsidR="00425D95">
        <w:rPr>
          <w:szCs w:val="24"/>
        </w:rPr>
        <w:t>pers. B]</w:t>
      </w:r>
      <w:r w:rsidR="006C0BF1" w:rsidRPr="00C13843">
        <w:rPr>
          <w:szCs w:val="24"/>
        </w:rPr>
        <w:t>.</w:t>
      </w:r>
    </w:p>
    <w:p w14:paraId="0686EB40" w14:textId="7D6E009B" w:rsidR="00EA62E4" w:rsidRPr="00C13843" w:rsidRDefault="00EA62E4" w:rsidP="00697480">
      <w:pPr>
        <w:widowControl w:val="0"/>
        <w:spacing w:after="0" w:line="276" w:lineRule="auto"/>
        <w:ind w:firstLine="720"/>
        <w:jc w:val="both"/>
        <w:rPr>
          <w:szCs w:val="24"/>
        </w:rPr>
      </w:pPr>
      <w:r w:rsidRPr="00C13843">
        <w:rPr>
          <w:szCs w:val="24"/>
        </w:rPr>
        <w:t>Atbilstoši Kriminālprocesa likuma 560.</w:t>
      </w:r>
      <w:r w:rsidR="00D951D1">
        <w:rPr>
          <w:szCs w:val="24"/>
        </w:rPr>
        <w:t> </w:t>
      </w:r>
      <w:r w:rsidRPr="00C13843">
        <w:rPr>
          <w:szCs w:val="24"/>
        </w:rPr>
        <w:t>panta pirmajai daļai uz apelācijas instances tiesas sēdi uzaicina prokuroru, personas, kuras pārsūdzējušas tiesas spriedumu, personas, attiecībā uz kurām pārsūdzēts</w:t>
      </w:r>
      <w:proofErr w:type="gramStart"/>
      <w:r w:rsidRPr="00C13843">
        <w:rPr>
          <w:szCs w:val="24"/>
        </w:rPr>
        <w:t xml:space="preserve"> vai noprotestēts tiesas spriedums</w:t>
      </w:r>
      <w:proofErr w:type="gramEnd"/>
      <w:r w:rsidRPr="00C13843">
        <w:rPr>
          <w:szCs w:val="24"/>
        </w:rPr>
        <w:t>, to aizstāvjus un pārstāvjus. Savukārt šā panta otrā daļa noteic, ka citas personas var uzaicināt uz tiesas sēdi tad,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00FBB8CA" w14:textId="37EC0EA1" w:rsidR="00EA62E4" w:rsidRPr="00C13843" w:rsidRDefault="006C0BF1" w:rsidP="00697480">
      <w:pPr>
        <w:widowControl w:val="0"/>
        <w:spacing w:after="0" w:line="276" w:lineRule="auto"/>
        <w:ind w:firstLine="720"/>
        <w:jc w:val="both"/>
        <w:rPr>
          <w:szCs w:val="24"/>
        </w:rPr>
      </w:pPr>
      <w:r w:rsidRPr="00C13843">
        <w:rPr>
          <w:szCs w:val="24"/>
        </w:rPr>
        <w:t xml:space="preserve">Ievērojot to, ka apelācijas instances tiesai sakarā ar procesā iesaistīto </w:t>
      </w:r>
      <w:r w:rsidR="00376317" w:rsidRPr="00C13843">
        <w:rPr>
          <w:szCs w:val="24"/>
        </w:rPr>
        <w:t xml:space="preserve">personu tiesas debatēs norādītajiem apstākļiem bija radušās šaubas par liecinieka </w:t>
      </w:r>
      <w:r w:rsidR="00425D95">
        <w:rPr>
          <w:szCs w:val="24"/>
        </w:rPr>
        <w:t>[pers. B]</w:t>
      </w:r>
      <w:r w:rsidR="00376317" w:rsidRPr="00C13843">
        <w:rPr>
          <w:szCs w:val="24"/>
        </w:rPr>
        <w:t xml:space="preserve"> sniegto liecību pilnīgumu, apelācijas instances tiesa,</w:t>
      </w:r>
      <w:r w:rsidR="00EA62E4" w:rsidRPr="00C13843">
        <w:rPr>
          <w:szCs w:val="24"/>
        </w:rPr>
        <w:t xml:space="preserve"> atkārtoti nopratinot </w:t>
      </w:r>
      <w:r w:rsidRPr="00C13843">
        <w:rPr>
          <w:szCs w:val="24"/>
        </w:rPr>
        <w:t xml:space="preserve">liecinieku </w:t>
      </w:r>
      <w:r w:rsidR="00425D95">
        <w:rPr>
          <w:szCs w:val="24"/>
        </w:rPr>
        <w:t>[pers. </w:t>
      </w:r>
      <w:r w:rsidR="00425D95">
        <w:t>B]</w:t>
      </w:r>
      <w:r w:rsidR="00EA62E4" w:rsidRPr="00C13843">
        <w:rPr>
          <w:szCs w:val="24"/>
        </w:rPr>
        <w:t>, rīkojusies atbilstoši Kriminālprocesa likuma 560.</w:t>
      </w:r>
      <w:r w:rsidR="0057131F">
        <w:rPr>
          <w:szCs w:val="24"/>
        </w:rPr>
        <w:t> </w:t>
      </w:r>
      <w:r w:rsidR="00EA62E4" w:rsidRPr="00C13843">
        <w:rPr>
          <w:szCs w:val="24"/>
        </w:rPr>
        <w:t>panta otrās daļas nosacījumiem.</w:t>
      </w:r>
    </w:p>
    <w:p w14:paraId="2A95B0C6" w14:textId="2830E512" w:rsidR="00ED3ADD" w:rsidRPr="00C13843" w:rsidRDefault="00ED3ADD" w:rsidP="00697480">
      <w:pPr>
        <w:pStyle w:val="NoSpacing"/>
        <w:widowControl w:val="0"/>
        <w:spacing w:line="276" w:lineRule="auto"/>
        <w:ind w:firstLine="720"/>
        <w:jc w:val="both"/>
        <w:rPr>
          <w:rFonts w:asciiTheme="majorBidi" w:hAnsiTheme="majorBidi" w:cstheme="majorBidi"/>
          <w:szCs w:val="24"/>
        </w:rPr>
      </w:pPr>
      <w:bookmarkStart w:id="0" w:name="_Hlk112843655"/>
      <w:r w:rsidRPr="00C13843">
        <w:rPr>
          <w:rFonts w:asciiTheme="majorBidi" w:hAnsiTheme="majorBidi" w:cstheme="majorBidi"/>
          <w:szCs w:val="24"/>
        </w:rPr>
        <w:t>S</w:t>
      </w:r>
      <w:r w:rsidR="00376317" w:rsidRPr="00C13843">
        <w:rPr>
          <w:rFonts w:asciiTheme="majorBidi" w:hAnsiTheme="majorBidi" w:cstheme="majorBidi"/>
          <w:szCs w:val="24"/>
        </w:rPr>
        <w:t>avukārt s</w:t>
      </w:r>
      <w:r w:rsidRPr="00C13843">
        <w:rPr>
          <w:rFonts w:asciiTheme="majorBidi" w:hAnsiTheme="majorBidi" w:cstheme="majorBidi"/>
          <w:szCs w:val="24"/>
        </w:rPr>
        <w:t xml:space="preserve">aistībā ar apsūdzētā </w:t>
      </w:r>
      <w:r w:rsidR="00425D95">
        <w:rPr>
          <w:rFonts w:asciiTheme="majorBidi" w:hAnsiTheme="majorBidi" w:cstheme="majorBidi"/>
          <w:szCs w:val="24"/>
        </w:rPr>
        <w:t>[pers. A]</w:t>
      </w:r>
      <w:r w:rsidRPr="00C13843">
        <w:rPr>
          <w:rFonts w:asciiTheme="majorBidi" w:hAnsiTheme="majorBidi" w:cstheme="majorBidi"/>
          <w:szCs w:val="24"/>
        </w:rPr>
        <w:t xml:space="preserve"> kasācijas sūdzības argumentu par to, </w:t>
      </w:r>
      <w:proofErr w:type="gramStart"/>
      <w:r w:rsidRPr="00C13843">
        <w:rPr>
          <w:rFonts w:asciiTheme="majorBidi" w:hAnsiTheme="majorBidi" w:cstheme="majorBidi"/>
          <w:szCs w:val="24"/>
        </w:rPr>
        <w:t>ka pirmstiesas kriminālprocesā na</w:t>
      </w:r>
      <w:r w:rsidR="00376317" w:rsidRPr="00C13843">
        <w:rPr>
          <w:rFonts w:asciiTheme="majorBidi" w:hAnsiTheme="majorBidi" w:cstheme="majorBidi"/>
          <w:szCs w:val="24"/>
        </w:rPr>
        <w:t>v nopratināts kurjerdienesta darbinieks un lietas materiāliem nav pievienoti dokumenti par kurjerdienesta automašīnas maršrutu</w:t>
      </w:r>
      <w:r w:rsidRPr="00C13843">
        <w:rPr>
          <w:rFonts w:asciiTheme="majorBidi" w:hAnsiTheme="majorBidi" w:cstheme="majorBidi"/>
          <w:szCs w:val="24"/>
        </w:rPr>
        <w:t>, Senāts norāda, ka jebkuru izmeklēšanas darbību veikšana vai neveikšana ir jautājums, kuru katrā konkrētā lietā patstāvīgi</w:t>
      </w:r>
      <w:proofErr w:type="gramEnd"/>
      <w:r w:rsidRPr="00C13843">
        <w:rPr>
          <w:rFonts w:asciiTheme="majorBidi" w:hAnsiTheme="majorBidi" w:cstheme="majorBidi"/>
          <w:szCs w:val="24"/>
        </w:rPr>
        <w:t xml:space="preserve"> izlemj procesa virzītājs, vadoties no sava subjektīvā priekšstata par to, vai lietā iegūti pietiekami pierādījumi, lai pierādīšanas rezultāts būtu ticams un neradītu šaubas par konstatēto faktu atbilstību lietas faktiskajiem apstākļiem.</w:t>
      </w:r>
      <w:bookmarkEnd w:id="0"/>
    </w:p>
    <w:p w14:paraId="4E99BDF1" w14:textId="6EE63EB0" w:rsidR="009261F6" w:rsidRPr="00C13843" w:rsidRDefault="00B36BD0" w:rsidP="00697480">
      <w:pPr>
        <w:tabs>
          <w:tab w:val="left" w:pos="6096"/>
        </w:tabs>
        <w:spacing w:after="0" w:line="276" w:lineRule="auto"/>
        <w:ind w:firstLine="720"/>
        <w:jc w:val="both"/>
        <w:rPr>
          <w:szCs w:val="24"/>
        </w:rPr>
      </w:pPr>
      <w:r w:rsidRPr="00C13843">
        <w:rPr>
          <w:szCs w:val="24"/>
        </w:rPr>
        <w:t xml:space="preserve">Tādējādi apsūdzētā </w:t>
      </w:r>
      <w:r w:rsidR="00425D95">
        <w:rPr>
          <w:szCs w:val="24"/>
        </w:rPr>
        <w:t>[pers. A]</w:t>
      </w:r>
      <w:r w:rsidRPr="00C13843">
        <w:rPr>
          <w:szCs w:val="24"/>
        </w:rPr>
        <w:t xml:space="preserve"> kasācijas sūdzības argumenti šajā daļā nerada šaubas par pārsūdzētā nolēmuma tiesiskumu. </w:t>
      </w:r>
      <w:r w:rsidR="009261F6" w:rsidRPr="00C13843">
        <w:rPr>
          <w:szCs w:val="24"/>
        </w:rPr>
        <w:t>Turklāt izskatāmajai lietai nav būtiskas nozīmes judikatūras veidošanā, jo kasācijas sūdzības argumenti nav saistīti ar tiesu praksē nozīmīgu tiesību normu interpretāciju.</w:t>
      </w:r>
    </w:p>
    <w:p w14:paraId="7B18ABC7" w14:textId="6A8E1A2B" w:rsidR="009261F6" w:rsidRPr="00C13843" w:rsidRDefault="009261F6" w:rsidP="00697480">
      <w:pPr>
        <w:tabs>
          <w:tab w:val="left" w:pos="6096"/>
        </w:tabs>
        <w:spacing w:after="0" w:line="276" w:lineRule="auto"/>
        <w:ind w:firstLine="720"/>
        <w:jc w:val="both"/>
        <w:rPr>
          <w:szCs w:val="24"/>
        </w:rPr>
      </w:pPr>
      <w:r w:rsidRPr="00C13843">
        <w:rPr>
          <w:szCs w:val="24"/>
        </w:rPr>
        <w:t>Tādējādi šajā daļā konstatējams Kriminālprocesa likuma 573.</w:t>
      </w:r>
      <w:r w:rsidRPr="00C13843">
        <w:rPr>
          <w:szCs w:val="24"/>
          <w:vertAlign w:val="superscript"/>
        </w:rPr>
        <w:t>1</w:t>
      </w:r>
      <w:r w:rsidR="0057131F">
        <w:rPr>
          <w:szCs w:val="24"/>
          <w:vertAlign w:val="superscript"/>
        </w:rPr>
        <w:t> </w:t>
      </w:r>
      <w:r w:rsidRPr="00C13843">
        <w:rPr>
          <w:szCs w:val="24"/>
        </w:rPr>
        <w:t>panta otrās daļas 2.</w:t>
      </w:r>
      <w:r w:rsidR="0057131F">
        <w:rPr>
          <w:szCs w:val="24"/>
        </w:rPr>
        <w:t> </w:t>
      </w:r>
      <w:r w:rsidRPr="00C13843">
        <w:rPr>
          <w:szCs w:val="24"/>
        </w:rPr>
        <w:t>punktā paredzētais pamats atteikumam ierosināt kasācijas tiesvedību.</w:t>
      </w:r>
    </w:p>
    <w:p w14:paraId="6B45FBC2" w14:textId="0C5FFDD7" w:rsidR="00B77CA5" w:rsidRPr="00C13843" w:rsidRDefault="0057131F" w:rsidP="00697480">
      <w:pPr>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P</w:t>
      </w:r>
      <w:r w:rsidR="00B77CA5" w:rsidRPr="00C13843">
        <w:rPr>
          <w:rFonts w:asciiTheme="majorBidi" w:hAnsiTheme="majorBidi" w:cstheme="majorBidi"/>
          <w:szCs w:val="24"/>
        </w:rPr>
        <w:t>amatojoties uz Kriminālprocesa likuma 573.</w:t>
      </w:r>
      <w:r>
        <w:rPr>
          <w:rFonts w:asciiTheme="majorBidi" w:hAnsiTheme="majorBidi" w:cstheme="majorBidi"/>
          <w:szCs w:val="24"/>
        </w:rPr>
        <w:t> </w:t>
      </w:r>
      <w:r w:rsidR="00B77CA5" w:rsidRPr="00C13843">
        <w:rPr>
          <w:rFonts w:asciiTheme="majorBidi" w:hAnsiTheme="majorBidi" w:cstheme="majorBidi"/>
          <w:szCs w:val="24"/>
        </w:rPr>
        <w:t>panta trešo un piekto daļu un 573.</w:t>
      </w:r>
      <w:r w:rsidR="00B77CA5" w:rsidRPr="00C13843">
        <w:rPr>
          <w:rFonts w:asciiTheme="majorBidi" w:hAnsiTheme="majorBidi" w:cstheme="majorBidi"/>
          <w:szCs w:val="24"/>
          <w:vertAlign w:val="superscript"/>
        </w:rPr>
        <w:t>1</w:t>
      </w:r>
      <w:r>
        <w:rPr>
          <w:rFonts w:asciiTheme="majorBidi" w:hAnsiTheme="majorBidi" w:cstheme="majorBidi"/>
          <w:szCs w:val="24"/>
          <w:vertAlign w:val="superscript"/>
        </w:rPr>
        <w:t> </w:t>
      </w:r>
      <w:r w:rsidR="00B77CA5" w:rsidRPr="00C13843">
        <w:rPr>
          <w:rFonts w:asciiTheme="majorBidi" w:hAnsiTheme="majorBidi" w:cstheme="majorBidi"/>
          <w:szCs w:val="24"/>
        </w:rPr>
        <w:t>panta pirmo daļu</w:t>
      </w:r>
      <w:r w:rsidR="009261F6" w:rsidRPr="00C13843">
        <w:rPr>
          <w:rFonts w:asciiTheme="majorBidi" w:hAnsiTheme="majorBidi" w:cstheme="majorBidi"/>
          <w:szCs w:val="24"/>
        </w:rPr>
        <w:t xml:space="preserve"> un otrās daļas 2.</w:t>
      </w:r>
      <w:r>
        <w:rPr>
          <w:rFonts w:asciiTheme="majorBidi" w:hAnsiTheme="majorBidi" w:cstheme="majorBidi"/>
          <w:szCs w:val="24"/>
        </w:rPr>
        <w:t> </w:t>
      </w:r>
      <w:r w:rsidR="009261F6" w:rsidRPr="00C13843">
        <w:rPr>
          <w:rFonts w:asciiTheme="majorBidi" w:hAnsiTheme="majorBidi" w:cstheme="majorBidi"/>
          <w:szCs w:val="24"/>
        </w:rPr>
        <w:t>punktu</w:t>
      </w:r>
      <w:r w:rsidR="00B77CA5" w:rsidRPr="00C13843">
        <w:rPr>
          <w:rFonts w:asciiTheme="majorBidi" w:hAnsiTheme="majorBidi" w:cstheme="majorBidi"/>
          <w:szCs w:val="24"/>
        </w:rPr>
        <w:t xml:space="preserve">, </w:t>
      </w:r>
      <w:r>
        <w:rPr>
          <w:rFonts w:asciiTheme="majorBidi" w:hAnsiTheme="majorBidi" w:cstheme="majorBidi"/>
          <w:szCs w:val="24"/>
        </w:rPr>
        <w:t>Senāts</w:t>
      </w:r>
    </w:p>
    <w:p w14:paraId="76D82C8C" w14:textId="77777777" w:rsidR="00B77CA5" w:rsidRPr="00C13843" w:rsidRDefault="00B77CA5" w:rsidP="007F63B7">
      <w:pPr>
        <w:pStyle w:val="ListParagraph"/>
        <w:tabs>
          <w:tab w:val="left" w:pos="6096"/>
        </w:tabs>
        <w:spacing w:after="0" w:line="276" w:lineRule="auto"/>
        <w:ind w:left="62" w:firstLine="709"/>
        <w:jc w:val="both"/>
        <w:rPr>
          <w:rFonts w:asciiTheme="majorBidi" w:hAnsiTheme="majorBidi" w:cstheme="majorBidi"/>
          <w:szCs w:val="24"/>
        </w:rPr>
      </w:pPr>
    </w:p>
    <w:p w14:paraId="40D9A7CE" w14:textId="77777777" w:rsidR="00F537A3" w:rsidRDefault="00F537A3">
      <w:pPr>
        <w:rPr>
          <w:rFonts w:asciiTheme="majorBidi" w:hAnsiTheme="majorBidi" w:cstheme="majorBidi"/>
          <w:b/>
          <w:szCs w:val="24"/>
        </w:rPr>
      </w:pPr>
      <w:r>
        <w:rPr>
          <w:rFonts w:asciiTheme="majorBidi" w:hAnsiTheme="majorBidi" w:cstheme="majorBidi"/>
          <w:b/>
          <w:szCs w:val="24"/>
        </w:rPr>
        <w:br w:type="page"/>
      </w:r>
    </w:p>
    <w:p w14:paraId="5E31E66D" w14:textId="666D1B66" w:rsidR="00B77CA5" w:rsidRPr="00C13843" w:rsidRDefault="00B77CA5" w:rsidP="007F63B7">
      <w:pPr>
        <w:spacing w:after="0" w:line="276" w:lineRule="auto"/>
        <w:jc w:val="center"/>
        <w:rPr>
          <w:rFonts w:asciiTheme="majorBidi" w:hAnsiTheme="majorBidi" w:cstheme="majorBidi"/>
          <w:b/>
          <w:szCs w:val="24"/>
        </w:rPr>
      </w:pPr>
      <w:r w:rsidRPr="00C13843">
        <w:rPr>
          <w:rFonts w:asciiTheme="majorBidi" w:hAnsiTheme="majorBidi" w:cstheme="majorBidi"/>
          <w:b/>
          <w:szCs w:val="24"/>
        </w:rPr>
        <w:t>nolēma</w:t>
      </w:r>
    </w:p>
    <w:p w14:paraId="3B61CF45" w14:textId="77777777" w:rsidR="00B77CA5" w:rsidRPr="00C13843" w:rsidRDefault="00B77CA5" w:rsidP="00697480">
      <w:pPr>
        <w:pStyle w:val="ListParagraph"/>
        <w:spacing w:after="0" w:line="276" w:lineRule="auto"/>
        <w:ind w:left="0"/>
        <w:jc w:val="center"/>
        <w:rPr>
          <w:rFonts w:asciiTheme="majorBidi" w:hAnsiTheme="majorBidi" w:cstheme="majorBidi"/>
          <w:b/>
          <w:szCs w:val="24"/>
        </w:rPr>
      </w:pPr>
    </w:p>
    <w:p w14:paraId="32596495" w14:textId="689E526E" w:rsidR="00B77CA5" w:rsidRDefault="00B77CA5" w:rsidP="007F63B7">
      <w:pPr>
        <w:tabs>
          <w:tab w:val="left" w:pos="6096"/>
        </w:tabs>
        <w:spacing w:after="0" w:line="276" w:lineRule="auto"/>
        <w:ind w:firstLine="709"/>
        <w:jc w:val="both"/>
        <w:rPr>
          <w:rFonts w:asciiTheme="majorBidi" w:hAnsiTheme="majorBidi" w:cstheme="majorBidi"/>
          <w:szCs w:val="24"/>
        </w:rPr>
      </w:pPr>
      <w:r w:rsidRPr="00C13843">
        <w:rPr>
          <w:rFonts w:asciiTheme="majorBidi" w:hAnsiTheme="majorBidi" w:cstheme="majorBidi"/>
          <w:szCs w:val="24"/>
        </w:rPr>
        <w:t>atteikt ierosināt kasācijas tiesvedību.</w:t>
      </w:r>
    </w:p>
    <w:p w14:paraId="1CCD38AE" w14:textId="77777777" w:rsidR="004A5649" w:rsidRPr="00C13843" w:rsidRDefault="004A5649" w:rsidP="007F63B7">
      <w:pPr>
        <w:tabs>
          <w:tab w:val="left" w:pos="6096"/>
        </w:tabs>
        <w:spacing w:after="0" w:line="276" w:lineRule="auto"/>
        <w:ind w:firstLine="709"/>
        <w:jc w:val="both"/>
        <w:rPr>
          <w:rFonts w:asciiTheme="majorBidi" w:hAnsiTheme="majorBidi" w:cstheme="majorBidi"/>
          <w:szCs w:val="24"/>
        </w:rPr>
      </w:pPr>
    </w:p>
    <w:p w14:paraId="4F57FF0C" w14:textId="1CC5F786" w:rsidR="00B77CA5" w:rsidRDefault="00B77CA5" w:rsidP="00425D95">
      <w:pPr>
        <w:tabs>
          <w:tab w:val="left" w:pos="6096"/>
        </w:tabs>
        <w:spacing w:after="0" w:line="276" w:lineRule="auto"/>
        <w:ind w:firstLine="709"/>
        <w:jc w:val="both"/>
        <w:rPr>
          <w:rFonts w:asciiTheme="majorBidi" w:hAnsiTheme="majorBidi" w:cstheme="majorBidi"/>
          <w:szCs w:val="24"/>
        </w:rPr>
      </w:pPr>
      <w:r w:rsidRPr="00C13843">
        <w:rPr>
          <w:rFonts w:asciiTheme="majorBidi" w:hAnsiTheme="majorBidi" w:cstheme="majorBidi"/>
          <w:szCs w:val="24"/>
        </w:rPr>
        <w:t>Lēmums nav pārsūdzams.</w:t>
      </w:r>
    </w:p>
    <w:sectPr w:rsidR="00B77CA5" w:rsidSect="00697480">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C3C7" w14:textId="77777777" w:rsidR="00F36AB8" w:rsidRDefault="00F36AB8" w:rsidP="00AB5208">
      <w:pPr>
        <w:spacing w:after="0" w:line="240" w:lineRule="auto"/>
      </w:pPr>
      <w:r>
        <w:separator/>
      </w:r>
    </w:p>
  </w:endnote>
  <w:endnote w:type="continuationSeparator" w:id="0">
    <w:p w14:paraId="2CCEC455" w14:textId="77777777" w:rsidR="00F36AB8" w:rsidRDefault="00F36AB8" w:rsidP="00AB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933535"/>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008D9C4B" w14:textId="621CCC7C" w:rsidR="00AB5208" w:rsidRPr="00B53838" w:rsidRDefault="00AB5208" w:rsidP="00697480">
            <w:pPr>
              <w:pStyle w:val="Footer"/>
              <w:jc w:val="center"/>
              <w:rPr>
                <w:sz w:val="20"/>
                <w:szCs w:val="20"/>
              </w:rPr>
            </w:pPr>
            <w:r w:rsidRPr="00B53838">
              <w:rPr>
                <w:sz w:val="20"/>
                <w:szCs w:val="20"/>
              </w:rPr>
              <w:fldChar w:fldCharType="begin"/>
            </w:r>
            <w:r w:rsidRPr="00B53838">
              <w:rPr>
                <w:sz w:val="20"/>
                <w:szCs w:val="20"/>
              </w:rPr>
              <w:instrText xml:space="preserve"> PAGE </w:instrText>
            </w:r>
            <w:r w:rsidRPr="00B53838">
              <w:rPr>
                <w:sz w:val="20"/>
                <w:szCs w:val="20"/>
              </w:rPr>
              <w:fldChar w:fldCharType="separate"/>
            </w:r>
            <w:r w:rsidRPr="00B53838">
              <w:rPr>
                <w:noProof/>
                <w:sz w:val="20"/>
                <w:szCs w:val="20"/>
              </w:rPr>
              <w:t>2</w:t>
            </w:r>
            <w:r w:rsidRPr="00B53838">
              <w:rPr>
                <w:sz w:val="20"/>
                <w:szCs w:val="20"/>
              </w:rPr>
              <w:fldChar w:fldCharType="end"/>
            </w:r>
            <w:r w:rsidRPr="00B53838">
              <w:rPr>
                <w:sz w:val="20"/>
                <w:szCs w:val="20"/>
              </w:rPr>
              <w:t xml:space="preserve"> no </w:t>
            </w:r>
            <w:r w:rsidRPr="00B53838">
              <w:rPr>
                <w:sz w:val="20"/>
                <w:szCs w:val="20"/>
              </w:rPr>
              <w:fldChar w:fldCharType="begin"/>
            </w:r>
            <w:r w:rsidRPr="00B53838">
              <w:rPr>
                <w:sz w:val="20"/>
                <w:szCs w:val="20"/>
              </w:rPr>
              <w:instrText xml:space="preserve"> NUMPAGES  </w:instrText>
            </w:r>
            <w:r w:rsidRPr="00B53838">
              <w:rPr>
                <w:sz w:val="20"/>
                <w:szCs w:val="20"/>
              </w:rPr>
              <w:fldChar w:fldCharType="separate"/>
            </w:r>
            <w:r w:rsidRPr="00B53838">
              <w:rPr>
                <w:noProof/>
                <w:sz w:val="20"/>
                <w:szCs w:val="20"/>
              </w:rPr>
              <w:t>2</w:t>
            </w:r>
            <w:r w:rsidRPr="00B53838">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2ADF" w14:textId="77777777" w:rsidR="00F36AB8" w:rsidRDefault="00F36AB8" w:rsidP="00AB5208">
      <w:pPr>
        <w:spacing w:after="0" w:line="240" w:lineRule="auto"/>
      </w:pPr>
      <w:r>
        <w:separator/>
      </w:r>
    </w:p>
  </w:footnote>
  <w:footnote w:type="continuationSeparator" w:id="0">
    <w:p w14:paraId="4A3AB2AF" w14:textId="77777777" w:rsidR="00F36AB8" w:rsidRDefault="00F36AB8" w:rsidP="00AB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0D"/>
    <w:rsid w:val="000029E4"/>
    <w:rsid w:val="00002AA3"/>
    <w:rsid w:val="00004A6E"/>
    <w:rsid w:val="00015E54"/>
    <w:rsid w:val="00017828"/>
    <w:rsid w:val="00020B08"/>
    <w:rsid w:val="00023447"/>
    <w:rsid w:val="00034AA7"/>
    <w:rsid w:val="0003519B"/>
    <w:rsid w:val="00036241"/>
    <w:rsid w:val="0004024D"/>
    <w:rsid w:val="000434BB"/>
    <w:rsid w:val="00044340"/>
    <w:rsid w:val="000652D0"/>
    <w:rsid w:val="00074B1A"/>
    <w:rsid w:val="00075030"/>
    <w:rsid w:val="00075D63"/>
    <w:rsid w:val="000768F3"/>
    <w:rsid w:val="000768F8"/>
    <w:rsid w:val="00081DC2"/>
    <w:rsid w:val="00085E10"/>
    <w:rsid w:val="00093526"/>
    <w:rsid w:val="000940A0"/>
    <w:rsid w:val="000A0E95"/>
    <w:rsid w:val="000A33E6"/>
    <w:rsid w:val="000A4C87"/>
    <w:rsid w:val="000B60E0"/>
    <w:rsid w:val="000C569A"/>
    <w:rsid w:val="000C592D"/>
    <w:rsid w:val="000D2657"/>
    <w:rsid w:val="000D345E"/>
    <w:rsid w:val="000D45B4"/>
    <w:rsid w:val="000E4BCB"/>
    <w:rsid w:val="000F3B9F"/>
    <w:rsid w:val="00105319"/>
    <w:rsid w:val="0012506C"/>
    <w:rsid w:val="00126625"/>
    <w:rsid w:val="001314CD"/>
    <w:rsid w:val="001317BD"/>
    <w:rsid w:val="00141C10"/>
    <w:rsid w:val="00167931"/>
    <w:rsid w:val="00170E47"/>
    <w:rsid w:val="0017778D"/>
    <w:rsid w:val="0018130C"/>
    <w:rsid w:val="00182199"/>
    <w:rsid w:val="00186932"/>
    <w:rsid w:val="0018697C"/>
    <w:rsid w:val="001877BB"/>
    <w:rsid w:val="001911CE"/>
    <w:rsid w:val="00193086"/>
    <w:rsid w:val="00196E98"/>
    <w:rsid w:val="001A03C3"/>
    <w:rsid w:val="001B700F"/>
    <w:rsid w:val="001C27B2"/>
    <w:rsid w:val="001C3CCE"/>
    <w:rsid w:val="001D4138"/>
    <w:rsid w:val="001D75A8"/>
    <w:rsid w:val="001E4676"/>
    <w:rsid w:val="001F1B37"/>
    <w:rsid w:val="001F29ED"/>
    <w:rsid w:val="00201801"/>
    <w:rsid w:val="00206306"/>
    <w:rsid w:val="00233C7D"/>
    <w:rsid w:val="002362E3"/>
    <w:rsid w:val="0025133D"/>
    <w:rsid w:val="00257E5B"/>
    <w:rsid w:val="00261C72"/>
    <w:rsid w:val="00262382"/>
    <w:rsid w:val="0027505D"/>
    <w:rsid w:val="002A563F"/>
    <w:rsid w:val="002C2FC6"/>
    <w:rsid w:val="002C36F6"/>
    <w:rsid w:val="002C555A"/>
    <w:rsid w:val="002C772D"/>
    <w:rsid w:val="002D3074"/>
    <w:rsid w:val="002D3B58"/>
    <w:rsid w:val="002D4C07"/>
    <w:rsid w:val="002E3C4F"/>
    <w:rsid w:val="002F0CB7"/>
    <w:rsid w:val="002F497E"/>
    <w:rsid w:val="0030125B"/>
    <w:rsid w:val="003018C1"/>
    <w:rsid w:val="00306FB1"/>
    <w:rsid w:val="003108B2"/>
    <w:rsid w:val="00311288"/>
    <w:rsid w:val="00352EF0"/>
    <w:rsid w:val="0035323A"/>
    <w:rsid w:val="0035441E"/>
    <w:rsid w:val="003607C3"/>
    <w:rsid w:val="00361067"/>
    <w:rsid w:val="00367009"/>
    <w:rsid w:val="00376317"/>
    <w:rsid w:val="00393CB5"/>
    <w:rsid w:val="00396FE8"/>
    <w:rsid w:val="003A4317"/>
    <w:rsid w:val="003C42F8"/>
    <w:rsid w:val="003D34F1"/>
    <w:rsid w:val="003D38ED"/>
    <w:rsid w:val="003D4A57"/>
    <w:rsid w:val="003D7A40"/>
    <w:rsid w:val="003F758F"/>
    <w:rsid w:val="00412E7A"/>
    <w:rsid w:val="00422FF0"/>
    <w:rsid w:val="00425D95"/>
    <w:rsid w:val="004276DC"/>
    <w:rsid w:val="0043160E"/>
    <w:rsid w:val="004332AA"/>
    <w:rsid w:val="004377EE"/>
    <w:rsid w:val="00437F4F"/>
    <w:rsid w:val="004510A7"/>
    <w:rsid w:val="0046115F"/>
    <w:rsid w:val="0047617E"/>
    <w:rsid w:val="00487875"/>
    <w:rsid w:val="00491034"/>
    <w:rsid w:val="00494A8E"/>
    <w:rsid w:val="004A5649"/>
    <w:rsid w:val="004A75DE"/>
    <w:rsid w:val="004B4410"/>
    <w:rsid w:val="004C21EE"/>
    <w:rsid w:val="004D1073"/>
    <w:rsid w:val="004D3A57"/>
    <w:rsid w:val="004D5788"/>
    <w:rsid w:val="004E6DF7"/>
    <w:rsid w:val="005013E3"/>
    <w:rsid w:val="005079D0"/>
    <w:rsid w:val="00510831"/>
    <w:rsid w:val="0051161E"/>
    <w:rsid w:val="00514E9D"/>
    <w:rsid w:val="0053516D"/>
    <w:rsid w:val="0054393D"/>
    <w:rsid w:val="00550B5D"/>
    <w:rsid w:val="005608E1"/>
    <w:rsid w:val="0057094D"/>
    <w:rsid w:val="0057131F"/>
    <w:rsid w:val="00574966"/>
    <w:rsid w:val="00580A87"/>
    <w:rsid w:val="00581FB1"/>
    <w:rsid w:val="00594CDA"/>
    <w:rsid w:val="00595F28"/>
    <w:rsid w:val="00596278"/>
    <w:rsid w:val="005B3A64"/>
    <w:rsid w:val="005C37CD"/>
    <w:rsid w:val="005C73F3"/>
    <w:rsid w:val="005D5240"/>
    <w:rsid w:val="005E11A1"/>
    <w:rsid w:val="006020A6"/>
    <w:rsid w:val="0061048B"/>
    <w:rsid w:val="00615A5F"/>
    <w:rsid w:val="006214CB"/>
    <w:rsid w:val="006241F3"/>
    <w:rsid w:val="00625F14"/>
    <w:rsid w:val="00626839"/>
    <w:rsid w:val="00635DBB"/>
    <w:rsid w:val="006441B7"/>
    <w:rsid w:val="00645140"/>
    <w:rsid w:val="006542BF"/>
    <w:rsid w:val="006547B5"/>
    <w:rsid w:val="00657228"/>
    <w:rsid w:val="006643EE"/>
    <w:rsid w:val="00671460"/>
    <w:rsid w:val="0067380D"/>
    <w:rsid w:val="00683CCA"/>
    <w:rsid w:val="006850C5"/>
    <w:rsid w:val="00686CFA"/>
    <w:rsid w:val="00696485"/>
    <w:rsid w:val="00697480"/>
    <w:rsid w:val="006A1CBC"/>
    <w:rsid w:val="006B7F66"/>
    <w:rsid w:val="006C0BF1"/>
    <w:rsid w:val="006C4DE5"/>
    <w:rsid w:val="006C6F5E"/>
    <w:rsid w:val="006C712F"/>
    <w:rsid w:val="006E0570"/>
    <w:rsid w:val="006E5F58"/>
    <w:rsid w:val="006E6C71"/>
    <w:rsid w:val="006F0EA4"/>
    <w:rsid w:val="007015F1"/>
    <w:rsid w:val="00704977"/>
    <w:rsid w:val="00705282"/>
    <w:rsid w:val="007065CF"/>
    <w:rsid w:val="0071298F"/>
    <w:rsid w:val="00713317"/>
    <w:rsid w:val="007136AA"/>
    <w:rsid w:val="00713D46"/>
    <w:rsid w:val="0071793B"/>
    <w:rsid w:val="007202D9"/>
    <w:rsid w:val="0072154F"/>
    <w:rsid w:val="0072665A"/>
    <w:rsid w:val="007336EC"/>
    <w:rsid w:val="00747B4A"/>
    <w:rsid w:val="00756FA4"/>
    <w:rsid w:val="007660F4"/>
    <w:rsid w:val="0077044B"/>
    <w:rsid w:val="00770D16"/>
    <w:rsid w:val="007800B9"/>
    <w:rsid w:val="007A0EF4"/>
    <w:rsid w:val="007A6405"/>
    <w:rsid w:val="007B2B23"/>
    <w:rsid w:val="007C09C0"/>
    <w:rsid w:val="007C58BA"/>
    <w:rsid w:val="007D19AE"/>
    <w:rsid w:val="007D5090"/>
    <w:rsid w:val="007E20F4"/>
    <w:rsid w:val="007F63B7"/>
    <w:rsid w:val="007F70E9"/>
    <w:rsid w:val="008020CD"/>
    <w:rsid w:val="00803BBF"/>
    <w:rsid w:val="00804E61"/>
    <w:rsid w:val="00806537"/>
    <w:rsid w:val="00811A60"/>
    <w:rsid w:val="00815523"/>
    <w:rsid w:val="00815B7A"/>
    <w:rsid w:val="00825C53"/>
    <w:rsid w:val="008276CC"/>
    <w:rsid w:val="008321CD"/>
    <w:rsid w:val="00836F95"/>
    <w:rsid w:val="008461B5"/>
    <w:rsid w:val="00850C00"/>
    <w:rsid w:val="00851967"/>
    <w:rsid w:val="0085250F"/>
    <w:rsid w:val="00857EC5"/>
    <w:rsid w:val="00861E56"/>
    <w:rsid w:val="00863148"/>
    <w:rsid w:val="00865953"/>
    <w:rsid w:val="0087770A"/>
    <w:rsid w:val="00884733"/>
    <w:rsid w:val="0088755B"/>
    <w:rsid w:val="00887E2A"/>
    <w:rsid w:val="00887E9A"/>
    <w:rsid w:val="00893EFC"/>
    <w:rsid w:val="00896205"/>
    <w:rsid w:val="00897C78"/>
    <w:rsid w:val="008A20FE"/>
    <w:rsid w:val="008A3543"/>
    <w:rsid w:val="008A3745"/>
    <w:rsid w:val="008A44DF"/>
    <w:rsid w:val="008B43AA"/>
    <w:rsid w:val="008B7C7C"/>
    <w:rsid w:val="008D3579"/>
    <w:rsid w:val="008D501B"/>
    <w:rsid w:val="008D71CA"/>
    <w:rsid w:val="008E603C"/>
    <w:rsid w:val="009001FE"/>
    <w:rsid w:val="00900C78"/>
    <w:rsid w:val="00901A6B"/>
    <w:rsid w:val="00901F9F"/>
    <w:rsid w:val="00902741"/>
    <w:rsid w:val="0090314E"/>
    <w:rsid w:val="009042E3"/>
    <w:rsid w:val="009052AD"/>
    <w:rsid w:val="0091630D"/>
    <w:rsid w:val="00921336"/>
    <w:rsid w:val="009261F6"/>
    <w:rsid w:val="009267DD"/>
    <w:rsid w:val="00934140"/>
    <w:rsid w:val="00942F71"/>
    <w:rsid w:val="009451F7"/>
    <w:rsid w:val="00992049"/>
    <w:rsid w:val="00993CAE"/>
    <w:rsid w:val="009B2AD7"/>
    <w:rsid w:val="009B6107"/>
    <w:rsid w:val="009B6AA5"/>
    <w:rsid w:val="009C5F8B"/>
    <w:rsid w:val="009D1AF2"/>
    <w:rsid w:val="009D2F47"/>
    <w:rsid w:val="009D42C1"/>
    <w:rsid w:val="009E2C4C"/>
    <w:rsid w:val="009F07D8"/>
    <w:rsid w:val="009F3CAB"/>
    <w:rsid w:val="00A01AC8"/>
    <w:rsid w:val="00A01BE4"/>
    <w:rsid w:val="00A02E08"/>
    <w:rsid w:val="00A06050"/>
    <w:rsid w:val="00A10450"/>
    <w:rsid w:val="00A11C1D"/>
    <w:rsid w:val="00A166E8"/>
    <w:rsid w:val="00A31A6D"/>
    <w:rsid w:val="00A34B28"/>
    <w:rsid w:val="00A3559F"/>
    <w:rsid w:val="00A406D4"/>
    <w:rsid w:val="00A47B77"/>
    <w:rsid w:val="00A52B70"/>
    <w:rsid w:val="00A63704"/>
    <w:rsid w:val="00A65358"/>
    <w:rsid w:val="00A65BD8"/>
    <w:rsid w:val="00A7568F"/>
    <w:rsid w:val="00AB5208"/>
    <w:rsid w:val="00AC124E"/>
    <w:rsid w:val="00AD6880"/>
    <w:rsid w:val="00AE3844"/>
    <w:rsid w:val="00AE575C"/>
    <w:rsid w:val="00AF34D9"/>
    <w:rsid w:val="00AF731F"/>
    <w:rsid w:val="00B032B5"/>
    <w:rsid w:val="00B076C7"/>
    <w:rsid w:val="00B13072"/>
    <w:rsid w:val="00B15370"/>
    <w:rsid w:val="00B20B66"/>
    <w:rsid w:val="00B234A2"/>
    <w:rsid w:val="00B2364A"/>
    <w:rsid w:val="00B304F1"/>
    <w:rsid w:val="00B31632"/>
    <w:rsid w:val="00B36BD0"/>
    <w:rsid w:val="00B372AF"/>
    <w:rsid w:val="00B500D2"/>
    <w:rsid w:val="00B53838"/>
    <w:rsid w:val="00B60E61"/>
    <w:rsid w:val="00B636CF"/>
    <w:rsid w:val="00B63766"/>
    <w:rsid w:val="00B74F4E"/>
    <w:rsid w:val="00B770A5"/>
    <w:rsid w:val="00B77CA5"/>
    <w:rsid w:val="00B832E3"/>
    <w:rsid w:val="00B833ED"/>
    <w:rsid w:val="00BB052F"/>
    <w:rsid w:val="00BB0BAB"/>
    <w:rsid w:val="00BB106B"/>
    <w:rsid w:val="00BC05AC"/>
    <w:rsid w:val="00BC0D47"/>
    <w:rsid w:val="00BC41AC"/>
    <w:rsid w:val="00BD2D8E"/>
    <w:rsid w:val="00BD4C2E"/>
    <w:rsid w:val="00BE2940"/>
    <w:rsid w:val="00C13843"/>
    <w:rsid w:val="00C2054A"/>
    <w:rsid w:val="00C2460D"/>
    <w:rsid w:val="00C31C31"/>
    <w:rsid w:val="00C339EF"/>
    <w:rsid w:val="00C42FD1"/>
    <w:rsid w:val="00C56061"/>
    <w:rsid w:val="00C560D4"/>
    <w:rsid w:val="00C6442D"/>
    <w:rsid w:val="00C717F3"/>
    <w:rsid w:val="00C75097"/>
    <w:rsid w:val="00C754EA"/>
    <w:rsid w:val="00C76022"/>
    <w:rsid w:val="00C8729D"/>
    <w:rsid w:val="00C924FA"/>
    <w:rsid w:val="00C94448"/>
    <w:rsid w:val="00CA7501"/>
    <w:rsid w:val="00CB02FA"/>
    <w:rsid w:val="00CB0A5E"/>
    <w:rsid w:val="00CB2ACC"/>
    <w:rsid w:val="00CB3998"/>
    <w:rsid w:val="00CB3BCE"/>
    <w:rsid w:val="00CD1582"/>
    <w:rsid w:val="00CD48AE"/>
    <w:rsid w:val="00CE462A"/>
    <w:rsid w:val="00D01008"/>
    <w:rsid w:val="00D0455B"/>
    <w:rsid w:val="00D07E5A"/>
    <w:rsid w:val="00D31A5B"/>
    <w:rsid w:val="00D32D15"/>
    <w:rsid w:val="00D36D2C"/>
    <w:rsid w:val="00D452F7"/>
    <w:rsid w:val="00D4542D"/>
    <w:rsid w:val="00D5211B"/>
    <w:rsid w:val="00D56224"/>
    <w:rsid w:val="00D64031"/>
    <w:rsid w:val="00D644C8"/>
    <w:rsid w:val="00D676FB"/>
    <w:rsid w:val="00D81BA2"/>
    <w:rsid w:val="00D8341A"/>
    <w:rsid w:val="00D90233"/>
    <w:rsid w:val="00D93EFD"/>
    <w:rsid w:val="00D94E9D"/>
    <w:rsid w:val="00D951D1"/>
    <w:rsid w:val="00D9547D"/>
    <w:rsid w:val="00DA6B0F"/>
    <w:rsid w:val="00DB44EF"/>
    <w:rsid w:val="00DC3C70"/>
    <w:rsid w:val="00DC77FE"/>
    <w:rsid w:val="00DD2A18"/>
    <w:rsid w:val="00DD5D61"/>
    <w:rsid w:val="00E023D8"/>
    <w:rsid w:val="00E03977"/>
    <w:rsid w:val="00E108B0"/>
    <w:rsid w:val="00E11594"/>
    <w:rsid w:val="00E20E1B"/>
    <w:rsid w:val="00E22EB9"/>
    <w:rsid w:val="00E528C2"/>
    <w:rsid w:val="00E5388A"/>
    <w:rsid w:val="00E5550B"/>
    <w:rsid w:val="00E618D8"/>
    <w:rsid w:val="00E66A2F"/>
    <w:rsid w:val="00E85212"/>
    <w:rsid w:val="00E936F5"/>
    <w:rsid w:val="00E95BFC"/>
    <w:rsid w:val="00EA0F20"/>
    <w:rsid w:val="00EA114D"/>
    <w:rsid w:val="00EA3069"/>
    <w:rsid w:val="00EA62E4"/>
    <w:rsid w:val="00EB3254"/>
    <w:rsid w:val="00EB4D62"/>
    <w:rsid w:val="00ED1CE2"/>
    <w:rsid w:val="00ED29F6"/>
    <w:rsid w:val="00ED3ADD"/>
    <w:rsid w:val="00EE333E"/>
    <w:rsid w:val="00EF2928"/>
    <w:rsid w:val="00EF63EB"/>
    <w:rsid w:val="00EF7F4A"/>
    <w:rsid w:val="00F0669F"/>
    <w:rsid w:val="00F14444"/>
    <w:rsid w:val="00F152B2"/>
    <w:rsid w:val="00F302F5"/>
    <w:rsid w:val="00F30680"/>
    <w:rsid w:val="00F32BF7"/>
    <w:rsid w:val="00F348F9"/>
    <w:rsid w:val="00F36AB8"/>
    <w:rsid w:val="00F37181"/>
    <w:rsid w:val="00F44FE0"/>
    <w:rsid w:val="00F537A3"/>
    <w:rsid w:val="00F74007"/>
    <w:rsid w:val="00F860D3"/>
    <w:rsid w:val="00F9709F"/>
    <w:rsid w:val="00FA0956"/>
    <w:rsid w:val="00FB57F7"/>
    <w:rsid w:val="00FC2303"/>
    <w:rsid w:val="00FC5BC1"/>
    <w:rsid w:val="00FD3DDA"/>
    <w:rsid w:val="00FD6A77"/>
    <w:rsid w:val="00FD7AB5"/>
    <w:rsid w:val="00FE02DA"/>
    <w:rsid w:val="00FE0DBD"/>
    <w:rsid w:val="00FE4BC0"/>
    <w:rsid w:val="00FE6595"/>
    <w:rsid w:val="00FF37B5"/>
    <w:rsid w:val="00FF6C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68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B77"/>
    <w:pPr>
      <w:spacing w:after="0" w:line="240" w:lineRule="auto"/>
    </w:pPr>
  </w:style>
  <w:style w:type="paragraph" w:styleId="ListParagraph">
    <w:name w:val="List Paragraph"/>
    <w:basedOn w:val="Normal"/>
    <w:uiPriority w:val="34"/>
    <w:qFormat/>
    <w:rsid w:val="00B77CA5"/>
    <w:pPr>
      <w:ind w:left="720"/>
      <w:contextualSpacing/>
    </w:pPr>
  </w:style>
  <w:style w:type="table" w:styleId="TableGrid">
    <w:name w:val="Table Grid"/>
    <w:basedOn w:val="TableNormal"/>
    <w:uiPriority w:val="39"/>
    <w:rsid w:val="00B77C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FA4"/>
    <w:pPr>
      <w:spacing w:after="0" w:line="240" w:lineRule="auto"/>
    </w:pPr>
  </w:style>
  <w:style w:type="paragraph" w:styleId="Header">
    <w:name w:val="header"/>
    <w:basedOn w:val="Normal"/>
    <w:link w:val="HeaderChar"/>
    <w:uiPriority w:val="99"/>
    <w:unhideWhenUsed/>
    <w:rsid w:val="00AB5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08"/>
  </w:style>
  <w:style w:type="paragraph" w:styleId="Footer">
    <w:name w:val="footer"/>
    <w:basedOn w:val="Normal"/>
    <w:link w:val="FooterChar"/>
    <w:uiPriority w:val="99"/>
    <w:unhideWhenUsed/>
    <w:rsid w:val="00AB5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08"/>
  </w:style>
  <w:style w:type="character" w:styleId="CommentReference">
    <w:name w:val="annotation reference"/>
    <w:basedOn w:val="DefaultParagraphFont"/>
    <w:uiPriority w:val="99"/>
    <w:semiHidden/>
    <w:unhideWhenUsed/>
    <w:rsid w:val="00CD1582"/>
    <w:rPr>
      <w:sz w:val="16"/>
      <w:szCs w:val="16"/>
    </w:rPr>
  </w:style>
  <w:style w:type="paragraph" w:styleId="CommentText">
    <w:name w:val="annotation text"/>
    <w:basedOn w:val="Normal"/>
    <w:link w:val="CommentTextChar"/>
    <w:uiPriority w:val="99"/>
    <w:semiHidden/>
    <w:unhideWhenUsed/>
    <w:rsid w:val="00CD1582"/>
    <w:pPr>
      <w:spacing w:line="240" w:lineRule="auto"/>
    </w:pPr>
    <w:rPr>
      <w:sz w:val="20"/>
      <w:szCs w:val="20"/>
    </w:rPr>
  </w:style>
  <w:style w:type="character" w:customStyle="1" w:styleId="CommentTextChar">
    <w:name w:val="Comment Text Char"/>
    <w:basedOn w:val="DefaultParagraphFont"/>
    <w:link w:val="CommentText"/>
    <w:uiPriority w:val="99"/>
    <w:semiHidden/>
    <w:rsid w:val="00CD1582"/>
    <w:rPr>
      <w:sz w:val="20"/>
      <w:szCs w:val="20"/>
    </w:rPr>
  </w:style>
  <w:style w:type="paragraph" w:styleId="CommentSubject">
    <w:name w:val="annotation subject"/>
    <w:basedOn w:val="CommentText"/>
    <w:next w:val="CommentText"/>
    <w:link w:val="CommentSubjectChar"/>
    <w:uiPriority w:val="99"/>
    <w:semiHidden/>
    <w:unhideWhenUsed/>
    <w:rsid w:val="00CD1582"/>
    <w:rPr>
      <w:b/>
      <w:bCs/>
    </w:rPr>
  </w:style>
  <w:style w:type="character" w:customStyle="1" w:styleId="CommentSubjectChar">
    <w:name w:val="Comment Subject Char"/>
    <w:basedOn w:val="CommentTextChar"/>
    <w:link w:val="CommentSubject"/>
    <w:uiPriority w:val="99"/>
    <w:semiHidden/>
    <w:rsid w:val="00CD1582"/>
    <w:rPr>
      <w:b/>
      <w:bCs/>
      <w:sz w:val="20"/>
      <w:szCs w:val="20"/>
    </w:rPr>
  </w:style>
  <w:style w:type="character" w:styleId="Hyperlink">
    <w:name w:val="Hyperlink"/>
    <w:basedOn w:val="DefaultParagraphFont"/>
    <w:uiPriority w:val="99"/>
    <w:unhideWhenUsed/>
    <w:rsid w:val="007800B9"/>
    <w:rPr>
      <w:color w:val="0000FF"/>
      <w:u w:val="single"/>
    </w:rPr>
  </w:style>
  <w:style w:type="character" w:styleId="UnresolvedMention">
    <w:name w:val="Unresolved Mention"/>
    <w:basedOn w:val="DefaultParagraphFont"/>
    <w:uiPriority w:val="99"/>
    <w:semiHidden/>
    <w:unhideWhenUsed/>
    <w:rsid w:val="00425D95"/>
    <w:rPr>
      <w:color w:val="605E5C"/>
      <w:shd w:val="clear" w:color="auto" w:fill="E1DFDD"/>
    </w:rPr>
  </w:style>
  <w:style w:type="character" w:styleId="FollowedHyperlink">
    <w:name w:val="FollowedHyperlink"/>
    <w:basedOn w:val="DefaultParagraphFont"/>
    <w:uiPriority w:val="99"/>
    <w:semiHidden/>
    <w:unhideWhenUsed/>
    <w:rsid w:val="00AF34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4479">
      <w:bodyDiv w:val="1"/>
      <w:marLeft w:val="0"/>
      <w:marRight w:val="0"/>
      <w:marTop w:val="0"/>
      <w:marBottom w:val="0"/>
      <w:divBdr>
        <w:top w:val="none" w:sz="0" w:space="0" w:color="auto"/>
        <w:left w:val="none" w:sz="0" w:space="0" w:color="auto"/>
        <w:bottom w:val="none" w:sz="0" w:space="0" w:color="auto"/>
        <w:right w:val="none" w:sz="0" w:space="0" w:color="auto"/>
      </w:divBdr>
    </w:div>
    <w:div w:id="38020138">
      <w:bodyDiv w:val="1"/>
      <w:marLeft w:val="0"/>
      <w:marRight w:val="0"/>
      <w:marTop w:val="0"/>
      <w:marBottom w:val="0"/>
      <w:divBdr>
        <w:top w:val="none" w:sz="0" w:space="0" w:color="auto"/>
        <w:left w:val="none" w:sz="0" w:space="0" w:color="auto"/>
        <w:bottom w:val="none" w:sz="0" w:space="0" w:color="auto"/>
        <w:right w:val="none" w:sz="0" w:space="0" w:color="auto"/>
      </w:divBdr>
    </w:div>
    <w:div w:id="598873953">
      <w:bodyDiv w:val="1"/>
      <w:marLeft w:val="0"/>
      <w:marRight w:val="0"/>
      <w:marTop w:val="0"/>
      <w:marBottom w:val="0"/>
      <w:divBdr>
        <w:top w:val="none" w:sz="0" w:space="0" w:color="auto"/>
        <w:left w:val="none" w:sz="0" w:space="0" w:color="auto"/>
        <w:bottom w:val="none" w:sz="0" w:space="0" w:color="auto"/>
        <w:right w:val="none" w:sz="0" w:space="0" w:color="auto"/>
      </w:divBdr>
    </w:div>
    <w:div w:id="1033924215">
      <w:bodyDiv w:val="1"/>
      <w:marLeft w:val="0"/>
      <w:marRight w:val="0"/>
      <w:marTop w:val="0"/>
      <w:marBottom w:val="0"/>
      <w:divBdr>
        <w:top w:val="none" w:sz="0" w:space="0" w:color="auto"/>
        <w:left w:val="none" w:sz="0" w:space="0" w:color="auto"/>
        <w:bottom w:val="none" w:sz="0" w:space="0" w:color="auto"/>
        <w:right w:val="none" w:sz="0" w:space="0" w:color="auto"/>
      </w:divBdr>
    </w:div>
    <w:div w:id="1200555134">
      <w:bodyDiv w:val="1"/>
      <w:marLeft w:val="0"/>
      <w:marRight w:val="0"/>
      <w:marTop w:val="0"/>
      <w:marBottom w:val="0"/>
      <w:divBdr>
        <w:top w:val="none" w:sz="0" w:space="0" w:color="auto"/>
        <w:left w:val="none" w:sz="0" w:space="0" w:color="auto"/>
        <w:bottom w:val="none" w:sz="0" w:space="0" w:color="auto"/>
        <w:right w:val="none" w:sz="0" w:space="0" w:color="auto"/>
      </w:divBdr>
    </w:div>
    <w:div w:id="1245990746">
      <w:bodyDiv w:val="1"/>
      <w:marLeft w:val="0"/>
      <w:marRight w:val="0"/>
      <w:marTop w:val="0"/>
      <w:marBottom w:val="0"/>
      <w:divBdr>
        <w:top w:val="none" w:sz="0" w:space="0" w:color="auto"/>
        <w:left w:val="none" w:sz="0" w:space="0" w:color="auto"/>
        <w:bottom w:val="none" w:sz="0" w:space="0" w:color="auto"/>
        <w:right w:val="none" w:sz="0" w:space="0" w:color="auto"/>
      </w:divBdr>
    </w:div>
    <w:div w:id="1593005370">
      <w:bodyDiv w:val="1"/>
      <w:marLeft w:val="0"/>
      <w:marRight w:val="0"/>
      <w:marTop w:val="0"/>
      <w:marBottom w:val="0"/>
      <w:divBdr>
        <w:top w:val="none" w:sz="0" w:space="0" w:color="auto"/>
        <w:left w:val="none" w:sz="0" w:space="0" w:color="auto"/>
        <w:bottom w:val="none" w:sz="0" w:space="0" w:color="auto"/>
        <w:right w:val="none" w:sz="0" w:space="0" w:color="auto"/>
      </w:divBdr>
    </w:div>
    <w:div w:id="1731155199">
      <w:bodyDiv w:val="1"/>
      <w:marLeft w:val="0"/>
      <w:marRight w:val="0"/>
      <w:marTop w:val="0"/>
      <w:marBottom w:val="0"/>
      <w:divBdr>
        <w:top w:val="none" w:sz="0" w:space="0" w:color="auto"/>
        <w:left w:val="none" w:sz="0" w:space="0" w:color="auto"/>
        <w:bottom w:val="none" w:sz="0" w:space="0" w:color="auto"/>
        <w:right w:val="none" w:sz="0" w:space="0" w:color="auto"/>
      </w:divBdr>
    </w:div>
    <w:div w:id="20134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3" Type="http://schemas.openxmlformats.org/officeDocument/2006/relationships/settings" Target="settings.xml"/><Relationship Id="rId7" Type="http://schemas.openxmlformats.org/officeDocument/2006/relationships/hyperlink" Target="https://manas.tiesas.lv/eTiesasMvc/nolemumi/pdf/4963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C336-1890-4A99-95B2-A400E393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6410</Words>
  <Characters>3655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2023-02-24T11:08:00Z</dcterms:created>
  <dcterms:modified xsi:type="dcterms:W3CDTF">2023-02-24T11:08:00Z</dcterms:modified>
</cp:coreProperties>
</file>