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95E59" w14:textId="6C04FC68" w:rsidR="00FA5F16" w:rsidRPr="00FA5F16" w:rsidRDefault="00FA5F16" w:rsidP="00FA5F16">
      <w:pPr>
        <w:tabs>
          <w:tab w:val="left" w:pos="567"/>
        </w:tabs>
        <w:spacing w:line="276" w:lineRule="auto"/>
        <w:jc w:val="both"/>
        <w:rPr>
          <w:b/>
          <w:bCs/>
        </w:rPr>
      </w:pPr>
      <w:r w:rsidRPr="00FA5F16">
        <w:rPr>
          <w:b/>
          <w:bCs/>
        </w:rPr>
        <w:t>Eiropas Savienības Tiesas spriedumā sniegtā tiesību normu interpretācija nav atzīstama par jaunatklātu apstākli Administratīvā procesa likuma izpratnē</w:t>
      </w:r>
    </w:p>
    <w:p w14:paraId="702F5EC4" w14:textId="77777777" w:rsidR="00FA5F16" w:rsidRDefault="00FA5F16" w:rsidP="00FA5F16">
      <w:pPr>
        <w:autoSpaceDE w:val="0"/>
        <w:autoSpaceDN w:val="0"/>
        <w:spacing w:line="276" w:lineRule="auto"/>
        <w:jc w:val="both"/>
        <w:rPr>
          <w:lang w:eastAsia="en-US"/>
        </w:rPr>
      </w:pPr>
      <w:r>
        <w:t>Par jaunatklātiem apstākļiem Administratīvā procesa likuma izpratnē atzīstami būtiski faktiskie lietas apstākļi, kas pastāvēja lietas izskatīšanas laikā, bet nebija zināmi tiesai. Apstākļi, kas attiecas uz tiesību normu interpretāciju un piemērošanu, kā arī tiesu praksē izteiktās atziņas nav lietas faktiskie apstākļi, tādēļ tos nevar atzīt par jaunatklātiem apstākļiem Administratīvā procesa likuma izpratnē.</w:t>
      </w:r>
    </w:p>
    <w:p w14:paraId="645368C8" w14:textId="77777777" w:rsidR="00FA5F16" w:rsidRDefault="00FA5F16" w:rsidP="00FA5F16">
      <w:pPr>
        <w:autoSpaceDE w:val="0"/>
        <w:autoSpaceDN w:val="0"/>
        <w:spacing w:line="276" w:lineRule="auto"/>
        <w:jc w:val="both"/>
        <w:rPr>
          <w:lang w:val="en-US"/>
        </w:rPr>
      </w:pPr>
      <w:r>
        <w:t>Lietas jaunas izskatīšanas priekšnoteikumi kā izņēmums no vispārējās kārtības interpretējami šauri. Administratīvā procesa likums neparedz atcelt spriedumu sakarā ar jaunatklātiem apstākļiem tādēļ, ka ar citā lietā vēlāk spēkā stājušos Eiropas Savienības Tiesas spriedumu sniegta tiesību normu interpretācija vai izteikta</w:t>
      </w:r>
      <w:bookmarkStart w:id="0" w:name="_GoBack"/>
      <w:bookmarkEnd w:id="0"/>
      <w:r>
        <w:t>s atziņas, kas nesakrīt ar lietā taisītajā spriedumā esošajām. Šāds lietas jaunas izskatīšanas pamats nebūtu pieļaujams arī pēc būtības, jo, ņemot vērā tiesību attīstību un tai sekojošās izmaiņas tiesu praksē, tas nesamērīgi ietekmētu tiesiskās stabilitātes principu.</w:t>
      </w:r>
    </w:p>
    <w:p w14:paraId="102C3E61" w14:textId="6EE7A9EE" w:rsidR="00BA57C4" w:rsidRPr="00ED765D" w:rsidRDefault="00BA57C4" w:rsidP="00FA5F16">
      <w:pPr>
        <w:pStyle w:val="BodyText2"/>
        <w:spacing w:after="0" w:line="276" w:lineRule="auto"/>
        <w:rPr>
          <w:rFonts w:asciiTheme="majorBidi" w:hAnsiTheme="majorBidi" w:cstheme="majorBidi"/>
          <w:lang w:val="lv-LV"/>
        </w:rPr>
      </w:pPr>
    </w:p>
    <w:p w14:paraId="6326D310" w14:textId="77777777" w:rsidR="00FA5F16" w:rsidRPr="00FA5F16" w:rsidRDefault="00FA5F16" w:rsidP="00FA5F16">
      <w:pPr>
        <w:spacing w:line="276" w:lineRule="auto"/>
        <w:jc w:val="center"/>
        <w:rPr>
          <w:rFonts w:asciiTheme="majorBidi" w:hAnsiTheme="majorBidi" w:cstheme="majorBidi"/>
          <w:b/>
        </w:rPr>
      </w:pPr>
      <w:r w:rsidRPr="00FA5F16">
        <w:rPr>
          <w:rFonts w:asciiTheme="majorBidi" w:hAnsiTheme="majorBidi" w:cstheme="majorBidi"/>
          <w:b/>
        </w:rPr>
        <w:t>Latvijas Republikas Senāta</w:t>
      </w:r>
    </w:p>
    <w:p w14:paraId="30A5EE78" w14:textId="77777777" w:rsidR="00FA5F16" w:rsidRPr="00FA5F16" w:rsidRDefault="00FA5F16" w:rsidP="00FA5F16">
      <w:pPr>
        <w:spacing w:line="276" w:lineRule="auto"/>
        <w:jc w:val="center"/>
        <w:rPr>
          <w:rFonts w:asciiTheme="majorBidi" w:hAnsiTheme="majorBidi" w:cstheme="majorBidi"/>
          <w:b/>
        </w:rPr>
      </w:pPr>
      <w:r w:rsidRPr="00FA5F16">
        <w:rPr>
          <w:rFonts w:asciiTheme="majorBidi" w:hAnsiTheme="majorBidi" w:cstheme="majorBidi"/>
          <w:b/>
        </w:rPr>
        <w:t>Administratīvo lietu departamenta</w:t>
      </w:r>
    </w:p>
    <w:p w14:paraId="0C61CFAE" w14:textId="7D83B69E" w:rsidR="00BA57C4" w:rsidRPr="00FA5F16" w:rsidRDefault="00FA5F16" w:rsidP="00FA5F16">
      <w:pPr>
        <w:spacing w:line="276" w:lineRule="auto"/>
        <w:jc w:val="center"/>
        <w:rPr>
          <w:rFonts w:asciiTheme="majorBidi" w:hAnsiTheme="majorBidi" w:cstheme="majorBidi"/>
          <w:b/>
        </w:rPr>
      </w:pPr>
      <w:r w:rsidRPr="00FA5F16">
        <w:rPr>
          <w:rFonts w:asciiTheme="majorBidi" w:hAnsiTheme="majorBidi" w:cstheme="majorBidi"/>
          <w:b/>
        </w:rPr>
        <w:t xml:space="preserve">2023.gada 10.janvāra </w:t>
      </w:r>
      <w:r w:rsidR="00BA57C4" w:rsidRPr="00FA5F16">
        <w:rPr>
          <w:rFonts w:asciiTheme="majorBidi" w:hAnsiTheme="majorBidi" w:cstheme="majorBidi"/>
          <w:b/>
        </w:rPr>
        <w:t xml:space="preserve"> </w:t>
      </w:r>
    </w:p>
    <w:p w14:paraId="1F6901C8" w14:textId="77777777" w:rsidR="00BA57C4" w:rsidRPr="00FA5F16" w:rsidRDefault="00BA57C4" w:rsidP="00FA5F16">
      <w:pPr>
        <w:spacing w:line="276" w:lineRule="auto"/>
        <w:jc w:val="center"/>
        <w:rPr>
          <w:rFonts w:asciiTheme="majorBidi" w:hAnsiTheme="majorBidi" w:cstheme="majorBidi"/>
          <w:b/>
        </w:rPr>
      </w:pPr>
      <w:r w:rsidRPr="00FA5F16">
        <w:rPr>
          <w:rFonts w:asciiTheme="majorBidi" w:hAnsiTheme="majorBidi" w:cstheme="majorBidi"/>
          <w:b/>
        </w:rPr>
        <w:t>RĪCĪBAS SĒDES LĒMUMS</w:t>
      </w:r>
    </w:p>
    <w:p w14:paraId="40ABECAA" w14:textId="77777777" w:rsidR="00FA5F16" w:rsidRPr="00FA5F16" w:rsidRDefault="00FA5F16" w:rsidP="00FA5F16">
      <w:pPr>
        <w:tabs>
          <w:tab w:val="left" w:pos="567"/>
        </w:tabs>
        <w:spacing w:line="276" w:lineRule="auto"/>
        <w:jc w:val="center"/>
        <w:rPr>
          <w:rFonts w:asciiTheme="majorBidi" w:hAnsiTheme="majorBidi" w:cstheme="majorBidi"/>
          <w:b/>
        </w:rPr>
      </w:pPr>
      <w:r w:rsidRPr="00FA5F16">
        <w:rPr>
          <w:rFonts w:asciiTheme="majorBidi" w:hAnsiTheme="majorBidi" w:cstheme="majorBidi"/>
          <w:b/>
        </w:rPr>
        <w:t>Lieta Nr. </w:t>
      </w:r>
      <w:r w:rsidRPr="00FA5F16">
        <w:rPr>
          <w:b/>
        </w:rPr>
        <w:t>A420526213</w:t>
      </w:r>
      <w:r w:rsidRPr="00FA5F16">
        <w:rPr>
          <w:rFonts w:asciiTheme="majorBidi" w:hAnsiTheme="majorBidi" w:cstheme="majorBidi"/>
          <w:b/>
        </w:rPr>
        <w:t>, SKA-420/2023</w:t>
      </w:r>
    </w:p>
    <w:p w14:paraId="7E5C9423" w14:textId="44C14D19" w:rsidR="00FA5F16" w:rsidRPr="00FA5F16" w:rsidRDefault="00FA5F16" w:rsidP="00FA5F16">
      <w:pPr>
        <w:spacing w:line="276" w:lineRule="auto"/>
        <w:jc w:val="center"/>
        <w:rPr>
          <w:rFonts w:asciiTheme="majorBidi" w:hAnsiTheme="majorBidi" w:cstheme="majorBidi"/>
        </w:rPr>
      </w:pPr>
      <w:hyperlink r:id="rId8" w:history="1">
        <w:r w:rsidRPr="00FA5F16">
          <w:rPr>
            <w:rStyle w:val="Hyperlink"/>
            <w:rFonts w:asciiTheme="majorBidi" w:hAnsiTheme="majorBidi" w:cstheme="majorBidi"/>
          </w:rPr>
          <w:t>ECLI:LV:AT:2023:0110.A420526213.7.L</w:t>
        </w:r>
      </w:hyperlink>
      <w:r w:rsidRPr="00FA5F16">
        <w:rPr>
          <w:rFonts w:asciiTheme="majorBidi" w:hAnsiTheme="majorBidi" w:cstheme="majorBidi"/>
        </w:rPr>
        <w:t xml:space="preserve"> </w:t>
      </w:r>
    </w:p>
    <w:p w14:paraId="3F9C3441" w14:textId="77777777" w:rsidR="00BA57C4" w:rsidRPr="00ED765D" w:rsidRDefault="00BA57C4" w:rsidP="00FA5F16">
      <w:pPr>
        <w:spacing w:line="276" w:lineRule="auto"/>
        <w:ind w:firstLine="567"/>
        <w:jc w:val="both"/>
        <w:rPr>
          <w:rFonts w:asciiTheme="majorBidi" w:hAnsiTheme="majorBidi" w:cstheme="majorBidi"/>
        </w:rPr>
      </w:pPr>
    </w:p>
    <w:p w14:paraId="48F5AE8F" w14:textId="7632B340" w:rsidR="00A035D3" w:rsidRPr="00A035D3" w:rsidRDefault="00BA57C4" w:rsidP="00FA5F16">
      <w:pPr>
        <w:spacing w:line="276" w:lineRule="auto"/>
        <w:ind w:firstLine="567"/>
        <w:jc w:val="both"/>
        <w:rPr>
          <w:rFonts w:asciiTheme="majorBidi" w:hAnsiTheme="majorBidi" w:cstheme="majorBidi"/>
        </w:rPr>
      </w:pPr>
      <w:r w:rsidRPr="00ED765D">
        <w:rPr>
          <w:rFonts w:asciiTheme="majorBidi" w:hAnsiTheme="majorBidi" w:cstheme="majorBidi"/>
        </w:rPr>
        <w:t xml:space="preserve">[1] Senātā saņemta </w:t>
      </w:r>
      <w:r w:rsidRPr="00A035D3">
        <w:rPr>
          <w:rFonts w:asciiTheme="majorBidi" w:hAnsiTheme="majorBidi" w:cstheme="majorBidi"/>
        </w:rPr>
        <w:t>pieteicēja</w:t>
      </w:r>
      <w:r w:rsidR="00A035D3" w:rsidRPr="00A035D3">
        <w:rPr>
          <w:rFonts w:asciiTheme="majorBidi" w:hAnsiTheme="majorBidi" w:cstheme="majorBidi"/>
        </w:rPr>
        <w:t>s</w:t>
      </w:r>
      <w:r w:rsidR="002B729A" w:rsidRPr="00A035D3">
        <w:rPr>
          <w:rFonts w:asciiTheme="majorBidi" w:hAnsiTheme="majorBidi" w:cstheme="majorBidi"/>
        </w:rPr>
        <w:t xml:space="preserve"> </w:t>
      </w:r>
      <w:r w:rsidR="00A035D3" w:rsidRPr="00A035D3">
        <w:t>SIA</w:t>
      </w:r>
      <w:r w:rsidR="00A035D3">
        <w:t> </w:t>
      </w:r>
      <w:r w:rsidR="00A035D3" w:rsidRPr="00A035D3">
        <w:t>„Greencarrier Freight Services Latvia”</w:t>
      </w:r>
      <w:r w:rsidRPr="00A035D3">
        <w:rPr>
          <w:rFonts w:asciiTheme="majorBidi" w:hAnsiTheme="majorBidi" w:cstheme="majorBidi"/>
        </w:rPr>
        <w:t xml:space="preserve"> blakus sūdzība </w:t>
      </w:r>
      <w:r w:rsidR="004520F1" w:rsidRPr="00A035D3">
        <w:rPr>
          <w:rFonts w:asciiTheme="majorBidi" w:hAnsiTheme="majorBidi" w:cstheme="majorBidi"/>
        </w:rPr>
        <w:t xml:space="preserve">par Administratīvās </w:t>
      </w:r>
      <w:r w:rsidR="00A035D3" w:rsidRPr="00A035D3">
        <w:rPr>
          <w:rFonts w:asciiTheme="majorBidi" w:hAnsiTheme="majorBidi" w:cstheme="majorBidi"/>
        </w:rPr>
        <w:t>apgabal</w:t>
      </w:r>
      <w:r w:rsidR="004520F1" w:rsidRPr="00A035D3">
        <w:rPr>
          <w:rFonts w:asciiTheme="majorBidi" w:hAnsiTheme="majorBidi" w:cstheme="majorBidi"/>
        </w:rPr>
        <w:t>tiesas 202</w:t>
      </w:r>
      <w:r w:rsidR="0077654F" w:rsidRPr="00A035D3">
        <w:rPr>
          <w:rFonts w:asciiTheme="majorBidi" w:hAnsiTheme="majorBidi" w:cstheme="majorBidi"/>
        </w:rPr>
        <w:t>2</w:t>
      </w:r>
      <w:r w:rsidR="004520F1" w:rsidRPr="00A035D3">
        <w:rPr>
          <w:rFonts w:asciiTheme="majorBidi" w:hAnsiTheme="majorBidi" w:cstheme="majorBidi"/>
        </w:rPr>
        <w:t>.</w:t>
      </w:r>
      <w:r w:rsidR="00812A0A" w:rsidRPr="00A035D3">
        <w:rPr>
          <w:rFonts w:asciiTheme="majorBidi" w:hAnsiTheme="majorBidi" w:cstheme="majorBidi"/>
        </w:rPr>
        <w:t> </w:t>
      </w:r>
      <w:r w:rsidR="004520F1" w:rsidRPr="00A035D3">
        <w:rPr>
          <w:rFonts w:asciiTheme="majorBidi" w:hAnsiTheme="majorBidi" w:cstheme="majorBidi"/>
        </w:rPr>
        <w:t xml:space="preserve">gada </w:t>
      </w:r>
      <w:r w:rsidR="00A035D3" w:rsidRPr="00A035D3">
        <w:rPr>
          <w:rFonts w:asciiTheme="majorBidi" w:hAnsiTheme="majorBidi" w:cstheme="majorBidi"/>
        </w:rPr>
        <w:t>27. oktobra</w:t>
      </w:r>
      <w:r w:rsidR="0077654F" w:rsidRPr="00A035D3">
        <w:rPr>
          <w:rFonts w:asciiTheme="majorBidi" w:hAnsiTheme="majorBidi" w:cstheme="majorBidi"/>
        </w:rPr>
        <w:t xml:space="preserve"> lēmumu, ar kuru</w:t>
      </w:r>
      <w:r w:rsidR="00A035D3">
        <w:rPr>
          <w:rFonts w:asciiTheme="majorBidi" w:hAnsiTheme="majorBidi" w:cstheme="majorBidi"/>
        </w:rPr>
        <w:t xml:space="preserve"> n</w:t>
      </w:r>
      <w:r w:rsidR="00A035D3">
        <w:t>o</w:t>
      </w:r>
      <w:r w:rsidR="00A035D3">
        <w:lastRenderedPageBreak/>
        <w:t>raidīts pieteicējas pieteikums par administratīvās lietas Nr. A420526213 jaunu izskatīšanu sakarā ar jaunatklātiem apstākļiem.</w:t>
      </w:r>
    </w:p>
    <w:p w14:paraId="5AA2878B" w14:textId="77777777" w:rsidR="00EA13DC" w:rsidRDefault="00EA13DC" w:rsidP="00FA5F16">
      <w:pPr>
        <w:spacing w:line="276" w:lineRule="auto"/>
        <w:ind w:firstLine="567"/>
        <w:jc w:val="both"/>
      </w:pPr>
    </w:p>
    <w:p w14:paraId="4EB09DCC" w14:textId="236D5DE7" w:rsidR="00673D0B" w:rsidRPr="00673D0B" w:rsidRDefault="00EA13DC" w:rsidP="00FA5F16">
      <w:pPr>
        <w:spacing w:line="276" w:lineRule="auto"/>
        <w:ind w:firstLine="567"/>
        <w:jc w:val="both"/>
      </w:pPr>
      <w:r>
        <w:t>[2]</w:t>
      </w:r>
      <w:r w:rsidR="00A035D3">
        <w:t> Ar Administratīvās apgabaltiesas 2017.</w:t>
      </w:r>
      <w:r w:rsidR="00673D0B">
        <w:t> </w:t>
      </w:r>
      <w:r w:rsidR="00A035D3">
        <w:t>gada 22.</w:t>
      </w:r>
      <w:r w:rsidR="00673D0B">
        <w:t> </w:t>
      </w:r>
      <w:r w:rsidR="00A035D3">
        <w:t xml:space="preserve">maija spriedumu noraidīts pieteicējas pieteikums par Valsts ieņēmumu dienesta lēmuma atcelšanu daļā, ar kuru pieteicējai noteikts </w:t>
      </w:r>
      <w:r w:rsidR="000955C9">
        <w:t xml:space="preserve">samaksāt </w:t>
      </w:r>
      <w:r w:rsidR="00A035D3">
        <w:t>pievienotās vērtības nodokli, nokavējuma naud</w:t>
      </w:r>
      <w:r w:rsidR="000955C9">
        <w:t>u</w:t>
      </w:r>
      <w:r w:rsidR="00A035D3">
        <w:t xml:space="preserve"> un soda naud</w:t>
      </w:r>
      <w:r w:rsidR="000955C9">
        <w:t>u</w:t>
      </w:r>
      <w:r w:rsidR="00A035D3">
        <w:t>. Ar Senāta 2020.</w:t>
      </w:r>
      <w:r w:rsidR="00673D0B">
        <w:t> </w:t>
      </w:r>
      <w:r w:rsidR="00A035D3">
        <w:t>gada 30.</w:t>
      </w:r>
      <w:r w:rsidR="00673D0B">
        <w:t> </w:t>
      </w:r>
      <w:r w:rsidR="00A035D3">
        <w:t>novembra spriedumu apgabaltiesas spriedums atstāts negrozīts.</w:t>
      </w:r>
    </w:p>
    <w:p w14:paraId="4038BDD9" w14:textId="57B7BC08" w:rsidR="00673D0B" w:rsidRDefault="00673D0B" w:rsidP="00FA5F16">
      <w:pPr>
        <w:spacing w:line="276" w:lineRule="auto"/>
        <w:ind w:firstLine="567"/>
        <w:jc w:val="both"/>
      </w:pPr>
      <w:r w:rsidRPr="00673D0B">
        <w:t xml:space="preserve">Administratīvajā apgabaltiesā 2022. gada 16. augustā saņemts pieteicējas pieteikums </w:t>
      </w:r>
      <w:r w:rsidRPr="00673D0B">
        <w:lastRenderedPageBreak/>
        <w:t>par administratīvās lietas jaunu izskatīšanu sakarā ar jaunatklātiem apstākļiem. Kā jaunatklātu apstākli pieteicēja norādījusi Eiropas Savienības Tiesas 2022. gada 12. maija spriedumā lietā C-714/20</w:t>
      </w:r>
      <w:r w:rsidR="001B453A">
        <w:t xml:space="preserve"> (turpmāk – T</w:t>
      </w:r>
      <w:r w:rsidR="000955C9">
        <w:t>iesas</w:t>
      </w:r>
      <w:r w:rsidR="001B453A">
        <w:t xml:space="preserve"> spriedums</w:t>
      </w:r>
      <w:r w:rsidR="005F640F">
        <w:t xml:space="preserve"> </w:t>
      </w:r>
      <w:r w:rsidR="005F640F" w:rsidRPr="00673D0B">
        <w:t>C-714/20</w:t>
      </w:r>
      <w:r w:rsidR="005F640F">
        <w:t xml:space="preserve">) </w:t>
      </w:r>
      <w:r w:rsidRPr="00673D0B">
        <w:t>sniegto Padomes 2006.</w:t>
      </w:r>
      <w:r>
        <w:t> </w:t>
      </w:r>
      <w:r w:rsidRPr="00673D0B">
        <w:t>gada 28.</w:t>
      </w:r>
      <w:r>
        <w:t> </w:t>
      </w:r>
      <w:r w:rsidRPr="00673D0B">
        <w:t>novembra Direktīvas 2006/112/EK par kopējo pievienotās vērtības nodokļa sistēmu 201.</w:t>
      </w:r>
      <w:r>
        <w:t> </w:t>
      </w:r>
      <w:r w:rsidRPr="00673D0B">
        <w:t xml:space="preserve">panta interpretāciju. </w:t>
      </w:r>
    </w:p>
    <w:p w14:paraId="013E7059" w14:textId="06639736" w:rsidR="00673D0B" w:rsidRPr="00B57C68" w:rsidRDefault="00673D0B" w:rsidP="00FA5F16">
      <w:pPr>
        <w:spacing w:line="276" w:lineRule="auto"/>
        <w:ind w:firstLine="567"/>
        <w:jc w:val="both"/>
      </w:pPr>
      <w:r>
        <w:t xml:space="preserve">Ar </w:t>
      </w:r>
      <w:r w:rsidR="005F640F">
        <w:t xml:space="preserve">pārsūdzēto </w:t>
      </w:r>
      <w:r>
        <w:t>apgabaltiesas 2022.</w:t>
      </w:r>
      <w:r w:rsidR="00396E62">
        <w:t> </w:t>
      </w:r>
      <w:r>
        <w:t>gada 27.</w:t>
      </w:r>
      <w:r w:rsidR="00396E62">
        <w:t> </w:t>
      </w:r>
      <w:r>
        <w:t>oktobra lēmumu pieteikums par administratīvās lietas jaunu izskatīšanu sakarā ar jaunatklātiem apstākļiem noraidīts.</w:t>
      </w:r>
      <w:r w:rsidR="00396E62">
        <w:t xml:space="preserve"> </w:t>
      </w:r>
      <w:r w:rsidR="00B57C68">
        <w:rPr>
          <w:color w:val="000000"/>
          <w:shd w:val="clear" w:color="auto" w:fill="FFFFFF"/>
        </w:rPr>
        <w:t xml:space="preserve">Apgabaltiesa atzina, ka Administratīvās apgabaltiesas 2017. gada 22. maija spriedums un Senāta </w:t>
      </w:r>
      <w:r w:rsidR="00B57C68">
        <w:lastRenderedPageBreak/>
        <w:t xml:space="preserve">2020. gada 30. novembra </w:t>
      </w:r>
      <w:r w:rsidR="00B57C68">
        <w:rPr>
          <w:color w:val="000000"/>
          <w:shd w:val="clear" w:color="auto" w:fill="FFFFFF"/>
        </w:rPr>
        <w:t xml:space="preserve">spriedums atbilst Tiesas spriedumā C-714/20 </w:t>
      </w:r>
      <w:r w:rsidR="00B57C68" w:rsidRPr="00B57C68">
        <w:rPr>
          <w:color w:val="000000"/>
          <w:shd w:val="clear" w:color="auto" w:fill="FFFFFF"/>
        </w:rPr>
        <w:t>sniegt</w:t>
      </w:r>
      <w:r w:rsidR="00B57C68">
        <w:rPr>
          <w:color w:val="000000"/>
          <w:shd w:val="clear" w:color="auto" w:fill="FFFFFF"/>
        </w:rPr>
        <w:t>ajai</w:t>
      </w:r>
      <w:r w:rsidR="00B57C68" w:rsidRPr="00B57C68">
        <w:rPr>
          <w:color w:val="000000"/>
          <w:shd w:val="clear" w:color="auto" w:fill="FFFFFF"/>
        </w:rPr>
        <w:t xml:space="preserve"> Direktīvas 2006/112/EK </w:t>
      </w:r>
      <w:r w:rsidR="003E7004" w:rsidRPr="00673D0B">
        <w:t xml:space="preserve">par kopējo pievienotās vērtības nodokļa sistēmu </w:t>
      </w:r>
      <w:r w:rsidR="00B57C68" w:rsidRPr="00B57C68">
        <w:rPr>
          <w:color w:val="000000"/>
          <w:shd w:val="clear" w:color="auto" w:fill="FFFFFF"/>
        </w:rPr>
        <w:t>201.</w:t>
      </w:r>
      <w:r w:rsidR="003E7004">
        <w:rPr>
          <w:color w:val="000000"/>
          <w:shd w:val="clear" w:color="auto" w:fill="FFFFFF"/>
        </w:rPr>
        <w:t> </w:t>
      </w:r>
      <w:r w:rsidR="00B57C68" w:rsidRPr="00B57C68">
        <w:rPr>
          <w:color w:val="000000"/>
          <w:shd w:val="clear" w:color="auto" w:fill="FFFFFF"/>
        </w:rPr>
        <w:t>panta interpretācija</w:t>
      </w:r>
      <w:r w:rsidR="00B57C68">
        <w:rPr>
          <w:color w:val="000000"/>
          <w:shd w:val="clear" w:color="auto" w:fill="FFFFFF"/>
        </w:rPr>
        <w:t xml:space="preserve">i un </w:t>
      </w:r>
      <w:r w:rsidR="00121622">
        <w:rPr>
          <w:color w:val="000000"/>
          <w:shd w:val="clear" w:color="auto" w:fill="FFFFFF"/>
        </w:rPr>
        <w:t>šī interpretācija</w:t>
      </w:r>
      <w:r w:rsidR="00B57C68" w:rsidRPr="00B57C68">
        <w:rPr>
          <w:color w:val="000000"/>
          <w:shd w:val="clear" w:color="auto" w:fill="FFFFFF"/>
        </w:rPr>
        <w:t xml:space="preserve"> nav atzīstama par jaunatklātu apstākli Administratīvā procesa likuma 353.</w:t>
      </w:r>
      <w:r w:rsidR="00CE64CE">
        <w:rPr>
          <w:color w:val="000000"/>
          <w:shd w:val="clear" w:color="auto" w:fill="FFFFFF"/>
        </w:rPr>
        <w:t> </w:t>
      </w:r>
      <w:r w:rsidR="00B57C68" w:rsidRPr="00B57C68">
        <w:rPr>
          <w:color w:val="000000"/>
          <w:shd w:val="clear" w:color="auto" w:fill="FFFFFF"/>
        </w:rPr>
        <w:t>panta 1.</w:t>
      </w:r>
      <w:r w:rsidR="00CE64CE">
        <w:rPr>
          <w:color w:val="000000"/>
          <w:shd w:val="clear" w:color="auto" w:fill="FFFFFF"/>
        </w:rPr>
        <w:t> </w:t>
      </w:r>
      <w:r w:rsidR="00B57C68" w:rsidRPr="00B57C68">
        <w:rPr>
          <w:color w:val="000000"/>
          <w:shd w:val="clear" w:color="auto" w:fill="FFFFFF"/>
        </w:rPr>
        <w:t>punkta izpratnē.</w:t>
      </w:r>
    </w:p>
    <w:p w14:paraId="0A433762" w14:textId="77777777" w:rsidR="00A035D3" w:rsidRPr="00326EDA" w:rsidRDefault="00A035D3" w:rsidP="00FA5F16">
      <w:pPr>
        <w:spacing w:line="276" w:lineRule="auto"/>
        <w:ind w:firstLine="567"/>
        <w:jc w:val="both"/>
        <w:rPr>
          <w:rFonts w:asciiTheme="majorBidi" w:hAnsiTheme="majorBidi" w:cstheme="majorBidi"/>
        </w:rPr>
      </w:pPr>
    </w:p>
    <w:p w14:paraId="707C5FA9" w14:textId="1B769555" w:rsidR="005F640F" w:rsidRDefault="002F3FB4" w:rsidP="00FA5F16">
      <w:pPr>
        <w:spacing w:line="276" w:lineRule="auto"/>
        <w:ind w:firstLine="567"/>
        <w:jc w:val="both"/>
        <w:rPr>
          <w:rFonts w:asciiTheme="majorBidi" w:hAnsiTheme="majorBidi" w:cstheme="majorBidi"/>
        </w:rPr>
      </w:pPr>
      <w:r w:rsidRPr="00ED765D">
        <w:rPr>
          <w:rFonts w:asciiTheme="majorBidi" w:hAnsiTheme="majorBidi" w:cstheme="majorBidi"/>
        </w:rPr>
        <w:t>[</w:t>
      </w:r>
      <w:r w:rsidR="00002C1C">
        <w:rPr>
          <w:rFonts w:asciiTheme="majorBidi" w:hAnsiTheme="majorBidi" w:cstheme="majorBidi"/>
        </w:rPr>
        <w:t>3</w:t>
      </w:r>
      <w:r w:rsidRPr="00ED765D">
        <w:rPr>
          <w:rFonts w:asciiTheme="majorBidi" w:hAnsiTheme="majorBidi" w:cstheme="majorBidi"/>
        </w:rPr>
        <w:t>]</w:t>
      </w:r>
      <w:r w:rsidR="00E830F5">
        <w:rPr>
          <w:rFonts w:asciiTheme="majorBidi" w:hAnsiTheme="majorBidi" w:cstheme="majorBidi"/>
        </w:rPr>
        <w:t> </w:t>
      </w:r>
      <w:r w:rsidR="004D1AF1" w:rsidRPr="00F2544D">
        <w:rPr>
          <w:rFonts w:asciiTheme="majorBidi" w:hAnsiTheme="majorBidi" w:cstheme="majorBidi"/>
        </w:rPr>
        <w:t>Pārbaud</w:t>
      </w:r>
      <w:r w:rsidR="004D1AF1">
        <w:rPr>
          <w:rFonts w:asciiTheme="majorBidi" w:hAnsiTheme="majorBidi" w:cstheme="majorBidi"/>
        </w:rPr>
        <w:t>ījusi</w:t>
      </w:r>
      <w:r w:rsidR="004D1AF1" w:rsidRPr="00F2544D">
        <w:rPr>
          <w:rFonts w:asciiTheme="majorBidi" w:hAnsiTheme="majorBidi" w:cstheme="majorBidi"/>
        </w:rPr>
        <w:t xml:space="preserve"> </w:t>
      </w:r>
      <w:r w:rsidR="004D1AF1">
        <w:rPr>
          <w:rFonts w:asciiTheme="majorBidi" w:hAnsiTheme="majorBidi" w:cstheme="majorBidi"/>
        </w:rPr>
        <w:t>pārsūdzēto</w:t>
      </w:r>
      <w:r w:rsidR="004D1AF1" w:rsidRPr="00F2544D">
        <w:rPr>
          <w:rFonts w:asciiTheme="majorBidi" w:hAnsiTheme="majorBidi" w:cstheme="majorBidi"/>
        </w:rPr>
        <w:t xml:space="preserve"> lēmumu</w:t>
      </w:r>
      <w:r w:rsidR="004D1AF1">
        <w:rPr>
          <w:rFonts w:asciiTheme="majorBidi" w:hAnsiTheme="majorBidi" w:cstheme="majorBidi"/>
        </w:rPr>
        <w:t>, blakus sūdzību</w:t>
      </w:r>
      <w:r w:rsidR="004D1AF1" w:rsidRPr="00F2544D">
        <w:rPr>
          <w:rFonts w:asciiTheme="majorBidi" w:hAnsiTheme="majorBidi" w:cstheme="majorBidi"/>
        </w:rPr>
        <w:t xml:space="preserve"> un lietas apstākļus</w:t>
      </w:r>
      <w:r w:rsidR="004D1AF1" w:rsidRPr="00ED765D">
        <w:rPr>
          <w:rFonts w:asciiTheme="majorBidi" w:hAnsiTheme="majorBidi" w:cstheme="majorBidi"/>
        </w:rPr>
        <w:t>, senatoru kolēģija atzīst</w:t>
      </w:r>
      <w:r w:rsidR="00002C1C">
        <w:rPr>
          <w:rFonts w:asciiTheme="majorBidi" w:hAnsiTheme="majorBidi" w:cstheme="majorBidi"/>
        </w:rPr>
        <w:t xml:space="preserve">, </w:t>
      </w:r>
      <w:r w:rsidR="00002C1C">
        <w:rPr>
          <w:rFonts w:ascii="TimesNewRomanPSMT" w:eastAsiaTheme="minorHAnsi" w:hAnsi="TimesNewRomanPSMT" w:cs="TimesNewRomanPSMT"/>
          <w:lang w:eastAsia="en-US"/>
        </w:rPr>
        <w:t xml:space="preserve">ka tiesa ir </w:t>
      </w:r>
      <w:r w:rsidR="00002C1C" w:rsidRPr="006E1100">
        <w:rPr>
          <w:rFonts w:ascii="TimesNewRomanPSMT" w:eastAsiaTheme="minorHAnsi" w:hAnsi="TimesNewRomanPSMT" w:cs="TimesNewRomanPSMT"/>
          <w:lang w:eastAsia="en-US"/>
        </w:rPr>
        <w:t>pamatoti secināj</w:t>
      </w:r>
      <w:r w:rsidR="00002C1C">
        <w:rPr>
          <w:rFonts w:ascii="TimesNewRomanPSMT" w:eastAsiaTheme="minorHAnsi" w:hAnsi="TimesNewRomanPSMT" w:cs="TimesNewRomanPSMT"/>
          <w:lang w:eastAsia="en-US"/>
        </w:rPr>
        <w:t>usi</w:t>
      </w:r>
      <w:r w:rsidR="00002C1C" w:rsidRPr="006E1100">
        <w:rPr>
          <w:rFonts w:ascii="TimesNewRomanPSMT" w:eastAsiaTheme="minorHAnsi" w:hAnsi="TimesNewRomanPSMT" w:cs="TimesNewRomanPSMT"/>
          <w:lang w:eastAsia="en-US"/>
        </w:rPr>
        <w:t xml:space="preserve">, ka </w:t>
      </w:r>
      <w:r w:rsidR="005F640F">
        <w:t>T</w:t>
      </w:r>
      <w:r w:rsidR="00F136F5">
        <w:t>iesas</w:t>
      </w:r>
      <w:r w:rsidR="005F640F">
        <w:t xml:space="preserve"> spriedumā </w:t>
      </w:r>
      <w:r w:rsidR="005F640F" w:rsidRPr="00673D0B">
        <w:t>C-714/20</w:t>
      </w:r>
      <w:r w:rsidR="005F640F">
        <w:t xml:space="preserve"> sniegtā direktīvas normas interpretācija nav atzīstama par </w:t>
      </w:r>
      <w:r w:rsidR="005F640F" w:rsidRPr="007F45C7">
        <w:rPr>
          <w:rFonts w:asciiTheme="majorBidi" w:hAnsiTheme="majorBidi" w:cstheme="majorBidi"/>
        </w:rPr>
        <w:t>jaunatklātu apstākli Administratīvā procesa likuma 353.</w:t>
      </w:r>
      <w:r w:rsidR="005F640F">
        <w:rPr>
          <w:rFonts w:asciiTheme="majorBidi" w:hAnsiTheme="majorBidi" w:cstheme="majorBidi"/>
        </w:rPr>
        <w:t> </w:t>
      </w:r>
      <w:r w:rsidR="005F640F" w:rsidRPr="007F45C7">
        <w:rPr>
          <w:rFonts w:asciiTheme="majorBidi" w:hAnsiTheme="majorBidi" w:cstheme="majorBidi"/>
        </w:rPr>
        <w:t>panta 1.</w:t>
      </w:r>
      <w:r w:rsidR="005F640F">
        <w:rPr>
          <w:rFonts w:asciiTheme="majorBidi" w:hAnsiTheme="majorBidi" w:cstheme="majorBidi"/>
        </w:rPr>
        <w:t> </w:t>
      </w:r>
      <w:r w:rsidR="005F640F" w:rsidRPr="007F45C7">
        <w:rPr>
          <w:rFonts w:asciiTheme="majorBidi" w:hAnsiTheme="majorBidi" w:cstheme="majorBidi"/>
        </w:rPr>
        <w:t>punkta izpratnē</w:t>
      </w:r>
      <w:r w:rsidR="001F67A5">
        <w:rPr>
          <w:rFonts w:asciiTheme="majorBidi" w:hAnsiTheme="majorBidi" w:cstheme="majorBidi"/>
        </w:rPr>
        <w:t>.</w:t>
      </w:r>
    </w:p>
    <w:p w14:paraId="1B4523BF" w14:textId="467907FD" w:rsidR="001F67A5" w:rsidRDefault="001F67A5" w:rsidP="00FA5F16">
      <w:pPr>
        <w:spacing w:line="276" w:lineRule="auto"/>
        <w:ind w:firstLine="567"/>
        <w:jc w:val="both"/>
        <w:rPr>
          <w:rFonts w:asciiTheme="majorBidi" w:hAnsiTheme="majorBidi" w:cstheme="majorBidi"/>
        </w:rPr>
      </w:pPr>
    </w:p>
    <w:p w14:paraId="10853FE3" w14:textId="4A590359" w:rsidR="007D55A6" w:rsidRDefault="001F67A5" w:rsidP="00FA5F16">
      <w:pPr>
        <w:spacing w:line="276" w:lineRule="auto"/>
        <w:ind w:firstLine="567"/>
        <w:jc w:val="both"/>
      </w:pPr>
      <w:r>
        <w:rPr>
          <w:rFonts w:asciiTheme="majorBidi" w:hAnsiTheme="majorBidi" w:cstheme="majorBidi"/>
        </w:rPr>
        <w:t>[4] </w:t>
      </w:r>
      <w:r>
        <w:t>Par jaunatklātiem apstākļiem Administratīvā procesa likuma 353.</w:t>
      </w:r>
      <w:r w:rsidR="00347CA8">
        <w:t> </w:t>
      </w:r>
      <w:r>
        <w:t xml:space="preserve">panta 1. punkta izpratnē atzīstami būtiski </w:t>
      </w:r>
      <w:r w:rsidRPr="005C32D8">
        <w:rPr>
          <w:i/>
          <w:iCs/>
        </w:rPr>
        <w:t>faktiskie</w:t>
      </w:r>
      <w:r>
        <w:t xml:space="preserve"> lietas apstākļi, kas pastāvēja lietas izskatīšanas laikā, bet nebija zināmi tiesai</w:t>
      </w:r>
      <w:r w:rsidR="005E6D36">
        <w:t xml:space="preserve"> </w:t>
      </w:r>
      <w:r w:rsidR="00883014">
        <w:t>(</w:t>
      </w:r>
      <w:r w:rsidRPr="001F67A5">
        <w:rPr>
          <w:i/>
          <w:iCs/>
        </w:rPr>
        <w:t>Senāta 2017.</w:t>
      </w:r>
      <w:r w:rsidR="0003651F">
        <w:rPr>
          <w:i/>
          <w:iCs/>
        </w:rPr>
        <w:t> </w:t>
      </w:r>
      <w:r w:rsidRPr="001F67A5">
        <w:rPr>
          <w:i/>
          <w:iCs/>
        </w:rPr>
        <w:t>gada 6.</w:t>
      </w:r>
      <w:r w:rsidR="0003651F">
        <w:rPr>
          <w:i/>
          <w:iCs/>
        </w:rPr>
        <w:t> </w:t>
      </w:r>
      <w:r w:rsidRPr="001F67A5">
        <w:rPr>
          <w:i/>
          <w:iCs/>
        </w:rPr>
        <w:t>februāra rīcības sēdes lēmuma lietā Nr.</w:t>
      </w:r>
      <w:r w:rsidR="00713A04">
        <w:rPr>
          <w:i/>
          <w:iCs/>
        </w:rPr>
        <w:t> </w:t>
      </w:r>
      <w:r w:rsidRPr="001F67A5">
        <w:rPr>
          <w:i/>
          <w:iCs/>
        </w:rPr>
        <w:t>SJA-6/2017 3.</w:t>
      </w:r>
      <w:r w:rsidR="0003651F">
        <w:rPr>
          <w:i/>
          <w:iCs/>
        </w:rPr>
        <w:t> </w:t>
      </w:r>
      <w:r w:rsidRPr="001F67A5">
        <w:rPr>
          <w:i/>
          <w:iCs/>
        </w:rPr>
        <w:t>punkts</w:t>
      </w:r>
      <w:r>
        <w:t>).</w:t>
      </w:r>
      <w:r w:rsidR="0003651F">
        <w:t xml:space="preserve"> Senāts</w:t>
      </w:r>
      <w:r w:rsidR="007D55A6">
        <w:t xml:space="preserve"> šajā sakarā</w:t>
      </w:r>
      <w:r w:rsidR="0003651F">
        <w:t xml:space="preserve"> vairākkārt atzinis, ka apstākļi, kas attiecas uz tiesību normu interpretāciju un piemērošanu, kā arī tiesu praksē izteiktās atziņas </w:t>
      </w:r>
      <w:r w:rsidR="0003651F" w:rsidRPr="0003651F">
        <w:rPr>
          <w:i/>
          <w:iCs/>
        </w:rPr>
        <w:t>nav lietas faktiskie apstākļi</w:t>
      </w:r>
      <w:r w:rsidR="0003651F">
        <w:t xml:space="preserve">, tādēļ tos acīmredzami nevar atzīt par jaunatklātiem apstākļiem Administratīvā procesa likuma 353. panta 1. punkta izpratnē (piemēram, </w:t>
      </w:r>
      <w:r w:rsidR="0003651F" w:rsidRPr="0003651F">
        <w:rPr>
          <w:i/>
          <w:iCs/>
        </w:rPr>
        <w:t xml:space="preserve">Senāta 2021. gada </w:t>
      </w:r>
      <w:r w:rsidR="0003651F" w:rsidRPr="0003651F">
        <w:rPr>
          <w:i/>
          <w:iCs/>
        </w:rPr>
        <w:lastRenderedPageBreak/>
        <w:t>26. aprīļa lēmuma lietā Nr. SKA-948/2021,</w:t>
      </w:r>
      <w:r w:rsidR="005E6D36">
        <w:rPr>
          <w:i/>
          <w:iCs/>
        </w:rPr>
        <w:t xml:space="preserve"> </w:t>
      </w:r>
      <w:r w:rsidR="0003651F" w:rsidRPr="0003651F">
        <w:rPr>
          <w:i/>
          <w:iCs/>
        </w:rPr>
        <w:t>ECLI:LV:AT:2021:0426.A420316817.21.L, 5. punkts, 2018. gada 18. decembra lēmuma lietā Nr.</w:t>
      </w:r>
      <w:r w:rsidR="00713A04">
        <w:rPr>
          <w:i/>
          <w:iCs/>
        </w:rPr>
        <w:t> </w:t>
      </w:r>
      <w:r w:rsidR="0003651F" w:rsidRPr="0003651F">
        <w:rPr>
          <w:i/>
          <w:iCs/>
        </w:rPr>
        <w:t>SKA-1663/2018,</w:t>
      </w:r>
      <w:r w:rsidR="00713A04">
        <w:rPr>
          <w:i/>
          <w:iCs/>
        </w:rPr>
        <w:t xml:space="preserve"> </w:t>
      </w:r>
      <w:r w:rsidR="0003651F" w:rsidRPr="0003651F">
        <w:rPr>
          <w:i/>
          <w:iCs/>
        </w:rPr>
        <w:t>ECLI:LV:AT:2018:1218.A420255516.9.L, 3. punkts</w:t>
      </w:r>
      <w:r w:rsidR="0003651F">
        <w:t>).</w:t>
      </w:r>
      <w:r w:rsidR="007D55A6">
        <w:t xml:space="preserve"> </w:t>
      </w:r>
    </w:p>
    <w:p w14:paraId="6E6E88B2" w14:textId="41DF59BF" w:rsidR="001F67A5" w:rsidRPr="007D55A6" w:rsidRDefault="005E6D36" w:rsidP="00FA5F16">
      <w:pPr>
        <w:spacing w:line="276" w:lineRule="auto"/>
        <w:ind w:firstLine="567"/>
        <w:jc w:val="both"/>
      </w:pPr>
      <w:r>
        <w:t xml:space="preserve">Tāpat Senāts atzinis, ka lietas jaunas izskatīšanas priekšnoteikumi kā izņēmums no vispārējās kārtības interpretējami šauri. </w:t>
      </w:r>
      <w:r w:rsidR="00321345">
        <w:t xml:space="preserve">Administratīvā procesa likums neparedz atcelt spriedumu sakarā ar jaunatklātiem apstākļiem tādēļ, ka ar </w:t>
      </w:r>
      <w:r w:rsidR="002930DF">
        <w:t xml:space="preserve">citā lietā </w:t>
      </w:r>
      <w:r w:rsidR="00321345">
        <w:t>vēlāk spēkā stājušos Eiropas Savienības Tiesas spriedumu sniegta tiesību normu interpretācija vai izteiktas atziņas</w:t>
      </w:r>
      <w:r w:rsidR="00121622">
        <w:t>, kas</w:t>
      </w:r>
      <w:r w:rsidR="00321345">
        <w:t xml:space="preserve"> nesakrīt ar lietā taisītajā </w:t>
      </w:r>
      <w:r w:rsidR="00321345">
        <w:lastRenderedPageBreak/>
        <w:t xml:space="preserve">spriedumā esošajām. </w:t>
      </w:r>
      <w:r>
        <w:t>Šāds lietas</w:t>
      </w:r>
      <w:r w:rsidR="00321345">
        <w:t xml:space="preserve"> </w:t>
      </w:r>
      <w:r>
        <w:t>jaunas izskatīšanas pamats nebūtu pieļaujams arī pēc būtības, jo, ņemot vērā tiesību attīstību un tai sekojošās izmaiņas tiesu praksē, tas nesamērīgi ietekmētu tiesiskās stabilitātes principu (</w:t>
      </w:r>
      <w:r w:rsidR="00121622" w:rsidRPr="0003651F">
        <w:rPr>
          <w:i/>
          <w:iCs/>
        </w:rPr>
        <w:t>Senāta 2021. gada 26. aprīļa lēmuma lietā Nr. SKA-948/2021,</w:t>
      </w:r>
      <w:r w:rsidR="00121622">
        <w:rPr>
          <w:i/>
          <w:iCs/>
        </w:rPr>
        <w:t xml:space="preserve"> </w:t>
      </w:r>
      <w:r w:rsidR="00121622" w:rsidRPr="0003651F">
        <w:rPr>
          <w:i/>
          <w:iCs/>
        </w:rPr>
        <w:t xml:space="preserve">ECLI:LV:AT:2021:0426.A420316817.21.L, </w:t>
      </w:r>
      <w:r w:rsidR="00121622" w:rsidRPr="00121622">
        <w:rPr>
          <w:i/>
          <w:iCs/>
        </w:rPr>
        <w:t>5. punkts</w:t>
      </w:r>
      <w:r>
        <w:t>).</w:t>
      </w:r>
    </w:p>
    <w:p w14:paraId="52D68D54" w14:textId="0E0FDA18" w:rsidR="001F67A5" w:rsidRDefault="005E6D36" w:rsidP="00FA5F16">
      <w:pPr>
        <w:spacing w:line="276" w:lineRule="auto"/>
        <w:ind w:firstLine="567"/>
        <w:jc w:val="both"/>
      </w:pPr>
      <w:r w:rsidRPr="00946F20">
        <w:rPr>
          <w:rFonts w:asciiTheme="majorBidi" w:hAnsiTheme="majorBidi" w:cstheme="majorBidi"/>
        </w:rPr>
        <w:t xml:space="preserve">Ievērojot minēto, </w:t>
      </w:r>
      <w:r w:rsidRPr="00946F20">
        <w:t>T</w:t>
      </w:r>
      <w:r w:rsidR="003E7004">
        <w:t>iesas</w:t>
      </w:r>
      <w:r w:rsidRPr="00946F20">
        <w:t xml:space="preserve"> spriedumā</w:t>
      </w:r>
      <w:r>
        <w:t xml:space="preserve"> </w:t>
      </w:r>
      <w:r w:rsidRPr="00673D0B">
        <w:t>C-714/20</w:t>
      </w:r>
      <w:r>
        <w:t xml:space="preserve"> sniegtā direktīvas normas interpretācija nevar tikt atzīta par jaunatklātu apstākli Administratīvā procesa likuma 353. panta 1. punkta izpratnē</w:t>
      </w:r>
      <w:r w:rsidR="007D55A6">
        <w:t xml:space="preserve">. </w:t>
      </w:r>
      <w:r>
        <w:t>Tāpat jāņem vērā, ka n</w:t>
      </w:r>
      <w:r w:rsidR="005C32D8">
        <w:t xml:space="preserve">o </w:t>
      </w:r>
      <w:r w:rsidR="005C32D8">
        <w:lastRenderedPageBreak/>
        <w:t xml:space="preserve">blakus sūdzības satura kopumā izriet, ka pieteicēja turpina izteikt argumentus par lietu pēc būtības un nepiekrīt Senāta spriedumā šajā lietā sniegtajai </w:t>
      </w:r>
      <w:r w:rsidR="005C32D8" w:rsidRPr="00673D0B">
        <w:t>likuma „Par pievienotās vērtības nodokli”</w:t>
      </w:r>
      <w:r w:rsidR="005C32D8">
        <w:t xml:space="preserve"> normu interpretācijai. Tomēr, kā</w:t>
      </w:r>
      <w:r w:rsidR="005C32D8">
        <w:rPr>
          <w:rFonts w:asciiTheme="majorBidi" w:hAnsiTheme="majorBidi" w:cstheme="majorBidi"/>
        </w:rPr>
        <w:t xml:space="preserve"> </w:t>
      </w:r>
      <w:r>
        <w:rPr>
          <w:rFonts w:asciiTheme="majorBidi" w:hAnsiTheme="majorBidi" w:cstheme="majorBidi"/>
        </w:rPr>
        <w:t xml:space="preserve">konsekventi </w:t>
      </w:r>
      <w:r w:rsidR="005C32D8">
        <w:rPr>
          <w:rFonts w:asciiTheme="majorBidi" w:hAnsiTheme="majorBidi" w:cstheme="majorBidi"/>
        </w:rPr>
        <w:t>atzī</w:t>
      </w:r>
      <w:r w:rsidR="0003651F">
        <w:rPr>
          <w:rFonts w:asciiTheme="majorBidi" w:hAnsiTheme="majorBidi" w:cstheme="majorBidi"/>
        </w:rPr>
        <w:t xml:space="preserve">ts </w:t>
      </w:r>
      <w:r w:rsidR="001F67A5">
        <w:t xml:space="preserve">Senāta praksē, </w:t>
      </w:r>
      <w:r>
        <w:t xml:space="preserve">dalībnieka papildu argumenti nav atzīstami par jaunatklātiem apstākļiem </w:t>
      </w:r>
      <w:r w:rsidRPr="007F45C7">
        <w:rPr>
          <w:rFonts w:asciiTheme="majorBidi" w:hAnsiTheme="majorBidi" w:cstheme="majorBidi"/>
        </w:rPr>
        <w:t>Administratīvā procesa likuma 353.</w:t>
      </w:r>
      <w:r>
        <w:rPr>
          <w:rFonts w:asciiTheme="majorBidi" w:hAnsiTheme="majorBidi" w:cstheme="majorBidi"/>
        </w:rPr>
        <w:t> </w:t>
      </w:r>
      <w:r w:rsidRPr="007F45C7">
        <w:rPr>
          <w:rFonts w:asciiTheme="majorBidi" w:hAnsiTheme="majorBidi" w:cstheme="majorBidi"/>
        </w:rPr>
        <w:t>panta 1.</w:t>
      </w:r>
      <w:r>
        <w:rPr>
          <w:rFonts w:asciiTheme="majorBidi" w:hAnsiTheme="majorBidi" w:cstheme="majorBidi"/>
        </w:rPr>
        <w:t> </w:t>
      </w:r>
      <w:r w:rsidRPr="007F45C7">
        <w:rPr>
          <w:rFonts w:asciiTheme="majorBidi" w:hAnsiTheme="majorBidi" w:cstheme="majorBidi"/>
        </w:rPr>
        <w:t>punkta izpratnē</w:t>
      </w:r>
      <w:r>
        <w:rPr>
          <w:rFonts w:asciiTheme="majorBidi" w:hAnsiTheme="majorBidi" w:cstheme="majorBidi"/>
        </w:rPr>
        <w:t>.</w:t>
      </w:r>
      <w:r>
        <w:t xml:space="preserve"> L</w:t>
      </w:r>
      <w:r w:rsidR="001F67A5">
        <w:t>ietas jauna izskatīšana sakarā ar jaunatklātiem apstākļiem nav izmantojama kā alternatīva nolēmuma pārskatīšanai (</w:t>
      </w:r>
      <w:r w:rsidR="005C32D8" w:rsidRPr="005C32D8">
        <w:rPr>
          <w:i/>
          <w:iCs/>
        </w:rPr>
        <w:t xml:space="preserve">Senāta </w:t>
      </w:r>
      <w:r w:rsidR="001F67A5" w:rsidRPr="005C32D8">
        <w:rPr>
          <w:i/>
          <w:iCs/>
        </w:rPr>
        <w:t>2014.</w:t>
      </w:r>
      <w:r w:rsidR="00085287">
        <w:rPr>
          <w:i/>
          <w:iCs/>
        </w:rPr>
        <w:t> </w:t>
      </w:r>
      <w:r w:rsidR="001F67A5" w:rsidRPr="005C32D8">
        <w:rPr>
          <w:i/>
          <w:iCs/>
        </w:rPr>
        <w:t>gada 8.</w:t>
      </w:r>
      <w:r w:rsidR="00085287">
        <w:rPr>
          <w:i/>
          <w:iCs/>
        </w:rPr>
        <w:t> </w:t>
      </w:r>
      <w:r w:rsidR="001F67A5" w:rsidRPr="005C32D8">
        <w:rPr>
          <w:i/>
          <w:iCs/>
        </w:rPr>
        <w:t>decembra rīcības sēdes lēmuma lietā Nr.</w:t>
      </w:r>
      <w:r w:rsidR="00713A04">
        <w:rPr>
          <w:i/>
          <w:iCs/>
        </w:rPr>
        <w:t> </w:t>
      </w:r>
      <w:r w:rsidR="001F67A5" w:rsidRPr="005C32D8">
        <w:rPr>
          <w:i/>
          <w:iCs/>
        </w:rPr>
        <w:t>SJA-12/2014 5.</w:t>
      </w:r>
      <w:r w:rsidR="00085287">
        <w:rPr>
          <w:i/>
          <w:iCs/>
        </w:rPr>
        <w:t> </w:t>
      </w:r>
      <w:r w:rsidR="001F67A5" w:rsidRPr="005C32D8">
        <w:rPr>
          <w:i/>
          <w:iCs/>
        </w:rPr>
        <w:t>punkt</w:t>
      </w:r>
      <w:r w:rsidR="005C32D8" w:rsidRPr="005C32D8">
        <w:rPr>
          <w:i/>
          <w:iCs/>
        </w:rPr>
        <w:t>s</w:t>
      </w:r>
      <w:r w:rsidR="001F67A5">
        <w:t>).</w:t>
      </w:r>
    </w:p>
    <w:p w14:paraId="615FCD5F" w14:textId="77777777" w:rsidR="001F67A5" w:rsidRPr="00002C1C" w:rsidRDefault="001F67A5" w:rsidP="00FA5F16">
      <w:pPr>
        <w:spacing w:line="276" w:lineRule="auto"/>
        <w:ind w:firstLine="567"/>
        <w:jc w:val="both"/>
      </w:pPr>
    </w:p>
    <w:p w14:paraId="4422DEC7" w14:textId="60FA739E" w:rsidR="009627B4" w:rsidRPr="00ED765D" w:rsidRDefault="00FE3278" w:rsidP="00FA5F16">
      <w:pPr>
        <w:spacing w:line="276" w:lineRule="auto"/>
        <w:ind w:firstLine="567"/>
        <w:jc w:val="both"/>
        <w:rPr>
          <w:rFonts w:asciiTheme="majorBidi" w:hAnsiTheme="majorBidi" w:cstheme="majorBidi"/>
        </w:rPr>
      </w:pPr>
      <w:r w:rsidRPr="00ED765D">
        <w:rPr>
          <w:rFonts w:asciiTheme="majorBidi" w:hAnsiTheme="majorBidi" w:cstheme="majorBidi"/>
        </w:rPr>
        <w:lastRenderedPageBreak/>
        <w:t>[</w:t>
      </w:r>
      <w:r w:rsidR="004B2E08">
        <w:rPr>
          <w:rFonts w:asciiTheme="majorBidi" w:hAnsiTheme="majorBidi" w:cstheme="majorBidi"/>
        </w:rPr>
        <w:t>5</w:t>
      </w:r>
      <w:r w:rsidRPr="00ED765D">
        <w:rPr>
          <w:rFonts w:asciiTheme="majorBidi" w:hAnsiTheme="majorBidi" w:cstheme="majorBidi"/>
        </w:rPr>
        <w:t>]</w:t>
      </w:r>
      <w:r w:rsidR="009627B4" w:rsidRPr="00ED765D">
        <w:rPr>
          <w:rFonts w:asciiTheme="majorBidi" w:hAnsiTheme="majorBidi" w:cstheme="majorBidi"/>
        </w:rPr>
        <w:t> </w:t>
      </w:r>
      <w:r w:rsidR="004D1AF1">
        <w:t>Ievērojot minēto, senatoru kolēģija atzīst, ka pieteicēja</w:t>
      </w:r>
      <w:r w:rsidR="001F67A5">
        <w:t>s</w:t>
      </w:r>
      <w:r w:rsidR="004D1AF1">
        <w:t xml:space="preserve"> </w:t>
      </w:r>
      <w:r w:rsidR="004D1AF1" w:rsidRPr="008028ED">
        <w:t>blakus sūdzīb</w:t>
      </w:r>
      <w:r w:rsidR="004D1AF1">
        <w:t xml:space="preserve">a ir </w:t>
      </w:r>
      <w:r w:rsidR="004D1AF1" w:rsidRPr="008028ED">
        <w:t>acīmredzami nepamatot</w:t>
      </w:r>
      <w:r w:rsidR="004D1AF1">
        <w:t xml:space="preserve">a. Minētais atbilstoši </w:t>
      </w:r>
      <w:r w:rsidR="004D1AF1" w:rsidRPr="00F64141">
        <w:t>Administratīvā procesa likuma 320.</w:t>
      </w:r>
      <w:r w:rsidR="004D1AF1" w:rsidRPr="00F64141">
        <w:rPr>
          <w:vertAlign w:val="superscript"/>
        </w:rPr>
        <w:t>1</w:t>
      </w:r>
      <w:r w:rsidR="004C20C5">
        <w:rPr>
          <w:vertAlign w:val="superscript"/>
        </w:rPr>
        <w:t> </w:t>
      </w:r>
      <w:r w:rsidR="004D1AF1" w:rsidRPr="00F64141">
        <w:t xml:space="preserve">pantam </w:t>
      </w:r>
      <w:r w:rsidR="004D1AF1">
        <w:t>ir pamats atteikumam to izskatīt.</w:t>
      </w:r>
    </w:p>
    <w:p w14:paraId="1F009FCD" w14:textId="77777777" w:rsidR="004520F1" w:rsidRPr="00ED765D" w:rsidRDefault="004520F1" w:rsidP="00FA5F16">
      <w:pPr>
        <w:spacing w:line="276" w:lineRule="auto"/>
        <w:ind w:firstLine="567"/>
        <w:jc w:val="both"/>
        <w:rPr>
          <w:rFonts w:asciiTheme="majorBidi" w:hAnsiTheme="majorBidi" w:cstheme="majorBidi"/>
        </w:rPr>
      </w:pPr>
    </w:p>
    <w:p w14:paraId="162E8045" w14:textId="18D135E0" w:rsidR="00BA57C4" w:rsidRDefault="00BA57C4" w:rsidP="00FA5F16">
      <w:pPr>
        <w:spacing w:line="276" w:lineRule="auto"/>
        <w:ind w:firstLine="567"/>
        <w:jc w:val="both"/>
        <w:rPr>
          <w:rFonts w:asciiTheme="majorBidi" w:hAnsiTheme="majorBidi" w:cstheme="majorBidi"/>
        </w:rPr>
      </w:pPr>
      <w:r w:rsidRPr="00ED765D">
        <w:rPr>
          <w:rFonts w:asciiTheme="majorBidi" w:hAnsiTheme="majorBidi" w:cstheme="majorBidi"/>
        </w:rPr>
        <w:t>Pamatojoties uz Administratīvā procesa likuma 320.</w:t>
      </w:r>
      <w:r w:rsidRPr="00ED765D">
        <w:rPr>
          <w:rFonts w:asciiTheme="majorBidi" w:hAnsiTheme="majorBidi" w:cstheme="majorBidi"/>
          <w:vertAlign w:val="superscript"/>
        </w:rPr>
        <w:t>1</w:t>
      </w:r>
      <w:r w:rsidR="00DD33F9">
        <w:rPr>
          <w:rFonts w:asciiTheme="majorBidi" w:hAnsiTheme="majorBidi" w:cstheme="majorBidi"/>
          <w:vertAlign w:val="superscript"/>
        </w:rPr>
        <w:t> </w:t>
      </w:r>
      <w:r w:rsidRPr="00ED765D">
        <w:rPr>
          <w:rFonts w:asciiTheme="majorBidi" w:hAnsiTheme="majorBidi" w:cstheme="majorBidi"/>
        </w:rPr>
        <w:t>pantu</w:t>
      </w:r>
      <w:r w:rsidR="00931787" w:rsidRPr="00ED765D">
        <w:rPr>
          <w:rFonts w:asciiTheme="majorBidi" w:hAnsiTheme="majorBidi" w:cstheme="majorBidi"/>
        </w:rPr>
        <w:t>, 324.</w:t>
      </w:r>
      <w:r w:rsidR="00DD33F9">
        <w:rPr>
          <w:rFonts w:asciiTheme="majorBidi" w:hAnsiTheme="majorBidi" w:cstheme="majorBidi"/>
        </w:rPr>
        <w:t> </w:t>
      </w:r>
      <w:r w:rsidR="00931787" w:rsidRPr="00ED765D">
        <w:rPr>
          <w:rFonts w:asciiTheme="majorBidi" w:hAnsiTheme="majorBidi" w:cstheme="majorBidi"/>
        </w:rPr>
        <w:t>panta pirmo daļu</w:t>
      </w:r>
      <w:r w:rsidRPr="00ED765D">
        <w:rPr>
          <w:rFonts w:asciiTheme="majorBidi" w:hAnsiTheme="majorBidi" w:cstheme="majorBidi"/>
        </w:rPr>
        <w:t xml:space="preserve"> un 338.</w:t>
      </w:r>
      <w:r w:rsidR="00DD33F9">
        <w:rPr>
          <w:rFonts w:asciiTheme="majorBidi" w:hAnsiTheme="majorBidi" w:cstheme="majorBidi"/>
        </w:rPr>
        <w:t> </w:t>
      </w:r>
      <w:r w:rsidRPr="00ED765D">
        <w:rPr>
          <w:rFonts w:asciiTheme="majorBidi" w:hAnsiTheme="majorBidi" w:cstheme="majorBidi"/>
        </w:rPr>
        <w:t>panta astoto daļu, senatoru kolēģija</w:t>
      </w:r>
    </w:p>
    <w:p w14:paraId="14A63052" w14:textId="77777777" w:rsidR="00440107" w:rsidRPr="00ED765D" w:rsidRDefault="00440107" w:rsidP="00FA5F16">
      <w:pPr>
        <w:spacing w:line="276" w:lineRule="auto"/>
        <w:jc w:val="both"/>
        <w:rPr>
          <w:rFonts w:asciiTheme="majorBidi" w:hAnsiTheme="majorBidi" w:cstheme="majorBidi"/>
        </w:rPr>
      </w:pPr>
    </w:p>
    <w:p w14:paraId="1DE79DB2" w14:textId="77777777" w:rsidR="00BA57C4" w:rsidRPr="00ED765D" w:rsidRDefault="00BA57C4" w:rsidP="00FA5F16">
      <w:pPr>
        <w:tabs>
          <w:tab w:val="left" w:pos="2700"/>
          <w:tab w:val="left" w:pos="6660"/>
        </w:tabs>
        <w:spacing w:line="276" w:lineRule="auto"/>
        <w:jc w:val="center"/>
        <w:rPr>
          <w:rFonts w:asciiTheme="majorBidi" w:hAnsiTheme="majorBidi" w:cstheme="majorBidi"/>
          <w:b/>
        </w:rPr>
      </w:pPr>
      <w:r w:rsidRPr="00ED765D">
        <w:rPr>
          <w:rFonts w:asciiTheme="majorBidi" w:hAnsiTheme="majorBidi" w:cstheme="majorBidi"/>
          <w:b/>
        </w:rPr>
        <w:t>nolēma</w:t>
      </w:r>
    </w:p>
    <w:p w14:paraId="59997427" w14:textId="77777777" w:rsidR="00BA57C4" w:rsidRPr="00ED765D" w:rsidRDefault="00BA57C4" w:rsidP="00FA5F16">
      <w:pPr>
        <w:tabs>
          <w:tab w:val="left" w:pos="2700"/>
          <w:tab w:val="left" w:pos="6660"/>
        </w:tabs>
        <w:spacing w:line="276" w:lineRule="auto"/>
        <w:rPr>
          <w:rFonts w:asciiTheme="majorBidi" w:hAnsiTheme="majorBidi" w:cstheme="majorBidi"/>
          <w:b/>
          <w:bCs/>
        </w:rPr>
      </w:pPr>
    </w:p>
    <w:p w14:paraId="0567093D" w14:textId="7D842C92" w:rsidR="00FC7D1A" w:rsidRDefault="00FC7D1A" w:rsidP="00FA5F16">
      <w:pPr>
        <w:tabs>
          <w:tab w:val="left" w:pos="540"/>
          <w:tab w:val="left" w:pos="6660"/>
        </w:tabs>
        <w:spacing w:line="276" w:lineRule="auto"/>
        <w:ind w:firstLine="567"/>
        <w:jc w:val="both"/>
      </w:pPr>
      <w:r>
        <w:rPr>
          <w:rFonts w:asciiTheme="majorBidi" w:hAnsiTheme="majorBidi" w:cstheme="majorBidi"/>
        </w:rPr>
        <w:t>a</w:t>
      </w:r>
      <w:r w:rsidR="00BA57C4" w:rsidRPr="00ED765D">
        <w:rPr>
          <w:rFonts w:asciiTheme="majorBidi" w:hAnsiTheme="majorBidi" w:cstheme="majorBidi"/>
        </w:rPr>
        <w:t xml:space="preserve">tteikt izskatīt </w:t>
      </w:r>
      <w:r w:rsidR="005F640F" w:rsidRPr="00A035D3">
        <w:t>SIA</w:t>
      </w:r>
      <w:r w:rsidR="005F640F">
        <w:t> </w:t>
      </w:r>
      <w:r w:rsidR="005F640F" w:rsidRPr="00A035D3">
        <w:t>„Greencarrier Freight Services Latvia”</w:t>
      </w:r>
      <w:r w:rsidR="00BA57C4" w:rsidRPr="00ED765D">
        <w:rPr>
          <w:rFonts w:asciiTheme="majorBidi" w:hAnsiTheme="majorBidi" w:cstheme="majorBidi"/>
        </w:rPr>
        <w:t xml:space="preserve"> blakus sūdzību par </w:t>
      </w:r>
      <w:r w:rsidR="008C4976" w:rsidRPr="00ED765D">
        <w:rPr>
          <w:rFonts w:asciiTheme="majorBidi" w:hAnsiTheme="majorBidi" w:cstheme="majorBidi"/>
        </w:rPr>
        <w:t>Admi</w:t>
      </w:r>
      <w:r w:rsidR="008C4976" w:rsidRPr="00ED765D">
        <w:rPr>
          <w:rFonts w:asciiTheme="majorBidi" w:hAnsiTheme="majorBidi" w:cstheme="majorBidi"/>
        </w:rPr>
        <w:lastRenderedPageBreak/>
        <w:t xml:space="preserve">nistratīvās </w:t>
      </w:r>
      <w:r w:rsidR="001F67A5">
        <w:rPr>
          <w:rFonts w:asciiTheme="majorBidi" w:hAnsiTheme="majorBidi" w:cstheme="majorBidi"/>
        </w:rPr>
        <w:t>apgabal</w:t>
      </w:r>
      <w:r w:rsidR="008C4976" w:rsidRPr="00ED765D">
        <w:rPr>
          <w:rFonts w:asciiTheme="majorBidi" w:hAnsiTheme="majorBidi" w:cstheme="majorBidi"/>
        </w:rPr>
        <w:t xml:space="preserve">tiesas </w:t>
      </w:r>
      <w:r w:rsidR="001F67A5" w:rsidRPr="00A035D3">
        <w:rPr>
          <w:rFonts w:asciiTheme="majorBidi" w:hAnsiTheme="majorBidi" w:cstheme="majorBidi"/>
        </w:rPr>
        <w:t>2022. gada 27. oktobra lēmumu, ar kuru</w:t>
      </w:r>
      <w:r w:rsidR="001F67A5">
        <w:rPr>
          <w:rFonts w:asciiTheme="majorBidi" w:hAnsiTheme="majorBidi" w:cstheme="majorBidi"/>
        </w:rPr>
        <w:t xml:space="preserve"> n</w:t>
      </w:r>
      <w:r w:rsidR="001F67A5">
        <w:t xml:space="preserve">oraidīts </w:t>
      </w:r>
      <w:r w:rsidR="001F67A5" w:rsidRPr="00A035D3">
        <w:t>SIA</w:t>
      </w:r>
      <w:r w:rsidR="001F67A5">
        <w:t> </w:t>
      </w:r>
      <w:r w:rsidR="001F67A5" w:rsidRPr="00A035D3">
        <w:t>„Greencarrier Freight Services Latvia”</w:t>
      </w:r>
      <w:r w:rsidR="001F67A5">
        <w:t xml:space="preserve"> pieteikums par administratīvās lietas Nr. A420526213 jaunu izskatīšanu sakarā ar jaunatklātiem apstākļiem</w:t>
      </w:r>
    </w:p>
    <w:p w14:paraId="52AED573" w14:textId="77777777" w:rsidR="003E7004" w:rsidRPr="00ED765D" w:rsidRDefault="003E7004" w:rsidP="00FA5F16">
      <w:pPr>
        <w:tabs>
          <w:tab w:val="left" w:pos="540"/>
          <w:tab w:val="left" w:pos="6660"/>
        </w:tabs>
        <w:spacing w:line="276" w:lineRule="auto"/>
        <w:ind w:firstLine="567"/>
        <w:jc w:val="both"/>
        <w:rPr>
          <w:rFonts w:asciiTheme="majorBidi" w:hAnsiTheme="majorBidi" w:cstheme="majorBidi"/>
        </w:rPr>
      </w:pPr>
    </w:p>
    <w:p w14:paraId="2A848E61" w14:textId="4F3080C8" w:rsidR="004A52E8" w:rsidRPr="00ED765D" w:rsidRDefault="00BA57C4" w:rsidP="00FA5F16">
      <w:pPr>
        <w:tabs>
          <w:tab w:val="left" w:pos="540"/>
          <w:tab w:val="left" w:pos="6660"/>
        </w:tabs>
        <w:spacing w:line="276" w:lineRule="auto"/>
        <w:ind w:firstLine="567"/>
        <w:jc w:val="both"/>
        <w:rPr>
          <w:rFonts w:asciiTheme="majorBidi" w:hAnsiTheme="majorBidi" w:cstheme="majorBidi"/>
        </w:rPr>
      </w:pPr>
      <w:r w:rsidRPr="00ED765D">
        <w:rPr>
          <w:rFonts w:asciiTheme="majorBidi" w:hAnsiTheme="majorBidi" w:cstheme="majorBidi"/>
        </w:rPr>
        <w:t>Lēmums nav pārsūdzams.</w:t>
      </w:r>
    </w:p>
    <w:p w14:paraId="549FEC3D" w14:textId="46987056" w:rsidR="001E03B2" w:rsidRDefault="001E03B2" w:rsidP="00FA5F16">
      <w:pPr>
        <w:tabs>
          <w:tab w:val="left" w:pos="540"/>
          <w:tab w:val="left" w:pos="6660"/>
        </w:tabs>
        <w:spacing w:line="276" w:lineRule="auto"/>
        <w:ind w:firstLine="567"/>
        <w:jc w:val="both"/>
        <w:rPr>
          <w:rFonts w:asciiTheme="majorBidi" w:hAnsiTheme="majorBidi" w:cstheme="majorBidi"/>
        </w:rPr>
      </w:pPr>
    </w:p>
    <w:p w14:paraId="611A7612" w14:textId="77777777" w:rsidR="00440107" w:rsidRPr="00ED765D" w:rsidRDefault="00440107" w:rsidP="00FA5F16">
      <w:pPr>
        <w:tabs>
          <w:tab w:val="left" w:pos="540"/>
          <w:tab w:val="left" w:pos="6660"/>
        </w:tabs>
        <w:spacing w:line="276" w:lineRule="auto"/>
        <w:ind w:firstLine="567"/>
        <w:jc w:val="both"/>
        <w:rPr>
          <w:rFonts w:asciiTheme="majorBidi" w:hAnsiTheme="majorBidi" w:cstheme="majorBidi"/>
        </w:rPr>
      </w:pPr>
    </w:p>
    <w:p w14:paraId="2DCE771D" w14:textId="77777777" w:rsidR="00BA57C4" w:rsidRPr="00ED765D" w:rsidRDefault="00BA57C4" w:rsidP="00FA5F16">
      <w:pPr>
        <w:tabs>
          <w:tab w:val="left" w:pos="540"/>
          <w:tab w:val="left" w:pos="6660"/>
        </w:tabs>
        <w:spacing w:line="276" w:lineRule="auto"/>
        <w:ind w:firstLine="567"/>
        <w:jc w:val="both"/>
        <w:rPr>
          <w:rFonts w:asciiTheme="majorBidi" w:hAnsiTheme="majorBidi" w:cstheme="majorBidi"/>
        </w:rPr>
      </w:pPr>
    </w:p>
    <w:p w14:paraId="64BC4C54" w14:textId="77777777" w:rsidR="00BA57C4" w:rsidRPr="00ED765D" w:rsidRDefault="00BA57C4" w:rsidP="00FA5F16">
      <w:pPr>
        <w:spacing w:line="276" w:lineRule="auto"/>
        <w:jc w:val="right"/>
        <w:rPr>
          <w:rFonts w:asciiTheme="majorBidi" w:hAnsiTheme="majorBidi" w:cstheme="majorBidi"/>
        </w:rPr>
      </w:pPr>
    </w:p>
    <w:p w14:paraId="43F8EDF5" w14:textId="24BEA2BF" w:rsidR="00EC3FE0" w:rsidRPr="00ED765D" w:rsidRDefault="001E03B2" w:rsidP="00FA5F16">
      <w:pPr>
        <w:tabs>
          <w:tab w:val="center" w:pos="1701"/>
          <w:tab w:val="center" w:pos="4536"/>
          <w:tab w:val="center" w:pos="7371"/>
        </w:tabs>
        <w:spacing w:line="276" w:lineRule="auto"/>
        <w:ind w:firstLine="720"/>
        <w:jc w:val="both"/>
        <w:rPr>
          <w:rFonts w:asciiTheme="majorBidi" w:hAnsiTheme="majorBidi" w:cstheme="majorBidi"/>
        </w:rPr>
      </w:pPr>
      <w:r w:rsidRPr="00ED765D">
        <w:rPr>
          <w:rFonts w:asciiTheme="majorBidi" w:hAnsiTheme="majorBidi" w:cstheme="majorBidi"/>
        </w:rPr>
        <w:tab/>
      </w:r>
      <w:r w:rsidR="003826C5" w:rsidRPr="00ED765D">
        <w:rPr>
          <w:rFonts w:asciiTheme="majorBidi" w:hAnsiTheme="majorBidi" w:cstheme="majorBidi"/>
        </w:rPr>
        <w:t xml:space="preserve">Senatore </w:t>
      </w:r>
      <w:r w:rsidRPr="00ED765D">
        <w:rPr>
          <w:rFonts w:asciiTheme="majorBidi" w:hAnsiTheme="majorBidi" w:cstheme="majorBidi"/>
        </w:rPr>
        <w:t>V. Kakste</w:t>
      </w:r>
      <w:r w:rsidRPr="00ED765D">
        <w:rPr>
          <w:rFonts w:asciiTheme="majorBidi" w:hAnsiTheme="majorBidi" w:cstheme="majorBidi"/>
        </w:rPr>
        <w:tab/>
      </w:r>
      <w:r w:rsidR="003826C5" w:rsidRPr="00ED765D">
        <w:rPr>
          <w:rFonts w:asciiTheme="majorBidi" w:hAnsiTheme="majorBidi" w:cstheme="majorBidi"/>
        </w:rPr>
        <w:t xml:space="preserve">Senatore </w:t>
      </w:r>
      <w:r w:rsidR="002B729A">
        <w:rPr>
          <w:rFonts w:asciiTheme="majorBidi" w:hAnsiTheme="majorBidi" w:cstheme="majorBidi"/>
        </w:rPr>
        <w:t>A. Kovaļevska</w:t>
      </w:r>
      <w:r w:rsidRPr="00ED765D">
        <w:rPr>
          <w:rFonts w:asciiTheme="majorBidi" w:hAnsiTheme="majorBidi" w:cstheme="majorBidi"/>
        </w:rPr>
        <w:tab/>
      </w:r>
      <w:r w:rsidR="003826C5" w:rsidRPr="00ED765D">
        <w:rPr>
          <w:rFonts w:asciiTheme="majorBidi" w:hAnsiTheme="majorBidi" w:cstheme="majorBidi"/>
        </w:rPr>
        <w:t>Senator</w:t>
      </w:r>
      <w:r w:rsidR="002B729A">
        <w:rPr>
          <w:rFonts w:asciiTheme="majorBidi" w:hAnsiTheme="majorBidi" w:cstheme="majorBidi"/>
        </w:rPr>
        <w:t>s J. Pleps</w:t>
      </w:r>
    </w:p>
    <w:sectPr w:rsidR="00EC3FE0" w:rsidRPr="00ED765D" w:rsidSect="00FC7D1A">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5E574" w14:textId="77777777" w:rsidR="006524B6" w:rsidRDefault="006524B6" w:rsidP="00D657BA">
      <w:r>
        <w:separator/>
      </w:r>
    </w:p>
  </w:endnote>
  <w:endnote w:type="continuationSeparator" w:id="0">
    <w:p w14:paraId="737B6EBB" w14:textId="77777777" w:rsidR="006524B6" w:rsidRDefault="006524B6"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3DC8" w14:textId="0CD2C64C" w:rsidR="00EB473D" w:rsidRDefault="00BD6AF0" w:rsidP="00D657BA">
    <w:pPr>
      <w:pStyle w:val="Footer"/>
      <w:jc w:val="center"/>
    </w:pPr>
    <w:sdt>
      <w:sdtPr>
        <w:id w:val="-215201392"/>
        <w:docPartObj>
          <w:docPartGallery w:val="Page Numbers (Bottom of Page)"/>
          <w:docPartUnique/>
        </w:docPartObj>
      </w:sdtPr>
      <w:sdtEndPr>
        <w:rPr>
          <w:noProof/>
        </w:rPr>
      </w:sdtEndPr>
      <w:sdtContent>
        <w:r w:rsidR="00B57D73">
          <w:fldChar w:fldCharType="begin"/>
        </w:r>
        <w:r w:rsidR="00B57D73">
          <w:instrText xml:space="preserve"> PAGE   \* MERGEFORMAT </w:instrText>
        </w:r>
        <w:r w:rsidR="00B57D73">
          <w:fldChar w:fldCharType="separate"/>
        </w:r>
        <w:r>
          <w:rPr>
            <w:noProof/>
          </w:rPr>
          <w:t>2</w:t>
        </w:r>
        <w:r w:rsidR="00B57D73">
          <w:rPr>
            <w:noProof/>
          </w:rPr>
          <w:fldChar w:fldCharType="end"/>
        </w:r>
        <w:r w:rsidR="00B57D73">
          <w:rPr>
            <w:noProof/>
          </w:rPr>
          <w:t xml:space="preserve"> no </w:t>
        </w:r>
        <w:r w:rsidR="00ED41B3">
          <w:rPr>
            <w:noProof/>
          </w:rPr>
          <w:t>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26D06" w14:textId="77777777" w:rsidR="006524B6" w:rsidRDefault="006524B6" w:rsidP="00D657BA">
      <w:r>
        <w:separator/>
      </w:r>
    </w:p>
  </w:footnote>
  <w:footnote w:type="continuationSeparator" w:id="0">
    <w:p w14:paraId="63CF60AF" w14:textId="77777777" w:rsidR="006524B6" w:rsidRDefault="006524B6" w:rsidP="00D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89A79B5"/>
    <w:multiLevelType w:val="hybridMultilevel"/>
    <w:tmpl w:val="00C276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A7"/>
    <w:rsid w:val="00002C1C"/>
    <w:rsid w:val="0001104C"/>
    <w:rsid w:val="00015034"/>
    <w:rsid w:val="0003651F"/>
    <w:rsid w:val="00064F12"/>
    <w:rsid w:val="00074640"/>
    <w:rsid w:val="00085287"/>
    <w:rsid w:val="000916F3"/>
    <w:rsid w:val="000955C9"/>
    <w:rsid w:val="000B1DA4"/>
    <w:rsid w:val="000C04BF"/>
    <w:rsid w:val="001168D3"/>
    <w:rsid w:val="00121622"/>
    <w:rsid w:val="0013314F"/>
    <w:rsid w:val="0015186D"/>
    <w:rsid w:val="001632AC"/>
    <w:rsid w:val="00173435"/>
    <w:rsid w:val="00173765"/>
    <w:rsid w:val="00176C22"/>
    <w:rsid w:val="00177F53"/>
    <w:rsid w:val="00183A64"/>
    <w:rsid w:val="00184AD4"/>
    <w:rsid w:val="001B453A"/>
    <w:rsid w:val="001C66AE"/>
    <w:rsid w:val="001D069C"/>
    <w:rsid w:val="001D2D0E"/>
    <w:rsid w:val="001E03B2"/>
    <w:rsid w:val="001E0942"/>
    <w:rsid w:val="001E45DD"/>
    <w:rsid w:val="001E5BBA"/>
    <w:rsid w:val="001F67A5"/>
    <w:rsid w:val="002003A6"/>
    <w:rsid w:val="002251C6"/>
    <w:rsid w:val="002262A8"/>
    <w:rsid w:val="002308F7"/>
    <w:rsid w:val="0024335F"/>
    <w:rsid w:val="00254BB6"/>
    <w:rsid w:val="00285D5D"/>
    <w:rsid w:val="002917F5"/>
    <w:rsid w:val="002930DF"/>
    <w:rsid w:val="0029544B"/>
    <w:rsid w:val="00297F61"/>
    <w:rsid w:val="002A0096"/>
    <w:rsid w:val="002A0CF6"/>
    <w:rsid w:val="002B729A"/>
    <w:rsid w:val="002D2E62"/>
    <w:rsid w:val="002D5E27"/>
    <w:rsid w:val="002D7DDB"/>
    <w:rsid w:val="002F3FB4"/>
    <w:rsid w:val="002F44DB"/>
    <w:rsid w:val="003063F5"/>
    <w:rsid w:val="00312833"/>
    <w:rsid w:val="00313D23"/>
    <w:rsid w:val="00321345"/>
    <w:rsid w:val="00326EDA"/>
    <w:rsid w:val="00330A62"/>
    <w:rsid w:val="00347CA8"/>
    <w:rsid w:val="003826C5"/>
    <w:rsid w:val="00396E62"/>
    <w:rsid w:val="003B1943"/>
    <w:rsid w:val="003D01A1"/>
    <w:rsid w:val="003D103C"/>
    <w:rsid w:val="003D4CE0"/>
    <w:rsid w:val="003E46D5"/>
    <w:rsid w:val="003E7004"/>
    <w:rsid w:val="00401EAE"/>
    <w:rsid w:val="00410AB2"/>
    <w:rsid w:val="0042617F"/>
    <w:rsid w:val="004321CF"/>
    <w:rsid w:val="00440107"/>
    <w:rsid w:val="00443F5F"/>
    <w:rsid w:val="00447D17"/>
    <w:rsid w:val="004520F1"/>
    <w:rsid w:val="00462CB2"/>
    <w:rsid w:val="004867F9"/>
    <w:rsid w:val="004A3C37"/>
    <w:rsid w:val="004A52E8"/>
    <w:rsid w:val="004A7AEB"/>
    <w:rsid w:val="004B2E08"/>
    <w:rsid w:val="004C20C5"/>
    <w:rsid w:val="004C4089"/>
    <w:rsid w:val="004C4A3D"/>
    <w:rsid w:val="004C59CD"/>
    <w:rsid w:val="004D1AF1"/>
    <w:rsid w:val="004E4E1F"/>
    <w:rsid w:val="004E6738"/>
    <w:rsid w:val="004F6473"/>
    <w:rsid w:val="00501F1F"/>
    <w:rsid w:val="00503CB7"/>
    <w:rsid w:val="00505950"/>
    <w:rsid w:val="00521EE0"/>
    <w:rsid w:val="00552CA5"/>
    <w:rsid w:val="005608BF"/>
    <w:rsid w:val="0056145A"/>
    <w:rsid w:val="00576E29"/>
    <w:rsid w:val="00582043"/>
    <w:rsid w:val="00582E53"/>
    <w:rsid w:val="00585F81"/>
    <w:rsid w:val="00587B90"/>
    <w:rsid w:val="00592B14"/>
    <w:rsid w:val="005C32D8"/>
    <w:rsid w:val="005C359E"/>
    <w:rsid w:val="005C7FF1"/>
    <w:rsid w:val="005E6D36"/>
    <w:rsid w:val="005F640F"/>
    <w:rsid w:val="00602069"/>
    <w:rsid w:val="00606B3B"/>
    <w:rsid w:val="0061745C"/>
    <w:rsid w:val="006505EB"/>
    <w:rsid w:val="006524B6"/>
    <w:rsid w:val="006622F3"/>
    <w:rsid w:val="00673D0B"/>
    <w:rsid w:val="00677F02"/>
    <w:rsid w:val="006A282D"/>
    <w:rsid w:val="006A470A"/>
    <w:rsid w:val="006D715B"/>
    <w:rsid w:val="00701F2D"/>
    <w:rsid w:val="00703A9D"/>
    <w:rsid w:val="00713A04"/>
    <w:rsid w:val="00734EC5"/>
    <w:rsid w:val="00740CF4"/>
    <w:rsid w:val="00773E74"/>
    <w:rsid w:val="007751FE"/>
    <w:rsid w:val="0077654F"/>
    <w:rsid w:val="00776589"/>
    <w:rsid w:val="00792794"/>
    <w:rsid w:val="007B459B"/>
    <w:rsid w:val="007D55A6"/>
    <w:rsid w:val="007D681D"/>
    <w:rsid w:val="007E247E"/>
    <w:rsid w:val="007E68BB"/>
    <w:rsid w:val="007F6685"/>
    <w:rsid w:val="0080173D"/>
    <w:rsid w:val="00812A0A"/>
    <w:rsid w:val="00815650"/>
    <w:rsid w:val="0085609D"/>
    <w:rsid w:val="00883014"/>
    <w:rsid w:val="00885CA2"/>
    <w:rsid w:val="008876AB"/>
    <w:rsid w:val="00897C3D"/>
    <w:rsid w:val="00897D64"/>
    <w:rsid w:val="008B2901"/>
    <w:rsid w:val="008C4976"/>
    <w:rsid w:val="008C7336"/>
    <w:rsid w:val="008D3334"/>
    <w:rsid w:val="008E5D68"/>
    <w:rsid w:val="00910C7D"/>
    <w:rsid w:val="00913D36"/>
    <w:rsid w:val="009275BC"/>
    <w:rsid w:val="009304B0"/>
    <w:rsid w:val="00931787"/>
    <w:rsid w:val="00931C53"/>
    <w:rsid w:val="009417E2"/>
    <w:rsid w:val="00943577"/>
    <w:rsid w:val="00946F20"/>
    <w:rsid w:val="009625B7"/>
    <w:rsid w:val="009627B4"/>
    <w:rsid w:val="009670F0"/>
    <w:rsid w:val="00980EDD"/>
    <w:rsid w:val="00996DBA"/>
    <w:rsid w:val="009D18BB"/>
    <w:rsid w:val="009D4F9C"/>
    <w:rsid w:val="009D7C65"/>
    <w:rsid w:val="00A00E3D"/>
    <w:rsid w:val="00A035D3"/>
    <w:rsid w:val="00A1090A"/>
    <w:rsid w:val="00A1746D"/>
    <w:rsid w:val="00A205DE"/>
    <w:rsid w:val="00A6274D"/>
    <w:rsid w:val="00A646C1"/>
    <w:rsid w:val="00A67841"/>
    <w:rsid w:val="00AC0658"/>
    <w:rsid w:val="00AC229B"/>
    <w:rsid w:val="00AD0DE4"/>
    <w:rsid w:val="00AF2253"/>
    <w:rsid w:val="00AF2699"/>
    <w:rsid w:val="00AF7289"/>
    <w:rsid w:val="00B220F8"/>
    <w:rsid w:val="00B26CF8"/>
    <w:rsid w:val="00B27D33"/>
    <w:rsid w:val="00B325B7"/>
    <w:rsid w:val="00B57C68"/>
    <w:rsid w:val="00B57D73"/>
    <w:rsid w:val="00B821F3"/>
    <w:rsid w:val="00BA416E"/>
    <w:rsid w:val="00BA57C4"/>
    <w:rsid w:val="00BC7001"/>
    <w:rsid w:val="00BD56C3"/>
    <w:rsid w:val="00BD6AF0"/>
    <w:rsid w:val="00BE735C"/>
    <w:rsid w:val="00BF32F9"/>
    <w:rsid w:val="00BF5445"/>
    <w:rsid w:val="00C02049"/>
    <w:rsid w:val="00C140F7"/>
    <w:rsid w:val="00C2321B"/>
    <w:rsid w:val="00C3447D"/>
    <w:rsid w:val="00C45DEF"/>
    <w:rsid w:val="00C74CC9"/>
    <w:rsid w:val="00C9503B"/>
    <w:rsid w:val="00CA67A0"/>
    <w:rsid w:val="00CB303E"/>
    <w:rsid w:val="00CD52A7"/>
    <w:rsid w:val="00CE64CE"/>
    <w:rsid w:val="00CF0FDB"/>
    <w:rsid w:val="00CF3568"/>
    <w:rsid w:val="00D24FAD"/>
    <w:rsid w:val="00D26E0C"/>
    <w:rsid w:val="00D3632C"/>
    <w:rsid w:val="00D47B33"/>
    <w:rsid w:val="00D53CBF"/>
    <w:rsid w:val="00D657BA"/>
    <w:rsid w:val="00D67A72"/>
    <w:rsid w:val="00D87601"/>
    <w:rsid w:val="00D87D7B"/>
    <w:rsid w:val="00D94DB3"/>
    <w:rsid w:val="00DB18C9"/>
    <w:rsid w:val="00DB63D6"/>
    <w:rsid w:val="00DC48F9"/>
    <w:rsid w:val="00DD2460"/>
    <w:rsid w:val="00DD33F9"/>
    <w:rsid w:val="00DD36C5"/>
    <w:rsid w:val="00DE0D89"/>
    <w:rsid w:val="00DE4253"/>
    <w:rsid w:val="00DE56AE"/>
    <w:rsid w:val="00E1742E"/>
    <w:rsid w:val="00E43F9A"/>
    <w:rsid w:val="00E461C3"/>
    <w:rsid w:val="00E513A6"/>
    <w:rsid w:val="00E608CF"/>
    <w:rsid w:val="00E758DA"/>
    <w:rsid w:val="00E815DA"/>
    <w:rsid w:val="00E830F5"/>
    <w:rsid w:val="00EA13DC"/>
    <w:rsid w:val="00EC3FE0"/>
    <w:rsid w:val="00ED41B3"/>
    <w:rsid w:val="00ED6A1E"/>
    <w:rsid w:val="00ED765D"/>
    <w:rsid w:val="00EE65CD"/>
    <w:rsid w:val="00EF2650"/>
    <w:rsid w:val="00F04C99"/>
    <w:rsid w:val="00F136F5"/>
    <w:rsid w:val="00F5028F"/>
    <w:rsid w:val="00F7342B"/>
    <w:rsid w:val="00F84F30"/>
    <w:rsid w:val="00F85E82"/>
    <w:rsid w:val="00F939A7"/>
    <w:rsid w:val="00F96519"/>
    <w:rsid w:val="00FA5F16"/>
    <w:rsid w:val="00FB0256"/>
    <w:rsid w:val="00FB138D"/>
    <w:rsid w:val="00FC1A19"/>
    <w:rsid w:val="00FC5813"/>
    <w:rsid w:val="00FC7D1A"/>
    <w:rsid w:val="00FE0BB6"/>
    <w:rsid w:val="00FE3278"/>
    <w:rsid w:val="00FF6EA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paragraph" w:styleId="ListParagraph">
    <w:name w:val="List Paragraph"/>
    <w:basedOn w:val="Normal"/>
    <w:uiPriority w:val="34"/>
    <w:qFormat/>
    <w:rsid w:val="00A035D3"/>
    <w:pPr>
      <w:spacing w:after="160" w:line="259" w:lineRule="auto"/>
      <w:ind w:left="7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1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0110.A420526213.7.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9838-7BB3-430A-BFE8-F5E97F0A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2023-02-26T20:56:00Z</dcterms:created>
  <dcterms:modified xsi:type="dcterms:W3CDTF">2023-02-26T20:57:00Z</dcterms:modified>
</cp:coreProperties>
</file>