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8D2A3" w14:textId="77777777" w:rsidR="007D78ED" w:rsidRPr="007D78ED" w:rsidRDefault="007D78ED" w:rsidP="007D78ED">
      <w:pPr>
        <w:autoSpaceDE w:val="0"/>
        <w:autoSpaceDN w:val="0"/>
        <w:spacing w:line="276" w:lineRule="auto"/>
        <w:rPr>
          <w:rFonts w:ascii="TimesNewRomanPSMT" w:hAnsi="TimesNewRomanPSMT"/>
          <w:b/>
          <w:bCs/>
          <w:lang w:eastAsia="en-US"/>
        </w:rPr>
      </w:pPr>
      <w:bookmarkStart w:id="0" w:name="_GoBack"/>
      <w:r w:rsidRPr="007D78ED">
        <w:rPr>
          <w:rFonts w:ascii="TimesNewRomanPSMT" w:hAnsi="TimesNewRomanPSMT"/>
          <w:b/>
          <w:bCs/>
        </w:rPr>
        <w:t xml:space="preserve">Invaliditātes un darbspēju zaudējuma cēloņa noteikšanas nozīme un mērķis </w:t>
      </w:r>
    </w:p>
    <w:p w14:paraId="58D58F1B" w14:textId="77777777" w:rsidR="007D78ED" w:rsidRDefault="007D78ED" w:rsidP="007D78ED">
      <w:pPr>
        <w:autoSpaceDE w:val="0"/>
        <w:autoSpaceDN w:val="0"/>
        <w:spacing w:line="276" w:lineRule="auto"/>
        <w:jc w:val="both"/>
        <w:rPr>
          <w:rFonts w:ascii="TimesNewRomanPSMT" w:hAnsi="TimesNewRomanPSMT"/>
        </w:rPr>
      </w:pPr>
      <w:r w:rsidRPr="007D78ED">
        <w:rPr>
          <w:rFonts w:ascii="TimesNewRomanPSMT" w:hAnsi="TimesNewRomanPSMT"/>
        </w:rPr>
        <w:t xml:space="preserve">Gadījumā kad Veselības un darbspēju ekspertīzes ārstu valsts komisijai jānovērtē personai nosakāmā invaliditāte un/vai darbspēju zaudējuma apjoms kombinētas cēlonības gadījumā, tai jāvadās pēc pieejas, ka nevienā gadījumā nevar palikt nenovērtēta personas kopējā funkcionēšanas ierobežojuma, darbspēju zaudējuma un invaliditātes pakāpe. Turklāt secinājums par invaliditātes un/vai darbspēju zaudējuma cēloni vai cēloņiem jāizdara tā, lai konkrēto personu sasniegtu viņas situācijā visatbilstošākais atbalsts, kā arī lai pēc iespējas saglabātu saikni starp funkcionēšanas ierobežojuma cēloni un atbalsta avotu (atbilstošu budžetu). </w:t>
      </w:r>
      <w:proofErr w:type="gramStart"/>
      <w:r w:rsidRPr="007D78ED">
        <w:rPr>
          <w:rFonts w:ascii="TimesNewRomanPSMT" w:hAnsi="TimesNewRomanPSMT"/>
        </w:rPr>
        <w:t>Turklāt priekšplānā ir jāliek mērķis</w:t>
      </w:r>
      <w:proofErr w:type="gramEnd"/>
      <w:r w:rsidRPr="007D78ED">
        <w:rPr>
          <w:rFonts w:ascii="TimesNewRomanPSMT" w:hAnsi="TimesNewRomanPSMT"/>
        </w:rPr>
        <w:t xml:space="preserve"> sniegt konkrētai personai viņas situācijā visatbilstošāko atbalstu, tādēļ nav pieļaujams praksē atbalstu samazināt to praktisko grūtību dēļ, ko rada individualizēšanas centieni.</w:t>
      </w:r>
    </w:p>
    <w:bookmarkEnd w:id="0"/>
    <w:p w14:paraId="187ECD61" w14:textId="13DFDB20" w:rsidR="002D5D31" w:rsidRPr="00FC4F0C" w:rsidRDefault="002D5D31" w:rsidP="007D78ED">
      <w:pPr>
        <w:pStyle w:val="BodyText2"/>
        <w:spacing w:after="0" w:line="276" w:lineRule="auto"/>
        <w:contextualSpacing/>
      </w:pPr>
    </w:p>
    <w:p w14:paraId="5399BFD4" w14:textId="3CBABB66" w:rsidR="002D5D31" w:rsidRPr="007D78ED" w:rsidRDefault="007D78ED" w:rsidP="007D78ED">
      <w:pPr>
        <w:spacing w:line="276" w:lineRule="auto"/>
        <w:contextualSpacing/>
        <w:jc w:val="center"/>
        <w:rPr>
          <w:b/>
        </w:rPr>
      </w:pPr>
      <w:r w:rsidRPr="007D78ED">
        <w:rPr>
          <w:b/>
        </w:rPr>
        <w:t>Latvijas Republikas Senāta</w:t>
      </w:r>
    </w:p>
    <w:p w14:paraId="60767D88" w14:textId="58473220" w:rsidR="007D78ED" w:rsidRPr="007D78ED" w:rsidRDefault="007D78ED" w:rsidP="007D78ED">
      <w:pPr>
        <w:spacing w:line="276" w:lineRule="auto"/>
        <w:contextualSpacing/>
        <w:jc w:val="center"/>
        <w:rPr>
          <w:b/>
        </w:rPr>
      </w:pPr>
      <w:r w:rsidRPr="007D78ED">
        <w:rPr>
          <w:b/>
        </w:rPr>
        <w:t>Administratīvo lietu departamenta</w:t>
      </w:r>
    </w:p>
    <w:p w14:paraId="2C05096C" w14:textId="6E6169F8" w:rsidR="007D78ED" w:rsidRPr="007D78ED" w:rsidRDefault="007D78ED" w:rsidP="007D78ED">
      <w:pPr>
        <w:spacing w:line="276" w:lineRule="auto"/>
        <w:contextualSpacing/>
        <w:jc w:val="center"/>
        <w:rPr>
          <w:b/>
        </w:rPr>
      </w:pPr>
      <w:proofErr w:type="gramStart"/>
      <w:r w:rsidRPr="007D78ED">
        <w:rPr>
          <w:b/>
        </w:rPr>
        <w:t>2022.gada</w:t>
      </w:r>
      <w:proofErr w:type="gramEnd"/>
      <w:r w:rsidRPr="007D78ED">
        <w:rPr>
          <w:b/>
        </w:rPr>
        <w:t xml:space="preserve"> 11.novembra</w:t>
      </w:r>
    </w:p>
    <w:p w14:paraId="4C610DB1" w14:textId="77777777" w:rsidR="002D5D31" w:rsidRPr="007D78ED" w:rsidRDefault="002D5D31" w:rsidP="007D78ED">
      <w:pPr>
        <w:spacing w:line="276" w:lineRule="auto"/>
        <w:contextualSpacing/>
        <w:jc w:val="center"/>
        <w:rPr>
          <w:b/>
        </w:rPr>
      </w:pPr>
      <w:r w:rsidRPr="007D78ED">
        <w:rPr>
          <w:b/>
        </w:rPr>
        <w:t>SPRIEDUMS</w:t>
      </w:r>
    </w:p>
    <w:p w14:paraId="3408BE57" w14:textId="77777777" w:rsidR="007D78ED" w:rsidRPr="007D78ED" w:rsidRDefault="007D78ED" w:rsidP="007D78ED">
      <w:pPr>
        <w:spacing w:line="276" w:lineRule="auto"/>
        <w:contextualSpacing/>
        <w:jc w:val="center"/>
        <w:rPr>
          <w:rFonts w:eastAsiaTheme="minorEastAsia"/>
          <w:b/>
          <w:lang w:eastAsia="en-US"/>
        </w:rPr>
      </w:pPr>
      <w:r w:rsidRPr="007D78ED">
        <w:rPr>
          <w:rFonts w:eastAsiaTheme="minorEastAsia"/>
          <w:b/>
          <w:lang w:eastAsia="en-US"/>
        </w:rPr>
        <w:t>Lieta Nr. A420225218, SKA-261/2022</w:t>
      </w:r>
    </w:p>
    <w:p w14:paraId="25380B8D" w14:textId="2A2B2F9A" w:rsidR="002D5D31" w:rsidRDefault="007D78ED" w:rsidP="007D78ED">
      <w:pPr>
        <w:spacing w:line="276" w:lineRule="auto"/>
        <w:ind w:firstLine="567"/>
        <w:contextualSpacing/>
        <w:jc w:val="center"/>
      </w:pPr>
      <w:hyperlink r:id="rId8" w:history="1">
        <w:r w:rsidRPr="00890F02">
          <w:rPr>
            <w:rStyle w:val="Hyperlink"/>
          </w:rPr>
          <w:t>ECLI:LV:AT:2022:1111.A420225218.22.S</w:t>
        </w:r>
      </w:hyperlink>
    </w:p>
    <w:p w14:paraId="25D0AE3F" w14:textId="77777777" w:rsidR="007D78ED" w:rsidRPr="00DB47E6" w:rsidRDefault="007D78ED" w:rsidP="007D78ED">
      <w:pPr>
        <w:spacing w:line="276" w:lineRule="auto"/>
        <w:ind w:firstLine="567"/>
        <w:contextualSpacing/>
        <w:jc w:val="center"/>
      </w:pPr>
    </w:p>
    <w:p w14:paraId="721FDCE9" w14:textId="4691CE0F" w:rsidR="002D5D31" w:rsidRDefault="0066501B" w:rsidP="007D78ED">
      <w:pPr>
        <w:spacing w:line="276" w:lineRule="auto"/>
        <w:ind w:firstLine="567"/>
        <w:contextualSpacing/>
        <w:jc w:val="both"/>
      </w:pPr>
      <w:r>
        <w:t>Tiesa šādā sastāvā: senator</w:t>
      </w:r>
      <w:r w:rsidR="00B67D37">
        <w:t>es</w:t>
      </w:r>
      <w:r w:rsidR="002D5D31" w:rsidRPr="00DB47E6">
        <w:t xml:space="preserve"> </w:t>
      </w:r>
      <w:r w:rsidR="00DE6916">
        <w:t>Rudīte Vīduša</w:t>
      </w:r>
      <w:r w:rsidR="002D5D31" w:rsidRPr="00272F40">
        <w:t>,</w:t>
      </w:r>
      <w:r w:rsidR="00272F40">
        <w:t xml:space="preserve"> </w:t>
      </w:r>
      <w:r w:rsidR="0067213E">
        <w:t>Vēsma Kakste</w:t>
      </w:r>
      <w:r w:rsidR="004252FC">
        <w:t>,</w:t>
      </w:r>
      <w:r w:rsidR="00B67D37">
        <w:t xml:space="preserve"> Lauma </w:t>
      </w:r>
      <w:proofErr w:type="spellStart"/>
      <w:r w:rsidR="00B67D37">
        <w:t>Paegļkalna</w:t>
      </w:r>
      <w:proofErr w:type="spellEnd"/>
      <w:r w:rsidR="008F0E08">
        <w:t>,</w:t>
      </w:r>
    </w:p>
    <w:p w14:paraId="30580EFE" w14:textId="5E133760" w:rsidR="004252FC" w:rsidRDefault="004252FC" w:rsidP="007D78ED">
      <w:pPr>
        <w:spacing w:line="276" w:lineRule="auto"/>
        <w:ind w:firstLine="567"/>
        <w:contextualSpacing/>
        <w:jc w:val="both"/>
      </w:pPr>
    </w:p>
    <w:p w14:paraId="22405636" w14:textId="11DEDEB0" w:rsidR="004252FC" w:rsidRDefault="008F0E08" w:rsidP="007D78ED">
      <w:pPr>
        <w:spacing w:line="276" w:lineRule="auto"/>
        <w:ind w:firstLine="567"/>
        <w:contextualSpacing/>
        <w:jc w:val="both"/>
      </w:pPr>
      <w:r>
        <w:t>p</w:t>
      </w:r>
      <w:r w:rsidR="004252FC">
        <w:t>iedaloties</w:t>
      </w:r>
      <w:r>
        <w:t xml:space="preserve"> pieteicējas </w:t>
      </w:r>
      <w:r w:rsidR="007D78ED">
        <w:t xml:space="preserve">[pers. A] </w:t>
      </w:r>
      <w:r>
        <w:t>pārstāvim</w:t>
      </w:r>
      <w:r w:rsidR="007D78ED">
        <w:t xml:space="preserve"> </w:t>
      </w:r>
      <w:r w:rsidR="007D78ED">
        <w:t>[pers. </w:t>
      </w:r>
      <w:r w:rsidR="007D78ED">
        <w:t>B</w:t>
      </w:r>
      <w:r w:rsidR="007D78ED">
        <w:t>]</w:t>
      </w:r>
      <w:r>
        <w:t>, atbildētājas Latvijas Republikas pusē pieaicinātās iestādes Veselības un darbspēju ekspertīzes ārst</w:t>
      </w:r>
      <w:r w:rsidR="007D78ED">
        <w:t xml:space="preserve">u valsts komisijas pārstāvjiem </w:t>
      </w:r>
      <w:r w:rsidR="007D78ED">
        <w:t>[pers. </w:t>
      </w:r>
      <w:r w:rsidR="007D78ED">
        <w:t>C</w:t>
      </w:r>
      <w:r w:rsidR="007D78ED">
        <w:t xml:space="preserve">] </w:t>
      </w:r>
      <w:r>
        <w:t>un</w:t>
      </w:r>
      <w:r w:rsidR="007D78ED">
        <w:t xml:space="preserve"> </w:t>
      </w:r>
      <w:r w:rsidR="007D78ED">
        <w:t>[pers. </w:t>
      </w:r>
      <w:r w:rsidR="007D78ED">
        <w:t>D</w:t>
      </w:r>
      <w:r w:rsidR="007D78ED">
        <w:t>]</w:t>
      </w:r>
      <w:r>
        <w:t xml:space="preserve">, viedokļa sniegšanai pieaicinātās iestādes Labklājības ministrijas pārstāvēm </w:t>
      </w:r>
      <w:r w:rsidR="007D78ED">
        <w:t>[pers. </w:t>
      </w:r>
      <w:r w:rsidR="007D78ED">
        <w:t>E</w:t>
      </w:r>
      <w:r w:rsidR="007D78ED">
        <w:t xml:space="preserve">] </w:t>
      </w:r>
      <w:r>
        <w:t>un</w:t>
      </w:r>
      <w:r w:rsidR="007D78ED">
        <w:t xml:space="preserve"> </w:t>
      </w:r>
      <w:r w:rsidR="007D78ED">
        <w:t>[pers. </w:t>
      </w:r>
      <w:r w:rsidR="007D78ED">
        <w:t>F</w:t>
      </w:r>
      <w:r w:rsidR="007D78ED">
        <w:t>]</w:t>
      </w:r>
      <w:r>
        <w:t>,</w:t>
      </w:r>
    </w:p>
    <w:p w14:paraId="4B6ADBCB" w14:textId="77777777" w:rsidR="00B958A0" w:rsidRPr="00DB47E6" w:rsidRDefault="00B958A0" w:rsidP="007D78ED">
      <w:pPr>
        <w:spacing w:line="276" w:lineRule="auto"/>
        <w:ind w:firstLine="567"/>
        <w:contextualSpacing/>
        <w:jc w:val="both"/>
      </w:pPr>
    </w:p>
    <w:p w14:paraId="5D7ECC0B" w14:textId="7B980B6E" w:rsidR="002D5D31" w:rsidRDefault="004252FC" w:rsidP="007D78ED">
      <w:pPr>
        <w:spacing w:line="276" w:lineRule="auto"/>
        <w:ind w:firstLine="567"/>
        <w:contextualSpacing/>
        <w:jc w:val="both"/>
      </w:pPr>
      <w:r>
        <w:t xml:space="preserve">atklātā tiesas sēdē </w:t>
      </w:r>
      <w:r w:rsidR="00284C47" w:rsidRPr="00284C47">
        <w:t xml:space="preserve">izskatīja administratīvo lietu, kas ierosināta, pamatojoties uz </w:t>
      </w:r>
      <w:r w:rsidR="007D78ED">
        <w:t xml:space="preserve">[pers. A] </w:t>
      </w:r>
      <w:r w:rsidR="00C138D1">
        <w:t xml:space="preserve">pieteikumu par </w:t>
      </w:r>
      <w:r w:rsidR="00DE6916">
        <w:t xml:space="preserve">labvēlīgāka </w:t>
      </w:r>
      <w:r w:rsidR="00C138D1">
        <w:t>administratīvā akta izdošanu</w:t>
      </w:r>
      <w:r w:rsidR="00DE6916">
        <w:t xml:space="preserve">, ar kuru </w:t>
      </w:r>
      <w:r w:rsidR="009A4183">
        <w:t>tiktu noteikts invaliditātes cēlonis „nelaimes gadījums darbā”</w:t>
      </w:r>
      <w:r w:rsidR="00EA505C">
        <w:t xml:space="preserve">, sakarā ar Veselības un darbspēju ekspertīzes ārstu valsts komisijas kasācijas sūdzību par Administratīvās apgabaltiesas </w:t>
      </w:r>
      <w:proofErr w:type="gramStart"/>
      <w:r w:rsidR="00EA505C">
        <w:t>2020.gada</w:t>
      </w:r>
      <w:proofErr w:type="gramEnd"/>
      <w:r w:rsidR="00EA505C">
        <w:t xml:space="preserve"> 10.jūnija spriedumu.</w:t>
      </w:r>
    </w:p>
    <w:p w14:paraId="64669EE8" w14:textId="77777777" w:rsidR="00284C47" w:rsidRPr="00DB47E6" w:rsidRDefault="00284C47" w:rsidP="007D78ED">
      <w:pPr>
        <w:spacing w:line="276" w:lineRule="auto"/>
        <w:ind w:firstLine="567"/>
        <w:contextualSpacing/>
        <w:jc w:val="both"/>
        <w:rPr>
          <w:b/>
        </w:rPr>
      </w:pPr>
    </w:p>
    <w:p w14:paraId="4FEB0D1C" w14:textId="77777777" w:rsidR="002D5D31" w:rsidRPr="00DB47E6" w:rsidRDefault="002D5D31" w:rsidP="007D78ED">
      <w:pPr>
        <w:spacing w:line="276" w:lineRule="auto"/>
        <w:contextualSpacing/>
        <w:jc w:val="center"/>
        <w:rPr>
          <w:b/>
        </w:rPr>
      </w:pPr>
      <w:r w:rsidRPr="00DB47E6">
        <w:rPr>
          <w:b/>
        </w:rPr>
        <w:t>Aprakstošā daļa</w:t>
      </w:r>
    </w:p>
    <w:p w14:paraId="0762DB6B" w14:textId="77777777" w:rsidR="002D5D31" w:rsidRPr="00DB47E6" w:rsidRDefault="002D5D31" w:rsidP="007D78ED">
      <w:pPr>
        <w:spacing w:line="276" w:lineRule="auto"/>
        <w:ind w:firstLine="567"/>
        <w:contextualSpacing/>
      </w:pPr>
    </w:p>
    <w:p w14:paraId="4A63ACB3" w14:textId="564EB961" w:rsidR="009A4183" w:rsidRDefault="002D5D31" w:rsidP="007D78ED">
      <w:pPr>
        <w:shd w:val="clear" w:color="auto" w:fill="FFFFFF"/>
        <w:spacing w:line="276" w:lineRule="auto"/>
        <w:ind w:firstLine="567"/>
        <w:contextualSpacing/>
        <w:jc w:val="both"/>
      </w:pPr>
      <w:r w:rsidRPr="00DB47E6">
        <w:t>[1]</w:t>
      </w:r>
      <w:r w:rsidR="00C51E20">
        <w:t> </w:t>
      </w:r>
      <w:r w:rsidR="009A4183">
        <w:t xml:space="preserve">Pieteicējai </w:t>
      </w:r>
      <w:r w:rsidR="007D78ED">
        <w:t xml:space="preserve">[pers. A] </w:t>
      </w:r>
      <w:r w:rsidR="009A4183">
        <w:t xml:space="preserve">ar Veselības un darbspēju ekspertīzes ārstu valsts komisijas (turpmāk – komisija) Jelgavas nodaļas </w:t>
      </w:r>
      <w:proofErr w:type="gramStart"/>
      <w:r w:rsidR="009A4183">
        <w:t>2017.gada</w:t>
      </w:r>
      <w:proofErr w:type="gramEnd"/>
      <w:r w:rsidR="009A4183">
        <w:t xml:space="preserve"> 20.decembra lēmumu noteikts darbspēju zaudējums 60</w:t>
      </w:r>
      <w:r w:rsidR="0067213E">
        <w:t>–</w:t>
      </w:r>
      <w:r w:rsidR="009A4183">
        <w:t>79</w:t>
      </w:r>
      <w:r w:rsidR="0067213E">
        <w:t> </w:t>
      </w:r>
      <w:r w:rsidR="009A4183">
        <w:t xml:space="preserve">% un otrā invaliditātes grupa ar invaliditātes cēloni „slimība” no 2017.gada 27.novembra līdz 2019.gada 26.novembrim. Savukārt ar komisijas </w:t>
      </w:r>
      <w:r w:rsidR="007B3C81">
        <w:t xml:space="preserve">Jelgavas nodaļas </w:t>
      </w:r>
      <w:r w:rsidR="007B3C81">
        <w:lastRenderedPageBreak/>
        <w:t>2017.gada 21.decembra lēmumu atsevišķi noteikts darbspēju zaudējums nelaimes gadījumā darbā 20</w:t>
      </w:r>
      <w:r w:rsidR="0067213E">
        <w:t> </w:t>
      </w:r>
      <w:r w:rsidR="007B3C81">
        <w:t>% no 2017.gada 27.decembra līdz 2019.gada 26.decembrim.</w:t>
      </w:r>
    </w:p>
    <w:p w14:paraId="0D5F3626" w14:textId="0913BFCD" w:rsidR="007B3C81" w:rsidRDefault="007B3C81" w:rsidP="007D78ED">
      <w:pPr>
        <w:shd w:val="clear" w:color="auto" w:fill="FFFFFF"/>
        <w:spacing w:line="276" w:lineRule="auto"/>
        <w:ind w:firstLine="567"/>
        <w:contextualSpacing/>
        <w:jc w:val="both"/>
      </w:pPr>
      <w:r>
        <w:t xml:space="preserve">Izskatot pieteicējas apstrīdēšanas iesniegumu, komisija ar </w:t>
      </w:r>
      <w:proofErr w:type="gramStart"/>
      <w:r>
        <w:t>2018.gada</w:t>
      </w:r>
      <w:proofErr w:type="gramEnd"/>
      <w:r>
        <w:t xml:space="preserve"> 24.maija lēmumu abus minētos lēmumus atstāja negrozītus.</w:t>
      </w:r>
    </w:p>
    <w:p w14:paraId="40EE5FE4" w14:textId="77777777" w:rsidR="007B3C81" w:rsidRDefault="007B3C81" w:rsidP="007D78ED">
      <w:pPr>
        <w:shd w:val="clear" w:color="auto" w:fill="FFFFFF"/>
        <w:spacing w:line="276" w:lineRule="auto"/>
        <w:ind w:firstLine="567"/>
        <w:contextualSpacing/>
        <w:jc w:val="both"/>
      </w:pPr>
    </w:p>
    <w:p w14:paraId="2E328043" w14:textId="32972747" w:rsidR="009A4183" w:rsidRDefault="007B3C81" w:rsidP="007D78ED">
      <w:pPr>
        <w:shd w:val="clear" w:color="auto" w:fill="FFFFFF"/>
        <w:spacing w:line="276" w:lineRule="auto"/>
        <w:ind w:firstLine="567"/>
        <w:contextualSpacing/>
        <w:jc w:val="both"/>
      </w:pPr>
      <w:r>
        <w:t>[2] Pieteicēja vērsās tiesā ar pieteikumu par labvēlīgāka administratīvā akta izdošanu</w:t>
      </w:r>
      <w:r w:rsidR="00EA505C">
        <w:t xml:space="preserve">, ar kuru darbspēju zaudējumam </w:t>
      </w:r>
      <w:r w:rsidR="008F0E08">
        <w:t xml:space="preserve">visā apjomā </w:t>
      </w:r>
      <w:r w:rsidR="00EA505C">
        <w:t xml:space="preserve">tiktu noteikts cēlonis „nelaimes gadījums darbā”. </w:t>
      </w:r>
    </w:p>
    <w:p w14:paraId="626F54E4" w14:textId="77777777" w:rsidR="009A4183" w:rsidRDefault="009A4183" w:rsidP="007D78ED">
      <w:pPr>
        <w:shd w:val="clear" w:color="auto" w:fill="FFFFFF"/>
        <w:spacing w:line="276" w:lineRule="auto"/>
        <w:ind w:firstLine="567"/>
        <w:contextualSpacing/>
        <w:jc w:val="both"/>
      </w:pPr>
    </w:p>
    <w:p w14:paraId="36D8EA77" w14:textId="661211F3" w:rsidR="00EA505C" w:rsidRDefault="00EA505C" w:rsidP="007D78ED">
      <w:pPr>
        <w:shd w:val="clear" w:color="auto" w:fill="FFFFFF"/>
        <w:spacing w:line="276" w:lineRule="auto"/>
        <w:ind w:firstLine="567"/>
        <w:contextualSpacing/>
        <w:jc w:val="both"/>
      </w:pPr>
      <w:r>
        <w:t>[3] Administratīvā apgabaltiesa</w:t>
      </w:r>
      <w:r w:rsidR="0067213E">
        <w:t>, izskatījusi lietu apelācijas kārtībā,</w:t>
      </w:r>
      <w:r>
        <w:t xml:space="preserve"> ar </w:t>
      </w:r>
      <w:proofErr w:type="gramStart"/>
      <w:r>
        <w:t>2020.gada</w:t>
      </w:r>
      <w:proofErr w:type="gramEnd"/>
      <w:r>
        <w:t xml:space="preserve"> 10.jūnija spriedumu pieteikumu </w:t>
      </w:r>
      <w:r w:rsidR="00707E86">
        <w:t>apmierināja, atzīstot komisijas 2018.gada 24.maija lēmumu par prettiesisku un norādot, ka no 2017.gada 27.novembra līdz 2019.gada 26.novembrim pieteicējai bija nosakāms invaliditātes cēlonis „nelaimes gadījums darbā”</w:t>
      </w:r>
      <w:r>
        <w:t xml:space="preserve">. </w:t>
      </w:r>
      <w:r w:rsidR="0067213E">
        <w:t>Apgabaltiesa</w:t>
      </w:r>
      <w:r>
        <w:t>, pievienojoties rajona tiesas sprieduma motivācijai, norādī</w:t>
      </w:r>
      <w:r w:rsidR="0067213E">
        <w:t>jusi</w:t>
      </w:r>
      <w:r>
        <w:t xml:space="preserve"> turpmāk minēt</w:t>
      </w:r>
      <w:r w:rsidR="0067213E">
        <w:t>os</w:t>
      </w:r>
      <w:r>
        <w:t xml:space="preserve"> argument</w:t>
      </w:r>
      <w:r w:rsidR="0067213E">
        <w:t>us</w:t>
      </w:r>
      <w:r>
        <w:t>.</w:t>
      </w:r>
    </w:p>
    <w:p w14:paraId="5CDCA291" w14:textId="5E1B79CB" w:rsidR="005D095F" w:rsidRDefault="005D095F" w:rsidP="007D78ED">
      <w:pPr>
        <w:spacing w:line="276" w:lineRule="auto"/>
        <w:ind w:firstLine="567"/>
        <w:contextualSpacing/>
        <w:jc w:val="both"/>
      </w:pPr>
      <w:r w:rsidRPr="005D095F">
        <w:lastRenderedPageBreak/>
        <w:t xml:space="preserve">Ministru kabineta </w:t>
      </w:r>
      <w:proofErr w:type="gramStart"/>
      <w:r w:rsidRPr="005D095F">
        <w:t>2</w:t>
      </w:r>
      <w:r>
        <w:t>014.gada</w:t>
      </w:r>
      <w:proofErr w:type="gramEnd"/>
      <w:r>
        <w:t xml:space="preserve"> 23.decembra noteikumu</w:t>
      </w:r>
      <w:r w:rsidR="005B4B7F">
        <w:t xml:space="preserve"> Nr. 805</w:t>
      </w:r>
      <w:r w:rsidRPr="005D095F">
        <w:t xml:space="preserve"> </w:t>
      </w:r>
      <w:r w:rsidR="0067213E">
        <w:t>„</w:t>
      </w:r>
      <w:r w:rsidRPr="005D095F">
        <w:t>Prognozējamas invaliditātes, invaliditātes un darbspēju zaudējuma noteikšanas un invaliditāti apliecinoša do</w:t>
      </w:r>
      <w:r>
        <w:t>kumenta izsniegšanas noteikumi</w:t>
      </w:r>
      <w:r w:rsidR="0067213E">
        <w:t>”</w:t>
      </w:r>
      <w:r>
        <w:t xml:space="preserve"> </w:t>
      </w:r>
      <w:r w:rsidR="009C4C45">
        <w:t xml:space="preserve">(turpmāk – </w:t>
      </w:r>
      <w:r w:rsidR="005B4B7F">
        <w:t>noteikumi Nr. 805</w:t>
      </w:r>
      <w:r w:rsidR="009C4C45">
        <w:t xml:space="preserve">) </w:t>
      </w:r>
      <w:r>
        <w:t xml:space="preserve">6.pielikuma piezīmēs ir norādīts, ka </w:t>
      </w:r>
      <w:r w:rsidR="004D771F">
        <w:t>d</w:t>
      </w:r>
      <w:r w:rsidRPr="005D095F">
        <w:t>arbspēju zaudējuma procentuālais apmērs noteiktu veselības traucējumu gadījumos ir orientējošs un tā galīgā pakāpe ir atkarīga no tā, vai personai ir arī citi nozīmīgi veselības traucējumi, no to ietekmes uz ikdienas dzīves aktivitātēm, kā arī no personas vecuma, izglītības, darba pieredzes, darba attiecībām, konkurētspējas darba tirgū un darba prognozes.</w:t>
      </w:r>
      <w:r>
        <w:t xml:space="preserve"> </w:t>
      </w:r>
      <w:r w:rsidRPr="005D095F">
        <w:t>Ja darbspēju zaudējums ir r</w:t>
      </w:r>
      <w:r>
        <w:t>obežās 25–59</w:t>
      </w:r>
      <w:r w:rsidR="0067213E">
        <w:t> </w:t>
      </w:r>
      <w:r>
        <w:t>%, tiek noteikta trešā</w:t>
      </w:r>
      <w:r w:rsidRPr="005D095F">
        <w:t> invaliditātes grupa, ja r</w:t>
      </w:r>
      <w:r>
        <w:t>obežās 60–79 %, tiek noteikta otrā</w:t>
      </w:r>
      <w:r w:rsidRPr="005D095F">
        <w:t> invaliditātes grupa, ja ro</w:t>
      </w:r>
      <w:r>
        <w:t>bežās 80–100 %, tiek noteikta pirmā</w:t>
      </w:r>
      <w:r w:rsidRPr="005D095F">
        <w:t> invaliditātes grupa.</w:t>
      </w:r>
    </w:p>
    <w:p w14:paraId="535207CC" w14:textId="7D94A7B4" w:rsidR="00FB23C4" w:rsidRDefault="00D430A0" w:rsidP="007D78ED">
      <w:pPr>
        <w:spacing w:line="276" w:lineRule="auto"/>
        <w:ind w:firstLine="567"/>
        <w:contextualSpacing/>
        <w:jc w:val="both"/>
      </w:pPr>
      <w:r>
        <w:t xml:space="preserve">Nelaimes gadījums darbā notika </w:t>
      </w:r>
      <w:proofErr w:type="gramStart"/>
      <w:r>
        <w:t>2015.gada</w:t>
      </w:r>
      <w:proofErr w:type="gramEnd"/>
      <w:r>
        <w:t xml:space="preserve"> 22.janvārī. Pirms šī nelaimes gadījuma pieteicēja</w:t>
      </w:r>
      <w:r w:rsidR="005520FD">
        <w:t>i</w:t>
      </w:r>
      <w:r>
        <w:t xml:space="preserve"> </w:t>
      </w:r>
      <w:r w:rsidR="0024760A">
        <w:t xml:space="preserve">ar komisijas </w:t>
      </w:r>
      <w:proofErr w:type="gramStart"/>
      <w:r w:rsidR="0024760A">
        <w:t>2012.gada</w:t>
      </w:r>
      <w:proofErr w:type="gramEnd"/>
      <w:r w:rsidR="0024760A">
        <w:t xml:space="preserve"> 20.februāra lēmumu un 2013.gada 18.februāra lēmumu </w:t>
      </w:r>
      <w:r>
        <w:t xml:space="preserve">bija noteikta otrā invaliditātes grupa, bet ar 2014.gada 14.februāra lēmumu </w:t>
      </w:r>
      <w:r w:rsidR="0024760A">
        <w:t>–</w:t>
      </w:r>
      <w:r>
        <w:t xml:space="preserve"> trešā invaliditātes grupa. Savukārt pēc nelaimes gadījuma </w:t>
      </w:r>
      <w:r w:rsidR="00CE7432">
        <w:t>pieteicējai vairākkārt tika noteikta otrā invaliditātes grupa ar darbspēju zaudējumu 60</w:t>
      </w:r>
      <w:r w:rsidR="0067213E">
        <w:t> </w:t>
      </w:r>
      <w:r w:rsidR="00CE7432">
        <w:t xml:space="preserve">%, nosakot invaliditātes cēloni „nelaimes gadījums darbā” (komisijas </w:t>
      </w:r>
      <w:proofErr w:type="gramStart"/>
      <w:r w:rsidR="00CE7432">
        <w:t>2016.gada</w:t>
      </w:r>
      <w:proofErr w:type="gramEnd"/>
      <w:r w:rsidR="00CE7432">
        <w:t xml:space="preserve"> 12.februāra lēmums, 2016.gada 29.jūlija lēmums, 2017.gada 28.jūlija lēmums). Šajos lēmumos </w:t>
      </w:r>
      <w:r w:rsidR="00CE7432">
        <w:lastRenderedPageBreak/>
        <w:t>eksperti secinājuši, ka pēc 2015.gadā gūtās traumas – kritiena darbā</w:t>
      </w:r>
      <w:r w:rsidR="00314BEE">
        <w:t xml:space="preserve"> – </w:t>
      </w:r>
      <w:r w:rsidR="00CE7432">
        <w:t>progresējušas sāpes mugurā</w:t>
      </w:r>
      <w:r w:rsidR="0024760A">
        <w:t xml:space="preserve"> un</w:t>
      </w:r>
      <w:r w:rsidR="00CE7432">
        <w:t xml:space="preserve"> kustību ierobežojumi mugurkaulā, pēc kā veikta atkārtota mugurkaula operācija – metāla konstrukciju revīzija. Līdz ar to pieteicējas veselības stāvokļa pasliktināšanās un funkcionālo spēju ierobežojums sai</w:t>
      </w:r>
      <w:r w:rsidR="00314BEE">
        <w:t>stāms ar gūto</w:t>
      </w:r>
      <w:r w:rsidR="00CE7432">
        <w:t xml:space="preserve"> traumu – kritienu darbā.</w:t>
      </w:r>
      <w:r w:rsidR="008D75CE">
        <w:t xml:space="preserve"> Tādējādi p</w:t>
      </w:r>
      <w:r w:rsidR="00FB23C4">
        <w:t xml:space="preserve">ieteicējas veselības stāvoklis pēc nelaimes gadījuma darbā ir būtiski pasliktinājies no mēreniem veselības traucējumiem uz smagiem. </w:t>
      </w:r>
    </w:p>
    <w:p w14:paraId="17B5DA53" w14:textId="4A7D22D3" w:rsidR="00FB23C4" w:rsidRDefault="00FB23C4" w:rsidP="007D78ED">
      <w:pPr>
        <w:spacing w:line="276" w:lineRule="auto"/>
        <w:ind w:firstLine="567"/>
        <w:contextualSpacing/>
        <w:jc w:val="both"/>
      </w:pPr>
      <w:r>
        <w:t>No medicīniskās</w:t>
      </w:r>
      <w:r w:rsidRPr="00FB23C4">
        <w:t xml:space="preserve"> anamnēzes nevar izdarīt viennozīmīgu</w:t>
      </w:r>
      <w:r>
        <w:t xml:space="preserve"> </w:t>
      </w:r>
      <w:r w:rsidRPr="00FB23C4">
        <w:t>secinājumu, ka pieteicēj</w:t>
      </w:r>
      <w:r w:rsidR="00314BEE">
        <w:t xml:space="preserve">a kritiena rezultātā nav guvusi </w:t>
      </w:r>
      <w:r w:rsidRPr="00FB23C4">
        <w:t>mugurkaula</w:t>
      </w:r>
      <w:r>
        <w:t xml:space="preserve"> </w:t>
      </w:r>
      <w:r w:rsidRPr="00FB23C4">
        <w:t xml:space="preserve">bojājumus, izkustoties ievietotajām metāla konstrukcijām. </w:t>
      </w:r>
      <w:r>
        <w:t xml:space="preserve">Nav pierādījumu, ka pieteicējas veselības stāvoklis ir pasliktinājies </w:t>
      </w:r>
      <w:r w:rsidR="00C61F4A">
        <w:t xml:space="preserve">tādu iemeslu dēļ, kas nav saistīti </w:t>
      </w:r>
      <w:r>
        <w:t>ar darba apstākļiem.</w:t>
      </w:r>
      <w:r w:rsidRPr="00FB23C4">
        <w:t xml:space="preserve"> </w:t>
      </w:r>
    </w:p>
    <w:p w14:paraId="1A49BA15" w14:textId="3EA96676" w:rsidR="00FB23C4" w:rsidRDefault="00FB23C4" w:rsidP="007D78ED">
      <w:pPr>
        <w:spacing w:line="276" w:lineRule="auto"/>
        <w:ind w:firstLine="567"/>
        <w:contextualSpacing/>
        <w:jc w:val="both"/>
      </w:pPr>
      <w:r>
        <w:t>A</w:t>
      </w:r>
      <w:r w:rsidRPr="00FB23C4">
        <w:t>tsevišķos gadījumos ir sarežģīti vai neiespējami atdalīt</w:t>
      </w:r>
      <w:r>
        <w:t xml:space="preserve"> </w:t>
      </w:r>
      <w:r w:rsidRPr="00FB23C4">
        <w:t>veselības traucējumus, kas radušies slimības un darba traumas rezultātā.</w:t>
      </w:r>
      <w:r>
        <w:t xml:space="preserve"> Šādos gadījumos</w:t>
      </w:r>
      <w:r w:rsidRPr="00FB23C4">
        <w:t xml:space="preserve"> jebkuras šaubas, kuras nav</w:t>
      </w:r>
      <w:r>
        <w:t xml:space="preserve"> </w:t>
      </w:r>
      <w:r w:rsidRPr="00FB23C4">
        <w:t xml:space="preserve">iespējams kliedēt ar lietā esošiem pierādījumiem, </w:t>
      </w:r>
      <w:r>
        <w:t>ir vērtējamas par labu cilvēkam.</w:t>
      </w:r>
    </w:p>
    <w:p w14:paraId="337EF897" w14:textId="77777777" w:rsidR="00D430A0" w:rsidRPr="005D095F" w:rsidRDefault="00D430A0" w:rsidP="007D78ED">
      <w:pPr>
        <w:spacing w:line="276" w:lineRule="auto"/>
        <w:ind w:firstLine="567"/>
        <w:contextualSpacing/>
        <w:jc w:val="both"/>
      </w:pPr>
    </w:p>
    <w:p w14:paraId="59290A92" w14:textId="0382363D" w:rsidR="00EA505C" w:rsidRDefault="008D3D15" w:rsidP="007D78ED">
      <w:pPr>
        <w:shd w:val="clear" w:color="auto" w:fill="FFFFFF"/>
        <w:spacing w:line="276" w:lineRule="auto"/>
        <w:ind w:firstLine="567"/>
        <w:contextualSpacing/>
        <w:jc w:val="both"/>
      </w:pPr>
      <w:r>
        <w:lastRenderedPageBreak/>
        <w:t>[4]</w:t>
      </w:r>
      <w:r w:rsidR="00D2243F">
        <w:t> </w:t>
      </w:r>
      <w:r>
        <w:t>Komisija par apgabaltiesas spriedumu iesniedza kasācijas sūdzību, izvirzot turpmāk minētos iebildumus.</w:t>
      </w:r>
    </w:p>
    <w:p w14:paraId="28161948" w14:textId="154DCD7E" w:rsidR="008D3D15" w:rsidRPr="008D3D15" w:rsidRDefault="008D3D15" w:rsidP="007D78ED">
      <w:pPr>
        <w:shd w:val="clear" w:color="auto" w:fill="FFFFFF"/>
        <w:spacing w:line="276" w:lineRule="auto"/>
        <w:ind w:firstLine="567"/>
        <w:contextualSpacing/>
        <w:jc w:val="both"/>
      </w:pPr>
      <w:r>
        <w:t>L</w:t>
      </w:r>
      <w:r w:rsidRPr="008D3D15">
        <w:t xml:space="preserve">ikumdevējs ir paredzējis atšķirīgu kompensācijas sistēmu personām, kurām noteikta invaliditāte un darbspēju zaudējums, atkarībā no invaliditātes cēloņa: vispārējos gadījumos – invaliditātes pensija, bet nelaimes gadījuma darbā dēļ – atlīdzība par darbspēju zaudējumu. </w:t>
      </w:r>
    </w:p>
    <w:p w14:paraId="18BACC57" w14:textId="2354EB68" w:rsidR="008D3D15" w:rsidRPr="008D3D15" w:rsidRDefault="009C4C45" w:rsidP="007D78ED">
      <w:pPr>
        <w:shd w:val="clear" w:color="auto" w:fill="FFFFFF"/>
        <w:spacing w:line="276" w:lineRule="auto"/>
        <w:ind w:firstLine="567"/>
        <w:contextualSpacing/>
        <w:jc w:val="both"/>
      </w:pPr>
      <w:r>
        <w:t xml:space="preserve">Atšķiras arī kritēriji, kas tiek ņemti vērā invaliditātes noteikšanai. Ja invaliditātes cēlonis ir slimība, tad tiek ņemti vērā kritēriji, kas noteikti </w:t>
      </w:r>
      <w:r w:rsidR="00162E13">
        <w:t xml:space="preserve">invaliditātes </w:t>
      </w:r>
      <w:r>
        <w:t xml:space="preserve">noteikumu 5.pielikumā. Savukārt, ja invaliditātes cēlonis ir nelaimes gadījums darbā, tad </w:t>
      </w:r>
      <w:r w:rsidR="00AC2091">
        <w:t xml:space="preserve">tiek izmantoti </w:t>
      </w:r>
      <w:r w:rsidR="00162E13">
        <w:t xml:space="preserve">invaliditātes </w:t>
      </w:r>
      <w:r w:rsidR="00AC2091">
        <w:t xml:space="preserve">noteikumu 6.pielikumā noteiktie kritēriji. </w:t>
      </w:r>
    </w:p>
    <w:p w14:paraId="513DE5F8" w14:textId="64853D1D" w:rsidR="008D3D15" w:rsidRPr="008D3D15" w:rsidRDefault="00AC2091" w:rsidP="007D78ED">
      <w:pPr>
        <w:shd w:val="clear" w:color="auto" w:fill="FFFFFF"/>
        <w:spacing w:line="276" w:lineRule="auto"/>
        <w:ind w:firstLine="567"/>
        <w:contextualSpacing/>
        <w:jc w:val="both"/>
      </w:pPr>
      <w:r>
        <w:t>Pirms nelaimes gadījuma darbā p</w:t>
      </w:r>
      <w:r w:rsidR="008D3D15" w:rsidRPr="008D3D15">
        <w:t>ieteicējai veselības traucējumu dēļ bija noteikts vispārējo darbspēju zaudējums 25</w:t>
      </w:r>
      <w:r w:rsidR="00B459B1">
        <w:t>–</w:t>
      </w:r>
      <w:r w:rsidR="008D3D15" w:rsidRPr="008D3D15">
        <w:t>59</w:t>
      </w:r>
      <w:r w:rsidR="00B459B1">
        <w:t> </w:t>
      </w:r>
      <w:r w:rsidR="008D3D15" w:rsidRPr="008D3D15">
        <w:t xml:space="preserve">% un trešā invaliditātes grupa ar invaliditātes cēloni </w:t>
      </w:r>
      <w:r w:rsidR="00B459B1">
        <w:t>„</w:t>
      </w:r>
      <w:r w:rsidR="008D3D15" w:rsidRPr="008D3D15">
        <w:t xml:space="preserve">slimība”, kas deva tiesības saņemt invaliditātes pensiju atbilstoši likumam </w:t>
      </w:r>
      <w:r w:rsidR="00B459B1">
        <w:t>„</w:t>
      </w:r>
      <w:r w:rsidR="008D3D15" w:rsidRPr="008D3D15">
        <w:t xml:space="preserve">Par valsts pensijām”. Nelaimes gadījums darbā pasliktināja </w:t>
      </w:r>
      <w:r w:rsidR="00F519D6">
        <w:t>p</w:t>
      </w:r>
      <w:r w:rsidR="008D3D15" w:rsidRPr="008D3D15">
        <w:t xml:space="preserve">ieteicējas jau esošos veselības traucējumus, kā rezultātā pasliktinājās arī pieteicējas darbspējas. Komisijai bija jāizvērtē, cik liels darbspēju zaudējums </w:t>
      </w:r>
      <w:r w:rsidR="00F519D6">
        <w:t>p</w:t>
      </w:r>
      <w:r w:rsidR="008D3D15" w:rsidRPr="008D3D15">
        <w:t xml:space="preserve">ieteicējai </w:t>
      </w:r>
      <w:r w:rsidR="008D3D15" w:rsidRPr="008D3D15">
        <w:lastRenderedPageBreak/>
        <w:t>radies nelaimes gadījuma darbā seku dēļ. Tā kā būtiski veselības bojājumi (lūzumi, plīsumi, mežģījumi, nervu bojājumi)</w:t>
      </w:r>
      <w:r w:rsidR="00F519D6">
        <w:t xml:space="preserve"> p</w:t>
      </w:r>
      <w:r w:rsidR="008D3D15" w:rsidRPr="008D3D15">
        <w:t xml:space="preserve">ieteicējai netika konstatēti, bet pastiprinājās esošās slimības simptomi, </w:t>
      </w:r>
      <w:r w:rsidR="00F519D6">
        <w:t>komisija noteica nelaimes gadījuma darbā papildus radīto</w:t>
      </w:r>
      <w:r w:rsidR="008D3D15" w:rsidRPr="008D3D15">
        <w:t xml:space="preserve"> </w:t>
      </w:r>
      <w:r w:rsidR="00F519D6">
        <w:t>darbspēju zaudējumu.</w:t>
      </w:r>
      <w:r w:rsidR="008D3D15" w:rsidRPr="008D3D15">
        <w:t xml:space="preserve"> </w:t>
      </w:r>
      <w:r w:rsidR="00F519D6">
        <w:t>Komisija konstatēja, ka p</w:t>
      </w:r>
      <w:r w:rsidR="008D3D15" w:rsidRPr="008D3D15">
        <w:t>ieteicējai nelaimes gadījuma darbā dēļ papildus jau noteiktajam radies 20</w:t>
      </w:r>
      <w:r w:rsidR="008D639F">
        <w:t> </w:t>
      </w:r>
      <w:r w:rsidR="008D3D15" w:rsidRPr="008D3D15">
        <w:t>% darbspēju zaudējums, no kā secināms, ka darbspēju zaudējums vienu un to pašu veselības traucējumu radīto funkcionālo ierobežojumu dēļ kopumā ir būtiski palielinājies, jo sasniedzis vismaz 60</w:t>
      </w:r>
      <w:r w:rsidR="008D639F">
        <w:t> </w:t>
      </w:r>
      <w:r w:rsidR="008D3D15" w:rsidRPr="008D3D15">
        <w:t>%</w:t>
      </w:r>
      <w:r w:rsidR="0024760A">
        <w:t>. T</w:t>
      </w:r>
      <w:r w:rsidR="008D3D15" w:rsidRPr="008D3D15">
        <w:t>āpēc atbilstoši</w:t>
      </w:r>
      <w:r w:rsidR="00162E13">
        <w:t xml:space="preserve"> invaliditātes</w:t>
      </w:r>
      <w:r w:rsidR="008D3D15" w:rsidRPr="008D3D15">
        <w:t xml:space="preserve"> </w:t>
      </w:r>
      <w:r w:rsidR="008D639F">
        <w:t>n</w:t>
      </w:r>
      <w:r w:rsidR="008D3D15" w:rsidRPr="008D3D15">
        <w:t xml:space="preserve">oteikumu 18.2. un 18.4.apakšpunktam, </w:t>
      </w:r>
      <w:r w:rsidR="00235F8A">
        <w:t xml:space="preserve">19.punktam </w:t>
      </w:r>
      <w:r w:rsidR="00732E02">
        <w:t xml:space="preserve">(konkrēti – </w:t>
      </w:r>
      <w:r w:rsidR="00235F8A">
        <w:t>19.2.apakšpunktam</w:t>
      </w:r>
      <w:r w:rsidR="00732E02">
        <w:t>)</w:t>
      </w:r>
      <w:r w:rsidR="008D3D15" w:rsidRPr="008D3D15">
        <w:t xml:space="preserve"> pieņemti divi atsevišķi lēmumi, ar kuriem noteikts vispārējo darbspēju zaudējums 60</w:t>
      </w:r>
      <w:r w:rsidR="00087325">
        <w:t>–</w:t>
      </w:r>
      <w:r w:rsidR="008D3D15" w:rsidRPr="008D3D15">
        <w:t>79</w:t>
      </w:r>
      <w:r w:rsidR="00C61F4A">
        <w:t> </w:t>
      </w:r>
      <w:r w:rsidR="008D3D15" w:rsidRPr="008D3D15">
        <w:t xml:space="preserve">% un otrā invaliditātes grupa ar invaliditātes cēloni </w:t>
      </w:r>
      <w:r w:rsidR="00087325">
        <w:t>„</w:t>
      </w:r>
      <w:r w:rsidR="008D3D15" w:rsidRPr="008D3D15">
        <w:t>slimība”</w:t>
      </w:r>
      <w:r w:rsidR="0024760A">
        <w:t>, kā arī</w:t>
      </w:r>
      <w:r w:rsidR="008D3D15" w:rsidRPr="008D3D15">
        <w:t xml:space="preserve"> 20</w:t>
      </w:r>
      <w:r w:rsidR="00087325">
        <w:t> </w:t>
      </w:r>
      <w:r w:rsidR="008D3D15" w:rsidRPr="008D3D15">
        <w:t>% darbspēju zaudējums nelaimes gadījuma darbā dēļ.</w:t>
      </w:r>
    </w:p>
    <w:p w14:paraId="4EAC360E" w14:textId="0AC457E5" w:rsidR="008D3D15" w:rsidRPr="008D3D15" w:rsidRDefault="008D3D15" w:rsidP="007D78ED">
      <w:pPr>
        <w:shd w:val="clear" w:color="auto" w:fill="FFFFFF"/>
        <w:spacing w:line="276" w:lineRule="auto"/>
        <w:ind w:firstLine="567"/>
        <w:contextualSpacing/>
        <w:jc w:val="both"/>
      </w:pPr>
      <w:r w:rsidRPr="008D3D15">
        <w:t xml:space="preserve">Tiesa </w:t>
      </w:r>
      <w:r w:rsidR="00235F8A">
        <w:t xml:space="preserve">nav pamatojusi, kādēļ </w:t>
      </w:r>
      <w:r w:rsidRPr="008D3D15">
        <w:t xml:space="preserve">darbspēju zaudējums, kurš bija noteikts </w:t>
      </w:r>
      <w:r w:rsidR="00235F8A">
        <w:t>iepriekš</w:t>
      </w:r>
      <w:r w:rsidRPr="008D3D15">
        <w:t>, ir attiecināts uz nelaimes gadījumu</w:t>
      </w:r>
      <w:r w:rsidR="00235F8A">
        <w:t xml:space="preserve"> darbā</w:t>
      </w:r>
      <w:r w:rsidRPr="008D3D15">
        <w:t>.</w:t>
      </w:r>
    </w:p>
    <w:p w14:paraId="05044D5C" w14:textId="31FD7689" w:rsidR="008D3D15" w:rsidRPr="008D3D15" w:rsidRDefault="00F519D6" w:rsidP="007D78ED">
      <w:pPr>
        <w:shd w:val="clear" w:color="auto" w:fill="FFFFFF"/>
        <w:spacing w:line="276" w:lineRule="auto"/>
        <w:ind w:firstLine="567"/>
        <w:contextualSpacing/>
        <w:jc w:val="both"/>
      </w:pPr>
      <w:r>
        <w:t>Lietā</w:t>
      </w:r>
      <w:r w:rsidR="008D3D15" w:rsidRPr="008D3D15">
        <w:t xml:space="preserve"> bija jānosaka ekspertīze</w:t>
      </w:r>
      <w:r w:rsidR="00E423BF">
        <w:t xml:space="preserve">, jo </w:t>
      </w:r>
      <w:r w:rsidR="008D3D15" w:rsidRPr="008D3D15">
        <w:t>lie</w:t>
      </w:r>
      <w:r w:rsidR="00E423BF">
        <w:t>tā nozīmīgu faktu noskaidrošana</w:t>
      </w:r>
      <w:r w:rsidR="00235F8A">
        <w:t>i</w:t>
      </w:r>
      <w:r w:rsidR="008D3D15" w:rsidRPr="008D3D15">
        <w:t xml:space="preserve"> bija nepieciešamas speciālas zināšanas medicīnas nozarē.</w:t>
      </w:r>
      <w:r w:rsidR="00E423BF">
        <w:t xml:space="preserve"> </w:t>
      </w:r>
      <w:r w:rsidR="008D3D15" w:rsidRPr="008D3D15">
        <w:t xml:space="preserve">Šajā gadījumā tiesa </w:t>
      </w:r>
      <w:r w:rsidR="0024760A" w:rsidRPr="008D3D15">
        <w:t>bez pietiek</w:t>
      </w:r>
      <w:r w:rsidR="0024760A">
        <w:t>am</w:t>
      </w:r>
      <w:r w:rsidR="0024760A" w:rsidRPr="008D3D15">
        <w:t xml:space="preserve">ām zināšanām medicīnas </w:t>
      </w:r>
      <w:r w:rsidR="0024760A" w:rsidRPr="008D3D15">
        <w:lastRenderedPageBreak/>
        <w:t xml:space="preserve">jomā </w:t>
      </w:r>
      <w:r w:rsidR="008D3D15" w:rsidRPr="008D3D15">
        <w:t xml:space="preserve">uzņēmās vērtēt tādus apstākļus, kuri ir nozīmīgi lietas pareizai izskatīšanai, </w:t>
      </w:r>
      <w:r w:rsidR="00087325">
        <w:t>un t</w:t>
      </w:r>
      <w:r w:rsidR="008D3D15" w:rsidRPr="008D3D15">
        <w:t>as noveda pie nepareiziem secinājumiem</w:t>
      </w:r>
      <w:r w:rsidR="00E1379C">
        <w:t xml:space="preserve">. </w:t>
      </w:r>
    </w:p>
    <w:p w14:paraId="17A53BAA" w14:textId="77777777" w:rsidR="009775C5" w:rsidRDefault="009775C5" w:rsidP="007D78ED">
      <w:pPr>
        <w:shd w:val="clear" w:color="auto" w:fill="FFFFFF"/>
        <w:spacing w:line="276" w:lineRule="auto"/>
        <w:ind w:firstLine="567"/>
        <w:contextualSpacing/>
        <w:jc w:val="both"/>
      </w:pPr>
    </w:p>
    <w:p w14:paraId="390D2D4F" w14:textId="2115EA44" w:rsidR="00707E86" w:rsidRDefault="00C83BB8" w:rsidP="007D78ED">
      <w:pPr>
        <w:shd w:val="clear" w:color="auto" w:fill="FFFFFF"/>
        <w:spacing w:line="276" w:lineRule="auto"/>
        <w:ind w:firstLine="567"/>
        <w:contextualSpacing/>
        <w:jc w:val="both"/>
      </w:pPr>
      <w:r>
        <w:t>[5] Pieteicēja paskaidrojumā norād</w:t>
      </w:r>
      <w:r w:rsidR="0024760A">
        <w:t>a</w:t>
      </w:r>
      <w:r>
        <w:t>, ka komisijas kasācijas sūdzība nav pamatota, un lūdz</w:t>
      </w:r>
      <w:r w:rsidR="0024760A">
        <w:t>a</w:t>
      </w:r>
      <w:r>
        <w:t xml:space="preserve"> to noraidīt.</w:t>
      </w:r>
    </w:p>
    <w:p w14:paraId="6C37F88E" w14:textId="218D0C67" w:rsidR="00C61F4A" w:rsidRDefault="00C61F4A" w:rsidP="007D78ED">
      <w:pPr>
        <w:shd w:val="clear" w:color="auto" w:fill="FFFFFF"/>
        <w:spacing w:line="276" w:lineRule="auto"/>
        <w:ind w:firstLine="567"/>
        <w:contextualSpacing/>
        <w:jc w:val="both"/>
      </w:pPr>
    </w:p>
    <w:p w14:paraId="3B21820B" w14:textId="729E5F12" w:rsidR="00C61F4A" w:rsidRDefault="00C61F4A" w:rsidP="007D78ED">
      <w:pPr>
        <w:shd w:val="clear" w:color="auto" w:fill="FFFFFF"/>
        <w:spacing w:line="276" w:lineRule="auto"/>
        <w:ind w:firstLine="567"/>
        <w:contextualSpacing/>
        <w:jc w:val="both"/>
      </w:pPr>
      <w:r>
        <w:t>[6]</w:t>
      </w:r>
      <w:r w:rsidR="00D2243F">
        <w:t> </w:t>
      </w:r>
      <w:r>
        <w:t xml:space="preserve">Tiesas sēdē komisijas pārstāvji uzturēja kasācijas sūdzību un tajā minētos argumentus. Pieteicējas pārstāvis kasācijas sūdzību neatzina un uzsvēra, ka nav iespējams juridiski nodalīt cēlonisko saikni vienam un otram darbspēju zaudējuma iemeslam. </w:t>
      </w:r>
    </w:p>
    <w:p w14:paraId="113A1869" w14:textId="77738BFC" w:rsidR="00C61F4A" w:rsidRDefault="00C61F4A" w:rsidP="007D78ED">
      <w:pPr>
        <w:shd w:val="clear" w:color="auto" w:fill="FFFFFF"/>
        <w:spacing w:line="276" w:lineRule="auto"/>
        <w:ind w:firstLine="567"/>
        <w:contextualSpacing/>
        <w:jc w:val="both"/>
      </w:pPr>
      <w:r>
        <w:t>Labklājības ministrijas pārstāves izskaidroja, ka Invaliditātes likumā un noteikumos Nr. 805 paredzētā iespēja noteikt specifiskus darbspēju zaudējuma cēloņus kalpo tam, lai varētu sniegt piemērotāku atbalstu cilvēkiem, proti, specifisku cēloņu gadījumā cilvēkam parasti ir nepieciešams īpašs piemērots papildu atbalsts. Pārstāves arī izskaidroja</w:t>
      </w:r>
      <w:r w:rsidR="002D5180">
        <w:t>, ka normatīvajos aktos paredzēta dažādu invaliditātes cēloņu noteikšana ar atbilstošu darbspēju zaudējuma apmēru, kā arī norā</w:t>
      </w:r>
      <w:r w:rsidR="002D5180">
        <w:lastRenderedPageBreak/>
        <w:t>dīja,</w:t>
      </w:r>
      <w:r>
        <w:t xml:space="preserve"> ka</w:t>
      </w:r>
      <w:r w:rsidR="002D5180">
        <w:t xml:space="preserve"> atbalsts atkarībā no cēloņa ir saistīts ar sociālās apdrošināšanas budžeta atbilstošu izmantošanu</w:t>
      </w:r>
      <w:r w:rsidR="00400331">
        <w:t>. Tāpat norādīja, ka s</w:t>
      </w:r>
      <w:r w:rsidR="00400331" w:rsidRPr="00400331">
        <w:t>ociālā nodrošinājuma sistēmā pastāv princips, ka vienus un tos pašus negūtos darba ienākumus neatlīdzina vairākkārt</w:t>
      </w:r>
      <w:r w:rsidR="00400331">
        <w:t xml:space="preserve">, tādēļ likumā „Par </w:t>
      </w:r>
      <w:r w:rsidR="00400331" w:rsidRPr="00400331">
        <w:t xml:space="preserve">obligāto sociālo apdrošināšanu pret nelaimes gadījumiem darbā un arodslimībām” kopš </w:t>
      </w:r>
      <w:proofErr w:type="gramStart"/>
      <w:r w:rsidR="00400331" w:rsidRPr="00400331">
        <w:t>2020.gada</w:t>
      </w:r>
      <w:proofErr w:type="gramEnd"/>
      <w:r w:rsidR="00400331" w:rsidRPr="00400331">
        <w:t xml:space="preserve"> 1.janvāra ir noteikts, ka personai, kurai vienlaikus ir tiesības uz atlīdzību par darbspēju zaudējumu vai atlīdzību par apgādnieka zaudējumu un invaliditātes pensiju saskaņā ar likumu </w:t>
      </w:r>
      <w:r w:rsidR="00400331">
        <w:t>„</w:t>
      </w:r>
      <w:r w:rsidR="00400331" w:rsidRPr="00400331">
        <w:t>Par valsts pensijām”, piešķir vienu no šiem pakalpojumiem, ņemot vērā personas izvēli</w:t>
      </w:r>
      <w:r w:rsidR="00400331">
        <w:t xml:space="preserve">. Tas atbilst </w:t>
      </w:r>
      <w:r w:rsidR="002D5180">
        <w:t xml:space="preserve">Satversmes tiesas </w:t>
      </w:r>
      <w:r w:rsidR="002D5180" w:rsidRPr="002D5180">
        <w:t>2010. gada 29. oktobra sprieduma</w:t>
      </w:r>
      <w:r w:rsidR="00400331">
        <w:t>m</w:t>
      </w:r>
      <w:r w:rsidR="002D5180" w:rsidRPr="002D5180">
        <w:t xml:space="preserve"> lietā Nr. 2010-17-01</w:t>
      </w:r>
      <w:r w:rsidR="00400331">
        <w:t>.</w:t>
      </w:r>
    </w:p>
    <w:p w14:paraId="0931ADF6" w14:textId="77777777" w:rsidR="004C4352" w:rsidRDefault="004C4352" w:rsidP="007D78ED">
      <w:pPr>
        <w:shd w:val="clear" w:color="auto" w:fill="FFFFFF"/>
        <w:spacing w:line="276" w:lineRule="auto"/>
        <w:ind w:firstLine="567"/>
        <w:contextualSpacing/>
        <w:jc w:val="both"/>
      </w:pPr>
    </w:p>
    <w:p w14:paraId="51EB78C1" w14:textId="77777777" w:rsidR="004272F0" w:rsidRDefault="004272F0" w:rsidP="007D78ED">
      <w:pPr>
        <w:spacing w:line="276" w:lineRule="auto"/>
        <w:contextualSpacing/>
        <w:jc w:val="center"/>
        <w:rPr>
          <w:b/>
          <w:lang w:eastAsia="lv-LV"/>
        </w:rPr>
      </w:pPr>
      <w:r w:rsidRPr="00DB47E6">
        <w:rPr>
          <w:b/>
          <w:lang w:eastAsia="lv-LV"/>
        </w:rPr>
        <w:t>Motīvu daļa</w:t>
      </w:r>
    </w:p>
    <w:p w14:paraId="51845B67" w14:textId="77777777" w:rsidR="00AB702A" w:rsidRDefault="00AB702A" w:rsidP="007D78ED">
      <w:pPr>
        <w:spacing w:line="276" w:lineRule="auto"/>
        <w:ind w:firstLine="567"/>
        <w:contextualSpacing/>
        <w:jc w:val="center"/>
        <w:rPr>
          <w:b/>
          <w:lang w:eastAsia="lv-LV"/>
        </w:rPr>
      </w:pPr>
    </w:p>
    <w:p w14:paraId="20C1CA2B" w14:textId="77777777" w:rsidR="004A0B88" w:rsidRDefault="00C83BB8" w:rsidP="007D78ED">
      <w:pPr>
        <w:shd w:val="clear" w:color="auto" w:fill="FFFFFF"/>
        <w:spacing w:line="276" w:lineRule="auto"/>
        <w:ind w:firstLine="567"/>
        <w:contextualSpacing/>
        <w:jc w:val="both"/>
      </w:pPr>
      <w:r>
        <w:t>[</w:t>
      </w:r>
      <w:r w:rsidR="004D10E4">
        <w:t>7</w:t>
      </w:r>
      <w:r>
        <w:t xml:space="preserve">] Lietā ir strīds, vai pareizi ir noteikts pieteicējas invaliditātes </w:t>
      </w:r>
      <w:r w:rsidR="00945AC7">
        <w:t xml:space="preserve">un darbspēju zaudējuma </w:t>
      </w:r>
      <w:r>
        <w:t>cēlonis</w:t>
      </w:r>
      <w:r w:rsidR="00E85D41">
        <w:t>.</w:t>
      </w:r>
      <w:r w:rsidR="00F21E2E">
        <w:t xml:space="preserve"> </w:t>
      </w:r>
    </w:p>
    <w:p w14:paraId="05F8450C" w14:textId="77A8F0A0" w:rsidR="007B3E85" w:rsidRDefault="007B3E85" w:rsidP="007D78ED">
      <w:pPr>
        <w:shd w:val="clear" w:color="auto" w:fill="FFFFFF"/>
        <w:spacing w:line="276" w:lineRule="auto"/>
        <w:ind w:firstLine="567"/>
        <w:contextualSpacing/>
        <w:jc w:val="both"/>
      </w:pPr>
      <w:r w:rsidRPr="007B3E85">
        <w:lastRenderedPageBreak/>
        <w:t xml:space="preserve">Kā redzams, iestāde sākotnēji pieņēmusi </w:t>
      </w:r>
      <w:r w:rsidR="00ED61D5">
        <w:t>div</w:t>
      </w:r>
      <w:r w:rsidRPr="007B3E85">
        <w:t>us lēmumus: pirmkārt, noteikts darbspēju zaudējums 60–79 % un otrā invaliditātes grupa ar invaliditātes cēloni „slimība”, otrkārt, atsevišķi noteikts darbspēju zaudējums nelaimes gadījumā darbā 20 %</w:t>
      </w:r>
      <w:r>
        <w:t>.</w:t>
      </w:r>
    </w:p>
    <w:p w14:paraId="35B38C5A" w14:textId="5299311F" w:rsidR="007B3E85" w:rsidRDefault="007B3E85" w:rsidP="007D78ED">
      <w:pPr>
        <w:shd w:val="clear" w:color="auto" w:fill="FFFFFF"/>
        <w:spacing w:line="276" w:lineRule="auto"/>
        <w:ind w:firstLine="567"/>
        <w:contextualSpacing/>
        <w:jc w:val="both"/>
      </w:pPr>
      <w:r>
        <w:t>Administratīvā apgabaltiesa, atsaucoties uz noteikumu Nr. 805 6.pielikuma piezīmi, ir uzskatījusi par iespēj</w:t>
      </w:r>
      <w:r w:rsidR="0024760A">
        <w:t>a</w:t>
      </w:r>
      <w:r>
        <w:t>mu nenošķirt divus dažādus cēloņus pieteicējas darbspēju zaudējumam, proti, atzinusi, ka, nosakot darba negadījuma radītā darbspēju zaudējuma apmēru, jāņem vērā visi pārējie apstākļi, kas ietekmē pieteicējas darbspējas un rada darbspēju zaudējumu. Tostarp apgabaltiesa tikai kā ietekmējošu faktoru, bet nevis kā patstāvīgu darbspēju zaudējuma cēloni ņēmusi vērā pieteicējas agrāko slimību.</w:t>
      </w:r>
    </w:p>
    <w:p w14:paraId="1EAFEF16" w14:textId="4A36BFF9" w:rsidR="007B3E85" w:rsidRDefault="007B3E85" w:rsidP="007D78ED">
      <w:pPr>
        <w:shd w:val="clear" w:color="auto" w:fill="FFFFFF"/>
        <w:spacing w:line="276" w:lineRule="auto"/>
        <w:ind w:firstLine="567"/>
        <w:contextualSpacing/>
        <w:jc w:val="both"/>
      </w:pPr>
      <w:r>
        <w:t>Lai atbildētu uz jautājumu, vai šāda pieeja ir pamatota, ir jāatbild uz jautājum</w:t>
      </w:r>
      <w:r w:rsidR="0024760A">
        <w:t>iem</w:t>
      </w:r>
      <w:r>
        <w:t xml:space="preserve">, </w:t>
      </w:r>
      <w:r w:rsidR="00ED61D5">
        <w:t xml:space="preserve">kādā nolūkā ir jānosaka invaliditātes un darbspēju zaudējuma cēloņi un vai </w:t>
      </w:r>
      <w:r>
        <w:t xml:space="preserve">tiesiskais regulējums paredz noteikt </w:t>
      </w:r>
      <w:r w:rsidR="00ED61D5">
        <w:t xml:space="preserve">vienlaikus </w:t>
      </w:r>
      <w:r>
        <w:t xml:space="preserve">dažādus cēloņus personas </w:t>
      </w:r>
      <w:r w:rsidR="00ED61D5">
        <w:t xml:space="preserve">invaliditātei un </w:t>
      </w:r>
      <w:r>
        <w:t>darbspēju zaudējumam.</w:t>
      </w:r>
    </w:p>
    <w:p w14:paraId="055E5DDD" w14:textId="77777777" w:rsidR="007B3E85" w:rsidRDefault="007B3E85" w:rsidP="007D78ED">
      <w:pPr>
        <w:shd w:val="clear" w:color="auto" w:fill="FFFFFF"/>
        <w:spacing w:line="276" w:lineRule="auto"/>
        <w:ind w:firstLine="567"/>
        <w:contextualSpacing/>
        <w:jc w:val="both"/>
      </w:pPr>
    </w:p>
    <w:p w14:paraId="6983D4CE" w14:textId="5EFFA844" w:rsidR="00ED61D5" w:rsidRDefault="00ED61D5" w:rsidP="007D78ED">
      <w:pPr>
        <w:shd w:val="clear" w:color="auto" w:fill="FFFFFF"/>
        <w:spacing w:line="276" w:lineRule="auto"/>
        <w:ind w:firstLine="567"/>
        <w:contextualSpacing/>
        <w:jc w:val="both"/>
      </w:pPr>
      <w:r>
        <w:t>[</w:t>
      </w:r>
      <w:r w:rsidR="002D04AE">
        <w:t>8</w:t>
      </w:r>
      <w:r>
        <w:t>]</w:t>
      </w:r>
      <w:r w:rsidR="00D2243F">
        <w:t> </w:t>
      </w:r>
      <w:r>
        <w:t>No Invaliditātes likuma secināms, ka slimība, trauma vai iedzimts defekts ir tas, kas izraisa funkcionēšanas ierobežojumu</w:t>
      </w:r>
      <w:r w:rsidR="00951EA5">
        <w:t xml:space="preserve"> šā likuma izpratnē</w:t>
      </w:r>
      <w:r>
        <w:t xml:space="preserve"> (Invaliditātes likuma </w:t>
      </w:r>
      <w:proofErr w:type="gramStart"/>
      <w:r>
        <w:t>1.panta</w:t>
      </w:r>
      <w:proofErr w:type="gramEnd"/>
      <w:r>
        <w:t xml:space="preserve"> 3.punkts)</w:t>
      </w:r>
      <w:r w:rsidR="00951EA5">
        <w:t>.</w:t>
      </w:r>
      <w:r>
        <w:t xml:space="preserve"> </w:t>
      </w:r>
    </w:p>
    <w:p w14:paraId="3EB5845F" w14:textId="5E9940B8" w:rsidR="00951EA5" w:rsidRDefault="00951EA5" w:rsidP="007D78ED">
      <w:pPr>
        <w:shd w:val="clear" w:color="auto" w:fill="FFFFFF"/>
        <w:spacing w:line="276" w:lineRule="auto"/>
        <w:ind w:firstLine="567"/>
        <w:contextualSpacing/>
        <w:jc w:val="both"/>
      </w:pPr>
      <w:r>
        <w:lastRenderedPageBreak/>
        <w:t>I</w:t>
      </w:r>
      <w:r w:rsidR="00ED61D5">
        <w:t>nvaliditāte ir salīdzinoši smagākā ierobežojumu pakāpe – tā ir ilgstošs vai nepārejošs ļoti smagas, smagas vai mērenas pakāpes funkcionēšanas ierobežojums</w:t>
      </w:r>
      <w:r>
        <w:t xml:space="preserve"> (Invaliditātes likuma </w:t>
      </w:r>
      <w:proofErr w:type="gramStart"/>
      <w:r>
        <w:t>5.panta</w:t>
      </w:r>
      <w:proofErr w:type="gramEnd"/>
      <w:r>
        <w:t xml:space="preserve"> otrā daļa).</w:t>
      </w:r>
    </w:p>
    <w:p w14:paraId="0834A605" w14:textId="466907D7" w:rsidR="00ED61D5" w:rsidRDefault="00951EA5" w:rsidP="007D78ED">
      <w:pPr>
        <w:shd w:val="clear" w:color="auto" w:fill="FFFFFF"/>
        <w:spacing w:line="276" w:lineRule="auto"/>
        <w:ind w:firstLine="567"/>
        <w:contextualSpacing/>
        <w:jc w:val="both"/>
      </w:pPr>
      <w:r>
        <w:t xml:space="preserve">Funkcionēšanas ierobežojums ietekmē arī personas darbspējas (Invaliditātes likuma </w:t>
      </w:r>
      <w:proofErr w:type="gramStart"/>
      <w:r>
        <w:t>5.panta</w:t>
      </w:r>
      <w:proofErr w:type="gramEnd"/>
      <w:r>
        <w:t xml:space="preserve"> otrā daļa). Invaliditātes ekspertīzē vērtē personas darbspēju zaudējuma esību un apjomu</w:t>
      </w:r>
      <w:r w:rsidR="00ED61D5">
        <w:t xml:space="preserve"> (Invaliditātes likuma </w:t>
      </w:r>
      <w:proofErr w:type="gramStart"/>
      <w:r w:rsidR="00ED61D5">
        <w:t>1.panta</w:t>
      </w:r>
      <w:proofErr w:type="gramEnd"/>
      <w:r w:rsidR="00ED61D5">
        <w:t xml:space="preserve"> 2.punkts)</w:t>
      </w:r>
      <w:r>
        <w:t>, kas ir pamats secinājumam par to, vai personai ir invaliditāte</w:t>
      </w:r>
      <w:r w:rsidR="0024760A">
        <w:t xml:space="preserve"> un</w:t>
      </w:r>
      <w:r>
        <w:t xml:space="preserve"> kāda invaliditātes grupa nosakāma (Invaliditātes likuma 6.panta trešā daļa).</w:t>
      </w:r>
    </w:p>
    <w:p w14:paraId="3D3E0B56" w14:textId="77777777" w:rsidR="00ED61D5" w:rsidRDefault="00ED61D5" w:rsidP="007D78ED">
      <w:pPr>
        <w:shd w:val="clear" w:color="auto" w:fill="FFFFFF"/>
        <w:spacing w:line="276" w:lineRule="auto"/>
        <w:ind w:firstLine="567"/>
        <w:contextualSpacing/>
        <w:jc w:val="both"/>
      </w:pPr>
    </w:p>
    <w:p w14:paraId="117D4509" w14:textId="6A288158" w:rsidR="00657C04" w:rsidRDefault="00657C04" w:rsidP="007D78ED">
      <w:pPr>
        <w:shd w:val="clear" w:color="auto" w:fill="FFFFFF"/>
        <w:spacing w:line="276" w:lineRule="auto"/>
        <w:ind w:firstLine="567"/>
        <w:contextualSpacing/>
        <w:jc w:val="both"/>
      </w:pPr>
      <w:r>
        <w:t>[</w:t>
      </w:r>
      <w:r w:rsidR="002D04AE">
        <w:t>9</w:t>
      </w:r>
      <w:r>
        <w:t>]</w:t>
      </w:r>
      <w:r w:rsidR="00D2243F">
        <w:t> </w:t>
      </w:r>
      <w:r>
        <w:t xml:space="preserve">Invaliditātes likuma </w:t>
      </w:r>
      <w:proofErr w:type="gramStart"/>
      <w:r>
        <w:t>8.panta</w:t>
      </w:r>
      <w:proofErr w:type="gramEnd"/>
      <w:r>
        <w:t xml:space="preserve"> (reglamentē invaliditātes ekspertīzi) otrā daļa noteic, ka, pamatojoties uz personas funkcionēšanas ierobežojuma izvērtējumu, Valsts komisijas amatpersona izdod administratīvo aktu, ar kuru nosaka invaliditāti vai prognozējamu invaliditāti, vai darbspēju zaudējumu procentos  normatīvajos aktos noteiktajos gadījumos, kā arī nosaka invaliditātes cēloni vai darbspēju zaudējuma cēloni (personām, kurām nav noteikta invaliditāte, normatīvajos aktos noteiktajos gadījumos).</w:t>
      </w:r>
    </w:p>
    <w:p w14:paraId="0DCE3640" w14:textId="77777777" w:rsidR="00657C04" w:rsidRDefault="00657C04" w:rsidP="007D78ED">
      <w:pPr>
        <w:shd w:val="clear" w:color="auto" w:fill="FFFFFF"/>
        <w:spacing w:line="276" w:lineRule="auto"/>
        <w:ind w:firstLine="567"/>
        <w:contextualSpacing/>
        <w:jc w:val="both"/>
      </w:pPr>
      <w:r>
        <w:lastRenderedPageBreak/>
        <w:t>Secināms, ka, nosakot invaliditāti, kā arī nosakot darbspēju zaudējumu normatīvajos aktos paredzētajos gadījumos, ir jānosaka attiecīgi invaliditātes vai darbspēju zaudējuma cēlonis – otrajā gadījumā tad, ja personai nav noteikta invaliditāte, bet normatīvie akti paredz noteikt darbspēju zaudējumu.</w:t>
      </w:r>
    </w:p>
    <w:p w14:paraId="0087934C" w14:textId="2CC7B41D" w:rsidR="00657C04" w:rsidRDefault="00657C04" w:rsidP="007D78ED">
      <w:pPr>
        <w:shd w:val="clear" w:color="auto" w:fill="FFFFFF"/>
        <w:spacing w:line="276" w:lineRule="auto"/>
        <w:ind w:firstLine="567"/>
        <w:contextualSpacing/>
        <w:jc w:val="both"/>
      </w:pPr>
      <w:r>
        <w:t>Tas var radīt sarežģītus jautājumus par to, vai invaliditātes un darbspēju zaudējuma (vai tikai darbspēju zaudējuma, ja funkcionēšanas ierobežojums nesasniedz invaliditāti) cēlonis ir viens vai vairāki, kā arī</w:t>
      </w:r>
      <w:r w:rsidR="00FC4608">
        <w:t xml:space="preserve"> otrajā gadījumā –</w:t>
      </w:r>
      <w:r>
        <w:t xml:space="preserve"> cik lielu funkcionēšanas ierobežojumu un attiecīgu darbspēju zaudējumu radījis katrs no </w:t>
      </w:r>
      <w:r w:rsidR="00FC4608">
        <w:t>cēloņiem</w:t>
      </w:r>
      <w:r>
        <w:t xml:space="preserve">. Tas, kā arī liecina saruna ar komisijas pārstāvjiem tiesas sēdē, liek izdarīt sarežģītus medicīniskus slēdzienus, un ne vienmēr cēlonības saikne ir precīzi nosakāma, </w:t>
      </w:r>
      <w:r w:rsidR="005F0E56">
        <w:t xml:space="preserve">kā arī </w:t>
      </w:r>
      <w:r>
        <w:t>ne vienmēr dažādu cēloņu ietekmes apjoms uz noteiktu funkcionālo ierobežojumu „daļu” ir no</w:t>
      </w:r>
      <w:r w:rsidR="005F0E56">
        <w:t>dalā</w:t>
      </w:r>
      <w:r>
        <w:t>ms.</w:t>
      </w:r>
    </w:p>
    <w:p w14:paraId="0D1DFADC" w14:textId="5A073A4E" w:rsidR="005F0E56" w:rsidRDefault="005F0E56" w:rsidP="007D78ED">
      <w:pPr>
        <w:shd w:val="clear" w:color="auto" w:fill="FFFFFF"/>
        <w:spacing w:line="276" w:lineRule="auto"/>
        <w:ind w:firstLine="567"/>
        <w:contextualSpacing/>
        <w:jc w:val="both"/>
      </w:pPr>
    </w:p>
    <w:p w14:paraId="53704016" w14:textId="3DE7BE38" w:rsidR="005F0E56" w:rsidRDefault="005F0E56" w:rsidP="007D78ED">
      <w:pPr>
        <w:shd w:val="clear" w:color="auto" w:fill="FFFFFF"/>
        <w:spacing w:line="276" w:lineRule="auto"/>
        <w:ind w:firstLine="567"/>
        <w:contextualSpacing/>
        <w:jc w:val="both"/>
      </w:pPr>
      <w:r>
        <w:t>[</w:t>
      </w:r>
      <w:r w:rsidR="002D04AE">
        <w:t>10</w:t>
      </w:r>
      <w:r>
        <w:t>]</w:t>
      </w:r>
      <w:r w:rsidR="00D2243F">
        <w:t> </w:t>
      </w:r>
      <w:r>
        <w:t>Lai saprastu, kādi principi cēlonības noteikšanai izriet no normatīvā regulējuma, būtu jāņem vērā, kāda iemesla dēļ šo cēlonību noskaidro.</w:t>
      </w:r>
    </w:p>
    <w:p w14:paraId="145767C8" w14:textId="465BC6CC" w:rsidR="005F0E56" w:rsidRDefault="005F0E56" w:rsidP="007D78ED">
      <w:pPr>
        <w:shd w:val="clear" w:color="auto" w:fill="FFFFFF"/>
        <w:spacing w:line="276" w:lineRule="auto"/>
        <w:ind w:firstLine="567"/>
        <w:contextualSpacing/>
        <w:jc w:val="both"/>
      </w:pPr>
      <w:r>
        <w:lastRenderedPageBreak/>
        <w:t xml:space="preserve">No komisijas un pieaicinātās iestādes – Labklājības ministrijas </w:t>
      </w:r>
      <w:r w:rsidR="00732E02">
        <w:t xml:space="preserve">– </w:t>
      </w:r>
      <w:r>
        <w:t xml:space="preserve">paskaidrojumiem izriet iestāžu viedoklis, ka pastāv vismaz divi mērķi. </w:t>
      </w:r>
    </w:p>
    <w:p w14:paraId="78352AAF" w14:textId="77777777" w:rsidR="005F0E56" w:rsidRDefault="005F0E56" w:rsidP="007D78ED">
      <w:pPr>
        <w:shd w:val="clear" w:color="auto" w:fill="FFFFFF"/>
        <w:spacing w:line="276" w:lineRule="auto"/>
        <w:ind w:firstLine="567"/>
        <w:contextualSpacing/>
        <w:jc w:val="both"/>
      </w:pPr>
      <w:r>
        <w:t xml:space="preserve">Pirmkārt, kā paskaidroja Labklājības ministrija, un tas saskan arī ar tiesisko regulējumu, specifiska cēloņa noskaidrošana ir pamats noteikt cilvēkam piemērotāku atbalsta veidu. Piemēram, personai ir tiesības saņemt papildu izdevumu kompensāciju par ārstēšanās un rehabilitācijas izdevumiem, ja darbspēju zaudējums ir radies nelaimes gadījuma darbā vai arodslimības dēļ (likuma „Par obligāto sociālo apdrošināšanu pret nelaimes gadījumiem darbā vai arodslimībām” </w:t>
      </w:r>
      <w:proofErr w:type="gramStart"/>
      <w:r>
        <w:t>21.panta</w:t>
      </w:r>
      <w:proofErr w:type="gramEnd"/>
      <w:r>
        <w:t xml:space="preserve"> otrā daļa), vai, piemēram, ir tiesības saņemt lielāku valsts sociālā nodrošinājuma pabalstu, ja invaliditātes cēlonis ir slimība no bērnības (Valsts sociālo pabalstu likuma 13.panta 1.</w:t>
      </w:r>
      <w:r w:rsidRPr="0014091B">
        <w:rPr>
          <w:vertAlign w:val="superscript"/>
        </w:rPr>
        <w:t>2</w:t>
      </w:r>
      <w:r>
        <w:t>daļas 2.punkts).</w:t>
      </w:r>
    </w:p>
    <w:p w14:paraId="2AB38345" w14:textId="7D17F077" w:rsidR="005F0E56" w:rsidRDefault="005F0E56" w:rsidP="007D78ED">
      <w:pPr>
        <w:shd w:val="clear" w:color="auto" w:fill="FFFFFF"/>
        <w:spacing w:line="276" w:lineRule="auto"/>
        <w:ind w:firstLine="567"/>
        <w:contextualSpacing/>
        <w:jc w:val="both"/>
      </w:pPr>
      <w:r>
        <w:t>Otrkārt, tas atbilst sociālās apdrošināšanas sistēmai, kurā tiek veidoti atsevišķi budžeti dažādiem sociālās apdrošināšanas veidiem, un cēlonības nošķiršana dod iespēju sasaistīt atbalsta izmaksu ar atbilstoš</w:t>
      </w:r>
      <w:r w:rsidR="0014091B">
        <w:t>u</w:t>
      </w:r>
      <w:r>
        <w:t xml:space="preserve"> sociālās apdrošināšanas līdzekļu avotu. Atbilstoši likuma „Par valsts sociālo apdrošināšanu” </w:t>
      </w:r>
      <w:proofErr w:type="gramStart"/>
      <w:r>
        <w:t>4.pantam</w:t>
      </w:r>
      <w:proofErr w:type="gramEnd"/>
      <w:r>
        <w:t xml:space="preserve"> invaliditātes sociālā apdrošināšana tiek nošķirta no sociālās apdrošināšanas pret nelaimes gadījumiem darbā un arodslimībām, turklāt šiem apdrošināšanas veidiem ir </w:t>
      </w:r>
      <w:r>
        <w:lastRenderedPageBreak/>
        <w:t xml:space="preserve">arī atšķirīgi speciālie budžeti (likuma 10.pants un 11.pants). Arī izmaksas ir nošķirtas, kā tas redzams no likuma „Par valsts pensijām” </w:t>
      </w:r>
      <w:proofErr w:type="gramStart"/>
      <w:r>
        <w:t>14.panta</w:t>
      </w:r>
      <w:proofErr w:type="gramEnd"/>
      <w:r>
        <w:t xml:space="preserve">. Tas paredz tiesības uz invaliditātes pensiju, ja vien invaliditātes cēlonis nav nelaimes gadījums darbā vai arodslimība – tad savukārt atbilstoši likumam „Par obligāto sociālo apdrošināšanu pret nelaimes gadījumiem darbā vai arodslimībām” personai izmaksā atlīdzību par darbspēju zaudējumu. Saskaņā ar likuma „Par obligāto sociālo apdrošināšanu pret nelaimes gadījumiem darbā vai arodslimībām” </w:t>
      </w:r>
      <w:proofErr w:type="gramStart"/>
      <w:r>
        <w:t>20.panta</w:t>
      </w:r>
      <w:proofErr w:type="gramEnd"/>
      <w:r>
        <w:t xml:space="preserve"> pirmo daļu atlīdzību par darbspēju zaudējumu piešķir apdrošināšanas gadījumos, kad komisija ir noteikusi darbspēju zaudējumu. </w:t>
      </w:r>
      <w:r w:rsidR="0014091B">
        <w:t>Senāts saskata šādas sistēmas leģitīmo mērķi – līdzsvarot sociālās apdrošināšanas budžeta iemaksas un izmaksas un nodrošināt sociālās apdrošināšanas sistēmas ilgtspēju, vienlaikus nodrošinot atbalstu atbilstoši noteiktiem sociālajiem riskiem.</w:t>
      </w:r>
    </w:p>
    <w:p w14:paraId="625499ED" w14:textId="43BFC61B" w:rsidR="005F0E56" w:rsidRDefault="005F0E56" w:rsidP="007D78ED">
      <w:pPr>
        <w:shd w:val="clear" w:color="auto" w:fill="FFFFFF"/>
        <w:spacing w:line="276" w:lineRule="auto"/>
        <w:ind w:firstLine="567"/>
        <w:contextualSpacing/>
        <w:jc w:val="both"/>
      </w:pPr>
      <w:r>
        <w:t>Tātad invaliditātes un/vai darbspēju zaudējuma cēlonim ir nozīme, lai noteiktu, kāds sociālās apdrošināšanas veids ir piemērojams.</w:t>
      </w:r>
    </w:p>
    <w:p w14:paraId="0BE444C9" w14:textId="77777777" w:rsidR="005F0E56" w:rsidRDefault="005F0E56" w:rsidP="007D78ED">
      <w:pPr>
        <w:shd w:val="clear" w:color="auto" w:fill="FFFFFF"/>
        <w:spacing w:line="276" w:lineRule="auto"/>
        <w:ind w:firstLine="567"/>
        <w:contextualSpacing/>
        <w:jc w:val="both"/>
      </w:pPr>
    </w:p>
    <w:p w14:paraId="283027B8" w14:textId="6F5B09A3" w:rsidR="00657C04" w:rsidRDefault="00FC4608" w:rsidP="007D78ED">
      <w:pPr>
        <w:shd w:val="clear" w:color="auto" w:fill="FFFFFF"/>
        <w:spacing w:line="276" w:lineRule="auto"/>
        <w:ind w:firstLine="567"/>
        <w:contextualSpacing/>
        <w:jc w:val="both"/>
      </w:pPr>
      <w:r>
        <w:t>[</w:t>
      </w:r>
      <w:r w:rsidR="002D04AE">
        <w:t>11</w:t>
      </w:r>
      <w:r>
        <w:t>]</w:t>
      </w:r>
      <w:r w:rsidR="00D2243F">
        <w:t> </w:t>
      </w:r>
      <w:r>
        <w:t xml:space="preserve">Tas liek secināt, ka secinājums par invaliditātes un/vai </w:t>
      </w:r>
      <w:proofErr w:type="gramStart"/>
      <w:r>
        <w:t>darbspēju zaudējuma cēloni</w:t>
      </w:r>
      <w:proofErr w:type="gramEnd"/>
      <w:r>
        <w:t xml:space="preserve"> jāizdara tā, lai konkrēto personu sasniegtu viņas situācijā visatbilstošākais atbalsts, kā arī lai pēc </w:t>
      </w:r>
      <w:r>
        <w:lastRenderedPageBreak/>
        <w:t>iespējas saglabātu saikni starp funkcionēšanas ierobežojuma cēloni un atbalsta avotu (atbilstošu budžetu).</w:t>
      </w:r>
    </w:p>
    <w:p w14:paraId="7D50ED32" w14:textId="77777777" w:rsidR="00FC4608" w:rsidRDefault="00FC4608" w:rsidP="007D78ED">
      <w:pPr>
        <w:shd w:val="clear" w:color="auto" w:fill="FFFFFF"/>
        <w:spacing w:line="276" w:lineRule="auto"/>
        <w:ind w:firstLine="567"/>
        <w:contextualSpacing/>
        <w:jc w:val="both"/>
      </w:pPr>
    </w:p>
    <w:p w14:paraId="3F2E7241" w14:textId="2D00E06E" w:rsidR="005F0E56" w:rsidRDefault="005F0E56" w:rsidP="007D78ED">
      <w:pPr>
        <w:shd w:val="clear" w:color="auto" w:fill="FFFFFF"/>
        <w:spacing w:line="276" w:lineRule="auto"/>
        <w:ind w:firstLine="567"/>
        <w:contextualSpacing/>
        <w:jc w:val="both"/>
      </w:pPr>
      <w:r>
        <w:t>[</w:t>
      </w:r>
      <w:r w:rsidR="002D04AE">
        <w:t>12</w:t>
      </w:r>
      <w:r>
        <w:t>]</w:t>
      </w:r>
      <w:r w:rsidR="00D2243F">
        <w:t> </w:t>
      </w:r>
      <w:r>
        <w:t xml:space="preserve">Ievērojot to, ka šajā lietā </w:t>
      </w:r>
      <w:r w:rsidR="00FC4608">
        <w:t xml:space="preserve">attiecībā uz pieteicēju </w:t>
      </w:r>
      <w:r>
        <w:t xml:space="preserve">pieņemti divi lēmumi, </w:t>
      </w:r>
      <w:proofErr w:type="gramStart"/>
      <w:r>
        <w:t>un</w:t>
      </w:r>
      <w:proofErr w:type="gramEnd"/>
      <w:r>
        <w:t xml:space="preserve"> ņemot vērā arī komisijas paskaidrojumus tiesas sēdē, Senāts secina, ka iestādes prakse ir tāda, ka atbilstoši katram cēlonim, kura radītā funkcionēšanas ierobežojuma dēļ persona lūdz veikt invaliditātes ekspertīzi, tiek pieņemt</w:t>
      </w:r>
      <w:r w:rsidR="00FC4608">
        <w:t>s</w:t>
      </w:r>
      <w:r>
        <w:t xml:space="preserve"> atsevišķs lēmums, nosakot tikai šim cēlonim atbilstošu darbspēju zaudējum</w:t>
      </w:r>
      <w:r w:rsidR="00FC4608">
        <w:t>a apjomu</w:t>
      </w:r>
      <w:r>
        <w:t xml:space="preserve">. </w:t>
      </w:r>
      <w:r w:rsidR="00FC4608">
        <w:t xml:space="preserve">Proti, ja, piemēram, persona lūdz ekspertīzi sakarā ar darbā notikušo negadījumu, tad nosaka tikai šā negadījuma dēļ radīto darbspēju zaudējumu un attiecīgu atsevišķu invaliditāti – ja tieši šis atsevišķais cēlonis pats par sevi radījis tik lielu funkcionēšanas ierobežojumu, kas sasniedz invaliditāti. </w:t>
      </w:r>
    </w:p>
    <w:p w14:paraId="26B7E645" w14:textId="2985B686" w:rsidR="005F0E56" w:rsidRDefault="005F0E56" w:rsidP="007D78ED">
      <w:pPr>
        <w:shd w:val="clear" w:color="auto" w:fill="FFFFFF"/>
        <w:spacing w:line="276" w:lineRule="auto"/>
        <w:ind w:firstLine="567"/>
        <w:contextualSpacing/>
        <w:jc w:val="both"/>
      </w:pPr>
      <w:r>
        <w:t xml:space="preserve">Senāts </w:t>
      </w:r>
      <w:r w:rsidR="00E80DE4">
        <w:t xml:space="preserve">turpretim </w:t>
      </w:r>
      <w:r>
        <w:t xml:space="preserve">konstatē, ka likums neparedz dalīt personu </w:t>
      </w:r>
      <w:r w:rsidR="00FC4608">
        <w:t>atsevišķās</w:t>
      </w:r>
      <w:r>
        <w:t xml:space="preserve"> „</w:t>
      </w:r>
      <w:proofErr w:type="spellStart"/>
      <w:r>
        <w:t>invaliditātēs</w:t>
      </w:r>
      <w:proofErr w:type="spellEnd"/>
      <w:r>
        <w:t>”</w:t>
      </w:r>
      <w:r w:rsidR="00FC4608">
        <w:t xml:space="preserve"> situācijā, kad funkcionēšanas ierobežojam </w:t>
      </w:r>
      <w:r w:rsidR="00E80DE4">
        <w:t xml:space="preserve">un darbspēju zaudējumam </w:t>
      </w:r>
      <w:r w:rsidR="00FC4608">
        <w:t>ir vairāk nekā viens cēlonis</w:t>
      </w:r>
      <w:r>
        <w:t>.</w:t>
      </w:r>
      <w:r w:rsidR="00FC4608">
        <w:t xml:space="preserve"> </w:t>
      </w:r>
      <w:r>
        <w:t xml:space="preserve">Persona ir viena un tā pati, un tikai kopumā var novērtēt personas funkcionēšanas ierobežojuma pakāpi. Nedz loģiski, nedz no jebkādām tiesību normām nav iespējas secināt, ka cilvēkam varētu </w:t>
      </w:r>
      <w:r>
        <w:lastRenderedPageBreak/>
        <w:t xml:space="preserve">un vajadzētu noteikt divas vai vairāk invaliditātes. Funkcionēšanas ierobežojumi katram cilvēkam ir nosakāmi, novērtējot, ko viņš </w:t>
      </w:r>
      <w:r w:rsidR="00FC4608">
        <w:t xml:space="preserve">kopumā </w:t>
      </w:r>
      <w:r>
        <w:t>spēj darīt un kādas funkcionālās izpausmes un cik lielā mērā ir ierobežotas</w:t>
      </w:r>
      <w:r w:rsidR="00480E92">
        <w:t xml:space="preserve">. </w:t>
      </w:r>
      <w:r>
        <w:t xml:space="preserve">Pretējā gadījumā varētu rasties situācija, ka, iztrūkstot kopējam funkcionēšanas ierobežojuma pakāpes novērtējumam, personai </w:t>
      </w:r>
      <w:r w:rsidR="0024760A">
        <w:t>piešķiramais</w:t>
      </w:r>
      <w:r>
        <w:t xml:space="preserve"> atbalsts nesasniegtu patiesajai ierobežojuma pakāpei atbilstošo.</w:t>
      </w:r>
      <w:r w:rsidR="00E80DE4">
        <w:t xml:space="preserve"> Tas būtu pretrunā Invaliditātes likuma </w:t>
      </w:r>
      <w:proofErr w:type="gramStart"/>
      <w:r w:rsidR="00E80DE4">
        <w:t>2.pantā</w:t>
      </w:r>
      <w:proofErr w:type="gramEnd"/>
      <w:r w:rsidR="00E80DE4">
        <w:t xml:space="preserve"> identificētajam likuma mērķim – </w:t>
      </w:r>
      <w:r w:rsidR="00E80DE4" w:rsidRPr="00E80DE4">
        <w:t>mazināt invaliditātes sekas personām ar invaliditāti</w:t>
      </w:r>
      <w:r w:rsidR="00E80DE4">
        <w:t>. Proti, būtu jābūt atbilstībai starp personas invaliditātes pakāpi un personai sniedzamo atbalstu, un to var novērtēt tikai tad, ja personas funkcionēšanas ierobežojums tiek novērtēts kopumā tā patiesajā apjomā.</w:t>
      </w:r>
    </w:p>
    <w:p w14:paraId="65AF61AB" w14:textId="5DCCB900" w:rsidR="005F0E56" w:rsidRDefault="005F0E56" w:rsidP="007D78ED">
      <w:pPr>
        <w:shd w:val="clear" w:color="auto" w:fill="FFFFFF"/>
        <w:spacing w:line="276" w:lineRule="auto"/>
        <w:ind w:firstLine="567"/>
        <w:contextualSpacing/>
        <w:jc w:val="both"/>
      </w:pPr>
      <w:r>
        <w:t>Tādējādi – ja ievēro invaliditātes definīciju – ne</w:t>
      </w:r>
      <w:r w:rsidR="0024760A">
        <w:t>drī</w:t>
      </w:r>
      <w:r w:rsidR="00D2243F">
        <w:t>k</w:t>
      </w:r>
      <w:r w:rsidR="0024760A">
        <w:t>st</w:t>
      </w:r>
      <w:r>
        <w:t xml:space="preserve"> kādu funkcionēšanas ierobežojuma daļu izņemt no personas vispārīgā funkcionēšanas ierobežojuma.</w:t>
      </w:r>
      <w:r w:rsidR="00DC57D2">
        <w:t xml:space="preserve"> </w:t>
      </w:r>
    </w:p>
    <w:p w14:paraId="2A3903C7" w14:textId="77777777" w:rsidR="00480E92" w:rsidRDefault="00480E92" w:rsidP="007D78ED">
      <w:pPr>
        <w:shd w:val="clear" w:color="auto" w:fill="FFFFFF"/>
        <w:spacing w:line="276" w:lineRule="auto"/>
        <w:ind w:firstLine="567"/>
        <w:contextualSpacing/>
        <w:jc w:val="both"/>
      </w:pPr>
    </w:p>
    <w:p w14:paraId="2C0F583F" w14:textId="5C6F66B2" w:rsidR="0010210B" w:rsidRDefault="00480E92" w:rsidP="007D78ED">
      <w:pPr>
        <w:shd w:val="clear" w:color="auto" w:fill="FFFFFF"/>
        <w:spacing w:line="276" w:lineRule="auto"/>
        <w:ind w:firstLine="567"/>
        <w:contextualSpacing/>
        <w:jc w:val="both"/>
      </w:pPr>
      <w:r>
        <w:t>[</w:t>
      </w:r>
      <w:r w:rsidR="002D04AE">
        <w:t>13</w:t>
      </w:r>
      <w:r>
        <w:t>]</w:t>
      </w:r>
      <w:r w:rsidR="00D2243F">
        <w:t> </w:t>
      </w:r>
      <w:r w:rsidR="00DC57D2">
        <w:t xml:space="preserve">Atsevišķi </w:t>
      </w:r>
      <w:r w:rsidR="0010210B">
        <w:t xml:space="preserve">tomēr </w:t>
      </w:r>
      <w:r w:rsidR="00DC57D2">
        <w:t xml:space="preserve">varētu skatīt cēloņsakarību starp to, kas ir radījis šo funkcionēšanas (un darbspēju) ierobežojumu. </w:t>
      </w:r>
      <w:r w:rsidR="0010210B">
        <w:t xml:space="preserve">Proti, ļoti bieži dzīvē ir tā, ka noteiktas sekas rodas dažādu ietekmējošo apstākļu rezultātā, </w:t>
      </w:r>
      <w:r w:rsidR="007E7D6F">
        <w:t xml:space="preserve">noteiktas </w:t>
      </w:r>
      <w:r w:rsidR="0010210B">
        <w:t>sekas var radīt viens vai vairāki cēloņi.</w:t>
      </w:r>
      <w:r>
        <w:t xml:space="preserve"> </w:t>
      </w:r>
    </w:p>
    <w:p w14:paraId="3C1B2E8D" w14:textId="2E209FEE" w:rsidR="00480E92" w:rsidRDefault="00480E92" w:rsidP="007D78ED">
      <w:pPr>
        <w:shd w:val="clear" w:color="auto" w:fill="FFFFFF"/>
        <w:spacing w:line="276" w:lineRule="auto"/>
        <w:ind w:firstLine="567"/>
        <w:contextualSpacing/>
        <w:jc w:val="both"/>
      </w:pPr>
      <w:r>
        <w:lastRenderedPageBreak/>
        <w:t>Tas varētu prasīt ievērot noteiktus principus, k</w:t>
      </w:r>
      <w:r w:rsidR="00732E02">
        <w:t>as</w:t>
      </w:r>
      <w:r>
        <w:t xml:space="preserve">, nesamazinot personas kopējam funkcionēšanas ierobežojumam atbilstošo atbalsta apjomu un veidu, palīdzētu precizēt personas situācijai atbilstošu atbalsta apjomu un </w:t>
      </w:r>
      <w:r w:rsidR="004A2CED">
        <w:t xml:space="preserve">vienlaikus </w:t>
      </w:r>
      <w:r>
        <w:t>pēc iespējas saglabāt saikni ar attiecīgo atbalsta avotu (budžetu).</w:t>
      </w:r>
    </w:p>
    <w:p w14:paraId="5FBCF9D1" w14:textId="77777777" w:rsidR="008269E7" w:rsidRDefault="00480E92" w:rsidP="007D78ED">
      <w:pPr>
        <w:shd w:val="clear" w:color="auto" w:fill="FFFFFF"/>
        <w:spacing w:line="276" w:lineRule="auto"/>
        <w:ind w:firstLine="567"/>
        <w:contextualSpacing/>
        <w:jc w:val="both"/>
      </w:pPr>
      <w:r>
        <w:t xml:space="preserve">Diemžēl likums un Ministru kabineta noteikumi klusē attiecībā uz to, kā šādas situācijas būtu izlemjamas. </w:t>
      </w:r>
    </w:p>
    <w:p w14:paraId="227A7F98" w14:textId="42B3855C" w:rsidR="00B33A5B" w:rsidRDefault="00480E92" w:rsidP="007D78ED">
      <w:pPr>
        <w:shd w:val="clear" w:color="auto" w:fill="FFFFFF"/>
        <w:spacing w:line="276" w:lineRule="auto"/>
        <w:ind w:firstLine="567"/>
        <w:contextualSpacing/>
        <w:jc w:val="both"/>
      </w:pPr>
      <w:r>
        <w:t>Vēl vairāk, atbilstoši Labklājības ministrijas skaidrojumam tiek uzskatīts, ka nolūkā izvairīties no divu atbalsta veidu sniegšanas par vienu un to pašu personai atbilstoši likuma „</w:t>
      </w:r>
      <w:r w:rsidRPr="00480E92">
        <w:t>Par obligāto sociālo apdrošināšanu pret nelaimes gadījumiem darbā un arodslimībām</w:t>
      </w:r>
      <w:r>
        <w:t>”</w:t>
      </w:r>
      <w:r w:rsidRPr="00480E92">
        <w:t xml:space="preserve"> </w:t>
      </w:r>
      <w:proofErr w:type="gramStart"/>
      <w:r>
        <w:t>14.panta</w:t>
      </w:r>
      <w:proofErr w:type="gramEnd"/>
      <w:r>
        <w:t xml:space="preserve"> astotajai daļai ir jāizvēlas viens no atbalsta veidiem (invaliditātes pensija vai atlīdzība par darba negadījuma vai arodslimības radīto darbspēju zaudējumu), kaut arī invaliditāte un/vai darbspēju zaudējums komisijas praksē, kā jau minēts, tiek noteikts, sadalot kopējo darbspēju zaudējumu uz katru atsevišķu cēloni. </w:t>
      </w:r>
      <w:r w:rsidR="008269E7">
        <w:t xml:space="preserve">Senāts atzīst, ka </w:t>
      </w:r>
      <w:r w:rsidR="004A2CED">
        <w:t>šāds normas iztulkojums – tieši ņemot vērā komisijas praksi pieņemt atsevišķus lēmumus par katru invaliditātes un/vai darbnespēju cēloni –</w:t>
      </w:r>
      <w:r>
        <w:t xml:space="preserve"> pēc būtības neatbilst situācijai, kura tika risināta Labklājības ministrijas piesauktajā Satversmes tiesas </w:t>
      </w:r>
      <w:r w:rsidR="008269E7" w:rsidRPr="008269E7">
        <w:lastRenderedPageBreak/>
        <w:t>2010.gada 29.oktobra spriedum</w:t>
      </w:r>
      <w:r w:rsidR="00E80DE4">
        <w:t>ā</w:t>
      </w:r>
      <w:r w:rsidR="008269E7" w:rsidRPr="008269E7">
        <w:t xml:space="preserve"> lietā Nr.</w:t>
      </w:r>
      <w:r w:rsidR="008269E7">
        <w:t> </w:t>
      </w:r>
      <w:r w:rsidR="008269E7" w:rsidRPr="008269E7">
        <w:t>2010-17-01</w:t>
      </w:r>
      <w:r w:rsidR="008269E7">
        <w:t xml:space="preserve">. Minētajā spriedumā Satversmes tiesa atzina, ka </w:t>
      </w:r>
      <w:r w:rsidR="008269E7" w:rsidRPr="008269E7">
        <w:t>sociālās  nodrošināšanas  sistēmā vienus un tos pašus  negūtos darba ienākumus neatlīdzina vairākkārt.</w:t>
      </w:r>
      <w:r w:rsidR="008269E7">
        <w:t xml:space="preserve"> Salīdzinoši</w:t>
      </w:r>
      <w:r w:rsidR="004A2CED">
        <w:t xml:space="preserve"> Satversmes tiesa skaidroja, ka</w:t>
      </w:r>
      <w:r w:rsidR="008269E7">
        <w:t xml:space="preserve"> vienas un tās pašas zāles nekompensē divreiz</w:t>
      </w:r>
      <w:r w:rsidR="004A2CED">
        <w:t>;</w:t>
      </w:r>
      <w:r w:rsidR="008269E7">
        <w:t xml:space="preserve"> divreiz nesedz vienu un to pašu pārkvalifikāciju bezdarba gadījumā</w:t>
      </w:r>
      <w:r w:rsidR="004A2CED">
        <w:t>;</w:t>
      </w:r>
      <w:r w:rsidR="008269E7">
        <w:t xml:space="preserve"> </w:t>
      </w:r>
      <w:r w:rsidR="008269E7" w:rsidRPr="008269E7">
        <w:t xml:space="preserve">persona, kuras negūtie darba ienākumi jau tiek kompensēti ar maternitātes pabalstu vai bērna kopšanas pabalstu, </w:t>
      </w:r>
      <w:r w:rsidR="004A2CED">
        <w:t xml:space="preserve">nevar </w:t>
      </w:r>
      <w:r w:rsidR="008269E7" w:rsidRPr="008269E7">
        <w:t>prasīt papildus  tam  izmaksāt  vēl  arī  slimības  pabalstu  šo  pašu  negūto  ienākumu kompensēšanai.  Tāpat  personai  vienlaikus  neizmaksā  invaliditātes  pensiju  un vecuma pensiju</w:t>
      </w:r>
      <w:r w:rsidR="008269E7">
        <w:t xml:space="preserve"> (sprieduma 10.2.punkts).</w:t>
      </w:r>
      <w:r w:rsidR="004A2CED">
        <w:t xml:space="preserve"> Senāts norāda, ka </w:t>
      </w:r>
      <w:r w:rsidR="008269E7">
        <w:t xml:space="preserve">gadījumā, </w:t>
      </w:r>
      <w:r w:rsidR="008269E7" w:rsidRPr="008269E7">
        <w:rPr>
          <w:i/>
          <w:iCs/>
        </w:rPr>
        <w:t>ja personas darbspēju z</w:t>
      </w:r>
      <w:r w:rsidR="008269E7">
        <w:rPr>
          <w:i/>
          <w:iCs/>
        </w:rPr>
        <w:t>audēj</w:t>
      </w:r>
      <w:r w:rsidR="008269E7" w:rsidRPr="008269E7">
        <w:rPr>
          <w:i/>
          <w:iCs/>
        </w:rPr>
        <w:t>ums tiek dalīts</w:t>
      </w:r>
      <w:r w:rsidR="008269E7">
        <w:t xml:space="preserve"> </w:t>
      </w:r>
      <w:r w:rsidR="008269E7" w:rsidRPr="008269E7">
        <w:rPr>
          <w:i/>
          <w:iCs/>
        </w:rPr>
        <w:t>daļās</w:t>
      </w:r>
      <w:r w:rsidR="008269E7">
        <w:t xml:space="preserve"> atbilstoši katram cēlonim un ja katrs no atbalst</w:t>
      </w:r>
      <w:r w:rsidR="004A2CED">
        <w:t>a</w:t>
      </w:r>
      <w:r w:rsidR="008269E7">
        <w:t xml:space="preserve"> veidiem tātad tiek sniegts tikai par kādu darbspējas zaudējuma </w:t>
      </w:r>
      <w:r w:rsidR="008269E7" w:rsidRPr="008269E7">
        <w:rPr>
          <w:i/>
          <w:iCs/>
        </w:rPr>
        <w:t>daļu</w:t>
      </w:r>
      <w:r w:rsidR="008269E7">
        <w:t>, pašos pamatos nevar uzskatīt, ka atbalsts tiek sniegts par vienu un to pašu. Kā varēja secināt no iestāžu piesauktajiem piemēriem, esošie darbspēju zaudējuma noteikšanas principi noteikumos Nr. 805 var novest pie tā, ka tomēr</w:t>
      </w:r>
      <w:r w:rsidR="004A2CED">
        <w:t xml:space="preserve"> atsevišķos gadījumos </w:t>
      </w:r>
      <w:r w:rsidR="008269E7">
        <w:t>notiek daļēja vai pilnīga pārklāšanās (</w:t>
      </w:r>
      <w:r w:rsidR="004A2CED">
        <w:t xml:space="preserve">invaliditātes noteikšanas gadījumā darbspējas zaudējums tiek noteikts noteiktā intervālā, nevis precīzi), kā arī divu „atsevišķu invaliditātes grupu” gadījumā kopējais atbalsts būtu lielāks nekā cilvēkam kopumā konstatētajam funkcionēšanas ierobežojumam </w:t>
      </w:r>
      <w:r w:rsidR="004A2CED">
        <w:lastRenderedPageBreak/>
        <w:t>paredzētais atbalsts. Taču tā būtībā ir problēma ar sistēmisku tiesiskā regulējuma trūkumu un neprecizitāti kombinētas cēlonības gadījumā, kam nevajadzētu novest pie personai nelabvēlīgām sekām.</w:t>
      </w:r>
      <w:r w:rsidR="00E80DE4">
        <w:t xml:space="preserve"> Tieš</w:t>
      </w:r>
      <w:r w:rsidR="0024760A">
        <w:t>i</w:t>
      </w:r>
      <w:r w:rsidR="00E80DE4">
        <w:t xml:space="preserve"> iestāžu piemērotais tiesību normu iztulkojums būtībā radījis problēmu ar divu un vairāku </w:t>
      </w:r>
      <w:proofErr w:type="spellStart"/>
      <w:r w:rsidR="00E80DE4">
        <w:t>invaliditāšu</w:t>
      </w:r>
      <w:proofErr w:type="spellEnd"/>
      <w:r w:rsidR="00E80DE4">
        <w:t xml:space="preserve"> noteikšanas sistēmu, līdz ar to rodas situācijas, ka atsevišķu </w:t>
      </w:r>
      <w:proofErr w:type="spellStart"/>
      <w:r w:rsidR="00E80DE4">
        <w:t>invaliditāšu</w:t>
      </w:r>
      <w:proofErr w:type="spellEnd"/>
      <w:r w:rsidR="00E80DE4">
        <w:t xml:space="preserve"> saskaitīšanas rezultātā sniegtais atbalsts atsevišķos gadījumos </w:t>
      </w:r>
      <w:r w:rsidR="0024760A">
        <w:t xml:space="preserve">var </w:t>
      </w:r>
      <w:r w:rsidR="00E80DE4">
        <w:t>pārsniegt personas kopējam funkcionēšanas ierobežojuma apjomam paredzēto atbalstu.</w:t>
      </w:r>
    </w:p>
    <w:p w14:paraId="2768CE84" w14:textId="3D170F04" w:rsidR="00C12AD9" w:rsidRDefault="004A2CED" w:rsidP="007D78ED">
      <w:pPr>
        <w:shd w:val="clear" w:color="auto" w:fill="FFFFFF"/>
        <w:spacing w:line="276" w:lineRule="auto"/>
        <w:ind w:firstLine="567"/>
        <w:contextualSpacing/>
        <w:jc w:val="both"/>
      </w:pPr>
      <w:r>
        <w:t>Rezumējot Senāts secina, ka tiesiskais regulējums pat principu līmenī neparedz, kādā veidā komisijai būtu jānovērtē personai nosakām</w:t>
      </w:r>
      <w:r w:rsidR="00732E02">
        <w:t>ā</w:t>
      </w:r>
      <w:r>
        <w:t xml:space="preserve"> invaliditāte un/vai darbspēju zaudējuma apjoms kombinētas cēlonības gadījumā. Savukārt iestādes prakse </w:t>
      </w:r>
      <w:r w:rsidR="00C12AD9">
        <w:t>pieņemt atsevišķus lēmumus, lai pēc iespējas nodrošinātu personai sniedzamā atbalsta saikni ar attiecīgu budžetu, un cen</w:t>
      </w:r>
      <w:r w:rsidR="005525A6">
        <w:t>tieni</w:t>
      </w:r>
      <w:r w:rsidR="00C12AD9">
        <w:t xml:space="preserve"> savietot </w:t>
      </w:r>
      <w:r w:rsidR="005525A6">
        <w:t xml:space="preserve">noteikumu </w:t>
      </w:r>
      <w:r w:rsidR="00C12AD9">
        <w:t>Nr.</w:t>
      </w:r>
      <w:r w:rsidR="005525A6">
        <w:t> </w:t>
      </w:r>
      <w:r w:rsidR="00C12AD9">
        <w:t xml:space="preserve">805 5. un 6.pielikumā paredzētos atšķirīgos darbspēju zaudējuma apjoma noteikšanas kritērijus, var novest pie tā, ka invaliditātes un/vai darbspēju zaudējuma cēloņu dalīšanas dēļ notiek atkāpšanās no invaliditātes jēdziena izpratnes, kāda tā ir Invaliditātes likuma 5.panta otrajā daļā, kā arī </w:t>
      </w:r>
      <w:r w:rsidR="009B1EA2">
        <w:t xml:space="preserve">pretēji Invaliditātes likuma mērķim </w:t>
      </w:r>
      <w:r w:rsidR="005525A6">
        <w:t xml:space="preserve">tiek </w:t>
      </w:r>
      <w:r w:rsidR="00C12AD9">
        <w:t>samazināt</w:t>
      </w:r>
      <w:r w:rsidR="005525A6">
        <w:t>s</w:t>
      </w:r>
      <w:r w:rsidR="00C12AD9">
        <w:t xml:space="preserve"> personai sniedzamā atbalsta apjom</w:t>
      </w:r>
      <w:r w:rsidR="005525A6">
        <w:t>s</w:t>
      </w:r>
      <w:r w:rsidR="00C12AD9">
        <w:t xml:space="preserve"> neatbilstoši patiesajai funkcionēšanas ierobežojuma pakāpei. </w:t>
      </w:r>
    </w:p>
    <w:p w14:paraId="0BF66BFB" w14:textId="18892560" w:rsidR="003413EA" w:rsidRDefault="003413EA" w:rsidP="007D78ED">
      <w:pPr>
        <w:shd w:val="clear" w:color="auto" w:fill="FFFFFF"/>
        <w:spacing w:line="276" w:lineRule="auto"/>
        <w:ind w:firstLine="567"/>
        <w:contextualSpacing/>
        <w:jc w:val="both"/>
      </w:pPr>
      <w:r>
        <w:lastRenderedPageBreak/>
        <w:t xml:space="preserve">Šādā situācijā, kā jau iepriekš norādīts, komisijai būtu jāvadās pēc iepriekš norādītās pieejas: </w:t>
      </w:r>
      <w:r w:rsidR="009B1EA2">
        <w:t xml:space="preserve">nevienā gadījumā nevar palikt nenovērtēta personas kopējā funkcionēšanas ierobežojuma, darbspēju zaudējuma un invaliditātes pakāpe, turklāt </w:t>
      </w:r>
      <w:r w:rsidRPr="003413EA">
        <w:t xml:space="preserve">secinājums par invaliditātes un/vai darbspēju zaudējuma cēloni </w:t>
      </w:r>
      <w:r w:rsidR="009B1EA2">
        <w:t xml:space="preserve">vai cēloņiem </w:t>
      </w:r>
      <w:r w:rsidRPr="003413EA">
        <w:t>jāizdara tā, lai konkrēto personu sasniegtu viņas situācijā visatbilstošākais atbalsts, kā arī lai pēc iespējas saglabātu saikni starp funkcionēšanas ierobežojuma cēloni un atbalsta avotu (atbilstošu budžetu).</w:t>
      </w:r>
      <w:r>
        <w:t xml:space="preserve"> Tomēr, ievērojot nepieciešamību sniegt atbilstošu atbalstu personām ar invaliditāti, pirmais mērķis vienmēr būtu jāliek priekšplānā. Būtu absurdi, ja sistēma, kura vērsta uz piemērotāka atbalsta piemeklēšanu, </w:t>
      </w:r>
      <w:r w:rsidR="00431AA4">
        <w:t xml:space="preserve">praksē </w:t>
      </w:r>
      <w:r>
        <w:t>šo atbalstu samazinātu tikai to praktisko grūtību dēļ, ko rada š</w:t>
      </w:r>
      <w:r w:rsidR="00431AA4">
        <w:t>ie individualizēšanas centieni</w:t>
      </w:r>
      <w:r>
        <w:t>.</w:t>
      </w:r>
    </w:p>
    <w:p w14:paraId="27C02809" w14:textId="77777777" w:rsidR="004A2CED" w:rsidRDefault="004A2CED" w:rsidP="007D78ED">
      <w:pPr>
        <w:shd w:val="clear" w:color="auto" w:fill="FFFFFF"/>
        <w:spacing w:line="276" w:lineRule="auto"/>
        <w:ind w:firstLine="567"/>
        <w:contextualSpacing/>
        <w:jc w:val="both"/>
      </w:pPr>
    </w:p>
    <w:p w14:paraId="2D0B85E2" w14:textId="2938C4B5" w:rsidR="004B317B" w:rsidRDefault="00B33A5B" w:rsidP="007D78ED">
      <w:pPr>
        <w:shd w:val="clear" w:color="auto" w:fill="FFFFFF"/>
        <w:spacing w:line="276" w:lineRule="auto"/>
        <w:ind w:firstLine="567"/>
        <w:contextualSpacing/>
        <w:jc w:val="both"/>
      </w:pPr>
      <w:r>
        <w:t>[</w:t>
      </w:r>
      <w:r w:rsidR="002D04AE">
        <w:t>14</w:t>
      </w:r>
      <w:r>
        <w:t>]</w:t>
      </w:r>
      <w:r w:rsidR="00D2243F">
        <w:t> </w:t>
      </w:r>
      <w:r w:rsidR="009B1EA2">
        <w:t>Pārbaudot, vai apgabaltiesas spriedumā ietvertais vērtējums atbilst šiem principiem, jāsecina turpmāk minētais.</w:t>
      </w:r>
    </w:p>
    <w:p w14:paraId="168EB8D2" w14:textId="6DE536EB" w:rsidR="009B1EA2" w:rsidRDefault="009B1EA2" w:rsidP="007D78ED">
      <w:pPr>
        <w:shd w:val="clear" w:color="auto" w:fill="FFFFFF"/>
        <w:spacing w:line="276" w:lineRule="auto"/>
        <w:ind w:firstLine="567"/>
        <w:contextualSpacing/>
        <w:jc w:val="both"/>
      </w:pPr>
    </w:p>
    <w:p w14:paraId="3D0AD003" w14:textId="24F4E900" w:rsidR="009B1EA2" w:rsidRDefault="009B1EA2" w:rsidP="007D78ED">
      <w:pPr>
        <w:shd w:val="clear" w:color="auto" w:fill="FFFFFF"/>
        <w:spacing w:line="276" w:lineRule="auto"/>
        <w:ind w:firstLine="567"/>
        <w:contextualSpacing/>
        <w:jc w:val="both"/>
      </w:pPr>
      <w:r>
        <w:lastRenderedPageBreak/>
        <w:t>[</w:t>
      </w:r>
      <w:r w:rsidR="002D04AE">
        <w:t>15</w:t>
      </w:r>
      <w:r>
        <w:t>]</w:t>
      </w:r>
      <w:r w:rsidR="00D2243F">
        <w:t> </w:t>
      </w:r>
      <w:r>
        <w:t>Ar apgabaltiesas spriedumu atzīts, ka pieteicējai bija nosakāms invaliditātes cēlonis „nelaimes gadījums darbā”. No sprieduma izriet, ka šis cēlonis nosakāms visam pieteicējas darbspēju z</w:t>
      </w:r>
      <w:r w:rsidR="00B7511B">
        <w:t>audējum</w:t>
      </w:r>
      <w:r>
        <w:t xml:space="preserve">am. Vienlaikus spriedumā, pievienojoties rajona tiesas sprieduma motivācijai, norādīts, ka pieteicējas veselības stāvoklis pēc nelaimes gadījuma darbā gūtās traumas ir būtiski pasliktinājies no mēreniem veselības traucējumiem uz smagiem. Tādējādi, no vienas puses, ir atzīts, ka pieteicējai jau pirms nelaimes gadījuma darbā pastāvēja veselības traucējumi, bet, no otras puses, atzīts, ka nelaimes gadījums darbā ir vienīgais invaliditātes cēlonis. Šāds secinājums ir pretrunīgs pēc būtības un nav atbilstošs mērķim, kādēļ ir nepieciešams identificēt invaliditātes cēloni. Kā jau tika norādīts iepriekš, </w:t>
      </w:r>
      <w:r w:rsidR="00C81306">
        <w:t xml:space="preserve">pat </w:t>
      </w:r>
      <w:r w:rsidR="005525A6">
        <w:t>pastāvot</w:t>
      </w:r>
      <w:r w:rsidR="00C81306">
        <w:t xml:space="preserve"> grūtībām, ko var radīt dažādu cēloņu kombinēta ietekme uz personas darbspēju zaudējumu un invaliditāti, vispārīgi būtu jācenšas noteikt saikni ar katru cēloni, ja tādi ir vairāk </w:t>
      </w:r>
      <w:r w:rsidR="005525A6">
        <w:t>ne</w:t>
      </w:r>
      <w:r w:rsidR="00C81306">
        <w:t>kā viens</w:t>
      </w:r>
      <w:r>
        <w:t xml:space="preserve">. </w:t>
      </w:r>
    </w:p>
    <w:p w14:paraId="62DAE46B" w14:textId="77777777" w:rsidR="009B1EA2" w:rsidRDefault="009B1EA2" w:rsidP="007D78ED">
      <w:pPr>
        <w:shd w:val="clear" w:color="auto" w:fill="FFFFFF"/>
        <w:spacing w:line="276" w:lineRule="auto"/>
        <w:ind w:firstLine="567"/>
        <w:contextualSpacing/>
        <w:jc w:val="both"/>
      </w:pPr>
    </w:p>
    <w:p w14:paraId="0884B027" w14:textId="04829C1D" w:rsidR="00C81306" w:rsidRDefault="009B1EA2" w:rsidP="007D78ED">
      <w:pPr>
        <w:shd w:val="clear" w:color="auto" w:fill="FFFFFF"/>
        <w:spacing w:line="276" w:lineRule="auto"/>
        <w:ind w:firstLine="567"/>
        <w:contextualSpacing/>
        <w:jc w:val="both"/>
      </w:pPr>
      <w:r>
        <w:t>[</w:t>
      </w:r>
      <w:r w:rsidR="002D04AE">
        <w:t>16</w:t>
      </w:r>
      <w:r>
        <w:t>]</w:t>
      </w:r>
      <w:r w:rsidR="00D2243F">
        <w:t> </w:t>
      </w:r>
      <w:r>
        <w:t xml:space="preserve">Apgabaltiesa spriedumā ir atsaukusies uz </w:t>
      </w:r>
      <w:r w:rsidR="00C81306">
        <w:t xml:space="preserve">noteikumu Nr. 805 </w:t>
      </w:r>
      <w:r>
        <w:t xml:space="preserve">6.pielikuma piezīmi, kur norādīts, ka darbspēju zaudējuma procentuālais apmērs noteiktu veselības traucējumu gadījumos ir orientējošs, un tā galīgā pakāpe ir atkarīga no tā, vai personai ir arī citi nozīmīgi veselības </w:t>
      </w:r>
      <w:r>
        <w:lastRenderedPageBreak/>
        <w:t xml:space="preserve">traucējumi, no to ietekmes uz ikdienas dzīves aktivitātēm, kā arī no personas vecuma, izglītības, darba pieredzes, darba attiecībām, konkurētspējas darba tirgū un darba prognozes. </w:t>
      </w:r>
    </w:p>
    <w:p w14:paraId="0279DB34" w14:textId="7838DAA4" w:rsidR="009B1EA2" w:rsidRDefault="00C81306" w:rsidP="007D78ED">
      <w:pPr>
        <w:shd w:val="clear" w:color="auto" w:fill="FFFFFF"/>
        <w:spacing w:line="276" w:lineRule="auto"/>
        <w:ind w:firstLine="567"/>
        <w:contextualSpacing/>
        <w:jc w:val="both"/>
      </w:pPr>
      <w:r>
        <w:t xml:space="preserve">Šī piezīme, ievērojot minēto par katra atsevišķa cēloņa nozīmi, nebūtu iztulkojama tādējādi, ka, pastāvot specifiskam darbspēju zaudējuma cēlonim, arī jebkuru citu cēloņu radītais darbspēju zaudējums būtu pieskaitāms šim cēlonim. </w:t>
      </w:r>
      <w:r w:rsidR="009B1EA2">
        <w:t>Minētā piezīme norāda, ka pareiza darbspēju zaudējumu apmēra noteikšanai uz cilvēku ir jālūkojas kompleksi, visaptveroši un vienlai</w:t>
      </w:r>
      <w:r w:rsidR="00E80DE4">
        <w:t>kus</w:t>
      </w:r>
      <w:r w:rsidR="009B1EA2">
        <w:t xml:space="preserve"> novērtējot visus apstākļus, kas ietekmē konkrētās personas darbspēju. Var būt situācijas, kad, piemēram, divi veselības traucējumu veidi katrs atsevišķi neradītu būtisku darbspēju z</w:t>
      </w:r>
      <w:r>
        <w:t>audēj</w:t>
      </w:r>
      <w:r w:rsidR="009B1EA2">
        <w:t xml:space="preserve">umu, bet tieši to kombinācijai ir izšķiroša nozīme darbspēju samazinājumā. </w:t>
      </w:r>
      <w:r>
        <w:t>Tā ir iespēja individualizēt darbspēju zaudējuma apjomu tajās robežās, ko paredz noteikumu 6.pielikums.</w:t>
      </w:r>
    </w:p>
    <w:p w14:paraId="17DB16CF" w14:textId="77777777" w:rsidR="009B1EA2" w:rsidRDefault="009B1EA2" w:rsidP="007D78ED">
      <w:pPr>
        <w:shd w:val="clear" w:color="auto" w:fill="FFFFFF"/>
        <w:spacing w:line="276" w:lineRule="auto"/>
        <w:ind w:firstLine="567"/>
        <w:contextualSpacing/>
        <w:jc w:val="both"/>
      </w:pPr>
    </w:p>
    <w:p w14:paraId="4B06D087" w14:textId="19E643A3" w:rsidR="009B1EA2" w:rsidRDefault="009B1EA2" w:rsidP="007D78ED">
      <w:pPr>
        <w:shd w:val="clear" w:color="auto" w:fill="FFFFFF"/>
        <w:spacing w:line="276" w:lineRule="auto"/>
        <w:ind w:firstLine="567"/>
        <w:contextualSpacing/>
        <w:jc w:val="both"/>
      </w:pPr>
      <w:r>
        <w:t>[1</w:t>
      </w:r>
      <w:r w:rsidR="002D04AE">
        <w:t>7</w:t>
      </w:r>
      <w:r>
        <w:t>]</w:t>
      </w:r>
      <w:r w:rsidR="00D2243F">
        <w:t> </w:t>
      </w:r>
      <w:r>
        <w:t xml:space="preserve">Ņemot vērā, ka apgabaltiesa </w:t>
      </w:r>
      <w:r w:rsidR="00C81306">
        <w:t xml:space="preserve">būtībā vispār nav vērtējusi apstākli, ka iestāde ir konstatējusi divus dažādus darbspēju zaudējuma cēloņus, </w:t>
      </w:r>
      <w:r>
        <w:t>spriedums ir atceļams un lieta nododama jaunai izskatīšanai apgabaltiesā.</w:t>
      </w:r>
    </w:p>
    <w:p w14:paraId="47D4A9D5" w14:textId="77777777" w:rsidR="00C81306" w:rsidRDefault="00C81306" w:rsidP="007D78ED">
      <w:pPr>
        <w:shd w:val="clear" w:color="auto" w:fill="FFFFFF"/>
        <w:spacing w:line="276" w:lineRule="auto"/>
        <w:ind w:firstLine="567"/>
        <w:contextualSpacing/>
        <w:jc w:val="both"/>
      </w:pPr>
    </w:p>
    <w:p w14:paraId="02BBAE41" w14:textId="0534B673" w:rsidR="00C81306" w:rsidRDefault="00C81306" w:rsidP="007D78ED">
      <w:pPr>
        <w:shd w:val="clear" w:color="auto" w:fill="FFFFFF"/>
        <w:spacing w:line="276" w:lineRule="auto"/>
        <w:ind w:firstLine="567"/>
        <w:contextualSpacing/>
        <w:jc w:val="both"/>
      </w:pPr>
      <w:r>
        <w:lastRenderedPageBreak/>
        <w:t>[</w:t>
      </w:r>
      <w:r w:rsidR="002D04AE">
        <w:t>18</w:t>
      </w:r>
      <w:r>
        <w:t>]</w:t>
      </w:r>
      <w:r w:rsidR="00D2243F">
        <w:t> </w:t>
      </w:r>
      <w:r w:rsidR="009B1EA2">
        <w:t xml:space="preserve">Skatot lietu no jauna, apgabaltiesai ir jāizvērtē, </w:t>
      </w:r>
      <w:r>
        <w:t>vai pieteicējas darbspēju zaudējuma un invaliditātes novērtējums abos komisijas lēmumos un augstākas iestādes lēmumā par abiem šiem apstrīdētajiem lēmumiem ir pēc būtības atbilstošs Invaliditātes likuma mērķim, ievērojot tos principus, kurus Senāts šā mērķa kontekstā iezīmēja.</w:t>
      </w:r>
    </w:p>
    <w:p w14:paraId="5F7AA6E7" w14:textId="4402BCFD" w:rsidR="009B1EA2" w:rsidRDefault="009B1EA2" w:rsidP="007D78ED">
      <w:pPr>
        <w:shd w:val="clear" w:color="auto" w:fill="FFFFFF"/>
        <w:spacing w:line="276" w:lineRule="auto"/>
        <w:ind w:firstLine="567"/>
        <w:contextualSpacing/>
        <w:jc w:val="both"/>
      </w:pPr>
      <w:r>
        <w:t>Senāts</w:t>
      </w:r>
      <w:r w:rsidR="00C81306">
        <w:t xml:space="preserve"> turklāt uzskata, ka</w:t>
      </w:r>
      <w:r>
        <w:t xml:space="preserve"> cēloniskā sakara atzīšanai arī šāda veida lietās </w:t>
      </w:r>
      <w:r w:rsidR="00C81306">
        <w:t xml:space="preserve">līdzīgi kā lietās par kaitējuma atlīdzināšanu no Ārstniecības riska fonda </w:t>
      </w:r>
      <w:r>
        <w:t>ir nepieciešams konstatēt, vai iespēja, ka cēloņsakarība pastāv, ir lielāka nekā iespēja, ka tā nepastāv (</w:t>
      </w:r>
      <w:r w:rsidRPr="005525A6">
        <w:t>sal.</w:t>
      </w:r>
      <w:r w:rsidRPr="00C81306">
        <w:rPr>
          <w:i/>
          <w:iCs/>
        </w:rPr>
        <w:t xml:space="preserve"> Senāta </w:t>
      </w:r>
      <w:proofErr w:type="gramStart"/>
      <w:r w:rsidRPr="00C81306">
        <w:rPr>
          <w:i/>
          <w:iCs/>
        </w:rPr>
        <w:t>2019.gada</w:t>
      </w:r>
      <w:proofErr w:type="gramEnd"/>
      <w:r w:rsidRPr="00C81306">
        <w:rPr>
          <w:i/>
          <w:iCs/>
        </w:rPr>
        <w:t xml:space="preserve"> 26.jūnija sprieduma lietā Nr.</w:t>
      </w:r>
      <w:r w:rsidR="005525A6">
        <w:rPr>
          <w:i/>
          <w:iCs/>
        </w:rPr>
        <w:t> </w:t>
      </w:r>
      <w:r w:rsidRPr="00C81306">
        <w:rPr>
          <w:i/>
          <w:iCs/>
        </w:rPr>
        <w:t>SKA-453/2019 (ECLI:LV:AT:2019:0626.A420300316.6.S) 11.punkts</w:t>
      </w:r>
      <w:r>
        <w:t>). Šāda pieeja var</w:t>
      </w:r>
      <w:r w:rsidR="002D04AE">
        <w:t xml:space="preserve"> vismaz daļēji</w:t>
      </w:r>
      <w:r>
        <w:t xml:space="preserve"> novērst tās grūtības, kuras varētu pastāvēt </w:t>
      </w:r>
      <w:r w:rsidR="00C81306">
        <w:t xml:space="preserve">cēlonības noteikšanā un </w:t>
      </w:r>
      <w:r>
        <w:t>atšķirīgu cēloņu nošķiršanā, vienlaikus ievērojot principu, ka šaubas iztulkojamas par labu privātpersonai.</w:t>
      </w:r>
    </w:p>
    <w:p w14:paraId="7F61E047" w14:textId="77777777" w:rsidR="009B1EA2" w:rsidRDefault="009B1EA2" w:rsidP="007D78ED">
      <w:pPr>
        <w:shd w:val="clear" w:color="auto" w:fill="FFFFFF"/>
        <w:spacing w:line="276" w:lineRule="auto"/>
        <w:ind w:firstLine="567"/>
        <w:contextualSpacing/>
        <w:jc w:val="both"/>
      </w:pPr>
    </w:p>
    <w:p w14:paraId="360834FE" w14:textId="77777777" w:rsidR="002D5D31" w:rsidRPr="00123C20" w:rsidRDefault="002D5D31" w:rsidP="007D78ED">
      <w:pPr>
        <w:spacing w:line="276" w:lineRule="auto"/>
        <w:contextualSpacing/>
        <w:jc w:val="center"/>
        <w:rPr>
          <w:b/>
        </w:rPr>
      </w:pPr>
      <w:r w:rsidRPr="00123C20">
        <w:rPr>
          <w:b/>
        </w:rPr>
        <w:t>Rezolutīvā daļa</w:t>
      </w:r>
    </w:p>
    <w:p w14:paraId="73E5CE69" w14:textId="77777777" w:rsidR="002D5D31" w:rsidRPr="00123C20" w:rsidRDefault="002D5D31" w:rsidP="007D78ED">
      <w:pPr>
        <w:spacing w:line="276" w:lineRule="auto"/>
        <w:ind w:firstLine="567"/>
        <w:jc w:val="both"/>
        <w:rPr>
          <w:bCs/>
          <w:spacing w:val="70"/>
        </w:rPr>
      </w:pPr>
    </w:p>
    <w:p w14:paraId="522C7FB0" w14:textId="77777777" w:rsidR="008779CD" w:rsidRPr="00123C20" w:rsidRDefault="008779CD" w:rsidP="007D78ED">
      <w:pPr>
        <w:spacing w:line="276" w:lineRule="auto"/>
        <w:ind w:firstLine="567"/>
        <w:jc w:val="both"/>
      </w:pPr>
      <w:r w:rsidRPr="00123C20">
        <w:lastRenderedPageBreak/>
        <w:t xml:space="preserve">Pamatojoties uz Administratīvā procesa likuma </w:t>
      </w:r>
      <w:r w:rsidR="00D63ED5" w:rsidRPr="00123C20">
        <w:t>129.</w:t>
      </w:r>
      <w:proofErr w:type="gramStart"/>
      <w:r w:rsidR="00D63ED5" w:rsidRPr="00123C20">
        <w:rPr>
          <w:vertAlign w:val="superscript"/>
        </w:rPr>
        <w:t>1</w:t>
      </w:r>
      <w:r w:rsidR="00D63ED5" w:rsidRPr="00123C20">
        <w:t>panta</w:t>
      </w:r>
      <w:proofErr w:type="gramEnd"/>
      <w:r w:rsidR="00D63ED5" w:rsidRPr="00123C20">
        <w:t xml:space="preserve"> pirmās daļas 1.punktu, </w:t>
      </w:r>
      <w:r w:rsidRPr="00123C20">
        <w:t xml:space="preserve">348.panta pirmās daļas </w:t>
      </w:r>
      <w:r w:rsidR="00D63ED5" w:rsidRPr="00123C20">
        <w:t>2</w:t>
      </w:r>
      <w:r w:rsidRPr="00123C20">
        <w:t>.punktu un 351.pantu, Senāts</w:t>
      </w:r>
    </w:p>
    <w:p w14:paraId="102B725C" w14:textId="77777777" w:rsidR="00D63ED5" w:rsidRPr="00123C20" w:rsidRDefault="00D63ED5" w:rsidP="007D78ED">
      <w:pPr>
        <w:spacing w:line="276" w:lineRule="auto"/>
        <w:ind w:firstLine="567"/>
        <w:jc w:val="both"/>
      </w:pPr>
    </w:p>
    <w:p w14:paraId="6DCEEAB7" w14:textId="77777777" w:rsidR="008779CD" w:rsidRPr="00123C20" w:rsidRDefault="008779CD" w:rsidP="007D78ED">
      <w:pPr>
        <w:tabs>
          <w:tab w:val="left" w:pos="2700"/>
          <w:tab w:val="left" w:pos="6660"/>
        </w:tabs>
        <w:spacing w:line="276" w:lineRule="auto"/>
        <w:jc w:val="center"/>
        <w:rPr>
          <w:b/>
        </w:rPr>
      </w:pPr>
      <w:r w:rsidRPr="00123C20">
        <w:rPr>
          <w:b/>
        </w:rPr>
        <w:t>nosprieda</w:t>
      </w:r>
    </w:p>
    <w:p w14:paraId="360F70A2" w14:textId="77777777" w:rsidR="008779CD" w:rsidRPr="00123C20" w:rsidRDefault="008779CD" w:rsidP="007D78ED">
      <w:pPr>
        <w:tabs>
          <w:tab w:val="left" w:pos="2700"/>
          <w:tab w:val="left" w:pos="6660"/>
        </w:tabs>
        <w:spacing w:line="276" w:lineRule="auto"/>
        <w:ind w:firstLine="567"/>
        <w:jc w:val="center"/>
        <w:rPr>
          <w:b/>
          <w:bCs/>
          <w:spacing w:val="70"/>
        </w:rPr>
      </w:pPr>
    </w:p>
    <w:p w14:paraId="0960BDF6" w14:textId="17DAE6C9" w:rsidR="005766D6" w:rsidRPr="00123C20" w:rsidRDefault="00D63ED5" w:rsidP="007D78ED">
      <w:pPr>
        <w:spacing w:line="276" w:lineRule="auto"/>
        <w:ind w:firstLine="567"/>
        <w:jc w:val="both"/>
      </w:pPr>
      <w:r w:rsidRPr="00123C20">
        <w:t>atcelt</w:t>
      </w:r>
      <w:r w:rsidR="008779CD" w:rsidRPr="00123C20">
        <w:t xml:space="preserve"> Administratīvās apgabaltiesas </w:t>
      </w:r>
      <w:proofErr w:type="gramStart"/>
      <w:r w:rsidR="008779CD" w:rsidRPr="00123C20">
        <w:t>20</w:t>
      </w:r>
      <w:r w:rsidR="00123C20">
        <w:t>20</w:t>
      </w:r>
      <w:r w:rsidR="008779CD" w:rsidRPr="00123C20">
        <w:t>.gada</w:t>
      </w:r>
      <w:proofErr w:type="gramEnd"/>
      <w:r w:rsidR="008779CD" w:rsidRPr="00123C20">
        <w:t xml:space="preserve"> </w:t>
      </w:r>
      <w:r w:rsidR="00123C20">
        <w:t>10.jūnija</w:t>
      </w:r>
      <w:r w:rsidR="008779CD" w:rsidRPr="00123C20">
        <w:t xml:space="preserve"> spriedum</w:t>
      </w:r>
      <w:r w:rsidR="005766D6" w:rsidRPr="00123C20">
        <w:t>u un nosūtīt lietu jaunai izskatīšanai Administratīvajai apgabaltiesai;</w:t>
      </w:r>
    </w:p>
    <w:p w14:paraId="5F64484D" w14:textId="165C4553" w:rsidR="005766D6" w:rsidRPr="00123C20" w:rsidRDefault="005766D6" w:rsidP="007D78ED">
      <w:pPr>
        <w:spacing w:line="276" w:lineRule="auto"/>
        <w:ind w:firstLine="567"/>
        <w:jc w:val="both"/>
      </w:pPr>
      <w:r w:rsidRPr="00123C20">
        <w:t xml:space="preserve">atmaksāt </w:t>
      </w:r>
      <w:r w:rsidR="00123C20">
        <w:t>Veselības un darbspēju ekspertīzes ārstu valsts komisijai</w:t>
      </w:r>
      <w:r w:rsidRPr="00123C20">
        <w:t xml:space="preserve"> drošības naudu 70</w:t>
      </w:r>
      <w:r w:rsidR="00123C20">
        <w:t> </w:t>
      </w:r>
      <w:r w:rsidRPr="00123C20">
        <w:rPr>
          <w:i/>
          <w:iCs/>
        </w:rPr>
        <w:t>euro</w:t>
      </w:r>
      <w:r w:rsidRPr="00123C20">
        <w:t>.</w:t>
      </w:r>
    </w:p>
    <w:p w14:paraId="2536AC2F" w14:textId="77777777" w:rsidR="008779CD" w:rsidRPr="00123C20" w:rsidRDefault="008779CD" w:rsidP="007D78ED">
      <w:pPr>
        <w:spacing w:line="276" w:lineRule="auto"/>
        <w:ind w:firstLine="567"/>
        <w:jc w:val="both"/>
        <w:rPr>
          <w:bCs/>
          <w:lang w:eastAsia="lv-LV"/>
        </w:rPr>
      </w:pPr>
      <w:r w:rsidRPr="00123C20">
        <w:rPr>
          <w:bCs/>
          <w:lang w:eastAsia="lv-LV"/>
        </w:rPr>
        <w:t>Spriedums nav pārsūdzams.</w:t>
      </w:r>
    </w:p>
    <w:p w14:paraId="3D78445E" w14:textId="77777777" w:rsidR="008779CD" w:rsidRPr="00DA46A5" w:rsidRDefault="008779CD" w:rsidP="008779CD">
      <w:pPr>
        <w:tabs>
          <w:tab w:val="left" w:pos="2700"/>
          <w:tab w:val="left" w:pos="6660"/>
        </w:tabs>
        <w:spacing w:line="276" w:lineRule="auto"/>
        <w:ind w:firstLine="567"/>
        <w:rPr>
          <w:highlight w:val="yellow"/>
        </w:rPr>
      </w:pPr>
    </w:p>
    <w:p w14:paraId="49E393F4" w14:textId="77777777" w:rsidR="00674C74" w:rsidRPr="00DA46A5" w:rsidRDefault="00674C74" w:rsidP="00674C74">
      <w:pPr>
        <w:tabs>
          <w:tab w:val="left" w:pos="2700"/>
          <w:tab w:val="left" w:pos="6660"/>
        </w:tabs>
        <w:spacing w:line="276" w:lineRule="auto"/>
        <w:contextualSpacing/>
        <w:rPr>
          <w:highlight w:val="yellow"/>
        </w:rPr>
      </w:pPr>
    </w:p>
    <w:p w14:paraId="3AAFCE42" w14:textId="77777777" w:rsidR="00674C74" w:rsidRPr="00DA46A5" w:rsidRDefault="00674C74" w:rsidP="00674C74">
      <w:pPr>
        <w:tabs>
          <w:tab w:val="left" w:pos="2700"/>
          <w:tab w:val="left" w:pos="6660"/>
        </w:tabs>
        <w:spacing w:line="276" w:lineRule="auto"/>
        <w:contextualSpacing/>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74C74" w:rsidRPr="00DA46A5" w14:paraId="1F02A440" w14:textId="77777777" w:rsidTr="00674C74">
        <w:tc>
          <w:tcPr>
            <w:tcW w:w="3020" w:type="dxa"/>
          </w:tcPr>
          <w:p w14:paraId="058892EC" w14:textId="77777777" w:rsidR="00674C74" w:rsidRPr="00DA46A5" w:rsidRDefault="00674C74" w:rsidP="00674C74">
            <w:pPr>
              <w:tabs>
                <w:tab w:val="left" w:pos="2700"/>
                <w:tab w:val="left" w:pos="6660"/>
              </w:tabs>
              <w:spacing w:line="276" w:lineRule="auto"/>
              <w:contextualSpacing/>
              <w:jc w:val="center"/>
              <w:rPr>
                <w:rFonts w:ascii="Times New Roman" w:hAnsi="Times New Roman"/>
                <w:sz w:val="24"/>
                <w:highlight w:val="yellow"/>
              </w:rPr>
            </w:pPr>
          </w:p>
        </w:tc>
        <w:tc>
          <w:tcPr>
            <w:tcW w:w="3020" w:type="dxa"/>
          </w:tcPr>
          <w:p w14:paraId="63790C26" w14:textId="77777777" w:rsidR="00674C74" w:rsidRPr="00DA46A5" w:rsidRDefault="00674C74" w:rsidP="00674C74">
            <w:pPr>
              <w:tabs>
                <w:tab w:val="left" w:pos="2700"/>
                <w:tab w:val="left" w:pos="6660"/>
              </w:tabs>
              <w:spacing w:line="276" w:lineRule="auto"/>
              <w:contextualSpacing/>
              <w:jc w:val="center"/>
              <w:rPr>
                <w:rFonts w:ascii="Times New Roman" w:hAnsi="Times New Roman"/>
                <w:sz w:val="24"/>
                <w:highlight w:val="yellow"/>
              </w:rPr>
            </w:pPr>
          </w:p>
        </w:tc>
        <w:tc>
          <w:tcPr>
            <w:tcW w:w="3021" w:type="dxa"/>
          </w:tcPr>
          <w:p w14:paraId="35D3F249" w14:textId="77777777" w:rsidR="00674C74" w:rsidRPr="00DA46A5" w:rsidRDefault="00674C74" w:rsidP="00674C74">
            <w:pPr>
              <w:tabs>
                <w:tab w:val="left" w:pos="2700"/>
                <w:tab w:val="left" w:pos="6660"/>
              </w:tabs>
              <w:spacing w:line="276" w:lineRule="auto"/>
              <w:contextualSpacing/>
              <w:jc w:val="center"/>
              <w:rPr>
                <w:rFonts w:ascii="Times New Roman" w:hAnsi="Times New Roman"/>
                <w:sz w:val="24"/>
                <w:highlight w:val="yellow"/>
              </w:rPr>
            </w:pPr>
          </w:p>
        </w:tc>
      </w:tr>
    </w:tbl>
    <w:p w14:paraId="33F92D2A" w14:textId="77777777" w:rsidR="00553851" w:rsidRPr="00DB47E6" w:rsidRDefault="00553851" w:rsidP="004F787C">
      <w:pPr>
        <w:spacing w:line="276" w:lineRule="auto"/>
        <w:ind w:left="567"/>
        <w:contextualSpacing/>
        <w:rPr>
          <w:rFonts w:eastAsiaTheme="minorHAnsi"/>
        </w:rPr>
      </w:pPr>
    </w:p>
    <w:sectPr w:rsidR="00553851" w:rsidRPr="00DB47E6" w:rsidSect="00F6777D">
      <w:footerReference w:type="default" r:id="rId9"/>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72705" w14:textId="77777777" w:rsidR="001245CC" w:rsidRDefault="001245CC">
      <w:r>
        <w:separator/>
      </w:r>
    </w:p>
  </w:endnote>
  <w:endnote w:type="continuationSeparator" w:id="0">
    <w:p w14:paraId="455B0D67" w14:textId="77777777" w:rsidR="001245CC" w:rsidRDefault="0012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444B" w14:textId="082CA40B" w:rsidR="004A01CF" w:rsidRDefault="004A01CF"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439FF">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439FF">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5D088" w14:textId="77777777" w:rsidR="001245CC" w:rsidRDefault="001245CC">
      <w:r>
        <w:separator/>
      </w:r>
    </w:p>
  </w:footnote>
  <w:footnote w:type="continuationSeparator" w:id="0">
    <w:p w14:paraId="4AAF4603" w14:textId="77777777" w:rsidR="001245CC" w:rsidRDefault="00124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EB0105F"/>
    <w:multiLevelType w:val="hybridMultilevel"/>
    <w:tmpl w:val="6A804A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6464E0"/>
    <w:multiLevelType w:val="hybridMultilevel"/>
    <w:tmpl w:val="BE6231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211B"/>
    <w:rsid w:val="00005D8D"/>
    <w:rsid w:val="00006E77"/>
    <w:rsid w:val="0001460F"/>
    <w:rsid w:val="00015C61"/>
    <w:rsid w:val="0002233B"/>
    <w:rsid w:val="00022D3A"/>
    <w:rsid w:val="0002348A"/>
    <w:rsid w:val="00023803"/>
    <w:rsid w:val="00024676"/>
    <w:rsid w:val="00025F56"/>
    <w:rsid w:val="00030D87"/>
    <w:rsid w:val="00035701"/>
    <w:rsid w:val="00036A77"/>
    <w:rsid w:val="00036F05"/>
    <w:rsid w:val="00043A39"/>
    <w:rsid w:val="00043FD2"/>
    <w:rsid w:val="000456E0"/>
    <w:rsid w:val="000517B8"/>
    <w:rsid w:val="000540B3"/>
    <w:rsid w:val="00054A3B"/>
    <w:rsid w:val="00055FF6"/>
    <w:rsid w:val="00060516"/>
    <w:rsid w:val="000628E0"/>
    <w:rsid w:val="00063379"/>
    <w:rsid w:val="00065E74"/>
    <w:rsid w:val="000673BC"/>
    <w:rsid w:val="000755D0"/>
    <w:rsid w:val="00081C8F"/>
    <w:rsid w:val="000833B7"/>
    <w:rsid w:val="00085801"/>
    <w:rsid w:val="00087325"/>
    <w:rsid w:val="00095337"/>
    <w:rsid w:val="000A0F69"/>
    <w:rsid w:val="000A236B"/>
    <w:rsid w:val="000A2FCF"/>
    <w:rsid w:val="000A3CFB"/>
    <w:rsid w:val="000A5DAB"/>
    <w:rsid w:val="000A7573"/>
    <w:rsid w:val="000B06D6"/>
    <w:rsid w:val="000B1B6A"/>
    <w:rsid w:val="000B3555"/>
    <w:rsid w:val="000B6ECC"/>
    <w:rsid w:val="000C0012"/>
    <w:rsid w:val="000C0E1A"/>
    <w:rsid w:val="000C2533"/>
    <w:rsid w:val="000C297A"/>
    <w:rsid w:val="000C4B9A"/>
    <w:rsid w:val="000C73AD"/>
    <w:rsid w:val="000D0CC2"/>
    <w:rsid w:val="000D1DB1"/>
    <w:rsid w:val="000D1EB7"/>
    <w:rsid w:val="000D4504"/>
    <w:rsid w:val="000D49F4"/>
    <w:rsid w:val="000D628A"/>
    <w:rsid w:val="000D70E7"/>
    <w:rsid w:val="000E7200"/>
    <w:rsid w:val="000E7992"/>
    <w:rsid w:val="000F2037"/>
    <w:rsid w:val="000F3667"/>
    <w:rsid w:val="000F62CD"/>
    <w:rsid w:val="0010210B"/>
    <w:rsid w:val="00103CB7"/>
    <w:rsid w:val="0010465A"/>
    <w:rsid w:val="001059E7"/>
    <w:rsid w:val="00110A4A"/>
    <w:rsid w:val="001114B6"/>
    <w:rsid w:val="00114754"/>
    <w:rsid w:val="00116D85"/>
    <w:rsid w:val="00117B42"/>
    <w:rsid w:val="0012048A"/>
    <w:rsid w:val="00120C69"/>
    <w:rsid w:val="00121DDB"/>
    <w:rsid w:val="00122FCA"/>
    <w:rsid w:val="0012313D"/>
    <w:rsid w:val="00123412"/>
    <w:rsid w:val="00123C20"/>
    <w:rsid w:val="001245CC"/>
    <w:rsid w:val="00124E5B"/>
    <w:rsid w:val="001265D4"/>
    <w:rsid w:val="00127BAD"/>
    <w:rsid w:val="001325A3"/>
    <w:rsid w:val="0014091B"/>
    <w:rsid w:val="0014176D"/>
    <w:rsid w:val="00143D2D"/>
    <w:rsid w:val="00144E77"/>
    <w:rsid w:val="001450E3"/>
    <w:rsid w:val="00147B81"/>
    <w:rsid w:val="00150903"/>
    <w:rsid w:val="00151620"/>
    <w:rsid w:val="0015312B"/>
    <w:rsid w:val="001534C1"/>
    <w:rsid w:val="00154230"/>
    <w:rsid w:val="00156AE9"/>
    <w:rsid w:val="00160602"/>
    <w:rsid w:val="00162100"/>
    <w:rsid w:val="001627EE"/>
    <w:rsid w:val="00162A65"/>
    <w:rsid w:val="00162E13"/>
    <w:rsid w:val="0016388A"/>
    <w:rsid w:val="00165BC3"/>
    <w:rsid w:val="001672EC"/>
    <w:rsid w:val="00170065"/>
    <w:rsid w:val="001703E8"/>
    <w:rsid w:val="00173DC3"/>
    <w:rsid w:val="0017521A"/>
    <w:rsid w:val="00176065"/>
    <w:rsid w:val="0017738E"/>
    <w:rsid w:val="001803A8"/>
    <w:rsid w:val="001829FA"/>
    <w:rsid w:val="00182BFD"/>
    <w:rsid w:val="00186AC8"/>
    <w:rsid w:val="0018729F"/>
    <w:rsid w:val="00191375"/>
    <w:rsid w:val="001923E8"/>
    <w:rsid w:val="0019365C"/>
    <w:rsid w:val="001971D5"/>
    <w:rsid w:val="001A0C22"/>
    <w:rsid w:val="001A3541"/>
    <w:rsid w:val="001A39A7"/>
    <w:rsid w:val="001A483B"/>
    <w:rsid w:val="001A57FB"/>
    <w:rsid w:val="001A5B30"/>
    <w:rsid w:val="001A6E2B"/>
    <w:rsid w:val="001A78A5"/>
    <w:rsid w:val="001B0848"/>
    <w:rsid w:val="001B178D"/>
    <w:rsid w:val="001B19E0"/>
    <w:rsid w:val="001B22F8"/>
    <w:rsid w:val="001B4588"/>
    <w:rsid w:val="001B4EE3"/>
    <w:rsid w:val="001B737A"/>
    <w:rsid w:val="001C173A"/>
    <w:rsid w:val="001C26E9"/>
    <w:rsid w:val="001C36B7"/>
    <w:rsid w:val="001C4441"/>
    <w:rsid w:val="001C467F"/>
    <w:rsid w:val="001C58B9"/>
    <w:rsid w:val="001C768B"/>
    <w:rsid w:val="001D0943"/>
    <w:rsid w:val="001D4A6C"/>
    <w:rsid w:val="001E0B7C"/>
    <w:rsid w:val="001E3ECC"/>
    <w:rsid w:val="001E45D7"/>
    <w:rsid w:val="001E4EBC"/>
    <w:rsid w:val="001F0729"/>
    <w:rsid w:val="001F15FC"/>
    <w:rsid w:val="001F40B2"/>
    <w:rsid w:val="001F5E0E"/>
    <w:rsid w:val="001F669C"/>
    <w:rsid w:val="002003BF"/>
    <w:rsid w:val="00200B18"/>
    <w:rsid w:val="002030DD"/>
    <w:rsid w:val="002046A8"/>
    <w:rsid w:val="00210244"/>
    <w:rsid w:val="00210839"/>
    <w:rsid w:val="002204E7"/>
    <w:rsid w:val="00220FD3"/>
    <w:rsid w:val="002222F2"/>
    <w:rsid w:val="00223B87"/>
    <w:rsid w:val="00225165"/>
    <w:rsid w:val="00225F31"/>
    <w:rsid w:val="002268A6"/>
    <w:rsid w:val="00226DBD"/>
    <w:rsid w:val="002300F2"/>
    <w:rsid w:val="002303D1"/>
    <w:rsid w:val="00232E76"/>
    <w:rsid w:val="00232F83"/>
    <w:rsid w:val="00235F8A"/>
    <w:rsid w:val="0024178F"/>
    <w:rsid w:val="0024182D"/>
    <w:rsid w:val="00243C30"/>
    <w:rsid w:val="0024760A"/>
    <w:rsid w:val="00247969"/>
    <w:rsid w:val="00247BD8"/>
    <w:rsid w:val="00247C0B"/>
    <w:rsid w:val="00252411"/>
    <w:rsid w:val="00253B14"/>
    <w:rsid w:val="002540AA"/>
    <w:rsid w:val="00254B90"/>
    <w:rsid w:val="00257EB5"/>
    <w:rsid w:val="002612C6"/>
    <w:rsid w:val="002622EF"/>
    <w:rsid w:val="00263E01"/>
    <w:rsid w:val="00264874"/>
    <w:rsid w:val="00264BDD"/>
    <w:rsid w:val="00264EEF"/>
    <w:rsid w:val="00265B34"/>
    <w:rsid w:val="0027024B"/>
    <w:rsid w:val="00271153"/>
    <w:rsid w:val="00271A6B"/>
    <w:rsid w:val="00272BA4"/>
    <w:rsid w:val="00272F40"/>
    <w:rsid w:val="00277CA6"/>
    <w:rsid w:val="00277F79"/>
    <w:rsid w:val="00281C43"/>
    <w:rsid w:val="00281C86"/>
    <w:rsid w:val="00281CF2"/>
    <w:rsid w:val="00284870"/>
    <w:rsid w:val="00284C47"/>
    <w:rsid w:val="00292DC4"/>
    <w:rsid w:val="002932B6"/>
    <w:rsid w:val="0029528A"/>
    <w:rsid w:val="00295376"/>
    <w:rsid w:val="00297EB1"/>
    <w:rsid w:val="00297EED"/>
    <w:rsid w:val="002A1C10"/>
    <w:rsid w:val="002A553E"/>
    <w:rsid w:val="002A5905"/>
    <w:rsid w:val="002A5C5A"/>
    <w:rsid w:val="002A6965"/>
    <w:rsid w:val="002A6CE7"/>
    <w:rsid w:val="002B0ADE"/>
    <w:rsid w:val="002B227C"/>
    <w:rsid w:val="002B2B48"/>
    <w:rsid w:val="002B4696"/>
    <w:rsid w:val="002B7533"/>
    <w:rsid w:val="002C6788"/>
    <w:rsid w:val="002C76C5"/>
    <w:rsid w:val="002D04AE"/>
    <w:rsid w:val="002D0A6E"/>
    <w:rsid w:val="002D2143"/>
    <w:rsid w:val="002D39B2"/>
    <w:rsid w:val="002D3A35"/>
    <w:rsid w:val="002D4A1E"/>
    <w:rsid w:val="002D5148"/>
    <w:rsid w:val="002D5180"/>
    <w:rsid w:val="002D5D31"/>
    <w:rsid w:val="002E0891"/>
    <w:rsid w:val="002E4A8A"/>
    <w:rsid w:val="002E4C98"/>
    <w:rsid w:val="002F0837"/>
    <w:rsid w:val="002F1EAB"/>
    <w:rsid w:val="002F2796"/>
    <w:rsid w:val="002F2E9C"/>
    <w:rsid w:val="002F5325"/>
    <w:rsid w:val="002F5BF8"/>
    <w:rsid w:val="002F76B9"/>
    <w:rsid w:val="002F7D8C"/>
    <w:rsid w:val="00301AEA"/>
    <w:rsid w:val="00302401"/>
    <w:rsid w:val="00314BEE"/>
    <w:rsid w:val="00315028"/>
    <w:rsid w:val="0031543D"/>
    <w:rsid w:val="00315E76"/>
    <w:rsid w:val="00320A4E"/>
    <w:rsid w:val="0032218A"/>
    <w:rsid w:val="0032253A"/>
    <w:rsid w:val="00331190"/>
    <w:rsid w:val="003312C9"/>
    <w:rsid w:val="00331396"/>
    <w:rsid w:val="0033168C"/>
    <w:rsid w:val="003325BD"/>
    <w:rsid w:val="0033279A"/>
    <w:rsid w:val="00335EDE"/>
    <w:rsid w:val="0033789F"/>
    <w:rsid w:val="003413EA"/>
    <w:rsid w:val="00341692"/>
    <w:rsid w:val="00341C75"/>
    <w:rsid w:val="00342453"/>
    <w:rsid w:val="00346492"/>
    <w:rsid w:val="00353845"/>
    <w:rsid w:val="00354948"/>
    <w:rsid w:val="00356C63"/>
    <w:rsid w:val="00360F8C"/>
    <w:rsid w:val="003619C8"/>
    <w:rsid w:val="00362FAE"/>
    <w:rsid w:val="00363623"/>
    <w:rsid w:val="00363679"/>
    <w:rsid w:val="00363A66"/>
    <w:rsid w:val="003658B0"/>
    <w:rsid w:val="003674A5"/>
    <w:rsid w:val="003675BE"/>
    <w:rsid w:val="00376A4E"/>
    <w:rsid w:val="00376B6B"/>
    <w:rsid w:val="003820CF"/>
    <w:rsid w:val="003833A0"/>
    <w:rsid w:val="00386B6D"/>
    <w:rsid w:val="00386F30"/>
    <w:rsid w:val="00390377"/>
    <w:rsid w:val="00390720"/>
    <w:rsid w:val="00390DB3"/>
    <w:rsid w:val="00394F88"/>
    <w:rsid w:val="00395756"/>
    <w:rsid w:val="003A03BB"/>
    <w:rsid w:val="003A1B01"/>
    <w:rsid w:val="003B0579"/>
    <w:rsid w:val="003B0BC2"/>
    <w:rsid w:val="003B0D5B"/>
    <w:rsid w:val="003B15E0"/>
    <w:rsid w:val="003B427C"/>
    <w:rsid w:val="003C4E75"/>
    <w:rsid w:val="003C7DCD"/>
    <w:rsid w:val="003E62F3"/>
    <w:rsid w:val="003F0EAF"/>
    <w:rsid w:val="003F226D"/>
    <w:rsid w:val="003F239F"/>
    <w:rsid w:val="003F2BD0"/>
    <w:rsid w:val="003F46C6"/>
    <w:rsid w:val="003F5B89"/>
    <w:rsid w:val="00400164"/>
    <w:rsid w:val="00400331"/>
    <w:rsid w:val="00401C39"/>
    <w:rsid w:val="0040282F"/>
    <w:rsid w:val="00404D30"/>
    <w:rsid w:val="00404D94"/>
    <w:rsid w:val="00405B3A"/>
    <w:rsid w:val="00406265"/>
    <w:rsid w:val="004069EB"/>
    <w:rsid w:val="00406B3D"/>
    <w:rsid w:val="00407D82"/>
    <w:rsid w:val="004109AE"/>
    <w:rsid w:val="00417F12"/>
    <w:rsid w:val="00422D8C"/>
    <w:rsid w:val="00424488"/>
    <w:rsid w:val="004252FC"/>
    <w:rsid w:val="00426D47"/>
    <w:rsid w:val="00426F9E"/>
    <w:rsid w:val="004272F0"/>
    <w:rsid w:val="00431AA4"/>
    <w:rsid w:val="00434694"/>
    <w:rsid w:val="00434D0E"/>
    <w:rsid w:val="004354F2"/>
    <w:rsid w:val="00442108"/>
    <w:rsid w:val="00450969"/>
    <w:rsid w:val="00450FB3"/>
    <w:rsid w:val="00453ECC"/>
    <w:rsid w:val="00457A47"/>
    <w:rsid w:val="0046067B"/>
    <w:rsid w:val="0046614A"/>
    <w:rsid w:val="004665E4"/>
    <w:rsid w:val="00466678"/>
    <w:rsid w:val="0046677D"/>
    <w:rsid w:val="00474849"/>
    <w:rsid w:val="004753CD"/>
    <w:rsid w:val="0047548C"/>
    <w:rsid w:val="004759BA"/>
    <w:rsid w:val="00476E02"/>
    <w:rsid w:val="00480E92"/>
    <w:rsid w:val="0048104F"/>
    <w:rsid w:val="0048335B"/>
    <w:rsid w:val="00485A21"/>
    <w:rsid w:val="00485DB3"/>
    <w:rsid w:val="004900E1"/>
    <w:rsid w:val="004931E0"/>
    <w:rsid w:val="0049473F"/>
    <w:rsid w:val="00497085"/>
    <w:rsid w:val="004972DC"/>
    <w:rsid w:val="004978F9"/>
    <w:rsid w:val="00497B52"/>
    <w:rsid w:val="004A01CF"/>
    <w:rsid w:val="004A0B88"/>
    <w:rsid w:val="004A2CED"/>
    <w:rsid w:val="004A3E04"/>
    <w:rsid w:val="004A4E59"/>
    <w:rsid w:val="004A5686"/>
    <w:rsid w:val="004B2076"/>
    <w:rsid w:val="004B317B"/>
    <w:rsid w:val="004B5908"/>
    <w:rsid w:val="004C244F"/>
    <w:rsid w:val="004C352B"/>
    <w:rsid w:val="004C4352"/>
    <w:rsid w:val="004C5EC7"/>
    <w:rsid w:val="004C6C3D"/>
    <w:rsid w:val="004C79B8"/>
    <w:rsid w:val="004D0E82"/>
    <w:rsid w:val="004D10E4"/>
    <w:rsid w:val="004D771F"/>
    <w:rsid w:val="004E16E8"/>
    <w:rsid w:val="004E2B5D"/>
    <w:rsid w:val="004E3ACB"/>
    <w:rsid w:val="004E60CA"/>
    <w:rsid w:val="004E6222"/>
    <w:rsid w:val="004F0158"/>
    <w:rsid w:val="004F0279"/>
    <w:rsid w:val="004F0591"/>
    <w:rsid w:val="004F0D43"/>
    <w:rsid w:val="004F1CA2"/>
    <w:rsid w:val="004F44EF"/>
    <w:rsid w:val="004F72AC"/>
    <w:rsid w:val="004F787C"/>
    <w:rsid w:val="00506F18"/>
    <w:rsid w:val="0050728F"/>
    <w:rsid w:val="00507E7C"/>
    <w:rsid w:val="005119DB"/>
    <w:rsid w:val="00512AD9"/>
    <w:rsid w:val="005144BE"/>
    <w:rsid w:val="00522314"/>
    <w:rsid w:val="00524596"/>
    <w:rsid w:val="00527454"/>
    <w:rsid w:val="00527B38"/>
    <w:rsid w:val="00535D0C"/>
    <w:rsid w:val="005372EC"/>
    <w:rsid w:val="00540BC4"/>
    <w:rsid w:val="005458A4"/>
    <w:rsid w:val="00546D24"/>
    <w:rsid w:val="0055025B"/>
    <w:rsid w:val="00551867"/>
    <w:rsid w:val="005520FD"/>
    <w:rsid w:val="005525A6"/>
    <w:rsid w:val="00552CE0"/>
    <w:rsid w:val="00553851"/>
    <w:rsid w:val="00553E2C"/>
    <w:rsid w:val="00557824"/>
    <w:rsid w:val="00557BA3"/>
    <w:rsid w:val="00560005"/>
    <w:rsid w:val="0056003E"/>
    <w:rsid w:val="00561457"/>
    <w:rsid w:val="00561C36"/>
    <w:rsid w:val="00565360"/>
    <w:rsid w:val="00566802"/>
    <w:rsid w:val="005713F8"/>
    <w:rsid w:val="00571EBC"/>
    <w:rsid w:val="0057256C"/>
    <w:rsid w:val="00573FED"/>
    <w:rsid w:val="005766D6"/>
    <w:rsid w:val="00582C2A"/>
    <w:rsid w:val="0058300F"/>
    <w:rsid w:val="005853A6"/>
    <w:rsid w:val="005903DD"/>
    <w:rsid w:val="005947AF"/>
    <w:rsid w:val="0059528C"/>
    <w:rsid w:val="0059739D"/>
    <w:rsid w:val="005A0A98"/>
    <w:rsid w:val="005A1ACA"/>
    <w:rsid w:val="005A2D7D"/>
    <w:rsid w:val="005A3405"/>
    <w:rsid w:val="005A4321"/>
    <w:rsid w:val="005A432D"/>
    <w:rsid w:val="005A49F5"/>
    <w:rsid w:val="005A5224"/>
    <w:rsid w:val="005A68E1"/>
    <w:rsid w:val="005A6FFE"/>
    <w:rsid w:val="005B01E0"/>
    <w:rsid w:val="005B17BD"/>
    <w:rsid w:val="005B18E3"/>
    <w:rsid w:val="005B3132"/>
    <w:rsid w:val="005B396F"/>
    <w:rsid w:val="005B4B7F"/>
    <w:rsid w:val="005B5EC5"/>
    <w:rsid w:val="005C0117"/>
    <w:rsid w:val="005C394D"/>
    <w:rsid w:val="005C5DC1"/>
    <w:rsid w:val="005C653D"/>
    <w:rsid w:val="005C699F"/>
    <w:rsid w:val="005D0105"/>
    <w:rsid w:val="005D095F"/>
    <w:rsid w:val="005D2204"/>
    <w:rsid w:val="005D3877"/>
    <w:rsid w:val="005D4F2B"/>
    <w:rsid w:val="005E1535"/>
    <w:rsid w:val="005E474F"/>
    <w:rsid w:val="005E5CC4"/>
    <w:rsid w:val="005F0E56"/>
    <w:rsid w:val="005F0F34"/>
    <w:rsid w:val="005F30A5"/>
    <w:rsid w:val="005F3ABD"/>
    <w:rsid w:val="005F5FF5"/>
    <w:rsid w:val="005F6627"/>
    <w:rsid w:val="005F67E9"/>
    <w:rsid w:val="006052C7"/>
    <w:rsid w:val="006064D1"/>
    <w:rsid w:val="006102D8"/>
    <w:rsid w:val="00610C68"/>
    <w:rsid w:val="006118E1"/>
    <w:rsid w:val="00612D92"/>
    <w:rsid w:val="006170E4"/>
    <w:rsid w:val="00617782"/>
    <w:rsid w:val="00620CC5"/>
    <w:rsid w:val="006213D3"/>
    <w:rsid w:val="006243E3"/>
    <w:rsid w:val="006257CB"/>
    <w:rsid w:val="006307C8"/>
    <w:rsid w:val="00633E4C"/>
    <w:rsid w:val="00633F6E"/>
    <w:rsid w:val="00634214"/>
    <w:rsid w:val="0063437A"/>
    <w:rsid w:val="0063483B"/>
    <w:rsid w:val="00634B0C"/>
    <w:rsid w:val="00657C04"/>
    <w:rsid w:val="0066501B"/>
    <w:rsid w:val="006658F9"/>
    <w:rsid w:val="006678B6"/>
    <w:rsid w:val="0067028D"/>
    <w:rsid w:val="0067213E"/>
    <w:rsid w:val="00673DFD"/>
    <w:rsid w:val="00674508"/>
    <w:rsid w:val="00674C74"/>
    <w:rsid w:val="00675DC6"/>
    <w:rsid w:val="006855EC"/>
    <w:rsid w:val="00685F28"/>
    <w:rsid w:val="006861E8"/>
    <w:rsid w:val="00692487"/>
    <w:rsid w:val="00694242"/>
    <w:rsid w:val="00694D3D"/>
    <w:rsid w:val="00696790"/>
    <w:rsid w:val="006A01B0"/>
    <w:rsid w:val="006A11D8"/>
    <w:rsid w:val="006A3BC2"/>
    <w:rsid w:val="006A529B"/>
    <w:rsid w:val="006A76FB"/>
    <w:rsid w:val="006A7B24"/>
    <w:rsid w:val="006B1A1F"/>
    <w:rsid w:val="006B1CBA"/>
    <w:rsid w:val="006C0744"/>
    <w:rsid w:val="006C0D9D"/>
    <w:rsid w:val="006C5240"/>
    <w:rsid w:val="006D10FF"/>
    <w:rsid w:val="006D1133"/>
    <w:rsid w:val="006D5A45"/>
    <w:rsid w:val="006E4BA4"/>
    <w:rsid w:val="006E4E7D"/>
    <w:rsid w:val="006E6326"/>
    <w:rsid w:val="006E6A17"/>
    <w:rsid w:val="006F1F61"/>
    <w:rsid w:val="006F2D18"/>
    <w:rsid w:val="006F4A7F"/>
    <w:rsid w:val="006F5557"/>
    <w:rsid w:val="006F624D"/>
    <w:rsid w:val="006F627F"/>
    <w:rsid w:val="006F687B"/>
    <w:rsid w:val="00706048"/>
    <w:rsid w:val="00706AF9"/>
    <w:rsid w:val="00706F35"/>
    <w:rsid w:val="00707E86"/>
    <w:rsid w:val="00711232"/>
    <w:rsid w:val="0071357D"/>
    <w:rsid w:val="007146A5"/>
    <w:rsid w:val="00717FDF"/>
    <w:rsid w:val="00722A63"/>
    <w:rsid w:val="00723611"/>
    <w:rsid w:val="00725002"/>
    <w:rsid w:val="00725B6B"/>
    <w:rsid w:val="007270FB"/>
    <w:rsid w:val="0073083F"/>
    <w:rsid w:val="00732E02"/>
    <w:rsid w:val="00736250"/>
    <w:rsid w:val="00740269"/>
    <w:rsid w:val="00740412"/>
    <w:rsid w:val="007429F8"/>
    <w:rsid w:val="0074343F"/>
    <w:rsid w:val="007467B7"/>
    <w:rsid w:val="00747684"/>
    <w:rsid w:val="00747C17"/>
    <w:rsid w:val="0075173D"/>
    <w:rsid w:val="00751D33"/>
    <w:rsid w:val="00751DF8"/>
    <w:rsid w:val="00752145"/>
    <w:rsid w:val="00756A99"/>
    <w:rsid w:val="00760DF2"/>
    <w:rsid w:val="00760EA6"/>
    <w:rsid w:val="0076455F"/>
    <w:rsid w:val="00765410"/>
    <w:rsid w:val="00765F77"/>
    <w:rsid w:val="007700B0"/>
    <w:rsid w:val="0077153E"/>
    <w:rsid w:val="00772C7C"/>
    <w:rsid w:val="00773B21"/>
    <w:rsid w:val="00774D4E"/>
    <w:rsid w:val="00774F76"/>
    <w:rsid w:val="00777EE5"/>
    <w:rsid w:val="00780142"/>
    <w:rsid w:val="0078184B"/>
    <w:rsid w:val="0078379A"/>
    <w:rsid w:val="00784BDF"/>
    <w:rsid w:val="00784D17"/>
    <w:rsid w:val="0078516D"/>
    <w:rsid w:val="0078694E"/>
    <w:rsid w:val="0078787C"/>
    <w:rsid w:val="00787A60"/>
    <w:rsid w:val="0079160A"/>
    <w:rsid w:val="00791708"/>
    <w:rsid w:val="00792A67"/>
    <w:rsid w:val="0079435F"/>
    <w:rsid w:val="007943A7"/>
    <w:rsid w:val="007978C6"/>
    <w:rsid w:val="007A2329"/>
    <w:rsid w:val="007A2980"/>
    <w:rsid w:val="007A364B"/>
    <w:rsid w:val="007A5810"/>
    <w:rsid w:val="007B0223"/>
    <w:rsid w:val="007B0E1C"/>
    <w:rsid w:val="007B0EB0"/>
    <w:rsid w:val="007B3C81"/>
    <w:rsid w:val="007B3E85"/>
    <w:rsid w:val="007B6EE5"/>
    <w:rsid w:val="007C39C8"/>
    <w:rsid w:val="007D2C6B"/>
    <w:rsid w:val="007D3AB3"/>
    <w:rsid w:val="007D412E"/>
    <w:rsid w:val="007D4942"/>
    <w:rsid w:val="007D78ED"/>
    <w:rsid w:val="007E1496"/>
    <w:rsid w:val="007E30B1"/>
    <w:rsid w:val="007E4983"/>
    <w:rsid w:val="007E5C84"/>
    <w:rsid w:val="007E67D2"/>
    <w:rsid w:val="007E7339"/>
    <w:rsid w:val="007E7D6F"/>
    <w:rsid w:val="007F2271"/>
    <w:rsid w:val="007F2A8D"/>
    <w:rsid w:val="007F5AC3"/>
    <w:rsid w:val="007F71EC"/>
    <w:rsid w:val="007F7A09"/>
    <w:rsid w:val="00800EE4"/>
    <w:rsid w:val="00802F41"/>
    <w:rsid w:val="00805395"/>
    <w:rsid w:val="00805B18"/>
    <w:rsid w:val="008103D8"/>
    <w:rsid w:val="00813C4D"/>
    <w:rsid w:val="00814148"/>
    <w:rsid w:val="0081558B"/>
    <w:rsid w:val="0081742F"/>
    <w:rsid w:val="00822D28"/>
    <w:rsid w:val="0082322F"/>
    <w:rsid w:val="00825D6E"/>
    <w:rsid w:val="008269E7"/>
    <w:rsid w:val="00826BF2"/>
    <w:rsid w:val="00827416"/>
    <w:rsid w:val="00830A62"/>
    <w:rsid w:val="00834060"/>
    <w:rsid w:val="008360E4"/>
    <w:rsid w:val="00836365"/>
    <w:rsid w:val="008435F1"/>
    <w:rsid w:val="00845A9C"/>
    <w:rsid w:val="008472DA"/>
    <w:rsid w:val="0085278A"/>
    <w:rsid w:val="00852E7F"/>
    <w:rsid w:val="00853E7E"/>
    <w:rsid w:val="0085626B"/>
    <w:rsid w:val="00857275"/>
    <w:rsid w:val="008578DB"/>
    <w:rsid w:val="00857C9A"/>
    <w:rsid w:val="0086140F"/>
    <w:rsid w:val="00862A18"/>
    <w:rsid w:val="008634CB"/>
    <w:rsid w:val="00863F72"/>
    <w:rsid w:val="008640B3"/>
    <w:rsid w:val="00864D5B"/>
    <w:rsid w:val="008663EB"/>
    <w:rsid w:val="00867069"/>
    <w:rsid w:val="008709BA"/>
    <w:rsid w:val="00871D99"/>
    <w:rsid w:val="008725E0"/>
    <w:rsid w:val="008779CD"/>
    <w:rsid w:val="00881D9C"/>
    <w:rsid w:val="00886295"/>
    <w:rsid w:val="00891460"/>
    <w:rsid w:val="00891970"/>
    <w:rsid w:val="00892468"/>
    <w:rsid w:val="00893A7B"/>
    <w:rsid w:val="00897033"/>
    <w:rsid w:val="00897AD7"/>
    <w:rsid w:val="008A1A37"/>
    <w:rsid w:val="008A5E2E"/>
    <w:rsid w:val="008A6F9D"/>
    <w:rsid w:val="008A777A"/>
    <w:rsid w:val="008A7B48"/>
    <w:rsid w:val="008B0CC3"/>
    <w:rsid w:val="008B55C6"/>
    <w:rsid w:val="008B5BC2"/>
    <w:rsid w:val="008D2E9D"/>
    <w:rsid w:val="008D3912"/>
    <w:rsid w:val="008D3D15"/>
    <w:rsid w:val="008D3FA8"/>
    <w:rsid w:val="008D639F"/>
    <w:rsid w:val="008D75CE"/>
    <w:rsid w:val="008E12C8"/>
    <w:rsid w:val="008E4840"/>
    <w:rsid w:val="008F0E08"/>
    <w:rsid w:val="008F2C3A"/>
    <w:rsid w:val="008F52FD"/>
    <w:rsid w:val="009001B7"/>
    <w:rsid w:val="00903014"/>
    <w:rsid w:val="0090301F"/>
    <w:rsid w:val="00903ABA"/>
    <w:rsid w:val="00905FF2"/>
    <w:rsid w:val="00906171"/>
    <w:rsid w:val="009072A3"/>
    <w:rsid w:val="009074FA"/>
    <w:rsid w:val="009102D1"/>
    <w:rsid w:val="009108E3"/>
    <w:rsid w:val="00910D10"/>
    <w:rsid w:val="0091296A"/>
    <w:rsid w:val="00913C0E"/>
    <w:rsid w:val="009149C7"/>
    <w:rsid w:val="00921B86"/>
    <w:rsid w:val="00922C84"/>
    <w:rsid w:val="009242FD"/>
    <w:rsid w:val="009246F2"/>
    <w:rsid w:val="00925D29"/>
    <w:rsid w:val="00927847"/>
    <w:rsid w:val="0093031D"/>
    <w:rsid w:val="009305B3"/>
    <w:rsid w:val="009308E7"/>
    <w:rsid w:val="00934290"/>
    <w:rsid w:val="0093682D"/>
    <w:rsid w:val="009372F7"/>
    <w:rsid w:val="00940725"/>
    <w:rsid w:val="00940CAE"/>
    <w:rsid w:val="009457D5"/>
    <w:rsid w:val="00945AC7"/>
    <w:rsid w:val="009478C0"/>
    <w:rsid w:val="009506AA"/>
    <w:rsid w:val="00951EA5"/>
    <w:rsid w:val="00952416"/>
    <w:rsid w:val="00954E32"/>
    <w:rsid w:val="009573CE"/>
    <w:rsid w:val="00962F64"/>
    <w:rsid w:val="009659A5"/>
    <w:rsid w:val="00965D4E"/>
    <w:rsid w:val="00972E67"/>
    <w:rsid w:val="00973F1E"/>
    <w:rsid w:val="0097412B"/>
    <w:rsid w:val="00974395"/>
    <w:rsid w:val="009775C5"/>
    <w:rsid w:val="0098096F"/>
    <w:rsid w:val="00980C83"/>
    <w:rsid w:val="00982196"/>
    <w:rsid w:val="00987994"/>
    <w:rsid w:val="00990694"/>
    <w:rsid w:val="009914EF"/>
    <w:rsid w:val="00992369"/>
    <w:rsid w:val="00995C0F"/>
    <w:rsid w:val="00995D3B"/>
    <w:rsid w:val="00997922"/>
    <w:rsid w:val="00997F74"/>
    <w:rsid w:val="009A1A9D"/>
    <w:rsid w:val="009A2F31"/>
    <w:rsid w:val="009A3624"/>
    <w:rsid w:val="009A3AAC"/>
    <w:rsid w:val="009A3C26"/>
    <w:rsid w:val="009A4183"/>
    <w:rsid w:val="009A4257"/>
    <w:rsid w:val="009A4DC2"/>
    <w:rsid w:val="009A688F"/>
    <w:rsid w:val="009B1EA2"/>
    <w:rsid w:val="009B2421"/>
    <w:rsid w:val="009B3D66"/>
    <w:rsid w:val="009B4C6C"/>
    <w:rsid w:val="009B520C"/>
    <w:rsid w:val="009B7D12"/>
    <w:rsid w:val="009C0BBB"/>
    <w:rsid w:val="009C4C45"/>
    <w:rsid w:val="009C4FCC"/>
    <w:rsid w:val="009C4FF7"/>
    <w:rsid w:val="009C53BB"/>
    <w:rsid w:val="009C637F"/>
    <w:rsid w:val="009C6D13"/>
    <w:rsid w:val="009D1BE9"/>
    <w:rsid w:val="009D4EAA"/>
    <w:rsid w:val="009D65F8"/>
    <w:rsid w:val="009D75BF"/>
    <w:rsid w:val="009E1C67"/>
    <w:rsid w:val="009E2494"/>
    <w:rsid w:val="009F09B4"/>
    <w:rsid w:val="009F280F"/>
    <w:rsid w:val="009F42B8"/>
    <w:rsid w:val="009F724B"/>
    <w:rsid w:val="00A0177C"/>
    <w:rsid w:val="00A033EE"/>
    <w:rsid w:val="00A05EDE"/>
    <w:rsid w:val="00A07A82"/>
    <w:rsid w:val="00A10F59"/>
    <w:rsid w:val="00A130EA"/>
    <w:rsid w:val="00A145AB"/>
    <w:rsid w:val="00A15911"/>
    <w:rsid w:val="00A20CE8"/>
    <w:rsid w:val="00A2239D"/>
    <w:rsid w:val="00A229CB"/>
    <w:rsid w:val="00A2634E"/>
    <w:rsid w:val="00A2685C"/>
    <w:rsid w:val="00A26AF4"/>
    <w:rsid w:val="00A30E55"/>
    <w:rsid w:val="00A3267E"/>
    <w:rsid w:val="00A32D90"/>
    <w:rsid w:val="00A34DE3"/>
    <w:rsid w:val="00A369DD"/>
    <w:rsid w:val="00A4264B"/>
    <w:rsid w:val="00A4362F"/>
    <w:rsid w:val="00A439FF"/>
    <w:rsid w:val="00A46ADA"/>
    <w:rsid w:val="00A46AE2"/>
    <w:rsid w:val="00A5030A"/>
    <w:rsid w:val="00A5038A"/>
    <w:rsid w:val="00A506E3"/>
    <w:rsid w:val="00A522DD"/>
    <w:rsid w:val="00A54308"/>
    <w:rsid w:val="00A54769"/>
    <w:rsid w:val="00A62AB2"/>
    <w:rsid w:val="00A64B52"/>
    <w:rsid w:val="00A65179"/>
    <w:rsid w:val="00A67FE5"/>
    <w:rsid w:val="00A70A11"/>
    <w:rsid w:val="00A739C0"/>
    <w:rsid w:val="00A73ADF"/>
    <w:rsid w:val="00A740AF"/>
    <w:rsid w:val="00A75582"/>
    <w:rsid w:val="00A77F1D"/>
    <w:rsid w:val="00A8091D"/>
    <w:rsid w:val="00A80A72"/>
    <w:rsid w:val="00A821E1"/>
    <w:rsid w:val="00A8338C"/>
    <w:rsid w:val="00A865F4"/>
    <w:rsid w:val="00A86B87"/>
    <w:rsid w:val="00A9122D"/>
    <w:rsid w:val="00A93C63"/>
    <w:rsid w:val="00A96273"/>
    <w:rsid w:val="00AA06D5"/>
    <w:rsid w:val="00AA0EA7"/>
    <w:rsid w:val="00AA18FE"/>
    <w:rsid w:val="00AA6BC6"/>
    <w:rsid w:val="00AA74EF"/>
    <w:rsid w:val="00AA7760"/>
    <w:rsid w:val="00AB35BC"/>
    <w:rsid w:val="00AB6A34"/>
    <w:rsid w:val="00AB6A77"/>
    <w:rsid w:val="00AB702A"/>
    <w:rsid w:val="00AC0044"/>
    <w:rsid w:val="00AC14C4"/>
    <w:rsid w:val="00AC2091"/>
    <w:rsid w:val="00AC6373"/>
    <w:rsid w:val="00AC67CF"/>
    <w:rsid w:val="00AC7B7B"/>
    <w:rsid w:val="00AD06F6"/>
    <w:rsid w:val="00AD2B5A"/>
    <w:rsid w:val="00AD3F39"/>
    <w:rsid w:val="00AD5832"/>
    <w:rsid w:val="00AD69D8"/>
    <w:rsid w:val="00AD798F"/>
    <w:rsid w:val="00AE0F37"/>
    <w:rsid w:val="00AE1762"/>
    <w:rsid w:val="00AE6733"/>
    <w:rsid w:val="00AE73F0"/>
    <w:rsid w:val="00AE75B3"/>
    <w:rsid w:val="00AF2B09"/>
    <w:rsid w:val="00AF69E1"/>
    <w:rsid w:val="00AF7A07"/>
    <w:rsid w:val="00AF7A19"/>
    <w:rsid w:val="00B04175"/>
    <w:rsid w:val="00B05FF3"/>
    <w:rsid w:val="00B10103"/>
    <w:rsid w:val="00B113BE"/>
    <w:rsid w:val="00B11A45"/>
    <w:rsid w:val="00B12C03"/>
    <w:rsid w:val="00B15FA1"/>
    <w:rsid w:val="00B16337"/>
    <w:rsid w:val="00B20C12"/>
    <w:rsid w:val="00B219AD"/>
    <w:rsid w:val="00B2404A"/>
    <w:rsid w:val="00B25399"/>
    <w:rsid w:val="00B303F9"/>
    <w:rsid w:val="00B334E5"/>
    <w:rsid w:val="00B33A5B"/>
    <w:rsid w:val="00B36CF0"/>
    <w:rsid w:val="00B417F7"/>
    <w:rsid w:val="00B41A9F"/>
    <w:rsid w:val="00B424BA"/>
    <w:rsid w:val="00B4438A"/>
    <w:rsid w:val="00B456FF"/>
    <w:rsid w:val="00B459B1"/>
    <w:rsid w:val="00B5386A"/>
    <w:rsid w:val="00B57127"/>
    <w:rsid w:val="00B6213C"/>
    <w:rsid w:val="00B621C7"/>
    <w:rsid w:val="00B63CF0"/>
    <w:rsid w:val="00B66CF6"/>
    <w:rsid w:val="00B67BC7"/>
    <w:rsid w:val="00B67D37"/>
    <w:rsid w:val="00B67D74"/>
    <w:rsid w:val="00B71625"/>
    <w:rsid w:val="00B7511B"/>
    <w:rsid w:val="00B76AEA"/>
    <w:rsid w:val="00B800A4"/>
    <w:rsid w:val="00B8039D"/>
    <w:rsid w:val="00B82E32"/>
    <w:rsid w:val="00B82E76"/>
    <w:rsid w:val="00B84680"/>
    <w:rsid w:val="00B84B6A"/>
    <w:rsid w:val="00B84FDE"/>
    <w:rsid w:val="00B8676B"/>
    <w:rsid w:val="00B8698E"/>
    <w:rsid w:val="00B907C3"/>
    <w:rsid w:val="00B92198"/>
    <w:rsid w:val="00B958A0"/>
    <w:rsid w:val="00B95EF0"/>
    <w:rsid w:val="00B96BA7"/>
    <w:rsid w:val="00B97E68"/>
    <w:rsid w:val="00BA5EA8"/>
    <w:rsid w:val="00BB08E7"/>
    <w:rsid w:val="00BB22BE"/>
    <w:rsid w:val="00BB284B"/>
    <w:rsid w:val="00BB2EA4"/>
    <w:rsid w:val="00BB4F1C"/>
    <w:rsid w:val="00BC0CAB"/>
    <w:rsid w:val="00BC5A96"/>
    <w:rsid w:val="00BC5BF6"/>
    <w:rsid w:val="00BC6764"/>
    <w:rsid w:val="00BC7938"/>
    <w:rsid w:val="00BD0EAF"/>
    <w:rsid w:val="00BD255F"/>
    <w:rsid w:val="00BD3556"/>
    <w:rsid w:val="00BD3791"/>
    <w:rsid w:val="00BD4BD2"/>
    <w:rsid w:val="00BE1284"/>
    <w:rsid w:val="00BE2602"/>
    <w:rsid w:val="00BE2E2A"/>
    <w:rsid w:val="00BE50CA"/>
    <w:rsid w:val="00BE68A8"/>
    <w:rsid w:val="00BF01C7"/>
    <w:rsid w:val="00BF0573"/>
    <w:rsid w:val="00BF2038"/>
    <w:rsid w:val="00BF67A7"/>
    <w:rsid w:val="00C01255"/>
    <w:rsid w:val="00C02F4D"/>
    <w:rsid w:val="00C0484C"/>
    <w:rsid w:val="00C05618"/>
    <w:rsid w:val="00C11D5F"/>
    <w:rsid w:val="00C12AD9"/>
    <w:rsid w:val="00C138D1"/>
    <w:rsid w:val="00C15324"/>
    <w:rsid w:val="00C164EF"/>
    <w:rsid w:val="00C17628"/>
    <w:rsid w:val="00C17EA7"/>
    <w:rsid w:val="00C22EF4"/>
    <w:rsid w:val="00C30242"/>
    <w:rsid w:val="00C309A3"/>
    <w:rsid w:val="00C31BFD"/>
    <w:rsid w:val="00C338E2"/>
    <w:rsid w:val="00C447FF"/>
    <w:rsid w:val="00C468DA"/>
    <w:rsid w:val="00C51E20"/>
    <w:rsid w:val="00C5470E"/>
    <w:rsid w:val="00C55D4E"/>
    <w:rsid w:val="00C57C20"/>
    <w:rsid w:val="00C61955"/>
    <w:rsid w:val="00C61F4A"/>
    <w:rsid w:val="00C62612"/>
    <w:rsid w:val="00C64C3F"/>
    <w:rsid w:val="00C65BDF"/>
    <w:rsid w:val="00C6652E"/>
    <w:rsid w:val="00C67708"/>
    <w:rsid w:val="00C73680"/>
    <w:rsid w:val="00C73F69"/>
    <w:rsid w:val="00C76642"/>
    <w:rsid w:val="00C77B1D"/>
    <w:rsid w:val="00C77CCA"/>
    <w:rsid w:val="00C81306"/>
    <w:rsid w:val="00C81846"/>
    <w:rsid w:val="00C8198B"/>
    <w:rsid w:val="00C829C5"/>
    <w:rsid w:val="00C83BB8"/>
    <w:rsid w:val="00C85D5A"/>
    <w:rsid w:val="00C861AC"/>
    <w:rsid w:val="00C86C34"/>
    <w:rsid w:val="00C90F49"/>
    <w:rsid w:val="00C933D8"/>
    <w:rsid w:val="00C94DB8"/>
    <w:rsid w:val="00C95101"/>
    <w:rsid w:val="00C96AD4"/>
    <w:rsid w:val="00CA28D3"/>
    <w:rsid w:val="00CA2A1A"/>
    <w:rsid w:val="00CA2D46"/>
    <w:rsid w:val="00CA6FDF"/>
    <w:rsid w:val="00CB09DD"/>
    <w:rsid w:val="00CB3A54"/>
    <w:rsid w:val="00CB4121"/>
    <w:rsid w:val="00CB52DF"/>
    <w:rsid w:val="00CB6E81"/>
    <w:rsid w:val="00CB7390"/>
    <w:rsid w:val="00CC1E6A"/>
    <w:rsid w:val="00CC27EC"/>
    <w:rsid w:val="00CC3D62"/>
    <w:rsid w:val="00CC4384"/>
    <w:rsid w:val="00CC53D5"/>
    <w:rsid w:val="00CC696F"/>
    <w:rsid w:val="00CC6EA5"/>
    <w:rsid w:val="00CD0E5B"/>
    <w:rsid w:val="00CD45E6"/>
    <w:rsid w:val="00CD61FB"/>
    <w:rsid w:val="00CE082E"/>
    <w:rsid w:val="00CE290C"/>
    <w:rsid w:val="00CE3E18"/>
    <w:rsid w:val="00CE7432"/>
    <w:rsid w:val="00CF22C0"/>
    <w:rsid w:val="00CF2DC1"/>
    <w:rsid w:val="00CF2DE9"/>
    <w:rsid w:val="00CF3A0D"/>
    <w:rsid w:val="00CF3F3C"/>
    <w:rsid w:val="00CF49BA"/>
    <w:rsid w:val="00CF763E"/>
    <w:rsid w:val="00D00837"/>
    <w:rsid w:val="00D04520"/>
    <w:rsid w:val="00D07747"/>
    <w:rsid w:val="00D14224"/>
    <w:rsid w:val="00D14968"/>
    <w:rsid w:val="00D15FE8"/>
    <w:rsid w:val="00D2243F"/>
    <w:rsid w:val="00D245B0"/>
    <w:rsid w:val="00D24A23"/>
    <w:rsid w:val="00D27A21"/>
    <w:rsid w:val="00D3005F"/>
    <w:rsid w:val="00D32E3E"/>
    <w:rsid w:val="00D3540E"/>
    <w:rsid w:val="00D35AED"/>
    <w:rsid w:val="00D412EB"/>
    <w:rsid w:val="00D430A0"/>
    <w:rsid w:val="00D439F4"/>
    <w:rsid w:val="00D43D46"/>
    <w:rsid w:val="00D45785"/>
    <w:rsid w:val="00D5152B"/>
    <w:rsid w:val="00D53D91"/>
    <w:rsid w:val="00D614E5"/>
    <w:rsid w:val="00D634AC"/>
    <w:rsid w:val="00D63ED5"/>
    <w:rsid w:val="00D648C6"/>
    <w:rsid w:val="00D660A0"/>
    <w:rsid w:val="00D66EAE"/>
    <w:rsid w:val="00D67A57"/>
    <w:rsid w:val="00D707D3"/>
    <w:rsid w:val="00D713BE"/>
    <w:rsid w:val="00D716A8"/>
    <w:rsid w:val="00D72FB1"/>
    <w:rsid w:val="00D75B69"/>
    <w:rsid w:val="00D75FE7"/>
    <w:rsid w:val="00D82A93"/>
    <w:rsid w:val="00D83134"/>
    <w:rsid w:val="00D846FE"/>
    <w:rsid w:val="00D84CC5"/>
    <w:rsid w:val="00D85DBC"/>
    <w:rsid w:val="00D86218"/>
    <w:rsid w:val="00D908E2"/>
    <w:rsid w:val="00D922B3"/>
    <w:rsid w:val="00D9271E"/>
    <w:rsid w:val="00D95D46"/>
    <w:rsid w:val="00DA0128"/>
    <w:rsid w:val="00DA1CBB"/>
    <w:rsid w:val="00DA46A5"/>
    <w:rsid w:val="00DA6630"/>
    <w:rsid w:val="00DA752F"/>
    <w:rsid w:val="00DB20F4"/>
    <w:rsid w:val="00DB47E6"/>
    <w:rsid w:val="00DB4DCE"/>
    <w:rsid w:val="00DB4DE8"/>
    <w:rsid w:val="00DB7996"/>
    <w:rsid w:val="00DC16F4"/>
    <w:rsid w:val="00DC171D"/>
    <w:rsid w:val="00DC361F"/>
    <w:rsid w:val="00DC373D"/>
    <w:rsid w:val="00DC57D2"/>
    <w:rsid w:val="00DD1E26"/>
    <w:rsid w:val="00DD6620"/>
    <w:rsid w:val="00DD6E0F"/>
    <w:rsid w:val="00DD78CA"/>
    <w:rsid w:val="00DD7D9A"/>
    <w:rsid w:val="00DE04B3"/>
    <w:rsid w:val="00DE5F7F"/>
    <w:rsid w:val="00DE6390"/>
    <w:rsid w:val="00DE6910"/>
    <w:rsid w:val="00DE6916"/>
    <w:rsid w:val="00DE75C2"/>
    <w:rsid w:val="00DF1EFD"/>
    <w:rsid w:val="00DF20DF"/>
    <w:rsid w:val="00DF5856"/>
    <w:rsid w:val="00E00438"/>
    <w:rsid w:val="00E02EF6"/>
    <w:rsid w:val="00E04435"/>
    <w:rsid w:val="00E04B82"/>
    <w:rsid w:val="00E0642F"/>
    <w:rsid w:val="00E12AC8"/>
    <w:rsid w:val="00E13009"/>
    <w:rsid w:val="00E13237"/>
    <w:rsid w:val="00E1379C"/>
    <w:rsid w:val="00E13DED"/>
    <w:rsid w:val="00E14394"/>
    <w:rsid w:val="00E1524A"/>
    <w:rsid w:val="00E1533C"/>
    <w:rsid w:val="00E16C9E"/>
    <w:rsid w:val="00E2169A"/>
    <w:rsid w:val="00E24304"/>
    <w:rsid w:val="00E24747"/>
    <w:rsid w:val="00E307B4"/>
    <w:rsid w:val="00E31DDB"/>
    <w:rsid w:val="00E32756"/>
    <w:rsid w:val="00E32BB8"/>
    <w:rsid w:val="00E33577"/>
    <w:rsid w:val="00E34625"/>
    <w:rsid w:val="00E36D8B"/>
    <w:rsid w:val="00E40CFD"/>
    <w:rsid w:val="00E413DE"/>
    <w:rsid w:val="00E423BF"/>
    <w:rsid w:val="00E42906"/>
    <w:rsid w:val="00E42D0F"/>
    <w:rsid w:val="00E42E39"/>
    <w:rsid w:val="00E46B94"/>
    <w:rsid w:val="00E50A32"/>
    <w:rsid w:val="00E50D29"/>
    <w:rsid w:val="00E5113C"/>
    <w:rsid w:val="00E519E4"/>
    <w:rsid w:val="00E51DB1"/>
    <w:rsid w:val="00E5261C"/>
    <w:rsid w:val="00E55FC9"/>
    <w:rsid w:val="00E56DDB"/>
    <w:rsid w:val="00E62955"/>
    <w:rsid w:val="00E669E5"/>
    <w:rsid w:val="00E672A0"/>
    <w:rsid w:val="00E73B2C"/>
    <w:rsid w:val="00E75041"/>
    <w:rsid w:val="00E77A9A"/>
    <w:rsid w:val="00E80DE4"/>
    <w:rsid w:val="00E83E63"/>
    <w:rsid w:val="00E85D41"/>
    <w:rsid w:val="00E9049B"/>
    <w:rsid w:val="00E90D91"/>
    <w:rsid w:val="00E9361A"/>
    <w:rsid w:val="00E95B96"/>
    <w:rsid w:val="00E964ED"/>
    <w:rsid w:val="00EA00E3"/>
    <w:rsid w:val="00EA09FF"/>
    <w:rsid w:val="00EA3E77"/>
    <w:rsid w:val="00EA505C"/>
    <w:rsid w:val="00EB2136"/>
    <w:rsid w:val="00EB4E18"/>
    <w:rsid w:val="00EB5937"/>
    <w:rsid w:val="00EB6FBC"/>
    <w:rsid w:val="00EC0E9B"/>
    <w:rsid w:val="00EC429E"/>
    <w:rsid w:val="00EC6B15"/>
    <w:rsid w:val="00EC6BC6"/>
    <w:rsid w:val="00ED07DA"/>
    <w:rsid w:val="00ED0BA4"/>
    <w:rsid w:val="00ED2125"/>
    <w:rsid w:val="00ED61D5"/>
    <w:rsid w:val="00ED6CD6"/>
    <w:rsid w:val="00ED6E74"/>
    <w:rsid w:val="00ED7A12"/>
    <w:rsid w:val="00EE4ACF"/>
    <w:rsid w:val="00EE684A"/>
    <w:rsid w:val="00EF0FC1"/>
    <w:rsid w:val="00EF28B8"/>
    <w:rsid w:val="00EF47BD"/>
    <w:rsid w:val="00EF4E52"/>
    <w:rsid w:val="00F0002C"/>
    <w:rsid w:val="00F00D8E"/>
    <w:rsid w:val="00F05D1C"/>
    <w:rsid w:val="00F10160"/>
    <w:rsid w:val="00F1150A"/>
    <w:rsid w:val="00F17F47"/>
    <w:rsid w:val="00F206D2"/>
    <w:rsid w:val="00F21460"/>
    <w:rsid w:val="00F21E2E"/>
    <w:rsid w:val="00F22E9C"/>
    <w:rsid w:val="00F24E45"/>
    <w:rsid w:val="00F321FB"/>
    <w:rsid w:val="00F34A19"/>
    <w:rsid w:val="00F34A46"/>
    <w:rsid w:val="00F407D0"/>
    <w:rsid w:val="00F40CE2"/>
    <w:rsid w:val="00F41D33"/>
    <w:rsid w:val="00F4203A"/>
    <w:rsid w:val="00F519D6"/>
    <w:rsid w:val="00F535F8"/>
    <w:rsid w:val="00F53861"/>
    <w:rsid w:val="00F550B3"/>
    <w:rsid w:val="00F552D4"/>
    <w:rsid w:val="00F56DE8"/>
    <w:rsid w:val="00F61EB8"/>
    <w:rsid w:val="00F652A4"/>
    <w:rsid w:val="00F65609"/>
    <w:rsid w:val="00F664E4"/>
    <w:rsid w:val="00F6777D"/>
    <w:rsid w:val="00F7025B"/>
    <w:rsid w:val="00F714D1"/>
    <w:rsid w:val="00F73B35"/>
    <w:rsid w:val="00F75487"/>
    <w:rsid w:val="00F8190E"/>
    <w:rsid w:val="00F8226D"/>
    <w:rsid w:val="00F83670"/>
    <w:rsid w:val="00F83C66"/>
    <w:rsid w:val="00F85C87"/>
    <w:rsid w:val="00F87D4E"/>
    <w:rsid w:val="00FA2025"/>
    <w:rsid w:val="00FA264E"/>
    <w:rsid w:val="00FA3B09"/>
    <w:rsid w:val="00FA4E7B"/>
    <w:rsid w:val="00FA5439"/>
    <w:rsid w:val="00FA6F4E"/>
    <w:rsid w:val="00FA7015"/>
    <w:rsid w:val="00FA769D"/>
    <w:rsid w:val="00FB2239"/>
    <w:rsid w:val="00FB23C4"/>
    <w:rsid w:val="00FB29F3"/>
    <w:rsid w:val="00FB4A6D"/>
    <w:rsid w:val="00FB7C96"/>
    <w:rsid w:val="00FC0213"/>
    <w:rsid w:val="00FC30C8"/>
    <w:rsid w:val="00FC4608"/>
    <w:rsid w:val="00FC4F0C"/>
    <w:rsid w:val="00FC7763"/>
    <w:rsid w:val="00FD3F0C"/>
    <w:rsid w:val="00FD4A12"/>
    <w:rsid w:val="00FD6418"/>
    <w:rsid w:val="00FE036B"/>
    <w:rsid w:val="00FE2764"/>
    <w:rsid w:val="00FE2984"/>
    <w:rsid w:val="00FE3390"/>
    <w:rsid w:val="00FE449C"/>
    <w:rsid w:val="00FE4D32"/>
    <w:rsid w:val="00FE5EC4"/>
    <w:rsid w:val="00FF47FB"/>
    <w:rsid w:val="00FF48BB"/>
    <w:rsid w:val="00FF528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character" w:styleId="FollowedHyperlink">
    <w:name w:val="FollowedHyperlink"/>
    <w:basedOn w:val="DefaultParagraphFont"/>
    <w:uiPriority w:val="99"/>
    <w:semiHidden/>
    <w:unhideWhenUsed/>
    <w:rsid w:val="00E13237"/>
    <w:rPr>
      <w:color w:val="954F72" w:themeColor="followedHyperlink"/>
      <w:u w:val="single"/>
    </w:rPr>
  </w:style>
  <w:style w:type="paragraph" w:styleId="Revision">
    <w:name w:val="Revision"/>
    <w:hidden/>
    <w:uiPriority w:val="99"/>
    <w:semiHidden/>
    <w:rsid w:val="00AE0F37"/>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022D3A"/>
    <w:rPr>
      <w:color w:val="605E5C"/>
      <w:shd w:val="clear" w:color="auto" w:fill="E1DFDD"/>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link w:val="CharCharCharChar"/>
    <w:uiPriority w:val="99"/>
    <w:unhideWhenUsed/>
    <w:qFormat/>
    <w:rsid w:val="003F0EAF"/>
    <w:rPr>
      <w:vertAlign w:val="superscript"/>
    </w:rPr>
  </w:style>
  <w:style w:type="paragraph" w:styleId="FootnoteText">
    <w:name w:val="footnote text"/>
    <w:basedOn w:val="Normal"/>
    <w:link w:val="FootnoteTextChar"/>
    <w:unhideWhenUsed/>
    <w:rsid w:val="003F0EAF"/>
    <w:pPr>
      <w:widowControl w:val="0"/>
    </w:pPr>
    <w:rPr>
      <w:rFonts w:ascii="Calibri" w:eastAsia="Calibri" w:hAnsi="Calibri"/>
      <w:sz w:val="20"/>
      <w:szCs w:val="20"/>
      <w:lang w:val="en-US" w:eastAsia="en-US"/>
    </w:rPr>
  </w:style>
  <w:style w:type="character" w:customStyle="1" w:styleId="FootnoteTextChar">
    <w:name w:val="Footnote Text Char"/>
    <w:basedOn w:val="DefaultParagraphFont"/>
    <w:link w:val="FootnoteText"/>
    <w:rsid w:val="003F0EAF"/>
    <w:rPr>
      <w:rFonts w:ascii="Calibri" w:eastAsia="Calibri" w:hAnsi="Calibri" w:cs="Times New Roman"/>
      <w:sz w:val="20"/>
      <w:szCs w:val="20"/>
      <w:lang w:val="en-US"/>
    </w:rPr>
  </w:style>
  <w:style w:type="paragraph" w:customStyle="1" w:styleId="CharCharCharChar">
    <w:name w:val="Char Char Char Char"/>
    <w:aliases w:val="Char2"/>
    <w:basedOn w:val="Normal"/>
    <w:next w:val="Normal"/>
    <w:link w:val="FootnoteReference"/>
    <w:uiPriority w:val="99"/>
    <w:qFormat/>
    <w:rsid w:val="003F0EAF"/>
    <w:pPr>
      <w:spacing w:after="160" w:line="240" w:lineRule="exact"/>
      <w:jc w:val="both"/>
    </w:pPr>
    <w:rPr>
      <w:rFonts w:eastAsiaTheme="minorHAnsi" w:cstheme="minorBidi"/>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677732761">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251083288">
      <w:bodyDiv w:val="1"/>
      <w:marLeft w:val="0"/>
      <w:marRight w:val="0"/>
      <w:marTop w:val="0"/>
      <w:marBottom w:val="0"/>
      <w:divBdr>
        <w:top w:val="none" w:sz="0" w:space="0" w:color="auto"/>
        <w:left w:val="none" w:sz="0" w:space="0" w:color="auto"/>
        <w:bottom w:val="none" w:sz="0" w:space="0" w:color="auto"/>
        <w:right w:val="none" w:sz="0" w:space="0" w:color="auto"/>
      </w:divBdr>
    </w:div>
    <w:div w:id="1299989701">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2055425596">
      <w:bodyDiv w:val="1"/>
      <w:marLeft w:val="0"/>
      <w:marRight w:val="0"/>
      <w:marTop w:val="0"/>
      <w:marBottom w:val="0"/>
      <w:divBdr>
        <w:top w:val="none" w:sz="0" w:space="0" w:color="auto"/>
        <w:left w:val="none" w:sz="0" w:space="0" w:color="auto"/>
        <w:bottom w:val="none" w:sz="0" w:space="0" w:color="auto"/>
        <w:right w:val="none" w:sz="0" w:space="0" w:color="auto"/>
      </w:divBdr>
      <w:divsChild>
        <w:div w:id="1062681316">
          <w:marLeft w:val="0"/>
          <w:marRight w:val="0"/>
          <w:marTop w:val="150"/>
          <w:marBottom w:val="0"/>
          <w:divBdr>
            <w:top w:val="none" w:sz="0" w:space="0" w:color="auto"/>
            <w:left w:val="none" w:sz="0" w:space="0" w:color="auto"/>
            <w:bottom w:val="none" w:sz="0" w:space="0" w:color="auto"/>
            <w:right w:val="none" w:sz="0" w:space="0" w:color="auto"/>
          </w:divBdr>
        </w:div>
        <w:div w:id="150512347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111.A420225218.2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EC71-4274-442B-9A7E-5A5A522B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3996</Words>
  <Characters>22783</Characters>
  <Application>Microsoft Office Word</Application>
  <DocSecurity>0</DocSecurity>
  <Lines>189</Lines>
  <Paragraphs>53</Paragraphs>
  <ScaleCrop>false</ScaleCrop>
  <Company/>
  <LinksUpToDate>false</LinksUpToDate>
  <CharactersWithSpaces>26726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2023-02-26T18:51:00Z</dcterms:created>
  <dcterms:modified xsi:type="dcterms:W3CDTF">2023-02-26T18:52:00Z</dcterms:modified>
</cp:coreProperties>
</file>