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722EF5" w14:textId="77777777" w:rsidR="00AD081C" w:rsidRDefault="00AD081C" w:rsidP="00AB14AB">
      <w:pPr>
        <w:autoSpaceDE w:val="0"/>
        <w:autoSpaceDN w:val="0"/>
        <w:spacing w:line="276" w:lineRule="auto"/>
        <w:jc w:val="both"/>
        <w:rPr>
          <w:b/>
          <w:bCs/>
          <w:lang w:eastAsia="en-US"/>
        </w:rPr>
      </w:pPr>
      <w:r>
        <w:rPr>
          <w:b/>
          <w:bCs/>
        </w:rPr>
        <w:t>Vidusmēra patērētāja jēdziens un komercprakses vēršanas uz konkrētu patērētāju grupu vērtējums</w:t>
      </w:r>
    </w:p>
    <w:p w14:paraId="20A6BB1D" w14:textId="77777777" w:rsidR="00AD081C" w:rsidRDefault="00AD081C" w:rsidP="00AB14AB">
      <w:pPr>
        <w:autoSpaceDE w:val="0"/>
        <w:autoSpaceDN w:val="0"/>
        <w:spacing w:line="276" w:lineRule="auto"/>
        <w:jc w:val="both"/>
        <w:rPr>
          <w:b/>
          <w:bCs/>
          <w:color w:val="000000"/>
        </w:rPr>
      </w:pPr>
    </w:p>
    <w:p w14:paraId="38493066" w14:textId="57211A33" w:rsidR="00AD081C" w:rsidRPr="00AD081C" w:rsidRDefault="00AD081C" w:rsidP="00AB14AB">
      <w:pPr>
        <w:spacing w:line="276" w:lineRule="auto"/>
        <w:rPr>
          <w:b/>
          <w:bCs/>
          <w:color w:val="000000"/>
        </w:rPr>
      </w:pPr>
      <w:r>
        <w:rPr>
          <w:b/>
          <w:bCs/>
          <w:color w:val="000000"/>
        </w:rPr>
        <w:t xml:space="preserve">Agresīva un negodīga komercprakse </w:t>
      </w:r>
    </w:p>
    <w:p w14:paraId="6AD29A62" w14:textId="77777777" w:rsidR="00AD081C" w:rsidRDefault="00AD081C" w:rsidP="00AB14AB">
      <w:pPr>
        <w:spacing w:line="276" w:lineRule="auto"/>
        <w:rPr>
          <w:b/>
          <w:bCs/>
          <w:color w:val="FF0000"/>
        </w:rPr>
      </w:pPr>
    </w:p>
    <w:p w14:paraId="2C799FEF" w14:textId="77777777" w:rsidR="00AD081C" w:rsidRDefault="00AD081C" w:rsidP="00AB14AB">
      <w:pPr>
        <w:spacing w:line="276" w:lineRule="auto"/>
        <w:jc w:val="both"/>
        <w:rPr>
          <w:b/>
          <w:bCs/>
        </w:rPr>
      </w:pPr>
      <w:r>
        <w:rPr>
          <w:b/>
          <w:bCs/>
        </w:rPr>
        <w:t>Patērētāju aizsardzība komersanta – elektronisko sakaru pakalpojumu sniedzēja – īstenotas komercprakses gadījumā</w:t>
      </w:r>
    </w:p>
    <w:p w14:paraId="50F950E4" w14:textId="77777777" w:rsidR="00AD081C" w:rsidRDefault="00AD081C" w:rsidP="00AB14AB">
      <w:pPr>
        <w:autoSpaceDE w:val="0"/>
        <w:autoSpaceDN w:val="0"/>
        <w:spacing w:line="276" w:lineRule="auto"/>
      </w:pPr>
      <w:r>
        <w:t xml:space="preserve">Komersanta – elektronisko sakaru pakalpojumu sniedzēja – īstenotā komercprakse nav atrauta no pienākuma ievērot patērētāju tiesību aizsardzības regulējumu. Proti, komersantam savā darbībā ir jāievēro Patērētāju tiesību aizsardzības likuma normas. </w:t>
      </w:r>
    </w:p>
    <w:p w14:paraId="07A11618" w14:textId="77777777" w:rsidR="00AD081C" w:rsidRDefault="00AD081C" w:rsidP="00AB14AB">
      <w:pPr>
        <w:spacing w:line="276" w:lineRule="auto"/>
        <w:jc w:val="both"/>
      </w:pPr>
      <w:r>
        <w:t xml:space="preserve">Elektronisko sakaru likums, kurā ieviestas Eiropas Parlamenta un Padomes </w:t>
      </w:r>
      <w:proofErr w:type="gramStart"/>
      <w:r>
        <w:t>2002.gada</w:t>
      </w:r>
      <w:proofErr w:type="gramEnd"/>
      <w:r>
        <w:t xml:space="preserve"> 7.marta direktīvas 2002/22/EK par universālo pakalpojumu un lietotāju tiesībām attiecībā uz elektronisko sakaru tīkliem un pakalpojumiem normas, izsmeļoši nenoregulē patērētāju tiesību aizsardzības jautājumus, tādēļ šo normu piemērošana neizslēdz patērētāju tiesību aizsardzības noteikumus, kas ietverti likumos, kuros pārņemtas Padomes 1993.gada 5.aprīļa direktīvu 93/13/EEK par negodīgiem noteikumiem patērētāju līgumos un Eiropas Parlamenta un Padomes 2005.gada 11.maija direktīvu 2005/29/EK, kas attiecas uz uzņēmēju negodīgu komercpraksi iekšējā tirgū attiecībā pret patērētājiem un ar ko groza Padomes Direktīvu 84/450/EEK un Eiropas Parlamenta un Padomes Direktīvas 97/7/EK, 98/27/EK un 2002/65/EK un Eiropas Parlamenta un Padomes Regulu (EK) Nr. 2006/2004, normas.</w:t>
      </w:r>
    </w:p>
    <w:p w14:paraId="20132ECB" w14:textId="3DF3FADA" w:rsidR="00AD081C" w:rsidRDefault="00AD081C" w:rsidP="00AB14AB">
      <w:pPr>
        <w:spacing w:line="276" w:lineRule="auto"/>
        <w:jc w:val="both"/>
      </w:pPr>
    </w:p>
    <w:p w14:paraId="1AF6F751" w14:textId="77777777" w:rsidR="00AD081C" w:rsidRDefault="00AD081C" w:rsidP="00AB14AB">
      <w:pPr>
        <w:spacing w:line="276" w:lineRule="auto"/>
        <w:jc w:val="both"/>
        <w:rPr>
          <w:b/>
          <w:bCs/>
        </w:rPr>
      </w:pPr>
      <w:r>
        <w:rPr>
          <w:b/>
          <w:bCs/>
        </w:rPr>
        <w:t>Nepasūtītu preču pārdošana</w:t>
      </w:r>
    </w:p>
    <w:p w14:paraId="0F7AA28A" w14:textId="77777777" w:rsidR="00AD081C" w:rsidRDefault="00AD081C" w:rsidP="00AB14AB">
      <w:pPr>
        <w:spacing w:line="276" w:lineRule="auto"/>
        <w:jc w:val="both"/>
      </w:pPr>
      <w:r>
        <w:t xml:space="preserve">Nepasūtītu preču pārdošana </w:t>
      </w:r>
      <w:proofErr w:type="spellStart"/>
      <w:r>
        <w:t>citstarp</w:t>
      </w:r>
      <w:proofErr w:type="spellEnd"/>
      <w:r>
        <w:t xml:space="preserve"> ir tāda rīcība, kad komersants pieprasa patērētājam samaksāt par preci vai pakalpojumu, kas sniegts šim patērētājam, lai arī viņš to nav pasūtījis.</w:t>
      </w:r>
    </w:p>
    <w:p w14:paraId="3079BE86" w14:textId="53EB5430" w:rsidR="009C0BA3" w:rsidRPr="00D5583A" w:rsidRDefault="009C0BA3" w:rsidP="00AB14AB">
      <w:pPr>
        <w:pStyle w:val="BodyText2"/>
        <w:spacing w:after="0" w:line="276" w:lineRule="auto"/>
        <w:rPr>
          <w:lang w:val="lv-LV"/>
        </w:rPr>
      </w:pPr>
    </w:p>
    <w:p w14:paraId="051DD6A0" w14:textId="00DC0F13" w:rsidR="00772A7C" w:rsidRPr="00AD081C" w:rsidRDefault="00AD081C" w:rsidP="00AB14AB">
      <w:pPr>
        <w:spacing w:line="276" w:lineRule="auto"/>
        <w:jc w:val="center"/>
        <w:rPr>
          <w:b/>
        </w:rPr>
      </w:pPr>
      <w:r w:rsidRPr="00AD081C">
        <w:rPr>
          <w:b/>
        </w:rPr>
        <w:t>Latvijas Republikas Senāta</w:t>
      </w:r>
    </w:p>
    <w:p w14:paraId="3720D019" w14:textId="5079E921" w:rsidR="00AD081C" w:rsidRPr="00AD081C" w:rsidRDefault="00AD081C" w:rsidP="00AB14AB">
      <w:pPr>
        <w:spacing w:line="276" w:lineRule="auto"/>
        <w:jc w:val="center"/>
        <w:rPr>
          <w:b/>
        </w:rPr>
      </w:pPr>
      <w:r w:rsidRPr="00AD081C">
        <w:rPr>
          <w:b/>
        </w:rPr>
        <w:t>Administratīvo lietu departamenta</w:t>
      </w:r>
    </w:p>
    <w:p w14:paraId="6FF1756F" w14:textId="1D330EC6" w:rsidR="00AD081C" w:rsidRPr="00AD081C" w:rsidRDefault="00AD081C" w:rsidP="00AB14AB">
      <w:pPr>
        <w:spacing w:line="276" w:lineRule="auto"/>
        <w:jc w:val="center"/>
        <w:rPr>
          <w:b/>
        </w:rPr>
      </w:pPr>
      <w:proofErr w:type="gramStart"/>
      <w:r w:rsidRPr="00AD081C">
        <w:rPr>
          <w:b/>
        </w:rPr>
        <w:t>2022.gada</w:t>
      </w:r>
      <w:proofErr w:type="gramEnd"/>
      <w:r w:rsidRPr="00AD081C">
        <w:rPr>
          <w:b/>
        </w:rPr>
        <w:t xml:space="preserve"> 2.novembra</w:t>
      </w:r>
    </w:p>
    <w:p w14:paraId="78A8A624" w14:textId="5AE780FD" w:rsidR="009C0BA3" w:rsidRPr="00AD081C" w:rsidRDefault="00D47C06" w:rsidP="00AB14AB">
      <w:pPr>
        <w:spacing w:line="276" w:lineRule="auto"/>
        <w:jc w:val="center"/>
        <w:rPr>
          <w:b/>
        </w:rPr>
      </w:pPr>
      <w:r w:rsidRPr="00AD081C">
        <w:rPr>
          <w:b/>
        </w:rPr>
        <w:t xml:space="preserve">RĪCĪBAS SĒDES </w:t>
      </w:r>
      <w:r w:rsidR="00606650" w:rsidRPr="00AD081C">
        <w:rPr>
          <w:b/>
        </w:rPr>
        <w:t>LĒMUMS</w:t>
      </w:r>
    </w:p>
    <w:p w14:paraId="432D70DA" w14:textId="77777777" w:rsidR="00AD081C" w:rsidRPr="00AD081C" w:rsidRDefault="00AD081C" w:rsidP="00AB14AB">
      <w:pPr>
        <w:spacing w:line="276" w:lineRule="auto"/>
        <w:jc w:val="center"/>
        <w:rPr>
          <w:b/>
        </w:rPr>
      </w:pPr>
      <w:r w:rsidRPr="00AD081C">
        <w:rPr>
          <w:b/>
        </w:rPr>
        <w:t>Lieta Nr. </w:t>
      </w:r>
      <w:r w:rsidRPr="00AD081C">
        <w:rPr>
          <w:b/>
          <w:lang w:eastAsia="lv-LV"/>
        </w:rPr>
        <w:t xml:space="preserve">A420113721, </w:t>
      </w:r>
      <w:r w:rsidRPr="00AD081C">
        <w:rPr>
          <w:b/>
        </w:rPr>
        <w:t>SKA-1084/2022</w:t>
      </w:r>
    </w:p>
    <w:p w14:paraId="56C448E6" w14:textId="1B33BAEE" w:rsidR="00AD081C" w:rsidRPr="00AD081C" w:rsidRDefault="001014CB" w:rsidP="00AB14AB">
      <w:pPr>
        <w:spacing w:line="276" w:lineRule="auto"/>
        <w:jc w:val="center"/>
      </w:pPr>
      <w:hyperlink r:id="rId8" w:history="1">
        <w:r w:rsidR="00AD081C" w:rsidRPr="00AD081C">
          <w:rPr>
            <w:rStyle w:val="Hyperlink"/>
          </w:rPr>
          <w:t>ECLI:LV:AT:2022:1102.A420113721.10.L</w:t>
        </w:r>
      </w:hyperlink>
      <w:r w:rsidR="00AD081C" w:rsidRPr="00AD081C">
        <w:t xml:space="preserve"> </w:t>
      </w:r>
    </w:p>
    <w:p w14:paraId="13994BDA" w14:textId="432A1FA9" w:rsidR="00C52066" w:rsidRPr="00AD5A41" w:rsidRDefault="00C52066" w:rsidP="00AB14AB">
      <w:pPr>
        <w:spacing w:line="276" w:lineRule="auto"/>
        <w:ind w:firstLine="567"/>
        <w:jc w:val="both"/>
        <w:rPr>
          <w:rFonts w:asciiTheme="majorBidi" w:hAnsiTheme="majorBidi" w:cstheme="majorBidi"/>
        </w:rPr>
      </w:pPr>
    </w:p>
    <w:p w14:paraId="25972CD5" w14:textId="1FB3EE03" w:rsidR="00615D8E" w:rsidRDefault="00302203" w:rsidP="00AB14AB">
      <w:pPr>
        <w:spacing w:line="276" w:lineRule="auto"/>
        <w:ind w:firstLine="567"/>
        <w:jc w:val="both"/>
        <w:rPr>
          <w:rFonts w:asciiTheme="majorBidi" w:hAnsiTheme="majorBidi" w:cstheme="majorBidi"/>
        </w:rPr>
      </w:pPr>
      <w:r w:rsidRPr="00AD5A41">
        <w:rPr>
          <w:rFonts w:asciiTheme="majorBidi" w:hAnsiTheme="majorBidi" w:cstheme="majorBidi"/>
        </w:rPr>
        <w:t>[1] </w:t>
      </w:r>
      <w:r w:rsidR="001A0E07" w:rsidRPr="00AD5A41">
        <w:rPr>
          <w:rFonts w:asciiTheme="majorBidi" w:hAnsiTheme="majorBidi" w:cstheme="majorBidi"/>
        </w:rPr>
        <w:t>Senātā saņemta p</w:t>
      </w:r>
      <w:r w:rsidRPr="00AD5A41">
        <w:rPr>
          <w:rFonts w:asciiTheme="majorBidi" w:hAnsiTheme="majorBidi" w:cstheme="majorBidi"/>
        </w:rPr>
        <w:t>ieteicēja</w:t>
      </w:r>
      <w:r w:rsidR="001A0E07" w:rsidRPr="00AD5A41">
        <w:rPr>
          <w:rFonts w:asciiTheme="majorBidi" w:hAnsiTheme="majorBidi" w:cstheme="majorBidi"/>
        </w:rPr>
        <w:t>s</w:t>
      </w:r>
      <w:r w:rsidRPr="00AD5A41">
        <w:rPr>
          <w:rFonts w:asciiTheme="majorBidi" w:hAnsiTheme="majorBidi" w:cstheme="majorBidi"/>
        </w:rPr>
        <w:t xml:space="preserve"> </w:t>
      </w:r>
      <w:r w:rsidR="00BE1D2F">
        <w:rPr>
          <w:rFonts w:asciiTheme="majorBidi" w:hAnsiTheme="majorBidi" w:cstheme="majorBidi"/>
        </w:rPr>
        <w:t>sabiedrības ar ierobežotu atbildību </w:t>
      </w:r>
      <w:r w:rsidR="00690C26" w:rsidRPr="00AD5A41">
        <w:rPr>
          <w:rFonts w:asciiTheme="majorBidi" w:hAnsiTheme="majorBidi" w:cstheme="majorBidi"/>
        </w:rPr>
        <w:t>„</w:t>
      </w:r>
      <w:r w:rsidR="00BE1D2F">
        <w:rPr>
          <w:rFonts w:asciiTheme="majorBidi" w:hAnsiTheme="majorBidi" w:cstheme="majorBidi"/>
        </w:rPr>
        <w:t>Tele2</w:t>
      </w:r>
      <w:r w:rsidR="00690C26" w:rsidRPr="00AD5A41">
        <w:rPr>
          <w:rFonts w:asciiTheme="majorBidi" w:hAnsiTheme="majorBidi" w:cstheme="majorBidi"/>
        </w:rPr>
        <w:t xml:space="preserve">” </w:t>
      </w:r>
      <w:r w:rsidRPr="00AD5A41">
        <w:rPr>
          <w:rFonts w:asciiTheme="majorBidi" w:hAnsiTheme="majorBidi" w:cstheme="majorBidi"/>
        </w:rPr>
        <w:t>kasācijas sūdzīb</w:t>
      </w:r>
      <w:r w:rsidR="001B07DE" w:rsidRPr="00AD5A41">
        <w:rPr>
          <w:rFonts w:asciiTheme="majorBidi" w:hAnsiTheme="majorBidi" w:cstheme="majorBidi"/>
        </w:rPr>
        <w:t>a</w:t>
      </w:r>
      <w:r w:rsidRPr="00AD5A41">
        <w:rPr>
          <w:rFonts w:asciiTheme="majorBidi" w:hAnsiTheme="majorBidi" w:cstheme="majorBidi"/>
        </w:rPr>
        <w:t xml:space="preserve"> par Administratīvās apgabaltiesa</w:t>
      </w:r>
      <w:r w:rsidR="00475E4E" w:rsidRPr="00AD5A41">
        <w:rPr>
          <w:rFonts w:asciiTheme="majorBidi" w:hAnsiTheme="majorBidi" w:cstheme="majorBidi"/>
        </w:rPr>
        <w:t>s</w:t>
      </w:r>
      <w:r w:rsidRPr="00AD5A41">
        <w:rPr>
          <w:rFonts w:asciiTheme="majorBidi" w:hAnsiTheme="majorBidi" w:cstheme="majorBidi"/>
        </w:rPr>
        <w:t xml:space="preserve"> </w:t>
      </w:r>
      <w:proofErr w:type="gramStart"/>
      <w:r w:rsidRPr="00AD5A41">
        <w:rPr>
          <w:rFonts w:asciiTheme="majorBidi" w:hAnsiTheme="majorBidi" w:cstheme="majorBidi"/>
        </w:rPr>
        <w:t>2022</w:t>
      </w:r>
      <w:r w:rsidR="001B07DE" w:rsidRPr="00AD5A41">
        <w:rPr>
          <w:rFonts w:asciiTheme="majorBidi" w:hAnsiTheme="majorBidi" w:cstheme="majorBidi"/>
        </w:rPr>
        <w:t>.gada</w:t>
      </w:r>
      <w:proofErr w:type="gramEnd"/>
      <w:r w:rsidR="001B07DE" w:rsidRPr="00AD5A41">
        <w:rPr>
          <w:rFonts w:asciiTheme="majorBidi" w:hAnsiTheme="majorBidi" w:cstheme="majorBidi"/>
        </w:rPr>
        <w:t xml:space="preserve"> </w:t>
      </w:r>
      <w:r w:rsidR="00BE1D2F">
        <w:rPr>
          <w:rFonts w:asciiTheme="majorBidi" w:hAnsiTheme="majorBidi" w:cstheme="majorBidi"/>
        </w:rPr>
        <w:t>30</w:t>
      </w:r>
      <w:r w:rsidR="001B07DE" w:rsidRPr="00AD5A41">
        <w:rPr>
          <w:rFonts w:asciiTheme="majorBidi" w:hAnsiTheme="majorBidi" w:cstheme="majorBidi"/>
        </w:rPr>
        <w:t>.</w:t>
      </w:r>
      <w:r w:rsidR="00BE1D2F">
        <w:rPr>
          <w:rFonts w:asciiTheme="majorBidi" w:hAnsiTheme="majorBidi" w:cstheme="majorBidi"/>
        </w:rPr>
        <w:t>augusta</w:t>
      </w:r>
      <w:r w:rsidR="001B07DE" w:rsidRPr="00AD5A41">
        <w:rPr>
          <w:rFonts w:asciiTheme="majorBidi" w:hAnsiTheme="majorBidi" w:cstheme="majorBidi"/>
        </w:rPr>
        <w:t xml:space="preserve"> spriedumu, ar kuru </w:t>
      </w:r>
      <w:r w:rsidR="005A7450" w:rsidRPr="00AD5A41">
        <w:rPr>
          <w:rFonts w:asciiTheme="majorBidi" w:hAnsiTheme="majorBidi" w:cstheme="majorBidi"/>
        </w:rPr>
        <w:t>noraidīts</w:t>
      </w:r>
      <w:r w:rsidR="001B07DE" w:rsidRPr="00AD5A41">
        <w:rPr>
          <w:rFonts w:asciiTheme="majorBidi" w:hAnsiTheme="majorBidi" w:cstheme="majorBidi"/>
        </w:rPr>
        <w:t xml:space="preserve"> pieteicējas pieteikums par </w:t>
      </w:r>
      <w:r w:rsidR="00BE1D2F">
        <w:rPr>
          <w:rFonts w:asciiTheme="majorBidi" w:hAnsiTheme="majorBidi" w:cstheme="majorBidi"/>
        </w:rPr>
        <w:t>Patērētāju tiesību aizsardzības centra 2020.gada 4.decembra lēmuma Nr. 20-pk</w:t>
      </w:r>
      <w:r w:rsidR="001B07DE" w:rsidRPr="00AD5A41">
        <w:rPr>
          <w:rFonts w:asciiTheme="majorBidi" w:hAnsiTheme="majorBidi" w:cstheme="majorBidi"/>
        </w:rPr>
        <w:t xml:space="preserve"> atcelšanu.</w:t>
      </w:r>
      <w:r w:rsidR="001A0E07" w:rsidRPr="00AD5A41">
        <w:rPr>
          <w:rFonts w:asciiTheme="majorBidi" w:hAnsiTheme="majorBidi" w:cstheme="majorBidi"/>
        </w:rPr>
        <w:t xml:space="preserve"> </w:t>
      </w:r>
      <w:r w:rsidR="0071763E">
        <w:rPr>
          <w:rFonts w:asciiTheme="majorBidi" w:hAnsiTheme="majorBidi" w:cstheme="majorBidi"/>
        </w:rPr>
        <w:t xml:space="preserve">Ar minēto iestādes lēmumu pieteicējai aizliegts </w:t>
      </w:r>
      <w:r w:rsidR="00E71E47">
        <w:rPr>
          <w:rFonts w:asciiTheme="majorBidi" w:hAnsiTheme="majorBidi" w:cstheme="majorBidi"/>
        </w:rPr>
        <w:t>īstenot</w:t>
      </w:r>
      <w:r w:rsidR="0071763E">
        <w:rPr>
          <w:rFonts w:asciiTheme="majorBidi" w:hAnsiTheme="majorBidi" w:cstheme="majorBidi"/>
        </w:rPr>
        <w:t xml:space="preserve"> </w:t>
      </w:r>
      <w:proofErr w:type="gramStart"/>
      <w:r w:rsidR="0071763E">
        <w:rPr>
          <w:rFonts w:asciiTheme="majorBidi" w:hAnsiTheme="majorBidi" w:cstheme="majorBidi"/>
        </w:rPr>
        <w:t xml:space="preserve">negodīgu </w:t>
      </w:r>
      <w:r w:rsidR="00DF29AD">
        <w:rPr>
          <w:rFonts w:asciiTheme="majorBidi" w:hAnsiTheme="majorBidi" w:cstheme="majorBidi"/>
        </w:rPr>
        <w:t>–pr</w:t>
      </w:r>
      <w:proofErr w:type="gramEnd"/>
      <w:r w:rsidR="00DF29AD">
        <w:rPr>
          <w:rFonts w:asciiTheme="majorBidi" w:hAnsiTheme="majorBidi" w:cstheme="majorBidi"/>
        </w:rPr>
        <w:t xml:space="preserve">ofesionālajai rūpībai neatbilstošu un agresīvu – </w:t>
      </w:r>
      <w:r w:rsidR="0071763E">
        <w:rPr>
          <w:rFonts w:asciiTheme="majorBidi" w:hAnsiTheme="majorBidi" w:cstheme="majorBidi"/>
        </w:rPr>
        <w:t>komercpraksi</w:t>
      </w:r>
      <w:r w:rsidR="00615D8E">
        <w:rPr>
          <w:rFonts w:asciiTheme="majorBidi" w:hAnsiTheme="majorBidi" w:cstheme="majorBidi"/>
        </w:rPr>
        <w:t xml:space="preserve"> un uzlikta soda nauda 20 000 </w:t>
      </w:r>
      <w:proofErr w:type="spellStart"/>
      <w:r w:rsidR="00615D8E" w:rsidRPr="0071763E">
        <w:rPr>
          <w:rFonts w:asciiTheme="majorBidi" w:hAnsiTheme="majorBidi" w:cstheme="majorBidi"/>
          <w:i/>
          <w:iCs/>
        </w:rPr>
        <w:t>euro</w:t>
      </w:r>
      <w:proofErr w:type="spellEnd"/>
      <w:r w:rsidR="00615D8E">
        <w:rPr>
          <w:rFonts w:asciiTheme="majorBidi" w:hAnsiTheme="majorBidi" w:cstheme="majorBidi"/>
        </w:rPr>
        <w:t>. Iestāde atzina, ka par negodīgu komercpraksi ir uzskatāma plānot</w:t>
      </w:r>
      <w:r w:rsidR="007B2EF2">
        <w:rPr>
          <w:rFonts w:asciiTheme="majorBidi" w:hAnsiTheme="majorBidi" w:cstheme="majorBidi"/>
        </w:rPr>
        <w:t>a</w:t>
      </w:r>
      <w:r w:rsidR="00615D8E">
        <w:rPr>
          <w:rFonts w:asciiTheme="majorBidi" w:hAnsiTheme="majorBidi" w:cstheme="majorBidi"/>
        </w:rPr>
        <w:t xml:space="preserve"> </w:t>
      </w:r>
      <w:r w:rsidR="00DF29AD">
        <w:rPr>
          <w:rFonts w:asciiTheme="majorBidi" w:hAnsiTheme="majorBidi" w:cstheme="majorBidi"/>
        </w:rPr>
        <w:t>pakalpojuma sniegšana</w:t>
      </w:r>
      <w:r w:rsidR="00615D8E">
        <w:rPr>
          <w:rFonts w:asciiTheme="majorBidi" w:hAnsiTheme="majorBidi" w:cstheme="majorBidi"/>
        </w:rPr>
        <w:t xml:space="preserve"> un papildu maksas pieprasīšana</w:t>
      </w:r>
      <w:r w:rsidR="00DF29AD">
        <w:rPr>
          <w:rFonts w:asciiTheme="majorBidi" w:hAnsiTheme="majorBidi" w:cstheme="majorBidi"/>
        </w:rPr>
        <w:t xml:space="preserve">, </w:t>
      </w:r>
      <w:r w:rsidR="00615D8E">
        <w:rPr>
          <w:rFonts w:asciiTheme="majorBidi" w:hAnsiTheme="majorBidi" w:cstheme="majorBidi"/>
        </w:rPr>
        <w:t xml:space="preserve">nesaņemot </w:t>
      </w:r>
      <w:r w:rsidR="00DF29AD">
        <w:rPr>
          <w:rFonts w:asciiTheme="majorBidi" w:hAnsiTheme="majorBidi" w:cstheme="majorBidi"/>
        </w:rPr>
        <w:t>patērētāj</w:t>
      </w:r>
      <w:r w:rsidR="00D37B6E">
        <w:rPr>
          <w:rFonts w:asciiTheme="majorBidi" w:hAnsiTheme="majorBidi" w:cstheme="majorBidi"/>
        </w:rPr>
        <w:t>a</w:t>
      </w:r>
      <w:r w:rsidR="00DF29AD">
        <w:rPr>
          <w:rFonts w:asciiTheme="majorBidi" w:hAnsiTheme="majorBidi" w:cstheme="majorBidi"/>
        </w:rPr>
        <w:t xml:space="preserve"> aktīvi </w:t>
      </w:r>
      <w:r w:rsidR="00615D8E">
        <w:rPr>
          <w:rFonts w:asciiTheme="majorBidi" w:hAnsiTheme="majorBidi" w:cstheme="majorBidi"/>
        </w:rPr>
        <w:t>sniegtu</w:t>
      </w:r>
      <w:r w:rsidR="00DF29AD">
        <w:rPr>
          <w:rFonts w:asciiTheme="majorBidi" w:hAnsiTheme="majorBidi" w:cstheme="majorBidi"/>
        </w:rPr>
        <w:t xml:space="preserve"> piekrišan</w:t>
      </w:r>
      <w:r w:rsidR="00615D8E">
        <w:rPr>
          <w:rFonts w:asciiTheme="majorBidi" w:hAnsiTheme="majorBidi" w:cstheme="majorBidi"/>
        </w:rPr>
        <w:t>u.</w:t>
      </w:r>
    </w:p>
    <w:p w14:paraId="6C097914" w14:textId="54BEAFBF" w:rsidR="00853689" w:rsidRDefault="00617E0B" w:rsidP="00AB14AB">
      <w:pPr>
        <w:spacing w:line="276" w:lineRule="auto"/>
        <w:ind w:firstLine="567"/>
        <w:jc w:val="both"/>
        <w:rPr>
          <w:rFonts w:asciiTheme="majorBidi" w:hAnsiTheme="majorBidi" w:cstheme="majorBidi"/>
        </w:rPr>
      </w:pPr>
      <w:r>
        <w:rPr>
          <w:rFonts w:asciiTheme="majorBidi" w:hAnsiTheme="majorBidi" w:cstheme="majorBidi"/>
        </w:rPr>
        <w:t xml:space="preserve">Apgabaltiesa </w:t>
      </w:r>
      <w:r w:rsidR="00D37B6E">
        <w:rPr>
          <w:rFonts w:asciiTheme="majorBidi" w:hAnsiTheme="majorBidi" w:cstheme="majorBidi"/>
        </w:rPr>
        <w:t>atzina par pamatotu iestādes secinājumu, ka pieteicēja ir pieļāvusi agresīvu komercpraksi, tostarp jebkuros apstākļos agresīvu komercpra</w:t>
      </w:r>
      <w:r w:rsidR="00641621">
        <w:rPr>
          <w:rFonts w:asciiTheme="majorBidi" w:hAnsiTheme="majorBidi" w:cstheme="majorBidi"/>
        </w:rPr>
        <w:t>ksi, veicot nepasūtīta pakalpojuma piegādi patērētājam</w:t>
      </w:r>
      <w:r w:rsidR="00853689">
        <w:rPr>
          <w:rFonts w:asciiTheme="majorBidi" w:hAnsiTheme="majorBidi" w:cstheme="majorBidi"/>
        </w:rPr>
        <w:t xml:space="preserve"> </w:t>
      </w:r>
      <w:r w:rsidR="00244B7E">
        <w:rPr>
          <w:rFonts w:asciiTheme="majorBidi" w:hAnsiTheme="majorBidi" w:cstheme="majorBidi"/>
        </w:rPr>
        <w:t xml:space="preserve">un </w:t>
      </w:r>
      <w:r w:rsidR="00853689">
        <w:rPr>
          <w:rFonts w:asciiTheme="majorBidi" w:hAnsiTheme="majorBidi" w:cstheme="majorBidi"/>
        </w:rPr>
        <w:t>tādējādi izmantojot nesamērīgu ietekmi, kā arī profesionālai rūpībai neatbilstošu komercpraksi, jo pietiekami rūpīgi neizvērtēja, vai komercprakse konkrētajā veidā nerada patērētāj</w:t>
      </w:r>
      <w:r w:rsidR="000F05D2">
        <w:rPr>
          <w:rFonts w:asciiTheme="majorBidi" w:hAnsiTheme="majorBidi" w:cstheme="majorBidi"/>
        </w:rPr>
        <w:t>a</w:t>
      </w:r>
      <w:r w:rsidR="00853689">
        <w:rPr>
          <w:rFonts w:asciiTheme="majorBidi" w:hAnsiTheme="majorBidi" w:cstheme="majorBidi"/>
        </w:rPr>
        <w:t xml:space="preserve"> izvēles ierobežojumus un neliek pieņemt lēmumus, kādus patērētājs citādi nebūtu pieņēmis</w:t>
      </w:r>
      <w:r w:rsidR="000F05D2">
        <w:rPr>
          <w:rFonts w:asciiTheme="majorBidi" w:hAnsiTheme="majorBidi" w:cstheme="majorBidi"/>
        </w:rPr>
        <w:t>.</w:t>
      </w:r>
    </w:p>
    <w:p w14:paraId="69D451CD" w14:textId="64927ED6" w:rsidR="00016FA0" w:rsidRDefault="00016FA0" w:rsidP="00AB14AB">
      <w:pPr>
        <w:spacing w:line="276" w:lineRule="auto"/>
        <w:ind w:firstLine="567"/>
        <w:jc w:val="both"/>
        <w:rPr>
          <w:rFonts w:asciiTheme="majorBidi" w:eastAsiaTheme="minorHAnsi" w:hAnsiTheme="majorBidi" w:cstheme="majorBidi"/>
          <w:lang w:eastAsia="en-US"/>
        </w:rPr>
      </w:pPr>
      <w:r>
        <w:rPr>
          <w:rFonts w:asciiTheme="majorBidi" w:hAnsiTheme="majorBidi" w:cstheme="majorBidi"/>
        </w:rPr>
        <w:lastRenderedPageBreak/>
        <w:t>Apgabaltiesa atzina, ka komersant</w:t>
      </w:r>
      <w:r w:rsidR="007B311D">
        <w:rPr>
          <w:rFonts w:asciiTheme="majorBidi" w:hAnsiTheme="majorBidi" w:cstheme="majorBidi"/>
        </w:rPr>
        <w:t xml:space="preserve">a </w:t>
      </w:r>
      <w:r>
        <w:rPr>
          <w:rFonts w:asciiTheme="majorBidi" w:hAnsiTheme="majorBidi" w:cstheme="majorBidi"/>
        </w:rPr>
        <w:t>–</w:t>
      </w:r>
      <w:r w:rsidR="007B311D">
        <w:rPr>
          <w:rFonts w:asciiTheme="majorBidi" w:hAnsiTheme="majorBidi" w:cstheme="majorBidi"/>
        </w:rPr>
        <w:t xml:space="preserve"> </w:t>
      </w:r>
      <w:r>
        <w:rPr>
          <w:rFonts w:asciiTheme="majorBidi" w:hAnsiTheme="majorBidi" w:cstheme="majorBidi"/>
        </w:rPr>
        <w:t>elektronisko sakaru pakalpojumu sniedzēja –</w:t>
      </w:r>
      <w:r w:rsidR="007B311D">
        <w:rPr>
          <w:rFonts w:asciiTheme="majorBidi" w:hAnsiTheme="majorBidi" w:cstheme="majorBidi"/>
        </w:rPr>
        <w:t xml:space="preserve"> īstenotā komerc</w:t>
      </w:r>
      <w:r>
        <w:rPr>
          <w:rFonts w:asciiTheme="majorBidi" w:hAnsiTheme="majorBidi" w:cstheme="majorBidi"/>
        </w:rPr>
        <w:t xml:space="preserve">prakse nav </w:t>
      </w:r>
      <w:r w:rsidR="007B311D">
        <w:rPr>
          <w:rFonts w:asciiTheme="majorBidi" w:hAnsiTheme="majorBidi" w:cstheme="majorBidi"/>
        </w:rPr>
        <w:t xml:space="preserve">atrauta no pienākuma ievērot patērētāju tiesību aizsardzības regulējumu. </w:t>
      </w:r>
      <w:r w:rsidR="007B311D" w:rsidRPr="00431C2B">
        <w:rPr>
          <w:rFonts w:asciiTheme="majorBidi" w:hAnsiTheme="majorBidi" w:cstheme="majorBidi"/>
        </w:rPr>
        <w:t xml:space="preserve">Tāpēc apgabaltiesa </w:t>
      </w:r>
      <w:r w:rsidR="000B71D5">
        <w:rPr>
          <w:rFonts w:asciiTheme="majorBidi" w:hAnsiTheme="majorBidi" w:cstheme="majorBidi"/>
        </w:rPr>
        <w:t>secināja</w:t>
      </w:r>
      <w:r w:rsidR="007B311D" w:rsidRPr="00431C2B">
        <w:rPr>
          <w:rFonts w:asciiTheme="majorBidi" w:hAnsiTheme="majorBidi" w:cstheme="majorBidi"/>
        </w:rPr>
        <w:t>, ka izskatāmajā gadījumā nav pamata</w:t>
      </w:r>
      <w:r w:rsidR="00755F38">
        <w:rPr>
          <w:rFonts w:asciiTheme="majorBidi" w:hAnsiTheme="majorBidi" w:cstheme="majorBidi"/>
        </w:rPr>
        <w:t xml:space="preserve"> atrauti</w:t>
      </w:r>
      <w:r w:rsidR="007B311D" w:rsidRPr="00431C2B">
        <w:rPr>
          <w:rFonts w:asciiTheme="majorBidi" w:hAnsiTheme="majorBidi" w:cstheme="majorBidi"/>
        </w:rPr>
        <w:t xml:space="preserve"> piemērot </w:t>
      </w:r>
      <w:r w:rsidR="006B5624">
        <w:rPr>
          <w:rFonts w:asciiTheme="majorBidi" w:hAnsiTheme="majorBidi" w:cstheme="majorBidi"/>
        </w:rPr>
        <w:t>elektronisko sakaru pakalpojumu sniedzēju darbību regulējošās tiesību</w:t>
      </w:r>
      <w:r w:rsidR="002168A0">
        <w:rPr>
          <w:rFonts w:asciiTheme="majorBidi" w:eastAsiaTheme="minorHAnsi" w:hAnsiTheme="majorBidi" w:cstheme="majorBidi"/>
          <w:lang w:eastAsia="en-US"/>
        </w:rPr>
        <w:t xml:space="preserve"> normas no </w:t>
      </w:r>
      <w:r w:rsidR="00431C2B" w:rsidRPr="00431C2B">
        <w:rPr>
          <w:rFonts w:asciiTheme="majorBidi" w:eastAsiaTheme="minorHAnsi" w:hAnsiTheme="majorBidi" w:cstheme="majorBidi"/>
          <w:lang w:eastAsia="en-US"/>
        </w:rPr>
        <w:t xml:space="preserve">patērētāju tiesību aizsardzību un negodīgu komercpraksi regulējošām tiesību normām. </w:t>
      </w:r>
    </w:p>
    <w:p w14:paraId="403456FB" w14:textId="77777777" w:rsidR="0016507F" w:rsidRDefault="0016507F" w:rsidP="00AB14AB">
      <w:pPr>
        <w:spacing w:line="276" w:lineRule="auto"/>
        <w:ind w:firstLine="567"/>
        <w:jc w:val="both"/>
        <w:rPr>
          <w:rFonts w:asciiTheme="majorBidi" w:eastAsiaTheme="minorHAnsi" w:hAnsiTheme="majorBidi" w:cstheme="majorBidi"/>
          <w:lang w:eastAsia="en-US"/>
        </w:rPr>
      </w:pPr>
    </w:p>
    <w:p w14:paraId="7656B9B9" w14:textId="141C1C7E" w:rsidR="0003741C" w:rsidRDefault="009A462A" w:rsidP="00AB14AB">
      <w:pPr>
        <w:spacing w:line="276" w:lineRule="auto"/>
        <w:ind w:firstLine="567"/>
        <w:jc w:val="both"/>
        <w:rPr>
          <w:rFonts w:asciiTheme="majorBidi" w:hAnsiTheme="majorBidi" w:cstheme="majorBidi"/>
        </w:rPr>
      </w:pPr>
      <w:r w:rsidRPr="00AD5A41">
        <w:rPr>
          <w:rFonts w:asciiTheme="majorBidi" w:hAnsiTheme="majorBidi" w:cstheme="majorBidi"/>
        </w:rPr>
        <w:t>[2] </w:t>
      </w:r>
      <w:r w:rsidR="0003741C" w:rsidRPr="00AD5A41">
        <w:rPr>
          <w:rFonts w:asciiTheme="majorBidi" w:hAnsiTheme="majorBidi" w:cstheme="majorBidi"/>
        </w:rPr>
        <w:t xml:space="preserve">Iepazīstoties ar </w:t>
      </w:r>
      <w:r w:rsidR="00642716" w:rsidRPr="00AD5A41">
        <w:rPr>
          <w:rFonts w:asciiTheme="majorBidi" w:hAnsiTheme="majorBidi" w:cstheme="majorBidi"/>
        </w:rPr>
        <w:t xml:space="preserve">pieteicējas </w:t>
      </w:r>
      <w:r w:rsidR="0003741C" w:rsidRPr="00AD5A41">
        <w:rPr>
          <w:rFonts w:asciiTheme="majorBidi" w:hAnsiTheme="majorBidi" w:cstheme="majorBidi"/>
        </w:rPr>
        <w:t>kasācijas sūdzīb</w:t>
      </w:r>
      <w:r w:rsidR="00642716" w:rsidRPr="00AD5A41">
        <w:rPr>
          <w:rFonts w:asciiTheme="majorBidi" w:hAnsiTheme="majorBidi" w:cstheme="majorBidi"/>
        </w:rPr>
        <w:t>as</w:t>
      </w:r>
      <w:r w:rsidR="0003741C" w:rsidRPr="00AD5A41">
        <w:rPr>
          <w:rFonts w:asciiTheme="majorBidi" w:hAnsiTheme="majorBidi" w:cstheme="majorBidi"/>
        </w:rPr>
        <w:t xml:space="preserve"> saturu un izvērtējot tajā ietvertos apsvērumus,</w:t>
      </w:r>
      <w:r w:rsidR="00755F38">
        <w:rPr>
          <w:rFonts w:asciiTheme="majorBidi" w:hAnsiTheme="majorBidi" w:cstheme="majorBidi"/>
        </w:rPr>
        <w:t xml:space="preserve"> </w:t>
      </w:r>
      <w:r w:rsidR="00755F38">
        <w:t>ciktāl tie var būt pamats sprieduma pārsūdzēšanai kasācijas kārtībā,</w:t>
      </w:r>
      <w:r w:rsidR="0003741C" w:rsidRPr="00AD5A41">
        <w:rPr>
          <w:rFonts w:asciiTheme="majorBidi" w:hAnsiTheme="majorBidi" w:cstheme="majorBidi"/>
        </w:rPr>
        <w:t xml:space="preserve"> senatoru kolēģija konstatē, ka kasācijas sūdzībā norādītais neliecina par </w:t>
      </w:r>
      <w:r w:rsidR="00A53A2E" w:rsidRPr="00AD5A41">
        <w:rPr>
          <w:rFonts w:asciiTheme="majorBidi" w:hAnsiTheme="majorBidi" w:cstheme="majorBidi"/>
        </w:rPr>
        <w:t>apgabal</w:t>
      </w:r>
      <w:r w:rsidR="0003741C" w:rsidRPr="00AD5A41">
        <w:rPr>
          <w:rFonts w:asciiTheme="majorBidi" w:hAnsiTheme="majorBidi" w:cstheme="majorBidi"/>
        </w:rPr>
        <w:t>tiesas pieļautiem pārkāpumiem lietas izskatīšanā un nerada šaubas par pārsūdzētā sprieduma tiesiskumu. Kasācijas sūdzībā arī nav izvirzīti tādi tiesību jautājumi, kuru risinājums būtu nozīmīgs judikatūras veidošanai.</w:t>
      </w:r>
    </w:p>
    <w:p w14:paraId="7C7FDE83" w14:textId="04BCCE48" w:rsidR="0003741C" w:rsidRPr="00AD5A41" w:rsidRDefault="0003741C" w:rsidP="00AB14AB">
      <w:pPr>
        <w:spacing w:line="276" w:lineRule="auto"/>
        <w:ind w:firstLine="567"/>
        <w:jc w:val="both"/>
        <w:rPr>
          <w:rFonts w:asciiTheme="majorBidi" w:hAnsiTheme="majorBidi" w:cstheme="majorBidi"/>
        </w:rPr>
      </w:pPr>
    </w:p>
    <w:p w14:paraId="0E3A41BA" w14:textId="21D1E390" w:rsidR="000F05D2" w:rsidRPr="00941BF8" w:rsidRDefault="009B0CFB" w:rsidP="00AB14AB">
      <w:pPr>
        <w:spacing w:line="276" w:lineRule="auto"/>
        <w:ind w:firstLine="567"/>
        <w:jc w:val="both"/>
        <w:rPr>
          <w:rFonts w:asciiTheme="majorBidi" w:hAnsiTheme="majorBidi" w:cstheme="majorBidi"/>
        </w:rPr>
      </w:pPr>
      <w:r w:rsidRPr="00AD5A41">
        <w:rPr>
          <w:rFonts w:asciiTheme="majorBidi" w:hAnsiTheme="majorBidi" w:cstheme="majorBidi"/>
        </w:rPr>
        <w:t>[3] </w:t>
      </w:r>
      <w:r w:rsidRPr="004B5BD2">
        <w:rPr>
          <w:rFonts w:asciiTheme="majorBidi" w:hAnsiTheme="majorBidi" w:cstheme="majorBidi"/>
        </w:rPr>
        <w:t>Pieteicēja kasācijas sūdzībā norād</w:t>
      </w:r>
      <w:r w:rsidR="004B5BD2" w:rsidRPr="004B5BD2">
        <w:rPr>
          <w:rFonts w:asciiTheme="majorBidi" w:hAnsiTheme="majorBidi" w:cstheme="majorBidi"/>
        </w:rPr>
        <w:t xml:space="preserve">a, ka apgabaltiesa nepareizi </w:t>
      </w:r>
      <w:r w:rsidR="004B5BD2">
        <w:rPr>
          <w:rFonts w:asciiTheme="majorBidi" w:hAnsiTheme="majorBidi" w:cstheme="majorBidi"/>
        </w:rPr>
        <w:t>interpretējusi</w:t>
      </w:r>
      <w:r w:rsidR="004B5BD2" w:rsidRPr="004B5BD2">
        <w:rPr>
          <w:rFonts w:asciiTheme="majorBidi" w:hAnsiTheme="majorBidi" w:cstheme="majorBidi"/>
        </w:rPr>
        <w:t xml:space="preserve"> </w:t>
      </w:r>
      <w:r w:rsidR="007F5D78">
        <w:rPr>
          <w:rFonts w:asciiTheme="majorBidi" w:hAnsiTheme="majorBidi" w:cstheme="majorBidi"/>
        </w:rPr>
        <w:t xml:space="preserve">un piemērojusi </w:t>
      </w:r>
      <w:r w:rsidR="004B5BD2" w:rsidRPr="004B5BD2">
        <w:rPr>
          <w:rFonts w:asciiTheme="majorBidi" w:hAnsiTheme="majorBidi" w:cstheme="majorBidi"/>
        </w:rPr>
        <w:t>materiālo tiesību normas. Pieteicēja minēto argumentu</w:t>
      </w:r>
      <w:r w:rsidR="007F5D78">
        <w:rPr>
          <w:rFonts w:asciiTheme="majorBidi" w:hAnsiTheme="majorBidi" w:cstheme="majorBidi"/>
        </w:rPr>
        <w:t xml:space="preserve"> pēc būtības</w:t>
      </w:r>
      <w:r w:rsidR="004B5BD2" w:rsidRPr="004B5BD2">
        <w:rPr>
          <w:rFonts w:asciiTheme="majorBidi" w:hAnsiTheme="majorBidi" w:cstheme="majorBidi"/>
        </w:rPr>
        <w:t xml:space="preserve"> pamato ar to, ka, tās ieskatā, izskatāmajā lietā bija jāpiemēro </w:t>
      </w:r>
      <w:r w:rsidR="004B5BD2" w:rsidRPr="004B5BD2">
        <w:rPr>
          <w:rFonts w:asciiTheme="majorBidi" w:eastAsiaTheme="minorHAnsi" w:hAnsiTheme="majorBidi" w:cstheme="majorBidi"/>
          <w:lang w:eastAsia="en-US"/>
        </w:rPr>
        <w:t xml:space="preserve">Eiropas Parlamenta un Padomes </w:t>
      </w:r>
      <w:proofErr w:type="gramStart"/>
      <w:r w:rsidR="004B5BD2" w:rsidRPr="004B5BD2">
        <w:rPr>
          <w:rFonts w:asciiTheme="majorBidi" w:eastAsiaTheme="minorHAnsi" w:hAnsiTheme="majorBidi" w:cstheme="majorBidi"/>
          <w:lang w:eastAsia="en-US"/>
        </w:rPr>
        <w:t>2002.gada</w:t>
      </w:r>
      <w:proofErr w:type="gramEnd"/>
      <w:r w:rsidR="004B5BD2" w:rsidRPr="004B5BD2">
        <w:rPr>
          <w:rFonts w:asciiTheme="majorBidi" w:eastAsiaTheme="minorHAnsi" w:hAnsiTheme="majorBidi" w:cstheme="majorBidi"/>
          <w:lang w:eastAsia="en-US"/>
        </w:rPr>
        <w:t xml:space="preserve"> 7.marta </w:t>
      </w:r>
      <w:r w:rsidR="004B5BD2">
        <w:rPr>
          <w:rFonts w:asciiTheme="majorBidi" w:eastAsiaTheme="minorHAnsi" w:hAnsiTheme="majorBidi" w:cstheme="majorBidi"/>
          <w:lang w:eastAsia="en-US"/>
        </w:rPr>
        <w:t>d</w:t>
      </w:r>
      <w:r w:rsidR="004B5BD2" w:rsidRPr="004B5BD2">
        <w:rPr>
          <w:rFonts w:asciiTheme="majorBidi" w:eastAsiaTheme="minorHAnsi" w:hAnsiTheme="majorBidi" w:cstheme="majorBidi"/>
          <w:lang w:eastAsia="en-US"/>
        </w:rPr>
        <w:t>irektīva</w:t>
      </w:r>
      <w:r w:rsidR="004B5BD2">
        <w:rPr>
          <w:rFonts w:asciiTheme="majorBidi" w:eastAsiaTheme="minorHAnsi" w:hAnsiTheme="majorBidi" w:cstheme="majorBidi"/>
          <w:lang w:eastAsia="en-US"/>
        </w:rPr>
        <w:t>s</w:t>
      </w:r>
      <w:r w:rsidR="004B5BD2" w:rsidRPr="004B5BD2">
        <w:rPr>
          <w:rFonts w:asciiTheme="majorBidi" w:eastAsiaTheme="minorHAnsi" w:hAnsiTheme="majorBidi" w:cstheme="majorBidi"/>
          <w:lang w:eastAsia="en-US"/>
        </w:rPr>
        <w:t xml:space="preserve"> </w:t>
      </w:r>
      <w:r w:rsidR="004B5BD2" w:rsidRPr="008A35F7">
        <w:rPr>
          <w:rFonts w:asciiTheme="majorBidi" w:eastAsiaTheme="minorHAnsi" w:hAnsiTheme="majorBidi" w:cstheme="majorBidi"/>
          <w:lang w:eastAsia="en-US"/>
        </w:rPr>
        <w:t>2002/22/EK</w:t>
      </w:r>
      <w:r w:rsidR="004B5BD2" w:rsidRPr="004B5BD2">
        <w:rPr>
          <w:rFonts w:asciiTheme="majorBidi" w:eastAsiaTheme="minorHAnsi" w:hAnsiTheme="majorBidi" w:cstheme="majorBidi"/>
          <w:lang w:eastAsia="en-US"/>
        </w:rPr>
        <w:t xml:space="preserve"> par</w:t>
      </w:r>
      <w:r w:rsidR="004B5BD2" w:rsidRPr="004B5BD2">
        <w:rPr>
          <w:rFonts w:asciiTheme="majorBidi" w:hAnsiTheme="majorBidi" w:cstheme="majorBidi"/>
        </w:rPr>
        <w:t xml:space="preserve"> un</w:t>
      </w:r>
      <w:r w:rsidR="004B5BD2" w:rsidRPr="004B5BD2">
        <w:rPr>
          <w:rFonts w:asciiTheme="majorBidi" w:eastAsiaTheme="minorHAnsi" w:hAnsiTheme="majorBidi" w:cstheme="majorBidi"/>
          <w:lang w:eastAsia="en-US"/>
        </w:rPr>
        <w:t xml:space="preserve">iversālo pakalpojumu un lietotāju tiesībām attiecībā uz elektronisko sakaru tīkliem un pakalpojumiem (turpmāk – </w:t>
      </w:r>
      <w:r w:rsidR="00F1312F">
        <w:rPr>
          <w:rFonts w:asciiTheme="majorBidi" w:eastAsiaTheme="minorHAnsi" w:hAnsiTheme="majorBidi" w:cstheme="majorBidi"/>
          <w:lang w:eastAsia="en-US"/>
        </w:rPr>
        <w:t>U</w:t>
      </w:r>
      <w:r w:rsidR="004B5BD2" w:rsidRPr="004B5BD2">
        <w:rPr>
          <w:rFonts w:asciiTheme="majorBidi" w:eastAsiaTheme="minorHAnsi" w:hAnsiTheme="majorBidi" w:cstheme="majorBidi"/>
          <w:lang w:eastAsia="en-US"/>
        </w:rPr>
        <w:t>niversāl</w:t>
      </w:r>
      <w:r w:rsidR="004B5BD2">
        <w:rPr>
          <w:rFonts w:asciiTheme="majorBidi" w:eastAsiaTheme="minorHAnsi" w:hAnsiTheme="majorBidi" w:cstheme="majorBidi"/>
          <w:lang w:eastAsia="en-US"/>
        </w:rPr>
        <w:t>ā</w:t>
      </w:r>
      <w:r w:rsidR="004B5BD2" w:rsidRPr="004B5BD2">
        <w:rPr>
          <w:rFonts w:asciiTheme="majorBidi" w:eastAsiaTheme="minorHAnsi" w:hAnsiTheme="majorBidi" w:cstheme="majorBidi"/>
          <w:lang w:eastAsia="en-US"/>
        </w:rPr>
        <w:t xml:space="preserve"> pakalpojum</w:t>
      </w:r>
      <w:r w:rsidR="004B5BD2">
        <w:rPr>
          <w:rFonts w:asciiTheme="majorBidi" w:eastAsiaTheme="minorHAnsi" w:hAnsiTheme="majorBidi" w:cstheme="majorBidi"/>
          <w:lang w:eastAsia="en-US"/>
        </w:rPr>
        <w:t>a</w:t>
      </w:r>
      <w:r w:rsidR="004B5BD2" w:rsidRPr="004B5BD2">
        <w:rPr>
          <w:rFonts w:asciiTheme="majorBidi" w:eastAsiaTheme="minorHAnsi" w:hAnsiTheme="majorBidi" w:cstheme="majorBidi"/>
          <w:lang w:eastAsia="en-US"/>
        </w:rPr>
        <w:t xml:space="preserve"> direktīva</w:t>
      </w:r>
      <w:r w:rsidR="008A35F7">
        <w:rPr>
          <w:rFonts w:asciiTheme="majorBidi" w:eastAsiaTheme="minorHAnsi" w:hAnsiTheme="majorBidi" w:cstheme="majorBidi"/>
          <w:lang w:eastAsia="en-US"/>
        </w:rPr>
        <w:t xml:space="preserve">) </w:t>
      </w:r>
      <w:r w:rsidR="004B5BD2">
        <w:rPr>
          <w:rFonts w:asciiTheme="majorBidi" w:eastAsiaTheme="minorHAnsi" w:hAnsiTheme="majorBidi" w:cstheme="majorBidi"/>
          <w:lang w:eastAsia="en-US"/>
        </w:rPr>
        <w:t xml:space="preserve">20.panta </w:t>
      </w:r>
      <w:r w:rsidR="004B5BD2" w:rsidRPr="00527C44">
        <w:rPr>
          <w:rFonts w:asciiTheme="majorBidi" w:eastAsiaTheme="minorHAnsi" w:hAnsiTheme="majorBidi" w:cstheme="majorBidi"/>
          <w:color w:val="000000" w:themeColor="text1"/>
          <w:lang w:eastAsia="en-US"/>
        </w:rPr>
        <w:t xml:space="preserve">3.punkts </w:t>
      </w:r>
      <w:r w:rsidR="000F05D2">
        <w:rPr>
          <w:rFonts w:asciiTheme="majorBidi" w:eastAsiaTheme="minorHAnsi" w:hAnsiTheme="majorBidi" w:cstheme="majorBidi"/>
          <w:lang w:eastAsia="en-US"/>
        </w:rPr>
        <w:t>kā</w:t>
      </w:r>
      <w:r w:rsidR="00AB3D0B">
        <w:rPr>
          <w:rFonts w:asciiTheme="majorBidi" w:eastAsiaTheme="minorHAnsi" w:hAnsiTheme="majorBidi" w:cstheme="majorBidi"/>
          <w:lang w:eastAsia="en-US"/>
        </w:rPr>
        <w:t xml:space="preserve"> </w:t>
      </w:r>
      <w:r w:rsidR="00336381">
        <w:rPr>
          <w:rFonts w:asciiTheme="majorBidi" w:eastAsiaTheme="minorHAnsi" w:hAnsiTheme="majorBidi" w:cstheme="majorBidi"/>
          <w:lang w:eastAsia="en-US"/>
        </w:rPr>
        <w:t xml:space="preserve">speciālā tiesību norma </w:t>
      </w:r>
      <w:r w:rsidR="004B4C95">
        <w:rPr>
          <w:rFonts w:asciiTheme="majorBidi" w:eastAsiaTheme="minorHAnsi" w:hAnsiTheme="majorBidi" w:cstheme="majorBidi"/>
          <w:lang w:eastAsia="en-US"/>
        </w:rPr>
        <w:t>(</w:t>
      </w:r>
      <w:r w:rsidR="00C1628E">
        <w:rPr>
          <w:rFonts w:asciiTheme="majorBidi" w:eastAsiaTheme="minorHAnsi" w:hAnsiTheme="majorBidi" w:cstheme="majorBidi"/>
          <w:i/>
          <w:iCs/>
          <w:lang w:eastAsia="en-US"/>
        </w:rPr>
        <w:t>acīmredzot domāts</w:t>
      </w:r>
      <w:r w:rsidR="004B4C95" w:rsidRPr="004B4C95">
        <w:rPr>
          <w:rFonts w:asciiTheme="majorBidi" w:eastAsiaTheme="minorHAnsi" w:hAnsiTheme="majorBidi" w:cstheme="majorBidi"/>
          <w:i/>
          <w:iCs/>
          <w:lang w:eastAsia="en-US"/>
        </w:rPr>
        <w:t xml:space="preserve"> 3.punkts</w:t>
      </w:r>
      <w:r w:rsidR="004B4C95">
        <w:rPr>
          <w:rFonts w:asciiTheme="majorBidi" w:eastAsiaTheme="minorHAnsi" w:hAnsiTheme="majorBidi" w:cstheme="majorBidi"/>
          <w:lang w:eastAsia="en-US"/>
        </w:rPr>
        <w:t>)</w:t>
      </w:r>
      <w:r w:rsidR="001B06A5" w:rsidRPr="008A35F7">
        <w:rPr>
          <w:rFonts w:asciiTheme="majorBidi" w:eastAsiaTheme="minorHAnsi" w:hAnsiTheme="majorBidi" w:cstheme="majorBidi"/>
          <w:lang w:eastAsia="en-US"/>
        </w:rPr>
        <w:t>.</w:t>
      </w:r>
      <w:r w:rsidR="000F05D2">
        <w:rPr>
          <w:rFonts w:asciiTheme="majorBidi" w:eastAsiaTheme="minorHAnsi" w:hAnsiTheme="majorBidi" w:cstheme="majorBidi"/>
          <w:lang w:eastAsia="en-US"/>
        </w:rPr>
        <w:t xml:space="preserve"> </w:t>
      </w:r>
      <w:r w:rsidR="005952AB">
        <w:rPr>
          <w:rFonts w:asciiTheme="majorBidi" w:eastAsiaTheme="minorHAnsi" w:hAnsiTheme="majorBidi" w:cstheme="majorBidi"/>
          <w:lang w:eastAsia="en-US"/>
        </w:rPr>
        <w:t>Pieteicējas ieskatā, a</w:t>
      </w:r>
      <w:r w:rsidR="000F05D2" w:rsidRPr="0037259B">
        <w:t xml:space="preserve">tbilstoši </w:t>
      </w:r>
      <w:r w:rsidR="000F05D2" w:rsidRPr="000F05D2">
        <w:t>Eiropas Savienības likumdevēja nodomam</w:t>
      </w:r>
      <w:r w:rsidR="001B06A5">
        <w:t xml:space="preserve"> nevar </w:t>
      </w:r>
      <w:r w:rsidR="000F05D2" w:rsidRPr="000F05D2">
        <w:t xml:space="preserve">piemērot vieniem un tiem pašiem faktiem </w:t>
      </w:r>
      <w:r w:rsidR="001B06A5">
        <w:rPr>
          <w:rFonts w:asciiTheme="majorBidi" w:eastAsiaTheme="minorHAnsi" w:hAnsiTheme="majorBidi" w:cstheme="majorBidi"/>
          <w:lang w:eastAsia="en-US"/>
        </w:rPr>
        <w:t>U</w:t>
      </w:r>
      <w:r w:rsidR="001B06A5" w:rsidRPr="004B5BD2">
        <w:rPr>
          <w:rFonts w:asciiTheme="majorBidi" w:eastAsiaTheme="minorHAnsi" w:hAnsiTheme="majorBidi" w:cstheme="majorBidi"/>
          <w:lang w:eastAsia="en-US"/>
        </w:rPr>
        <w:t>niversāl</w:t>
      </w:r>
      <w:r w:rsidR="001B06A5">
        <w:rPr>
          <w:rFonts w:asciiTheme="majorBidi" w:eastAsiaTheme="minorHAnsi" w:hAnsiTheme="majorBidi" w:cstheme="majorBidi"/>
          <w:lang w:eastAsia="en-US"/>
        </w:rPr>
        <w:t>ā</w:t>
      </w:r>
      <w:r w:rsidR="001B06A5" w:rsidRPr="004B5BD2">
        <w:rPr>
          <w:rFonts w:asciiTheme="majorBidi" w:eastAsiaTheme="minorHAnsi" w:hAnsiTheme="majorBidi" w:cstheme="majorBidi"/>
          <w:lang w:eastAsia="en-US"/>
        </w:rPr>
        <w:t xml:space="preserve"> pakalpojum</w:t>
      </w:r>
      <w:r w:rsidR="001B06A5">
        <w:rPr>
          <w:rFonts w:asciiTheme="majorBidi" w:eastAsiaTheme="minorHAnsi" w:hAnsiTheme="majorBidi" w:cstheme="majorBidi"/>
          <w:lang w:eastAsia="en-US"/>
        </w:rPr>
        <w:t>a</w:t>
      </w:r>
      <w:r w:rsidR="001B06A5" w:rsidRPr="004B5BD2">
        <w:rPr>
          <w:rFonts w:asciiTheme="majorBidi" w:eastAsiaTheme="minorHAnsi" w:hAnsiTheme="majorBidi" w:cstheme="majorBidi"/>
          <w:lang w:eastAsia="en-US"/>
        </w:rPr>
        <w:t xml:space="preserve"> direktīv</w:t>
      </w:r>
      <w:r w:rsidR="001B06A5">
        <w:rPr>
          <w:rFonts w:asciiTheme="majorBidi" w:eastAsiaTheme="minorHAnsi" w:hAnsiTheme="majorBidi" w:cstheme="majorBidi"/>
          <w:lang w:eastAsia="en-US"/>
        </w:rPr>
        <w:t xml:space="preserve">u un </w:t>
      </w:r>
      <w:r w:rsidR="000F05D2" w:rsidRPr="000F05D2">
        <w:t xml:space="preserve">Eiropas Parlamenta un Padomes </w:t>
      </w:r>
      <w:r w:rsidR="00D7334E">
        <w:t xml:space="preserve">2005.gada 11.maija </w:t>
      </w:r>
      <w:r w:rsidR="00D7334E" w:rsidRPr="00D7334E">
        <w:t>d</w:t>
      </w:r>
      <w:r w:rsidR="000F05D2" w:rsidRPr="00D7334E">
        <w:t>irektīvu 2005/29/EK,</w:t>
      </w:r>
      <w:r w:rsidR="000F05D2" w:rsidRPr="000F05D2">
        <w:t xml:space="preserve"> kas attiecas uz uzņēmēju negodīgu komercpraksi iekšējā tirgū attiecībā pret patērētājiem un ar ko groza Padomes Direktīvu 84/450/EEK un Eiropas Parlamenta un Padomes Direktīvas 97/7/EK, 98/27/EK un 2002/65/EK un Eiropas Parlamenta un Padomes Regulu (EK) Nr.</w:t>
      </w:r>
      <w:r w:rsidR="00D7334E">
        <w:t> </w:t>
      </w:r>
      <w:r w:rsidR="000F05D2" w:rsidRPr="000F05D2">
        <w:t>2006/2004 (turpmāk – Negodīgas komercprakses direktīv</w:t>
      </w:r>
      <w:r w:rsidR="00ED77FB">
        <w:t>a</w:t>
      </w:r>
      <w:r w:rsidR="000F05D2" w:rsidRPr="000F05D2">
        <w:t>)</w:t>
      </w:r>
      <w:r w:rsidR="00F1312F">
        <w:t>,</w:t>
      </w:r>
      <w:r w:rsidR="000F05D2" w:rsidRPr="000F05D2">
        <w:t xml:space="preserve"> </w:t>
      </w:r>
      <w:r w:rsidR="002B0BB1">
        <w:t xml:space="preserve">Padomes </w:t>
      </w:r>
      <w:r w:rsidR="00D7334E">
        <w:t xml:space="preserve">1993.gada 5.aprīļa </w:t>
      </w:r>
      <w:r w:rsidR="00D7334E" w:rsidRPr="00D7334E">
        <w:t>d</w:t>
      </w:r>
      <w:r w:rsidR="002B0BB1" w:rsidRPr="00D7334E">
        <w:t>irektīvu 93/13/EEK</w:t>
      </w:r>
      <w:r w:rsidR="002B0BB1">
        <w:t xml:space="preserve"> </w:t>
      </w:r>
      <w:r w:rsidR="00D7334E">
        <w:t xml:space="preserve">par </w:t>
      </w:r>
      <w:r w:rsidR="002B0BB1">
        <w:t>negodīgiem noteikumiem patērētāju līgumos (turpmāk –</w:t>
      </w:r>
      <w:r w:rsidR="00004ED9">
        <w:t xml:space="preserve"> </w:t>
      </w:r>
      <w:r w:rsidR="00F1312F">
        <w:t>direktīva</w:t>
      </w:r>
      <w:r w:rsidR="00004ED9">
        <w:t xml:space="preserve"> 93/13</w:t>
      </w:r>
      <w:r w:rsidR="00F1312F">
        <w:t xml:space="preserve">), kā arī attiecīgi Negodīgas komercprakses aizlieguma likumu un </w:t>
      </w:r>
      <w:r w:rsidR="000F05D2">
        <w:t>Patērētāju tiesību aizsardzības likumu</w:t>
      </w:r>
      <w:r w:rsidR="00F1312F">
        <w:t>.</w:t>
      </w:r>
    </w:p>
    <w:p w14:paraId="1CC414A7" w14:textId="1AF4931B" w:rsidR="00941BF8" w:rsidRPr="00336381" w:rsidRDefault="00454AF1" w:rsidP="00AB14AB">
      <w:pPr>
        <w:pStyle w:val="Default"/>
        <w:spacing w:line="276" w:lineRule="auto"/>
        <w:ind w:firstLine="567"/>
        <w:jc w:val="both"/>
        <w:rPr>
          <w:rFonts w:asciiTheme="majorBidi" w:hAnsiTheme="majorBidi" w:cstheme="majorBidi"/>
        </w:rPr>
      </w:pPr>
      <w:r w:rsidRPr="00941BF8">
        <w:rPr>
          <w:rFonts w:asciiTheme="majorBidi" w:hAnsiTheme="majorBidi" w:cstheme="majorBidi"/>
        </w:rPr>
        <w:t xml:space="preserve">Pieteicēja </w:t>
      </w:r>
      <w:r w:rsidR="005952AB" w:rsidRPr="00941BF8">
        <w:rPr>
          <w:rFonts w:asciiTheme="majorBidi" w:hAnsiTheme="majorBidi" w:cstheme="majorBidi"/>
        </w:rPr>
        <w:t>uzskata</w:t>
      </w:r>
      <w:r w:rsidRPr="00941BF8">
        <w:rPr>
          <w:rFonts w:asciiTheme="majorBidi" w:hAnsiTheme="majorBidi" w:cstheme="majorBidi"/>
        </w:rPr>
        <w:t>,</w:t>
      </w:r>
      <w:r w:rsidR="005952AB" w:rsidRPr="00941BF8">
        <w:rPr>
          <w:rFonts w:asciiTheme="majorBidi" w:hAnsiTheme="majorBidi" w:cstheme="majorBidi"/>
        </w:rPr>
        <w:t xml:space="preserve"> ka,</w:t>
      </w:r>
      <w:r w:rsidRPr="00941BF8">
        <w:rPr>
          <w:rFonts w:asciiTheme="majorBidi" w:hAnsiTheme="majorBidi" w:cstheme="majorBidi"/>
        </w:rPr>
        <w:t xml:space="preserve"> piemērojot tiesību normas elektronisko sakaru</w:t>
      </w:r>
      <w:r w:rsidR="00242986">
        <w:rPr>
          <w:rFonts w:asciiTheme="majorBidi" w:hAnsiTheme="majorBidi" w:cstheme="majorBidi"/>
        </w:rPr>
        <w:t xml:space="preserve"> pakalpojumu</w:t>
      </w:r>
      <w:r w:rsidRPr="00941BF8">
        <w:rPr>
          <w:rFonts w:asciiTheme="majorBidi" w:hAnsiTheme="majorBidi" w:cstheme="majorBidi"/>
        </w:rPr>
        <w:t xml:space="preserve"> jomā, tās nevar interpretēt tā, ka patērētājiem tiek piemērots augstāks aizsardzības līmenis nekā tas noteikts Universālā pakalpojuma </w:t>
      </w:r>
      <w:r w:rsidRPr="00527C44">
        <w:rPr>
          <w:rFonts w:asciiTheme="majorBidi" w:hAnsiTheme="majorBidi" w:cstheme="majorBidi"/>
          <w:color w:val="000000" w:themeColor="text1"/>
        </w:rPr>
        <w:t xml:space="preserve">direktīvas </w:t>
      </w:r>
      <w:proofErr w:type="gramStart"/>
      <w:r w:rsidRPr="00527C44">
        <w:rPr>
          <w:rFonts w:asciiTheme="majorBidi" w:hAnsiTheme="majorBidi" w:cstheme="majorBidi"/>
          <w:color w:val="000000" w:themeColor="text1"/>
        </w:rPr>
        <w:t>20.panta</w:t>
      </w:r>
      <w:proofErr w:type="gramEnd"/>
      <w:r w:rsidRPr="00527C44">
        <w:rPr>
          <w:rFonts w:asciiTheme="majorBidi" w:hAnsiTheme="majorBidi" w:cstheme="majorBidi"/>
          <w:color w:val="000000" w:themeColor="text1"/>
        </w:rPr>
        <w:t xml:space="preserve"> 2.</w:t>
      </w:r>
      <w:r w:rsidR="00527C44">
        <w:rPr>
          <w:rFonts w:asciiTheme="majorBidi" w:hAnsiTheme="majorBidi" w:cstheme="majorBidi"/>
          <w:color w:val="000000" w:themeColor="text1"/>
        </w:rPr>
        <w:t>punktā</w:t>
      </w:r>
      <w:r w:rsidRPr="00941BF8">
        <w:rPr>
          <w:rFonts w:asciiTheme="majorBidi" w:hAnsiTheme="majorBidi" w:cstheme="majorBidi"/>
        </w:rPr>
        <w:t>, kas bija spēkā pārsūdzētā lēmuma pieņemšanas laikā</w:t>
      </w:r>
      <w:r w:rsidR="005952AB" w:rsidRPr="00941BF8">
        <w:rPr>
          <w:rFonts w:asciiTheme="majorBidi" w:hAnsiTheme="majorBidi" w:cstheme="majorBidi"/>
        </w:rPr>
        <w:t>,</w:t>
      </w:r>
      <w:r w:rsidRPr="00941BF8">
        <w:rPr>
          <w:rFonts w:asciiTheme="majorBidi" w:hAnsiTheme="majorBidi" w:cstheme="majorBidi"/>
        </w:rPr>
        <w:t xml:space="preserve"> un Eiropas Parlamenta un Padomes</w:t>
      </w:r>
      <w:r w:rsidR="00527C44">
        <w:rPr>
          <w:rFonts w:asciiTheme="majorBidi" w:hAnsiTheme="majorBidi" w:cstheme="majorBidi"/>
        </w:rPr>
        <w:t xml:space="preserve"> 2018.gada 11.decembra</w:t>
      </w:r>
      <w:r w:rsidRPr="00941BF8">
        <w:rPr>
          <w:rFonts w:asciiTheme="majorBidi" w:hAnsiTheme="majorBidi" w:cstheme="majorBidi"/>
        </w:rPr>
        <w:t xml:space="preserve"> </w:t>
      </w:r>
      <w:r w:rsidR="00527C44">
        <w:rPr>
          <w:rFonts w:asciiTheme="majorBidi" w:hAnsiTheme="majorBidi" w:cstheme="majorBidi"/>
        </w:rPr>
        <w:t>d</w:t>
      </w:r>
      <w:r w:rsidRPr="00941BF8">
        <w:rPr>
          <w:rFonts w:asciiTheme="majorBidi" w:hAnsiTheme="majorBidi" w:cstheme="majorBidi"/>
        </w:rPr>
        <w:t>irektīv</w:t>
      </w:r>
      <w:r w:rsidR="007F1E74" w:rsidRPr="00941BF8">
        <w:rPr>
          <w:rFonts w:asciiTheme="majorBidi" w:hAnsiTheme="majorBidi" w:cstheme="majorBidi"/>
        </w:rPr>
        <w:t>as</w:t>
      </w:r>
      <w:r w:rsidRPr="00941BF8">
        <w:rPr>
          <w:rFonts w:asciiTheme="majorBidi" w:hAnsiTheme="majorBidi" w:cstheme="majorBidi"/>
        </w:rPr>
        <w:t xml:space="preserve"> (ES) </w:t>
      </w:r>
      <w:r w:rsidRPr="006537E3">
        <w:rPr>
          <w:rFonts w:asciiTheme="majorBidi" w:hAnsiTheme="majorBidi" w:cstheme="majorBidi"/>
        </w:rPr>
        <w:t>2018/1972</w:t>
      </w:r>
      <w:r w:rsidRPr="00941BF8">
        <w:rPr>
          <w:rFonts w:asciiTheme="majorBidi" w:hAnsiTheme="majorBidi" w:cstheme="majorBidi"/>
        </w:rPr>
        <w:t xml:space="preserve"> par Eiropas Elektronisko sakaru kodeksa izveidi (turpmāk – Eiropas Elektronisko sakaru kodekss)</w:t>
      </w:r>
      <w:r w:rsidR="007F1E74" w:rsidRPr="00941BF8">
        <w:rPr>
          <w:rFonts w:asciiTheme="majorBidi" w:hAnsiTheme="majorBidi" w:cstheme="majorBidi"/>
        </w:rPr>
        <w:t xml:space="preserve"> 105.panta 4.punktā</w:t>
      </w:r>
      <w:r w:rsidRPr="00941BF8">
        <w:rPr>
          <w:rFonts w:asciiTheme="majorBidi" w:hAnsiTheme="majorBidi" w:cstheme="majorBidi"/>
        </w:rPr>
        <w:t>, kas ir spēkā šobrīd</w:t>
      </w:r>
      <w:r w:rsidR="005952AB" w:rsidRPr="00941BF8">
        <w:rPr>
          <w:rFonts w:asciiTheme="majorBidi" w:hAnsiTheme="majorBidi" w:cstheme="majorBidi"/>
        </w:rPr>
        <w:t xml:space="preserve">, jo </w:t>
      </w:r>
      <w:r w:rsidR="00941BF8" w:rsidRPr="00941BF8">
        <w:rPr>
          <w:rFonts w:asciiTheme="majorBidi" w:hAnsiTheme="majorBidi" w:cstheme="majorBidi"/>
        </w:rPr>
        <w:t xml:space="preserve">patērētāju tiesību nepieciešamais aizsardzības līmenis jau ir iestrādāts </w:t>
      </w:r>
      <w:r w:rsidR="00941BF8">
        <w:rPr>
          <w:rFonts w:asciiTheme="majorBidi" w:hAnsiTheme="majorBidi" w:cstheme="majorBidi"/>
        </w:rPr>
        <w:t xml:space="preserve">minētajās </w:t>
      </w:r>
      <w:r w:rsidR="00941BF8" w:rsidRPr="00941BF8">
        <w:rPr>
          <w:rFonts w:asciiTheme="majorBidi" w:hAnsiTheme="majorBidi" w:cstheme="majorBidi"/>
        </w:rPr>
        <w:t>Universāl</w:t>
      </w:r>
      <w:r w:rsidR="00941BF8">
        <w:rPr>
          <w:rFonts w:asciiTheme="majorBidi" w:hAnsiTheme="majorBidi" w:cstheme="majorBidi"/>
        </w:rPr>
        <w:t>ā</w:t>
      </w:r>
      <w:r w:rsidR="00941BF8" w:rsidRPr="00941BF8">
        <w:rPr>
          <w:rFonts w:asciiTheme="majorBidi" w:hAnsiTheme="majorBidi" w:cstheme="majorBidi"/>
        </w:rPr>
        <w:t xml:space="preserve"> pakalpojuma </w:t>
      </w:r>
      <w:r w:rsidR="00941BF8" w:rsidRPr="00336381">
        <w:rPr>
          <w:rFonts w:asciiTheme="majorBidi" w:hAnsiTheme="majorBidi" w:cstheme="majorBidi"/>
        </w:rPr>
        <w:t>direktīvas</w:t>
      </w:r>
      <w:r w:rsidR="00336381">
        <w:rPr>
          <w:rFonts w:asciiTheme="majorBidi" w:hAnsiTheme="majorBidi" w:cstheme="majorBidi"/>
        </w:rPr>
        <w:t xml:space="preserve"> </w:t>
      </w:r>
      <w:r w:rsidR="00941BF8" w:rsidRPr="00336381">
        <w:rPr>
          <w:rFonts w:asciiTheme="majorBidi" w:hAnsiTheme="majorBidi" w:cstheme="majorBidi"/>
        </w:rPr>
        <w:t>un Eiropas Elektronisko sakaru kodeksa normās.</w:t>
      </w:r>
    </w:p>
    <w:p w14:paraId="71D7EA66" w14:textId="21D2D01B" w:rsidR="00F1312F" w:rsidRPr="002E23ED" w:rsidRDefault="005952AB" w:rsidP="00AB14AB">
      <w:pPr>
        <w:spacing w:line="276" w:lineRule="auto"/>
        <w:ind w:firstLine="567"/>
        <w:jc w:val="both"/>
        <w:rPr>
          <w:rFonts w:asciiTheme="majorBidi" w:hAnsiTheme="majorBidi" w:cstheme="majorBidi"/>
        </w:rPr>
      </w:pPr>
      <w:r w:rsidRPr="002E23ED">
        <w:rPr>
          <w:rFonts w:asciiTheme="majorBidi" w:hAnsiTheme="majorBidi" w:cstheme="majorBidi"/>
        </w:rPr>
        <w:t>Senatoru kolēģija atzīst, ka pieteicējas argumenti nav pamatoti.</w:t>
      </w:r>
    </w:p>
    <w:p w14:paraId="5FC61293" w14:textId="01F8D85E" w:rsidR="009B3691" w:rsidRPr="00AA4238" w:rsidRDefault="005952AB" w:rsidP="00AB14AB">
      <w:pPr>
        <w:spacing w:line="276" w:lineRule="auto"/>
        <w:ind w:firstLine="567"/>
        <w:jc w:val="both"/>
        <w:rPr>
          <w:rFonts w:asciiTheme="majorBidi" w:eastAsiaTheme="minorHAnsi" w:hAnsiTheme="majorBidi" w:cstheme="majorBidi"/>
          <w:lang w:eastAsia="en-US"/>
        </w:rPr>
      </w:pPr>
      <w:r w:rsidRPr="002E23ED">
        <w:rPr>
          <w:rFonts w:asciiTheme="majorBidi" w:hAnsiTheme="majorBidi" w:cstheme="majorBidi"/>
        </w:rPr>
        <w:t xml:space="preserve">Pirmkārt, Universālā pakalpojuma direktīvas </w:t>
      </w:r>
      <w:proofErr w:type="gramStart"/>
      <w:r w:rsidR="00527C44">
        <w:rPr>
          <w:rFonts w:asciiTheme="majorBidi" w:hAnsiTheme="majorBidi" w:cstheme="majorBidi"/>
        </w:rPr>
        <w:t>1</w:t>
      </w:r>
      <w:r w:rsidRPr="002E23ED">
        <w:rPr>
          <w:rFonts w:asciiTheme="majorBidi" w:hAnsiTheme="majorBidi" w:cstheme="majorBidi"/>
        </w:rPr>
        <w:t>.panta</w:t>
      </w:r>
      <w:proofErr w:type="gramEnd"/>
      <w:r w:rsidRPr="002E23ED">
        <w:rPr>
          <w:rFonts w:asciiTheme="majorBidi" w:hAnsiTheme="majorBidi" w:cstheme="majorBidi"/>
        </w:rPr>
        <w:t xml:space="preserve"> </w:t>
      </w:r>
      <w:r w:rsidR="00527C44">
        <w:rPr>
          <w:rFonts w:asciiTheme="majorBidi" w:hAnsiTheme="majorBidi" w:cstheme="majorBidi"/>
        </w:rPr>
        <w:t>4</w:t>
      </w:r>
      <w:r w:rsidRPr="002E23ED">
        <w:rPr>
          <w:rFonts w:asciiTheme="majorBidi" w:hAnsiTheme="majorBidi" w:cstheme="majorBidi"/>
        </w:rPr>
        <w:t xml:space="preserve">.punkts </w:t>
      </w:r>
      <w:r w:rsidR="00D9323E">
        <w:rPr>
          <w:rFonts w:asciiTheme="majorBidi" w:hAnsiTheme="majorBidi" w:cstheme="majorBidi"/>
        </w:rPr>
        <w:t>nosaka, ka šajā direktīvā iekļautie noteikumi tiek piemēroti, neskarot</w:t>
      </w:r>
      <w:r w:rsidRPr="002E23ED">
        <w:rPr>
          <w:rFonts w:asciiTheme="majorBidi" w:hAnsiTheme="majorBidi" w:cstheme="majorBidi"/>
        </w:rPr>
        <w:t xml:space="preserve"> </w:t>
      </w:r>
      <w:r w:rsidR="00D9323E">
        <w:rPr>
          <w:rFonts w:asciiTheme="majorBidi" w:hAnsiTheme="majorBidi" w:cstheme="majorBidi"/>
        </w:rPr>
        <w:t xml:space="preserve">Kopienas </w:t>
      </w:r>
      <w:r w:rsidRPr="002E23ED">
        <w:rPr>
          <w:rFonts w:asciiTheme="majorBidi" w:hAnsiTheme="majorBidi" w:cstheme="majorBidi"/>
        </w:rPr>
        <w:t>noteikumus par patērētāju aizsardzību, jo īpaši direktīvu</w:t>
      </w:r>
      <w:r w:rsidR="00004ED9">
        <w:rPr>
          <w:rFonts w:asciiTheme="majorBidi" w:hAnsiTheme="majorBidi" w:cstheme="majorBidi"/>
        </w:rPr>
        <w:t xml:space="preserve"> 93/13</w:t>
      </w:r>
      <w:r w:rsidR="00527C44">
        <w:rPr>
          <w:rFonts w:asciiTheme="majorBidi" w:hAnsiTheme="majorBidi" w:cstheme="majorBidi"/>
        </w:rPr>
        <w:t xml:space="preserve"> un </w:t>
      </w:r>
      <w:r w:rsidR="00527C44" w:rsidRPr="002E23ED">
        <w:rPr>
          <w:rFonts w:asciiTheme="majorBidi" w:hAnsiTheme="majorBidi" w:cstheme="majorBidi"/>
        </w:rPr>
        <w:t>Direktīvu 97/7/EK</w:t>
      </w:r>
      <w:r w:rsidR="00527C44">
        <w:rPr>
          <w:rFonts w:asciiTheme="majorBidi" w:hAnsiTheme="majorBidi" w:cstheme="majorBidi"/>
        </w:rPr>
        <w:t>, un valstu noteikumus, kas saskan ar Kopienas tiesību aktiem</w:t>
      </w:r>
      <w:r w:rsidR="001D39D9" w:rsidRPr="002E23ED">
        <w:rPr>
          <w:rFonts w:asciiTheme="majorBidi" w:hAnsiTheme="majorBidi" w:cstheme="majorBidi"/>
        </w:rPr>
        <w:t>.</w:t>
      </w:r>
      <w:r w:rsidR="0029162F">
        <w:rPr>
          <w:rFonts w:asciiTheme="majorBidi" w:hAnsiTheme="majorBidi" w:cstheme="majorBidi"/>
        </w:rPr>
        <w:t xml:space="preserve"> </w:t>
      </w:r>
      <w:r w:rsidR="009B3691" w:rsidRPr="002E23ED">
        <w:rPr>
          <w:rFonts w:asciiTheme="majorBidi" w:hAnsiTheme="majorBidi" w:cstheme="majorBidi"/>
        </w:rPr>
        <w:t>Apgabaltiesa</w:t>
      </w:r>
      <w:r w:rsidR="00527C44">
        <w:rPr>
          <w:rFonts w:asciiTheme="majorBidi" w:hAnsiTheme="majorBidi" w:cstheme="majorBidi"/>
        </w:rPr>
        <w:t>, lai arī atsaukusies uz Universālā pakalpojuma direktīvas senāku redakciju, tomēr</w:t>
      </w:r>
      <w:r w:rsidR="009B3691" w:rsidRPr="002E23ED">
        <w:rPr>
          <w:rFonts w:asciiTheme="majorBidi" w:hAnsiTheme="majorBidi" w:cstheme="majorBidi"/>
        </w:rPr>
        <w:t xml:space="preserve"> </w:t>
      </w:r>
      <w:r w:rsidR="00527C44">
        <w:rPr>
          <w:rFonts w:asciiTheme="majorBidi" w:hAnsiTheme="majorBidi" w:cstheme="majorBidi"/>
        </w:rPr>
        <w:t>pēc būtības ir pareizi</w:t>
      </w:r>
      <w:r w:rsidR="009B3691" w:rsidRPr="002E23ED">
        <w:rPr>
          <w:rFonts w:asciiTheme="majorBidi" w:hAnsiTheme="majorBidi" w:cstheme="majorBidi"/>
        </w:rPr>
        <w:t xml:space="preserve"> norādījusi, ka atbilstoši direktīvas </w:t>
      </w:r>
      <w:proofErr w:type="gramStart"/>
      <w:r w:rsidR="009B3691" w:rsidRPr="002E23ED">
        <w:rPr>
          <w:rFonts w:asciiTheme="majorBidi" w:hAnsiTheme="majorBidi" w:cstheme="majorBidi"/>
        </w:rPr>
        <w:t>20.pant</w:t>
      </w:r>
      <w:r w:rsidR="008D5316">
        <w:rPr>
          <w:rFonts w:asciiTheme="majorBidi" w:hAnsiTheme="majorBidi" w:cstheme="majorBidi"/>
        </w:rPr>
        <w:t>a</w:t>
      </w:r>
      <w:proofErr w:type="gramEnd"/>
      <w:r w:rsidR="0029162F">
        <w:rPr>
          <w:rFonts w:asciiTheme="majorBidi" w:hAnsiTheme="majorBidi" w:cstheme="majorBidi"/>
        </w:rPr>
        <w:t xml:space="preserve"> 2.punktam</w:t>
      </w:r>
      <w:r w:rsidR="009B3691" w:rsidRPr="002E23ED">
        <w:rPr>
          <w:rFonts w:asciiTheme="majorBidi" w:hAnsiTheme="majorBidi" w:cstheme="majorBidi"/>
        </w:rPr>
        <w:t xml:space="preserve"> </w:t>
      </w:r>
      <w:r w:rsidR="009B3691" w:rsidRPr="002E23ED">
        <w:rPr>
          <w:rFonts w:asciiTheme="majorBidi" w:eastAsiaTheme="minorHAnsi" w:hAnsiTheme="majorBidi" w:cstheme="majorBidi"/>
          <w:lang w:eastAsia="en-US"/>
        </w:rPr>
        <w:t>elektronisko sakaru pakalpojum</w:t>
      </w:r>
      <w:r w:rsidR="00242986">
        <w:rPr>
          <w:rFonts w:asciiTheme="majorBidi" w:eastAsiaTheme="minorHAnsi" w:hAnsiTheme="majorBidi" w:cstheme="majorBidi"/>
          <w:lang w:eastAsia="en-US"/>
        </w:rPr>
        <w:t>u</w:t>
      </w:r>
      <w:r w:rsidR="009B3691" w:rsidRPr="002E23ED">
        <w:rPr>
          <w:rFonts w:asciiTheme="majorBidi" w:eastAsiaTheme="minorHAnsi" w:hAnsiTheme="majorBidi" w:cstheme="majorBidi"/>
          <w:lang w:eastAsia="en-US"/>
        </w:rPr>
        <w:t xml:space="preserve"> sniedzējs ir tiesīgs</w:t>
      </w:r>
      <w:r w:rsidR="009B3691" w:rsidRPr="002E23ED">
        <w:rPr>
          <w:rFonts w:asciiTheme="majorBidi" w:hAnsiTheme="majorBidi" w:cstheme="majorBidi"/>
        </w:rPr>
        <w:t xml:space="preserve"> </w:t>
      </w:r>
      <w:r w:rsidR="009B3691" w:rsidRPr="002E23ED">
        <w:rPr>
          <w:rFonts w:asciiTheme="majorBidi" w:eastAsiaTheme="minorHAnsi" w:hAnsiTheme="majorBidi" w:cstheme="majorBidi"/>
          <w:lang w:eastAsia="en-US"/>
        </w:rPr>
        <w:t xml:space="preserve">izdarīt grozījumus abonenta līgumā ar nosacījumu, ka par šādiem grozījumiem savlaicīgi (ne vēlāk kā mēnesi pirms izmaiņām) </w:t>
      </w:r>
      <w:r w:rsidR="00E71E47">
        <w:rPr>
          <w:rFonts w:asciiTheme="majorBidi" w:eastAsiaTheme="minorHAnsi" w:hAnsiTheme="majorBidi" w:cstheme="majorBidi"/>
          <w:lang w:eastAsia="en-US"/>
        </w:rPr>
        <w:t xml:space="preserve">tiek </w:t>
      </w:r>
      <w:r w:rsidR="009B3691" w:rsidRPr="002E23ED">
        <w:rPr>
          <w:rFonts w:asciiTheme="majorBidi" w:eastAsiaTheme="minorHAnsi" w:hAnsiTheme="majorBidi" w:cstheme="majorBidi"/>
          <w:lang w:eastAsia="en-US"/>
        </w:rPr>
        <w:t>informē</w:t>
      </w:r>
      <w:r w:rsidR="00E71E47">
        <w:rPr>
          <w:rFonts w:asciiTheme="majorBidi" w:eastAsiaTheme="minorHAnsi" w:hAnsiTheme="majorBidi" w:cstheme="majorBidi"/>
          <w:lang w:eastAsia="en-US"/>
        </w:rPr>
        <w:t>ti</w:t>
      </w:r>
      <w:r w:rsidR="009B3691" w:rsidRPr="002E23ED">
        <w:rPr>
          <w:rFonts w:asciiTheme="majorBidi" w:eastAsiaTheme="minorHAnsi" w:hAnsiTheme="majorBidi" w:cstheme="majorBidi"/>
          <w:lang w:eastAsia="en-US"/>
        </w:rPr>
        <w:t xml:space="preserve"> abonenti, informējot arī</w:t>
      </w:r>
      <w:r w:rsidR="002E23ED" w:rsidRPr="002E23ED">
        <w:rPr>
          <w:rFonts w:asciiTheme="majorBidi" w:hAnsiTheme="majorBidi" w:cstheme="majorBidi"/>
        </w:rPr>
        <w:t xml:space="preserve"> </w:t>
      </w:r>
      <w:r w:rsidR="009B3691" w:rsidRPr="002E23ED">
        <w:rPr>
          <w:rFonts w:asciiTheme="majorBidi" w:eastAsiaTheme="minorHAnsi" w:hAnsiTheme="majorBidi" w:cstheme="majorBidi"/>
          <w:lang w:eastAsia="en-US"/>
        </w:rPr>
        <w:t xml:space="preserve">par to, ka abonentam ir tiesības </w:t>
      </w:r>
      <w:r w:rsidR="00F90317">
        <w:rPr>
          <w:rFonts w:asciiTheme="majorBidi" w:eastAsiaTheme="minorHAnsi" w:hAnsiTheme="majorBidi" w:cstheme="majorBidi"/>
          <w:lang w:eastAsia="en-US"/>
        </w:rPr>
        <w:t>izbeigt</w:t>
      </w:r>
      <w:r w:rsidR="009B3691" w:rsidRPr="002E23ED">
        <w:rPr>
          <w:rFonts w:asciiTheme="majorBidi" w:eastAsiaTheme="minorHAnsi" w:hAnsiTheme="majorBidi" w:cstheme="majorBidi"/>
          <w:lang w:eastAsia="en-US"/>
        </w:rPr>
        <w:t xml:space="preserve"> līgumu bez soda </w:t>
      </w:r>
      <w:r w:rsidR="009B3691" w:rsidRPr="002E23ED">
        <w:rPr>
          <w:rFonts w:asciiTheme="majorBidi" w:eastAsiaTheme="minorHAnsi" w:hAnsiTheme="majorBidi" w:cstheme="majorBidi"/>
          <w:lang w:eastAsia="en-US"/>
        </w:rPr>
        <w:lastRenderedPageBreak/>
        <w:t xml:space="preserve">piemērošanas. </w:t>
      </w:r>
      <w:r w:rsidR="00AA4238">
        <w:rPr>
          <w:rFonts w:asciiTheme="majorBidi" w:eastAsiaTheme="minorHAnsi" w:hAnsiTheme="majorBidi" w:cstheme="majorBidi"/>
          <w:lang w:eastAsia="en-US"/>
        </w:rPr>
        <w:t>Tādējādi</w:t>
      </w:r>
      <w:r w:rsidR="002E23ED" w:rsidRPr="002E23ED">
        <w:rPr>
          <w:rFonts w:asciiTheme="majorBidi" w:hAnsiTheme="majorBidi" w:cstheme="majorBidi"/>
        </w:rPr>
        <w:t xml:space="preserve"> </w:t>
      </w:r>
      <w:r w:rsidR="009B3691" w:rsidRPr="002E23ED">
        <w:rPr>
          <w:rFonts w:asciiTheme="majorBidi" w:eastAsiaTheme="minorHAnsi" w:hAnsiTheme="majorBidi" w:cstheme="majorBidi"/>
          <w:lang w:eastAsia="en-US"/>
        </w:rPr>
        <w:t>minētais tiesiskais regulējums noteic, ka</w:t>
      </w:r>
      <w:r w:rsidR="00242986">
        <w:rPr>
          <w:rFonts w:asciiTheme="majorBidi" w:eastAsiaTheme="minorHAnsi" w:hAnsiTheme="majorBidi" w:cstheme="majorBidi"/>
          <w:lang w:eastAsia="en-US"/>
        </w:rPr>
        <w:t>,</w:t>
      </w:r>
      <w:r w:rsidR="009B3691" w:rsidRPr="002E23ED">
        <w:rPr>
          <w:rFonts w:asciiTheme="majorBidi" w:eastAsiaTheme="minorHAnsi" w:hAnsiTheme="majorBidi" w:cstheme="majorBidi"/>
          <w:lang w:eastAsia="en-US"/>
        </w:rPr>
        <w:t xml:space="preserve"> izdarot </w:t>
      </w:r>
      <w:r w:rsidR="00AA4238" w:rsidRPr="002E23ED">
        <w:rPr>
          <w:rFonts w:asciiTheme="majorBidi" w:eastAsiaTheme="minorHAnsi" w:hAnsiTheme="majorBidi" w:cstheme="majorBidi"/>
          <w:lang w:eastAsia="en-US"/>
        </w:rPr>
        <w:t>grozījumus abonenta līgumā</w:t>
      </w:r>
      <w:r w:rsidR="009B3691" w:rsidRPr="002E23ED">
        <w:rPr>
          <w:rFonts w:asciiTheme="majorBidi" w:eastAsiaTheme="minorHAnsi" w:hAnsiTheme="majorBidi" w:cstheme="majorBidi"/>
          <w:lang w:eastAsia="en-US"/>
        </w:rPr>
        <w:t>,</w:t>
      </w:r>
      <w:r w:rsidR="002E23ED" w:rsidRPr="002E23ED">
        <w:rPr>
          <w:rFonts w:asciiTheme="majorBidi" w:hAnsiTheme="majorBidi" w:cstheme="majorBidi"/>
        </w:rPr>
        <w:t xml:space="preserve"> </w:t>
      </w:r>
      <w:r w:rsidR="009B3691" w:rsidRPr="002E23ED">
        <w:rPr>
          <w:rFonts w:asciiTheme="majorBidi" w:eastAsiaTheme="minorHAnsi" w:hAnsiTheme="majorBidi" w:cstheme="majorBidi"/>
          <w:lang w:eastAsia="en-US"/>
        </w:rPr>
        <w:t>ir jāievēro</w:t>
      </w:r>
      <w:r w:rsidR="00242986">
        <w:rPr>
          <w:rFonts w:asciiTheme="majorBidi" w:eastAsiaTheme="minorHAnsi" w:hAnsiTheme="majorBidi" w:cstheme="majorBidi"/>
          <w:lang w:eastAsia="en-US"/>
        </w:rPr>
        <w:t xml:space="preserve"> </w:t>
      </w:r>
      <w:r w:rsidR="00242986" w:rsidRPr="002E23ED">
        <w:rPr>
          <w:rFonts w:asciiTheme="majorBidi" w:eastAsiaTheme="minorHAnsi" w:hAnsiTheme="majorBidi" w:cstheme="majorBidi"/>
          <w:lang w:eastAsia="en-US"/>
        </w:rPr>
        <w:t>patērētāju tiesības</w:t>
      </w:r>
      <w:r w:rsidR="00896D42">
        <w:rPr>
          <w:rFonts w:asciiTheme="majorBidi" w:eastAsiaTheme="minorHAnsi" w:hAnsiTheme="majorBidi" w:cstheme="majorBidi"/>
          <w:lang w:eastAsia="en-US"/>
        </w:rPr>
        <w:t>.</w:t>
      </w:r>
    </w:p>
    <w:p w14:paraId="5812F677" w14:textId="58E8B04D" w:rsidR="006A7879" w:rsidRPr="00896D42" w:rsidRDefault="00ED77FB" w:rsidP="00AB14AB">
      <w:pPr>
        <w:spacing w:line="276" w:lineRule="auto"/>
        <w:ind w:firstLine="567"/>
        <w:jc w:val="both"/>
        <w:rPr>
          <w:rFonts w:asciiTheme="majorBidi" w:hAnsiTheme="majorBidi" w:cstheme="majorBidi"/>
          <w:color w:val="000000" w:themeColor="text1"/>
        </w:rPr>
      </w:pPr>
      <w:r w:rsidRPr="00896D42">
        <w:rPr>
          <w:rFonts w:asciiTheme="majorBidi" w:hAnsiTheme="majorBidi" w:cstheme="majorBidi"/>
        </w:rPr>
        <w:t xml:space="preserve">Otrkārt, pieteicējas arguments ir pretrunā Eiropas Savienības Tiesas </w:t>
      </w:r>
      <w:r w:rsidR="00E766DA" w:rsidRPr="00896D42">
        <w:rPr>
          <w:rFonts w:asciiTheme="majorBidi" w:hAnsiTheme="majorBidi" w:cstheme="majorBidi"/>
        </w:rPr>
        <w:t>atzīt</w:t>
      </w:r>
      <w:r w:rsidR="00C27FDD" w:rsidRPr="00896D42">
        <w:rPr>
          <w:rFonts w:asciiTheme="majorBidi" w:hAnsiTheme="majorBidi" w:cstheme="majorBidi"/>
        </w:rPr>
        <w:t>ajam</w:t>
      </w:r>
      <w:r w:rsidR="00E766DA" w:rsidRPr="00896D42">
        <w:rPr>
          <w:rFonts w:asciiTheme="majorBidi" w:hAnsiTheme="majorBidi" w:cstheme="majorBidi"/>
        </w:rPr>
        <w:t xml:space="preserve"> </w:t>
      </w:r>
      <w:proofErr w:type="spellStart"/>
      <w:r w:rsidR="0001417E" w:rsidRPr="00896D42">
        <w:rPr>
          <w:rFonts w:asciiTheme="majorBidi" w:hAnsiTheme="majorBidi" w:cstheme="majorBidi"/>
          <w:i/>
          <w:iCs/>
          <w:color w:val="000000" w:themeColor="text1"/>
        </w:rPr>
        <w:t>Wind</w:t>
      </w:r>
      <w:proofErr w:type="spellEnd"/>
      <w:r w:rsidR="0001417E" w:rsidRPr="00896D42">
        <w:rPr>
          <w:rFonts w:asciiTheme="majorBidi" w:hAnsiTheme="majorBidi" w:cstheme="majorBidi"/>
          <w:i/>
          <w:iCs/>
          <w:color w:val="000000" w:themeColor="text1"/>
        </w:rPr>
        <w:t xml:space="preserve"> </w:t>
      </w:r>
      <w:proofErr w:type="spellStart"/>
      <w:r w:rsidR="0001417E" w:rsidRPr="00896D42">
        <w:rPr>
          <w:rFonts w:asciiTheme="majorBidi" w:hAnsiTheme="majorBidi" w:cstheme="majorBidi"/>
          <w:i/>
          <w:iCs/>
          <w:color w:val="000000" w:themeColor="text1"/>
        </w:rPr>
        <w:t>Tre</w:t>
      </w:r>
      <w:proofErr w:type="spellEnd"/>
      <w:proofErr w:type="gramStart"/>
      <w:r w:rsidR="0001417E" w:rsidRPr="00896D42">
        <w:rPr>
          <w:rFonts w:asciiTheme="majorBidi" w:hAnsiTheme="majorBidi" w:cstheme="majorBidi"/>
          <w:i/>
          <w:iCs/>
          <w:color w:val="000000" w:themeColor="text1"/>
        </w:rPr>
        <w:t xml:space="preserve"> un</w:t>
      </w:r>
      <w:proofErr w:type="gramEnd"/>
      <w:r w:rsidR="0001417E" w:rsidRPr="00896D42">
        <w:rPr>
          <w:rFonts w:asciiTheme="majorBidi" w:hAnsiTheme="majorBidi" w:cstheme="majorBidi"/>
          <w:i/>
          <w:iCs/>
          <w:color w:val="000000" w:themeColor="text1"/>
        </w:rPr>
        <w:t xml:space="preserve"> </w:t>
      </w:r>
      <w:r w:rsidR="0001417E" w:rsidRPr="00896D42">
        <w:rPr>
          <w:rFonts w:asciiTheme="majorBidi" w:hAnsiTheme="majorBidi" w:cstheme="majorBidi"/>
          <w:i/>
          <w:iCs/>
          <w:color w:val="000000"/>
        </w:rPr>
        <w:t xml:space="preserve">Vodafone </w:t>
      </w:r>
      <w:proofErr w:type="spellStart"/>
      <w:r w:rsidR="0001417E" w:rsidRPr="00896D42">
        <w:rPr>
          <w:rFonts w:asciiTheme="majorBidi" w:hAnsiTheme="majorBidi" w:cstheme="majorBidi"/>
          <w:i/>
          <w:iCs/>
          <w:color w:val="000000"/>
        </w:rPr>
        <w:t>Italia</w:t>
      </w:r>
      <w:proofErr w:type="spellEnd"/>
      <w:r w:rsidR="0001417E" w:rsidRPr="00896D42">
        <w:rPr>
          <w:rFonts w:asciiTheme="majorBidi" w:hAnsiTheme="majorBidi" w:cstheme="majorBidi"/>
        </w:rPr>
        <w:t xml:space="preserve"> </w:t>
      </w:r>
      <w:r w:rsidR="00E766DA" w:rsidRPr="00896D42">
        <w:rPr>
          <w:rFonts w:asciiTheme="majorBidi" w:hAnsiTheme="majorBidi" w:cstheme="majorBidi"/>
        </w:rPr>
        <w:t xml:space="preserve">lietā. Šajā lietā tiesa atzina, ka </w:t>
      </w:r>
      <w:r w:rsidR="008F4C33" w:rsidRPr="00896D42">
        <w:rPr>
          <w:rFonts w:asciiTheme="majorBidi" w:hAnsiTheme="majorBidi" w:cstheme="majorBidi"/>
        </w:rPr>
        <w:t>U</w:t>
      </w:r>
      <w:r w:rsidR="008F4C33" w:rsidRPr="00896D42">
        <w:rPr>
          <w:rFonts w:asciiTheme="majorBidi" w:hAnsiTheme="majorBidi" w:cstheme="majorBidi"/>
          <w:color w:val="000000"/>
        </w:rPr>
        <w:t>niversālā pakalpojuma direktīvā nav paredzēta pilnīga ar patērētāju tiesību aizsardzību saistītu aspektu saskaņošana.</w:t>
      </w:r>
      <w:r w:rsidR="008F4C33" w:rsidRPr="00896D42">
        <w:rPr>
          <w:rFonts w:asciiTheme="majorBidi" w:hAnsiTheme="majorBidi" w:cstheme="majorBidi"/>
        </w:rPr>
        <w:t xml:space="preserve"> </w:t>
      </w:r>
      <w:r w:rsidRPr="00896D42">
        <w:rPr>
          <w:rFonts w:asciiTheme="majorBidi" w:hAnsiTheme="majorBidi" w:cstheme="majorBidi"/>
          <w:color w:val="000000"/>
        </w:rPr>
        <w:t xml:space="preserve">Universālā pakalpojuma direktīvas </w:t>
      </w:r>
      <w:proofErr w:type="gramStart"/>
      <w:r w:rsidRPr="00896D42">
        <w:rPr>
          <w:rFonts w:asciiTheme="majorBidi" w:hAnsiTheme="majorBidi" w:cstheme="majorBidi"/>
          <w:color w:val="000000"/>
        </w:rPr>
        <w:t>1.panta</w:t>
      </w:r>
      <w:proofErr w:type="gramEnd"/>
      <w:r w:rsidRPr="00896D42">
        <w:rPr>
          <w:rFonts w:asciiTheme="majorBidi" w:hAnsiTheme="majorBidi" w:cstheme="majorBidi"/>
          <w:color w:val="000000"/>
        </w:rPr>
        <w:t xml:space="preserve"> 4.punktā ir paredzēts, ka šīs direktīvas tiesību normas par gala lietotāju tiesībām ir piemērojamas, neskarot nedz Savienības noteikumus par patērētāju aizsardzību, nedz valstu noteikumus, kas saskan ar Savienības tiesību aktiem. No formulējuma </w:t>
      </w:r>
      <w:r w:rsidR="00F90317">
        <w:rPr>
          <w:rFonts w:asciiTheme="majorBidi" w:hAnsiTheme="majorBidi" w:cstheme="majorBidi"/>
          <w:color w:val="000000"/>
        </w:rPr>
        <w:t>„</w:t>
      </w:r>
      <w:r w:rsidRPr="00896D42">
        <w:rPr>
          <w:rFonts w:asciiTheme="majorBidi" w:hAnsiTheme="majorBidi" w:cstheme="majorBidi"/>
          <w:color w:val="000000"/>
        </w:rPr>
        <w:t xml:space="preserve">neskarot Savienības noteikumus par patērētāju aizsardzību” izriet, ka </w:t>
      </w:r>
      <w:r w:rsidR="00E766DA" w:rsidRPr="00896D42">
        <w:rPr>
          <w:rFonts w:asciiTheme="majorBidi" w:hAnsiTheme="majorBidi" w:cstheme="majorBidi"/>
        </w:rPr>
        <w:t>Negodīgas komercprakses direktīva</w:t>
      </w:r>
      <w:r w:rsidR="00E766DA" w:rsidRPr="00896D42">
        <w:rPr>
          <w:rFonts w:asciiTheme="majorBidi" w:hAnsiTheme="majorBidi" w:cstheme="majorBidi"/>
          <w:color w:val="000000"/>
        </w:rPr>
        <w:t xml:space="preserve">s </w:t>
      </w:r>
      <w:r w:rsidRPr="00896D42">
        <w:rPr>
          <w:rFonts w:asciiTheme="majorBidi" w:hAnsiTheme="majorBidi" w:cstheme="majorBidi"/>
          <w:color w:val="000000"/>
        </w:rPr>
        <w:t xml:space="preserve">piemērojamību neietekmē </w:t>
      </w:r>
      <w:r w:rsidR="00E766DA" w:rsidRPr="00896D42">
        <w:rPr>
          <w:rFonts w:asciiTheme="majorBidi" w:hAnsiTheme="majorBidi" w:cstheme="majorBidi"/>
          <w:color w:val="000000"/>
        </w:rPr>
        <w:t>U</w:t>
      </w:r>
      <w:r w:rsidRPr="00896D42">
        <w:rPr>
          <w:rFonts w:asciiTheme="majorBidi" w:hAnsiTheme="majorBidi" w:cstheme="majorBidi"/>
          <w:color w:val="000000"/>
        </w:rPr>
        <w:t xml:space="preserve">niversālā pakalpojuma direktīvas tiesību </w:t>
      </w:r>
      <w:r w:rsidRPr="00896D42">
        <w:rPr>
          <w:rFonts w:asciiTheme="majorBidi" w:hAnsiTheme="majorBidi" w:cstheme="majorBidi"/>
          <w:color w:val="000000" w:themeColor="text1"/>
        </w:rPr>
        <w:t>normas</w:t>
      </w:r>
      <w:r w:rsidR="00896D42" w:rsidRPr="00896D42">
        <w:rPr>
          <w:rFonts w:asciiTheme="majorBidi" w:hAnsiTheme="majorBidi" w:cstheme="majorBidi"/>
          <w:color w:val="000000" w:themeColor="text1"/>
        </w:rPr>
        <w:t xml:space="preserve">. </w:t>
      </w:r>
      <w:r w:rsidR="00896D42" w:rsidRPr="00896D42">
        <w:rPr>
          <w:rFonts w:asciiTheme="majorBidi" w:hAnsiTheme="majorBidi" w:cstheme="majorBidi"/>
          <w:color w:val="000000"/>
        </w:rPr>
        <w:t xml:space="preserve">No tā izriet, ka nepastāv pretrunas starp </w:t>
      </w:r>
      <w:r w:rsidR="00896D42" w:rsidRPr="00896D42">
        <w:rPr>
          <w:rFonts w:asciiTheme="majorBidi" w:hAnsiTheme="majorBidi" w:cstheme="majorBidi"/>
        </w:rPr>
        <w:t>Negodīgas komercprakses direktīva</w:t>
      </w:r>
      <w:r w:rsidR="00896D42" w:rsidRPr="00896D42">
        <w:rPr>
          <w:rFonts w:asciiTheme="majorBidi" w:hAnsiTheme="majorBidi" w:cstheme="majorBidi"/>
          <w:color w:val="000000"/>
        </w:rPr>
        <w:t>s tiesību normām un Universālā pakalpojuma direktīvā paredzētajiem noteikumiem attiecībā uz galalietotāju tiesībām.</w:t>
      </w:r>
      <w:r w:rsidR="00896D42">
        <w:rPr>
          <w:rFonts w:asciiTheme="majorBidi" w:hAnsiTheme="majorBidi" w:cstheme="majorBidi"/>
          <w:color w:val="000000"/>
        </w:rPr>
        <w:t xml:space="preserve"> </w:t>
      </w:r>
      <w:r w:rsidR="00896D42" w:rsidRPr="00896D42">
        <w:rPr>
          <w:rFonts w:asciiTheme="majorBidi" w:hAnsiTheme="majorBidi" w:cstheme="majorBidi"/>
          <w:color w:val="000000"/>
        </w:rPr>
        <w:t xml:space="preserve">Līdz ar to pamatlietas apstākļos ir piemērojami attiecīgie </w:t>
      </w:r>
      <w:r w:rsidR="00896D42" w:rsidRPr="00896D42">
        <w:rPr>
          <w:rFonts w:asciiTheme="majorBidi" w:hAnsiTheme="majorBidi" w:cstheme="majorBidi"/>
        </w:rPr>
        <w:t>Negodīgas komercprakses direktīva</w:t>
      </w:r>
      <w:r w:rsidR="00896D42" w:rsidRPr="00896D42">
        <w:rPr>
          <w:rFonts w:asciiTheme="majorBidi" w:hAnsiTheme="majorBidi" w:cstheme="majorBidi"/>
          <w:color w:val="000000"/>
        </w:rPr>
        <w:t>s noteikumi</w:t>
      </w:r>
      <w:r w:rsidR="00896D42">
        <w:rPr>
          <w:rFonts w:asciiTheme="majorBidi" w:hAnsiTheme="majorBidi" w:cstheme="majorBidi"/>
          <w:color w:val="000000"/>
        </w:rPr>
        <w:t xml:space="preserve"> </w:t>
      </w:r>
      <w:r w:rsidR="00E766DA" w:rsidRPr="00E75409">
        <w:rPr>
          <w:rFonts w:asciiTheme="majorBidi" w:hAnsiTheme="majorBidi" w:cstheme="majorBidi"/>
          <w:color w:val="000000" w:themeColor="text1"/>
        </w:rPr>
        <w:t>(</w:t>
      </w:r>
      <w:r w:rsidR="00E766DA" w:rsidRPr="00E75409">
        <w:rPr>
          <w:rFonts w:asciiTheme="majorBidi" w:hAnsiTheme="majorBidi" w:cstheme="majorBidi"/>
          <w:i/>
          <w:iCs/>
          <w:color w:val="000000" w:themeColor="text1"/>
        </w:rPr>
        <w:t xml:space="preserve">Eiropas Savienības Tiesas </w:t>
      </w:r>
      <w:proofErr w:type="gramStart"/>
      <w:r w:rsidR="00E766DA" w:rsidRPr="00E75409">
        <w:rPr>
          <w:rFonts w:asciiTheme="majorBidi" w:hAnsiTheme="majorBidi" w:cstheme="majorBidi"/>
          <w:i/>
          <w:iCs/>
          <w:color w:val="000000" w:themeColor="text1"/>
        </w:rPr>
        <w:t>2018.gada</w:t>
      </w:r>
      <w:proofErr w:type="gramEnd"/>
      <w:r w:rsidR="00E766DA" w:rsidRPr="00E75409">
        <w:rPr>
          <w:rFonts w:asciiTheme="majorBidi" w:hAnsiTheme="majorBidi" w:cstheme="majorBidi"/>
          <w:i/>
          <w:iCs/>
          <w:color w:val="000000" w:themeColor="text1"/>
        </w:rPr>
        <w:t xml:space="preserve"> 13.septembra spriedum</w:t>
      </w:r>
      <w:r w:rsidR="00F90317">
        <w:rPr>
          <w:rFonts w:asciiTheme="majorBidi" w:hAnsiTheme="majorBidi" w:cstheme="majorBidi"/>
          <w:i/>
          <w:iCs/>
          <w:color w:val="000000" w:themeColor="text1"/>
        </w:rPr>
        <w:t>a</w:t>
      </w:r>
      <w:r w:rsidR="00E766DA" w:rsidRPr="00E75409">
        <w:rPr>
          <w:rFonts w:asciiTheme="majorBidi" w:hAnsiTheme="majorBidi" w:cstheme="majorBidi"/>
          <w:i/>
          <w:iCs/>
          <w:color w:val="000000" w:themeColor="text1"/>
        </w:rPr>
        <w:t xml:space="preserve"> apvienotajā lietā </w:t>
      </w:r>
      <w:r w:rsidR="00A57443">
        <w:rPr>
          <w:rFonts w:asciiTheme="majorBidi" w:hAnsiTheme="majorBidi" w:cstheme="majorBidi"/>
          <w:i/>
          <w:iCs/>
          <w:color w:val="000000" w:themeColor="text1"/>
        </w:rPr>
        <w:t>„</w:t>
      </w:r>
      <w:proofErr w:type="spellStart"/>
      <w:r w:rsidR="00CC4372" w:rsidRPr="00E75409">
        <w:rPr>
          <w:rFonts w:asciiTheme="majorBidi" w:hAnsiTheme="majorBidi" w:cstheme="majorBidi"/>
          <w:i/>
          <w:iCs/>
          <w:color w:val="000000" w:themeColor="text1"/>
        </w:rPr>
        <w:t>Wind</w:t>
      </w:r>
      <w:proofErr w:type="spellEnd"/>
      <w:r w:rsidR="00CC4372" w:rsidRPr="00E75409">
        <w:rPr>
          <w:rFonts w:asciiTheme="majorBidi" w:hAnsiTheme="majorBidi" w:cstheme="majorBidi"/>
          <w:i/>
          <w:iCs/>
          <w:color w:val="000000" w:themeColor="text1"/>
        </w:rPr>
        <w:t xml:space="preserve"> </w:t>
      </w:r>
      <w:proofErr w:type="spellStart"/>
      <w:r w:rsidR="00CC4372" w:rsidRPr="00E75409">
        <w:rPr>
          <w:rFonts w:asciiTheme="majorBidi" w:hAnsiTheme="majorBidi" w:cstheme="majorBidi"/>
          <w:i/>
          <w:iCs/>
          <w:color w:val="000000" w:themeColor="text1"/>
        </w:rPr>
        <w:t>Tre</w:t>
      </w:r>
      <w:proofErr w:type="spellEnd"/>
      <w:r w:rsidR="00E75409" w:rsidRPr="00E75409">
        <w:rPr>
          <w:rFonts w:asciiTheme="majorBidi" w:hAnsiTheme="majorBidi" w:cstheme="majorBidi"/>
          <w:i/>
          <w:iCs/>
          <w:color w:val="000000" w:themeColor="text1"/>
        </w:rPr>
        <w:t xml:space="preserve"> un </w:t>
      </w:r>
      <w:r w:rsidR="00E75409" w:rsidRPr="00E75409">
        <w:rPr>
          <w:rFonts w:asciiTheme="majorBidi" w:hAnsiTheme="majorBidi" w:cstheme="majorBidi"/>
          <w:i/>
          <w:iCs/>
          <w:color w:val="000000"/>
        </w:rPr>
        <w:t xml:space="preserve">Vodafone </w:t>
      </w:r>
      <w:proofErr w:type="spellStart"/>
      <w:r w:rsidR="00E75409" w:rsidRPr="00E75409">
        <w:rPr>
          <w:rFonts w:asciiTheme="majorBidi" w:hAnsiTheme="majorBidi" w:cstheme="majorBidi"/>
          <w:i/>
          <w:iCs/>
          <w:color w:val="000000"/>
        </w:rPr>
        <w:t>Italia</w:t>
      </w:r>
      <w:proofErr w:type="spellEnd"/>
      <w:r w:rsidR="00A57443">
        <w:rPr>
          <w:rFonts w:asciiTheme="majorBidi" w:hAnsiTheme="majorBidi" w:cstheme="majorBidi"/>
          <w:i/>
          <w:iCs/>
          <w:color w:val="000000"/>
        </w:rPr>
        <w:t>”</w:t>
      </w:r>
      <w:r w:rsidR="00E75409" w:rsidRPr="00E75409">
        <w:rPr>
          <w:rFonts w:asciiTheme="majorBidi" w:hAnsiTheme="majorBidi" w:cstheme="majorBidi"/>
          <w:i/>
          <w:iCs/>
          <w:color w:val="000000"/>
        </w:rPr>
        <w:t>,</w:t>
      </w:r>
      <w:r w:rsidR="00CC4372" w:rsidRPr="00E75409">
        <w:rPr>
          <w:rFonts w:asciiTheme="majorBidi" w:hAnsiTheme="majorBidi" w:cstheme="majorBidi"/>
          <w:i/>
          <w:iCs/>
          <w:color w:val="000000" w:themeColor="text1"/>
        </w:rPr>
        <w:t xml:space="preserve"> </w:t>
      </w:r>
      <w:r w:rsidR="00E766DA" w:rsidRPr="00E75409">
        <w:rPr>
          <w:rFonts w:asciiTheme="majorBidi" w:hAnsiTheme="majorBidi" w:cstheme="majorBidi"/>
          <w:i/>
          <w:iCs/>
          <w:color w:val="000000" w:themeColor="text1"/>
        </w:rPr>
        <w:t>C-54/17</w:t>
      </w:r>
      <w:r w:rsidR="00CC4372" w:rsidRPr="00E75409">
        <w:rPr>
          <w:rFonts w:asciiTheme="majorBidi" w:hAnsiTheme="majorBidi" w:cstheme="majorBidi"/>
          <w:i/>
          <w:iCs/>
          <w:color w:val="000000" w:themeColor="text1"/>
        </w:rPr>
        <w:t xml:space="preserve"> un</w:t>
      </w:r>
      <w:r w:rsidR="00E766DA" w:rsidRPr="00E75409">
        <w:rPr>
          <w:rFonts w:asciiTheme="majorBidi" w:hAnsiTheme="majorBidi" w:cstheme="majorBidi"/>
          <w:i/>
          <w:iCs/>
          <w:color w:val="000000" w:themeColor="text1"/>
        </w:rPr>
        <w:t xml:space="preserve"> C-55/17, ECLI:EU:C:2018:710,</w:t>
      </w:r>
      <w:r w:rsidR="008F4C33" w:rsidRPr="00E75409">
        <w:rPr>
          <w:rFonts w:asciiTheme="majorBidi" w:hAnsiTheme="majorBidi" w:cstheme="majorBidi"/>
          <w:i/>
          <w:iCs/>
          <w:color w:val="000000" w:themeColor="text1"/>
        </w:rPr>
        <w:t xml:space="preserve"> 64</w:t>
      </w:r>
      <w:r w:rsidR="00C27FDD" w:rsidRPr="00E75409">
        <w:rPr>
          <w:rFonts w:asciiTheme="majorBidi" w:hAnsiTheme="majorBidi" w:cstheme="majorBidi"/>
          <w:i/>
          <w:iCs/>
          <w:color w:val="000000" w:themeColor="text1"/>
        </w:rPr>
        <w:t>. un</w:t>
      </w:r>
      <w:r w:rsidR="00E766DA" w:rsidRPr="00E75409">
        <w:rPr>
          <w:rFonts w:asciiTheme="majorBidi" w:hAnsiTheme="majorBidi" w:cstheme="majorBidi"/>
          <w:i/>
          <w:iCs/>
          <w:color w:val="000000" w:themeColor="text1"/>
        </w:rPr>
        <w:t xml:space="preserve"> 6</w:t>
      </w:r>
      <w:r w:rsidR="00896D42">
        <w:rPr>
          <w:rFonts w:asciiTheme="majorBidi" w:hAnsiTheme="majorBidi" w:cstheme="majorBidi"/>
          <w:i/>
          <w:iCs/>
          <w:color w:val="000000" w:themeColor="text1"/>
        </w:rPr>
        <w:t>7 –69.</w:t>
      </w:r>
      <w:r w:rsidR="00E766DA" w:rsidRPr="00E75409">
        <w:rPr>
          <w:rFonts w:asciiTheme="majorBidi" w:hAnsiTheme="majorBidi" w:cstheme="majorBidi"/>
          <w:i/>
          <w:iCs/>
          <w:color w:val="000000" w:themeColor="text1"/>
        </w:rPr>
        <w:t>punkts</w:t>
      </w:r>
      <w:r w:rsidR="00E766DA" w:rsidRPr="00E75409">
        <w:rPr>
          <w:rFonts w:asciiTheme="majorBidi" w:hAnsiTheme="majorBidi" w:cstheme="majorBidi"/>
          <w:color w:val="000000" w:themeColor="text1"/>
        </w:rPr>
        <w:t xml:space="preserve">). </w:t>
      </w:r>
    </w:p>
    <w:p w14:paraId="51B0AB97" w14:textId="78DA7850" w:rsidR="00200962" w:rsidRDefault="006A7879" w:rsidP="00AB14AB">
      <w:pPr>
        <w:spacing w:line="276" w:lineRule="auto"/>
        <w:ind w:firstLine="567"/>
        <w:jc w:val="both"/>
      </w:pPr>
      <w:bookmarkStart w:id="0" w:name="_Hlk118114047"/>
      <w:r>
        <w:rPr>
          <w:rFonts w:asciiTheme="majorBidi" w:hAnsiTheme="majorBidi" w:cstheme="majorBidi"/>
          <w:color w:val="000000" w:themeColor="text1"/>
        </w:rPr>
        <w:t xml:space="preserve">Treškārt, </w:t>
      </w:r>
      <w:r w:rsidR="00361473">
        <w:rPr>
          <w:rFonts w:asciiTheme="majorBidi" w:hAnsiTheme="majorBidi" w:cstheme="majorBidi"/>
          <w:color w:val="000000" w:themeColor="text1"/>
        </w:rPr>
        <w:t xml:space="preserve">nevar piekrist, ka </w:t>
      </w:r>
      <w:r>
        <w:rPr>
          <w:rFonts w:asciiTheme="majorBidi" w:hAnsiTheme="majorBidi" w:cstheme="majorBidi"/>
          <w:color w:val="000000" w:themeColor="text1"/>
        </w:rPr>
        <w:t xml:space="preserve">elektronisko sakaru jomā </w:t>
      </w:r>
      <w:r w:rsidR="00361473">
        <w:rPr>
          <w:rFonts w:asciiTheme="majorBidi" w:hAnsiTheme="majorBidi" w:cstheme="majorBidi"/>
          <w:color w:val="000000" w:themeColor="text1"/>
        </w:rPr>
        <w:t xml:space="preserve">piemērotās tiesību normas </w:t>
      </w:r>
      <w:r>
        <w:rPr>
          <w:rFonts w:asciiTheme="majorBidi" w:hAnsiTheme="majorBidi" w:cstheme="majorBidi"/>
          <w:color w:val="000000" w:themeColor="text1"/>
        </w:rPr>
        <w:t>no</w:t>
      </w:r>
      <w:r w:rsidR="00361473">
        <w:rPr>
          <w:rFonts w:asciiTheme="majorBidi" w:hAnsiTheme="majorBidi" w:cstheme="majorBidi"/>
          <w:color w:val="000000" w:themeColor="text1"/>
        </w:rPr>
        <w:t>teiktu</w:t>
      </w:r>
      <w:r>
        <w:rPr>
          <w:rFonts w:asciiTheme="majorBidi" w:hAnsiTheme="majorBidi" w:cstheme="majorBidi"/>
          <w:color w:val="000000" w:themeColor="text1"/>
        </w:rPr>
        <w:t xml:space="preserve"> augstāku patērētāju tiesību aizsardzības standartu</w:t>
      </w:r>
      <w:r w:rsidR="00361473">
        <w:rPr>
          <w:rFonts w:asciiTheme="majorBidi" w:hAnsiTheme="majorBidi" w:cstheme="majorBidi"/>
          <w:color w:val="000000" w:themeColor="text1"/>
        </w:rPr>
        <w:t xml:space="preserve"> un tādēļ izslēgtu patērētāju tiesību aizsardzības noteikumus. K</w:t>
      </w:r>
      <w:r>
        <w:rPr>
          <w:rFonts w:asciiTheme="majorBidi" w:hAnsiTheme="majorBidi" w:cstheme="majorBidi"/>
          <w:color w:val="000000" w:themeColor="text1"/>
        </w:rPr>
        <w:t xml:space="preserve">ā tas norādīts </w:t>
      </w:r>
      <w:r w:rsidR="007C55C3">
        <w:rPr>
          <w:rFonts w:asciiTheme="majorBidi" w:hAnsiTheme="majorBidi" w:cstheme="majorBidi"/>
          <w:color w:val="000000" w:themeColor="text1"/>
        </w:rPr>
        <w:t xml:space="preserve">iepriekš, </w:t>
      </w:r>
      <w:r w:rsidR="007C55C3" w:rsidRPr="002E23ED">
        <w:rPr>
          <w:rFonts w:asciiTheme="majorBidi" w:hAnsiTheme="majorBidi" w:cstheme="majorBidi"/>
          <w:color w:val="000000"/>
        </w:rPr>
        <w:t>Universālā pakalpojuma direktīva</w:t>
      </w:r>
      <w:r>
        <w:rPr>
          <w:rFonts w:asciiTheme="majorBidi" w:hAnsiTheme="majorBidi" w:cstheme="majorBidi"/>
          <w:color w:val="000000"/>
        </w:rPr>
        <w:t xml:space="preserve"> </w:t>
      </w:r>
      <w:r w:rsidR="00361473">
        <w:rPr>
          <w:rFonts w:asciiTheme="majorBidi" w:hAnsiTheme="majorBidi" w:cstheme="majorBidi"/>
          <w:color w:val="000000"/>
        </w:rPr>
        <w:t xml:space="preserve">un </w:t>
      </w:r>
      <w:r>
        <w:rPr>
          <w:rFonts w:asciiTheme="majorBidi" w:hAnsiTheme="majorBidi" w:cstheme="majorBidi"/>
          <w:color w:val="000000"/>
        </w:rPr>
        <w:t>līdz arī to arī Elektronisko sakaru likums izsmeļoši ne</w:t>
      </w:r>
      <w:r w:rsidR="00985EE8">
        <w:rPr>
          <w:rFonts w:asciiTheme="majorBidi" w:hAnsiTheme="majorBidi" w:cstheme="majorBidi"/>
          <w:color w:val="000000"/>
        </w:rPr>
        <w:t>noregulē</w:t>
      </w:r>
      <w:r>
        <w:rPr>
          <w:rFonts w:asciiTheme="majorBidi" w:hAnsiTheme="majorBidi" w:cstheme="majorBidi"/>
          <w:color w:val="000000"/>
        </w:rPr>
        <w:t xml:space="preserve"> patērētāju tiesību aizsardzības jautājumus, kas ietverti </w:t>
      </w:r>
      <w:r>
        <w:t xml:space="preserve">direktīvā </w:t>
      </w:r>
      <w:r w:rsidR="00004ED9">
        <w:t>93/13 un Negodīgas komercprakses direktīvā</w:t>
      </w:r>
      <w:r>
        <w:t>, kā arī attiecīgos likumos, kuros pārņemtas šo direktīvu normas</w:t>
      </w:r>
      <w:bookmarkEnd w:id="0"/>
      <w:r>
        <w:t>.</w:t>
      </w:r>
      <w:r w:rsidR="00D9323E">
        <w:t xml:space="preserve"> </w:t>
      </w:r>
    </w:p>
    <w:p w14:paraId="32561683" w14:textId="67246738" w:rsidR="00561B13" w:rsidRDefault="00336381" w:rsidP="00AB14AB">
      <w:pPr>
        <w:spacing w:line="276" w:lineRule="auto"/>
        <w:ind w:firstLine="567"/>
        <w:jc w:val="both"/>
        <w:rPr>
          <w:rFonts w:asciiTheme="majorBidi" w:hAnsiTheme="majorBidi" w:cstheme="majorBidi"/>
        </w:rPr>
      </w:pPr>
      <w:r>
        <w:t xml:space="preserve">Tādējādi pretēji pieteicējas viedoklim </w:t>
      </w:r>
      <w:r w:rsidRPr="002E23ED">
        <w:rPr>
          <w:rFonts w:asciiTheme="majorBidi" w:hAnsiTheme="majorBidi" w:cstheme="majorBidi"/>
          <w:color w:val="000000"/>
        </w:rPr>
        <w:t>Universālā pakalpojuma direktīva</w:t>
      </w:r>
      <w:r>
        <w:rPr>
          <w:rFonts w:asciiTheme="majorBidi" w:hAnsiTheme="majorBidi" w:cstheme="majorBidi"/>
          <w:color w:val="000000"/>
        </w:rPr>
        <w:t xml:space="preserve">s </w:t>
      </w:r>
      <w:proofErr w:type="gramStart"/>
      <w:r>
        <w:rPr>
          <w:rFonts w:asciiTheme="majorBidi" w:hAnsiTheme="majorBidi" w:cstheme="majorBidi"/>
          <w:color w:val="000000"/>
        </w:rPr>
        <w:t>20.panta</w:t>
      </w:r>
      <w:proofErr w:type="gramEnd"/>
      <w:r>
        <w:rPr>
          <w:rFonts w:asciiTheme="majorBidi" w:hAnsiTheme="majorBidi" w:cstheme="majorBidi"/>
          <w:color w:val="000000"/>
        </w:rPr>
        <w:t xml:space="preserve"> 2.punkt</w:t>
      </w:r>
      <w:r w:rsidR="00375C3D">
        <w:rPr>
          <w:rFonts w:asciiTheme="majorBidi" w:hAnsiTheme="majorBidi" w:cstheme="majorBidi"/>
          <w:color w:val="000000"/>
        </w:rPr>
        <w:t>s</w:t>
      </w:r>
      <w:r>
        <w:rPr>
          <w:rFonts w:asciiTheme="majorBidi" w:hAnsiTheme="majorBidi" w:cstheme="majorBidi"/>
          <w:color w:val="000000"/>
        </w:rPr>
        <w:t xml:space="preserve"> nav atzīstam</w:t>
      </w:r>
      <w:r w:rsidR="00375C3D">
        <w:rPr>
          <w:rFonts w:asciiTheme="majorBidi" w:hAnsiTheme="majorBidi" w:cstheme="majorBidi"/>
          <w:color w:val="000000"/>
        </w:rPr>
        <w:t>s</w:t>
      </w:r>
      <w:r w:rsidRPr="00336381">
        <w:rPr>
          <w:rFonts w:asciiTheme="majorBidi" w:hAnsiTheme="majorBidi" w:cstheme="majorBidi"/>
        </w:rPr>
        <w:t xml:space="preserve"> </w:t>
      </w:r>
      <w:r>
        <w:rPr>
          <w:rFonts w:asciiTheme="majorBidi" w:hAnsiTheme="majorBidi" w:cstheme="majorBidi"/>
        </w:rPr>
        <w:t xml:space="preserve">par </w:t>
      </w:r>
      <w:r w:rsidRPr="00336381">
        <w:rPr>
          <w:rFonts w:asciiTheme="majorBidi" w:eastAsiaTheme="minorHAnsi" w:hAnsiTheme="majorBidi" w:cstheme="majorBidi"/>
          <w:lang w:eastAsia="en-US"/>
        </w:rPr>
        <w:t>ekskluzīv</w:t>
      </w:r>
      <w:r>
        <w:rPr>
          <w:rFonts w:asciiTheme="majorBidi" w:hAnsiTheme="majorBidi" w:cstheme="majorBidi"/>
        </w:rPr>
        <w:t>u</w:t>
      </w:r>
      <w:r w:rsidRPr="00336381">
        <w:rPr>
          <w:rFonts w:asciiTheme="majorBidi" w:hAnsiTheme="majorBidi" w:cstheme="majorBidi"/>
        </w:rPr>
        <w:t xml:space="preserve"> </w:t>
      </w:r>
      <w:proofErr w:type="spellStart"/>
      <w:r w:rsidRPr="00336381">
        <w:rPr>
          <w:rFonts w:asciiTheme="majorBidi" w:hAnsiTheme="majorBidi" w:cstheme="majorBidi"/>
          <w:i/>
          <w:iCs/>
        </w:rPr>
        <w:t>lex</w:t>
      </w:r>
      <w:proofErr w:type="spellEnd"/>
      <w:r w:rsidRPr="00336381">
        <w:rPr>
          <w:rFonts w:asciiTheme="majorBidi" w:hAnsiTheme="majorBidi" w:cstheme="majorBidi"/>
          <w:i/>
          <w:iCs/>
        </w:rPr>
        <w:t xml:space="preserve"> </w:t>
      </w:r>
      <w:proofErr w:type="spellStart"/>
      <w:r w:rsidRPr="00336381">
        <w:rPr>
          <w:rFonts w:asciiTheme="majorBidi" w:hAnsiTheme="majorBidi" w:cstheme="majorBidi"/>
          <w:i/>
          <w:iCs/>
        </w:rPr>
        <w:t>specialis</w:t>
      </w:r>
      <w:proofErr w:type="spellEnd"/>
      <w:r>
        <w:rPr>
          <w:rFonts w:asciiTheme="majorBidi" w:hAnsiTheme="majorBidi" w:cstheme="majorBidi"/>
        </w:rPr>
        <w:t>, kurā izsmeļoši noregulēti arī patērētāju tiesību aizsardzības jautājumi.</w:t>
      </w:r>
      <w:r w:rsidR="00200962">
        <w:rPr>
          <w:rFonts w:asciiTheme="majorBidi" w:hAnsiTheme="majorBidi" w:cstheme="majorBidi"/>
        </w:rPr>
        <w:t xml:space="preserve"> </w:t>
      </w:r>
      <w:r w:rsidR="00C1628E">
        <w:rPr>
          <w:rFonts w:asciiTheme="majorBidi" w:hAnsiTheme="majorBidi" w:cstheme="majorBidi"/>
        </w:rPr>
        <w:t>Savukārt</w:t>
      </w:r>
      <w:r w:rsidR="00561B13">
        <w:rPr>
          <w:rFonts w:asciiTheme="majorBidi" w:hAnsiTheme="majorBidi" w:cstheme="majorBidi"/>
        </w:rPr>
        <w:t xml:space="preserve"> </w:t>
      </w:r>
      <w:r w:rsidR="00561B13" w:rsidRPr="00941BF8">
        <w:rPr>
          <w:rFonts w:asciiTheme="majorBidi" w:hAnsiTheme="majorBidi" w:cstheme="majorBidi"/>
        </w:rPr>
        <w:t>Eiropas Elektronisko sakaru kodeks</w:t>
      </w:r>
      <w:r w:rsidR="00561B13">
        <w:rPr>
          <w:rFonts w:asciiTheme="majorBidi" w:hAnsiTheme="majorBidi" w:cstheme="majorBidi"/>
        </w:rPr>
        <w:t xml:space="preserve">a </w:t>
      </w:r>
      <w:proofErr w:type="gramStart"/>
      <w:r w:rsidR="00561B13" w:rsidRPr="00941BF8">
        <w:rPr>
          <w:rFonts w:asciiTheme="majorBidi" w:hAnsiTheme="majorBidi" w:cstheme="majorBidi"/>
        </w:rPr>
        <w:t>105.panta</w:t>
      </w:r>
      <w:proofErr w:type="gramEnd"/>
      <w:r w:rsidR="00561B13" w:rsidRPr="00941BF8">
        <w:rPr>
          <w:rFonts w:asciiTheme="majorBidi" w:hAnsiTheme="majorBidi" w:cstheme="majorBidi"/>
        </w:rPr>
        <w:t xml:space="preserve"> 4.punkt</w:t>
      </w:r>
      <w:r w:rsidR="00561B13">
        <w:rPr>
          <w:rFonts w:asciiTheme="majorBidi" w:hAnsiTheme="majorBidi" w:cstheme="majorBidi"/>
        </w:rPr>
        <w:t>s izskatāmajā gadījumā nav piemērojams, jo pārsūdzētā lēmuma pieņemšanas laikā spēkā bija Universālā pakalpojuma direktīva.</w:t>
      </w:r>
    </w:p>
    <w:p w14:paraId="6F24B782" w14:textId="3312834C" w:rsidR="00D9323E" w:rsidRDefault="00561B13" w:rsidP="00AB14AB">
      <w:pPr>
        <w:spacing w:line="276" w:lineRule="auto"/>
        <w:ind w:firstLine="567"/>
        <w:jc w:val="both"/>
      </w:pPr>
      <w:r>
        <w:rPr>
          <w:rFonts w:asciiTheme="majorBidi" w:hAnsiTheme="majorBidi" w:cstheme="majorBidi"/>
        </w:rPr>
        <w:t>Ņ</w:t>
      </w:r>
      <w:r w:rsidR="00200962">
        <w:rPr>
          <w:rFonts w:asciiTheme="majorBidi" w:hAnsiTheme="majorBidi" w:cstheme="majorBidi"/>
        </w:rPr>
        <w:t>emot vērā, ka Eiropas Savienības Tiesa</w:t>
      </w:r>
      <w:r w:rsidR="00BA683A">
        <w:rPr>
          <w:rFonts w:asciiTheme="majorBidi" w:hAnsiTheme="majorBidi" w:cstheme="majorBidi"/>
        </w:rPr>
        <w:t xml:space="preserve"> </w:t>
      </w:r>
      <w:proofErr w:type="spellStart"/>
      <w:r w:rsidR="0001417E" w:rsidRPr="00E75409">
        <w:rPr>
          <w:rFonts w:asciiTheme="majorBidi" w:hAnsiTheme="majorBidi" w:cstheme="majorBidi"/>
          <w:i/>
          <w:iCs/>
          <w:color w:val="000000" w:themeColor="text1"/>
        </w:rPr>
        <w:t>Wind</w:t>
      </w:r>
      <w:proofErr w:type="spellEnd"/>
      <w:r w:rsidR="0001417E" w:rsidRPr="00E75409">
        <w:rPr>
          <w:rFonts w:asciiTheme="majorBidi" w:hAnsiTheme="majorBidi" w:cstheme="majorBidi"/>
          <w:i/>
          <w:iCs/>
          <w:color w:val="000000" w:themeColor="text1"/>
        </w:rPr>
        <w:t xml:space="preserve"> </w:t>
      </w:r>
      <w:proofErr w:type="spellStart"/>
      <w:r w:rsidR="0001417E" w:rsidRPr="00E75409">
        <w:rPr>
          <w:rFonts w:asciiTheme="majorBidi" w:hAnsiTheme="majorBidi" w:cstheme="majorBidi"/>
          <w:i/>
          <w:iCs/>
          <w:color w:val="000000" w:themeColor="text1"/>
        </w:rPr>
        <w:t>Tre</w:t>
      </w:r>
      <w:proofErr w:type="spellEnd"/>
      <w:r w:rsidR="0001417E" w:rsidRPr="00E75409">
        <w:rPr>
          <w:rFonts w:asciiTheme="majorBidi" w:hAnsiTheme="majorBidi" w:cstheme="majorBidi"/>
          <w:i/>
          <w:iCs/>
          <w:color w:val="000000" w:themeColor="text1"/>
        </w:rPr>
        <w:t xml:space="preserve"> un </w:t>
      </w:r>
      <w:r w:rsidR="0001417E" w:rsidRPr="00E75409">
        <w:rPr>
          <w:rFonts w:asciiTheme="majorBidi" w:hAnsiTheme="majorBidi" w:cstheme="majorBidi"/>
          <w:i/>
          <w:iCs/>
          <w:color w:val="000000"/>
        </w:rPr>
        <w:t xml:space="preserve">Vodafone </w:t>
      </w:r>
      <w:proofErr w:type="spellStart"/>
      <w:r w:rsidR="0001417E" w:rsidRPr="00E75409">
        <w:rPr>
          <w:rFonts w:asciiTheme="majorBidi" w:hAnsiTheme="majorBidi" w:cstheme="majorBidi"/>
          <w:i/>
          <w:iCs/>
          <w:color w:val="000000"/>
        </w:rPr>
        <w:t>Italia</w:t>
      </w:r>
      <w:proofErr w:type="spellEnd"/>
      <w:r w:rsidR="0001417E">
        <w:rPr>
          <w:rFonts w:asciiTheme="majorBidi" w:hAnsiTheme="majorBidi" w:cstheme="majorBidi"/>
        </w:rPr>
        <w:t xml:space="preserve"> </w:t>
      </w:r>
      <w:r w:rsidR="00BA683A">
        <w:rPr>
          <w:rFonts w:asciiTheme="majorBidi" w:hAnsiTheme="majorBidi" w:cstheme="majorBidi"/>
        </w:rPr>
        <w:t>lietā</w:t>
      </w:r>
      <w:r w:rsidR="00200962">
        <w:rPr>
          <w:rFonts w:asciiTheme="majorBidi" w:hAnsiTheme="majorBidi" w:cstheme="majorBidi"/>
        </w:rPr>
        <w:t xml:space="preserve"> jau skaidri izteikusi viedokli saistībā ar </w:t>
      </w:r>
      <w:r>
        <w:rPr>
          <w:rFonts w:asciiTheme="majorBidi" w:hAnsiTheme="majorBidi" w:cstheme="majorBidi"/>
        </w:rPr>
        <w:t>t</w:t>
      </w:r>
      <w:r w:rsidR="00200962">
        <w:rPr>
          <w:rFonts w:asciiTheme="majorBidi" w:hAnsiTheme="majorBidi" w:cstheme="majorBidi"/>
        </w:rPr>
        <w:t>iesī</w:t>
      </w:r>
      <w:r>
        <w:rPr>
          <w:rFonts w:asciiTheme="majorBidi" w:hAnsiTheme="majorBidi" w:cstheme="majorBidi"/>
        </w:rPr>
        <w:t>bu normu piemērošanu</w:t>
      </w:r>
      <w:r w:rsidR="00200962">
        <w:rPr>
          <w:rFonts w:asciiTheme="majorBidi" w:hAnsiTheme="majorBidi" w:cstheme="majorBidi"/>
        </w:rPr>
        <w:t>,</w:t>
      </w:r>
      <w:r w:rsidR="008852AA">
        <w:rPr>
          <w:rFonts w:asciiTheme="majorBidi" w:hAnsiTheme="majorBidi" w:cstheme="majorBidi"/>
        </w:rPr>
        <w:t xml:space="preserve"> kas ir ņemts vērā izskatāmajā lietā,</w:t>
      </w:r>
      <w:r w:rsidR="00200962">
        <w:rPr>
          <w:rFonts w:asciiTheme="majorBidi" w:hAnsiTheme="majorBidi" w:cstheme="majorBidi"/>
        </w:rPr>
        <w:t xml:space="preserve"> nav pamata </w:t>
      </w:r>
      <w:r w:rsidR="009500CA">
        <w:rPr>
          <w:rFonts w:asciiTheme="majorBidi" w:hAnsiTheme="majorBidi" w:cstheme="majorBidi"/>
        </w:rPr>
        <w:t>uzdot jautājumus</w:t>
      </w:r>
      <w:r w:rsidR="00BA683A">
        <w:rPr>
          <w:rFonts w:asciiTheme="majorBidi" w:hAnsiTheme="majorBidi" w:cstheme="majorBidi"/>
        </w:rPr>
        <w:t xml:space="preserve"> Eiropas Savienības Ties</w:t>
      </w:r>
      <w:r w:rsidR="009500CA">
        <w:rPr>
          <w:rFonts w:asciiTheme="majorBidi" w:hAnsiTheme="majorBidi" w:cstheme="majorBidi"/>
        </w:rPr>
        <w:t>ai</w:t>
      </w:r>
      <w:r w:rsidR="00BA683A">
        <w:rPr>
          <w:rFonts w:asciiTheme="majorBidi" w:hAnsiTheme="majorBidi" w:cstheme="majorBidi"/>
        </w:rPr>
        <w:t xml:space="preserve"> prejudiciāl</w:t>
      </w:r>
      <w:r w:rsidR="009500CA">
        <w:rPr>
          <w:rFonts w:asciiTheme="majorBidi" w:hAnsiTheme="majorBidi" w:cstheme="majorBidi"/>
        </w:rPr>
        <w:t>a</w:t>
      </w:r>
      <w:r w:rsidR="00BA683A">
        <w:rPr>
          <w:rFonts w:asciiTheme="majorBidi" w:hAnsiTheme="majorBidi" w:cstheme="majorBidi"/>
        </w:rPr>
        <w:t xml:space="preserve"> nolēmum</w:t>
      </w:r>
      <w:r w:rsidR="009500CA">
        <w:rPr>
          <w:rFonts w:asciiTheme="majorBidi" w:hAnsiTheme="majorBidi" w:cstheme="majorBidi"/>
        </w:rPr>
        <w:t>a taisīšanai</w:t>
      </w:r>
      <w:r w:rsidR="00BA683A">
        <w:rPr>
          <w:rFonts w:asciiTheme="majorBidi" w:hAnsiTheme="majorBidi" w:cstheme="majorBidi"/>
        </w:rPr>
        <w:t>.</w:t>
      </w:r>
    </w:p>
    <w:p w14:paraId="6A1CB8B8" w14:textId="77777777" w:rsidR="0029162F" w:rsidRPr="00C90FBA" w:rsidRDefault="0029162F" w:rsidP="00AB14AB">
      <w:pPr>
        <w:spacing w:line="276" w:lineRule="auto"/>
        <w:ind w:firstLine="567"/>
        <w:jc w:val="both"/>
        <w:rPr>
          <w:rFonts w:asciiTheme="majorBidi" w:hAnsiTheme="majorBidi" w:cstheme="majorBidi"/>
          <w:color w:val="000000" w:themeColor="text1"/>
        </w:rPr>
      </w:pPr>
    </w:p>
    <w:p w14:paraId="04D9660E" w14:textId="0CAE8FF6" w:rsidR="00046A2D" w:rsidRPr="00C90FBA" w:rsidRDefault="00E96695" w:rsidP="00AB14AB">
      <w:pPr>
        <w:spacing w:line="276" w:lineRule="auto"/>
        <w:ind w:firstLine="567"/>
        <w:jc w:val="both"/>
        <w:rPr>
          <w:rFonts w:asciiTheme="majorBidi" w:hAnsiTheme="majorBidi" w:cstheme="majorBidi"/>
        </w:rPr>
      </w:pPr>
      <w:r w:rsidRPr="00C90FBA">
        <w:rPr>
          <w:rFonts w:asciiTheme="majorBidi" w:eastAsiaTheme="minorHAnsi" w:hAnsiTheme="majorBidi" w:cstheme="majorBidi"/>
          <w:lang w:eastAsia="en-US"/>
        </w:rPr>
        <w:t>[4] </w:t>
      </w:r>
      <w:r w:rsidR="00046A2D" w:rsidRPr="00C90FBA">
        <w:rPr>
          <w:rFonts w:asciiTheme="majorBidi" w:eastAsiaTheme="minorHAnsi" w:hAnsiTheme="majorBidi" w:cstheme="majorBidi"/>
          <w:lang w:eastAsia="en-US"/>
        </w:rPr>
        <w:t>Pieteicēja kasācija sūdzībā argumentē, ka apgabaltiesa nepareizi interpretējusi brīvas izvēles jēdziena saturu patērētāju tiesībās, kā arī to nepamatoti piemērojusi</w:t>
      </w:r>
      <w:r w:rsidR="00AB3D0B" w:rsidRPr="00C90FBA">
        <w:rPr>
          <w:rFonts w:asciiTheme="majorBidi" w:eastAsiaTheme="minorHAnsi" w:hAnsiTheme="majorBidi" w:cstheme="majorBidi"/>
          <w:lang w:eastAsia="en-US"/>
        </w:rPr>
        <w:t xml:space="preserve">. </w:t>
      </w:r>
      <w:r w:rsidR="00CA1355" w:rsidRPr="00C90FBA">
        <w:rPr>
          <w:rFonts w:asciiTheme="majorBidi" w:eastAsiaTheme="minorHAnsi" w:hAnsiTheme="majorBidi" w:cstheme="majorBidi"/>
          <w:lang w:eastAsia="en-US"/>
        </w:rPr>
        <w:t xml:space="preserve">Pieteicējas ieskatā, apgabaltiesa </w:t>
      </w:r>
      <w:r w:rsidR="00AB3D0B" w:rsidRPr="00C90FBA">
        <w:rPr>
          <w:rFonts w:asciiTheme="majorBidi" w:eastAsiaTheme="minorHAnsi" w:hAnsiTheme="majorBidi" w:cstheme="majorBidi"/>
          <w:lang w:eastAsia="en-US"/>
        </w:rPr>
        <w:t>nav</w:t>
      </w:r>
      <w:r w:rsidR="00CA1355" w:rsidRPr="00C90FBA">
        <w:rPr>
          <w:rFonts w:asciiTheme="majorBidi" w:eastAsiaTheme="minorHAnsi" w:hAnsiTheme="majorBidi" w:cstheme="majorBidi"/>
          <w:lang w:eastAsia="en-US"/>
        </w:rPr>
        <w:t xml:space="preserve"> </w:t>
      </w:r>
      <w:r w:rsidR="00CA1355" w:rsidRPr="00C90FBA">
        <w:rPr>
          <w:rFonts w:asciiTheme="majorBidi" w:hAnsiTheme="majorBidi" w:cstheme="majorBidi"/>
        </w:rPr>
        <w:t>ņēmusi vērā, ka brīvas izvēles jēdziens ir balstīts uz pietiekamu informācijas nodrošināšanu</w:t>
      </w:r>
      <w:r w:rsidR="00AB3D0B" w:rsidRPr="00C90FBA">
        <w:rPr>
          <w:rFonts w:asciiTheme="majorBidi" w:hAnsiTheme="majorBidi" w:cstheme="majorBidi"/>
        </w:rPr>
        <w:t xml:space="preserve"> un </w:t>
      </w:r>
      <w:r w:rsidR="00361473">
        <w:rPr>
          <w:rFonts w:asciiTheme="majorBidi" w:hAnsiTheme="majorBidi" w:cstheme="majorBidi"/>
        </w:rPr>
        <w:t xml:space="preserve">ka </w:t>
      </w:r>
      <w:r w:rsidR="00AB3D0B" w:rsidRPr="00C90FBA">
        <w:rPr>
          <w:rFonts w:asciiTheme="majorBidi" w:hAnsiTheme="majorBidi" w:cstheme="majorBidi"/>
        </w:rPr>
        <w:t>šo kritēriju pieteicēja esot izpildījusi</w:t>
      </w:r>
      <w:r w:rsidR="00CA1355" w:rsidRPr="00C90FBA">
        <w:rPr>
          <w:rFonts w:asciiTheme="majorBidi" w:hAnsiTheme="majorBidi" w:cstheme="majorBidi"/>
        </w:rPr>
        <w:t>.</w:t>
      </w:r>
    </w:p>
    <w:p w14:paraId="2526FB78" w14:textId="7916CDF8" w:rsidR="00DA7E25" w:rsidRPr="00C90FBA" w:rsidRDefault="00872AE1" w:rsidP="00AB14AB">
      <w:pPr>
        <w:autoSpaceDE w:val="0"/>
        <w:autoSpaceDN w:val="0"/>
        <w:adjustRightInd w:val="0"/>
        <w:spacing w:line="276" w:lineRule="auto"/>
        <w:ind w:firstLine="567"/>
        <w:jc w:val="both"/>
        <w:rPr>
          <w:rFonts w:asciiTheme="majorBidi" w:eastAsiaTheme="minorHAnsi" w:hAnsiTheme="majorBidi" w:cstheme="majorBidi"/>
          <w:i/>
          <w:iCs/>
          <w:lang w:eastAsia="en-US"/>
        </w:rPr>
      </w:pPr>
      <w:r w:rsidRPr="00C90FBA">
        <w:rPr>
          <w:rFonts w:asciiTheme="majorBidi" w:hAnsiTheme="majorBidi" w:cstheme="majorBidi"/>
        </w:rPr>
        <w:t xml:space="preserve">Apgabaltiesa </w:t>
      </w:r>
      <w:r w:rsidR="00284823">
        <w:rPr>
          <w:rFonts w:asciiTheme="majorBidi" w:hAnsiTheme="majorBidi" w:cstheme="majorBidi"/>
        </w:rPr>
        <w:t>spriedumā norādīja</w:t>
      </w:r>
      <w:r w:rsidR="00361473">
        <w:rPr>
          <w:rFonts w:asciiTheme="majorBidi" w:hAnsiTheme="majorBidi" w:cstheme="majorBidi"/>
        </w:rPr>
        <w:t>:</w:t>
      </w:r>
      <w:r w:rsidRPr="00C90FBA">
        <w:rPr>
          <w:rFonts w:asciiTheme="majorBidi" w:hAnsiTheme="majorBidi" w:cstheme="majorBidi"/>
        </w:rPr>
        <w:t xml:space="preserve"> </w:t>
      </w:r>
      <w:r w:rsidRPr="00C90FBA">
        <w:rPr>
          <w:rFonts w:asciiTheme="majorBidi" w:eastAsiaTheme="minorHAnsi" w:hAnsiTheme="majorBidi" w:cstheme="majorBidi"/>
          <w:lang w:eastAsia="en-US"/>
        </w:rPr>
        <w:t>ja tiek konstatēti apstākļi, kas liecina par Negodīgas komercprakses direktīvas</w:t>
      </w:r>
      <w:r w:rsidRPr="00C90FBA">
        <w:rPr>
          <w:rFonts w:asciiTheme="majorBidi" w:hAnsiTheme="majorBidi" w:cstheme="majorBidi"/>
        </w:rPr>
        <w:t xml:space="preserve"> </w:t>
      </w:r>
      <w:r w:rsidRPr="00C90FBA">
        <w:rPr>
          <w:rFonts w:asciiTheme="majorBidi" w:eastAsiaTheme="minorHAnsi" w:hAnsiTheme="majorBidi" w:cstheme="majorBidi"/>
          <w:lang w:eastAsia="en-US"/>
        </w:rPr>
        <w:t>1.pielikuma 24.–31.punktā norādīto prasību izpildīšanos, tad ir jāsecina, ka tā jau pati</w:t>
      </w:r>
      <w:r w:rsidRPr="00C90FBA">
        <w:rPr>
          <w:rFonts w:asciiTheme="majorBidi" w:hAnsiTheme="majorBidi" w:cstheme="majorBidi"/>
        </w:rPr>
        <w:t xml:space="preserve"> </w:t>
      </w:r>
      <w:r w:rsidRPr="00C90FBA">
        <w:rPr>
          <w:rFonts w:asciiTheme="majorBidi" w:eastAsiaTheme="minorHAnsi" w:hAnsiTheme="majorBidi" w:cstheme="majorBidi"/>
          <w:lang w:eastAsia="en-US"/>
        </w:rPr>
        <w:t>par sevi ir negodīga, tostarp agresīva komercprakse</w:t>
      </w:r>
      <w:r w:rsidR="00DA7E25" w:rsidRPr="00C90FBA">
        <w:rPr>
          <w:rFonts w:asciiTheme="majorBidi" w:eastAsiaTheme="minorHAnsi" w:hAnsiTheme="majorBidi" w:cstheme="majorBidi"/>
          <w:lang w:eastAsia="en-US"/>
        </w:rPr>
        <w:t xml:space="preserve">. </w:t>
      </w:r>
      <w:r w:rsidRPr="00C90FBA">
        <w:rPr>
          <w:rFonts w:asciiTheme="majorBidi" w:eastAsiaTheme="minorHAnsi" w:hAnsiTheme="majorBidi" w:cstheme="majorBidi"/>
          <w:lang w:eastAsia="en-US"/>
        </w:rPr>
        <w:t>Vienlaikus apgabaltiesa ņēm</w:t>
      </w:r>
      <w:r w:rsidR="006A7F2E" w:rsidRPr="00C90FBA">
        <w:rPr>
          <w:rFonts w:asciiTheme="majorBidi" w:eastAsiaTheme="minorHAnsi" w:hAnsiTheme="majorBidi" w:cstheme="majorBidi"/>
          <w:lang w:eastAsia="en-US"/>
        </w:rPr>
        <w:t>a</w:t>
      </w:r>
      <w:r w:rsidR="005E5B97" w:rsidRPr="00C90FBA">
        <w:rPr>
          <w:rFonts w:asciiTheme="majorBidi" w:eastAsiaTheme="minorHAnsi" w:hAnsiTheme="majorBidi" w:cstheme="majorBidi"/>
          <w:lang w:eastAsia="en-US"/>
        </w:rPr>
        <w:t xml:space="preserve"> </w:t>
      </w:r>
      <w:r w:rsidRPr="00C90FBA">
        <w:rPr>
          <w:rFonts w:asciiTheme="majorBidi" w:eastAsiaTheme="minorHAnsi" w:hAnsiTheme="majorBidi" w:cstheme="majorBidi"/>
          <w:lang w:eastAsia="en-US"/>
        </w:rPr>
        <w:t xml:space="preserve">vērā </w:t>
      </w:r>
      <w:proofErr w:type="spellStart"/>
      <w:r w:rsidR="0001417E" w:rsidRPr="00C90FBA">
        <w:rPr>
          <w:rFonts w:asciiTheme="majorBidi" w:hAnsiTheme="majorBidi" w:cstheme="majorBidi"/>
          <w:i/>
          <w:iCs/>
          <w:color w:val="000000" w:themeColor="text1"/>
        </w:rPr>
        <w:t>Wind</w:t>
      </w:r>
      <w:proofErr w:type="spellEnd"/>
      <w:r w:rsidR="0001417E" w:rsidRPr="00C90FBA">
        <w:rPr>
          <w:rFonts w:asciiTheme="majorBidi" w:hAnsiTheme="majorBidi" w:cstheme="majorBidi"/>
          <w:i/>
          <w:iCs/>
          <w:color w:val="000000" w:themeColor="text1"/>
        </w:rPr>
        <w:t xml:space="preserve"> </w:t>
      </w:r>
      <w:proofErr w:type="spellStart"/>
      <w:r w:rsidR="0001417E" w:rsidRPr="00C90FBA">
        <w:rPr>
          <w:rFonts w:asciiTheme="majorBidi" w:hAnsiTheme="majorBidi" w:cstheme="majorBidi"/>
          <w:i/>
          <w:iCs/>
          <w:color w:val="000000" w:themeColor="text1"/>
        </w:rPr>
        <w:t>Tre</w:t>
      </w:r>
      <w:proofErr w:type="spellEnd"/>
      <w:r w:rsidR="0001417E" w:rsidRPr="00C90FBA">
        <w:rPr>
          <w:rFonts w:asciiTheme="majorBidi" w:hAnsiTheme="majorBidi" w:cstheme="majorBidi"/>
          <w:i/>
          <w:iCs/>
          <w:color w:val="000000" w:themeColor="text1"/>
        </w:rPr>
        <w:t xml:space="preserve"> un </w:t>
      </w:r>
      <w:r w:rsidR="0001417E" w:rsidRPr="00C90FBA">
        <w:rPr>
          <w:rFonts w:asciiTheme="majorBidi" w:hAnsiTheme="majorBidi" w:cstheme="majorBidi"/>
          <w:i/>
          <w:iCs/>
          <w:color w:val="000000"/>
        </w:rPr>
        <w:t xml:space="preserve">Vodafone </w:t>
      </w:r>
      <w:proofErr w:type="spellStart"/>
      <w:r w:rsidR="0001417E" w:rsidRPr="00C90FBA">
        <w:rPr>
          <w:rFonts w:asciiTheme="majorBidi" w:hAnsiTheme="majorBidi" w:cstheme="majorBidi"/>
          <w:i/>
          <w:iCs/>
          <w:color w:val="000000"/>
        </w:rPr>
        <w:t>Italia</w:t>
      </w:r>
      <w:proofErr w:type="spellEnd"/>
      <w:r w:rsidR="0001417E" w:rsidRPr="00C90FBA">
        <w:rPr>
          <w:rFonts w:asciiTheme="majorBidi" w:eastAsiaTheme="minorHAnsi" w:hAnsiTheme="majorBidi" w:cstheme="majorBidi"/>
          <w:lang w:eastAsia="en-US"/>
        </w:rPr>
        <w:t xml:space="preserve"> </w:t>
      </w:r>
      <w:r w:rsidRPr="00C90FBA">
        <w:rPr>
          <w:rFonts w:asciiTheme="majorBidi" w:eastAsiaTheme="minorHAnsi" w:hAnsiTheme="majorBidi" w:cstheme="majorBidi"/>
          <w:lang w:eastAsia="en-US"/>
        </w:rPr>
        <w:t xml:space="preserve">lietā norādītās atziņas par to, kā piemērot Negodīgas komercprakses direktīvas 1.pielikuma </w:t>
      </w:r>
      <w:proofErr w:type="gramStart"/>
      <w:r w:rsidRPr="00C90FBA">
        <w:rPr>
          <w:rFonts w:asciiTheme="majorBidi" w:eastAsiaTheme="minorHAnsi" w:hAnsiTheme="majorBidi" w:cstheme="majorBidi"/>
          <w:lang w:eastAsia="en-US"/>
        </w:rPr>
        <w:t>29.punktu „nepasūtītu preču pārdošana”</w:t>
      </w:r>
      <w:proofErr w:type="gramEnd"/>
      <w:r w:rsidR="00C90FBA" w:rsidRPr="00C90FBA">
        <w:rPr>
          <w:rFonts w:asciiTheme="majorBidi" w:eastAsiaTheme="minorHAnsi" w:hAnsiTheme="majorBidi" w:cstheme="majorBidi"/>
          <w:lang w:eastAsia="en-US"/>
        </w:rPr>
        <w:t xml:space="preserve"> (</w:t>
      </w:r>
      <w:r w:rsidR="00C90FBA" w:rsidRPr="00C90FBA">
        <w:rPr>
          <w:rFonts w:asciiTheme="majorBidi" w:eastAsiaTheme="minorHAnsi" w:hAnsiTheme="majorBidi" w:cstheme="majorBidi"/>
          <w:i/>
          <w:iCs/>
          <w:lang w:eastAsia="en-US"/>
        </w:rPr>
        <w:t>sprieduma 44.</w:t>
      </w:r>
      <w:r w:rsidR="00C90FBA">
        <w:rPr>
          <w:rFonts w:asciiTheme="majorBidi" w:eastAsiaTheme="minorHAnsi" w:hAnsiTheme="majorBidi" w:cstheme="majorBidi"/>
          <w:i/>
          <w:iCs/>
          <w:lang w:eastAsia="en-US"/>
        </w:rPr>
        <w:t>–</w:t>
      </w:r>
      <w:r w:rsidR="00C90FBA" w:rsidRPr="00C90FBA">
        <w:rPr>
          <w:rFonts w:asciiTheme="majorBidi" w:eastAsiaTheme="minorHAnsi" w:hAnsiTheme="majorBidi" w:cstheme="majorBidi"/>
          <w:i/>
          <w:iCs/>
          <w:lang w:eastAsia="en-US"/>
        </w:rPr>
        <w:t xml:space="preserve">47.punkts ar atsaucēm uz tajos minēto Eiropas Savienības </w:t>
      </w:r>
      <w:r w:rsidR="00361473">
        <w:rPr>
          <w:rFonts w:asciiTheme="majorBidi" w:eastAsiaTheme="minorHAnsi" w:hAnsiTheme="majorBidi" w:cstheme="majorBidi"/>
          <w:i/>
          <w:iCs/>
          <w:lang w:eastAsia="en-US"/>
        </w:rPr>
        <w:t>T</w:t>
      </w:r>
      <w:r w:rsidR="00C90FBA" w:rsidRPr="00C90FBA">
        <w:rPr>
          <w:rFonts w:asciiTheme="majorBidi" w:eastAsiaTheme="minorHAnsi" w:hAnsiTheme="majorBidi" w:cstheme="majorBidi"/>
          <w:i/>
          <w:iCs/>
          <w:lang w:eastAsia="en-US"/>
        </w:rPr>
        <w:t>iesas judikatūru</w:t>
      </w:r>
      <w:r w:rsidR="00C90FBA" w:rsidRPr="00C90FBA">
        <w:rPr>
          <w:rFonts w:asciiTheme="majorBidi" w:eastAsiaTheme="minorHAnsi" w:hAnsiTheme="majorBidi" w:cstheme="majorBidi"/>
          <w:lang w:eastAsia="en-US"/>
        </w:rPr>
        <w:t xml:space="preserve">). </w:t>
      </w:r>
      <w:r w:rsidR="00AE47B5">
        <w:rPr>
          <w:rFonts w:asciiTheme="majorBidi" w:eastAsiaTheme="minorHAnsi" w:hAnsiTheme="majorBidi" w:cstheme="majorBidi"/>
          <w:lang w:eastAsia="en-US"/>
        </w:rPr>
        <w:t>Apgabaltiesa</w:t>
      </w:r>
      <w:r w:rsidR="00BA7218" w:rsidRPr="006A7F2E">
        <w:rPr>
          <w:rFonts w:asciiTheme="majorBidi" w:eastAsiaTheme="minorHAnsi" w:hAnsiTheme="majorBidi" w:cstheme="majorBidi"/>
          <w:lang w:eastAsia="en-US"/>
        </w:rPr>
        <w:t xml:space="preserve"> no minētā sprieduma secināja, ka </w:t>
      </w:r>
      <w:r w:rsidRPr="006A7F2E">
        <w:rPr>
          <w:rFonts w:asciiTheme="majorBidi" w:eastAsiaTheme="minorHAnsi" w:hAnsiTheme="majorBidi" w:cstheme="majorBidi"/>
          <w:lang w:eastAsia="en-US"/>
        </w:rPr>
        <w:t>pakalpojuma pieprasīšanai ir jānotiek pēc</w:t>
      </w:r>
      <w:r w:rsidR="00BA7218" w:rsidRPr="006A7F2E">
        <w:rPr>
          <w:rFonts w:asciiTheme="majorBidi" w:eastAsiaTheme="minorHAnsi" w:hAnsiTheme="majorBidi" w:cstheme="majorBidi"/>
          <w:lang w:eastAsia="en-US"/>
        </w:rPr>
        <w:t xml:space="preserve"> </w:t>
      </w:r>
      <w:r w:rsidRPr="006A7F2E">
        <w:rPr>
          <w:rFonts w:asciiTheme="majorBidi" w:eastAsiaTheme="minorHAnsi" w:hAnsiTheme="majorBidi" w:cstheme="majorBidi"/>
          <w:lang w:eastAsia="en-US"/>
        </w:rPr>
        <w:t>patērētāja brīvas izvēles, kas ietver skaidru un adekvātu informāciju par pakalpojumu</w:t>
      </w:r>
      <w:r w:rsidR="00BA7218" w:rsidRPr="006A7F2E">
        <w:rPr>
          <w:rFonts w:asciiTheme="majorBidi" w:eastAsiaTheme="minorHAnsi" w:hAnsiTheme="majorBidi" w:cstheme="majorBidi"/>
          <w:lang w:eastAsia="en-US"/>
        </w:rPr>
        <w:t xml:space="preserve"> </w:t>
      </w:r>
      <w:r w:rsidRPr="006A7F2E">
        <w:rPr>
          <w:rFonts w:asciiTheme="majorBidi" w:eastAsiaTheme="minorHAnsi" w:hAnsiTheme="majorBidi" w:cstheme="majorBidi"/>
          <w:lang w:eastAsia="en-US"/>
        </w:rPr>
        <w:t>vai preci, kas patērētājam ir būtiski svarīga, lai pieņemtu uz informāciju balstītu</w:t>
      </w:r>
      <w:r w:rsidR="00BA7218" w:rsidRPr="006A7F2E">
        <w:rPr>
          <w:rFonts w:asciiTheme="majorBidi" w:eastAsiaTheme="minorHAnsi" w:hAnsiTheme="majorBidi" w:cstheme="majorBidi"/>
          <w:lang w:eastAsia="en-US"/>
        </w:rPr>
        <w:t xml:space="preserve"> </w:t>
      </w:r>
      <w:r w:rsidRPr="006A7F2E">
        <w:rPr>
          <w:rFonts w:asciiTheme="majorBidi" w:eastAsiaTheme="minorHAnsi" w:hAnsiTheme="majorBidi" w:cstheme="majorBidi"/>
          <w:lang w:eastAsia="en-US"/>
        </w:rPr>
        <w:t>lēmumu (cena un līguma noslēgšanas sekas). Tādējādi apgabaltiesa piekr</w:t>
      </w:r>
      <w:r w:rsidR="00BA7218" w:rsidRPr="006A7F2E">
        <w:rPr>
          <w:rFonts w:asciiTheme="majorBidi" w:eastAsiaTheme="minorHAnsi" w:hAnsiTheme="majorBidi" w:cstheme="majorBidi"/>
          <w:lang w:eastAsia="en-US"/>
        </w:rPr>
        <w:t>ita</w:t>
      </w:r>
      <w:r w:rsidRPr="006A7F2E">
        <w:rPr>
          <w:rFonts w:asciiTheme="majorBidi" w:eastAsiaTheme="minorHAnsi" w:hAnsiTheme="majorBidi" w:cstheme="majorBidi"/>
          <w:lang w:eastAsia="en-US"/>
        </w:rPr>
        <w:t xml:space="preserve"> pieteicējas</w:t>
      </w:r>
      <w:r w:rsidR="00BA7218" w:rsidRPr="006A7F2E">
        <w:rPr>
          <w:rFonts w:asciiTheme="majorBidi" w:eastAsiaTheme="minorHAnsi" w:hAnsiTheme="majorBidi" w:cstheme="majorBidi"/>
          <w:lang w:eastAsia="en-US"/>
        </w:rPr>
        <w:t xml:space="preserve"> </w:t>
      </w:r>
      <w:r w:rsidRPr="006A7F2E">
        <w:rPr>
          <w:rFonts w:asciiTheme="majorBidi" w:eastAsiaTheme="minorHAnsi" w:hAnsiTheme="majorBidi" w:cstheme="majorBidi"/>
          <w:lang w:eastAsia="en-US"/>
        </w:rPr>
        <w:t>norādītajam, ka pienācīgai informēšanai par pakalpojumu ir nozīme, lai noteiktu, vai</w:t>
      </w:r>
      <w:r w:rsidR="00BA7218" w:rsidRPr="006A7F2E">
        <w:rPr>
          <w:rFonts w:asciiTheme="majorBidi" w:eastAsiaTheme="minorHAnsi" w:hAnsiTheme="majorBidi" w:cstheme="majorBidi"/>
          <w:lang w:eastAsia="en-US"/>
        </w:rPr>
        <w:t xml:space="preserve"> </w:t>
      </w:r>
      <w:r w:rsidRPr="006A7F2E">
        <w:rPr>
          <w:rFonts w:asciiTheme="majorBidi" w:eastAsiaTheme="minorHAnsi" w:hAnsiTheme="majorBidi" w:cstheme="majorBidi"/>
          <w:lang w:eastAsia="en-US"/>
        </w:rPr>
        <w:t>pakalpojums ir pasūtīts.</w:t>
      </w:r>
      <w:r w:rsidR="006A7F2E" w:rsidRPr="006A7F2E">
        <w:rPr>
          <w:rFonts w:asciiTheme="majorBidi" w:eastAsiaTheme="minorHAnsi" w:hAnsiTheme="majorBidi" w:cstheme="majorBidi"/>
          <w:lang w:eastAsia="en-US"/>
        </w:rPr>
        <w:t xml:space="preserve"> </w:t>
      </w:r>
    </w:p>
    <w:p w14:paraId="7DB8097A" w14:textId="43742FCE" w:rsidR="00004ED9" w:rsidRDefault="00DA7E25" w:rsidP="00AB14AB">
      <w:pPr>
        <w:spacing w:line="276" w:lineRule="auto"/>
        <w:ind w:firstLine="567"/>
        <w:jc w:val="both"/>
        <w:rPr>
          <w:rFonts w:asciiTheme="majorBidi" w:eastAsiaTheme="minorHAnsi" w:hAnsiTheme="majorBidi" w:cstheme="majorBidi"/>
          <w:color w:val="000000" w:themeColor="text1"/>
          <w:lang w:eastAsia="en-US"/>
        </w:rPr>
      </w:pPr>
      <w:r w:rsidRPr="0001417E">
        <w:rPr>
          <w:rFonts w:asciiTheme="majorBidi" w:hAnsiTheme="majorBidi" w:cstheme="majorBidi"/>
        </w:rPr>
        <w:lastRenderedPageBreak/>
        <w:t xml:space="preserve">Apgabaltiesa arī ņēma vērā </w:t>
      </w:r>
      <w:r w:rsidR="00E75409" w:rsidRPr="0001417E">
        <w:rPr>
          <w:rFonts w:asciiTheme="majorBidi" w:eastAsiaTheme="minorHAnsi" w:hAnsiTheme="majorBidi" w:cstheme="majorBidi"/>
          <w:lang w:eastAsia="en-US"/>
        </w:rPr>
        <w:t>Eiropas Savienības Tiesa atziņas lietā</w:t>
      </w:r>
      <w:r w:rsidR="00E75409" w:rsidRPr="0001417E">
        <w:rPr>
          <w:rFonts w:asciiTheme="majorBidi" w:hAnsiTheme="majorBidi" w:cstheme="majorBidi"/>
        </w:rPr>
        <w:t xml:space="preserve"> </w:t>
      </w:r>
      <w:r w:rsidR="00E75409" w:rsidRPr="0001417E">
        <w:rPr>
          <w:rFonts w:asciiTheme="majorBidi" w:eastAsiaTheme="minorHAnsi" w:hAnsiTheme="majorBidi" w:cstheme="majorBidi"/>
          <w:i/>
          <w:iCs/>
          <w:lang w:eastAsia="en-US"/>
        </w:rPr>
        <w:t xml:space="preserve">EVN </w:t>
      </w:r>
      <w:proofErr w:type="spellStart"/>
      <w:r w:rsidR="00E75409" w:rsidRPr="0001417E">
        <w:rPr>
          <w:rFonts w:asciiTheme="majorBidi" w:eastAsiaTheme="minorHAnsi" w:hAnsiTheme="majorBidi" w:cstheme="majorBidi"/>
          <w:i/>
          <w:iCs/>
          <w:lang w:eastAsia="en-US"/>
        </w:rPr>
        <w:t>Bulgaria</w:t>
      </w:r>
      <w:proofErr w:type="spellEnd"/>
      <w:r w:rsidR="00E75409" w:rsidRPr="0001417E">
        <w:rPr>
          <w:rFonts w:asciiTheme="majorBidi" w:eastAsiaTheme="minorHAnsi" w:hAnsiTheme="majorBidi" w:cstheme="majorBidi"/>
          <w:i/>
          <w:iCs/>
          <w:lang w:eastAsia="en-US"/>
        </w:rPr>
        <w:t xml:space="preserve"> </w:t>
      </w:r>
      <w:proofErr w:type="spellStart"/>
      <w:r w:rsidR="00E75409" w:rsidRPr="0001417E">
        <w:rPr>
          <w:rFonts w:asciiTheme="majorBidi" w:eastAsiaTheme="minorHAnsi" w:hAnsiTheme="majorBidi" w:cstheme="majorBidi"/>
          <w:i/>
          <w:iCs/>
          <w:lang w:eastAsia="en-US"/>
        </w:rPr>
        <w:t>Toplofikatsia</w:t>
      </w:r>
      <w:proofErr w:type="spellEnd"/>
      <w:r w:rsidR="0001417E" w:rsidRPr="00DC6B55">
        <w:rPr>
          <w:rFonts w:asciiTheme="majorBidi" w:eastAsiaTheme="minorHAnsi" w:hAnsiTheme="majorBidi" w:cstheme="majorBidi"/>
          <w:lang w:eastAsia="en-US"/>
        </w:rPr>
        <w:t>,</w:t>
      </w:r>
      <w:r w:rsidR="0001417E" w:rsidRPr="00DC6B55">
        <w:rPr>
          <w:rFonts w:asciiTheme="majorBidi" w:eastAsiaTheme="minorHAnsi" w:hAnsiTheme="majorBidi" w:cstheme="majorBidi"/>
          <w:i/>
          <w:iCs/>
          <w:lang w:eastAsia="en-US"/>
        </w:rPr>
        <w:t xml:space="preserve"> </w:t>
      </w:r>
      <w:r w:rsidR="00DC6B55" w:rsidRPr="00DC6B55">
        <w:rPr>
          <w:rFonts w:asciiTheme="majorBidi" w:eastAsiaTheme="minorHAnsi" w:hAnsiTheme="majorBidi" w:cstheme="majorBidi"/>
          <w:lang w:eastAsia="en-US"/>
        </w:rPr>
        <w:t xml:space="preserve">ka „nepasūtītu preču pārdošana” </w:t>
      </w:r>
      <w:r w:rsidR="0042646F" w:rsidRPr="00004ED9">
        <w:rPr>
          <w:rFonts w:asciiTheme="majorBidi" w:eastAsiaTheme="minorHAnsi" w:hAnsiTheme="majorBidi" w:cstheme="majorBidi"/>
          <w:lang w:eastAsia="en-US"/>
        </w:rPr>
        <w:t>Negodīgas k</w:t>
      </w:r>
      <w:r w:rsidR="00DC6B55" w:rsidRPr="00004ED9">
        <w:rPr>
          <w:rFonts w:asciiTheme="majorBidi" w:eastAsiaTheme="minorHAnsi" w:hAnsiTheme="majorBidi" w:cstheme="majorBidi"/>
          <w:lang w:eastAsia="en-US"/>
        </w:rPr>
        <w:t>omercprakses direktīvas 1.pielikuma 29.punkta izpratnē</w:t>
      </w:r>
      <w:r w:rsidR="00361473">
        <w:rPr>
          <w:rFonts w:asciiTheme="majorBidi" w:eastAsiaTheme="minorHAnsi" w:hAnsiTheme="majorBidi" w:cstheme="majorBidi"/>
          <w:lang w:eastAsia="en-US"/>
        </w:rPr>
        <w:t xml:space="preserve"> (</w:t>
      </w:r>
      <w:r w:rsidR="00DC6B55" w:rsidRPr="00004ED9">
        <w:rPr>
          <w:rFonts w:asciiTheme="majorBidi" w:eastAsiaTheme="minorHAnsi" w:hAnsiTheme="majorBidi" w:cstheme="majorBidi"/>
          <w:lang w:eastAsia="en-US"/>
        </w:rPr>
        <w:t xml:space="preserve">uz kuru ir atsauce </w:t>
      </w:r>
      <w:r w:rsidR="00004ED9" w:rsidRPr="00004ED9">
        <w:rPr>
          <w:rFonts w:asciiTheme="majorBidi" w:hAnsiTheme="majorBidi" w:cstheme="majorBidi"/>
          <w:color w:val="000000"/>
        </w:rPr>
        <w:t xml:space="preserve">Eiropas Parlamenta un Padomes </w:t>
      </w:r>
      <w:proofErr w:type="gramStart"/>
      <w:r w:rsidR="00004ED9" w:rsidRPr="00004ED9">
        <w:rPr>
          <w:rFonts w:asciiTheme="majorBidi" w:hAnsiTheme="majorBidi" w:cstheme="majorBidi"/>
          <w:color w:val="000000"/>
        </w:rPr>
        <w:t>2011.gada</w:t>
      </w:r>
      <w:proofErr w:type="gramEnd"/>
      <w:r w:rsidR="00004ED9" w:rsidRPr="00004ED9">
        <w:rPr>
          <w:rFonts w:asciiTheme="majorBidi" w:hAnsiTheme="majorBidi" w:cstheme="majorBidi"/>
          <w:color w:val="000000"/>
        </w:rPr>
        <w:t xml:space="preserve"> 25.oktobra direktīvas 2011/83/ES par patērētāju tiesībām un ar ko groza Padomes Direktīvu 93/13/EEK un Eiropas Parlamenta un Padomes Direktīvu 1999/44/EK un atceļ Padomes Direktīvu 85/577/EEK un Eiropas Parlamenta un Padomes Direktīvu 97/7/EK </w:t>
      </w:r>
      <w:r w:rsidR="00DC6B55" w:rsidRPr="00004ED9">
        <w:rPr>
          <w:rFonts w:asciiTheme="majorBidi" w:eastAsiaTheme="minorHAnsi" w:hAnsiTheme="majorBidi" w:cstheme="majorBidi"/>
          <w:lang w:eastAsia="en-US"/>
        </w:rPr>
        <w:t>27.pantā</w:t>
      </w:r>
      <w:r w:rsidR="00361473">
        <w:rPr>
          <w:rFonts w:asciiTheme="majorBidi" w:eastAsiaTheme="minorHAnsi" w:hAnsiTheme="majorBidi" w:cstheme="majorBidi"/>
          <w:lang w:eastAsia="en-US"/>
        </w:rPr>
        <w:t>)</w:t>
      </w:r>
      <w:r w:rsidR="00DC6B55" w:rsidRPr="00004ED9">
        <w:rPr>
          <w:rFonts w:asciiTheme="majorBidi" w:eastAsiaTheme="minorHAnsi" w:hAnsiTheme="majorBidi" w:cstheme="majorBidi"/>
          <w:lang w:eastAsia="en-US"/>
        </w:rPr>
        <w:t xml:space="preserve"> </w:t>
      </w:r>
      <w:proofErr w:type="spellStart"/>
      <w:r w:rsidR="00361473">
        <w:rPr>
          <w:rFonts w:asciiTheme="majorBidi" w:eastAsiaTheme="minorHAnsi" w:hAnsiTheme="majorBidi" w:cstheme="majorBidi"/>
          <w:lang w:eastAsia="en-US"/>
        </w:rPr>
        <w:t>cit</w:t>
      </w:r>
      <w:r w:rsidR="00DC6B55" w:rsidRPr="00004ED9">
        <w:rPr>
          <w:rFonts w:asciiTheme="majorBidi" w:eastAsiaTheme="minorHAnsi" w:hAnsiTheme="majorBidi" w:cstheme="majorBidi"/>
          <w:lang w:eastAsia="en-US"/>
        </w:rPr>
        <w:t>starp</w:t>
      </w:r>
      <w:proofErr w:type="spellEnd"/>
      <w:r w:rsidR="00DC6B55" w:rsidRPr="00004ED9">
        <w:rPr>
          <w:rFonts w:asciiTheme="majorBidi" w:eastAsiaTheme="minorHAnsi" w:hAnsiTheme="majorBidi" w:cstheme="majorBidi"/>
          <w:lang w:eastAsia="en-US"/>
        </w:rPr>
        <w:t xml:space="preserve"> ir tāda rīcība, kad komersants pieprasa patērētājam samaksāt par preci vai pakalpojumu, kas sniegts šim</w:t>
      </w:r>
      <w:r w:rsidR="00DC6B55" w:rsidRPr="00DC6B55">
        <w:rPr>
          <w:rFonts w:asciiTheme="majorBidi" w:eastAsiaTheme="minorHAnsi" w:hAnsiTheme="majorBidi" w:cstheme="majorBidi"/>
          <w:lang w:eastAsia="en-US"/>
        </w:rPr>
        <w:t xml:space="preserve"> patērētājam, lai arī viņš to nav pasūtījis. Kā ģenerāladvokāts ir norādījis secinājumu 58.punktā, tādējādi direktīvas</w:t>
      </w:r>
      <w:r w:rsidR="00004ED9">
        <w:rPr>
          <w:rFonts w:asciiTheme="majorBidi" w:eastAsiaTheme="minorHAnsi" w:hAnsiTheme="majorBidi" w:cstheme="majorBidi"/>
          <w:lang w:eastAsia="en-US"/>
        </w:rPr>
        <w:t xml:space="preserve"> 2011/83</w:t>
      </w:r>
      <w:r w:rsidR="00DC6B55" w:rsidRPr="00DC6B55">
        <w:rPr>
          <w:rFonts w:asciiTheme="majorBidi" w:eastAsiaTheme="minorHAnsi" w:hAnsiTheme="majorBidi" w:cstheme="majorBidi"/>
          <w:lang w:eastAsia="en-US"/>
        </w:rPr>
        <w:t xml:space="preserve"> 27.panta mērķis ir liegt komersantam uzspiest patērētājam līgumiskas attiecības, kurām viņš nav brīvi piekritis</w:t>
      </w:r>
      <w:r w:rsidR="00004ED9">
        <w:rPr>
          <w:rFonts w:asciiTheme="majorBidi" w:eastAsiaTheme="minorHAnsi" w:hAnsiTheme="majorBidi" w:cstheme="majorBidi"/>
          <w:lang w:eastAsia="en-US"/>
        </w:rPr>
        <w:t xml:space="preserve"> </w:t>
      </w:r>
      <w:r w:rsidR="00004ED9" w:rsidRPr="00044026">
        <w:rPr>
          <w:rFonts w:asciiTheme="majorBidi" w:eastAsiaTheme="minorHAnsi" w:hAnsiTheme="majorBidi" w:cstheme="majorBidi"/>
          <w:color w:val="000000" w:themeColor="text1"/>
          <w:lang w:eastAsia="en-US"/>
        </w:rPr>
        <w:t>(</w:t>
      </w:r>
      <w:r w:rsidR="00004ED9" w:rsidRPr="0001417E">
        <w:rPr>
          <w:rFonts w:asciiTheme="majorBidi" w:eastAsiaTheme="minorHAnsi" w:hAnsiTheme="majorBidi" w:cstheme="majorBidi"/>
          <w:i/>
          <w:iCs/>
          <w:color w:val="000000" w:themeColor="text1"/>
          <w:lang w:eastAsia="en-US"/>
        </w:rPr>
        <w:t xml:space="preserve">Eiropas Savienības Tiesas 2019.gada 5.decembra spriedums apvienotajā lietā </w:t>
      </w:r>
      <w:r w:rsidR="00361473">
        <w:rPr>
          <w:rFonts w:asciiTheme="majorBidi" w:eastAsiaTheme="minorHAnsi" w:hAnsiTheme="majorBidi" w:cstheme="majorBidi"/>
          <w:i/>
          <w:iCs/>
          <w:color w:val="000000" w:themeColor="text1"/>
          <w:lang w:eastAsia="en-US"/>
        </w:rPr>
        <w:t>„</w:t>
      </w:r>
      <w:r w:rsidR="00004ED9" w:rsidRPr="0001417E">
        <w:rPr>
          <w:rFonts w:asciiTheme="majorBidi" w:eastAsiaTheme="minorHAnsi" w:hAnsiTheme="majorBidi" w:cstheme="majorBidi"/>
          <w:i/>
          <w:iCs/>
          <w:color w:val="000000" w:themeColor="text1"/>
          <w:lang w:eastAsia="en-US"/>
        </w:rPr>
        <w:t xml:space="preserve">EVN </w:t>
      </w:r>
      <w:proofErr w:type="spellStart"/>
      <w:r w:rsidR="00004ED9" w:rsidRPr="0001417E">
        <w:rPr>
          <w:rFonts w:asciiTheme="majorBidi" w:eastAsiaTheme="minorHAnsi" w:hAnsiTheme="majorBidi" w:cstheme="majorBidi"/>
          <w:i/>
          <w:iCs/>
          <w:color w:val="000000" w:themeColor="text1"/>
          <w:lang w:eastAsia="en-US"/>
        </w:rPr>
        <w:t>Bulgaria</w:t>
      </w:r>
      <w:proofErr w:type="spellEnd"/>
      <w:r w:rsidR="00004ED9" w:rsidRPr="0001417E">
        <w:rPr>
          <w:rFonts w:asciiTheme="majorBidi" w:eastAsiaTheme="minorHAnsi" w:hAnsiTheme="majorBidi" w:cstheme="majorBidi"/>
          <w:i/>
          <w:iCs/>
          <w:color w:val="000000" w:themeColor="text1"/>
          <w:lang w:eastAsia="en-US"/>
        </w:rPr>
        <w:t xml:space="preserve"> </w:t>
      </w:r>
      <w:proofErr w:type="spellStart"/>
      <w:r w:rsidR="00004ED9" w:rsidRPr="0001417E">
        <w:rPr>
          <w:rFonts w:asciiTheme="majorBidi" w:eastAsiaTheme="minorHAnsi" w:hAnsiTheme="majorBidi" w:cstheme="majorBidi"/>
          <w:i/>
          <w:iCs/>
          <w:color w:val="000000" w:themeColor="text1"/>
          <w:lang w:eastAsia="en-US"/>
        </w:rPr>
        <w:t>Toplofikatsia</w:t>
      </w:r>
      <w:proofErr w:type="spellEnd"/>
      <w:r w:rsidR="00361473">
        <w:rPr>
          <w:rFonts w:asciiTheme="majorBidi" w:eastAsiaTheme="minorHAnsi" w:hAnsiTheme="majorBidi" w:cstheme="majorBidi"/>
          <w:i/>
          <w:iCs/>
          <w:color w:val="000000" w:themeColor="text1"/>
          <w:lang w:eastAsia="en-US"/>
        </w:rPr>
        <w:t>”</w:t>
      </w:r>
      <w:r w:rsidR="00004ED9" w:rsidRPr="0001417E">
        <w:rPr>
          <w:rFonts w:asciiTheme="majorBidi" w:eastAsiaTheme="minorHAnsi" w:hAnsiTheme="majorBidi" w:cstheme="majorBidi"/>
          <w:i/>
          <w:iCs/>
          <w:color w:val="000000" w:themeColor="text1"/>
          <w:lang w:eastAsia="en-US"/>
        </w:rPr>
        <w:t>,</w:t>
      </w:r>
      <w:r w:rsidR="00004ED9" w:rsidRPr="0001417E">
        <w:rPr>
          <w:rFonts w:asciiTheme="majorBidi" w:hAnsiTheme="majorBidi" w:cstheme="majorBidi"/>
          <w:i/>
          <w:iCs/>
          <w:color w:val="000000" w:themeColor="text1"/>
        </w:rPr>
        <w:t xml:space="preserve"> C</w:t>
      </w:r>
      <w:r w:rsidR="00004ED9" w:rsidRPr="0001417E">
        <w:rPr>
          <w:rFonts w:asciiTheme="majorBidi" w:hAnsiTheme="majorBidi" w:cstheme="majorBidi"/>
          <w:i/>
          <w:iCs/>
          <w:color w:val="000000" w:themeColor="text1"/>
        </w:rPr>
        <w:noBreakHyphen/>
        <w:t>708/17 un C</w:t>
      </w:r>
      <w:r w:rsidR="00004ED9" w:rsidRPr="0001417E">
        <w:rPr>
          <w:rFonts w:asciiTheme="majorBidi" w:hAnsiTheme="majorBidi" w:cstheme="majorBidi"/>
          <w:i/>
          <w:iCs/>
          <w:color w:val="000000" w:themeColor="text1"/>
        </w:rPr>
        <w:noBreakHyphen/>
        <w:t xml:space="preserve">725/17, ECLI:EU:C:2019:1049 </w:t>
      </w:r>
      <w:r w:rsidR="00004ED9" w:rsidRPr="0001417E">
        <w:rPr>
          <w:rFonts w:asciiTheme="majorBidi" w:eastAsiaTheme="minorHAnsi" w:hAnsiTheme="majorBidi" w:cstheme="majorBidi"/>
          <w:i/>
          <w:iCs/>
          <w:color w:val="000000" w:themeColor="text1"/>
          <w:lang w:eastAsia="en-US"/>
        </w:rPr>
        <w:t xml:space="preserve">, </w:t>
      </w:r>
      <w:r w:rsidR="00004ED9">
        <w:rPr>
          <w:rFonts w:asciiTheme="majorBidi" w:eastAsiaTheme="minorHAnsi" w:hAnsiTheme="majorBidi" w:cstheme="majorBidi"/>
          <w:i/>
          <w:iCs/>
          <w:color w:val="000000" w:themeColor="text1"/>
          <w:lang w:eastAsia="en-US"/>
        </w:rPr>
        <w:t>63.–65.punkt</w:t>
      </w:r>
      <w:r w:rsidR="00384163">
        <w:rPr>
          <w:rFonts w:asciiTheme="majorBidi" w:eastAsiaTheme="minorHAnsi" w:hAnsiTheme="majorBidi" w:cstheme="majorBidi"/>
          <w:i/>
          <w:iCs/>
          <w:color w:val="000000" w:themeColor="text1"/>
          <w:lang w:eastAsia="en-US"/>
        </w:rPr>
        <w:t>s</w:t>
      </w:r>
      <w:r w:rsidR="00004ED9" w:rsidRPr="00044026">
        <w:rPr>
          <w:rFonts w:asciiTheme="majorBidi" w:eastAsiaTheme="minorHAnsi" w:hAnsiTheme="majorBidi" w:cstheme="majorBidi"/>
          <w:color w:val="000000" w:themeColor="text1"/>
          <w:lang w:eastAsia="en-US"/>
        </w:rPr>
        <w:t>)</w:t>
      </w:r>
      <w:r w:rsidR="00004ED9">
        <w:rPr>
          <w:rFonts w:asciiTheme="majorBidi" w:eastAsiaTheme="minorHAnsi" w:hAnsiTheme="majorBidi" w:cstheme="majorBidi"/>
          <w:color w:val="000000" w:themeColor="text1"/>
          <w:lang w:eastAsia="en-US"/>
        </w:rPr>
        <w:t>.</w:t>
      </w:r>
    </w:p>
    <w:p w14:paraId="63F81ACC" w14:textId="65D25E3C" w:rsidR="00D11B60" w:rsidRDefault="00DC6B55" w:rsidP="00AB14AB">
      <w:pPr>
        <w:autoSpaceDE w:val="0"/>
        <w:autoSpaceDN w:val="0"/>
        <w:adjustRightInd w:val="0"/>
        <w:spacing w:line="276" w:lineRule="auto"/>
        <w:ind w:firstLine="567"/>
        <w:jc w:val="both"/>
        <w:rPr>
          <w:rFonts w:asciiTheme="majorBidi" w:eastAsiaTheme="minorHAnsi" w:hAnsiTheme="majorBidi" w:cstheme="majorBidi"/>
          <w:lang w:eastAsia="en-US"/>
        </w:rPr>
      </w:pPr>
      <w:r w:rsidRPr="00DC6B55">
        <w:rPr>
          <w:rFonts w:asciiTheme="majorBidi" w:eastAsiaTheme="minorHAnsi" w:hAnsiTheme="majorBidi" w:cstheme="majorBidi"/>
          <w:lang w:eastAsia="en-US"/>
        </w:rPr>
        <w:t xml:space="preserve">Apgabaltiesa </w:t>
      </w:r>
      <w:r w:rsidR="00004ED9">
        <w:rPr>
          <w:rFonts w:asciiTheme="majorBidi" w:eastAsiaTheme="minorHAnsi" w:hAnsiTheme="majorBidi" w:cstheme="majorBidi"/>
          <w:lang w:eastAsia="en-US"/>
        </w:rPr>
        <w:t>novērtēj</w:t>
      </w:r>
      <w:r w:rsidR="00C62F86">
        <w:rPr>
          <w:rFonts w:asciiTheme="majorBidi" w:eastAsiaTheme="minorHAnsi" w:hAnsiTheme="majorBidi" w:cstheme="majorBidi"/>
          <w:lang w:eastAsia="en-US"/>
        </w:rPr>
        <w:t>a</w:t>
      </w:r>
      <w:r w:rsidR="00004ED9">
        <w:rPr>
          <w:rFonts w:asciiTheme="majorBidi" w:eastAsiaTheme="minorHAnsi" w:hAnsiTheme="majorBidi" w:cstheme="majorBidi"/>
          <w:lang w:eastAsia="en-US"/>
        </w:rPr>
        <w:t xml:space="preserve"> izskatāmās</w:t>
      </w:r>
      <w:r w:rsidRPr="00DC6B55">
        <w:rPr>
          <w:rFonts w:asciiTheme="majorBidi" w:eastAsiaTheme="minorHAnsi" w:hAnsiTheme="majorBidi" w:cstheme="majorBidi"/>
          <w:lang w:eastAsia="en-US"/>
        </w:rPr>
        <w:t xml:space="preserve"> lietas</w:t>
      </w:r>
      <w:r w:rsidR="00C62F86">
        <w:rPr>
          <w:rFonts w:asciiTheme="majorBidi" w:eastAsiaTheme="minorHAnsi" w:hAnsiTheme="majorBidi" w:cstheme="majorBidi"/>
          <w:lang w:eastAsia="en-US"/>
        </w:rPr>
        <w:t xml:space="preserve"> faktiskos</w:t>
      </w:r>
      <w:r w:rsidRPr="00DC6B55">
        <w:rPr>
          <w:rFonts w:asciiTheme="majorBidi" w:eastAsiaTheme="minorHAnsi" w:hAnsiTheme="majorBidi" w:cstheme="majorBidi"/>
          <w:lang w:eastAsia="en-US"/>
        </w:rPr>
        <w:t xml:space="preserve"> apstākļus</w:t>
      </w:r>
      <w:r w:rsidR="00C62F86">
        <w:rPr>
          <w:rFonts w:asciiTheme="majorBidi" w:eastAsiaTheme="minorHAnsi" w:hAnsiTheme="majorBidi" w:cstheme="majorBidi"/>
          <w:lang w:eastAsia="en-US"/>
        </w:rPr>
        <w:t>,</w:t>
      </w:r>
      <w:r w:rsidR="001E3C7A">
        <w:rPr>
          <w:rFonts w:asciiTheme="majorBidi" w:eastAsiaTheme="minorHAnsi" w:hAnsiTheme="majorBidi" w:cstheme="majorBidi"/>
          <w:lang w:eastAsia="en-US"/>
        </w:rPr>
        <w:t xml:space="preserve"> ņ</w:t>
      </w:r>
      <w:r w:rsidR="00C62F86">
        <w:rPr>
          <w:rFonts w:asciiTheme="majorBidi" w:eastAsiaTheme="minorHAnsi" w:hAnsiTheme="majorBidi" w:cstheme="majorBidi"/>
          <w:lang w:eastAsia="en-US"/>
        </w:rPr>
        <w:t>e</w:t>
      </w:r>
      <w:r w:rsidR="001E3C7A">
        <w:rPr>
          <w:rFonts w:asciiTheme="majorBidi" w:eastAsiaTheme="minorHAnsi" w:hAnsiTheme="majorBidi" w:cstheme="majorBidi"/>
          <w:lang w:eastAsia="en-US"/>
        </w:rPr>
        <w:t>m</w:t>
      </w:r>
      <w:r w:rsidR="00C62F86">
        <w:rPr>
          <w:rFonts w:asciiTheme="majorBidi" w:eastAsiaTheme="minorHAnsi" w:hAnsiTheme="majorBidi" w:cstheme="majorBidi"/>
          <w:lang w:eastAsia="en-US"/>
        </w:rPr>
        <w:t>ot</w:t>
      </w:r>
      <w:r w:rsidR="001E3C7A">
        <w:rPr>
          <w:rFonts w:asciiTheme="majorBidi" w:eastAsiaTheme="minorHAnsi" w:hAnsiTheme="majorBidi" w:cstheme="majorBidi"/>
          <w:lang w:eastAsia="en-US"/>
        </w:rPr>
        <w:t xml:space="preserve"> vērā Eiropas Savienības Tiesas atziņas</w:t>
      </w:r>
      <w:r w:rsidRPr="00DC6B55">
        <w:rPr>
          <w:rFonts w:asciiTheme="majorBidi" w:eastAsiaTheme="minorHAnsi" w:hAnsiTheme="majorBidi" w:cstheme="majorBidi"/>
          <w:lang w:eastAsia="en-US"/>
        </w:rPr>
        <w:t>,</w:t>
      </w:r>
      <w:r w:rsidR="001E3C7A">
        <w:rPr>
          <w:rFonts w:asciiTheme="majorBidi" w:eastAsiaTheme="minorHAnsi" w:hAnsiTheme="majorBidi" w:cstheme="majorBidi"/>
          <w:lang w:eastAsia="en-US"/>
        </w:rPr>
        <w:t xml:space="preserve"> un tā rezultātā</w:t>
      </w:r>
      <w:r w:rsidRPr="00DC6B55">
        <w:rPr>
          <w:rFonts w:asciiTheme="majorBidi" w:eastAsiaTheme="minorHAnsi" w:hAnsiTheme="majorBidi" w:cstheme="majorBidi"/>
          <w:lang w:eastAsia="en-US"/>
        </w:rPr>
        <w:t xml:space="preserve"> </w:t>
      </w:r>
      <w:r w:rsidR="00C62F86">
        <w:rPr>
          <w:rFonts w:asciiTheme="majorBidi" w:eastAsiaTheme="minorHAnsi" w:hAnsiTheme="majorBidi" w:cstheme="majorBidi"/>
          <w:lang w:eastAsia="en-US"/>
        </w:rPr>
        <w:t>secināja</w:t>
      </w:r>
      <w:r w:rsidRPr="00DC6B55">
        <w:rPr>
          <w:rFonts w:asciiTheme="majorBidi" w:eastAsiaTheme="minorHAnsi" w:hAnsiTheme="majorBidi" w:cstheme="majorBidi"/>
          <w:lang w:eastAsia="en-US"/>
        </w:rPr>
        <w:t>, ka patērētājiem nav bijusi atstāta brīva un nepiespiesta izvēle par pakalpojuma lietošanu vai atteikšanos no tā, kaut arī pieteicēja par to patērētājus bija informējusi gan ar īsziņu palīdzību, gan publicējot informāciju interneta vietnē.</w:t>
      </w:r>
      <w:r w:rsidR="00D11B60">
        <w:rPr>
          <w:rFonts w:asciiTheme="majorBidi" w:eastAsiaTheme="minorHAnsi" w:hAnsiTheme="majorBidi" w:cstheme="majorBidi"/>
          <w:lang w:eastAsia="en-US"/>
        </w:rPr>
        <w:t xml:space="preserve"> </w:t>
      </w:r>
      <w:r w:rsidR="00D11B60" w:rsidRPr="00D11B60">
        <w:rPr>
          <w:rFonts w:asciiTheme="majorBidi" w:hAnsiTheme="majorBidi" w:cstheme="majorBidi"/>
        </w:rPr>
        <w:t xml:space="preserve">No pierādījumiem lietā apgabaltiesa </w:t>
      </w:r>
      <w:r w:rsidR="001E3C7A">
        <w:rPr>
          <w:rFonts w:asciiTheme="majorBidi" w:hAnsiTheme="majorBidi" w:cstheme="majorBidi"/>
        </w:rPr>
        <w:t>secināja</w:t>
      </w:r>
      <w:r w:rsidR="00D11B60" w:rsidRPr="00D11B60">
        <w:rPr>
          <w:rFonts w:asciiTheme="majorBidi" w:hAnsiTheme="majorBidi" w:cstheme="majorBidi"/>
        </w:rPr>
        <w:t xml:space="preserve">, ka </w:t>
      </w:r>
      <w:r w:rsidR="00D11B60" w:rsidRPr="00D11B60">
        <w:rPr>
          <w:rFonts w:asciiTheme="majorBidi" w:eastAsiaTheme="minorHAnsi" w:hAnsiTheme="majorBidi" w:cstheme="majorBidi"/>
          <w:lang w:eastAsia="en-US"/>
        </w:rPr>
        <w:t>pieteicēja, īstenojot apstrīdēto komercpraksi,</w:t>
      </w:r>
      <w:r w:rsidR="00D11B60" w:rsidRPr="00D11B60">
        <w:rPr>
          <w:rFonts w:asciiTheme="majorBidi" w:hAnsiTheme="majorBidi" w:cstheme="majorBidi"/>
        </w:rPr>
        <w:t xml:space="preserve"> </w:t>
      </w:r>
      <w:r w:rsidR="00D11B60" w:rsidRPr="00D11B60">
        <w:rPr>
          <w:rFonts w:asciiTheme="majorBidi" w:eastAsiaTheme="minorHAnsi" w:hAnsiTheme="majorBidi" w:cstheme="majorBidi"/>
          <w:lang w:eastAsia="en-US"/>
        </w:rPr>
        <w:t>būtiski samazināja patērētāju izvēles brīvību, jo, iztrūkstot aktīvai patērētāja rīcībai,</w:t>
      </w:r>
      <w:r w:rsidR="00D11B60" w:rsidRPr="00D11B60">
        <w:rPr>
          <w:rFonts w:asciiTheme="majorBidi" w:hAnsiTheme="majorBidi" w:cstheme="majorBidi"/>
        </w:rPr>
        <w:t xml:space="preserve"> </w:t>
      </w:r>
      <w:r w:rsidR="00D11B60" w:rsidRPr="00D11B60">
        <w:rPr>
          <w:rFonts w:asciiTheme="majorBidi" w:eastAsiaTheme="minorHAnsi" w:hAnsiTheme="majorBidi" w:cstheme="majorBidi"/>
          <w:lang w:eastAsia="en-US"/>
        </w:rPr>
        <w:t>patērētājam iestātos nelabvēlīgas sekas.</w:t>
      </w:r>
      <w:r w:rsidR="00B96B34">
        <w:rPr>
          <w:rFonts w:asciiTheme="majorBidi" w:eastAsiaTheme="minorHAnsi" w:hAnsiTheme="majorBidi" w:cstheme="majorBidi"/>
          <w:lang w:eastAsia="en-US"/>
        </w:rPr>
        <w:t xml:space="preserve"> </w:t>
      </w:r>
    </w:p>
    <w:p w14:paraId="48002C1E" w14:textId="3D9E6B50" w:rsidR="00C90FBA" w:rsidRDefault="00004ED9" w:rsidP="00AB14AB">
      <w:pPr>
        <w:autoSpaceDE w:val="0"/>
        <w:autoSpaceDN w:val="0"/>
        <w:adjustRightInd w:val="0"/>
        <w:spacing w:line="276" w:lineRule="auto"/>
        <w:ind w:firstLine="567"/>
        <w:jc w:val="both"/>
      </w:pPr>
      <w:r>
        <w:rPr>
          <w:rFonts w:asciiTheme="majorBidi" w:eastAsiaTheme="minorHAnsi" w:hAnsiTheme="majorBidi" w:cstheme="majorBidi"/>
          <w:lang w:eastAsia="en-US"/>
        </w:rPr>
        <w:t>Tādējādi senatoru kolēģija atzīst, ka</w:t>
      </w:r>
      <w:r w:rsidR="00284823">
        <w:rPr>
          <w:rFonts w:asciiTheme="majorBidi" w:eastAsiaTheme="minorHAnsi" w:hAnsiTheme="majorBidi" w:cstheme="majorBidi"/>
          <w:lang w:eastAsia="en-US"/>
        </w:rPr>
        <w:t xml:space="preserve"> </w:t>
      </w:r>
      <w:r>
        <w:rPr>
          <w:rFonts w:asciiTheme="majorBidi" w:eastAsiaTheme="minorHAnsi" w:hAnsiTheme="majorBidi" w:cstheme="majorBidi"/>
          <w:lang w:eastAsia="en-US"/>
        </w:rPr>
        <w:t>apgabaltiesa</w:t>
      </w:r>
      <w:r w:rsidR="00EC00A6">
        <w:rPr>
          <w:rFonts w:asciiTheme="majorBidi" w:eastAsiaTheme="minorHAnsi" w:hAnsiTheme="majorBidi" w:cstheme="majorBidi"/>
          <w:lang w:eastAsia="en-US"/>
        </w:rPr>
        <w:t>,</w:t>
      </w:r>
      <w:r w:rsidR="003737EF">
        <w:rPr>
          <w:rFonts w:asciiTheme="majorBidi" w:eastAsiaTheme="minorHAnsi" w:hAnsiTheme="majorBidi" w:cstheme="majorBidi"/>
          <w:lang w:eastAsia="en-US"/>
        </w:rPr>
        <w:t xml:space="preserve"> </w:t>
      </w:r>
      <w:r w:rsidR="00C90FBA" w:rsidRPr="006A7F2E">
        <w:rPr>
          <w:rFonts w:asciiTheme="majorBidi" w:hAnsiTheme="majorBidi" w:cstheme="majorBidi"/>
        </w:rPr>
        <w:t xml:space="preserve">interpretējot patērētāja brīvas izvēles jēdzienu, </w:t>
      </w:r>
      <w:r w:rsidR="00C90FBA">
        <w:rPr>
          <w:rFonts w:asciiTheme="majorBidi" w:hAnsiTheme="majorBidi" w:cstheme="majorBidi"/>
        </w:rPr>
        <w:t xml:space="preserve">pamatoti </w:t>
      </w:r>
      <w:r w:rsidR="00C90FBA" w:rsidRPr="006A7F2E">
        <w:rPr>
          <w:rFonts w:asciiTheme="majorBidi" w:eastAsiaTheme="minorHAnsi" w:hAnsiTheme="majorBidi" w:cstheme="majorBidi"/>
          <w:lang w:eastAsia="en-US"/>
        </w:rPr>
        <w:t>neaprobežojās</w:t>
      </w:r>
      <w:r w:rsidR="00C90FBA" w:rsidRPr="006A7F2E">
        <w:rPr>
          <w:rFonts w:asciiTheme="majorBidi" w:hAnsiTheme="majorBidi" w:cstheme="majorBidi"/>
        </w:rPr>
        <w:t xml:space="preserve"> tikai ar patērētāja informēšanas pienākum</w:t>
      </w:r>
      <w:r w:rsidR="00C90FBA">
        <w:rPr>
          <w:rFonts w:asciiTheme="majorBidi" w:hAnsiTheme="majorBidi" w:cstheme="majorBidi"/>
        </w:rPr>
        <w:t>a novērtējumu</w:t>
      </w:r>
      <w:r w:rsidR="00C90FBA" w:rsidRPr="006A7F2E">
        <w:rPr>
          <w:rFonts w:asciiTheme="majorBidi" w:hAnsiTheme="majorBidi" w:cstheme="majorBidi"/>
        </w:rPr>
        <w:t xml:space="preserve">, bet vērtēja arī to, kā apstrīdētā prakse ietekmēja patērētāju </w:t>
      </w:r>
      <w:r w:rsidR="00C90FBA" w:rsidRPr="006A7F2E">
        <w:rPr>
          <w:rFonts w:asciiTheme="majorBidi" w:eastAsiaTheme="minorHAnsi" w:hAnsiTheme="majorBidi" w:cstheme="majorBidi"/>
          <w:lang w:eastAsia="en-US"/>
        </w:rPr>
        <w:t>izvēles vai rīcības brīvību</w:t>
      </w:r>
      <w:r w:rsidR="00C90FBA">
        <w:rPr>
          <w:rFonts w:asciiTheme="majorBidi" w:eastAsiaTheme="minorHAnsi" w:hAnsiTheme="majorBidi" w:cstheme="majorBidi"/>
          <w:lang w:eastAsia="en-US"/>
        </w:rPr>
        <w:t xml:space="preserve">. </w:t>
      </w:r>
    </w:p>
    <w:p w14:paraId="677C2C32" w14:textId="21B864B7" w:rsidR="00514E6C" w:rsidRDefault="00514E6C" w:rsidP="00AB14AB">
      <w:pPr>
        <w:autoSpaceDE w:val="0"/>
        <w:autoSpaceDN w:val="0"/>
        <w:adjustRightInd w:val="0"/>
        <w:spacing w:line="276" w:lineRule="auto"/>
        <w:ind w:firstLine="567"/>
        <w:jc w:val="both"/>
      </w:pPr>
    </w:p>
    <w:p w14:paraId="024805A9" w14:textId="39392B8B" w:rsidR="00293709" w:rsidRDefault="00514E6C" w:rsidP="00AB14AB">
      <w:pPr>
        <w:autoSpaceDE w:val="0"/>
        <w:autoSpaceDN w:val="0"/>
        <w:adjustRightInd w:val="0"/>
        <w:spacing w:line="276" w:lineRule="auto"/>
        <w:ind w:firstLine="567"/>
        <w:jc w:val="both"/>
      </w:pPr>
      <w:r>
        <w:t>[5] </w:t>
      </w:r>
      <w:r w:rsidR="00293709">
        <w:t>Pieteicēja kasācijas sūdzībā norāda, ka apgabaltiesa</w:t>
      </w:r>
      <w:r w:rsidR="00293709" w:rsidRPr="00EA2B33">
        <w:t xml:space="preserve"> ir nevietā piemēr</w:t>
      </w:r>
      <w:r w:rsidR="00081DC2">
        <w:t>o</w:t>
      </w:r>
      <w:r w:rsidR="00293709">
        <w:t>jusi</w:t>
      </w:r>
      <w:r w:rsidR="00293709" w:rsidRPr="00EA2B33">
        <w:t xml:space="preserve"> un nepareizi konstruē</w:t>
      </w:r>
      <w:r w:rsidR="00293709">
        <w:t>jusi</w:t>
      </w:r>
      <w:r w:rsidR="00293709" w:rsidRPr="00EA2B33">
        <w:t xml:space="preserve"> </w:t>
      </w:r>
      <w:r w:rsidR="00293709">
        <w:t xml:space="preserve">vidusmēra </w:t>
      </w:r>
      <w:r w:rsidR="00293709" w:rsidRPr="00EA2B33">
        <w:t>patērētāja koncept</w:t>
      </w:r>
      <w:r w:rsidR="00293709">
        <w:t>u</w:t>
      </w:r>
      <w:r w:rsidR="00293709" w:rsidRPr="00EA2B33">
        <w:t>.</w:t>
      </w:r>
      <w:r w:rsidR="00293709">
        <w:t xml:space="preserve"> Apgabaltiesa</w:t>
      </w:r>
      <w:r w:rsidR="00293709" w:rsidRPr="00E67659">
        <w:t xml:space="preserve">, </w:t>
      </w:r>
      <w:proofErr w:type="gramStart"/>
      <w:r w:rsidR="00293709" w:rsidRPr="00E67659">
        <w:t>iekļaujot seniorus vid</w:t>
      </w:r>
      <w:r w:rsidR="00293709">
        <w:t>usmēra</w:t>
      </w:r>
      <w:r w:rsidR="00293709" w:rsidRPr="00E67659">
        <w:t xml:space="preserve"> patērētāja konstrukcijā,</w:t>
      </w:r>
      <w:r w:rsidR="00293709">
        <w:t xml:space="preserve"> pieteicējas ieskatā,</w:t>
      </w:r>
      <w:proofErr w:type="gramEnd"/>
      <w:r w:rsidR="00293709" w:rsidRPr="00E67659">
        <w:t xml:space="preserve"> ir kļūdījusies, jo seniori ietilpst īpaši aizsargājamo patērētāju grupā. Savukārt īpaši aizsargājamo patērētāju izvērtējuma standarta piemērošanai ir nepieciešams, ka komercprakse ir īpaši vērsta uz konkrētu patērētāju grupu</w:t>
      </w:r>
      <w:r w:rsidR="00293709">
        <w:t>.</w:t>
      </w:r>
    </w:p>
    <w:p w14:paraId="409FC7C6" w14:textId="3F0EAB95" w:rsidR="005A2B82" w:rsidRDefault="005A2B82" w:rsidP="00AB14AB">
      <w:pPr>
        <w:autoSpaceDE w:val="0"/>
        <w:autoSpaceDN w:val="0"/>
        <w:adjustRightInd w:val="0"/>
        <w:spacing w:line="276" w:lineRule="auto"/>
        <w:ind w:firstLine="567"/>
        <w:jc w:val="both"/>
        <w:rPr>
          <w:rFonts w:asciiTheme="majorBidi" w:eastAsiaTheme="minorHAnsi" w:hAnsiTheme="majorBidi" w:cstheme="majorBidi"/>
          <w:lang w:eastAsia="en-US"/>
        </w:rPr>
      </w:pPr>
      <w:r w:rsidRPr="005A2B82">
        <w:rPr>
          <w:rFonts w:asciiTheme="majorBidi" w:eastAsiaTheme="minorHAnsi" w:hAnsiTheme="majorBidi" w:cstheme="majorBidi"/>
          <w:lang w:eastAsia="en-US"/>
        </w:rPr>
        <w:t>Apgabaltiesa atzin</w:t>
      </w:r>
      <w:r w:rsidR="00794233">
        <w:rPr>
          <w:rFonts w:asciiTheme="majorBidi" w:eastAsiaTheme="minorHAnsi" w:hAnsiTheme="majorBidi" w:cstheme="majorBidi"/>
          <w:lang w:eastAsia="en-US"/>
        </w:rPr>
        <w:t>a</w:t>
      </w:r>
      <w:r w:rsidRPr="005A2B82">
        <w:rPr>
          <w:rFonts w:asciiTheme="majorBidi" w:eastAsiaTheme="minorHAnsi" w:hAnsiTheme="majorBidi" w:cstheme="majorBidi"/>
          <w:lang w:eastAsia="en-US"/>
        </w:rPr>
        <w:t>, ka nav nepieciešams īpaši pierādīt, ka mobilo sakaru, tostarp interneta izmantotāju loks ir plašs – no mazgadīgiem bērniem līdz senioriem</w:t>
      </w:r>
      <w:r w:rsidR="00794233" w:rsidRPr="005A69DA">
        <w:rPr>
          <w:rFonts w:asciiTheme="majorBidi" w:eastAsiaTheme="minorHAnsi" w:hAnsiTheme="majorBidi" w:cstheme="majorBidi"/>
          <w:lang w:eastAsia="en-US"/>
        </w:rPr>
        <w:t>,</w:t>
      </w:r>
      <w:r w:rsidR="00794233">
        <w:rPr>
          <w:rFonts w:asciiTheme="majorBidi" w:eastAsiaTheme="minorHAnsi" w:hAnsiTheme="majorBidi" w:cstheme="majorBidi"/>
          <w:lang w:eastAsia="en-US"/>
        </w:rPr>
        <w:t xml:space="preserve"> turklāt pieteicēja apstrīdēto komercpraksi </w:t>
      </w:r>
      <w:r w:rsidR="005954C1">
        <w:rPr>
          <w:rFonts w:asciiTheme="majorBidi" w:eastAsiaTheme="minorHAnsi" w:hAnsiTheme="majorBidi" w:cstheme="majorBidi"/>
          <w:lang w:eastAsia="en-US"/>
        </w:rPr>
        <w:t xml:space="preserve">ar </w:t>
      </w:r>
      <w:r w:rsidR="00170F38">
        <w:rPr>
          <w:rFonts w:asciiTheme="majorBidi" w:eastAsiaTheme="minorHAnsi" w:hAnsiTheme="majorBidi" w:cstheme="majorBidi"/>
          <w:lang w:eastAsia="en-US"/>
        </w:rPr>
        <w:t>īpašu</w:t>
      </w:r>
      <w:r w:rsidR="005954C1">
        <w:rPr>
          <w:rFonts w:asciiTheme="majorBidi" w:eastAsiaTheme="minorHAnsi" w:hAnsiTheme="majorBidi" w:cstheme="majorBidi"/>
          <w:lang w:eastAsia="en-US"/>
        </w:rPr>
        <w:t xml:space="preserve"> tarifu plānu īstenojusi </w:t>
      </w:r>
      <w:r w:rsidR="00794233">
        <w:rPr>
          <w:rFonts w:asciiTheme="majorBidi" w:eastAsiaTheme="minorHAnsi" w:hAnsiTheme="majorBidi" w:cstheme="majorBidi"/>
          <w:lang w:eastAsia="en-US"/>
        </w:rPr>
        <w:t xml:space="preserve">arī </w:t>
      </w:r>
      <w:r w:rsidR="00794233" w:rsidRPr="005A69DA">
        <w:rPr>
          <w:rFonts w:asciiTheme="majorBidi" w:eastAsiaTheme="minorHAnsi" w:hAnsiTheme="majorBidi" w:cstheme="majorBidi"/>
          <w:lang w:eastAsia="en-US"/>
        </w:rPr>
        <w:t>patērētāju grupai</w:t>
      </w:r>
      <w:r w:rsidR="00A34B7E">
        <w:rPr>
          <w:rFonts w:asciiTheme="majorBidi" w:eastAsiaTheme="minorHAnsi" w:hAnsiTheme="majorBidi" w:cstheme="majorBidi"/>
          <w:lang w:eastAsia="en-US"/>
        </w:rPr>
        <w:t>, kas ir seniori</w:t>
      </w:r>
      <w:r w:rsidR="00794233">
        <w:rPr>
          <w:rFonts w:asciiTheme="majorBidi" w:eastAsiaTheme="minorHAnsi" w:hAnsiTheme="majorBidi" w:cstheme="majorBidi"/>
          <w:lang w:eastAsia="en-US"/>
        </w:rPr>
        <w:t xml:space="preserve">, līdz ar to nav pamata šo lietotāju grupu izslēgt </w:t>
      </w:r>
      <w:r w:rsidR="002D174A">
        <w:rPr>
          <w:rFonts w:asciiTheme="majorBidi" w:eastAsiaTheme="minorHAnsi" w:hAnsiTheme="majorBidi" w:cstheme="majorBidi"/>
          <w:lang w:eastAsia="en-US"/>
        </w:rPr>
        <w:t xml:space="preserve">no vidusmēra </w:t>
      </w:r>
      <w:r w:rsidR="00794233">
        <w:rPr>
          <w:rFonts w:asciiTheme="majorBidi" w:eastAsiaTheme="minorHAnsi" w:hAnsiTheme="majorBidi" w:cstheme="majorBidi"/>
          <w:lang w:eastAsia="en-US"/>
        </w:rPr>
        <w:t xml:space="preserve">patērētāju </w:t>
      </w:r>
      <w:r w:rsidR="002D174A">
        <w:rPr>
          <w:rFonts w:asciiTheme="majorBidi" w:eastAsiaTheme="minorHAnsi" w:hAnsiTheme="majorBidi" w:cstheme="majorBidi"/>
          <w:lang w:eastAsia="en-US"/>
        </w:rPr>
        <w:t>loka</w:t>
      </w:r>
      <w:r w:rsidR="00794233">
        <w:rPr>
          <w:rFonts w:asciiTheme="majorBidi" w:eastAsiaTheme="minorHAnsi" w:hAnsiTheme="majorBidi" w:cstheme="majorBidi"/>
          <w:lang w:eastAsia="en-US"/>
        </w:rPr>
        <w:t xml:space="preserve">. </w:t>
      </w:r>
    </w:p>
    <w:p w14:paraId="28B4E196" w14:textId="249E35B3" w:rsidR="00794233" w:rsidRPr="00794233" w:rsidRDefault="00794233" w:rsidP="00AB14AB">
      <w:pPr>
        <w:autoSpaceDE w:val="0"/>
        <w:autoSpaceDN w:val="0"/>
        <w:adjustRightInd w:val="0"/>
        <w:spacing w:line="276" w:lineRule="auto"/>
        <w:ind w:firstLine="567"/>
        <w:jc w:val="both"/>
        <w:rPr>
          <w:rFonts w:asciiTheme="majorBidi" w:eastAsiaTheme="minorHAnsi" w:hAnsiTheme="majorBidi" w:cstheme="majorBidi"/>
          <w:lang w:eastAsia="en-US"/>
        </w:rPr>
      </w:pPr>
      <w:r w:rsidRPr="00794233">
        <w:rPr>
          <w:rFonts w:asciiTheme="majorBidi" w:eastAsiaTheme="minorHAnsi" w:hAnsiTheme="majorBidi" w:cstheme="majorBidi"/>
          <w:lang w:eastAsia="en-US"/>
        </w:rPr>
        <w:t xml:space="preserve">Negodīgas komercprakses direktīvas preambulas 18.apsvērumā norādīts, ka saskaņā ar proporcionalitātes principu </w:t>
      </w:r>
      <w:proofErr w:type="gramStart"/>
      <w:r w:rsidRPr="00794233">
        <w:rPr>
          <w:rFonts w:asciiTheme="majorBidi" w:eastAsiaTheme="minorHAnsi" w:hAnsiTheme="majorBidi" w:cstheme="majorBidi"/>
          <w:lang w:eastAsia="en-US"/>
        </w:rPr>
        <w:t>un</w:t>
      </w:r>
      <w:proofErr w:type="gramEnd"/>
      <w:r w:rsidRPr="00794233">
        <w:rPr>
          <w:rFonts w:asciiTheme="majorBidi" w:eastAsiaTheme="minorHAnsi" w:hAnsiTheme="majorBidi" w:cstheme="majorBidi"/>
          <w:lang w:eastAsia="en-US"/>
        </w:rPr>
        <w:t xml:space="preserve"> lai dotu iespēju efektīvi piemērot aizsargpasākumus, kas paredzēti šajā direktīvā, tajā par atsauces lielumu izmantots pietiekami labi informēts, kā arī pietiekami vērīgs un piesardzīgs vidusmēra patērētājs, ņemot vērā sociālos, kultūras un valodas faktorus. </w:t>
      </w:r>
      <w:r w:rsidR="005954C1" w:rsidRPr="005954C1">
        <w:rPr>
          <w:rFonts w:asciiTheme="majorBidi" w:eastAsiaTheme="minorHAnsi" w:hAnsiTheme="majorBidi" w:cstheme="majorBidi"/>
          <w:lang w:eastAsia="en-US"/>
        </w:rPr>
        <w:t xml:space="preserve">Ja kāda komercprakse ir īpaši vērsta uz konkrētu patērētāju grupu, piemēram, bērniem, vēlams, ka šīs komercprakses ietekmi vērtē no attiecīgās grupas vidusmēra pārstāvja viedokļa. Metode, ar kuru nosaka vidusmēra patērētāju, nav statistikas metode. Attiecīgo valstu tiesām un iestādēm būs jāizmanto pašu </w:t>
      </w:r>
      <w:proofErr w:type="spellStart"/>
      <w:r w:rsidR="005954C1" w:rsidRPr="005954C1">
        <w:rPr>
          <w:rFonts w:asciiTheme="majorBidi" w:eastAsiaTheme="minorHAnsi" w:hAnsiTheme="majorBidi" w:cstheme="majorBidi"/>
          <w:lang w:eastAsia="en-US"/>
        </w:rPr>
        <w:t>lemtspēja</w:t>
      </w:r>
      <w:proofErr w:type="spellEnd"/>
      <w:r w:rsidR="005954C1" w:rsidRPr="005954C1">
        <w:rPr>
          <w:rFonts w:asciiTheme="majorBidi" w:eastAsiaTheme="minorHAnsi" w:hAnsiTheme="majorBidi" w:cstheme="majorBidi"/>
          <w:lang w:eastAsia="en-US"/>
        </w:rPr>
        <w:t>, lai noteiktu vidusmēra patērētāja tipisko reakciju katrā konkrētā gadījumā.</w:t>
      </w:r>
    </w:p>
    <w:p w14:paraId="6EF1EEF2" w14:textId="00FEAA09" w:rsidR="005954C1" w:rsidRDefault="005954C1" w:rsidP="00AB14AB">
      <w:pPr>
        <w:autoSpaceDE w:val="0"/>
        <w:autoSpaceDN w:val="0"/>
        <w:adjustRightInd w:val="0"/>
        <w:spacing w:line="276" w:lineRule="auto"/>
        <w:ind w:firstLine="567"/>
        <w:jc w:val="both"/>
        <w:rPr>
          <w:rFonts w:asciiTheme="majorBidi" w:eastAsiaTheme="minorHAnsi" w:hAnsiTheme="majorBidi" w:cstheme="majorBidi"/>
          <w:lang w:eastAsia="en-US"/>
        </w:rPr>
      </w:pPr>
      <w:r>
        <w:rPr>
          <w:rFonts w:asciiTheme="majorBidi" w:eastAsiaTheme="minorHAnsi" w:hAnsiTheme="majorBidi" w:cstheme="majorBidi"/>
          <w:lang w:eastAsia="en-US"/>
        </w:rPr>
        <w:t>Senatoru kolēģija, ievērojot apgabaltiesas pamatojumu, nesaskata kļūdas</w:t>
      </w:r>
      <w:r w:rsidR="00170F38">
        <w:rPr>
          <w:rFonts w:asciiTheme="majorBidi" w:eastAsiaTheme="minorHAnsi" w:hAnsiTheme="majorBidi" w:cstheme="majorBidi"/>
          <w:lang w:eastAsia="en-US"/>
        </w:rPr>
        <w:t xml:space="preserve"> vidusmēra patērētāja koncepta izpratnē un piemērošanā šajā lietā. Ir skaidrs, ka apgabaltiesa, ņ</w:t>
      </w:r>
      <w:r w:rsidR="005C11BE">
        <w:rPr>
          <w:rFonts w:asciiTheme="majorBidi" w:eastAsiaTheme="minorHAnsi" w:hAnsiTheme="majorBidi" w:cstheme="majorBidi"/>
          <w:lang w:eastAsia="en-US"/>
        </w:rPr>
        <w:t>em</w:t>
      </w:r>
      <w:r w:rsidR="00170F38">
        <w:rPr>
          <w:rFonts w:asciiTheme="majorBidi" w:eastAsiaTheme="minorHAnsi" w:hAnsiTheme="majorBidi" w:cstheme="majorBidi"/>
          <w:lang w:eastAsia="en-US"/>
        </w:rPr>
        <w:t xml:space="preserve">ot vērā </w:t>
      </w:r>
      <w:r w:rsidR="005C11BE">
        <w:rPr>
          <w:rFonts w:asciiTheme="majorBidi" w:eastAsiaTheme="minorHAnsi" w:hAnsiTheme="majorBidi" w:cstheme="majorBidi"/>
          <w:lang w:eastAsia="en-US"/>
        </w:rPr>
        <w:t xml:space="preserve">arī </w:t>
      </w:r>
      <w:r w:rsidR="00170F38">
        <w:rPr>
          <w:rFonts w:asciiTheme="majorBidi" w:eastAsiaTheme="minorHAnsi" w:hAnsiTheme="majorBidi" w:cstheme="majorBidi"/>
          <w:lang w:eastAsia="en-US"/>
        </w:rPr>
        <w:t xml:space="preserve">pieteicējas rīcību, strīdus praksi adresējot arī konkrēti senioru grupas tarifa plāna lietotājiem, ir šo patērētāju daļu novērtējusi kā visas patērētāju kopas sastāvdaļu, nevis tikai no šīs grupas izpratnes raksturojuma izdarījusi secinājumus par vidusmēra patērētāju. Arguments par senioru </w:t>
      </w:r>
      <w:r w:rsidR="00170F38">
        <w:rPr>
          <w:rFonts w:asciiTheme="majorBidi" w:eastAsiaTheme="minorHAnsi" w:hAnsiTheme="majorBidi" w:cstheme="majorBidi"/>
          <w:lang w:eastAsia="en-US"/>
        </w:rPr>
        <w:lastRenderedPageBreak/>
        <w:t>izpratnes līmeni ir tikai viens no tiem, ar ko apgabaltiesa kopumā pamatojusi secinājumu, ka no vidusmēra patērētāja nevar prasīt pārāk augstu izpratnes līmeni.</w:t>
      </w:r>
    </w:p>
    <w:p w14:paraId="5D67978B" w14:textId="77777777" w:rsidR="00293709" w:rsidRDefault="00293709" w:rsidP="00AB14AB">
      <w:pPr>
        <w:autoSpaceDE w:val="0"/>
        <w:autoSpaceDN w:val="0"/>
        <w:adjustRightInd w:val="0"/>
        <w:spacing w:line="276" w:lineRule="auto"/>
        <w:ind w:firstLine="567"/>
        <w:jc w:val="both"/>
      </w:pPr>
    </w:p>
    <w:p w14:paraId="0BBAE0BA" w14:textId="1F28D573" w:rsidR="007976B5" w:rsidRDefault="007976B5" w:rsidP="00AB14AB">
      <w:pPr>
        <w:autoSpaceDE w:val="0"/>
        <w:autoSpaceDN w:val="0"/>
        <w:adjustRightInd w:val="0"/>
        <w:spacing w:line="276" w:lineRule="auto"/>
        <w:ind w:firstLine="567"/>
        <w:jc w:val="both"/>
      </w:pPr>
      <w:r>
        <w:t>[6] </w:t>
      </w:r>
      <w:r w:rsidR="005E10AC">
        <w:rPr>
          <w:color w:val="000000"/>
          <w:shd w:val="clear" w:color="auto" w:fill="FFFFFF"/>
        </w:rPr>
        <w:t>A</w:t>
      </w:r>
      <w:r w:rsidR="00752F80">
        <w:rPr>
          <w:color w:val="000000"/>
          <w:shd w:val="clear" w:color="auto" w:fill="FFFFFF"/>
        </w:rPr>
        <w:t xml:space="preserve">pstākļos, kad Eiropas Savienības Tiesa pēc būtības jau ir sniegusi atbildes uz līdzīgiem tiesību normu </w:t>
      </w:r>
      <w:r w:rsidR="00C13DC8">
        <w:rPr>
          <w:color w:val="000000"/>
          <w:shd w:val="clear" w:color="auto" w:fill="FFFFFF"/>
        </w:rPr>
        <w:t xml:space="preserve">piemērošanas un </w:t>
      </w:r>
      <w:r w:rsidR="00752F80">
        <w:rPr>
          <w:color w:val="000000"/>
          <w:shd w:val="clear" w:color="auto" w:fill="FFFFFF"/>
        </w:rPr>
        <w:t>interpretācijas jautājumiem, nav pamata apmierināt pieteicējas lūgumu vērsties Eiropas Savienības Tiesā prejudiciāla nolēmuma taisīšanai.</w:t>
      </w:r>
    </w:p>
    <w:p w14:paraId="5123010F" w14:textId="77777777" w:rsidR="00B212DE" w:rsidRPr="00AD5A41" w:rsidRDefault="00B212DE" w:rsidP="00AB14AB">
      <w:pPr>
        <w:spacing w:line="276" w:lineRule="auto"/>
        <w:ind w:firstLine="567"/>
        <w:jc w:val="both"/>
        <w:rPr>
          <w:rFonts w:asciiTheme="majorBidi" w:hAnsiTheme="majorBidi" w:cstheme="majorBidi"/>
        </w:rPr>
      </w:pPr>
    </w:p>
    <w:p w14:paraId="14466745" w14:textId="0098BCE0" w:rsidR="002C61FD" w:rsidRPr="00AD5A41" w:rsidRDefault="002C61FD" w:rsidP="00AB14AB">
      <w:pPr>
        <w:spacing w:line="276" w:lineRule="auto"/>
        <w:ind w:firstLine="567"/>
        <w:jc w:val="both"/>
        <w:rPr>
          <w:rFonts w:asciiTheme="majorBidi" w:hAnsiTheme="majorBidi" w:cstheme="majorBidi"/>
        </w:rPr>
      </w:pPr>
      <w:r w:rsidRPr="00AD5A41">
        <w:rPr>
          <w:rFonts w:asciiTheme="majorBidi" w:hAnsiTheme="majorBidi" w:cstheme="majorBidi"/>
        </w:rPr>
        <w:t xml:space="preserve">Pamatojoties uz Administratīvā procesa likuma </w:t>
      </w:r>
      <w:proofErr w:type="gramStart"/>
      <w:r w:rsidRPr="00AD5A41">
        <w:rPr>
          <w:rFonts w:asciiTheme="majorBidi" w:hAnsiTheme="majorBidi" w:cstheme="majorBidi"/>
        </w:rPr>
        <w:t>338.panta</w:t>
      </w:r>
      <w:proofErr w:type="gramEnd"/>
      <w:r w:rsidRPr="00AD5A41">
        <w:rPr>
          <w:rFonts w:asciiTheme="majorBidi" w:hAnsiTheme="majorBidi" w:cstheme="majorBidi"/>
        </w:rPr>
        <w:t xml:space="preserve"> otro daļu un 338.</w:t>
      </w:r>
      <w:r w:rsidRPr="00AD5A41">
        <w:rPr>
          <w:rFonts w:asciiTheme="majorBidi" w:hAnsiTheme="majorBidi" w:cstheme="majorBidi"/>
          <w:vertAlign w:val="superscript"/>
        </w:rPr>
        <w:t>1</w:t>
      </w:r>
      <w:r w:rsidRPr="00AD5A41">
        <w:rPr>
          <w:rFonts w:asciiTheme="majorBidi" w:hAnsiTheme="majorBidi" w:cstheme="majorBidi"/>
        </w:rPr>
        <w:t xml:space="preserve">panta otrās daļas 2.punktu, senatoru kolēģija </w:t>
      </w:r>
    </w:p>
    <w:p w14:paraId="7E92962B" w14:textId="77777777" w:rsidR="002C61FD" w:rsidRPr="00AD5A41" w:rsidRDefault="002C61FD" w:rsidP="00AB14AB">
      <w:pPr>
        <w:spacing w:line="276" w:lineRule="auto"/>
        <w:ind w:firstLine="567"/>
        <w:jc w:val="both"/>
        <w:rPr>
          <w:rFonts w:asciiTheme="majorBidi" w:hAnsiTheme="majorBidi" w:cstheme="majorBidi"/>
        </w:rPr>
      </w:pPr>
    </w:p>
    <w:p w14:paraId="1CB88263" w14:textId="6BE781F6" w:rsidR="002C61FD" w:rsidRPr="00D5583A" w:rsidRDefault="002C61FD" w:rsidP="00AB14AB">
      <w:pPr>
        <w:spacing w:line="276" w:lineRule="auto"/>
        <w:jc w:val="center"/>
        <w:rPr>
          <w:b/>
          <w:bCs/>
        </w:rPr>
      </w:pPr>
      <w:r w:rsidRPr="00D5583A">
        <w:rPr>
          <w:b/>
          <w:bCs/>
        </w:rPr>
        <w:t>nolēma</w:t>
      </w:r>
    </w:p>
    <w:p w14:paraId="4D6396B0" w14:textId="77777777" w:rsidR="002C61FD" w:rsidRPr="00D5583A" w:rsidRDefault="002C61FD" w:rsidP="00AB14AB">
      <w:pPr>
        <w:spacing w:line="276" w:lineRule="auto"/>
        <w:ind w:firstLine="567"/>
        <w:jc w:val="right"/>
      </w:pPr>
    </w:p>
    <w:p w14:paraId="40EA9495" w14:textId="3ABD7F4F" w:rsidR="002C61FD" w:rsidRPr="00D5583A" w:rsidRDefault="002C61FD" w:rsidP="00AB14AB">
      <w:pPr>
        <w:spacing w:line="276" w:lineRule="auto"/>
        <w:ind w:firstLine="567"/>
        <w:jc w:val="both"/>
      </w:pPr>
      <w:r w:rsidRPr="00D5583A">
        <w:t xml:space="preserve">atteikt ierosināt kasācijas tiesvedību sakarā ar </w:t>
      </w:r>
      <w:r w:rsidR="0022148F">
        <w:rPr>
          <w:rFonts w:asciiTheme="majorBidi" w:hAnsiTheme="majorBidi" w:cstheme="majorBidi"/>
        </w:rPr>
        <w:t>sabiedrības ar ierobežotu atbildību </w:t>
      </w:r>
      <w:r w:rsidR="0022148F" w:rsidRPr="00AD5A41">
        <w:rPr>
          <w:rFonts w:asciiTheme="majorBidi" w:hAnsiTheme="majorBidi" w:cstheme="majorBidi"/>
        </w:rPr>
        <w:t>„</w:t>
      </w:r>
      <w:r w:rsidR="0022148F">
        <w:rPr>
          <w:rFonts w:asciiTheme="majorBidi" w:hAnsiTheme="majorBidi" w:cstheme="majorBidi"/>
        </w:rPr>
        <w:t>Tele2</w:t>
      </w:r>
      <w:r w:rsidR="0022148F" w:rsidRPr="00AD5A41">
        <w:rPr>
          <w:rFonts w:asciiTheme="majorBidi" w:hAnsiTheme="majorBidi" w:cstheme="majorBidi"/>
        </w:rPr>
        <w:t xml:space="preserve">” </w:t>
      </w:r>
      <w:r w:rsidRPr="00D5583A">
        <w:t>kasācijas sūdzī</w:t>
      </w:r>
      <w:r w:rsidR="00F34DC5">
        <w:t>bu</w:t>
      </w:r>
      <w:r w:rsidRPr="00D5583A">
        <w:t xml:space="preserve"> par Administratīvās apgabaltiesas </w:t>
      </w:r>
      <w:proofErr w:type="gramStart"/>
      <w:r w:rsidRPr="00D5583A">
        <w:t>2022.gada</w:t>
      </w:r>
      <w:proofErr w:type="gramEnd"/>
      <w:r w:rsidRPr="00D5583A">
        <w:t xml:space="preserve"> </w:t>
      </w:r>
      <w:r w:rsidR="0022148F">
        <w:rPr>
          <w:rFonts w:asciiTheme="majorBidi" w:hAnsiTheme="majorBidi" w:cstheme="majorBidi"/>
        </w:rPr>
        <w:t>30</w:t>
      </w:r>
      <w:r w:rsidR="0022148F" w:rsidRPr="00AD5A41">
        <w:rPr>
          <w:rFonts w:asciiTheme="majorBidi" w:hAnsiTheme="majorBidi" w:cstheme="majorBidi"/>
        </w:rPr>
        <w:t>.</w:t>
      </w:r>
      <w:r w:rsidR="0022148F">
        <w:rPr>
          <w:rFonts w:asciiTheme="majorBidi" w:hAnsiTheme="majorBidi" w:cstheme="majorBidi"/>
        </w:rPr>
        <w:t>augusta</w:t>
      </w:r>
      <w:r w:rsidRPr="00D5583A">
        <w:t xml:space="preserve"> spriedumu. </w:t>
      </w:r>
    </w:p>
    <w:p w14:paraId="05054056" w14:textId="0B991C6E" w:rsidR="00E230F8" w:rsidRPr="00D5583A" w:rsidRDefault="002C61FD" w:rsidP="00AB14AB">
      <w:pPr>
        <w:spacing w:line="276" w:lineRule="auto"/>
        <w:ind w:firstLine="567"/>
        <w:jc w:val="both"/>
      </w:pPr>
      <w:r w:rsidRPr="00D5583A">
        <w:t>Lēmums nav pārsūdzams</w:t>
      </w:r>
      <w:r w:rsidR="00C75CE4">
        <w:t xml:space="preserve">. </w:t>
      </w:r>
      <w:bookmarkStart w:id="1" w:name="_GoBack"/>
      <w:bookmarkEnd w:id="1"/>
    </w:p>
    <w:p w14:paraId="645A5420" w14:textId="2D7A96F1" w:rsidR="00E230F8" w:rsidRPr="00D5583A" w:rsidRDefault="00E230F8" w:rsidP="00AB14AB">
      <w:pPr>
        <w:spacing w:line="276" w:lineRule="auto"/>
        <w:ind w:firstLine="567"/>
        <w:jc w:val="both"/>
      </w:pPr>
    </w:p>
    <w:p w14:paraId="0E892BD0" w14:textId="77777777" w:rsidR="002C61FD" w:rsidRPr="00785A90" w:rsidRDefault="002C61FD" w:rsidP="00AB14AB">
      <w:pPr>
        <w:spacing w:line="276" w:lineRule="auto"/>
        <w:ind w:firstLine="567"/>
        <w:jc w:val="both"/>
      </w:pPr>
    </w:p>
    <w:p w14:paraId="52A7624A" w14:textId="77777777" w:rsidR="009C0BA3" w:rsidRPr="00785A90" w:rsidRDefault="009C0BA3" w:rsidP="00AB14AB">
      <w:pPr>
        <w:spacing w:line="276" w:lineRule="auto"/>
        <w:ind w:firstLine="567"/>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9C0BA3" w:rsidRPr="00785A90" w14:paraId="0C473415" w14:textId="77777777" w:rsidTr="00F704CD">
        <w:tc>
          <w:tcPr>
            <w:tcW w:w="3020" w:type="dxa"/>
          </w:tcPr>
          <w:p w14:paraId="16F5F03F" w14:textId="722D7775" w:rsidR="009C0BA3" w:rsidRPr="00785A90" w:rsidRDefault="001B07DE" w:rsidP="00AB14AB">
            <w:pPr>
              <w:tabs>
                <w:tab w:val="left" w:pos="2700"/>
                <w:tab w:val="left" w:pos="6660"/>
              </w:tabs>
              <w:spacing w:line="276" w:lineRule="auto"/>
              <w:jc w:val="center"/>
              <w:rPr>
                <w:color w:val="000000"/>
              </w:rPr>
            </w:pPr>
            <w:r w:rsidRPr="00785A90">
              <w:rPr>
                <w:color w:val="000000"/>
              </w:rPr>
              <w:t>Senatore R</w:t>
            </w:r>
            <w:r w:rsidR="009C0BA3" w:rsidRPr="00785A90">
              <w:rPr>
                <w:color w:val="000000"/>
              </w:rPr>
              <w:t>. </w:t>
            </w:r>
            <w:r w:rsidRPr="00785A90">
              <w:rPr>
                <w:color w:val="000000"/>
              </w:rPr>
              <w:t>Vīduša</w:t>
            </w:r>
          </w:p>
        </w:tc>
        <w:tc>
          <w:tcPr>
            <w:tcW w:w="3020" w:type="dxa"/>
          </w:tcPr>
          <w:p w14:paraId="638553F1" w14:textId="34ABD082" w:rsidR="009C0BA3" w:rsidRPr="00785A90" w:rsidRDefault="001B07DE" w:rsidP="00AB14AB">
            <w:pPr>
              <w:tabs>
                <w:tab w:val="left" w:pos="2700"/>
                <w:tab w:val="left" w:pos="6660"/>
              </w:tabs>
              <w:spacing w:line="276" w:lineRule="auto"/>
              <w:jc w:val="center"/>
              <w:rPr>
                <w:color w:val="000000"/>
              </w:rPr>
            </w:pPr>
            <w:r w:rsidRPr="00785A90">
              <w:rPr>
                <w:color w:val="000000"/>
              </w:rPr>
              <w:t>Senator</w:t>
            </w:r>
            <w:r w:rsidR="00C938A1">
              <w:rPr>
                <w:color w:val="000000"/>
              </w:rPr>
              <w:t>e</w:t>
            </w:r>
            <w:r w:rsidRPr="00785A90">
              <w:rPr>
                <w:color w:val="000000"/>
              </w:rPr>
              <w:t xml:space="preserve"> </w:t>
            </w:r>
            <w:r w:rsidR="0022148F">
              <w:rPr>
                <w:color w:val="000000"/>
              </w:rPr>
              <w:t>V</w:t>
            </w:r>
            <w:r w:rsidR="009C0BA3" w:rsidRPr="00785A90">
              <w:rPr>
                <w:color w:val="000000"/>
              </w:rPr>
              <w:t>. </w:t>
            </w:r>
            <w:r w:rsidR="00C938A1">
              <w:rPr>
                <w:color w:val="000000"/>
              </w:rPr>
              <w:t>K</w:t>
            </w:r>
            <w:r w:rsidR="0022148F">
              <w:rPr>
                <w:color w:val="000000"/>
              </w:rPr>
              <w:t>akste</w:t>
            </w:r>
          </w:p>
        </w:tc>
        <w:tc>
          <w:tcPr>
            <w:tcW w:w="3021" w:type="dxa"/>
          </w:tcPr>
          <w:p w14:paraId="3FA73273" w14:textId="7CA4AEF6" w:rsidR="009C0BA3" w:rsidRPr="00785A90" w:rsidRDefault="001B07DE" w:rsidP="00AB14AB">
            <w:pPr>
              <w:tabs>
                <w:tab w:val="left" w:pos="2700"/>
                <w:tab w:val="left" w:pos="6660"/>
              </w:tabs>
              <w:spacing w:line="276" w:lineRule="auto"/>
              <w:jc w:val="center"/>
              <w:rPr>
                <w:color w:val="000000"/>
              </w:rPr>
            </w:pPr>
            <w:r w:rsidRPr="00785A90">
              <w:rPr>
                <w:color w:val="000000"/>
              </w:rPr>
              <w:t xml:space="preserve">Senatore </w:t>
            </w:r>
            <w:r w:rsidR="00C1628E">
              <w:rPr>
                <w:color w:val="000000"/>
              </w:rPr>
              <w:t>V. Krūmiņa</w:t>
            </w:r>
          </w:p>
        </w:tc>
      </w:tr>
    </w:tbl>
    <w:p w14:paraId="22A5B5FD" w14:textId="77777777" w:rsidR="009C0BA3" w:rsidRPr="00D5583A" w:rsidRDefault="009C0BA3" w:rsidP="009C0BA3">
      <w:pPr>
        <w:spacing w:line="276" w:lineRule="auto"/>
        <w:jc w:val="right"/>
      </w:pPr>
    </w:p>
    <w:sectPr w:rsidR="009C0BA3" w:rsidRPr="00D5583A" w:rsidSect="00737833">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30731" w14:textId="77777777" w:rsidR="001B69DF" w:rsidRDefault="001B69DF" w:rsidP="00E12AD0">
      <w:r>
        <w:separator/>
      </w:r>
    </w:p>
  </w:endnote>
  <w:endnote w:type="continuationSeparator" w:id="0">
    <w:p w14:paraId="01779F8E" w14:textId="77777777" w:rsidR="001B69DF" w:rsidRDefault="001B69DF"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4614616"/>
      <w:docPartObj>
        <w:docPartGallery w:val="Page Numbers (Bottom of Page)"/>
        <w:docPartUnique/>
      </w:docPartObj>
    </w:sdtPr>
    <w:sdtEndPr/>
    <w:sdtContent>
      <w:sdt>
        <w:sdtPr>
          <w:id w:val="1728636285"/>
          <w:docPartObj>
            <w:docPartGallery w:val="Page Numbers (Top of Page)"/>
            <w:docPartUnique/>
          </w:docPartObj>
        </w:sdtPr>
        <w:sdtEndPr/>
        <w:sdtContent>
          <w:p w14:paraId="25B56821" w14:textId="34B1C5AD" w:rsidR="00853F4F" w:rsidRPr="00853F4F" w:rsidRDefault="00853F4F" w:rsidP="00853F4F">
            <w:pPr>
              <w:pStyle w:val="Footer"/>
              <w:jc w:val="center"/>
            </w:pPr>
            <w:r w:rsidRPr="00853F4F">
              <w:fldChar w:fldCharType="begin"/>
            </w:r>
            <w:r w:rsidRPr="00853F4F">
              <w:instrText xml:space="preserve"> PAGE </w:instrText>
            </w:r>
            <w:r w:rsidRPr="00853F4F">
              <w:fldChar w:fldCharType="separate"/>
            </w:r>
            <w:r w:rsidR="001014CB">
              <w:rPr>
                <w:noProof/>
              </w:rPr>
              <w:t>2</w:t>
            </w:r>
            <w:r w:rsidRPr="00853F4F">
              <w:fldChar w:fldCharType="end"/>
            </w:r>
            <w:r w:rsidRPr="00853F4F">
              <w:t xml:space="preserve"> no </w:t>
            </w:r>
            <w:r w:rsidR="001014CB">
              <w:rPr>
                <w:noProof/>
              </w:rPr>
              <w:fldChar w:fldCharType="begin"/>
            </w:r>
            <w:r w:rsidR="001014CB">
              <w:rPr>
                <w:noProof/>
              </w:rPr>
              <w:instrText xml:space="preserve"> NUMPAGES  </w:instrText>
            </w:r>
            <w:r w:rsidR="001014CB">
              <w:rPr>
                <w:noProof/>
              </w:rPr>
              <w:fldChar w:fldCharType="separate"/>
            </w:r>
            <w:r w:rsidR="001014CB">
              <w:rPr>
                <w:noProof/>
              </w:rPr>
              <w:t>5</w:t>
            </w:r>
            <w:r w:rsidR="001014CB">
              <w:rPr>
                <w:noProof/>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38F2E" w14:textId="77777777" w:rsidR="001B69DF" w:rsidRDefault="001B69DF" w:rsidP="00E12AD0">
      <w:r>
        <w:separator/>
      </w:r>
    </w:p>
  </w:footnote>
  <w:footnote w:type="continuationSeparator" w:id="0">
    <w:p w14:paraId="1B334F87" w14:textId="77777777" w:rsidR="001B69DF" w:rsidRDefault="001B69DF" w:rsidP="00E12A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F33581"/>
    <w:multiLevelType w:val="hybridMultilevel"/>
    <w:tmpl w:val="16B6AF26"/>
    <w:lvl w:ilvl="0" w:tplc="5DF268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1">
    <w:nsid w:val="67381C69"/>
    <w:multiLevelType w:val="hybridMultilevel"/>
    <w:tmpl w:val="35D0F148"/>
    <w:lvl w:ilvl="0" w:tplc="09AEDC44">
      <w:start w:val="1"/>
      <w:numFmt w:val="decimal"/>
      <w:lvlText w:val="%1."/>
      <w:lvlJc w:val="left"/>
      <w:pPr>
        <w:ind w:left="1080" w:hanging="360"/>
      </w:pPr>
      <w:rPr>
        <w:rFonts w:hint="default"/>
      </w:rPr>
    </w:lvl>
    <w:lvl w:ilvl="1" w:tplc="CFBCDDFA" w:tentative="1">
      <w:start w:val="1"/>
      <w:numFmt w:val="lowerLetter"/>
      <w:lvlText w:val="%2."/>
      <w:lvlJc w:val="left"/>
      <w:pPr>
        <w:ind w:left="1800" w:hanging="360"/>
      </w:pPr>
    </w:lvl>
    <w:lvl w:ilvl="2" w:tplc="8306E860" w:tentative="1">
      <w:start w:val="1"/>
      <w:numFmt w:val="lowerRoman"/>
      <w:lvlText w:val="%3."/>
      <w:lvlJc w:val="right"/>
      <w:pPr>
        <w:ind w:left="2520" w:hanging="180"/>
      </w:pPr>
    </w:lvl>
    <w:lvl w:ilvl="3" w:tplc="5B1C9DB8" w:tentative="1">
      <w:start w:val="1"/>
      <w:numFmt w:val="decimal"/>
      <w:lvlText w:val="%4."/>
      <w:lvlJc w:val="left"/>
      <w:pPr>
        <w:ind w:left="3240" w:hanging="360"/>
      </w:pPr>
    </w:lvl>
    <w:lvl w:ilvl="4" w:tplc="3C7CC4A8" w:tentative="1">
      <w:start w:val="1"/>
      <w:numFmt w:val="lowerLetter"/>
      <w:lvlText w:val="%5."/>
      <w:lvlJc w:val="left"/>
      <w:pPr>
        <w:ind w:left="3960" w:hanging="360"/>
      </w:pPr>
    </w:lvl>
    <w:lvl w:ilvl="5" w:tplc="D5BAC5D6" w:tentative="1">
      <w:start w:val="1"/>
      <w:numFmt w:val="lowerRoman"/>
      <w:lvlText w:val="%6."/>
      <w:lvlJc w:val="right"/>
      <w:pPr>
        <w:ind w:left="4680" w:hanging="180"/>
      </w:pPr>
    </w:lvl>
    <w:lvl w:ilvl="6" w:tplc="4E686B5E" w:tentative="1">
      <w:start w:val="1"/>
      <w:numFmt w:val="decimal"/>
      <w:lvlText w:val="%7."/>
      <w:lvlJc w:val="left"/>
      <w:pPr>
        <w:ind w:left="5400" w:hanging="360"/>
      </w:pPr>
    </w:lvl>
    <w:lvl w:ilvl="7" w:tplc="85F0F044" w:tentative="1">
      <w:start w:val="1"/>
      <w:numFmt w:val="lowerLetter"/>
      <w:lvlText w:val="%8."/>
      <w:lvlJc w:val="left"/>
      <w:pPr>
        <w:ind w:left="6120" w:hanging="360"/>
      </w:pPr>
    </w:lvl>
    <w:lvl w:ilvl="8" w:tplc="05AC1652"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lv-LV" w:vendorID="71" w:dllVersion="512"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43E"/>
    <w:rsid w:val="000034C8"/>
    <w:rsid w:val="00004ED9"/>
    <w:rsid w:val="00004EFF"/>
    <w:rsid w:val="0001078B"/>
    <w:rsid w:val="000109B1"/>
    <w:rsid w:val="0001417E"/>
    <w:rsid w:val="00016FA0"/>
    <w:rsid w:val="00031A05"/>
    <w:rsid w:val="00034696"/>
    <w:rsid w:val="00037098"/>
    <w:rsid w:val="0003741C"/>
    <w:rsid w:val="00044026"/>
    <w:rsid w:val="00045A1A"/>
    <w:rsid w:val="00045EFD"/>
    <w:rsid w:val="00046A2D"/>
    <w:rsid w:val="00055C7B"/>
    <w:rsid w:val="00062C7C"/>
    <w:rsid w:val="00074245"/>
    <w:rsid w:val="00074426"/>
    <w:rsid w:val="00081DC2"/>
    <w:rsid w:val="00082980"/>
    <w:rsid w:val="00082DED"/>
    <w:rsid w:val="000911C9"/>
    <w:rsid w:val="000921DB"/>
    <w:rsid w:val="000A052B"/>
    <w:rsid w:val="000A32E9"/>
    <w:rsid w:val="000A49CD"/>
    <w:rsid w:val="000B09A2"/>
    <w:rsid w:val="000B4142"/>
    <w:rsid w:val="000B71D5"/>
    <w:rsid w:val="000C39B0"/>
    <w:rsid w:val="000C67D7"/>
    <w:rsid w:val="000D0A38"/>
    <w:rsid w:val="000D142D"/>
    <w:rsid w:val="000D52FF"/>
    <w:rsid w:val="000D743E"/>
    <w:rsid w:val="000D7D7F"/>
    <w:rsid w:val="000E2F2D"/>
    <w:rsid w:val="000E3BCF"/>
    <w:rsid w:val="000F05D2"/>
    <w:rsid w:val="000F097E"/>
    <w:rsid w:val="001014CB"/>
    <w:rsid w:val="00110026"/>
    <w:rsid w:val="00110727"/>
    <w:rsid w:val="00112C0A"/>
    <w:rsid w:val="0012615A"/>
    <w:rsid w:val="00133279"/>
    <w:rsid w:val="001339DF"/>
    <w:rsid w:val="0014066B"/>
    <w:rsid w:val="0014676C"/>
    <w:rsid w:val="00154775"/>
    <w:rsid w:val="0016507F"/>
    <w:rsid w:val="001661C5"/>
    <w:rsid w:val="0016754C"/>
    <w:rsid w:val="00170F38"/>
    <w:rsid w:val="00173C9C"/>
    <w:rsid w:val="00182C9A"/>
    <w:rsid w:val="0018434C"/>
    <w:rsid w:val="001A0E07"/>
    <w:rsid w:val="001A1AC3"/>
    <w:rsid w:val="001A592E"/>
    <w:rsid w:val="001A7D60"/>
    <w:rsid w:val="001B06A5"/>
    <w:rsid w:val="001B07DE"/>
    <w:rsid w:val="001B6781"/>
    <w:rsid w:val="001B69DF"/>
    <w:rsid w:val="001C5510"/>
    <w:rsid w:val="001D267A"/>
    <w:rsid w:val="001D29B0"/>
    <w:rsid w:val="001D39D9"/>
    <w:rsid w:val="001D6BC9"/>
    <w:rsid w:val="001D7FF7"/>
    <w:rsid w:val="001E3C7A"/>
    <w:rsid w:val="001E52A1"/>
    <w:rsid w:val="00200962"/>
    <w:rsid w:val="00200E74"/>
    <w:rsid w:val="00203762"/>
    <w:rsid w:val="00211795"/>
    <w:rsid w:val="00213915"/>
    <w:rsid w:val="0021428A"/>
    <w:rsid w:val="002168A0"/>
    <w:rsid w:val="0022148F"/>
    <w:rsid w:val="00227BA1"/>
    <w:rsid w:val="002317B1"/>
    <w:rsid w:val="002359AF"/>
    <w:rsid w:val="00236756"/>
    <w:rsid w:val="00241167"/>
    <w:rsid w:val="00242395"/>
    <w:rsid w:val="00242986"/>
    <w:rsid w:val="00244B7E"/>
    <w:rsid w:val="00260D41"/>
    <w:rsid w:val="002612A2"/>
    <w:rsid w:val="00265395"/>
    <w:rsid w:val="00265B5C"/>
    <w:rsid w:val="0026647B"/>
    <w:rsid w:val="00277A5B"/>
    <w:rsid w:val="00284823"/>
    <w:rsid w:val="0029162F"/>
    <w:rsid w:val="002924C3"/>
    <w:rsid w:val="00293709"/>
    <w:rsid w:val="002A07A1"/>
    <w:rsid w:val="002A4F13"/>
    <w:rsid w:val="002B0BB1"/>
    <w:rsid w:val="002B47BD"/>
    <w:rsid w:val="002C61FD"/>
    <w:rsid w:val="002D174A"/>
    <w:rsid w:val="002D229D"/>
    <w:rsid w:val="002E0B28"/>
    <w:rsid w:val="002E23ED"/>
    <w:rsid w:val="002E41D5"/>
    <w:rsid w:val="002E7B4F"/>
    <w:rsid w:val="002F6812"/>
    <w:rsid w:val="00300311"/>
    <w:rsid w:val="00300C97"/>
    <w:rsid w:val="00302203"/>
    <w:rsid w:val="003025F1"/>
    <w:rsid w:val="00306F99"/>
    <w:rsid w:val="00320C47"/>
    <w:rsid w:val="00332CDC"/>
    <w:rsid w:val="00336381"/>
    <w:rsid w:val="00337D57"/>
    <w:rsid w:val="0034055F"/>
    <w:rsid w:val="0034761E"/>
    <w:rsid w:val="00360888"/>
    <w:rsid w:val="00361473"/>
    <w:rsid w:val="00362501"/>
    <w:rsid w:val="00364D1E"/>
    <w:rsid w:val="00370FBE"/>
    <w:rsid w:val="003737EF"/>
    <w:rsid w:val="00375274"/>
    <w:rsid w:val="00375C3D"/>
    <w:rsid w:val="00377DD5"/>
    <w:rsid w:val="003839FD"/>
    <w:rsid w:val="00384163"/>
    <w:rsid w:val="0038589C"/>
    <w:rsid w:val="00386D3C"/>
    <w:rsid w:val="003A189C"/>
    <w:rsid w:val="003A48E2"/>
    <w:rsid w:val="003A4C7B"/>
    <w:rsid w:val="003B0D36"/>
    <w:rsid w:val="003B1394"/>
    <w:rsid w:val="003B4AAA"/>
    <w:rsid w:val="003C13F4"/>
    <w:rsid w:val="003C40C5"/>
    <w:rsid w:val="003C5BF4"/>
    <w:rsid w:val="003C78BB"/>
    <w:rsid w:val="003D4706"/>
    <w:rsid w:val="003D4F75"/>
    <w:rsid w:val="003D6803"/>
    <w:rsid w:val="003E015B"/>
    <w:rsid w:val="003E0703"/>
    <w:rsid w:val="003E3DE4"/>
    <w:rsid w:val="003F2026"/>
    <w:rsid w:val="003F2B08"/>
    <w:rsid w:val="003F2B30"/>
    <w:rsid w:val="003F4243"/>
    <w:rsid w:val="00405000"/>
    <w:rsid w:val="00407DED"/>
    <w:rsid w:val="00413404"/>
    <w:rsid w:val="00417A49"/>
    <w:rsid w:val="00422D27"/>
    <w:rsid w:val="0042646F"/>
    <w:rsid w:val="00431C2B"/>
    <w:rsid w:val="00441C26"/>
    <w:rsid w:val="00442828"/>
    <w:rsid w:val="00454AF1"/>
    <w:rsid w:val="0045513D"/>
    <w:rsid w:val="004554C0"/>
    <w:rsid w:val="004644ED"/>
    <w:rsid w:val="00466620"/>
    <w:rsid w:val="00475E4E"/>
    <w:rsid w:val="00490E3C"/>
    <w:rsid w:val="00493324"/>
    <w:rsid w:val="004A3113"/>
    <w:rsid w:val="004A4CD3"/>
    <w:rsid w:val="004B1B44"/>
    <w:rsid w:val="004B4C95"/>
    <w:rsid w:val="004B5BD2"/>
    <w:rsid w:val="004C16F5"/>
    <w:rsid w:val="004C5011"/>
    <w:rsid w:val="004C6993"/>
    <w:rsid w:val="004C7DC6"/>
    <w:rsid w:val="004D00B6"/>
    <w:rsid w:val="004D03E3"/>
    <w:rsid w:val="004E453B"/>
    <w:rsid w:val="004E6294"/>
    <w:rsid w:val="004F41FE"/>
    <w:rsid w:val="004F7C28"/>
    <w:rsid w:val="005054C7"/>
    <w:rsid w:val="00514E6C"/>
    <w:rsid w:val="00517238"/>
    <w:rsid w:val="00517D95"/>
    <w:rsid w:val="005224BB"/>
    <w:rsid w:val="00527C44"/>
    <w:rsid w:val="005565E8"/>
    <w:rsid w:val="0056064D"/>
    <w:rsid w:val="00561B13"/>
    <w:rsid w:val="005649EF"/>
    <w:rsid w:val="00584399"/>
    <w:rsid w:val="00584FA6"/>
    <w:rsid w:val="00585D5A"/>
    <w:rsid w:val="0059489B"/>
    <w:rsid w:val="005952AB"/>
    <w:rsid w:val="005954C1"/>
    <w:rsid w:val="005A1647"/>
    <w:rsid w:val="005A1667"/>
    <w:rsid w:val="005A2B82"/>
    <w:rsid w:val="005A69DA"/>
    <w:rsid w:val="005A7450"/>
    <w:rsid w:val="005B49F0"/>
    <w:rsid w:val="005C11BE"/>
    <w:rsid w:val="005D3ED0"/>
    <w:rsid w:val="005E10AC"/>
    <w:rsid w:val="005E4273"/>
    <w:rsid w:val="005E5B97"/>
    <w:rsid w:val="005F0CFC"/>
    <w:rsid w:val="005F3E28"/>
    <w:rsid w:val="005F4BB5"/>
    <w:rsid w:val="005F59A2"/>
    <w:rsid w:val="00604177"/>
    <w:rsid w:val="00606650"/>
    <w:rsid w:val="0061517E"/>
    <w:rsid w:val="00615D8E"/>
    <w:rsid w:val="0061670A"/>
    <w:rsid w:val="00616F74"/>
    <w:rsid w:val="0061797B"/>
    <w:rsid w:val="00617E0B"/>
    <w:rsid w:val="00620642"/>
    <w:rsid w:val="00620BA6"/>
    <w:rsid w:val="00635A9E"/>
    <w:rsid w:val="00636222"/>
    <w:rsid w:val="0064031A"/>
    <w:rsid w:val="00641621"/>
    <w:rsid w:val="00642716"/>
    <w:rsid w:val="00645789"/>
    <w:rsid w:val="006537E3"/>
    <w:rsid w:val="00660332"/>
    <w:rsid w:val="00666A2B"/>
    <w:rsid w:val="006707B9"/>
    <w:rsid w:val="006736E8"/>
    <w:rsid w:val="006748F2"/>
    <w:rsid w:val="0068033C"/>
    <w:rsid w:val="006814E6"/>
    <w:rsid w:val="00682CAF"/>
    <w:rsid w:val="00690C26"/>
    <w:rsid w:val="00692D7A"/>
    <w:rsid w:val="006A7879"/>
    <w:rsid w:val="006A7F2E"/>
    <w:rsid w:val="006B3D16"/>
    <w:rsid w:val="006B5624"/>
    <w:rsid w:val="006B5B11"/>
    <w:rsid w:val="006C031A"/>
    <w:rsid w:val="006C0F74"/>
    <w:rsid w:val="006C115F"/>
    <w:rsid w:val="006C2959"/>
    <w:rsid w:val="006D3247"/>
    <w:rsid w:val="006E17EA"/>
    <w:rsid w:val="006E4579"/>
    <w:rsid w:val="006E7D22"/>
    <w:rsid w:val="006F27E0"/>
    <w:rsid w:val="006F3D95"/>
    <w:rsid w:val="006F6644"/>
    <w:rsid w:val="00704335"/>
    <w:rsid w:val="00714003"/>
    <w:rsid w:val="00716E33"/>
    <w:rsid w:val="0071763E"/>
    <w:rsid w:val="00726437"/>
    <w:rsid w:val="00736C28"/>
    <w:rsid w:val="00737833"/>
    <w:rsid w:val="007410BA"/>
    <w:rsid w:val="0075051C"/>
    <w:rsid w:val="00752D14"/>
    <w:rsid w:val="00752F80"/>
    <w:rsid w:val="00755F38"/>
    <w:rsid w:val="0075790D"/>
    <w:rsid w:val="00762162"/>
    <w:rsid w:val="0077010A"/>
    <w:rsid w:val="0077177A"/>
    <w:rsid w:val="00771978"/>
    <w:rsid w:val="00772A7C"/>
    <w:rsid w:val="00774459"/>
    <w:rsid w:val="00777280"/>
    <w:rsid w:val="00785A90"/>
    <w:rsid w:val="00787F77"/>
    <w:rsid w:val="007912EC"/>
    <w:rsid w:val="00793471"/>
    <w:rsid w:val="00794233"/>
    <w:rsid w:val="00796C75"/>
    <w:rsid w:val="007976B5"/>
    <w:rsid w:val="007A10E0"/>
    <w:rsid w:val="007A1513"/>
    <w:rsid w:val="007B2EF2"/>
    <w:rsid w:val="007B311D"/>
    <w:rsid w:val="007B7E21"/>
    <w:rsid w:val="007C412E"/>
    <w:rsid w:val="007C55C3"/>
    <w:rsid w:val="007D29F0"/>
    <w:rsid w:val="007D29FE"/>
    <w:rsid w:val="007D570D"/>
    <w:rsid w:val="007D5821"/>
    <w:rsid w:val="007E0DE2"/>
    <w:rsid w:val="007F1E74"/>
    <w:rsid w:val="007F5D78"/>
    <w:rsid w:val="0080060D"/>
    <w:rsid w:val="0080074D"/>
    <w:rsid w:val="00803593"/>
    <w:rsid w:val="008036FA"/>
    <w:rsid w:val="008048D0"/>
    <w:rsid w:val="00804CC8"/>
    <w:rsid w:val="00814FF0"/>
    <w:rsid w:val="00816330"/>
    <w:rsid w:val="008310DB"/>
    <w:rsid w:val="00836B94"/>
    <w:rsid w:val="00840D56"/>
    <w:rsid w:val="00843F8A"/>
    <w:rsid w:val="00845A91"/>
    <w:rsid w:val="00853689"/>
    <w:rsid w:val="00853F4F"/>
    <w:rsid w:val="00854E3A"/>
    <w:rsid w:val="00854FDB"/>
    <w:rsid w:val="0085721F"/>
    <w:rsid w:val="00857776"/>
    <w:rsid w:val="00870FBB"/>
    <w:rsid w:val="00872AE1"/>
    <w:rsid w:val="00882375"/>
    <w:rsid w:val="008852AA"/>
    <w:rsid w:val="0089022A"/>
    <w:rsid w:val="00896D42"/>
    <w:rsid w:val="008A35F7"/>
    <w:rsid w:val="008A459C"/>
    <w:rsid w:val="008A546E"/>
    <w:rsid w:val="008B4F40"/>
    <w:rsid w:val="008B6EA1"/>
    <w:rsid w:val="008C3535"/>
    <w:rsid w:val="008C6093"/>
    <w:rsid w:val="008C6592"/>
    <w:rsid w:val="008D5316"/>
    <w:rsid w:val="008D63AC"/>
    <w:rsid w:val="008F4C33"/>
    <w:rsid w:val="008F6F07"/>
    <w:rsid w:val="0090438C"/>
    <w:rsid w:val="009107DE"/>
    <w:rsid w:val="009172D0"/>
    <w:rsid w:val="009215B8"/>
    <w:rsid w:val="00922B26"/>
    <w:rsid w:val="00923AF7"/>
    <w:rsid w:val="00926A3F"/>
    <w:rsid w:val="00931348"/>
    <w:rsid w:val="00941BF8"/>
    <w:rsid w:val="009500CA"/>
    <w:rsid w:val="00950106"/>
    <w:rsid w:val="00954E14"/>
    <w:rsid w:val="0096022A"/>
    <w:rsid w:val="009621EE"/>
    <w:rsid w:val="009770B6"/>
    <w:rsid w:val="00977DD2"/>
    <w:rsid w:val="009835D4"/>
    <w:rsid w:val="00983940"/>
    <w:rsid w:val="00985EE8"/>
    <w:rsid w:val="00987EAF"/>
    <w:rsid w:val="009947B7"/>
    <w:rsid w:val="00997214"/>
    <w:rsid w:val="009A462A"/>
    <w:rsid w:val="009A6768"/>
    <w:rsid w:val="009B0CFB"/>
    <w:rsid w:val="009B3691"/>
    <w:rsid w:val="009B5CA0"/>
    <w:rsid w:val="009B73F5"/>
    <w:rsid w:val="009C0BA3"/>
    <w:rsid w:val="009C66A9"/>
    <w:rsid w:val="009C7108"/>
    <w:rsid w:val="009D04C9"/>
    <w:rsid w:val="009D2A47"/>
    <w:rsid w:val="009D6911"/>
    <w:rsid w:val="009E617B"/>
    <w:rsid w:val="009E6F95"/>
    <w:rsid w:val="00A06A56"/>
    <w:rsid w:val="00A1318B"/>
    <w:rsid w:val="00A15074"/>
    <w:rsid w:val="00A155B5"/>
    <w:rsid w:val="00A179B5"/>
    <w:rsid w:val="00A22AA2"/>
    <w:rsid w:val="00A33031"/>
    <w:rsid w:val="00A33C38"/>
    <w:rsid w:val="00A34B7E"/>
    <w:rsid w:val="00A50BBC"/>
    <w:rsid w:val="00A51F7B"/>
    <w:rsid w:val="00A532ED"/>
    <w:rsid w:val="00A53A2E"/>
    <w:rsid w:val="00A56082"/>
    <w:rsid w:val="00A57443"/>
    <w:rsid w:val="00A63477"/>
    <w:rsid w:val="00A67DD7"/>
    <w:rsid w:val="00A7397C"/>
    <w:rsid w:val="00A73F6D"/>
    <w:rsid w:val="00A74A7F"/>
    <w:rsid w:val="00A84CAF"/>
    <w:rsid w:val="00A92B91"/>
    <w:rsid w:val="00A941E2"/>
    <w:rsid w:val="00A96290"/>
    <w:rsid w:val="00A97763"/>
    <w:rsid w:val="00AA111F"/>
    <w:rsid w:val="00AA173A"/>
    <w:rsid w:val="00AA34D1"/>
    <w:rsid w:val="00AA4238"/>
    <w:rsid w:val="00AB14AB"/>
    <w:rsid w:val="00AB259B"/>
    <w:rsid w:val="00AB2A87"/>
    <w:rsid w:val="00AB3D0B"/>
    <w:rsid w:val="00AB401C"/>
    <w:rsid w:val="00AC1468"/>
    <w:rsid w:val="00AC25BA"/>
    <w:rsid w:val="00AC4F8C"/>
    <w:rsid w:val="00AC5F1D"/>
    <w:rsid w:val="00AC6C84"/>
    <w:rsid w:val="00AD081C"/>
    <w:rsid w:val="00AD30CD"/>
    <w:rsid w:val="00AD5A41"/>
    <w:rsid w:val="00AE47B5"/>
    <w:rsid w:val="00AE642E"/>
    <w:rsid w:val="00AF391F"/>
    <w:rsid w:val="00AF6CA5"/>
    <w:rsid w:val="00B1785F"/>
    <w:rsid w:val="00B2061F"/>
    <w:rsid w:val="00B212DE"/>
    <w:rsid w:val="00B24A44"/>
    <w:rsid w:val="00B27B1C"/>
    <w:rsid w:val="00B40D45"/>
    <w:rsid w:val="00B50F4E"/>
    <w:rsid w:val="00B62376"/>
    <w:rsid w:val="00B62780"/>
    <w:rsid w:val="00B67563"/>
    <w:rsid w:val="00B7458A"/>
    <w:rsid w:val="00B75ECE"/>
    <w:rsid w:val="00B7656B"/>
    <w:rsid w:val="00B800D6"/>
    <w:rsid w:val="00B80627"/>
    <w:rsid w:val="00B85A5A"/>
    <w:rsid w:val="00B87DD0"/>
    <w:rsid w:val="00B93896"/>
    <w:rsid w:val="00B96B34"/>
    <w:rsid w:val="00BA683A"/>
    <w:rsid w:val="00BA7218"/>
    <w:rsid w:val="00BB0C17"/>
    <w:rsid w:val="00BB48AD"/>
    <w:rsid w:val="00BD260A"/>
    <w:rsid w:val="00BD44F4"/>
    <w:rsid w:val="00BE07D8"/>
    <w:rsid w:val="00BE1D2F"/>
    <w:rsid w:val="00BF5F1D"/>
    <w:rsid w:val="00BF7A6C"/>
    <w:rsid w:val="00C00BA7"/>
    <w:rsid w:val="00C03456"/>
    <w:rsid w:val="00C13DC8"/>
    <w:rsid w:val="00C1628E"/>
    <w:rsid w:val="00C2025B"/>
    <w:rsid w:val="00C25C34"/>
    <w:rsid w:val="00C27FDD"/>
    <w:rsid w:val="00C34D4D"/>
    <w:rsid w:val="00C40378"/>
    <w:rsid w:val="00C52066"/>
    <w:rsid w:val="00C524C8"/>
    <w:rsid w:val="00C524E3"/>
    <w:rsid w:val="00C558C4"/>
    <w:rsid w:val="00C57132"/>
    <w:rsid w:val="00C57565"/>
    <w:rsid w:val="00C60B0E"/>
    <w:rsid w:val="00C62F86"/>
    <w:rsid w:val="00C711D4"/>
    <w:rsid w:val="00C72A56"/>
    <w:rsid w:val="00C75CE4"/>
    <w:rsid w:val="00C777D5"/>
    <w:rsid w:val="00C863C5"/>
    <w:rsid w:val="00C90FBA"/>
    <w:rsid w:val="00C92AAC"/>
    <w:rsid w:val="00C938A1"/>
    <w:rsid w:val="00CA1355"/>
    <w:rsid w:val="00CA1CDA"/>
    <w:rsid w:val="00CA1DE4"/>
    <w:rsid w:val="00CA6D14"/>
    <w:rsid w:val="00CA7E4F"/>
    <w:rsid w:val="00CB26A9"/>
    <w:rsid w:val="00CC4372"/>
    <w:rsid w:val="00CD32E4"/>
    <w:rsid w:val="00CE48A2"/>
    <w:rsid w:val="00CF1A8E"/>
    <w:rsid w:val="00D01AE9"/>
    <w:rsid w:val="00D03759"/>
    <w:rsid w:val="00D062F2"/>
    <w:rsid w:val="00D11B60"/>
    <w:rsid w:val="00D11C90"/>
    <w:rsid w:val="00D20F95"/>
    <w:rsid w:val="00D22B17"/>
    <w:rsid w:val="00D22F4A"/>
    <w:rsid w:val="00D23541"/>
    <w:rsid w:val="00D25850"/>
    <w:rsid w:val="00D337B5"/>
    <w:rsid w:val="00D37B6E"/>
    <w:rsid w:val="00D47C06"/>
    <w:rsid w:val="00D50F12"/>
    <w:rsid w:val="00D52140"/>
    <w:rsid w:val="00D5583A"/>
    <w:rsid w:val="00D60EEA"/>
    <w:rsid w:val="00D67076"/>
    <w:rsid w:val="00D67877"/>
    <w:rsid w:val="00D711C5"/>
    <w:rsid w:val="00D7334E"/>
    <w:rsid w:val="00D767E8"/>
    <w:rsid w:val="00D90C26"/>
    <w:rsid w:val="00D9323E"/>
    <w:rsid w:val="00D94162"/>
    <w:rsid w:val="00DA1197"/>
    <w:rsid w:val="00DA7E25"/>
    <w:rsid w:val="00DB45EE"/>
    <w:rsid w:val="00DB61DC"/>
    <w:rsid w:val="00DC2A7C"/>
    <w:rsid w:val="00DC52F4"/>
    <w:rsid w:val="00DC68DF"/>
    <w:rsid w:val="00DC6B55"/>
    <w:rsid w:val="00DD1CF6"/>
    <w:rsid w:val="00DD2E6B"/>
    <w:rsid w:val="00DD4C11"/>
    <w:rsid w:val="00DF177D"/>
    <w:rsid w:val="00DF29AD"/>
    <w:rsid w:val="00DF6F1F"/>
    <w:rsid w:val="00E065C6"/>
    <w:rsid w:val="00E12AD0"/>
    <w:rsid w:val="00E17993"/>
    <w:rsid w:val="00E230F8"/>
    <w:rsid w:val="00E41865"/>
    <w:rsid w:val="00E4260F"/>
    <w:rsid w:val="00E42EBE"/>
    <w:rsid w:val="00E44BB5"/>
    <w:rsid w:val="00E47FE3"/>
    <w:rsid w:val="00E53AE8"/>
    <w:rsid w:val="00E55CFB"/>
    <w:rsid w:val="00E562BE"/>
    <w:rsid w:val="00E6683B"/>
    <w:rsid w:val="00E71E47"/>
    <w:rsid w:val="00E75409"/>
    <w:rsid w:val="00E766DA"/>
    <w:rsid w:val="00E76B83"/>
    <w:rsid w:val="00E776F5"/>
    <w:rsid w:val="00E77905"/>
    <w:rsid w:val="00E77BCA"/>
    <w:rsid w:val="00E80C07"/>
    <w:rsid w:val="00E854EA"/>
    <w:rsid w:val="00E85969"/>
    <w:rsid w:val="00E85B48"/>
    <w:rsid w:val="00E86745"/>
    <w:rsid w:val="00E96695"/>
    <w:rsid w:val="00EA3A65"/>
    <w:rsid w:val="00EB0ADB"/>
    <w:rsid w:val="00EC00A6"/>
    <w:rsid w:val="00EC6746"/>
    <w:rsid w:val="00ED2F6A"/>
    <w:rsid w:val="00ED77FB"/>
    <w:rsid w:val="00EE06DD"/>
    <w:rsid w:val="00EF6DC3"/>
    <w:rsid w:val="00F029E5"/>
    <w:rsid w:val="00F0347F"/>
    <w:rsid w:val="00F04E77"/>
    <w:rsid w:val="00F1312F"/>
    <w:rsid w:val="00F1470A"/>
    <w:rsid w:val="00F23768"/>
    <w:rsid w:val="00F23DC0"/>
    <w:rsid w:val="00F277E4"/>
    <w:rsid w:val="00F30CFF"/>
    <w:rsid w:val="00F34DC5"/>
    <w:rsid w:val="00F50864"/>
    <w:rsid w:val="00F53811"/>
    <w:rsid w:val="00F547E6"/>
    <w:rsid w:val="00F602C0"/>
    <w:rsid w:val="00F623D0"/>
    <w:rsid w:val="00F63D43"/>
    <w:rsid w:val="00F64403"/>
    <w:rsid w:val="00F703BE"/>
    <w:rsid w:val="00F704CD"/>
    <w:rsid w:val="00F753A9"/>
    <w:rsid w:val="00F90317"/>
    <w:rsid w:val="00F9356F"/>
    <w:rsid w:val="00FA42BA"/>
    <w:rsid w:val="00FA5C32"/>
    <w:rsid w:val="00FA7BE2"/>
    <w:rsid w:val="00FB5DE4"/>
    <w:rsid w:val="00FD6A52"/>
    <w:rsid w:val="00FE1BC6"/>
    <w:rsid w:val="00FF53D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0B8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AD0"/>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8C6592"/>
    <w:pPr>
      <w:keepNext/>
      <w:spacing w:before="240" w:after="60"/>
      <w:outlineLvl w:val="0"/>
    </w:pPr>
    <w:rPr>
      <w:rFonts w:ascii="Arial" w:hAnsi="Arial" w:cs="Arial"/>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semiHidden/>
    <w:unhideWhenUsed/>
    <w:rsid w:val="004C16F5"/>
    <w:rPr>
      <w:sz w:val="20"/>
      <w:szCs w:val="20"/>
    </w:rPr>
  </w:style>
  <w:style w:type="character" w:customStyle="1" w:styleId="CommentTextChar">
    <w:name w:val="Comment Text Char"/>
    <w:basedOn w:val="DefaultParagraphFont"/>
    <w:link w:val="CommentText"/>
    <w:uiPriority w:val="99"/>
    <w:semiHidden/>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C6592"/>
    <w:rPr>
      <w:rFonts w:ascii="Arial" w:eastAsia="Times New Roman" w:hAnsi="Arial" w:cs="Arial"/>
      <w:b/>
      <w:bCs/>
      <w:kern w:val="32"/>
      <w:sz w:val="32"/>
      <w:szCs w:val="32"/>
    </w:rPr>
  </w:style>
  <w:style w:type="character" w:styleId="FollowedHyperlink">
    <w:name w:val="FollowedHyperlink"/>
    <w:basedOn w:val="DefaultParagraphFont"/>
    <w:uiPriority w:val="99"/>
    <w:semiHidden/>
    <w:unhideWhenUsed/>
    <w:rsid w:val="00E77905"/>
    <w:rPr>
      <w:color w:val="954F72" w:themeColor="followedHyperlink"/>
      <w:u w:val="single"/>
    </w:rPr>
  </w:style>
  <w:style w:type="paragraph" w:styleId="ListParagraph">
    <w:name w:val="List Paragraph"/>
    <w:basedOn w:val="Normal"/>
    <w:uiPriority w:val="34"/>
    <w:qFormat/>
    <w:rsid w:val="004D03E3"/>
    <w:pPr>
      <w:ind w:left="720"/>
      <w:contextualSpacing/>
    </w:pPr>
  </w:style>
  <w:style w:type="paragraph" w:customStyle="1" w:styleId="Default">
    <w:name w:val="Default"/>
    <w:rsid w:val="000F05D2"/>
    <w:pPr>
      <w:autoSpaceDE w:val="0"/>
      <w:autoSpaceDN w:val="0"/>
      <w:adjustRightInd w:val="0"/>
      <w:spacing w:after="0" w:line="240" w:lineRule="auto"/>
    </w:pPr>
    <w:rPr>
      <w:rFonts w:ascii="Verdana" w:hAnsi="Verdana" w:cs="Verdana"/>
      <w:color w:val="000000"/>
      <w:sz w:val="24"/>
      <w:szCs w:val="24"/>
    </w:rPr>
  </w:style>
  <w:style w:type="paragraph" w:customStyle="1" w:styleId="c01pointnumerotealtn">
    <w:name w:val="c01pointnumerotealtn"/>
    <w:basedOn w:val="Normal"/>
    <w:rsid w:val="00896D42"/>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453750077">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 w:id="2017415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1102.A420113721.10.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5EFC0-CC5A-4B0B-846C-F3EE7594C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2270</Words>
  <Characters>12942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2023-02-25T11:36:00Z</dcterms:created>
  <dcterms:modified xsi:type="dcterms:W3CDTF">2023-02-26T19:07:00Z</dcterms:modified>
</cp:coreProperties>
</file>