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8FF1E" w14:textId="77777777" w:rsidR="00620E28" w:rsidRDefault="00620E28" w:rsidP="008E6DC5">
      <w:pPr>
        <w:autoSpaceDE w:val="0"/>
        <w:autoSpaceDN w:val="0"/>
        <w:spacing w:line="276" w:lineRule="auto"/>
        <w:jc w:val="both"/>
        <w:rPr>
          <w:rFonts w:ascii="TimesNewRomanPSMT" w:hAnsi="TimesNewRomanPSMT"/>
          <w:b/>
          <w:bCs/>
          <w:lang w:eastAsia="en-US"/>
        </w:rPr>
      </w:pPr>
      <w:r>
        <w:rPr>
          <w:rFonts w:ascii="TimesNewRomanPSMT" w:hAnsi="TimesNewRomanPSMT"/>
          <w:b/>
          <w:bCs/>
        </w:rPr>
        <w:t xml:space="preserve">Tiesas pienākums noskaidrot pieteikuma atbilstību Administratīvā procesa likuma 184.panta otrās daļas 1.punktam, ņemot vērā pieteicēja pieteikuma mērķi </w:t>
      </w:r>
    </w:p>
    <w:p w14:paraId="305FD381" w14:textId="77777777" w:rsidR="00620E28" w:rsidRDefault="00620E28" w:rsidP="008E6DC5">
      <w:pPr>
        <w:autoSpaceDE w:val="0"/>
        <w:autoSpaceDN w:val="0"/>
        <w:spacing w:line="276" w:lineRule="auto"/>
        <w:jc w:val="both"/>
        <w:rPr>
          <w:rFonts w:ascii="TimesNewRomanPSMT" w:hAnsi="TimesNewRomanPSMT"/>
        </w:rPr>
      </w:pPr>
      <w:r>
        <w:rPr>
          <w:rFonts w:ascii="TimesNewRomanPSMT" w:hAnsi="TimesNewRomanPSMT"/>
        </w:rPr>
        <w:t xml:space="preserve">Ja tiesai pēc pieteikuma precizējumu saņemšanas nav pārliecības, vai pieteicēja pieteikums atbilst Administratīvā procesa likuma 184.panta otrās daļas 1.punkta prasībām, tiesa, ievērojot privātpersonas tiesību ievērošanas principu un objektīvās izmeklēšanas principu, var uz to norādīt, izvērstāk paskaidrojot kritērijus pieteikuma par administratīvā akta atzīšanu par prettiesisku pieļaujamībai un lūdzot pieteicēju detalizētāk pamatot savu interesi šāda pieteikuma uzturēšanai. Formāla attieksme pieteikuma satura un pieteicēja tiesisko interešu izvērtēšanā nav pieļaujama, jo īpaši situācijā, kad jautājums par pieteikuma atbilstību Administratīvā procesa likuma 184.panta otrās daļas 1.punktā izvirzītajiem kritērijiem aktualizējies jau ierosinātas tiesvedības laikā. </w:t>
      </w:r>
    </w:p>
    <w:p w14:paraId="2CF457E8" w14:textId="6741CFC6" w:rsidR="003047F5" w:rsidRPr="00C078FD" w:rsidRDefault="003047F5" w:rsidP="008E6DC5">
      <w:pPr>
        <w:pStyle w:val="BodyText2"/>
        <w:spacing w:after="0" w:line="276" w:lineRule="auto"/>
      </w:pPr>
    </w:p>
    <w:p w14:paraId="765AF8A4" w14:textId="15981B60" w:rsidR="006F5D3B" w:rsidRPr="00620E28" w:rsidRDefault="006F5D3B" w:rsidP="008E6DC5">
      <w:pPr>
        <w:spacing w:line="276" w:lineRule="auto"/>
        <w:jc w:val="center"/>
        <w:rPr>
          <w:b/>
        </w:rPr>
      </w:pPr>
      <w:r w:rsidRPr="00620E28">
        <w:rPr>
          <w:b/>
        </w:rPr>
        <w:t xml:space="preserve">Latvijas Republikas </w:t>
      </w:r>
      <w:r w:rsidR="00620E28" w:rsidRPr="00620E28">
        <w:rPr>
          <w:b/>
        </w:rPr>
        <w:t>Senāta</w:t>
      </w:r>
    </w:p>
    <w:p w14:paraId="63141C8C" w14:textId="7216C0B6" w:rsidR="00620E28" w:rsidRPr="00620E28" w:rsidRDefault="00620E28" w:rsidP="008E6DC5">
      <w:pPr>
        <w:spacing w:line="276" w:lineRule="auto"/>
        <w:jc w:val="center"/>
        <w:rPr>
          <w:b/>
        </w:rPr>
      </w:pPr>
      <w:r w:rsidRPr="00620E28">
        <w:rPr>
          <w:b/>
        </w:rPr>
        <w:t>Administratīvo lietu departamenta</w:t>
      </w:r>
    </w:p>
    <w:p w14:paraId="6DEBF1B6" w14:textId="0FA4CD07" w:rsidR="00620E28" w:rsidRPr="00620E28" w:rsidRDefault="00620E28" w:rsidP="008E6DC5">
      <w:pPr>
        <w:spacing w:line="276" w:lineRule="auto"/>
        <w:jc w:val="center"/>
        <w:rPr>
          <w:b/>
        </w:rPr>
      </w:pPr>
      <w:r w:rsidRPr="00620E28">
        <w:rPr>
          <w:b/>
        </w:rPr>
        <w:t xml:space="preserve">2022.gada14.oktobra </w:t>
      </w:r>
    </w:p>
    <w:p w14:paraId="1B019AD9" w14:textId="7791D851" w:rsidR="003047F5" w:rsidRPr="00620E28" w:rsidRDefault="003047F5" w:rsidP="008E6DC5">
      <w:pPr>
        <w:spacing w:line="276" w:lineRule="auto"/>
        <w:jc w:val="center"/>
        <w:rPr>
          <w:b/>
        </w:rPr>
      </w:pPr>
      <w:r w:rsidRPr="00620E28">
        <w:rPr>
          <w:b/>
        </w:rPr>
        <w:t>LĒMUMS</w:t>
      </w:r>
    </w:p>
    <w:p w14:paraId="474F850F" w14:textId="77777777" w:rsidR="00620E28" w:rsidRPr="00620E28" w:rsidRDefault="00620E28" w:rsidP="008E6DC5">
      <w:pPr>
        <w:spacing w:line="276" w:lineRule="auto"/>
        <w:jc w:val="center"/>
        <w:rPr>
          <w:b/>
        </w:rPr>
      </w:pPr>
      <w:r w:rsidRPr="00620E28">
        <w:rPr>
          <w:b/>
        </w:rPr>
        <w:t>Lieta Nr. A420144622, SKA-1047/2022</w:t>
      </w:r>
    </w:p>
    <w:p w14:paraId="6358234F" w14:textId="24DC1EEE" w:rsidR="00620E28" w:rsidRPr="00620E28" w:rsidRDefault="00620E28" w:rsidP="008E6DC5">
      <w:pPr>
        <w:spacing w:line="276" w:lineRule="auto"/>
        <w:jc w:val="center"/>
      </w:pPr>
      <w:hyperlink r:id="rId7" w:history="1">
        <w:r w:rsidRPr="00620E28">
          <w:rPr>
            <w:rStyle w:val="Hyperlink"/>
          </w:rPr>
          <w:t>ECLI:LV:AT:2022:1014.A420144622.13.L</w:t>
        </w:r>
      </w:hyperlink>
      <w:r w:rsidRPr="00620E28">
        <w:t xml:space="preserve"> </w:t>
      </w:r>
    </w:p>
    <w:p w14:paraId="7E08797B" w14:textId="77777777" w:rsidR="003047F5" w:rsidRPr="00C078FD" w:rsidRDefault="003047F5" w:rsidP="008E6DC5">
      <w:pPr>
        <w:spacing w:line="276" w:lineRule="auto"/>
        <w:jc w:val="center"/>
      </w:pPr>
    </w:p>
    <w:p w14:paraId="26297293" w14:textId="55E3DDCB" w:rsidR="00A6596A" w:rsidRPr="00C73593" w:rsidRDefault="0015480A" w:rsidP="008E6DC5">
      <w:pPr>
        <w:spacing w:line="276" w:lineRule="auto"/>
        <w:ind w:firstLine="567"/>
        <w:jc w:val="both"/>
      </w:pPr>
      <w:r w:rsidRPr="00C73593">
        <w:t>Tiesa šādā sastāvā: senator</w:t>
      </w:r>
      <w:r w:rsidR="001926C0">
        <w:t>es</w:t>
      </w:r>
      <w:r w:rsidR="00C078FD" w:rsidRPr="00C73593">
        <w:t xml:space="preserve"> Anita Kovaļevska, </w:t>
      </w:r>
      <w:r w:rsidR="001926C0">
        <w:t>Dzintra Amerika, Ieva Višķere</w:t>
      </w:r>
    </w:p>
    <w:p w14:paraId="2807957F" w14:textId="77777777" w:rsidR="003047F5" w:rsidRPr="00C73593" w:rsidRDefault="003047F5" w:rsidP="008E6DC5">
      <w:pPr>
        <w:spacing w:line="276" w:lineRule="auto"/>
        <w:ind w:firstLine="567"/>
        <w:jc w:val="both"/>
      </w:pPr>
    </w:p>
    <w:p w14:paraId="45FEDFF2" w14:textId="2D048D4F" w:rsidR="003047F5" w:rsidRPr="00C73593" w:rsidRDefault="009F6F33" w:rsidP="008E6DC5">
      <w:pPr>
        <w:spacing w:line="276" w:lineRule="auto"/>
        <w:ind w:firstLine="567"/>
        <w:jc w:val="both"/>
      </w:pPr>
      <w:r w:rsidRPr="00C73593">
        <w:t>rakstveida procesā izskatīja</w:t>
      </w:r>
      <w:r w:rsidR="00620E28">
        <w:t xml:space="preserve"> [pers. A]</w:t>
      </w:r>
      <w:r w:rsidR="00F6356C">
        <w:t xml:space="preserve">, </w:t>
      </w:r>
      <w:r w:rsidR="00620E28">
        <w:t>[pers. </w:t>
      </w:r>
      <w:r w:rsidR="00620E28">
        <w:t>B</w:t>
      </w:r>
      <w:r w:rsidR="00620E28">
        <w:t>]</w:t>
      </w:r>
      <w:r w:rsidR="00F6356C">
        <w:t xml:space="preserve">, </w:t>
      </w:r>
      <w:r w:rsidR="00620E28">
        <w:t>[pers. </w:t>
      </w:r>
      <w:r w:rsidR="00620E28">
        <w:t>C</w:t>
      </w:r>
      <w:r w:rsidR="00620E28">
        <w:t>]</w:t>
      </w:r>
      <w:r w:rsidR="00620E28">
        <w:t xml:space="preserve"> </w:t>
      </w:r>
      <w:r w:rsidR="00F6356C">
        <w:t xml:space="preserve">un </w:t>
      </w:r>
      <w:r w:rsidR="00620E28">
        <w:t>[pers. </w:t>
      </w:r>
      <w:r w:rsidR="00620E28">
        <w:t>D</w:t>
      </w:r>
      <w:r w:rsidR="00620E28">
        <w:t>]</w:t>
      </w:r>
      <w:r w:rsidR="00620E28">
        <w:t xml:space="preserve"> </w:t>
      </w:r>
      <w:r w:rsidR="001F40A0" w:rsidRPr="00C73593">
        <w:t xml:space="preserve">blakus sūdzību </w:t>
      </w:r>
      <w:r w:rsidR="00C73593" w:rsidRPr="00C73593">
        <w:t>par Administratīvās rajona tiesas 202</w:t>
      </w:r>
      <w:r w:rsidR="00F6356C">
        <w:t>2</w:t>
      </w:r>
      <w:r w:rsidR="00C73593" w:rsidRPr="00C73593">
        <w:t xml:space="preserve">.gada </w:t>
      </w:r>
      <w:r w:rsidR="00F6356C">
        <w:t>4.augusta</w:t>
      </w:r>
      <w:r w:rsidR="00C73593" w:rsidRPr="00C73593">
        <w:t xml:space="preserve"> lēmumu, ar kuru </w:t>
      </w:r>
      <w:r w:rsidR="001926C0">
        <w:t xml:space="preserve">lietā </w:t>
      </w:r>
      <w:r w:rsidR="00C73593" w:rsidRPr="00C73593">
        <w:t>izbeigta tiesvedība</w:t>
      </w:r>
      <w:r w:rsidR="00670AE6" w:rsidRPr="00C73593">
        <w:t>.</w:t>
      </w:r>
    </w:p>
    <w:p w14:paraId="5DE22EF3" w14:textId="77777777" w:rsidR="00A6596A" w:rsidRPr="00C078FD" w:rsidRDefault="00A6596A" w:rsidP="008E6DC5">
      <w:pPr>
        <w:spacing w:line="276" w:lineRule="auto"/>
        <w:ind w:firstLine="567"/>
        <w:jc w:val="both"/>
      </w:pPr>
    </w:p>
    <w:p w14:paraId="49301551" w14:textId="77777777" w:rsidR="003047F5" w:rsidRPr="00C078FD" w:rsidRDefault="003047F5" w:rsidP="008E6DC5">
      <w:pPr>
        <w:spacing w:line="276" w:lineRule="auto"/>
        <w:jc w:val="center"/>
        <w:rPr>
          <w:b/>
        </w:rPr>
      </w:pPr>
      <w:r w:rsidRPr="00C078FD">
        <w:rPr>
          <w:b/>
        </w:rPr>
        <w:t>Aprakstošā daļa</w:t>
      </w:r>
    </w:p>
    <w:p w14:paraId="54AE93A0" w14:textId="77777777" w:rsidR="003047F5" w:rsidRPr="00C078FD" w:rsidRDefault="003047F5" w:rsidP="008E6DC5">
      <w:pPr>
        <w:spacing w:line="276" w:lineRule="auto"/>
        <w:ind w:firstLine="567"/>
        <w:jc w:val="both"/>
      </w:pPr>
    </w:p>
    <w:p w14:paraId="4A47841F" w14:textId="608F7C56" w:rsidR="00BC3F4C" w:rsidRDefault="003047F5" w:rsidP="008E6DC5">
      <w:pPr>
        <w:spacing w:line="276" w:lineRule="auto"/>
        <w:ind w:firstLine="567"/>
        <w:jc w:val="both"/>
      </w:pPr>
      <w:r w:rsidRPr="00C078FD">
        <w:t>[1]</w:t>
      </w:r>
      <w:r w:rsidR="00247860">
        <w:t> </w:t>
      </w:r>
      <w:r w:rsidR="001E1849">
        <w:t xml:space="preserve">Ministru kabinets 2021.gada 9.oktobrī izdeva rīkojumu Nr. 720 </w:t>
      </w:r>
      <w:r w:rsidR="001E1849" w:rsidRPr="00E54080">
        <w:t>„</w:t>
      </w:r>
      <w:r w:rsidR="001E1849">
        <w:t>Par ārkārtējās situācijas izsludināšanu</w:t>
      </w:r>
      <w:r w:rsidR="001E1849" w:rsidRPr="00E54080">
        <w:t>”</w:t>
      </w:r>
      <w:r w:rsidR="001E1849">
        <w:t xml:space="preserve"> (</w:t>
      </w:r>
      <w:r w:rsidR="001E1849" w:rsidRPr="001953C7">
        <w:t>turpmāk –</w:t>
      </w:r>
      <w:r w:rsidR="00F42FC1" w:rsidRPr="001953C7">
        <w:t xml:space="preserve"> </w:t>
      </w:r>
      <w:r w:rsidR="001E1849" w:rsidRPr="001953C7">
        <w:t>rīkojums</w:t>
      </w:r>
      <w:r w:rsidR="001E1849">
        <w:t>)</w:t>
      </w:r>
      <w:r w:rsidR="00B26E00">
        <w:t>, kura 5.2.apakšpunkt</w:t>
      </w:r>
      <w:r w:rsidR="004276FA">
        <w:t>s</w:t>
      </w:r>
      <w:r w:rsidR="00B26E00">
        <w:t xml:space="preserve"> tā sākotnējā redakcijā noteica: </w:t>
      </w:r>
      <w:r w:rsidR="00BC3F4C">
        <w:t>ja darba devējs ir informējis darbinieku, ka darba pienākumu veikšanai nepieciešams vakcinācijas vai pārslimošanas sertifikāts, darbiniek</w:t>
      </w:r>
      <w:r w:rsidR="00B26E00">
        <w:t xml:space="preserve">a </w:t>
      </w:r>
      <w:r w:rsidR="00BC3F4C">
        <w:t>pienākums ir uzsākt vakcināciju ne vēlāk kā</w:t>
      </w:r>
      <w:r w:rsidR="00F42FC1">
        <w:t xml:space="preserve"> septiņu </w:t>
      </w:r>
      <w:r w:rsidR="00BC3F4C">
        <w:t>dienu laikā no minētās informācijas saņemšanas un to pabeigt ne vēlāk kā septiņas dienas pēc vakcīnas lietošanas instrukcijā norādītā īsākā termiņa. Ja darbinieks vakcināciju nav uzsācis vai pabeidzis noteiktajā termiņā (līdz 2021.gada 15.novembrim), darba devējs darbinieku atstādina no darba vai amata pienākumu veikšanas.</w:t>
      </w:r>
    </w:p>
    <w:p w14:paraId="32051E91" w14:textId="36DEADC1" w:rsidR="00384741" w:rsidRDefault="00384741" w:rsidP="008E6DC5">
      <w:pPr>
        <w:spacing w:line="276" w:lineRule="auto"/>
        <w:ind w:firstLine="567"/>
        <w:jc w:val="both"/>
      </w:pPr>
      <w:r>
        <w:lastRenderedPageBreak/>
        <w:t xml:space="preserve">Rīkojuma 5.7.apakšpunktā bija paredzēts, </w:t>
      </w:r>
      <w:r w:rsidR="00B26E00">
        <w:t>ka darba devējs izvērtē katra darbinieka darba pienākumus un darba apstākļus klātienē, nosakot inficēšanas risku un iespējamo risku citu cilvēku veselībai. Pamatojoties uz minēto risku izvērtējumu, vērtējot katru gadījumu individuāli un ņemot vērā samērīguma, tiesiskuma un vienlīdzības principu, darba devējs pieprasa, lai darbiniekam būtu vakcinācijas vai pārslimošanas sertifikāts, ja pastāv kāds no normā minētajiem apstākļiem (darba pienākumu pildīšana tiešā saskarsmē ar klientiem vai citiem darbiniekiem; paaugstinātas iespējas inficēties, atrodoties tiešā saskarsmē un kontaktējoties ar lielu skaitu personu, kuru veselības stāvoklis nav zināms; darba pienākumi ir kritiski svarīgi sabiedrībai, kā arī uzņēmuma darbības nepārtrauktības nodrošināšanai).</w:t>
      </w:r>
    </w:p>
    <w:p w14:paraId="22AF565B" w14:textId="6341CDEF" w:rsidR="00B26E00" w:rsidRDefault="00B26E00" w:rsidP="008E6DC5">
      <w:pPr>
        <w:spacing w:line="276" w:lineRule="auto"/>
        <w:ind w:firstLine="567"/>
        <w:jc w:val="both"/>
      </w:pPr>
      <w:r>
        <w:t>Savukārt</w:t>
      </w:r>
      <w:r w:rsidR="00F42FC1">
        <w:t xml:space="preserve"> rīkojuma 5.7.</w:t>
      </w:r>
      <w:r w:rsidR="00F42FC1" w:rsidRPr="00F42FC1">
        <w:rPr>
          <w:vertAlign w:val="superscript"/>
        </w:rPr>
        <w:t>1</w:t>
      </w:r>
      <w:r w:rsidR="00F42FC1">
        <w:t>apakšpunkts noteica, ka no 2021.gada 15.decembra darbiniekiem, kuri nav minēti rīko</w:t>
      </w:r>
      <w:r w:rsidR="00F42FC1">
        <w:lastRenderedPageBreak/>
        <w:t>juma 5.7.apakšpunktā un kuri veic darba pienākumus klātienē, nepieciešams vakcinācijas vai pārslimošanas sertifikāts.</w:t>
      </w:r>
    </w:p>
    <w:p w14:paraId="3E081931" w14:textId="4233717D" w:rsidR="00B422A1" w:rsidRDefault="00B422A1" w:rsidP="008E6DC5">
      <w:pPr>
        <w:spacing w:line="276" w:lineRule="auto"/>
        <w:jc w:val="both"/>
      </w:pPr>
    </w:p>
    <w:p w14:paraId="4A95A16D" w14:textId="59E189F7" w:rsidR="00B422A1" w:rsidRDefault="00B422A1" w:rsidP="008E6DC5">
      <w:pPr>
        <w:spacing w:line="276" w:lineRule="auto"/>
        <w:ind w:firstLine="567"/>
        <w:jc w:val="both"/>
      </w:pPr>
      <w:r>
        <w:t>[</w:t>
      </w:r>
      <w:r w:rsidR="00C816D5">
        <w:t>2</w:t>
      </w:r>
      <w:r>
        <w:t>] </w:t>
      </w:r>
      <w:r w:rsidR="00F42FC1">
        <w:t>Pieteicēji</w:t>
      </w:r>
      <w:r w:rsidR="00620E28">
        <w:t xml:space="preserve"> </w:t>
      </w:r>
      <w:r w:rsidR="00620E28">
        <w:t>[pers. A]</w:t>
      </w:r>
      <w:r w:rsidR="00F42FC1" w:rsidRPr="00F42FC1">
        <w:t xml:space="preserve">, </w:t>
      </w:r>
      <w:r w:rsidR="00620E28">
        <w:t>[pers. </w:t>
      </w:r>
      <w:r w:rsidR="00620E28">
        <w:t>B</w:t>
      </w:r>
      <w:r w:rsidR="00620E28">
        <w:t>]</w:t>
      </w:r>
      <w:r w:rsidR="00F42FC1" w:rsidRPr="00F42FC1">
        <w:t xml:space="preserve">, </w:t>
      </w:r>
      <w:r w:rsidR="00620E28">
        <w:t>[pers. </w:t>
      </w:r>
      <w:r w:rsidR="00620E28">
        <w:t>C</w:t>
      </w:r>
      <w:r w:rsidR="00620E28">
        <w:t>]</w:t>
      </w:r>
      <w:r w:rsidR="00620E28">
        <w:t xml:space="preserve"> </w:t>
      </w:r>
      <w:r w:rsidR="00F42FC1" w:rsidRPr="00F42FC1">
        <w:t xml:space="preserve">un </w:t>
      </w:r>
      <w:r w:rsidR="00620E28">
        <w:t>[pers. </w:t>
      </w:r>
      <w:r w:rsidR="00620E28">
        <w:t>D</w:t>
      </w:r>
      <w:r w:rsidR="00620E28">
        <w:t>]</w:t>
      </w:r>
      <w:r w:rsidR="00620E28">
        <w:t xml:space="preserve"> </w:t>
      </w:r>
      <w:r w:rsidR="00211CB6">
        <w:t xml:space="preserve">nepiekrita </w:t>
      </w:r>
      <w:r w:rsidR="00000DE3">
        <w:t>minētajiem ar rīkojumu uzliktajiem</w:t>
      </w:r>
      <w:r w:rsidR="0026683B">
        <w:t xml:space="preserve"> </w:t>
      </w:r>
      <w:r w:rsidR="00211CB6">
        <w:t xml:space="preserve">ierobežojumiem un </w:t>
      </w:r>
      <w:r>
        <w:t>vērsās Administratīvajā rajona tiesā ar pieteikumu</w:t>
      </w:r>
      <w:r w:rsidR="00C816D5">
        <w:t>.</w:t>
      </w:r>
    </w:p>
    <w:p w14:paraId="7D847285" w14:textId="3BE1A41B" w:rsidR="00C816D5" w:rsidRDefault="00C816D5" w:rsidP="008E6DC5">
      <w:pPr>
        <w:spacing w:line="276" w:lineRule="auto"/>
        <w:ind w:firstLine="567"/>
        <w:jc w:val="both"/>
      </w:pPr>
      <w:r>
        <w:t>Administratīvās rajona tiesas tiesnesis ar 20</w:t>
      </w:r>
      <w:r w:rsidR="00211CB6">
        <w:t>2</w:t>
      </w:r>
      <w:r w:rsidR="00454F01">
        <w:t>2</w:t>
      </w:r>
      <w:r>
        <w:t xml:space="preserve">.gada </w:t>
      </w:r>
      <w:r w:rsidR="00454F01">
        <w:t>14.februāra</w:t>
      </w:r>
      <w:r>
        <w:t xml:space="preserve"> lēmumu ierosināja administratīvo lietu</w:t>
      </w:r>
      <w:r w:rsidR="00454F01" w:rsidRPr="00454F01">
        <w:t xml:space="preserve"> </w:t>
      </w:r>
      <w:r w:rsidR="00454F01">
        <w:t>par rīkojuma 5.2. un 5.7.</w:t>
      </w:r>
      <w:r w:rsidR="00454F01" w:rsidRPr="00F42FC1">
        <w:rPr>
          <w:vertAlign w:val="superscript"/>
        </w:rPr>
        <w:t>1</w:t>
      </w:r>
      <w:r w:rsidR="00454F01">
        <w:t>apakšpunkta</w:t>
      </w:r>
      <w:r w:rsidR="00454F01" w:rsidRPr="0050688D">
        <w:t xml:space="preserve"> atcelšanu</w:t>
      </w:r>
      <w:r w:rsidR="00BC3F4C">
        <w:t>.</w:t>
      </w:r>
    </w:p>
    <w:p w14:paraId="7B7447C9" w14:textId="77777777" w:rsidR="003047F5" w:rsidRPr="00C078FD" w:rsidRDefault="003047F5" w:rsidP="008E6DC5">
      <w:pPr>
        <w:spacing w:line="276" w:lineRule="auto"/>
        <w:jc w:val="both"/>
      </w:pPr>
    </w:p>
    <w:p w14:paraId="09E0C4BA" w14:textId="77777777" w:rsidR="00BC5C0B" w:rsidRDefault="005F1028" w:rsidP="008E6DC5">
      <w:pPr>
        <w:spacing w:line="276" w:lineRule="auto"/>
        <w:ind w:firstLine="567"/>
        <w:jc w:val="both"/>
      </w:pPr>
      <w:r w:rsidRPr="00C078FD">
        <w:t>[</w:t>
      </w:r>
      <w:r w:rsidR="00C816D5">
        <w:t>3</w:t>
      </w:r>
      <w:r w:rsidRPr="00C078FD">
        <w:t>]</w:t>
      </w:r>
      <w:r w:rsidR="0006185C">
        <w:t> </w:t>
      </w:r>
      <w:r w:rsidR="00B465FE">
        <w:t>A</w:t>
      </w:r>
      <w:r w:rsidR="00B4677B">
        <w:t>r A</w:t>
      </w:r>
      <w:r w:rsidR="00B465FE">
        <w:t>dministratīv</w:t>
      </w:r>
      <w:r w:rsidR="0006185C">
        <w:t>ā</w:t>
      </w:r>
      <w:r w:rsidR="00B4677B">
        <w:t>s</w:t>
      </w:r>
      <w:r w:rsidR="00B465FE">
        <w:t xml:space="preserve"> </w:t>
      </w:r>
      <w:r w:rsidR="0094698D">
        <w:t xml:space="preserve">rajona tiesas </w:t>
      </w:r>
      <w:r w:rsidR="00B465FE">
        <w:t>202</w:t>
      </w:r>
      <w:r w:rsidR="00AF3B56">
        <w:t>2</w:t>
      </w:r>
      <w:r w:rsidR="00B465FE">
        <w:t xml:space="preserve">.gada </w:t>
      </w:r>
      <w:r w:rsidR="00AF3B56">
        <w:t>4.augusta</w:t>
      </w:r>
      <w:r w:rsidR="004C026B">
        <w:t xml:space="preserve"> lēmumu lietā izbeigta tiesvedība.</w:t>
      </w:r>
      <w:r w:rsidR="0094698D">
        <w:t xml:space="preserve"> </w:t>
      </w:r>
    </w:p>
    <w:p w14:paraId="05F5B697" w14:textId="74E2207F" w:rsidR="00E960AA" w:rsidRDefault="00BC5C0B" w:rsidP="008E6DC5">
      <w:pPr>
        <w:spacing w:line="276" w:lineRule="auto"/>
        <w:ind w:firstLine="567"/>
        <w:jc w:val="both"/>
      </w:pPr>
      <w:r>
        <w:t>Tiesa secināja, ka rīkojums, tostarp tā 5.2. un 5.7.</w:t>
      </w:r>
      <w:r w:rsidRPr="00BC5C0B">
        <w:rPr>
          <w:vertAlign w:val="superscript"/>
        </w:rPr>
        <w:t>1</w:t>
      </w:r>
      <w:r>
        <w:t xml:space="preserve">apakšpunkts, no 2022.gada 1.marta ir zaudējis spēku un vairs nerada tiesiskas sekas. Līdz ar to par lietā izteikto prasījumu – </w:t>
      </w:r>
      <w:r w:rsidR="00A23B87">
        <w:lastRenderedPageBreak/>
        <w:t>rīkojuma</w:t>
      </w:r>
      <w:r>
        <w:t xml:space="preserve"> atcelšan</w:t>
      </w:r>
      <w:r w:rsidR="00CC0176">
        <w:t>u</w:t>
      </w:r>
      <w:r w:rsidR="00A23B87">
        <w:t xml:space="preserve"> daļā</w:t>
      </w:r>
      <w:r>
        <w:t xml:space="preserve"> – vairs nav iespējams lemt, un tiesas ceļā ir iespējama tikai </w:t>
      </w:r>
      <w:r w:rsidR="00A23B87">
        <w:t>rīkojuma</w:t>
      </w:r>
      <w:r>
        <w:t xml:space="preserve"> tiesiskuma pārbaude atbilstoši Administratīvā procesa likuma 184.panta otrās daļas 1.punktam. T</w:t>
      </w:r>
      <w:r w:rsidR="004F12A3">
        <w:t xml:space="preserve">iesa konstatēja, ka </w:t>
      </w:r>
      <w:r>
        <w:t>piet</w:t>
      </w:r>
      <w:r w:rsidR="00A23B87">
        <w:t xml:space="preserve">eicēji iesniegtajā pieteikuma precizējumā un arī tiesneša noteiktajā </w:t>
      </w:r>
      <w:r w:rsidR="004F12A3">
        <w:t>termiņā</w:t>
      </w:r>
      <w:r w:rsidR="00A23B87">
        <w:t xml:space="preserve"> papildu paskaidrojumu un pierādījumu iesniegšanai nav norādījuši pamatojumu rīkojuma 5.2. un 5.7.</w:t>
      </w:r>
      <w:r w:rsidR="00A23B87" w:rsidRPr="00A23B87">
        <w:rPr>
          <w:vertAlign w:val="superscript"/>
        </w:rPr>
        <w:t>1</w:t>
      </w:r>
      <w:r w:rsidR="00A23B87">
        <w:t xml:space="preserve">apakšpunkta tiesiskuma vērtēšanai atbilstoši </w:t>
      </w:r>
      <w:r w:rsidR="00027270">
        <w:t>Administratīvā procesa likuma 184.panta otrās daļas 1.punktā</w:t>
      </w:r>
      <w:r w:rsidR="00A23B87">
        <w:t xml:space="preserve"> noteiktajiem kritērijiem, kas būtu pamats tiesvedības turpināšanai. Secinot, ka rīkojuma 5.2. un 5.7.</w:t>
      </w:r>
      <w:r w:rsidR="00A23B87" w:rsidRPr="00A23B87">
        <w:rPr>
          <w:vertAlign w:val="superscript"/>
        </w:rPr>
        <w:t>1</w:t>
      </w:r>
      <w:r w:rsidR="00A23B87">
        <w:t xml:space="preserve">apakšpunkta atcelšana vairs nav iespējama, jo tas ir zaudējis spēku, savukārt pieteikuma izskatīšana par minēto apakšpunktu tiesiskumu konkrētajā situācijā nav pieļaujama, tiesa atzina, ka lieta nav izskatāma administratīvā procesa kārtībā un tiesvedība lietā ir izbeidzama, pamatojoties uz Administratīvā procesa likuma 282.panta 1.punktu. </w:t>
      </w:r>
    </w:p>
    <w:p w14:paraId="4A5DBCD7" w14:textId="77777777" w:rsidR="008A234C" w:rsidRDefault="008A234C" w:rsidP="008E6DC5">
      <w:pPr>
        <w:spacing w:line="276" w:lineRule="auto"/>
        <w:ind w:firstLine="567"/>
        <w:jc w:val="both"/>
      </w:pPr>
    </w:p>
    <w:p w14:paraId="08AD2463" w14:textId="07D39C50" w:rsidR="00B465FE" w:rsidRDefault="00B465FE" w:rsidP="008E6DC5">
      <w:pPr>
        <w:spacing w:line="276" w:lineRule="auto"/>
        <w:ind w:firstLine="567"/>
        <w:jc w:val="both"/>
      </w:pPr>
      <w:r>
        <w:lastRenderedPageBreak/>
        <w:t>[</w:t>
      </w:r>
      <w:r w:rsidR="00C816D5">
        <w:t>4</w:t>
      </w:r>
      <w:r>
        <w:t xml:space="preserve">] Par </w:t>
      </w:r>
      <w:r w:rsidR="0094698D">
        <w:t>rajona tiesas l</w:t>
      </w:r>
      <w:r>
        <w:t xml:space="preserve">ēmumu </w:t>
      </w:r>
      <w:r w:rsidR="004D4C87">
        <w:t>pieteicēji</w:t>
      </w:r>
      <w:r w:rsidR="00C816D5">
        <w:t xml:space="preserve"> </w:t>
      </w:r>
      <w:r>
        <w:t xml:space="preserve">iesniedza blakus sūdzību, </w:t>
      </w:r>
      <w:r w:rsidR="00454F01">
        <w:t>kurā norādīja</w:t>
      </w:r>
      <w:r>
        <w:t xml:space="preserve"> turpmāk minēt</w:t>
      </w:r>
      <w:r w:rsidR="002D1AE8">
        <w:t>o</w:t>
      </w:r>
      <w:r>
        <w:t>.</w:t>
      </w:r>
    </w:p>
    <w:p w14:paraId="022B40F8" w14:textId="45AA881B" w:rsidR="00297E11" w:rsidRDefault="005A52C0" w:rsidP="008E6DC5">
      <w:pPr>
        <w:spacing w:line="276" w:lineRule="auto"/>
        <w:ind w:firstLine="567"/>
        <w:jc w:val="both"/>
      </w:pPr>
      <w:r>
        <w:t>[</w:t>
      </w:r>
      <w:r w:rsidR="00C816D5">
        <w:t>4</w:t>
      </w:r>
      <w:r w:rsidR="002865B6">
        <w:t>.</w:t>
      </w:r>
      <w:r>
        <w:t>1]</w:t>
      </w:r>
      <w:r w:rsidR="00301190">
        <w:t> Pieteicēji ir precizējuši pieteikumu, norādot, ka uztur pieteikumu un lūdz atzīt par prettiesisku rīkojuma 5.2. un 5.7.</w:t>
      </w:r>
      <w:r w:rsidR="00301190" w:rsidRPr="00301190">
        <w:rPr>
          <w:vertAlign w:val="superscript"/>
        </w:rPr>
        <w:t>1</w:t>
      </w:r>
      <w:r w:rsidR="00301190">
        <w:t>apakšpunktu, jo pārsūdzētā administratīvā akta kaitīgās sekas ir iestājušās un pieteicēji ir zaudējuši darbu. Pieteicēji, nepārprotami paužot savu gribu, ir atsaukušies uz Administratīvā procesa likuma 184.panta otro daļu. Tas vien, ka pieteicēji nav pārrakstījuši likuma normu</w:t>
      </w:r>
      <w:r w:rsidR="003F58AE">
        <w:t>,</w:t>
      </w:r>
      <w:r w:rsidR="00301190">
        <w:t xml:space="preserve"> nevar būt par pamatu uzskatam, ka tie nav pauduši savu gribu turpināt tiesvedību lietā.</w:t>
      </w:r>
      <w:r w:rsidR="0073548F">
        <w:t xml:space="preserve"> </w:t>
      </w:r>
      <w:r w:rsidR="008C2579">
        <w:t>P</w:t>
      </w:r>
      <w:r w:rsidR="0073548F">
        <w:t>ieteicēji nebūtu iesnieguši pieteikuma precizējumus un papildu viedokli, ja nebūtu vēlējušies izmantot Administratīvā procesa likuma 184.panta otrajā daļā noteiktās tiesības. Tiesa pieteicēju gribas izteikumu ir tulkojusi patvarīgi un pretēji jebkuriem saprātīgiem apsvērumiem.</w:t>
      </w:r>
    </w:p>
    <w:p w14:paraId="0E2313C2" w14:textId="485298B6" w:rsidR="00301190" w:rsidRDefault="00301190" w:rsidP="008E6DC5">
      <w:pPr>
        <w:spacing w:line="276" w:lineRule="auto"/>
        <w:ind w:firstLine="567"/>
        <w:jc w:val="both"/>
      </w:pPr>
      <w:r>
        <w:t xml:space="preserve">[4.2] Tiesai bija jāņem vērā gan pieteikumā norādītie argumenti, gan arī pieteicēja </w:t>
      </w:r>
      <w:r w:rsidR="00BA3E93">
        <w:t xml:space="preserve">[pers. B] </w:t>
      </w:r>
      <w:r>
        <w:t xml:space="preserve">2022.gada 14.jūlija </w:t>
      </w:r>
      <w:r>
        <w:lastRenderedPageBreak/>
        <w:t>viedoklis par cilvēktiesību pārkāpumiem, kas pieteicējiem ar pārsūdzēto administratīvo aktu nodarīti. Minētais tiesai bija jāvērtē atbilstoši Administratīvā procesa likuma 184.panta pirmās daļas 1.punktam. Personas cilvēktiesību noliegums pats par sevi ir pamats atlīdzinājuma prasījumam, un tas ir vispārzināms.</w:t>
      </w:r>
    </w:p>
    <w:p w14:paraId="4364DA3D" w14:textId="2ED58A62" w:rsidR="00301190" w:rsidRPr="00D27BE6" w:rsidRDefault="00301190" w:rsidP="008E6DC5">
      <w:pPr>
        <w:spacing w:line="276" w:lineRule="auto"/>
        <w:ind w:firstLine="567"/>
        <w:jc w:val="both"/>
      </w:pPr>
      <w:r w:rsidRPr="00D27BE6">
        <w:t>[4.3]</w:t>
      </w:r>
      <w:r w:rsidR="0073548F" w:rsidRPr="00D27BE6">
        <w:t> Pieteicēju arguments par to, ka, pieņemot rīkojuma 5.2. un 5.7.</w:t>
      </w:r>
      <w:r w:rsidR="0073548F" w:rsidRPr="00D27BE6">
        <w:rPr>
          <w:vertAlign w:val="superscript"/>
        </w:rPr>
        <w:t>1</w:t>
      </w:r>
      <w:r w:rsidR="0073548F" w:rsidRPr="00D27BE6">
        <w:t>apakšpunktu</w:t>
      </w:r>
      <w:r w:rsidR="008C2579" w:rsidRPr="00D27BE6">
        <w:t>, Ministru kabinet</w:t>
      </w:r>
      <w:r w:rsidR="008D2CE2">
        <w:t>s</w:t>
      </w:r>
      <w:r w:rsidR="008C2579" w:rsidRPr="00D27BE6">
        <w:t xml:space="preserve"> ir pārsniedzis </w:t>
      </w:r>
      <w:r w:rsidR="007217DF">
        <w:t>pilnvaras</w:t>
      </w:r>
      <w:r w:rsidR="008C2579" w:rsidRPr="00D27BE6">
        <w:t>, tiesai bija jāvērtē atbilstoši Administratīvā procesa likuma otrās daļas 2.punktam. Proti, tiesai bija jāvērtē, vai šis procesuālais pārkāpums pats par sevi ir radījis būtisku personas tiesību vai tiesisko interešu aizskārumu, jo tiesas spriedums ir nepieciešams atlīdzinājuma pieprasīšanai vai lai novērstu līdzīgu gadījumu atkārtošanos.</w:t>
      </w:r>
    </w:p>
    <w:p w14:paraId="51D5FABC" w14:textId="77777777" w:rsidR="003047F5" w:rsidRPr="00C078FD" w:rsidRDefault="003047F5" w:rsidP="008E6DC5">
      <w:pPr>
        <w:spacing w:line="276" w:lineRule="auto"/>
        <w:jc w:val="both"/>
      </w:pPr>
    </w:p>
    <w:p w14:paraId="1900DA50" w14:textId="77777777" w:rsidR="003047F5" w:rsidRPr="00C078FD" w:rsidRDefault="003047F5" w:rsidP="008E6DC5">
      <w:pPr>
        <w:spacing w:line="276" w:lineRule="auto"/>
        <w:jc w:val="center"/>
        <w:rPr>
          <w:b/>
        </w:rPr>
      </w:pPr>
      <w:r w:rsidRPr="00C078FD">
        <w:rPr>
          <w:b/>
        </w:rPr>
        <w:t>Motīvu daļa</w:t>
      </w:r>
    </w:p>
    <w:p w14:paraId="50C3E4A3" w14:textId="77777777" w:rsidR="003047F5" w:rsidRPr="00C078FD" w:rsidRDefault="003047F5" w:rsidP="008E6DC5">
      <w:pPr>
        <w:spacing w:line="276" w:lineRule="auto"/>
        <w:ind w:firstLine="567"/>
        <w:jc w:val="both"/>
      </w:pPr>
    </w:p>
    <w:p w14:paraId="4A459824" w14:textId="1C812EA2" w:rsidR="004534DB" w:rsidRPr="00D27BE6" w:rsidRDefault="003047F5" w:rsidP="008E6DC5">
      <w:pPr>
        <w:spacing w:line="276" w:lineRule="auto"/>
        <w:ind w:firstLine="567"/>
        <w:jc w:val="both"/>
      </w:pPr>
      <w:r w:rsidRPr="00C078FD">
        <w:lastRenderedPageBreak/>
        <w:t>[</w:t>
      </w:r>
      <w:r w:rsidR="008A234C">
        <w:t>5</w:t>
      </w:r>
      <w:r w:rsidRPr="00C078FD">
        <w:t>]</w:t>
      </w:r>
      <w:r w:rsidR="00C40E01">
        <w:t> </w:t>
      </w:r>
      <w:r w:rsidR="00416E59">
        <w:t xml:space="preserve">Senāts piekrīt un arī </w:t>
      </w:r>
      <w:r w:rsidR="00C350B4">
        <w:t>blakus sūdzībā nav izteikti iebildumi</w:t>
      </w:r>
      <w:r w:rsidR="00A0579F">
        <w:t xml:space="preserve"> pret</w:t>
      </w:r>
      <w:r w:rsidR="00C350B4">
        <w:t xml:space="preserve"> </w:t>
      </w:r>
      <w:r w:rsidR="00416E59">
        <w:t>rajona tiesas secinājum</w:t>
      </w:r>
      <w:r w:rsidR="00A0579F">
        <w:t>u</w:t>
      </w:r>
      <w:r w:rsidR="00416E59">
        <w:t>, ka prasījum</w:t>
      </w:r>
      <w:r w:rsidR="00A0579F">
        <w:t>u</w:t>
      </w:r>
      <w:r w:rsidR="00416E59">
        <w:t xml:space="preserve"> par rīkojuma 5.2. un 5.7.</w:t>
      </w:r>
      <w:r w:rsidR="00416E59" w:rsidRPr="00C350B4">
        <w:rPr>
          <w:vertAlign w:val="superscript"/>
        </w:rPr>
        <w:t>1</w:t>
      </w:r>
      <w:r w:rsidR="00416E59">
        <w:t xml:space="preserve">apakšpunkta atcelšanu </w:t>
      </w:r>
      <w:r w:rsidR="00C350B4">
        <w:t>vairs nav iespējam</w:t>
      </w:r>
      <w:r w:rsidR="003F58AE">
        <w:t>s</w:t>
      </w:r>
      <w:r w:rsidR="00A0579F">
        <w:t xml:space="preserve"> izskatīt</w:t>
      </w:r>
      <w:r w:rsidR="002223A3">
        <w:t>, jo rīkojums no 2022.gada 1.marta ir zaudējis spēku un tam vairs nav aktīvas iedarbības uz pieteicēju tiesisko stāvokli</w:t>
      </w:r>
      <w:r w:rsidR="00AB709E">
        <w:t xml:space="preserve">, </w:t>
      </w:r>
      <w:r w:rsidR="00CC0176" w:rsidRPr="00D27BE6">
        <w:t>tādēļ</w:t>
      </w:r>
      <w:r w:rsidR="00AB709E" w:rsidRPr="00D27BE6">
        <w:t xml:space="preserve"> </w:t>
      </w:r>
      <w:r w:rsidR="002223A3" w:rsidRPr="00D27BE6">
        <w:t>tiesā</w:t>
      </w:r>
      <w:r w:rsidR="00AB709E" w:rsidRPr="00D27BE6">
        <w:t xml:space="preserve"> ir</w:t>
      </w:r>
      <w:r w:rsidR="002223A3" w:rsidRPr="00D27BE6">
        <w:t xml:space="preserve"> iespējams lemt vienīgi par rīkojuma tiesiskumu.</w:t>
      </w:r>
    </w:p>
    <w:p w14:paraId="32763CF5" w14:textId="3304356A" w:rsidR="00C40E01" w:rsidRDefault="00D27BE6" w:rsidP="008E6DC5">
      <w:pPr>
        <w:spacing w:line="276" w:lineRule="auto"/>
        <w:ind w:firstLine="567"/>
        <w:jc w:val="both"/>
      </w:pPr>
      <w:r>
        <w:t>B</w:t>
      </w:r>
      <w:r w:rsidR="00C40E01" w:rsidRPr="00D27BE6">
        <w:t>lakus sūdzības</w:t>
      </w:r>
      <w:r w:rsidR="007A0712" w:rsidRPr="00D27BE6">
        <w:t xml:space="preserve"> izskatīšanas</w:t>
      </w:r>
      <w:r w:rsidR="00C40E01" w:rsidRPr="00D27BE6">
        <w:t xml:space="preserve"> ietvaros izšķirams jautājums, vai </w:t>
      </w:r>
      <w:r w:rsidR="002F6064" w:rsidRPr="00D27BE6">
        <w:t>rajona tiesa</w:t>
      </w:r>
      <w:r w:rsidR="00C40E01" w:rsidRPr="00D27BE6">
        <w:t xml:space="preserve"> pamatoti </w:t>
      </w:r>
      <w:r w:rsidR="00726CBF" w:rsidRPr="00D27BE6">
        <w:t xml:space="preserve">secinājusi, ka </w:t>
      </w:r>
      <w:r w:rsidR="004534DB" w:rsidRPr="00D27BE6">
        <w:t xml:space="preserve">nav </w:t>
      </w:r>
      <w:r w:rsidR="00A0579F">
        <w:t>konstatējami</w:t>
      </w:r>
      <w:r w:rsidR="00A0579F" w:rsidRPr="00D27BE6">
        <w:t xml:space="preserve"> </w:t>
      </w:r>
      <w:r w:rsidR="004534DB" w:rsidRPr="00D27BE6">
        <w:t xml:space="preserve">Administratīvā procesa likuma 184.panta otrās daļas </w:t>
      </w:r>
      <w:r w:rsidR="00AB709E" w:rsidRPr="00D27BE6">
        <w:t>1.punkt</w:t>
      </w:r>
      <w:r w:rsidR="00A0579F">
        <w:t>ā noteiktie</w:t>
      </w:r>
      <w:r w:rsidR="00AB709E" w:rsidRPr="00D27BE6">
        <w:t xml:space="preserve"> </w:t>
      </w:r>
      <w:r w:rsidR="00A63AB2" w:rsidRPr="00D27BE6">
        <w:t>kritērij</w:t>
      </w:r>
      <w:r w:rsidR="00A0579F">
        <w:t>i</w:t>
      </w:r>
      <w:r w:rsidR="004534DB" w:rsidRPr="00D27BE6">
        <w:t xml:space="preserve"> pieteikuma </w:t>
      </w:r>
      <w:r w:rsidR="00AB709E" w:rsidRPr="00D27BE6">
        <w:t>par rīkojuma 5.2. un 5.7.</w:t>
      </w:r>
      <w:r w:rsidR="00AB709E" w:rsidRPr="00D27BE6">
        <w:rPr>
          <w:vertAlign w:val="superscript"/>
        </w:rPr>
        <w:t>1</w:t>
      </w:r>
      <w:r w:rsidR="00AB709E" w:rsidRPr="00D27BE6">
        <w:t xml:space="preserve">apakšpunkta atzīšanu par prettiesisku </w:t>
      </w:r>
      <w:r w:rsidR="004534DB" w:rsidRPr="00D27BE6">
        <w:t>pieļaujamībai</w:t>
      </w:r>
      <w:r w:rsidR="00BE0866" w:rsidRPr="00D27BE6">
        <w:t xml:space="preserve">, </w:t>
      </w:r>
      <w:r w:rsidR="00726CBF" w:rsidRPr="00D27BE6">
        <w:t>un attiecīgi</w:t>
      </w:r>
      <w:r w:rsidR="00726CBF">
        <w:t>, vai tiesa pamatoti lietā izbeigusi tiesvedību.</w:t>
      </w:r>
    </w:p>
    <w:p w14:paraId="39EF3F49" w14:textId="4F115398" w:rsidR="00663CA5" w:rsidRDefault="00663CA5" w:rsidP="008E6DC5">
      <w:pPr>
        <w:spacing w:line="276" w:lineRule="auto"/>
        <w:jc w:val="both"/>
      </w:pPr>
    </w:p>
    <w:p w14:paraId="7B8A6874" w14:textId="1C2953A9" w:rsidR="00351A97" w:rsidRDefault="00663CA5" w:rsidP="008E6DC5">
      <w:pPr>
        <w:spacing w:line="276" w:lineRule="auto"/>
        <w:ind w:firstLine="567"/>
        <w:jc w:val="both"/>
      </w:pPr>
      <w:r w:rsidRPr="003B1452">
        <w:t>[</w:t>
      </w:r>
      <w:r w:rsidR="008A234C">
        <w:t>6</w:t>
      </w:r>
      <w:r w:rsidRPr="003B1452">
        <w:t>]</w:t>
      </w:r>
      <w:r w:rsidR="00BE0866">
        <w:t> </w:t>
      </w:r>
      <w:r w:rsidR="00032D06">
        <w:t>A</w:t>
      </w:r>
      <w:r w:rsidR="00A63AB2">
        <w:t xml:space="preserve">tbilstoši </w:t>
      </w:r>
      <w:r w:rsidR="00985C94">
        <w:t xml:space="preserve">Administratīvā procesa likuma 184.panta otrās daļas </w:t>
      </w:r>
      <w:r w:rsidR="00A63AB2">
        <w:t>1.punktam prasījums par administratīvā akta atzīšanu par prettiesisku ir pieļaujams vien tad, ja konstatē</w:t>
      </w:r>
      <w:r w:rsidR="00A63AB2">
        <w:lastRenderedPageBreak/>
        <w:t>jums par administratīvā akta atzīšanu par prettiesisku ir nepieciešams, lai persona varētu pieprasīt atlīdzinājumu vai lai novērstu līdzīgu gadījumu atkārtošanos.</w:t>
      </w:r>
    </w:p>
    <w:p w14:paraId="787B4E89" w14:textId="0C0261EA" w:rsidR="003C4521" w:rsidRDefault="003C4521" w:rsidP="008E6DC5">
      <w:pPr>
        <w:spacing w:line="276" w:lineRule="auto"/>
        <w:ind w:firstLine="567"/>
        <w:jc w:val="both"/>
      </w:pPr>
      <w:r>
        <w:t>Pieteicēji blakus sūdzībā ir norādījuši, ka ar pārsūdzētajiem rīkojuma apakšpunktiem pārkāptas viņu cilvēktiesības, kas pats par sevi ir pietiekams pamats atlīdzinājuma pieprasīšanai. Tāpat pieteicēji uzsvēruši, ka ar rīkojumu viņiem ir nodarītas kaitīgas sekas, jo tie ir zaudējuši darbu.</w:t>
      </w:r>
    </w:p>
    <w:p w14:paraId="52BC28D3" w14:textId="77777777" w:rsidR="00B62B8B" w:rsidRDefault="00B62B8B" w:rsidP="008E6DC5">
      <w:pPr>
        <w:spacing w:line="276" w:lineRule="auto"/>
        <w:ind w:firstLine="567"/>
        <w:jc w:val="both"/>
      </w:pPr>
    </w:p>
    <w:p w14:paraId="363BF0F2" w14:textId="5091B443" w:rsidR="009E718A" w:rsidRDefault="00B62B8B" w:rsidP="008E6DC5">
      <w:pPr>
        <w:spacing w:line="276" w:lineRule="auto"/>
        <w:ind w:firstLine="567"/>
        <w:jc w:val="both"/>
      </w:pPr>
      <w:r>
        <w:t>[</w:t>
      </w:r>
      <w:r w:rsidR="003151E0">
        <w:t>7</w:t>
      </w:r>
      <w:r>
        <w:t>]</w:t>
      </w:r>
      <w:r w:rsidR="009E718A">
        <w:t> Pieteicēji iesniedza pieteikumu laikā, kad rīkojums vēl bija spēkā</w:t>
      </w:r>
      <w:r w:rsidR="00394B7E">
        <w:t xml:space="preserve"> esošs</w:t>
      </w:r>
      <w:r w:rsidR="009E718A">
        <w:t>, norādot, ka ar pārsūdzētajiem rīkojuma apakšpunktiem viņiem var tikt radītas neatgriezeniskas sekas – atstādināšana no darba pienākum</w:t>
      </w:r>
      <w:r w:rsidR="0085275E">
        <w:t>u</w:t>
      </w:r>
      <w:r w:rsidR="009E718A">
        <w:t xml:space="preserve"> veikšanas un darba tiesisko attiecību izbeigšana. Kopā ar pieteikumu pieteicēji iesniedza arī lūgumus par pagaidu aizsardzību – par rīkojuma apturēšanu pārsūdzētajā daļā un izpildes seku novēršanu. Minētajos lūgumos katrs no pieteicējiem norādīja uz konkrētiem </w:t>
      </w:r>
      <w:r w:rsidR="0059651A">
        <w:t xml:space="preserve">finansiāliem </w:t>
      </w:r>
      <w:r w:rsidR="009E718A">
        <w:t xml:space="preserve">zaudējumiem </w:t>
      </w:r>
      <w:r w:rsidR="00B53176">
        <w:t xml:space="preserve">(nesaņemtā darba </w:t>
      </w:r>
      <w:r w:rsidR="00B53176">
        <w:lastRenderedPageBreak/>
        <w:t>alga, valsts budžetā neveiktās sociālās apdrošināšanas iemaksas un iedzīvotāju ienākumu nodoklis)</w:t>
      </w:r>
      <w:r w:rsidR="009E718A">
        <w:t>, kas tiem radīsies atstādināšanas no darba pienākum</w:t>
      </w:r>
      <w:r w:rsidR="006B5922">
        <w:t>u</w:t>
      </w:r>
      <w:r w:rsidR="009E718A">
        <w:t xml:space="preserve"> veikšanas dēļ</w:t>
      </w:r>
      <w:r w:rsidR="00B53176">
        <w:t>.</w:t>
      </w:r>
    </w:p>
    <w:p w14:paraId="3F387596" w14:textId="462ED892" w:rsidR="00B53176" w:rsidRDefault="00B53176" w:rsidP="008E6DC5">
      <w:pPr>
        <w:spacing w:line="276" w:lineRule="auto"/>
        <w:ind w:firstLine="567"/>
        <w:jc w:val="both"/>
      </w:pPr>
      <w:r>
        <w:t>Tiesvedības gaitā rīkojums zaudēja spēku, tādēļ rajona tiesa lūdza pieteicējus pamatot tiesvedības nepieciešamību atbilstoši Administratīvā procesa likuma 184.panta otrās daļas 1.punktā noteiktajiem kritērijiem.</w:t>
      </w:r>
    </w:p>
    <w:p w14:paraId="6AD32963" w14:textId="3C53FB83" w:rsidR="00B53176" w:rsidRDefault="00B53176" w:rsidP="008E6DC5">
      <w:pPr>
        <w:spacing w:line="276" w:lineRule="auto"/>
        <w:ind w:firstLine="567"/>
        <w:jc w:val="both"/>
      </w:pPr>
      <w:r>
        <w:t xml:space="preserve">Atbildot uz tiesas </w:t>
      </w:r>
      <w:r w:rsidR="00A95689">
        <w:t>pieprasījumu</w:t>
      </w:r>
      <w:r>
        <w:t xml:space="preserve">, pieteicēji iesniedza pieteikuma precizējumus, kuros norādīja, ka </w:t>
      </w:r>
      <w:r w:rsidR="006B2780">
        <w:t>uztur pieteikumu par rīkojuma 5.2. un 5.7.</w:t>
      </w:r>
      <w:r w:rsidR="006B2780" w:rsidRPr="006B2780">
        <w:rPr>
          <w:vertAlign w:val="superscript"/>
        </w:rPr>
        <w:t>1</w:t>
      </w:r>
      <w:r w:rsidR="006B2780">
        <w:t>apakšpunkta atzīšanu par prettiesi</w:t>
      </w:r>
      <w:r w:rsidR="0016369A">
        <w:t>sku</w:t>
      </w:r>
      <w:r w:rsidR="006B2780">
        <w:t xml:space="preserve"> saskaņā ar Administratīvā procesa likuma 184.panta otro daļu, jo pārsūdzētā administratīvā akta kaitīgās sekas ir iestāju</w:t>
      </w:r>
      <w:r w:rsidR="00A95689">
        <w:t>šā</w:t>
      </w:r>
      <w:r w:rsidR="006B2780">
        <w:t>s un pieteicēji ir zaudējuši darbu</w:t>
      </w:r>
      <w:r w:rsidR="00A95689">
        <w:t>.</w:t>
      </w:r>
    </w:p>
    <w:p w14:paraId="4C7BFF7F" w14:textId="6D315F90" w:rsidR="00DE7AFE" w:rsidRDefault="00DE7AFE" w:rsidP="008E6DC5">
      <w:pPr>
        <w:spacing w:line="276" w:lineRule="auto"/>
        <w:ind w:firstLine="567"/>
        <w:jc w:val="both"/>
      </w:pPr>
      <w:r>
        <w:t>Pēc tam tiesa paziņoja lietas izskatīšanas un nolēmuma sastādīšanas datumu, nosakot arī termiņu noraidījuma pieteikšanai, pieteikuma precizējumu, papildu paskaidrojumu un pierādījumu, kā arī citu iesniegumu un lūgumu iesniegšanai.</w:t>
      </w:r>
    </w:p>
    <w:p w14:paraId="215493DA" w14:textId="6CA5ED4C" w:rsidR="00A95689" w:rsidRDefault="00A95689" w:rsidP="008E6DC5">
      <w:pPr>
        <w:spacing w:line="276" w:lineRule="auto"/>
        <w:ind w:firstLine="567"/>
        <w:jc w:val="both"/>
      </w:pPr>
      <w:r>
        <w:lastRenderedPageBreak/>
        <w:t>Tiesas</w:t>
      </w:r>
      <w:r w:rsidR="008E6DC5">
        <w:t xml:space="preserve"> noteiktajā termiņā pieteicējs [pers. B]</w:t>
      </w:r>
      <w:r>
        <w:t xml:space="preserve"> iesniedza viedokli, kurā lūdza apmierināt pieteikumu tā precizējumos norādītajā apjomā, jo pārsūdzētā akta kaitīgās sekas ir iestājušās un pieteicēji ir zaudējuši darbu.</w:t>
      </w:r>
    </w:p>
    <w:p w14:paraId="141C9E28" w14:textId="5A1375EB" w:rsidR="00D40195" w:rsidRDefault="00D40195" w:rsidP="008E6DC5">
      <w:pPr>
        <w:spacing w:line="276" w:lineRule="auto"/>
        <w:ind w:firstLine="567"/>
        <w:jc w:val="both"/>
      </w:pPr>
    </w:p>
    <w:p w14:paraId="684F31B4" w14:textId="0787CEE8" w:rsidR="003C4521" w:rsidRDefault="00D40195" w:rsidP="008E6DC5">
      <w:pPr>
        <w:spacing w:line="276" w:lineRule="auto"/>
        <w:ind w:firstLine="567"/>
        <w:jc w:val="both"/>
      </w:pPr>
      <w:r>
        <w:t>[</w:t>
      </w:r>
      <w:r w:rsidR="00DE7AFE">
        <w:t>8</w:t>
      </w:r>
      <w:r>
        <w:t>]</w:t>
      </w:r>
      <w:r w:rsidR="00DE7AFE">
        <w:t> </w:t>
      </w:r>
      <w:r w:rsidR="003C4521">
        <w:t>Senāta ieskatā pretēji rajona tiesas secinātajam n</w:t>
      </w:r>
      <w:r w:rsidR="00DE7AFE">
        <w:t>o pieteicēju iesniegtajiem pieteikuma precizējumiem kopsakarā ar pieteikumā un lūgumos par pagaidu aizsardzību norādīt</w:t>
      </w:r>
      <w:r w:rsidR="003C4521">
        <w:t>o bija pietiekami skaidri konstatējams, ka pieteicēju mērķis, vēršoties ar pieteikumu tiesā, tostarp ir saistīts ar potenciālu atlīdzinājuma pieprasīšanu</w:t>
      </w:r>
      <w:r w:rsidR="00FC7E62">
        <w:t xml:space="preserve">, kas ir viens no </w:t>
      </w:r>
      <w:r w:rsidR="008F2F1E">
        <w:t xml:space="preserve">Administratīvā procesa likuma 184.panta otrās daļas 1.punktā noteiktajiem </w:t>
      </w:r>
      <w:r w:rsidR="001B02BF">
        <w:t>gadījumiem</w:t>
      </w:r>
      <w:r w:rsidR="008F2F1E">
        <w:t xml:space="preserve"> pieteikuma par administratīvā akta atzīšanu par prettiesisku pieļaujamībai</w:t>
      </w:r>
      <w:r w:rsidR="006632A5">
        <w:t xml:space="preserve">. </w:t>
      </w:r>
    </w:p>
    <w:p w14:paraId="320D76C9" w14:textId="246A8DE9" w:rsidR="006632A5" w:rsidRDefault="00DE7AFE" w:rsidP="008E6DC5">
      <w:pPr>
        <w:spacing w:line="276" w:lineRule="auto"/>
        <w:ind w:firstLine="567"/>
        <w:jc w:val="both"/>
      </w:pPr>
      <w:r>
        <w:t>Lai gan pēc tiesas lūguma iesniegtajos pieteikuma precizējum</w:t>
      </w:r>
      <w:r w:rsidR="00394B7E">
        <w:t>o</w:t>
      </w:r>
      <w:r>
        <w:t>s nebija skaidra pamatojuma, ka pārsūdzēto rīkojuma apakšpunktu tiesiskums vērtējams tieši tādēļ, lai nākotnē prasītu arī zaudējumu atlīdzināšanu, šād</w:t>
      </w:r>
      <w:r w:rsidR="006632A5">
        <w:t xml:space="preserve">a pieteicēju </w:t>
      </w:r>
      <w:r w:rsidR="006632A5">
        <w:lastRenderedPageBreak/>
        <w:t xml:space="preserve">interese </w:t>
      </w:r>
      <w:r>
        <w:t>bija izsecinām</w:t>
      </w:r>
      <w:r w:rsidR="006632A5">
        <w:t xml:space="preserve">a no pieteicēju vairākkārtējām norādēm par </w:t>
      </w:r>
      <w:r w:rsidR="005A032C">
        <w:t xml:space="preserve">tiem </w:t>
      </w:r>
      <w:r w:rsidR="006632A5">
        <w:t>ar pārsūdzēto administratīvo aktu radītajām kaitīgajām sekām un zaudējumiem, kā arī lūgum</w:t>
      </w:r>
      <w:r w:rsidR="008F2F1E">
        <w:t>iem</w:t>
      </w:r>
      <w:r w:rsidR="006632A5">
        <w:t xml:space="preserve"> novērst akta izpildes sekas. Tādējādi ir pamats Administratīvā procesa likuma 184.panta otrās daļas 1.punkta kontekstā uzskatīt, ka pieteicēji ir pietiekami skaidri norādījuši uz savu tiesisko interesi prasīt atzīt par prettiesisku rīkojumu pārsūdzētajā daļā un prasīt atlīdzinājumu gadījumā, ja administratīvais akts tiek atzīts par prettiesisku.</w:t>
      </w:r>
    </w:p>
    <w:p w14:paraId="2E15BF3F" w14:textId="0C828C76" w:rsidR="00B62B8B" w:rsidRPr="00A0579F" w:rsidRDefault="008F65A1" w:rsidP="008E6DC5">
      <w:pPr>
        <w:spacing w:line="276" w:lineRule="auto"/>
        <w:ind w:firstLine="567"/>
        <w:jc w:val="both"/>
        <w:rPr>
          <w:color w:val="000000" w:themeColor="text1"/>
        </w:rPr>
      </w:pPr>
      <w:r>
        <w:t>Savukārt, j</w:t>
      </w:r>
      <w:r w:rsidR="006632A5">
        <w:t xml:space="preserve">a rajona tiesai pēc pieteikuma precizējumu saņemšanas nebija </w:t>
      </w:r>
      <w:r w:rsidR="001B02BF">
        <w:t>pārliecības</w:t>
      </w:r>
      <w:r w:rsidR="006632A5">
        <w:t>, vai pieteikums atbilst Administratīvā procesa likuma 184.panta otrās daļas 1.punkta</w:t>
      </w:r>
      <w:r w:rsidR="001319B2">
        <w:t xml:space="preserve"> prasībām</w:t>
      </w:r>
      <w:r w:rsidR="006632A5">
        <w:t>, t</w:t>
      </w:r>
      <w:r w:rsidR="001319B2">
        <w:t xml:space="preserve">ā, ievērojot </w:t>
      </w:r>
      <w:r w:rsidR="0059651A">
        <w:t>privātpersonas tiesību ievērošanas principu un objektīvās izmeklēšanas principu</w:t>
      </w:r>
      <w:r w:rsidR="001319B2">
        <w:t xml:space="preserve">, paziņojumā par lietas izskatīšanu, kurā noteica termiņu arī </w:t>
      </w:r>
      <w:r w:rsidR="0059651A">
        <w:t>pieteikuma precizējumu, papildu paskaidrojumu un pierādījumu iesniegšanai</w:t>
      </w:r>
      <w:r w:rsidR="001319B2">
        <w:t xml:space="preserve">, varēja uz to norādīt, </w:t>
      </w:r>
      <w:r w:rsidR="0059651A">
        <w:t xml:space="preserve">izvērstāk paskaidrojot </w:t>
      </w:r>
      <w:r w:rsidR="0059651A" w:rsidRPr="00A0579F">
        <w:rPr>
          <w:color w:val="000000" w:themeColor="text1"/>
        </w:rPr>
        <w:t>kri</w:t>
      </w:r>
      <w:r w:rsidR="0059651A" w:rsidRPr="00A0579F">
        <w:rPr>
          <w:color w:val="000000" w:themeColor="text1"/>
        </w:rPr>
        <w:lastRenderedPageBreak/>
        <w:t xml:space="preserve">tērijus pieteikuma par administratīvā akta atzīšanu par prettiesisku pieļaujamībai un lūdzot pieteicējus detalizētāk pamatot savu interesi šāda pieteikuma uzturēšanai. </w:t>
      </w:r>
      <w:r w:rsidR="002F3B87" w:rsidRPr="00A0579F">
        <w:rPr>
          <w:color w:val="000000" w:themeColor="text1"/>
        </w:rPr>
        <w:t>F</w:t>
      </w:r>
      <w:r w:rsidR="00726CD8" w:rsidRPr="00A0579F">
        <w:rPr>
          <w:color w:val="000000" w:themeColor="text1"/>
        </w:rPr>
        <w:t>ormāla attieksme pieteikuma satura</w:t>
      </w:r>
      <w:r w:rsidR="002F3B87" w:rsidRPr="00A0579F">
        <w:rPr>
          <w:color w:val="000000" w:themeColor="text1"/>
        </w:rPr>
        <w:t xml:space="preserve"> un pieteicēj</w:t>
      </w:r>
      <w:r w:rsidR="0016369A" w:rsidRPr="00A0579F">
        <w:rPr>
          <w:color w:val="000000" w:themeColor="text1"/>
        </w:rPr>
        <w:t>a</w:t>
      </w:r>
      <w:r w:rsidR="002F3B87" w:rsidRPr="00A0579F">
        <w:rPr>
          <w:color w:val="000000" w:themeColor="text1"/>
        </w:rPr>
        <w:t xml:space="preserve"> tiesisko interešu</w:t>
      </w:r>
      <w:r w:rsidR="00726CD8" w:rsidRPr="00A0579F">
        <w:rPr>
          <w:color w:val="000000" w:themeColor="text1"/>
        </w:rPr>
        <w:t xml:space="preserve"> izvērtēšanā nav pieļaujama, jo īpaši situācijā, kad </w:t>
      </w:r>
      <w:r w:rsidR="0041155B" w:rsidRPr="00A0579F">
        <w:rPr>
          <w:color w:val="000000" w:themeColor="text1"/>
        </w:rPr>
        <w:t xml:space="preserve">jautājums par pieteikuma atbilstību </w:t>
      </w:r>
      <w:r w:rsidR="002F3B87" w:rsidRPr="00A0579F">
        <w:rPr>
          <w:color w:val="000000" w:themeColor="text1"/>
        </w:rPr>
        <w:t>Administratīvā procesa likuma 184.panta otrās daļas 1.punktā</w:t>
      </w:r>
      <w:r w:rsidR="0041155B" w:rsidRPr="00A0579F">
        <w:rPr>
          <w:color w:val="000000" w:themeColor="text1"/>
        </w:rPr>
        <w:t xml:space="preserve"> izvirzītajiem kritērijiem aktualizējies </w:t>
      </w:r>
      <w:r w:rsidR="002F3B87" w:rsidRPr="00A0579F">
        <w:rPr>
          <w:color w:val="000000" w:themeColor="text1"/>
        </w:rPr>
        <w:t>jau ierosinātas tiesvedības laikā</w:t>
      </w:r>
      <w:r w:rsidR="0041155B" w:rsidRPr="00A0579F">
        <w:rPr>
          <w:color w:val="000000" w:themeColor="text1"/>
        </w:rPr>
        <w:t xml:space="preserve">. </w:t>
      </w:r>
    </w:p>
    <w:p w14:paraId="66B3A224" w14:textId="0DCC755E" w:rsidR="001476B7" w:rsidRPr="00A0579F" w:rsidRDefault="001476B7" w:rsidP="008E6DC5">
      <w:pPr>
        <w:spacing w:line="276" w:lineRule="auto"/>
        <w:jc w:val="both"/>
        <w:rPr>
          <w:color w:val="000000" w:themeColor="text1"/>
        </w:rPr>
      </w:pPr>
    </w:p>
    <w:p w14:paraId="6B94C96D" w14:textId="149CEF8F" w:rsidR="001B02BF" w:rsidRPr="00A0579F" w:rsidRDefault="001476B7" w:rsidP="008E6DC5">
      <w:pPr>
        <w:spacing w:line="276" w:lineRule="auto"/>
        <w:ind w:firstLine="567"/>
        <w:jc w:val="both"/>
        <w:rPr>
          <w:color w:val="000000" w:themeColor="text1"/>
        </w:rPr>
      </w:pPr>
      <w:r w:rsidRPr="00A0579F">
        <w:rPr>
          <w:color w:val="000000" w:themeColor="text1"/>
        </w:rPr>
        <w:t>[</w:t>
      </w:r>
      <w:r w:rsidR="00394B7E" w:rsidRPr="00A0579F">
        <w:rPr>
          <w:color w:val="000000" w:themeColor="text1"/>
        </w:rPr>
        <w:t>9</w:t>
      </w:r>
      <w:r w:rsidRPr="00A0579F">
        <w:rPr>
          <w:color w:val="000000" w:themeColor="text1"/>
        </w:rPr>
        <w:t>]</w:t>
      </w:r>
      <w:r w:rsidR="008D2CE2" w:rsidRPr="00A0579F">
        <w:rPr>
          <w:color w:val="000000" w:themeColor="text1"/>
        </w:rPr>
        <w:t> </w:t>
      </w:r>
      <w:r w:rsidR="007E1522" w:rsidRPr="00A0579F">
        <w:rPr>
          <w:color w:val="000000" w:themeColor="text1"/>
        </w:rPr>
        <w:t>Vienlaikus Senāts nepiekrīt blakus sūdzībā norādītajam</w:t>
      </w:r>
      <w:r w:rsidR="008D2CE2" w:rsidRPr="00A0579F">
        <w:rPr>
          <w:color w:val="000000" w:themeColor="text1"/>
        </w:rPr>
        <w:t xml:space="preserve">, ka pieteicēju arguments par iespējamu Ministru kabinetam </w:t>
      </w:r>
      <w:r w:rsidR="007217DF" w:rsidRPr="00A0579F">
        <w:rPr>
          <w:color w:val="000000" w:themeColor="text1"/>
        </w:rPr>
        <w:t>noteikto pilnvaru</w:t>
      </w:r>
      <w:r w:rsidR="008D2CE2" w:rsidRPr="00A0579F">
        <w:rPr>
          <w:color w:val="000000" w:themeColor="text1"/>
        </w:rPr>
        <w:t xml:space="preserve"> pārsniegšanu,</w:t>
      </w:r>
      <w:r w:rsidR="001B02BF" w:rsidRPr="00A0579F">
        <w:rPr>
          <w:color w:val="000000" w:themeColor="text1"/>
        </w:rPr>
        <w:t xml:space="preserve"> pieņemot rīkojuma 5.2. un 5.7.</w:t>
      </w:r>
      <w:r w:rsidR="001B02BF" w:rsidRPr="00A0579F">
        <w:rPr>
          <w:color w:val="000000" w:themeColor="text1"/>
          <w:vertAlign w:val="superscript"/>
        </w:rPr>
        <w:t>1</w:t>
      </w:r>
      <w:r w:rsidR="001B02BF" w:rsidRPr="00A0579F">
        <w:rPr>
          <w:color w:val="000000" w:themeColor="text1"/>
        </w:rPr>
        <w:t xml:space="preserve">apakšpunktu, tiesai bija jāvērtē atbilstoši Administratīvā procesa likuma </w:t>
      </w:r>
      <w:r w:rsidR="00140676" w:rsidRPr="00A0579F">
        <w:rPr>
          <w:color w:val="000000" w:themeColor="text1"/>
        </w:rPr>
        <w:t xml:space="preserve">184.panta </w:t>
      </w:r>
      <w:r w:rsidR="001B02BF" w:rsidRPr="00A0579F">
        <w:rPr>
          <w:color w:val="000000" w:themeColor="text1"/>
        </w:rPr>
        <w:t>otrās daļas 2.punktam – kā p</w:t>
      </w:r>
      <w:r w:rsidR="009463FB" w:rsidRPr="00A0579F">
        <w:rPr>
          <w:color w:val="000000" w:themeColor="text1"/>
        </w:rPr>
        <w:t>rasījums</w:t>
      </w:r>
      <w:r w:rsidR="001B02BF" w:rsidRPr="00A0579F">
        <w:rPr>
          <w:color w:val="000000" w:themeColor="text1"/>
        </w:rPr>
        <w:t xml:space="preserve"> par administratīvā akta izdošanas procesā pieļauta būtiska procesuālā pārkāpuma konstatēšanu.</w:t>
      </w:r>
    </w:p>
    <w:p w14:paraId="48DF7DF0" w14:textId="2C36F431" w:rsidR="008D2CE2" w:rsidRPr="00A0579F" w:rsidRDefault="008D2CE2" w:rsidP="008E6DC5">
      <w:pPr>
        <w:spacing w:line="276" w:lineRule="auto"/>
        <w:ind w:firstLine="567"/>
        <w:jc w:val="both"/>
        <w:rPr>
          <w:color w:val="000000" w:themeColor="text1"/>
        </w:rPr>
      </w:pPr>
      <w:r w:rsidRPr="00A0579F">
        <w:rPr>
          <w:color w:val="000000" w:themeColor="text1"/>
        </w:rPr>
        <w:lastRenderedPageBreak/>
        <w:t>P</w:t>
      </w:r>
      <w:r w:rsidR="002F3B87" w:rsidRPr="00A0579F">
        <w:rPr>
          <w:color w:val="000000" w:themeColor="text1"/>
        </w:rPr>
        <w:t>irmkārt, p</w:t>
      </w:r>
      <w:r w:rsidRPr="00A0579F">
        <w:rPr>
          <w:color w:val="000000" w:themeColor="text1"/>
        </w:rPr>
        <w:t>ieteicēji šādu prasījum</w:t>
      </w:r>
      <w:r w:rsidR="009463FB" w:rsidRPr="00A0579F">
        <w:rPr>
          <w:color w:val="000000" w:themeColor="text1"/>
        </w:rPr>
        <w:t>u</w:t>
      </w:r>
      <w:r w:rsidRPr="00A0579F">
        <w:rPr>
          <w:color w:val="000000" w:themeColor="text1"/>
        </w:rPr>
        <w:t xml:space="preserve"> nebija izvirzījuši</w:t>
      </w:r>
      <w:r w:rsidR="00140676" w:rsidRPr="00A0579F">
        <w:rPr>
          <w:color w:val="000000" w:themeColor="text1"/>
        </w:rPr>
        <w:t xml:space="preserve"> (pirmo reizi </w:t>
      </w:r>
      <w:r w:rsidR="0016369A" w:rsidRPr="00A0579F">
        <w:rPr>
          <w:color w:val="000000" w:themeColor="text1"/>
        </w:rPr>
        <w:t>tas norādīts</w:t>
      </w:r>
      <w:r w:rsidR="00140676" w:rsidRPr="00A0579F">
        <w:rPr>
          <w:color w:val="000000" w:themeColor="text1"/>
        </w:rPr>
        <w:t xml:space="preserve"> tikai blakus sūdzībā)</w:t>
      </w:r>
      <w:r w:rsidRPr="00A0579F">
        <w:rPr>
          <w:color w:val="000000" w:themeColor="text1"/>
        </w:rPr>
        <w:t>, tāpēc tiesai nebija pamata to tā vērtēt.</w:t>
      </w:r>
    </w:p>
    <w:p w14:paraId="64F3D67B" w14:textId="73DDC09F" w:rsidR="008D2CE2" w:rsidRPr="00A0579F" w:rsidRDefault="00D81E99" w:rsidP="008E6DC5">
      <w:pPr>
        <w:spacing w:line="276" w:lineRule="auto"/>
        <w:ind w:firstLine="567"/>
        <w:jc w:val="both"/>
        <w:rPr>
          <w:color w:val="000000" w:themeColor="text1"/>
        </w:rPr>
      </w:pPr>
      <w:r w:rsidRPr="00A0579F">
        <w:rPr>
          <w:color w:val="000000" w:themeColor="text1"/>
        </w:rPr>
        <w:t xml:space="preserve">Otrkārt, </w:t>
      </w:r>
      <w:r w:rsidR="00A0579F" w:rsidRPr="00A0579F">
        <w:rPr>
          <w:color w:val="000000" w:themeColor="text1"/>
        </w:rPr>
        <w:t>pat ja pieteicēji šādu prasījumu būtu izvirzījuši, būtu jāņem vērā turpmāk minētais. A</w:t>
      </w:r>
      <w:r w:rsidR="00140676" w:rsidRPr="00A0579F">
        <w:rPr>
          <w:color w:val="000000" w:themeColor="text1"/>
        </w:rPr>
        <w:t>tbilstoši Administratīvā procesa likuma 184.panta trešajai daļai</w:t>
      </w:r>
      <w:r w:rsidR="005C0E40" w:rsidRPr="00A0579F">
        <w:rPr>
          <w:color w:val="000000" w:themeColor="text1"/>
        </w:rPr>
        <w:t xml:space="preserve"> atsevišķu</w:t>
      </w:r>
      <w:r w:rsidR="00140676" w:rsidRPr="00A0579F">
        <w:rPr>
          <w:color w:val="000000" w:themeColor="text1"/>
        </w:rPr>
        <w:t xml:space="preserve"> </w:t>
      </w:r>
      <w:r w:rsidRPr="00A0579F">
        <w:rPr>
          <w:color w:val="000000" w:themeColor="text1"/>
        </w:rPr>
        <w:t>pieteikumu</w:t>
      </w:r>
      <w:r w:rsidR="009463FB" w:rsidRPr="00A0579F">
        <w:rPr>
          <w:color w:val="000000" w:themeColor="text1"/>
        </w:rPr>
        <w:t xml:space="preserve"> par</w:t>
      </w:r>
      <w:r w:rsidRPr="00A0579F">
        <w:rPr>
          <w:color w:val="000000" w:themeColor="text1"/>
        </w:rPr>
        <w:t xml:space="preserve"> administratīvā akta izdošanas procesā pieļauta būtiska procesuālā pārkāpuma konstatēšanu var iesniegt tad, ja attiecīgās tiesiskās intereses nav iespējams īstenot, iesniedzot pieteikumu par pašu administratīvo aktu.</w:t>
      </w:r>
      <w:r w:rsidR="00140676" w:rsidRPr="00A0579F">
        <w:rPr>
          <w:color w:val="000000" w:themeColor="text1"/>
        </w:rPr>
        <w:t xml:space="preserve"> </w:t>
      </w:r>
      <w:r w:rsidR="007E1522" w:rsidRPr="00A0579F">
        <w:rPr>
          <w:color w:val="000000" w:themeColor="text1"/>
        </w:rPr>
        <w:t xml:space="preserve">Tā kā Senāts ir atzinis, ka </w:t>
      </w:r>
      <w:r w:rsidR="00BA4FA5" w:rsidRPr="00A0579F">
        <w:rPr>
          <w:color w:val="000000" w:themeColor="text1"/>
        </w:rPr>
        <w:t xml:space="preserve">pieteicēji ir pamatojuši </w:t>
      </w:r>
      <w:r w:rsidR="007E1522" w:rsidRPr="00A0579F">
        <w:rPr>
          <w:color w:val="000000" w:themeColor="text1"/>
        </w:rPr>
        <w:t>pieteikum</w:t>
      </w:r>
      <w:r w:rsidR="00BA4FA5" w:rsidRPr="00A0579F">
        <w:rPr>
          <w:color w:val="000000" w:themeColor="text1"/>
        </w:rPr>
        <w:t>a</w:t>
      </w:r>
      <w:r w:rsidR="007E1522" w:rsidRPr="00A0579F">
        <w:rPr>
          <w:color w:val="000000" w:themeColor="text1"/>
        </w:rPr>
        <w:t xml:space="preserve"> par rīkojum</w:t>
      </w:r>
      <w:r w:rsidR="00FB3BAA" w:rsidRPr="00A0579F">
        <w:rPr>
          <w:color w:val="000000" w:themeColor="text1"/>
        </w:rPr>
        <w:t xml:space="preserve">a pārsūdzētajā daļā </w:t>
      </w:r>
      <w:r w:rsidR="00BA4FA5" w:rsidRPr="00A0579F">
        <w:rPr>
          <w:color w:val="000000" w:themeColor="text1"/>
        </w:rPr>
        <w:t>atzīšanu par prettiesisku</w:t>
      </w:r>
      <w:r w:rsidR="007E1522" w:rsidRPr="00A0579F">
        <w:rPr>
          <w:color w:val="000000" w:themeColor="text1"/>
        </w:rPr>
        <w:t xml:space="preserve"> </w:t>
      </w:r>
      <w:r w:rsidR="00BA4FA5" w:rsidRPr="00A0579F">
        <w:rPr>
          <w:color w:val="000000" w:themeColor="text1"/>
        </w:rPr>
        <w:t>pieļaujamību</w:t>
      </w:r>
      <w:r w:rsidR="007E1522" w:rsidRPr="00A0579F">
        <w:rPr>
          <w:color w:val="000000" w:themeColor="text1"/>
        </w:rPr>
        <w:t>, jautājums par rīkojuma izdošanā pieļaut</w:t>
      </w:r>
      <w:r w:rsidR="0016369A" w:rsidRPr="00A0579F">
        <w:rPr>
          <w:color w:val="000000" w:themeColor="text1"/>
        </w:rPr>
        <w:t>i</w:t>
      </w:r>
      <w:r w:rsidR="007E1522" w:rsidRPr="00A0579F">
        <w:rPr>
          <w:color w:val="000000" w:themeColor="text1"/>
        </w:rPr>
        <w:t>em procesuāl</w:t>
      </w:r>
      <w:r w:rsidR="0016369A" w:rsidRPr="00A0579F">
        <w:rPr>
          <w:color w:val="000000" w:themeColor="text1"/>
        </w:rPr>
        <w:t>i</w:t>
      </w:r>
      <w:r w:rsidR="007E1522" w:rsidRPr="00A0579F">
        <w:rPr>
          <w:color w:val="000000" w:themeColor="text1"/>
        </w:rPr>
        <w:t xml:space="preserve">em pārkāpumiem, tostarp </w:t>
      </w:r>
      <w:r w:rsidR="00022E1B" w:rsidRPr="00A0579F">
        <w:rPr>
          <w:color w:val="000000" w:themeColor="text1"/>
        </w:rPr>
        <w:t>iespējamu iestādes pilnvaru pārsniegšanu</w:t>
      </w:r>
      <w:r w:rsidR="007E1522" w:rsidRPr="00A0579F">
        <w:rPr>
          <w:color w:val="000000" w:themeColor="text1"/>
        </w:rPr>
        <w:t>, tiesai būs jāvērtē</w:t>
      </w:r>
      <w:r w:rsidR="00022E1B" w:rsidRPr="00A0579F">
        <w:rPr>
          <w:color w:val="000000" w:themeColor="text1"/>
        </w:rPr>
        <w:t>, izskatot prasījumu par attiecīgo rīkojuma apakšpunktu tiesiskumu.</w:t>
      </w:r>
      <w:r w:rsidR="007E1522" w:rsidRPr="00A0579F">
        <w:rPr>
          <w:color w:val="000000" w:themeColor="text1"/>
        </w:rPr>
        <w:t xml:space="preserve"> </w:t>
      </w:r>
      <w:r w:rsidR="005C0E40" w:rsidRPr="00A0579F">
        <w:rPr>
          <w:color w:val="000000" w:themeColor="text1"/>
        </w:rPr>
        <w:t xml:space="preserve">Proti, </w:t>
      </w:r>
      <w:r w:rsidR="00BA4FA5" w:rsidRPr="00A0579F">
        <w:rPr>
          <w:color w:val="000000" w:themeColor="text1"/>
        </w:rPr>
        <w:t xml:space="preserve">pieteicēju intereses šajā jautājumā iespējams aizsargāt prasījuma par </w:t>
      </w:r>
      <w:r w:rsidR="00BA4FA5" w:rsidRPr="00A0579F">
        <w:rPr>
          <w:color w:val="000000" w:themeColor="text1"/>
        </w:rPr>
        <w:lastRenderedPageBreak/>
        <w:t>administratīvā akta atzīšanu par prettiesisku ietvaros.</w:t>
      </w:r>
      <w:r w:rsidR="00140676" w:rsidRPr="00A0579F">
        <w:rPr>
          <w:color w:val="000000" w:themeColor="text1"/>
        </w:rPr>
        <w:t xml:space="preserve"> </w:t>
      </w:r>
      <w:r w:rsidR="00022E1B" w:rsidRPr="00A0579F">
        <w:rPr>
          <w:color w:val="000000" w:themeColor="text1"/>
        </w:rPr>
        <w:t>P</w:t>
      </w:r>
      <w:r w:rsidR="00140676" w:rsidRPr="00A0579F">
        <w:rPr>
          <w:color w:val="000000" w:themeColor="text1"/>
        </w:rPr>
        <w:t>ieteicēji nav arī pamatojuši, ka iespējamais iestādes pieļautais procesuālais pārkāpums pats par sevi (nevis ievērojot tā ietekmi uz galīgo administratīvo aktu) būtu radījis viņu tiesību vai tiesisko interešu aizskārumu</w:t>
      </w:r>
      <w:r w:rsidR="007E1522" w:rsidRPr="00A0579F">
        <w:rPr>
          <w:color w:val="000000" w:themeColor="text1"/>
        </w:rPr>
        <w:t xml:space="preserve">, kad prasījums par procesuālā pārkāpuma konstatēšanu </w:t>
      </w:r>
      <w:r w:rsidR="00BA4FA5" w:rsidRPr="00A0579F">
        <w:rPr>
          <w:color w:val="000000" w:themeColor="text1"/>
        </w:rPr>
        <w:t xml:space="preserve">būtu pieļaujams </w:t>
      </w:r>
      <w:r w:rsidR="007E1522" w:rsidRPr="00A0579F">
        <w:rPr>
          <w:color w:val="000000" w:themeColor="text1"/>
        </w:rPr>
        <w:t>papildus prasījumam par administratīvo aktu.</w:t>
      </w:r>
    </w:p>
    <w:p w14:paraId="7B86C934" w14:textId="14CDA1A0" w:rsidR="004936F8" w:rsidRPr="00A0579F" w:rsidRDefault="004936F8" w:rsidP="008E6DC5">
      <w:pPr>
        <w:spacing w:line="276" w:lineRule="auto"/>
        <w:jc w:val="both"/>
        <w:rPr>
          <w:color w:val="000000" w:themeColor="text1"/>
        </w:rPr>
      </w:pPr>
    </w:p>
    <w:p w14:paraId="1E294E39" w14:textId="6B79B3F7" w:rsidR="0085275E" w:rsidRPr="00DF2270" w:rsidRDefault="004936F8" w:rsidP="00DF2270">
      <w:pPr>
        <w:spacing w:line="276" w:lineRule="auto"/>
        <w:ind w:firstLine="567"/>
        <w:jc w:val="both"/>
      </w:pPr>
      <w:r w:rsidRPr="00A0579F">
        <w:rPr>
          <w:color w:val="000000" w:themeColor="text1"/>
        </w:rPr>
        <w:t>[</w:t>
      </w:r>
      <w:r w:rsidR="00394B7E" w:rsidRPr="00A0579F">
        <w:rPr>
          <w:color w:val="000000" w:themeColor="text1"/>
        </w:rPr>
        <w:t>10</w:t>
      </w:r>
      <w:r w:rsidRPr="00A0579F">
        <w:rPr>
          <w:color w:val="000000" w:themeColor="text1"/>
        </w:rPr>
        <w:t>]</w:t>
      </w:r>
      <w:r w:rsidR="00BA4069" w:rsidRPr="00A0579F">
        <w:rPr>
          <w:color w:val="000000" w:themeColor="text1"/>
        </w:rPr>
        <w:t xml:space="preserve"> Rezumējot </w:t>
      </w:r>
      <w:r w:rsidR="00BA4069" w:rsidRPr="00FB75A7">
        <w:t xml:space="preserve">minēto, rajona tiesa </w:t>
      </w:r>
      <w:r w:rsidR="00BA6A71" w:rsidRPr="00FB75A7">
        <w:t xml:space="preserve">ir </w:t>
      </w:r>
      <w:r w:rsidR="002B015D" w:rsidRPr="00FB75A7">
        <w:t xml:space="preserve">pārāk formāli </w:t>
      </w:r>
      <w:r w:rsidR="00726CD8" w:rsidRPr="00FB75A7">
        <w:t>vērtējusi pieteicēju</w:t>
      </w:r>
      <w:r w:rsidR="002B015D" w:rsidRPr="00FB75A7">
        <w:t xml:space="preserve"> interesi pārsūdzētā administratīvā akta tiesiskuma vērtēšanā</w:t>
      </w:r>
      <w:r w:rsidR="00BA6A71">
        <w:t>, kas novedis pie nepamatotas tiesvedības izbeigšanas lietā</w:t>
      </w:r>
      <w:r w:rsidR="00E22FD2">
        <w:t xml:space="preserve">. </w:t>
      </w:r>
      <w:r w:rsidR="00BA4069">
        <w:t xml:space="preserve">Tādēļ </w:t>
      </w:r>
      <w:r w:rsidR="00BA6A71">
        <w:t xml:space="preserve">pārsūdzētais </w:t>
      </w:r>
      <w:r w:rsidR="00BA4069">
        <w:t>lēmums ir atceļams</w:t>
      </w:r>
      <w:r w:rsidR="00BA6A71">
        <w:t xml:space="preserve"> un lieta nosūtāma rajona tiesai jaunai izskatīšanai</w:t>
      </w:r>
      <w:r w:rsidR="00696F83">
        <w:t>.</w:t>
      </w:r>
      <w:bookmarkStart w:id="0" w:name="_GoBack"/>
      <w:bookmarkEnd w:id="0"/>
    </w:p>
    <w:p w14:paraId="7F133DF8" w14:textId="709EFBA8" w:rsidR="003047F5" w:rsidRPr="00C078FD" w:rsidRDefault="003047F5" w:rsidP="008E6DC5">
      <w:pPr>
        <w:spacing w:line="276" w:lineRule="auto"/>
        <w:jc w:val="center"/>
        <w:rPr>
          <w:b/>
        </w:rPr>
      </w:pPr>
      <w:r w:rsidRPr="00C078FD">
        <w:rPr>
          <w:b/>
        </w:rPr>
        <w:t>Rezolutīvā daļa</w:t>
      </w:r>
    </w:p>
    <w:p w14:paraId="203D55B2" w14:textId="77777777" w:rsidR="003047F5" w:rsidRPr="00C078FD" w:rsidRDefault="003047F5" w:rsidP="008E6DC5">
      <w:pPr>
        <w:spacing w:line="276" w:lineRule="auto"/>
        <w:ind w:firstLine="567"/>
        <w:jc w:val="both"/>
        <w:rPr>
          <w:bCs/>
          <w:spacing w:val="70"/>
        </w:rPr>
      </w:pPr>
    </w:p>
    <w:p w14:paraId="00B4693E" w14:textId="71BEFA8E" w:rsidR="000D04EA" w:rsidRPr="00CA5DA3" w:rsidRDefault="00766A62" w:rsidP="008E6DC5">
      <w:pPr>
        <w:spacing w:line="276" w:lineRule="auto"/>
        <w:ind w:firstLine="567"/>
        <w:jc w:val="both"/>
      </w:pPr>
      <w:r w:rsidRPr="00C078FD">
        <w:t xml:space="preserve">Pamatojoties uz Administratīvā procesa likuma </w:t>
      </w:r>
      <w:r w:rsidRPr="00A90D2E">
        <w:t>129.</w:t>
      </w:r>
      <w:r w:rsidRPr="00A90D2E">
        <w:rPr>
          <w:vertAlign w:val="superscript"/>
        </w:rPr>
        <w:t>1</w:t>
      </w:r>
      <w:r w:rsidRPr="00A90D2E">
        <w:t xml:space="preserve">panta pirmās daļas 1.punktu, 323.panta pirmās </w:t>
      </w:r>
      <w:r w:rsidRPr="005C5C0C">
        <w:t xml:space="preserve">daļas 2.punktu </w:t>
      </w:r>
      <w:r w:rsidRPr="00A90D2E">
        <w:t>un 324.panta pirmo daļu</w:t>
      </w:r>
      <w:r w:rsidRPr="00CA5DA3">
        <w:t>, Senāts</w:t>
      </w:r>
    </w:p>
    <w:p w14:paraId="241EB352" w14:textId="77777777" w:rsidR="0085275E" w:rsidRDefault="0085275E" w:rsidP="008E6DC5">
      <w:pPr>
        <w:spacing w:line="276" w:lineRule="auto"/>
        <w:jc w:val="center"/>
        <w:rPr>
          <w:b/>
        </w:rPr>
      </w:pPr>
    </w:p>
    <w:p w14:paraId="6FE7AC9C" w14:textId="2F49250A" w:rsidR="003047F5" w:rsidRPr="00CA5DA3" w:rsidRDefault="003047F5" w:rsidP="008E6DC5">
      <w:pPr>
        <w:spacing w:line="276" w:lineRule="auto"/>
        <w:jc w:val="center"/>
        <w:rPr>
          <w:b/>
        </w:rPr>
      </w:pPr>
      <w:r w:rsidRPr="00CA5DA3">
        <w:rPr>
          <w:b/>
        </w:rPr>
        <w:t>nolēma</w:t>
      </w:r>
    </w:p>
    <w:p w14:paraId="25D5DF80" w14:textId="77777777" w:rsidR="00A6596A" w:rsidRPr="00CA5DA3" w:rsidRDefault="00A6596A" w:rsidP="008E6DC5">
      <w:pPr>
        <w:spacing w:line="276" w:lineRule="auto"/>
        <w:jc w:val="center"/>
        <w:rPr>
          <w:b/>
        </w:rPr>
      </w:pPr>
    </w:p>
    <w:p w14:paraId="697A4697" w14:textId="11F6DD41" w:rsidR="00766A62" w:rsidRPr="005C5C0C" w:rsidRDefault="00766A62" w:rsidP="008E6DC5">
      <w:pPr>
        <w:spacing w:line="276" w:lineRule="auto"/>
        <w:ind w:firstLine="567"/>
        <w:jc w:val="both"/>
      </w:pPr>
      <w:r w:rsidRPr="005C5C0C">
        <w:t>atcelt Administratīvās rajona tiesas 202</w:t>
      </w:r>
      <w:r w:rsidR="004D4C87">
        <w:t>2</w:t>
      </w:r>
      <w:r w:rsidRPr="005C5C0C">
        <w:t xml:space="preserve">.gada </w:t>
      </w:r>
      <w:r w:rsidR="004D4C87">
        <w:t>4.augusta</w:t>
      </w:r>
      <w:r w:rsidRPr="005C5C0C">
        <w:t xml:space="preserve"> lēmumu un nosūtīt lietu jaunai izskatīšanai Administratīvajai rajona tiesai</w:t>
      </w:r>
      <w:r w:rsidR="004D4C87">
        <w:t>;</w:t>
      </w:r>
    </w:p>
    <w:p w14:paraId="18EBEAAC" w14:textId="2D9EC20F" w:rsidR="00A6596A" w:rsidRPr="00CA5DA3" w:rsidRDefault="004D4C87" w:rsidP="008E6DC5">
      <w:pPr>
        <w:spacing w:line="276" w:lineRule="auto"/>
        <w:ind w:firstLine="567"/>
        <w:jc w:val="both"/>
      </w:pPr>
      <w:r>
        <w:t>a</w:t>
      </w:r>
      <w:r w:rsidR="00766A62" w:rsidRPr="003110A8">
        <w:t xml:space="preserve">tmaksāt </w:t>
      </w:r>
      <w:r w:rsidR="008E6DC5">
        <w:t xml:space="preserve">[pers. A] </w:t>
      </w:r>
      <w:r w:rsidR="00766A62">
        <w:t xml:space="preserve">drošības naudu 15 </w:t>
      </w:r>
      <w:r w:rsidR="00766A62" w:rsidRPr="003110A8">
        <w:rPr>
          <w:i/>
          <w:iCs/>
        </w:rPr>
        <w:t>euro</w:t>
      </w:r>
      <w:r w:rsidR="00766A62">
        <w:t>.</w:t>
      </w:r>
    </w:p>
    <w:p w14:paraId="048556DB" w14:textId="77777777" w:rsidR="00A6596A" w:rsidRPr="00CA5DA3" w:rsidRDefault="00A6596A" w:rsidP="008E6DC5">
      <w:pPr>
        <w:spacing w:line="276" w:lineRule="auto"/>
        <w:ind w:firstLine="567"/>
        <w:jc w:val="both"/>
      </w:pPr>
      <w:r w:rsidRPr="00CA5DA3">
        <w:t>Lēmums nav pārsūdzams.</w:t>
      </w:r>
    </w:p>
    <w:p w14:paraId="0A61D3E6" w14:textId="77777777" w:rsidR="00A6596A" w:rsidRPr="00C078FD" w:rsidRDefault="00A6596A" w:rsidP="008E6DC5">
      <w:pPr>
        <w:spacing w:line="276" w:lineRule="auto"/>
        <w:ind w:firstLine="567"/>
        <w:jc w:val="both"/>
        <w:rPr>
          <w:bCs/>
        </w:rPr>
      </w:pPr>
    </w:p>
    <w:p w14:paraId="29BBD70B" w14:textId="77777777" w:rsidR="0090320F" w:rsidRPr="00C078FD" w:rsidRDefault="0090320F" w:rsidP="008E6DC5">
      <w:pPr>
        <w:spacing w:line="276" w:lineRule="auto"/>
        <w:ind w:firstLine="567"/>
        <w:jc w:val="both"/>
        <w:rPr>
          <w:bCs/>
        </w:rPr>
      </w:pPr>
    </w:p>
    <w:p w14:paraId="5B8C0CE8" w14:textId="24C72D11" w:rsidR="00A905BA" w:rsidRDefault="00A905BA" w:rsidP="00A905BA">
      <w:pPr>
        <w:tabs>
          <w:tab w:val="center" w:pos="1276"/>
          <w:tab w:val="center" w:pos="4678"/>
          <w:tab w:val="center" w:pos="8080"/>
        </w:tabs>
        <w:spacing w:line="276" w:lineRule="auto"/>
        <w:jc w:val="both"/>
        <w:rPr>
          <w:color w:val="000000"/>
        </w:rPr>
      </w:pPr>
    </w:p>
    <w:p w14:paraId="3FE4978E" w14:textId="77777777" w:rsidR="00CA5DA3" w:rsidRPr="00C078FD" w:rsidRDefault="00CA5DA3" w:rsidP="00A905BA">
      <w:pPr>
        <w:tabs>
          <w:tab w:val="center" w:pos="1276"/>
          <w:tab w:val="center" w:pos="4678"/>
          <w:tab w:val="center" w:pos="8080"/>
        </w:tabs>
        <w:spacing w:line="276" w:lineRule="auto"/>
        <w:jc w:val="both"/>
        <w:rPr>
          <w:color w:val="000000"/>
        </w:rPr>
      </w:pPr>
    </w:p>
    <w:p w14:paraId="4B4C74F8" w14:textId="3E878DE5" w:rsidR="00F43FAD" w:rsidRPr="00D7028E" w:rsidRDefault="00F43FAD" w:rsidP="00062C77">
      <w:pPr>
        <w:tabs>
          <w:tab w:val="center" w:pos="1276"/>
          <w:tab w:val="center" w:pos="4678"/>
          <w:tab w:val="center" w:pos="8080"/>
        </w:tabs>
        <w:spacing w:line="276" w:lineRule="auto"/>
        <w:jc w:val="both"/>
        <w:rPr>
          <w:color w:val="000000"/>
        </w:rPr>
      </w:pPr>
    </w:p>
    <w:sectPr w:rsidR="00F43FAD" w:rsidRPr="00D7028E" w:rsidSect="00BA6A71">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65F0E" w14:textId="77777777" w:rsidR="009571D1" w:rsidRDefault="009571D1" w:rsidP="003047F5">
      <w:r>
        <w:separator/>
      </w:r>
    </w:p>
  </w:endnote>
  <w:endnote w:type="continuationSeparator" w:id="0">
    <w:p w14:paraId="363E086E" w14:textId="77777777" w:rsidR="009571D1" w:rsidRDefault="009571D1"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1D63E152" w:rsidR="00505381" w:rsidRDefault="00505381"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111810">
      <w:rPr>
        <w:rStyle w:val="PageNumber"/>
        <w:noProof/>
      </w:rPr>
      <w:t>5</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111810">
      <w:rPr>
        <w:rStyle w:val="PageNumber"/>
        <w:noProof/>
      </w:rPr>
      <w:t>5</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E225C" w14:textId="77777777" w:rsidR="009571D1" w:rsidRDefault="009571D1" w:rsidP="003047F5">
      <w:r>
        <w:separator/>
      </w:r>
    </w:p>
  </w:footnote>
  <w:footnote w:type="continuationSeparator" w:id="0">
    <w:p w14:paraId="2BCD34FA" w14:textId="77777777" w:rsidR="009571D1" w:rsidRDefault="009571D1"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9E0"/>
    <w:rsid w:val="00000DCB"/>
    <w:rsid w:val="00000DE3"/>
    <w:rsid w:val="00004030"/>
    <w:rsid w:val="00012848"/>
    <w:rsid w:val="000137A9"/>
    <w:rsid w:val="00017016"/>
    <w:rsid w:val="00020265"/>
    <w:rsid w:val="00022E1B"/>
    <w:rsid w:val="000234C9"/>
    <w:rsid w:val="00027270"/>
    <w:rsid w:val="000307FF"/>
    <w:rsid w:val="0003118A"/>
    <w:rsid w:val="00032D06"/>
    <w:rsid w:val="0003496A"/>
    <w:rsid w:val="000377B6"/>
    <w:rsid w:val="00044276"/>
    <w:rsid w:val="00046CC9"/>
    <w:rsid w:val="00047235"/>
    <w:rsid w:val="0005011F"/>
    <w:rsid w:val="000517B3"/>
    <w:rsid w:val="000539C6"/>
    <w:rsid w:val="00053CFE"/>
    <w:rsid w:val="00057355"/>
    <w:rsid w:val="0006185C"/>
    <w:rsid w:val="00062C77"/>
    <w:rsid w:val="00062CE9"/>
    <w:rsid w:val="0007058B"/>
    <w:rsid w:val="00070BB9"/>
    <w:rsid w:val="000711E5"/>
    <w:rsid w:val="0007249A"/>
    <w:rsid w:val="00073EB3"/>
    <w:rsid w:val="00090763"/>
    <w:rsid w:val="00092BB9"/>
    <w:rsid w:val="000A1DE3"/>
    <w:rsid w:val="000A4BAB"/>
    <w:rsid w:val="000B0A3A"/>
    <w:rsid w:val="000B1784"/>
    <w:rsid w:val="000B494A"/>
    <w:rsid w:val="000B58F6"/>
    <w:rsid w:val="000B6C6B"/>
    <w:rsid w:val="000C08BC"/>
    <w:rsid w:val="000C3386"/>
    <w:rsid w:val="000C3ABF"/>
    <w:rsid w:val="000D04EA"/>
    <w:rsid w:val="000D0865"/>
    <w:rsid w:val="000D4965"/>
    <w:rsid w:val="000E0DD3"/>
    <w:rsid w:val="000E3F49"/>
    <w:rsid w:val="000E56DC"/>
    <w:rsid w:val="000E5D37"/>
    <w:rsid w:val="000E76A6"/>
    <w:rsid w:val="000E7EDF"/>
    <w:rsid w:val="000F0BF2"/>
    <w:rsid w:val="000F0F0C"/>
    <w:rsid w:val="000F56CF"/>
    <w:rsid w:val="00101ADA"/>
    <w:rsid w:val="00106034"/>
    <w:rsid w:val="00106ABC"/>
    <w:rsid w:val="001108D8"/>
    <w:rsid w:val="00111810"/>
    <w:rsid w:val="001137FB"/>
    <w:rsid w:val="001153E8"/>
    <w:rsid w:val="00117502"/>
    <w:rsid w:val="00124CCF"/>
    <w:rsid w:val="00125EF8"/>
    <w:rsid w:val="00130121"/>
    <w:rsid w:val="00130819"/>
    <w:rsid w:val="001319B2"/>
    <w:rsid w:val="00132F3F"/>
    <w:rsid w:val="00134034"/>
    <w:rsid w:val="00140676"/>
    <w:rsid w:val="00143B45"/>
    <w:rsid w:val="001447C2"/>
    <w:rsid w:val="001476B7"/>
    <w:rsid w:val="0015102E"/>
    <w:rsid w:val="0015140B"/>
    <w:rsid w:val="00151F15"/>
    <w:rsid w:val="0015480A"/>
    <w:rsid w:val="001555DC"/>
    <w:rsid w:val="00160BE3"/>
    <w:rsid w:val="00162744"/>
    <w:rsid w:val="0016369A"/>
    <w:rsid w:val="001646E9"/>
    <w:rsid w:val="00165531"/>
    <w:rsid w:val="00173F11"/>
    <w:rsid w:val="0017515B"/>
    <w:rsid w:val="00183310"/>
    <w:rsid w:val="0019238A"/>
    <w:rsid w:val="001926C0"/>
    <w:rsid w:val="001953C7"/>
    <w:rsid w:val="0019546C"/>
    <w:rsid w:val="001A0495"/>
    <w:rsid w:val="001A26AA"/>
    <w:rsid w:val="001A2A87"/>
    <w:rsid w:val="001A3C66"/>
    <w:rsid w:val="001A780C"/>
    <w:rsid w:val="001B02BF"/>
    <w:rsid w:val="001C3558"/>
    <w:rsid w:val="001C3BD9"/>
    <w:rsid w:val="001C528A"/>
    <w:rsid w:val="001C58AB"/>
    <w:rsid w:val="001C7F9A"/>
    <w:rsid w:val="001D29E6"/>
    <w:rsid w:val="001D59E4"/>
    <w:rsid w:val="001D66D2"/>
    <w:rsid w:val="001E0F24"/>
    <w:rsid w:val="001E11A7"/>
    <w:rsid w:val="001E1849"/>
    <w:rsid w:val="001E3A09"/>
    <w:rsid w:val="001E3CB2"/>
    <w:rsid w:val="001F3948"/>
    <w:rsid w:val="001F40A0"/>
    <w:rsid w:val="002000E4"/>
    <w:rsid w:val="00205FD4"/>
    <w:rsid w:val="0021045F"/>
    <w:rsid w:val="00211CB6"/>
    <w:rsid w:val="00212276"/>
    <w:rsid w:val="00215222"/>
    <w:rsid w:val="00216940"/>
    <w:rsid w:val="002223A3"/>
    <w:rsid w:val="00223F3C"/>
    <w:rsid w:val="00225380"/>
    <w:rsid w:val="00230389"/>
    <w:rsid w:val="002309A7"/>
    <w:rsid w:val="00231DB0"/>
    <w:rsid w:val="002341BA"/>
    <w:rsid w:val="00237F92"/>
    <w:rsid w:val="002458A1"/>
    <w:rsid w:val="00247860"/>
    <w:rsid w:val="00247BA2"/>
    <w:rsid w:val="002503C6"/>
    <w:rsid w:val="00251D13"/>
    <w:rsid w:val="00256D56"/>
    <w:rsid w:val="00257C32"/>
    <w:rsid w:val="00262ABE"/>
    <w:rsid w:val="00263FE5"/>
    <w:rsid w:val="00266398"/>
    <w:rsid w:val="0026683B"/>
    <w:rsid w:val="002673FF"/>
    <w:rsid w:val="00267440"/>
    <w:rsid w:val="00270987"/>
    <w:rsid w:val="00270AA6"/>
    <w:rsid w:val="00271F5D"/>
    <w:rsid w:val="002722B7"/>
    <w:rsid w:val="0027469B"/>
    <w:rsid w:val="0028311C"/>
    <w:rsid w:val="00283B84"/>
    <w:rsid w:val="002865B6"/>
    <w:rsid w:val="002871F6"/>
    <w:rsid w:val="00290418"/>
    <w:rsid w:val="00291EEF"/>
    <w:rsid w:val="00293462"/>
    <w:rsid w:val="00294A2A"/>
    <w:rsid w:val="00297E11"/>
    <w:rsid w:val="002B015D"/>
    <w:rsid w:val="002B18C3"/>
    <w:rsid w:val="002B2946"/>
    <w:rsid w:val="002B2D30"/>
    <w:rsid w:val="002B790E"/>
    <w:rsid w:val="002C108F"/>
    <w:rsid w:val="002C23DA"/>
    <w:rsid w:val="002C26D9"/>
    <w:rsid w:val="002C543B"/>
    <w:rsid w:val="002C7ACB"/>
    <w:rsid w:val="002D1AE8"/>
    <w:rsid w:val="002D27ED"/>
    <w:rsid w:val="002D2CB8"/>
    <w:rsid w:val="002E0E38"/>
    <w:rsid w:val="002E7F3D"/>
    <w:rsid w:val="002F09B0"/>
    <w:rsid w:val="002F32F7"/>
    <w:rsid w:val="002F3B87"/>
    <w:rsid w:val="002F6064"/>
    <w:rsid w:val="00301190"/>
    <w:rsid w:val="00301A51"/>
    <w:rsid w:val="00302C14"/>
    <w:rsid w:val="00303704"/>
    <w:rsid w:val="003047F5"/>
    <w:rsid w:val="003135C6"/>
    <w:rsid w:val="00313724"/>
    <w:rsid w:val="0031390C"/>
    <w:rsid w:val="003151E0"/>
    <w:rsid w:val="00315E10"/>
    <w:rsid w:val="003203F9"/>
    <w:rsid w:val="003217EB"/>
    <w:rsid w:val="003300A2"/>
    <w:rsid w:val="0033025F"/>
    <w:rsid w:val="00332160"/>
    <w:rsid w:val="00337502"/>
    <w:rsid w:val="003405F0"/>
    <w:rsid w:val="003454D5"/>
    <w:rsid w:val="003464C7"/>
    <w:rsid w:val="00351A97"/>
    <w:rsid w:val="003528DB"/>
    <w:rsid w:val="0035346E"/>
    <w:rsid w:val="00362BF1"/>
    <w:rsid w:val="00366BE4"/>
    <w:rsid w:val="00367039"/>
    <w:rsid w:val="00370520"/>
    <w:rsid w:val="00380FF9"/>
    <w:rsid w:val="00384741"/>
    <w:rsid w:val="0038595A"/>
    <w:rsid w:val="00391471"/>
    <w:rsid w:val="00393674"/>
    <w:rsid w:val="00394B7E"/>
    <w:rsid w:val="00395115"/>
    <w:rsid w:val="00396947"/>
    <w:rsid w:val="00397C7E"/>
    <w:rsid w:val="003A05E7"/>
    <w:rsid w:val="003A3423"/>
    <w:rsid w:val="003B1452"/>
    <w:rsid w:val="003B578F"/>
    <w:rsid w:val="003B644B"/>
    <w:rsid w:val="003C4521"/>
    <w:rsid w:val="003C46CA"/>
    <w:rsid w:val="003C48E6"/>
    <w:rsid w:val="003C52FF"/>
    <w:rsid w:val="003C5334"/>
    <w:rsid w:val="003C6B4D"/>
    <w:rsid w:val="003D150F"/>
    <w:rsid w:val="003D5EC4"/>
    <w:rsid w:val="003D649E"/>
    <w:rsid w:val="003D660B"/>
    <w:rsid w:val="003E2301"/>
    <w:rsid w:val="003E2FCE"/>
    <w:rsid w:val="003E533F"/>
    <w:rsid w:val="003E6333"/>
    <w:rsid w:val="003E7280"/>
    <w:rsid w:val="003E73F4"/>
    <w:rsid w:val="003F279F"/>
    <w:rsid w:val="003F43BB"/>
    <w:rsid w:val="003F58AE"/>
    <w:rsid w:val="003F767F"/>
    <w:rsid w:val="00400D65"/>
    <w:rsid w:val="00401737"/>
    <w:rsid w:val="00410164"/>
    <w:rsid w:val="00410705"/>
    <w:rsid w:val="0041155B"/>
    <w:rsid w:val="00415AA0"/>
    <w:rsid w:val="00416E59"/>
    <w:rsid w:val="004200B5"/>
    <w:rsid w:val="00424B84"/>
    <w:rsid w:val="004276FA"/>
    <w:rsid w:val="004302B3"/>
    <w:rsid w:val="0043182C"/>
    <w:rsid w:val="004356B2"/>
    <w:rsid w:val="0043616A"/>
    <w:rsid w:val="004379A5"/>
    <w:rsid w:val="00444463"/>
    <w:rsid w:val="004446AE"/>
    <w:rsid w:val="004452A2"/>
    <w:rsid w:val="00447E02"/>
    <w:rsid w:val="00453299"/>
    <w:rsid w:val="004534DB"/>
    <w:rsid w:val="00454DDD"/>
    <w:rsid w:val="00454F01"/>
    <w:rsid w:val="00460260"/>
    <w:rsid w:val="00460E21"/>
    <w:rsid w:val="00470432"/>
    <w:rsid w:val="00471D43"/>
    <w:rsid w:val="004750CC"/>
    <w:rsid w:val="004809F6"/>
    <w:rsid w:val="00480EFD"/>
    <w:rsid w:val="00483E9D"/>
    <w:rsid w:val="00485207"/>
    <w:rsid w:val="004870A6"/>
    <w:rsid w:val="00487C2C"/>
    <w:rsid w:val="00491DEC"/>
    <w:rsid w:val="004936F8"/>
    <w:rsid w:val="00497AC3"/>
    <w:rsid w:val="004A0DEF"/>
    <w:rsid w:val="004A15DD"/>
    <w:rsid w:val="004A3B25"/>
    <w:rsid w:val="004A4903"/>
    <w:rsid w:val="004B6AC7"/>
    <w:rsid w:val="004C026B"/>
    <w:rsid w:val="004D1BEA"/>
    <w:rsid w:val="004D2F98"/>
    <w:rsid w:val="004D394E"/>
    <w:rsid w:val="004D4C87"/>
    <w:rsid w:val="004D52C1"/>
    <w:rsid w:val="004E1653"/>
    <w:rsid w:val="004E1D2D"/>
    <w:rsid w:val="004E2A29"/>
    <w:rsid w:val="004E5146"/>
    <w:rsid w:val="004E58D8"/>
    <w:rsid w:val="004E5BD2"/>
    <w:rsid w:val="004E71F9"/>
    <w:rsid w:val="004E721A"/>
    <w:rsid w:val="004F12A3"/>
    <w:rsid w:val="004F423E"/>
    <w:rsid w:val="00500E05"/>
    <w:rsid w:val="00501654"/>
    <w:rsid w:val="00503510"/>
    <w:rsid w:val="00503BBA"/>
    <w:rsid w:val="00505381"/>
    <w:rsid w:val="0050688D"/>
    <w:rsid w:val="005105DC"/>
    <w:rsid w:val="00514A63"/>
    <w:rsid w:val="00521A02"/>
    <w:rsid w:val="0053310E"/>
    <w:rsid w:val="00535AF2"/>
    <w:rsid w:val="00536ECD"/>
    <w:rsid w:val="00540999"/>
    <w:rsid w:val="00540B4E"/>
    <w:rsid w:val="00543E46"/>
    <w:rsid w:val="00550C1A"/>
    <w:rsid w:val="00554408"/>
    <w:rsid w:val="005546F1"/>
    <w:rsid w:val="0055538F"/>
    <w:rsid w:val="00560242"/>
    <w:rsid w:val="005665F5"/>
    <w:rsid w:val="00571E95"/>
    <w:rsid w:val="0057714A"/>
    <w:rsid w:val="005855B9"/>
    <w:rsid w:val="0058575A"/>
    <w:rsid w:val="00585BC9"/>
    <w:rsid w:val="00590AE2"/>
    <w:rsid w:val="00594CAE"/>
    <w:rsid w:val="00595D33"/>
    <w:rsid w:val="0059651A"/>
    <w:rsid w:val="005A032C"/>
    <w:rsid w:val="005A4E37"/>
    <w:rsid w:val="005A52C0"/>
    <w:rsid w:val="005B4004"/>
    <w:rsid w:val="005B42DC"/>
    <w:rsid w:val="005B4D81"/>
    <w:rsid w:val="005C0E40"/>
    <w:rsid w:val="005C208B"/>
    <w:rsid w:val="005C258B"/>
    <w:rsid w:val="005C3FA6"/>
    <w:rsid w:val="005C63C0"/>
    <w:rsid w:val="005D0355"/>
    <w:rsid w:val="005D0693"/>
    <w:rsid w:val="005D08A1"/>
    <w:rsid w:val="005D422D"/>
    <w:rsid w:val="005D7BB4"/>
    <w:rsid w:val="005E0F8D"/>
    <w:rsid w:val="005E189D"/>
    <w:rsid w:val="005E1C2F"/>
    <w:rsid w:val="005E3C9E"/>
    <w:rsid w:val="005F0C84"/>
    <w:rsid w:val="005F1028"/>
    <w:rsid w:val="005F396E"/>
    <w:rsid w:val="005F6619"/>
    <w:rsid w:val="00603D44"/>
    <w:rsid w:val="0061754F"/>
    <w:rsid w:val="00617877"/>
    <w:rsid w:val="00620E28"/>
    <w:rsid w:val="006239AC"/>
    <w:rsid w:val="00625610"/>
    <w:rsid w:val="006347BF"/>
    <w:rsid w:val="00637EFE"/>
    <w:rsid w:val="0064282A"/>
    <w:rsid w:val="0064679B"/>
    <w:rsid w:val="00650A5F"/>
    <w:rsid w:val="00655B70"/>
    <w:rsid w:val="0065691C"/>
    <w:rsid w:val="00660995"/>
    <w:rsid w:val="00661373"/>
    <w:rsid w:val="006632A5"/>
    <w:rsid w:val="00663CA5"/>
    <w:rsid w:val="00666CCE"/>
    <w:rsid w:val="00666E78"/>
    <w:rsid w:val="00670AE6"/>
    <w:rsid w:val="00670B86"/>
    <w:rsid w:val="00672522"/>
    <w:rsid w:val="006726F2"/>
    <w:rsid w:val="00673D98"/>
    <w:rsid w:val="00674BC7"/>
    <w:rsid w:val="00680916"/>
    <w:rsid w:val="00685079"/>
    <w:rsid w:val="0069306C"/>
    <w:rsid w:val="00694D58"/>
    <w:rsid w:val="00696F83"/>
    <w:rsid w:val="006A043E"/>
    <w:rsid w:val="006A04C3"/>
    <w:rsid w:val="006A12AB"/>
    <w:rsid w:val="006A13BB"/>
    <w:rsid w:val="006A6AC5"/>
    <w:rsid w:val="006A6DEA"/>
    <w:rsid w:val="006B2780"/>
    <w:rsid w:val="006B5922"/>
    <w:rsid w:val="006C0943"/>
    <w:rsid w:val="006C52C9"/>
    <w:rsid w:val="006C6E36"/>
    <w:rsid w:val="006C7C76"/>
    <w:rsid w:val="006D08C0"/>
    <w:rsid w:val="006D15BF"/>
    <w:rsid w:val="006D63AE"/>
    <w:rsid w:val="006D6D9F"/>
    <w:rsid w:val="006D7325"/>
    <w:rsid w:val="006E087A"/>
    <w:rsid w:val="006E0DA7"/>
    <w:rsid w:val="006E47D5"/>
    <w:rsid w:val="006E5E9D"/>
    <w:rsid w:val="006E6063"/>
    <w:rsid w:val="006E60E6"/>
    <w:rsid w:val="006F52E7"/>
    <w:rsid w:val="006F5D3B"/>
    <w:rsid w:val="006F7581"/>
    <w:rsid w:val="007017F2"/>
    <w:rsid w:val="00703AD8"/>
    <w:rsid w:val="007059A6"/>
    <w:rsid w:val="00714C50"/>
    <w:rsid w:val="00714EF2"/>
    <w:rsid w:val="00715C93"/>
    <w:rsid w:val="00717265"/>
    <w:rsid w:val="007205F7"/>
    <w:rsid w:val="007217DF"/>
    <w:rsid w:val="00721A2D"/>
    <w:rsid w:val="00726CBF"/>
    <w:rsid w:val="00726CD8"/>
    <w:rsid w:val="00727EBA"/>
    <w:rsid w:val="00730B73"/>
    <w:rsid w:val="00731A51"/>
    <w:rsid w:val="0073548F"/>
    <w:rsid w:val="00735B6E"/>
    <w:rsid w:val="00735D9E"/>
    <w:rsid w:val="00736136"/>
    <w:rsid w:val="00740F13"/>
    <w:rsid w:val="00740F44"/>
    <w:rsid w:val="00746A1A"/>
    <w:rsid w:val="00746B01"/>
    <w:rsid w:val="007509E2"/>
    <w:rsid w:val="007566CD"/>
    <w:rsid w:val="00760DBC"/>
    <w:rsid w:val="00760FC3"/>
    <w:rsid w:val="00766A62"/>
    <w:rsid w:val="00767A8F"/>
    <w:rsid w:val="00772CB1"/>
    <w:rsid w:val="007816FD"/>
    <w:rsid w:val="0078728E"/>
    <w:rsid w:val="00787A6A"/>
    <w:rsid w:val="00796E60"/>
    <w:rsid w:val="00797B70"/>
    <w:rsid w:val="007A0712"/>
    <w:rsid w:val="007A5734"/>
    <w:rsid w:val="007A6936"/>
    <w:rsid w:val="007A79E5"/>
    <w:rsid w:val="007B66BA"/>
    <w:rsid w:val="007B7CC5"/>
    <w:rsid w:val="007C3CD3"/>
    <w:rsid w:val="007C695A"/>
    <w:rsid w:val="007C7845"/>
    <w:rsid w:val="007C7981"/>
    <w:rsid w:val="007D51EA"/>
    <w:rsid w:val="007D5D1D"/>
    <w:rsid w:val="007E1522"/>
    <w:rsid w:val="007E5727"/>
    <w:rsid w:val="007E687E"/>
    <w:rsid w:val="007E7A24"/>
    <w:rsid w:val="007F2E58"/>
    <w:rsid w:val="00802A81"/>
    <w:rsid w:val="0082290A"/>
    <w:rsid w:val="00831BC0"/>
    <w:rsid w:val="00834176"/>
    <w:rsid w:val="008376DD"/>
    <w:rsid w:val="00837E90"/>
    <w:rsid w:val="00837EA7"/>
    <w:rsid w:val="0084169C"/>
    <w:rsid w:val="008467FB"/>
    <w:rsid w:val="00847011"/>
    <w:rsid w:val="00852639"/>
    <w:rsid w:val="0085275E"/>
    <w:rsid w:val="008533CC"/>
    <w:rsid w:val="00861230"/>
    <w:rsid w:val="0086214C"/>
    <w:rsid w:val="008638AA"/>
    <w:rsid w:val="0086469B"/>
    <w:rsid w:val="00873B5E"/>
    <w:rsid w:val="00876C09"/>
    <w:rsid w:val="00877251"/>
    <w:rsid w:val="00883EED"/>
    <w:rsid w:val="00886722"/>
    <w:rsid w:val="00892B91"/>
    <w:rsid w:val="008961DE"/>
    <w:rsid w:val="00897152"/>
    <w:rsid w:val="008A01AA"/>
    <w:rsid w:val="008A234C"/>
    <w:rsid w:val="008B216C"/>
    <w:rsid w:val="008B5DF2"/>
    <w:rsid w:val="008B6B4F"/>
    <w:rsid w:val="008B79E0"/>
    <w:rsid w:val="008C0729"/>
    <w:rsid w:val="008C2579"/>
    <w:rsid w:val="008C72F4"/>
    <w:rsid w:val="008C746F"/>
    <w:rsid w:val="008D05DF"/>
    <w:rsid w:val="008D12D6"/>
    <w:rsid w:val="008D2CE2"/>
    <w:rsid w:val="008D51D2"/>
    <w:rsid w:val="008E34ED"/>
    <w:rsid w:val="008E3B36"/>
    <w:rsid w:val="008E6DC5"/>
    <w:rsid w:val="008F1A12"/>
    <w:rsid w:val="008F2F1E"/>
    <w:rsid w:val="008F5CE6"/>
    <w:rsid w:val="008F65A1"/>
    <w:rsid w:val="008F6BA7"/>
    <w:rsid w:val="008F7BF9"/>
    <w:rsid w:val="0090320F"/>
    <w:rsid w:val="00904200"/>
    <w:rsid w:val="0090455C"/>
    <w:rsid w:val="00914CDD"/>
    <w:rsid w:val="00915A43"/>
    <w:rsid w:val="00916C67"/>
    <w:rsid w:val="009229FE"/>
    <w:rsid w:val="0092339D"/>
    <w:rsid w:val="00925FE7"/>
    <w:rsid w:val="00930038"/>
    <w:rsid w:val="00942BC3"/>
    <w:rsid w:val="00943D0C"/>
    <w:rsid w:val="009463FB"/>
    <w:rsid w:val="009468D4"/>
    <w:rsid w:val="0094698D"/>
    <w:rsid w:val="00953B59"/>
    <w:rsid w:val="0095488B"/>
    <w:rsid w:val="009571D1"/>
    <w:rsid w:val="00960637"/>
    <w:rsid w:val="00961D9C"/>
    <w:rsid w:val="0096236F"/>
    <w:rsid w:val="009639F7"/>
    <w:rsid w:val="00964708"/>
    <w:rsid w:val="00965248"/>
    <w:rsid w:val="00966D2E"/>
    <w:rsid w:val="00967447"/>
    <w:rsid w:val="0097186C"/>
    <w:rsid w:val="009725D3"/>
    <w:rsid w:val="00974D80"/>
    <w:rsid w:val="00975373"/>
    <w:rsid w:val="009764FE"/>
    <w:rsid w:val="00985C94"/>
    <w:rsid w:val="009861C8"/>
    <w:rsid w:val="00996227"/>
    <w:rsid w:val="009A3347"/>
    <w:rsid w:val="009A604B"/>
    <w:rsid w:val="009A73DE"/>
    <w:rsid w:val="009B446F"/>
    <w:rsid w:val="009B7AE4"/>
    <w:rsid w:val="009C1DAF"/>
    <w:rsid w:val="009C3E18"/>
    <w:rsid w:val="009C43D1"/>
    <w:rsid w:val="009C47B0"/>
    <w:rsid w:val="009C4B3C"/>
    <w:rsid w:val="009D29DE"/>
    <w:rsid w:val="009E0538"/>
    <w:rsid w:val="009E718A"/>
    <w:rsid w:val="009F0A8D"/>
    <w:rsid w:val="009F1945"/>
    <w:rsid w:val="009F1F15"/>
    <w:rsid w:val="009F5446"/>
    <w:rsid w:val="009F6765"/>
    <w:rsid w:val="009F6F33"/>
    <w:rsid w:val="00A00062"/>
    <w:rsid w:val="00A03611"/>
    <w:rsid w:val="00A0579F"/>
    <w:rsid w:val="00A068F9"/>
    <w:rsid w:val="00A10B0C"/>
    <w:rsid w:val="00A114FF"/>
    <w:rsid w:val="00A11851"/>
    <w:rsid w:val="00A11C2A"/>
    <w:rsid w:val="00A2082D"/>
    <w:rsid w:val="00A20A70"/>
    <w:rsid w:val="00A22088"/>
    <w:rsid w:val="00A23B87"/>
    <w:rsid w:val="00A24A4B"/>
    <w:rsid w:val="00A2519A"/>
    <w:rsid w:val="00A25BC6"/>
    <w:rsid w:val="00A3452A"/>
    <w:rsid w:val="00A3526A"/>
    <w:rsid w:val="00A41CBF"/>
    <w:rsid w:val="00A441B0"/>
    <w:rsid w:val="00A442AC"/>
    <w:rsid w:val="00A44BF8"/>
    <w:rsid w:val="00A4597E"/>
    <w:rsid w:val="00A46322"/>
    <w:rsid w:val="00A50516"/>
    <w:rsid w:val="00A52011"/>
    <w:rsid w:val="00A535CB"/>
    <w:rsid w:val="00A563E6"/>
    <w:rsid w:val="00A56863"/>
    <w:rsid w:val="00A63AB2"/>
    <w:rsid w:val="00A6596A"/>
    <w:rsid w:val="00A725A4"/>
    <w:rsid w:val="00A73FE6"/>
    <w:rsid w:val="00A76444"/>
    <w:rsid w:val="00A77650"/>
    <w:rsid w:val="00A831F1"/>
    <w:rsid w:val="00A835B2"/>
    <w:rsid w:val="00A840AB"/>
    <w:rsid w:val="00A905BA"/>
    <w:rsid w:val="00A92CC0"/>
    <w:rsid w:val="00A95689"/>
    <w:rsid w:val="00A96D0F"/>
    <w:rsid w:val="00A97927"/>
    <w:rsid w:val="00AB36FD"/>
    <w:rsid w:val="00AB709E"/>
    <w:rsid w:val="00AC3C3D"/>
    <w:rsid w:val="00AC4356"/>
    <w:rsid w:val="00AC5B6A"/>
    <w:rsid w:val="00AD4CA1"/>
    <w:rsid w:val="00AD6021"/>
    <w:rsid w:val="00AD76A3"/>
    <w:rsid w:val="00AD7D32"/>
    <w:rsid w:val="00AE262B"/>
    <w:rsid w:val="00AE42A7"/>
    <w:rsid w:val="00AE4847"/>
    <w:rsid w:val="00AE60F5"/>
    <w:rsid w:val="00AE6A93"/>
    <w:rsid w:val="00AF3B56"/>
    <w:rsid w:val="00AF41F3"/>
    <w:rsid w:val="00B00EE0"/>
    <w:rsid w:val="00B00FAB"/>
    <w:rsid w:val="00B04588"/>
    <w:rsid w:val="00B047D4"/>
    <w:rsid w:val="00B12658"/>
    <w:rsid w:val="00B13EF8"/>
    <w:rsid w:val="00B140BF"/>
    <w:rsid w:val="00B2112D"/>
    <w:rsid w:val="00B21C54"/>
    <w:rsid w:val="00B23330"/>
    <w:rsid w:val="00B25EAA"/>
    <w:rsid w:val="00B2644F"/>
    <w:rsid w:val="00B26E00"/>
    <w:rsid w:val="00B27487"/>
    <w:rsid w:val="00B32D2F"/>
    <w:rsid w:val="00B337A9"/>
    <w:rsid w:val="00B34AC0"/>
    <w:rsid w:val="00B3577F"/>
    <w:rsid w:val="00B37418"/>
    <w:rsid w:val="00B422A1"/>
    <w:rsid w:val="00B445BB"/>
    <w:rsid w:val="00B4585A"/>
    <w:rsid w:val="00B465FE"/>
    <w:rsid w:val="00B4677B"/>
    <w:rsid w:val="00B53176"/>
    <w:rsid w:val="00B602E7"/>
    <w:rsid w:val="00B62B8B"/>
    <w:rsid w:val="00B63D9D"/>
    <w:rsid w:val="00B65F3A"/>
    <w:rsid w:val="00B6644B"/>
    <w:rsid w:val="00B7411D"/>
    <w:rsid w:val="00B75903"/>
    <w:rsid w:val="00B8011A"/>
    <w:rsid w:val="00B84082"/>
    <w:rsid w:val="00B926C3"/>
    <w:rsid w:val="00B94037"/>
    <w:rsid w:val="00BA3E93"/>
    <w:rsid w:val="00BA4069"/>
    <w:rsid w:val="00BA407C"/>
    <w:rsid w:val="00BA4FA5"/>
    <w:rsid w:val="00BA6A71"/>
    <w:rsid w:val="00BB23D0"/>
    <w:rsid w:val="00BB3A36"/>
    <w:rsid w:val="00BB4182"/>
    <w:rsid w:val="00BB606E"/>
    <w:rsid w:val="00BC1206"/>
    <w:rsid w:val="00BC21CD"/>
    <w:rsid w:val="00BC2BBE"/>
    <w:rsid w:val="00BC3872"/>
    <w:rsid w:val="00BC3F4C"/>
    <w:rsid w:val="00BC410A"/>
    <w:rsid w:val="00BC4268"/>
    <w:rsid w:val="00BC5C0B"/>
    <w:rsid w:val="00BD0052"/>
    <w:rsid w:val="00BD00C6"/>
    <w:rsid w:val="00BD382F"/>
    <w:rsid w:val="00BD4C53"/>
    <w:rsid w:val="00BE0866"/>
    <w:rsid w:val="00BF4DBC"/>
    <w:rsid w:val="00C00C05"/>
    <w:rsid w:val="00C05798"/>
    <w:rsid w:val="00C06C2A"/>
    <w:rsid w:val="00C06FA1"/>
    <w:rsid w:val="00C078FD"/>
    <w:rsid w:val="00C1697F"/>
    <w:rsid w:val="00C26812"/>
    <w:rsid w:val="00C27CFD"/>
    <w:rsid w:val="00C31AED"/>
    <w:rsid w:val="00C32BEA"/>
    <w:rsid w:val="00C350B4"/>
    <w:rsid w:val="00C36B06"/>
    <w:rsid w:val="00C36DAC"/>
    <w:rsid w:val="00C40E01"/>
    <w:rsid w:val="00C4430B"/>
    <w:rsid w:val="00C44BD2"/>
    <w:rsid w:val="00C4562E"/>
    <w:rsid w:val="00C45919"/>
    <w:rsid w:val="00C50951"/>
    <w:rsid w:val="00C509BD"/>
    <w:rsid w:val="00C52126"/>
    <w:rsid w:val="00C603EF"/>
    <w:rsid w:val="00C62C2F"/>
    <w:rsid w:val="00C66B9F"/>
    <w:rsid w:val="00C7280B"/>
    <w:rsid w:val="00C73593"/>
    <w:rsid w:val="00C816D5"/>
    <w:rsid w:val="00C8798B"/>
    <w:rsid w:val="00C920EF"/>
    <w:rsid w:val="00C9799A"/>
    <w:rsid w:val="00CA4F3C"/>
    <w:rsid w:val="00CA5DA3"/>
    <w:rsid w:val="00CA7480"/>
    <w:rsid w:val="00CB0E20"/>
    <w:rsid w:val="00CB2B32"/>
    <w:rsid w:val="00CB5049"/>
    <w:rsid w:val="00CB5F8F"/>
    <w:rsid w:val="00CC0176"/>
    <w:rsid w:val="00CC0C47"/>
    <w:rsid w:val="00CC1B5E"/>
    <w:rsid w:val="00CC619E"/>
    <w:rsid w:val="00CD57D7"/>
    <w:rsid w:val="00CE097B"/>
    <w:rsid w:val="00CE1AFA"/>
    <w:rsid w:val="00CF012B"/>
    <w:rsid w:val="00CF2161"/>
    <w:rsid w:val="00CF3204"/>
    <w:rsid w:val="00CF3A50"/>
    <w:rsid w:val="00CF7AE3"/>
    <w:rsid w:val="00D04321"/>
    <w:rsid w:val="00D10538"/>
    <w:rsid w:val="00D11753"/>
    <w:rsid w:val="00D11760"/>
    <w:rsid w:val="00D12BE9"/>
    <w:rsid w:val="00D143EC"/>
    <w:rsid w:val="00D21212"/>
    <w:rsid w:val="00D22778"/>
    <w:rsid w:val="00D26609"/>
    <w:rsid w:val="00D27BE6"/>
    <w:rsid w:val="00D30BEA"/>
    <w:rsid w:val="00D3210B"/>
    <w:rsid w:val="00D40195"/>
    <w:rsid w:val="00D41218"/>
    <w:rsid w:val="00D5179F"/>
    <w:rsid w:val="00D57C86"/>
    <w:rsid w:val="00D634CD"/>
    <w:rsid w:val="00D65707"/>
    <w:rsid w:val="00D7028E"/>
    <w:rsid w:val="00D73E4F"/>
    <w:rsid w:val="00D7485C"/>
    <w:rsid w:val="00D75B79"/>
    <w:rsid w:val="00D777CE"/>
    <w:rsid w:val="00D77971"/>
    <w:rsid w:val="00D81E99"/>
    <w:rsid w:val="00D865C3"/>
    <w:rsid w:val="00D87A4C"/>
    <w:rsid w:val="00D940FF"/>
    <w:rsid w:val="00D94288"/>
    <w:rsid w:val="00D969BB"/>
    <w:rsid w:val="00DA37C2"/>
    <w:rsid w:val="00DA64EB"/>
    <w:rsid w:val="00DA6C9A"/>
    <w:rsid w:val="00DB15E9"/>
    <w:rsid w:val="00DB5151"/>
    <w:rsid w:val="00DC2218"/>
    <w:rsid w:val="00DC2996"/>
    <w:rsid w:val="00DC3079"/>
    <w:rsid w:val="00DC71E7"/>
    <w:rsid w:val="00DD1670"/>
    <w:rsid w:val="00DD7AAB"/>
    <w:rsid w:val="00DE25A7"/>
    <w:rsid w:val="00DE6A6F"/>
    <w:rsid w:val="00DE7AFE"/>
    <w:rsid w:val="00DF1149"/>
    <w:rsid w:val="00DF17BB"/>
    <w:rsid w:val="00DF1EE8"/>
    <w:rsid w:val="00DF2270"/>
    <w:rsid w:val="00DF514B"/>
    <w:rsid w:val="00DF5338"/>
    <w:rsid w:val="00E110C5"/>
    <w:rsid w:val="00E11244"/>
    <w:rsid w:val="00E1777D"/>
    <w:rsid w:val="00E2045F"/>
    <w:rsid w:val="00E20C43"/>
    <w:rsid w:val="00E212A1"/>
    <w:rsid w:val="00E22FD2"/>
    <w:rsid w:val="00E240A8"/>
    <w:rsid w:val="00E2414A"/>
    <w:rsid w:val="00E253CC"/>
    <w:rsid w:val="00E30FB7"/>
    <w:rsid w:val="00E330B8"/>
    <w:rsid w:val="00E332D4"/>
    <w:rsid w:val="00E34C68"/>
    <w:rsid w:val="00E37C7A"/>
    <w:rsid w:val="00E4194B"/>
    <w:rsid w:val="00E47CB6"/>
    <w:rsid w:val="00E50FF8"/>
    <w:rsid w:val="00E63923"/>
    <w:rsid w:val="00E66204"/>
    <w:rsid w:val="00E66256"/>
    <w:rsid w:val="00E70CB7"/>
    <w:rsid w:val="00E73D89"/>
    <w:rsid w:val="00E75C23"/>
    <w:rsid w:val="00E771CE"/>
    <w:rsid w:val="00E814F5"/>
    <w:rsid w:val="00E854DD"/>
    <w:rsid w:val="00E8720B"/>
    <w:rsid w:val="00E90864"/>
    <w:rsid w:val="00E960AA"/>
    <w:rsid w:val="00E97789"/>
    <w:rsid w:val="00EA6732"/>
    <w:rsid w:val="00EA719A"/>
    <w:rsid w:val="00EB0C2F"/>
    <w:rsid w:val="00EB4F39"/>
    <w:rsid w:val="00EB5B0B"/>
    <w:rsid w:val="00ED335E"/>
    <w:rsid w:val="00ED466F"/>
    <w:rsid w:val="00EE07B2"/>
    <w:rsid w:val="00EE3A01"/>
    <w:rsid w:val="00EE4F18"/>
    <w:rsid w:val="00EE683F"/>
    <w:rsid w:val="00EF5CA6"/>
    <w:rsid w:val="00F064BF"/>
    <w:rsid w:val="00F066BB"/>
    <w:rsid w:val="00F077E6"/>
    <w:rsid w:val="00F104FC"/>
    <w:rsid w:val="00F10A0E"/>
    <w:rsid w:val="00F13D33"/>
    <w:rsid w:val="00F142B2"/>
    <w:rsid w:val="00F21C05"/>
    <w:rsid w:val="00F24213"/>
    <w:rsid w:val="00F2487E"/>
    <w:rsid w:val="00F27769"/>
    <w:rsid w:val="00F30B92"/>
    <w:rsid w:val="00F33292"/>
    <w:rsid w:val="00F363DC"/>
    <w:rsid w:val="00F42FC1"/>
    <w:rsid w:val="00F43FAD"/>
    <w:rsid w:val="00F51E09"/>
    <w:rsid w:val="00F56B01"/>
    <w:rsid w:val="00F57B47"/>
    <w:rsid w:val="00F61EEC"/>
    <w:rsid w:val="00F6356C"/>
    <w:rsid w:val="00F644C8"/>
    <w:rsid w:val="00F64FB2"/>
    <w:rsid w:val="00F669E5"/>
    <w:rsid w:val="00F6765D"/>
    <w:rsid w:val="00F7254D"/>
    <w:rsid w:val="00F72553"/>
    <w:rsid w:val="00F74755"/>
    <w:rsid w:val="00F749A1"/>
    <w:rsid w:val="00F765F1"/>
    <w:rsid w:val="00F814AC"/>
    <w:rsid w:val="00F8510C"/>
    <w:rsid w:val="00F865E0"/>
    <w:rsid w:val="00F9289F"/>
    <w:rsid w:val="00F967D5"/>
    <w:rsid w:val="00FA524C"/>
    <w:rsid w:val="00FA5F98"/>
    <w:rsid w:val="00FB3BAA"/>
    <w:rsid w:val="00FB7250"/>
    <w:rsid w:val="00FB75A7"/>
    <w:rsid w:val="00FB7FB2"/>
    <w:rsid w:val="00FC35E0"/>
    <w:rsid w:val="00FC57AC"/>
    <w:rsid w:val="00FC5963"/>
    <w:rsid w:val="00FC5AE2"/>
    <w:rsid w:val="00FC7E62"/>
    <w:rsid w:val="00FD018D"/>
    <w:rsid w:val="00FD0872"/>
    <w:rsid w:val="00FD471A"/>
    <w:rsid w:val="00FE0489"/>
    <w:rsid w:val="00FE0E92"/>
    <w:rsid w:val="00FE198D"/>
    <w:rsid w:val="00FE686C"/>
    <w:rsid w:val="00FF45A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7EA7"/>
    <w:rPr>
      <w:color w:val="0563C1" w:themeColor="hyperlink"/>
      <w:u w:val="single"/>
    </w:rPr>
  </w:style>
  <w:style w:type="character" w:customStyle="1" w:styleId="UnresolvedMention">
    <w:name w:val="Unresolved Mention"/>
    <w:basedOn w:val="DefaultParagraphFont"/>
    <w:uiPriority w:val="99"/>
    <w:semiHidden/>
    <w:unhideWhenUsed/>
    <w:rsid w:val="00837EA7"/>
    <w:rPr>
      <w:color w:val="605E5C"/>
      <w:shd w:val="clear" w:color="auto" w:fill="E1DFDD"/>
    </w:rPr>
  </w:style>
  <w:style w:type="paragraph" w:styleId="Revision">
    <w:name w:val="Revision"/>
    <w:hidden/>
    <w:uiPriority w:val="99"/>
    <w:semiHidden/>
    <w:rsid w:val="00D7485C"/>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19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2:1014.A420144622.13.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3AFC0-1E23-495D-9C17-9744F20EE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2106</Words>
  <Characters>12009</Characters>
  <Application>Microsoft Office Word</Application>
  <DocSecurity>0</DocSecurity>
  <Lines>100</Lines>
  <Paragraphs>28</Paragraphs>
  <ScaleCrop>false</ScaleCrop>
  <Company/>
  <LinksUpToDate>false</LinksUpToDate>
  <CharactersWithSpaces>14087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2023-03-03T10:16:00Z</dcterms:created>
  <dcterms:modified xsi:type="dcterms:W3CDTF">2023-03-03T10:16:00Z</dcterms:modified>
</cp:coreProperties>
</file>