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E1C6B" w14:textId="6EC8F00D" w:rsidR="004D3789" w:rsidRDefault="00CE3374" w:rsidP="00CE3374">
      <w:pPr>
        <w:tabs>
          <w:tab w:val="left" w:pos="2977"/>
          <w:tab w:val="left" w:pos="3686"/>
        </w:tabs>
        <w:spacing w:line="276" w:lineRule="auto"/>
        <w:jc w:val="both"/>
        <w:rPr>
          <w:rFonts w:asciiTheme="majorBidi" w:hAnsiTheme="majorBidi" w:cstheme="majorBidi"/>
        </w:rPr>
      </w:pPr>
      <w:r w:rsidRPr="00CE3374">
        <w:rPr>
          <w:b/>
          <w:bCs/>
        </w:rPr>
        <w:t>2012. gada 13. decembra likuma „Grozījumi Krimināllikumā” Pārejas noteikumu 6. punkta piemērošana</w:t>
      </w:r>
    </w:p>
    <w:p w14:paraId="2DAE17D7" w14:textId="77777777" w:rsidR="00CE3374" w:rsidRPr="00CE3374" w:rsidRDefault="00CE3374" w:rsidP="00CE3374">
      <w:pPr>
        <w:tabs>
          <w:tab w:val="left" w:pos="2977"/>
          <w:tab w:val="left" w:pos="3686"/>
        </w:tabs>
        <w:spacing w:line="276" w:lineRule="auto"/>
        <w:jc w:val="both"/>
        <w:rPr>
          <w:rFonts w:asciiTheme="majorBidi" w:hAnsiTheme="majorBidi" w:cstheme="majorBidi"/>
        </w:rPr>
      </w:pPr>
    </w:p>
    <w:p w14:paraId="5D5BE956" w14:textId="77777777" w:rsidR="00CE3374" w:rsidRPr="00CE3374" w:rsidRDefault="004D3789" w:rsidP="00762C2B">
      <w:pPr>
        <w:spacing w:line="276" w:lineRule="auto"/>
        <w:jc w:val="center"/>
        <w:rPr>
          <w:b/>
        </w:rPr>
      </w:pPr>
      <w:r w:rsidRPr="00CE3374">
        <w:rPr>
          <w:b/>
        </w:rPr>
        <w:t>Latvijas Republikas Senāt</w:t>
      </w:r>
      <w:r w:rsidR="00CE3374" w:rsidRPr="00CE3374">
        <w:rPr>
          <w:b/>
        </w:rPr>
        <w:t>a</w:t>
      </w:r>
      <w:r w:rsidRPr="00CE3374">
        <w:rPr>
          <w:b/>
        </w:rPr>
        <w:t xml:space="preserve"> </w:t>
      </w:r>
    </w:p>
    <w:p w14:paraId="1C776761" w14:textId="77777777" w:rsidR="00CE3374" w:rsidRPr="00CE3374" w:rsidRDefault="00CE3374" w:rsidP="00762C2B">
      <w:pPr>
        <w:spacing w:line="276" w:lineRule="auto"/>
        <w:jc w:val="center"/>
        <w:rPr>
          <w:b/>
        </w:rPr>
      </w:pPr>
      <w:r w:rsidRPr="00CE3374">
        <w:rPr>
          <w:b/>
        </w:rPr>
        <w:t>Krimināllietu departamenta</w:t>
      </w:r>
    </w:p>
    <w:p w14:paraId="30D51BAD" w14:textId="574C12BB" w:rsidR="004D3789" w:rsidRPr="00CE3374" w:rsidRDefault="00CE3374" w:rsidP="00762C2B">
      <w:pPr>
        <w:spacing w:line="276" w:lineRule="auto"/>
        <w:jc w:val="center"/>
        <w:rPr>
          <w:b/>
        </w:rPr>
      </w:pPr>
      <w:r w:rsidRPr="00CE3374">
        <w:rPr>
          <w:b/>
        </w:rPr>
        <w:t>2023. gada 19. janvāra</w:t>
      </w:r>
    </w:p>
    <w:p w14:paraId="7A93776A" w14:textId="3A3F9CCD" w:rsidR="004D3789" w:rsidRPr="00CE3374" w:rsidRDefault="001D71C7" w:rsidP="001D71C7">
      <w:pPr>
        <w:spacing w:line="276" w:lineRule="auto"/>
        <w:jc w:val="center"/>
        <w:rPr>
          <w:b/>
        </w:rPr>
      </w:pPr>
      <w:r w:rsidRPr="00CE3374">
        <w:rPr>
          <w:b/>
        </w:rPr>
        <w:t>LĒMUMS</w:t>
      </w:r>
    </w:p>
    <w:p w14:paraId="065906DC" w14:textId="4D3230E8" w:rsidR="004D3789" w:rsidRPr="00CE3374" w:rsidRDefault="00CE3374" w:rsidP="00762C2B">
      <w:pPr>
        <w:spacing w:line="276" w:lineRule="auto"/>
        <w:jc w:val="center"/>
        <w:rPr>
          <w:b/>
        </w:rPr>
      </w:pPr>
      <w:r w:rsidRPr="00CE3374">
        <w:rPr>
          <w:b/>
        </w:rPr>
        <w:t>Lieta Nr. 11092031119, SKK</w:t>
      </w:r>
      <w:r w:rsidRPr="00CE3374">
        <w:rPr>
          <w:b/>
        </w:rPr>
        <w:noBreakHyphen/>
        <w:t>65/2023</w:t>
      </w:r>
    </w:p>
    <w:p w14:paraId="198B0A3A" w14:textId="5797B6D5" w:rsidR="00CE3374" w:rsidRPr="00CE3374" w:rsidRDefault="00266766" w:rsidP="00762C2B">
      <w:pPr>
        <w:spacing w:line="276" w:lineRule="auto"/>
        <w:jc w:val="center"/>
      </w:pPr>
      <w:hyperlink r:id="rId7" w:history="1">
        <w:r w:rsidR="00CE3374" w:rsidRPr="00CE3374">
          <w:rPr>
            <w:rStyle w:val="Hyperlink"/>
            <w:shd w:val="clear" w:color="auto" w:fill="FFFFFF"/>
          </w:rPr>
          <w:t>ECLI:LV:AT:2023:0119.11092031119.15.L</w:t>
        </w:r>
      </w:hyperlink>
    </w:p>
    <w:p w14:paraId="2068E863" w14:textId="77777777" w:rsidR="004D3789" w:rsidRPr="00CC769C" w:rsidRDefault="004D3789" w:rsidP="00762C2B">
      <w:pPr>
        <w:spacing w:line="276" w:lineRule="auto"/>
        <w:ind w:firstLine="567"/>
        <w:jc w:val="both"/>
        <w:rPr>
          <w:rFonts w:asciiTheme="majorBidi" w:hAnsiTheme="majorBidi" w:cstheme="majorBidi"/>
        </w:rPr>
      </w:pPr>
    </w:p>
    <w:p w14:paraId="73A7D5DC" w14:textId="67E65190" w:rsidR="004D3789" w:rsidRDefault="00F0635D" w:rsidP="00762C2B">
      <w:pPr>
        <w:spacing w:line="276" w:lineRule="auto"/>
        <w:ind w:firstLine="720"/>
        <w:jc w:val="both"/>
        <w:rPr>
          <w:rFonts w:asciiTheme="majorBidi" w:hAnsiTheme="majorBidi" w:cstheme="majorBidi"/>
        </w:rPr>
      </w:pPr>
      <w:r>
        <w:rPr>
          <w:rFonts w:asciiTheme="majorBidi" w:hAnsiTheme="majorBidi" w:cstheme="majorBidi"/>
        </w:rPr>
        <w:t>Senāts</w:t>
      </w:r>
      <w:r w:rsidR="004D3789">
        <w:rPr>
          <w:rFonts w:asciiTheme="majorBidi" w:hAnsiTheme="majorBidi" w:cstheme="majorBidi"/>
        </w:rPr>
        <w:t xml:space="preserve"> šādā sastāvā: senator</w:t>
      </w:r>
      <w:r w:rsidR="00B914AD">
        <w:rPr>
          <w:rFonts w:asciiTheme="majorBidi" w:hAnsiTheme="majorBidi" w:cstheme="majorBidi"/>
        </w:rPr>
        <w:t>s</w:t>
      </w:r>
      <w:r w:rsidR="004D3789">
        <w:rPr>
          <w:rFonts w:asciiTheme="majorBidi" w:hAnsiTheme="majorBidi" w:cstheme="majorBidi"/>
        </w:rPr>
        <w:t xml:space="preserve"> referents</w:t>
      </w:r>
      <w:r w:rsidR="004D3789" w:rsidRPr="00CC769C">
        <w:rPr>
          <w:rFonts w:asciiTheme="majorBidi" w:hAnsiTheme="majorBidi" w:cstheme="majorBidi"/>
        </w:rPr>
        <w:t xml:space="preserve"> </w:t>
      </w:r>
      <w:r w:rsidR="004D3789">
        <w:rPr>
          <w:rFonts w:asciiTheme="majorBidi" w:hAnsiTheme="majorBidi" w:cstheme="majorBidi"/>
        </w:rPr>
        <w:t>Artūrs Freibergs, senatori Sandra Kaija un Aivars Uminskis</w:t>
      </w:r>
    </w:p>
    <w:p w14:paraId="08C44619" w14:textId="77777777" w:rsidR="004D3789" w:rsidRDefault="004D3789" w:rsidP="00762C2B">
      <w:pPr>
        <w:spacing w:line="276" w:lineRule="auto"/>
        <w:ind w:firstLine="720"/>
        <w:jc w:val="both"/>
        <w:rPr>
          <w:rFonts w:asciiTheme="majorBidi" w:hAnsiTheme="majorBidi" w:cstheme="majorBidi"/>
        </w:rPr>
      </w:pPr>
    </w:p>
    <w:p w14:paraId="6CC1D338" w14:textId="1369AE40" w:rsidR="002E2885" w:rsidRDefault="004D3789" w:rsidP="00762C2B">
      <w:pPr>
        <w:spacing w:line="276" w:lineRule="auto"/>
        <w:ind w:firstLine="720"/>
        <w:jc w:val="both"/>
        <w:rPr>
          <w:rFonts w:asciiTheme="majorBidi" w:hAnsiTheme="majorBidi" w:cstheme="majorBidi"/>
        </w:rPr>
      </w:pPr>
      <w:r>
        <w:rPr>
          <w:rFonts w:asciiTheme="majorBidi" w:hAnsiTheme="majorBidi" w:cstheme="majorBidi"/>
        </w:rPr>
        <w:t>rakstveida procesā</w:t>
      </w:r>
      <w:r w:rsidR="00B914AD" w:rsidRPr="00B914AD">
        <w:rPr>
          <w:rFonts w:asciiTheme="majorBidi" w:hAnsiTheme="majorBidi" w:cstheme="majorBidi"/>
        </w:rPr>
        <w:t xml:space="preserve"> </w:t>
      </w:r>
      <w:r w:rsidR="00B914AD">
        <w:rPr>
          <w:rFonts w:asciiTheme="majorBidi" w:hAnsiTheme="majorBidi" w:cstheme="majorBidi"/>
        </w:rPr>
        <w:t>izskatīja</w:t>
      </w:r>
      <w:r>
        <w:rPr>
          <w:rFonts w:asciiTheme="majorBidi" w:hAnsiTheme="majorBidi" w:cstheme="majorBidi"/>
        </w:rPr>
        <w:t xml:space="preserve"> krimināllietu sakarā ar apsūdzētā </w:t>
      </w:r>
      <w:r w:rsidR="00CE3374">
        <w:rPr>
          <w:rFonts w:asciiTheme="majorBidi" w:hAnsiTheme="majorBidi" w:cstheme="majorBidi"/>
        </w:rPr>
        <w:t>[pers. A]</w:t>
      </w:r>
      <w:r>
        <w:rPr>
          <w:rFonts w:asciiTheme="majorBidi" w:hAnsiTheme="majorBidi" w:cstheme="majorBidi"/>
        </w:rPr>
        <w:t xml:space="preserve"> un viņa aizstāvja zvērināta advokāta </w:t>
      </w:r>
      <w:r w:rsidR="002E2885">
        <w:rPr>
          <w:rFonts w:asciiTheme="majorBidi" w:hAnsiTheme="majorBidi" w:cstheme="majorBidi"/>
        </w:rPr>
        <w:t>Modra Vitkovska kasācijas sūdzībām par Rīga</w:t>
      </w:r>
      <w:r w:rsidR="00762C2B">
        <w:rPr>
          <w:rFonts w:asciiTheme="majorBidi" w:hAnsiTheme="majorBidi" w:cstheme="majorBidi"/>
        </w:rPr>
        <w:t>s</w:t>
      </w:r>
      <w:r w:rsidR="002E2885">
        <w:rPr>
          <w:rFonts w:asciiTheme="majorBidi" w:hAnsiTheme="majorBidi" w:cstheme="majorBidi"/>
        </w:rPr>
        <w:t xml:space="preserve"> apgabaltiesas 2022. gada 7. jūlija spriedumu.</w:t>
      </w:r>
    </w:p>
    <w:p w14:paraId="62D0F6A4" w14:textId="77777777" w:rsidR="002E2885" w:rsidRDefault="002E2885" w:rsidP="00762C2B">
      <w:pPr>
        <w:spacing w:line="276" w:lineRule="auto"/>
        <w:ind w:firstLine="720"/>
        <w:jc w:val="both"/>
        <w:rPr>
          <w:rFonts w:asciiTheme="majorBidi" w:hAnsiTheme="majorBidi" w:cstheme="majorBidi"/>
        </w:rPr>
      </w:pPr>
    </w:p>
    <w:p w14:paraId="0592CF9E" w14:textId="77777777" w:rsidR="002E2885" w:rsidRDefault="002E2885" w:rsidP="00762C2B">
      <w:pPr>
        <w:spacing w:line="276" w:lineRule="auto"/>
        <w:jc w:val="center"/>
        <w:rPr>
          <w:rFonts w:asciiTheme="majorBidi" w:hAnsiTheme="majorBidi" w:cstheme="majorBidi"/>
          <w:b/>
        </w:rPr>
      </w:pPr>
      <w:r>
        <w:rPr>
          <w:rFonts w:asciiTheme="majorBidi" w:hAnsiTheme="majorBidi" w:cstheme="majorBidi"/>
          <w:b/>
        </w:rPr>
        <w:t>Aprakstošā daļa</w:t>
      </w:r>
    </w:p>
    <w:p w14:paraId="6C33924C" w14:textId="77777777" w:rsidR="002E2885" w:rsidRDefault="002E2885" w:rsidP="00762C2B">
      <w:pPr>
        <w:spacing w:line="276" w:lineRule="auto"/>
        <w:jc w:val="both"/>
        <w:rPr>
          <w:rFonts w:asciiTheme="majorBidi" w:hAnsiTheme="majorBidi" w:cstheme="majorBidi"/>
          <w:b/>
        </w:rPr>
      </w:pPr>
    </w:p>
    <w:p w14:paraId="11806CC4" w14:textId="1E1FA190" w:rsidR="002E2885" w:rsidRDefault="002E2885" w:rsidP="002E090B">
      <w:pPr>
        <w:spacing w:line="276" w:lineRule="auto"/>
        <w:ind w:firstLine="720"/>
        <w:jc w:val="both"/>
        <w:rPr>
          <w:rFonts w:asciiTheme="majorBidi" w:hAnsiTheme="majorBidi" w:cstheme="majorBidi"/>
        </w:rPr>
      </w:pPr>
      <w:r>
        <w:rPr>
          <w:rFonts w:asciiTheme="majorBidi" w:hAnsiTheme="majorBidi" w:cstheme="majorBidi"/>
        </w:rPr>
        <w:t>[1]</w:t>
      </w:r>
      <w:r w:rsidR="00C671B7">
        <w:rPr>
          <w:rFonts w:asciiTheme="majorBidi" w:hAnsiTheme="majorBidi" w:cstheme="majorBidi"/>
        </w:rPr>
        <w:t xml:space="preserve"> </w:t>
      </w:r>
      <w:r>
        <w:rPr>
          <w:rFonts w:asciiTheme="majorBidi" w:hAnsiTheme="majorBidi" w:cstheme="majorBidi"/>
        </w:rPr>
        <w:t xml:space="preserve">Ar Rīgas pilsētas Vidzemes priekšpilsētas tiesas 2021. gada 13. maija spriedumu </w:t>
      </w:r>
      <w:r w:rsidR="00CE3374">
        <w:rPr>
          <w:rFonts w:asciiTheme="majorBidi" w:hAnsiTheme="majorBidi" w:cstheme="majorBidi"/>
        </w:rPr>
        <w:t>[pers. A]</w:t>
      </w:r>
      <w:r w:rsidR="00F551F6">
        <w:rPr>
          <w:rFonts w:asciiTheme="majorBidi" w:hAnsiTheme="majorBidi" w:cstheme="majorBidi"/>
        </w:rPr>
        <w:t xml:space="preserve">, personas kods </w:t>
      </w:r>
      <w:r w:rsidR="00CE3374">
        <w:rPr>
          <w:rFonts w:asciiTheme="majorBidi" w:hAnsiTheme="majorBidi" w:cstheme="majorBidi"/>
        </w:rPr>
        <w:t>[..]</w:t>
      </w:r>
      <w:r w:rsidR="00F551F6">
        <w:rPr>
          <w:rFonts w:asciiTheme="majorBidi" w:hAnsiTheme="majorBidi" w:cstheme="majorBidi"/>
        </w:rPr>
        <w:t>,</w:t>
      </w:r>
      <w:r>
        <w:rPr>
          <w:rFonts w:asciiTheme="majorBidi" w:hAnsiTheme="majorBidi" w:cstheme="majorBidi"/>
        </w:rPr>
        <w:t xml:space="preserve"> atzīts par vainīgu piec</w:t>
      </w:r>
      <w:r w:rsidR="00D370E1">
        <w:rPr>
          <w:rFonts w:asciiTheme="majorBidi" w:hAnsiTheme="majorBidi" w:cstheme="majorBidi"/>
        </w:rPr>
        <w:t>os</w:t>
      </w:r>
      <w:r>
        <w:rPr>
          <w:rFonts w:asciiTheme="majorBidi" w:hAnsiTheme="majorBidi" w:cstheme="majorBidi"/>
        </w:rPr>
        <w:t xml:space="preserve"> Krimināllikuma 175. panta trešajā daļā un div</w:t>
      </w:r>
      <w:r w:rsidR="00D370E1">
        <w:rPr>
          <w:rFonts w:asciiTheme="majorBidi" w:hAnsiTheme="majorBidi" w:cstheme="majorBidi"/>
        </w:rPr>
        <w:t>os</w:t>
      </w:r>
      <w:r>
        <w:rPr>
          <w:rFonts w:asciiTheme="majorBidi" w:hAnsiTheme="majorBidi" w:cstheme="majorBidi"/>
        </w:rPr>
        <w:t xml:space="preserve"> Krimināllikuma 185. panta </w:t>
      </w:r>
      <w:r w:rsidR="002E090B">
        <w:rPr>
          <w:rFonts w:asciiTheme="majorBidi" w:hAnsiTheme="majorBidi" w:cstheme="majorBidi"/>
        </w:rPr>
        <w:t>pirmajā</w:t>
      </w:r>
      <w:r>
        <w:rPr>
          <w:rFonts w:asciiTheme="majorBidi" w:hAnsiTheme="majorBidi" w:cstheme="majorBidi"/>
        </w:rPr>
        <w:t xml:space="preserve"> daļā paredzēt</w:t>
      </w:r>
      <w:r w:rsidR="00D370E1">
        <w:rPr>
          <w:rFonts w:asciiTheme="majorBidi" w:hAnsiTheme="majorBidi" w:cstheme="majorBidi"/>
        </w:rPr>
        <w:t>ajos</w:t>
      </w:r>
      <w:r>
        <w:rPr>
          <w:rFonts w:asciiTheme="majorBidi" w:hAnsiTheme="majorBidi" w:cstheme="majorBidi"/>
        </w:rPr>
        <w:t xml:space="preserve"> noziedzīg</w:t>
      </w:r>
      <w:r w:rsidR="00D370E1">
        <w:rPr>
          <w:rFonts w:asciiTheme="majorBidi" w:hAnsiTheme="majorBidi" w:cstheme="majorBidi"/>
        </w:rPr>
        <w:t>ajos</w:t>
      </w:r>
      <w:r>
        <w:rPr>
          <w:rFonts w:asciiTheme="majorBidi" w:hAnsiTheme="majorBidi" w:cstheme="majorBidi"/>
        </w:rPr>
        <w:t xml:space="preserve"> nodarījum</w:t>
      </w:r>
      <w:r w:rsidR="00D370E1">
        <w:rPr>
          <w:rFonts w:asciiTheme="majorBidi" w:hAnsiTheme="majorBidi" w:cstheme="majorBidi"/>
        </w:rPr>
        <w:t>os</w:t>
      </w:r>
      <w:r>
        <w:rPr>
          <w:rFonts w:asciiTheme="majorBidi" w:hAnsiTheme="majorBidi" w:cstheme="majorBidi"/>
        </w:rPr>
        <w:t xml:space="preserve">. Saskaņā ar Krimināllikuma 50. panta pirmo un trešo daļu </w:t>
      </w:r>
      <w:r w:rsidR="00636015">
        <w:rPr>
          <w:rFonts w:asciiTheme="majorBidi" w:hAnsiTheme="majorBidi" w:cstheme="majorBidi"/>
        </w:rPr>
        <w:t>[pers. A]</w:t>
      </w:r>
      <w:r>
        <w:rPr>
          <w:rFonts w:asciiTheme="majorBidi" w:hAnsiTheme="majorBidi" w:cstheme="majorBidi"/>
        </w:rPr>
        <w:t xml:space="preserve"> noteikt</w:t>
      </w:r>
      <w:r w:rsidR="00F20051">
        <w:rPr>
          <w:rFonts w:asciiTheme="majorBidi" w:hAnsiTheme="majorBidi" w:cstheme="majorBidi"/>
        </w:rPr>
        <w:t>s</w:t>
      </w:r>
      <w:r w:rsidR="00042DAC" w:rsidRPr="00042DAC">
        <w:rPr>
          <w:rFonts w:asciiTheme="majorBidi" w:hAnsiTheme="majorBidi" w:cstheme="majorBidi"/>
        </w:rPr>
        <w:t xml:space="preserve"> </w:t>
      </w:r>
      <w:r w:rsidR="00042DAC">
        <w:rPr>
          <w:rFonts w:asciiTheme="majorBidi" w:hAnsiTheme="majorBidi" w:cstheme="majorBidi"/>
        </w:rPr>
        <w:t>galīgais sods</w:t>
      </w:r>
      <w:r>
        <w:rPr>
          <w:rFonts w:asciiTheme="majorBidi" w:hAnsiTheme="majorBidi" w:cstheme="majorBidi"/>
        </w:rPr>
        <w:t xml:space="preserve"> brīvības atņemšana uz 5 gadiem 6 mēnešiem.</w:t>
      </w:r>
    </w:p>
    <w:p w14:paraId="06D95820" w14:textId="37609F87" w:rsidR="002E2885" w:rsidRDefault="002E2885" w:rsidP="002E090B">
      <w:pPr>
        <w:spacing w:line="276" w:lineRule="auto"/>
        <w:ind w:firstLine="720"/>
        <w:jc w:val="both"/>
        <w:rPr>
          <w:rFonts w:asciiTheme="majorBidi" w:hAnsiTheme="majorBidi" w:cstheme="majorBidi"/>
        </w:rPr>
      </w:pPr>
      <w:r>
        <w:rPr>
          <w:rFonts w:asciiTheme="majorBidi" w:hAnsiTheme="majorBidi" w:cstheme="majorBidi"/>
        </w:rPr>
        <w:t>Drošības līdzeklis – apcietinājums – atstāts negrozīts.</w:t>
      </w:r>
    </w:p>
    <w:p w14:paraId="5DE1B81A" w14:textId="77777777" w:rsidR="002E090B" w:rsidRDefault="002E090B" w:rsidP="00762C2B">
      <w:pPr>
        <w:spacing w:line="276" w:lineRule="auto"/>
        <w:jc w:val="both"/>
        <w:rPr>
          <w:rFonts w:asciiTheme="majorBidi" w:hAnsiTheme="majorBidi" w:cstheme="majorBidi"/>
        </w:rPr>
      </w:pPr>
    </w:p>
    <w:p w14:paraId="0603E7B8" w14:textId="0B3D86F9" w:rsidR="00F0635D" w:rsidRDefault="00F0635D" w:rsidP="002E090B">
      <w:pPr>
        <w:spacing w:line="276" w:lineRule="auto"/>
        <w:ind w:firstLine="720"/>
        <w:jc w:val="both"/>
        <w:rPr>
          <w:rFonts w:asciiTheme="majorBidi" w:hAnsiTheme="majorBidi" w:cstheme="majorBidi"/>
        </w:rPr>
      </w:pPr>
      <w:r>
        <w:rPr>
          <w:rFonts w:asciiTheme="majorBidi" w:hAnsiTheme="majorBidi" w:cstheme="majorBidi"/>
        </w:rPr>
        <w:t xml:space="preserve">[2] Ar Rīgas pilsētas Vidzemes priekšpilsētas tiesas 2021. gada 13. maija spriedumu </w:t>
      </w:r>
      <w:r w:rsidR="00636015">
        <w:rPr>
          <w:rFonts w:asciiTheme="majorBidi" w:hAnsiTheme="majorBidi" w:cstheme="majorBidi"/>
        </w:rPr>
        <w:t>[pers. A]</w:t>
      </w:r>
      <w:r>
        <w:rPr>
          <w:rFonts w:asciiTheme="majorBidi" w:hAnsiTheme="majorBidi" w:cstheme="majorBidi"/>
        </w:rPr>
        <w:t xml:space="preserve"> atzīts par vainīgu un sodīts par piecu zādzību, iekļūstot transportlīdzeklī, izdarīšanu 2012. gada 13. janvārī, 2019. gada 22. martā, 2020. gada 4. aprīlī, 2020. gada 28. aprīlī, 2020. gada 19. maijā. </w:t>
      </w:r>
      <w:bookmarkStart w:id="0" w:name="_Hlk123563031"/>
      <w:r>
        <w:rPr>
          <w:rFonts w:asciiTheme="majorBidi" w:hAnsiTheme="majorBidi" w:cstheme="majorBidi"/>
        </w:rPr>
        <w:t xml:space="preserve">Turklāt </w:t>
      </w:r>
      <w:r w:rsidR="00636015">
        <w:rPr>
          <w:rFonts w:asciiTheme="majorBidi" w:hAnsiTheme="majorBidi" w:cstheme="majorBidi"/>
        </w:rPr>
        <w:t>[pers. A]</w:t>
      </w:r>
      <w:r>
        <w:rPr>
          <w:rFonts w:asciiTheme="majorBidi" w:hAnsiTheme="majorBidi" w:cstheme="majorBidi"/>
        </w:rPr>
        <w:t xml:space="preserve"> atzīts par vainīgu un sodīts par diviem noziedzīgajiem nodarījumiem – svešas mantas tīšu bojāšanu</w:t>
      </w:r>
      <w:r w:rsidR="00525100">
        <w:rPr>
          <w:rFonts w:asciiTheme="majorBidi" w:hAnsiTheme="majorBidi" w:cstheme="majorBidi"/>
        </w:rPr>
        <w:t xml:space="preserve"> –</w:t>
      </w:r>
      <w:r>
        <w:rPr>
          <w:rFonts w:asciiTheme="majorBidi" w:hAnsiTheme="majorBidi" w:cstheme="majorBidi"/>
        </w:rPr>
        <w:t>, kas izdarīt</w:t>
      </w:r>
      <w:r w:rsidR="00D7589D">
        <w:rPr>
          <w:rFonts w:asciiTheme="majorBidi" w:hAnsiTheme="majorBidi" w:cstheme="majorBidi"/>
        </w:rPr>
        <w:t>i</w:t>
      </w:r>
      <w:r>
        <w:rPr>
          <w:rFonts w:asciiTheme="majorBidi" w:hAnsiTheme="majorBidi" w:cstheme="majorBidi"/>
        </w:rPr>
        <w:t xml:space="preserve"> 2019. gada 22. martā un 2020. gada 28. aprīlī.</w:t>
      </w:r>
      <w:bookmarkEnd w:id="0"/>
    </w:p>
    <w:p w14:paraId="6B62091C" w14:textId="77777777" w:rsidR="002E090B" w:rsidRDefault="002E090B" w:rsidP="00762C2B">
      <w:pPr>
        <w:spacing w:line="276" w:lineRule="auto"/>
        <w:jc w:val="both"/>
        <w:rPr>
          <w:rFonts w:asciiTheme="majorBidi" w:hAnsiTheme="majorBidi" w:cstheme="majorBidi"/>
        </w:rPr>
      </w:pPr>
    </w:p>
    <w:p w14:paraId="505A08DF" w14:textId="3C47A507" w:rsidR="00F20051" w:rsidRDefault="00F0635D" w:rsidP="002E090B">
      <w:pPr>
        <w:spacing w:line="276" w:lineRule="auto"/>
        <w:ind w:firstLine="720"/>
        <w:jc w:val="both"/>
        <w:rPr>
          <w:rFonts w:asciiTheme="majorBidi" w:hAnsiTheme="majorBidi" w:cstheme="majorBidi"/>
        </w:rPr>
      </w:pPr>
      <w:r>
        <w:rPr>
          <w:rFonts w:asciiTheme="majorBidi" w:hAnsiTheme="majorBidi" w:cstheme="majorBidi"/>
        </w:rPr>
        <w:t xml:space="preserve">[3] Ar Rīgas apgabaltiesas 2022. gada 7. jūlija spriedumu, iztiesājot lietu sakarā ar apsūdzētā </w:t>
      </w:r>
      <w:r w:rsidR="00636015">
        <w:rPr>
          <w:rFonts w:asciiTheme="majorBidi" w:hAnsiTheme="majorBidi" w:cstheme="majorBidi"/>
        </w:rPr>
        <w:t>[pers. A]</w:t>
      </w:r>
      <w:r>
        <w:rPr>
          <w:rFonts w:asciiTheme="majorBidi" w:hAnsiTheme="majorBidi" w:cstheme="majorBidi"/>
        </w:rPr>
        <w:t xml:space="preserve"> un viņa aizstāvja M. Vitkovska apelācijas sūdzībām, Rīgas pilsētas Vidzemes priekšpilsētas tiesas 2021. gada 13. maija spriedums atcelts daļā par </w:t>
      </w:r>
      <w:r w:rsidR="00636015">
        <w:rPr>
          <w:rFonts w:asciiTheme="majorBidi" w:hAnsiTheme="majorBidi" w:cstheme="majorBidi"/>
        </w:rPr>
        <w:t>[pers. A]</w:t>
      </w:r>
      <w:r>
        <w:rPr>
          <w:rFonts w:asciiTheme="majorBidi" w:hAnsiTheme="majorBidi" w:cstheme="majorBidi"/>
        </w:rPr>
        <w:t xml:space="preserve"> atzīšanu </w:t>
      </w:r>
      <w:r w:rsidR="006C7EDA">
        <w:rPr>
          <w:rFonts w:asciiTheme="majorBidi" w:hAnsiTheme="majorBidi" w:cstheme="majorBidi"/>
        </w:rPr>
        <w:t>par vainīgu</w:t>
      </w:r>
      <w:r w:rsidR="00B914AD" w:rsidRPr="00B914AD">
        <w:rPr>
          <w:rFonts w:asciiTheme="majorBidi" w:hAnsiTheme="majorBidi" w:cstheme="majorBidi"/>
        </w:rPr>
        <w:t xml:space="preserve"> </w:t>
      </w:r>
      <w:r w:rsidR="00B914AD">
        <w:rPr>
          <w:rFonts w:asciiTheme="majorBidi" w:hAnsiTheme="majorBidi" w:cstheme="majorBidi"/>
        </w:rPr>
        <w:t>un sodīšanu</w:t>
      </w:r>
      <w:r w:rsidR="006C7EDA">
        <w:rPr>
          <w:rFonts w:asciiTheme="majorBidi" w:hAnsiTheme="majorBidi" w:cstheme="majorBidi"/>
        </w:rPr>
        <w:t xml:space="preserve"> pēc Krimināllikuma 175. panta trešās daļas (</w:t>
      </w:r>
      <w:r w:rsidR="00B914AD">
        <w:rPr>
          <w:rFonts w:asciiTheme="majorBidi" w:hAnsiTheme="majorBidi" w:cstheme="majorBidi"/>
        </w:rPr>
        <w:t>izdarīts</w:t>
      </w:r>
      <w:r w:rsidR="006C7EDA">
        <w:rPr>
          <w:rFonts w:asciiTheme="majorBidi" w:hAnsiTheme="majorBidi" w:cstheme="majorBidi"/>
        </w:rPr>
        <w:t xml:space="preserve"> 2019. gada 22. martā</w:t>
      </w:r>
      <w:r w:rsidR="00B914AD">
        <w:rPr>
          <w:rFonts w:asciiTheme="majorBidi" w:hAnsiTheme="majorBidi" w:cstheme="majorBidi"/>
        </w:rPr>
        <w:t>)</w:t>
      </w:r>
      <w:r w:rsidR="006C7EDA">
        <w:rPr>
          <w:rFonts w:asciiTheme="majorBidi" w:hAnsiTheme="majorBidi" w:cstheme="majorBidi"/>
        </w:rPr>
        <w:t xml:space="preserve"> un par galīgā soda noteikšanu </w:t>
      </w:r>
      <w:r w:rsidR="00B914AD">
        <w:rPr>
          <w:rFonts w:asciiTheme="majorBidi" w:hAnsiTheme="majorBidi" w:cstheme="majorBidi"/>
        </w:rPr>
        <w:t>saskaņā ar</w:t>
      </w:r>
      <w:r w:rsidR="006C7EDA">
        <w:rPr>
          <w:rFonts w:asciiTheme="majorBidi" w:hAnsiTheme="majorBidi" w:cstheme="majorBidi"/>
        </w:rPr>
        <w:t xml:space="preserve"> Krimināllikuma 50. panta pirm</w:t>
      </w:r>
      <w:r w:rsidR="00B914AD">
        <w:rPr>
          <w:rFonts w:asciiTheme="majorBidi" w:hAnsiTheme="majorBidi" w:cstheme="majorBidi"/>
        </w:rPr>
        <w:t>o</w:t>
      </w:r>
      <w:r w:rsidR="006C7EDA">
        <w:rPr>
          <w:rFonts w:asciiTheme="majorBidi" w:hAnsiTheme="majorBidi" w:cstheme="majorBidi"/>
        </w:rPr>
        <w:t xml:space="preserve"> un treš</w:t>
      </w:r>
      <w:r w:rsidR="00B914AD">
        <w:rPr>
          <w:rFonts w:asciiTheme="majorBidi" w:hAnsiTheme="majorBidi" w:cstheme="majorBidi"/>
        </w:rPr>
        <w:t>o</w:t>
      </w:r>
      <w:r w:rsidR="006C7EDA">
        <w:rPr>
          <w:rFonts w:asciiTheme="majorBidi" w:hAnsiTheme="majorBidi" w:cstheme="majorBidi"/>
        </w:rPr>
        <w:t xml:space="preserve"> daļ</w:t>
      </w:r>
      <w:r w:rsidR="00B914AD">
        <w:rPr>
          <w:rFonts w:asciiTheme="majorBidi" w:hAnsiTheme="majorBidi" w:cstheme="majorBidi"/>
        </w:rPr>
        <w:t>u</w:t>
      </w:r>
      <w:r w:rsidR="006C7EDA">
        <w:rPr>
          <w:rFonts w:asciiTheme="majorBidi" w:hAnsiTheme="majorBidi" w:cstheme="majorBidi"/>
        </w:rPr>
        <w:t>.</w:t>
      </w:r>
      <w:r w:rsidR="00F20051" w:rsidRPr="00F20051">
        <w:rPr>
          <w:rFonts w:asciiTheme="majorBidi" w:hAnsiTheme="majorBidi" w:cstheme="majorBidi"/>
        </w:rPr>
        <w:t xml:space="preserve"> </w:t>
      </w:r>
      <w:r w:rsidR="00F20051">
        <w:rPr>
          <w:rFonts w:asciiTheme="majorBidi" w:hAnsiTheme="majorBidi" w:cstheme="majorBidi"/>
        </w:rPr>
        <w:t>Pēc Krimināllikuma 175. panta trešās daļas (izdarīts 2019. gada 22. martā)</w:t>
      </w:r>
      <w:r w:rsidR="00F20051" w:rsidRPr="00F20051">
        <w:rPr>
          <w:rFonts w:asciiTheme="majorBidi" w:hAnsiTheme="majorBidi" w:cstheme="majorBidi"/>
        </w:rPr>
        <w:t xml:space="preserve"> </w:t>
      </w:r>
      <w:r w:rsidR="00636015">
        <w:rPr>
          <w:rFonts w:asciiTheme="majorBidi" w:hAnsiTheme="majorBidi" w:cstheme="majorBidi"/>
        </w:rPr>
        <w:t>[pers. A]</w:t>
      </w:r>
      <w:r w:rsidR="00F20051">
        <w:rPr>
          <w:rFonts w:asciiTheme="majorBidi" w:hAnsiTheme="majorBidi" w:cstheme="majorBidi"/>
        </w:rPr>
        <w:t xml:space="preserve"> sodīts ar brīvības atņemšanu uz 1 gadu 6 mēnešiem. Saskaņā ar Krimināllikuma 50.</w:t>
      </w:r>
      <w:r w:rsidR="00AF1EDA">
        <w:rPr>
          <w:rFonts w:asciiTheme="majorBidi" w:hAnsiTheme="majorBidi" w:cstheme="majorBidi"/>
        </w:rPr>
        <w:t> </w:t>
      </w:r>
      <w:r w:rsidR="00F20051">
        <w:rPr>
          <w:rFonts w:asciiTheme="majorBidi" w:hAnsiTheme="majorBidi" w:cstheme="majorBidi"/>
        </w:rPr>
        <w:t>panta pirmo un trešo daļu galīgais sods noteikts brīvības atņemšana uz 5 gadiem 6 mēnešiem.</w:t>
      </w:r>
    </w:p>
    <w:p w14:paraId="14EA824E" w14:textId="471C5714" w:rsidR="006C7EDA" w:rsidRDefault="006C7EDA" w:rsidP="002E090B">
      <w:pPr>
        <w:spacing w:line="276" w:lineRule="auto"/>
        <w:ind w:firstLine="720"/>
        <w:jc w:val="both"/>
        <w:rPr>
          <w:rFonts w:asciiTheme="majorBidi" w:hAnsiTheme="majorBidi" w:cstheme="majorBidi"/>
        </w:rPr>
      </w:pPr>
      <w:r>
        <w:rPr>
          <w:rFonts w:asciiTheme="majorBidi" w:hAnsiTheme="majorBidi" w:cstheme="majorBidi"/>
        </w:rPr>
        <w:lastRenderedPageBreak/>
        <w:t>Pārējā daļā pirmās instances tiesas spriedums atstāts negrozīts.</w:t>
      </w:r>
    </w:p>
    <w:p w14:paraId="0395AAB4" w14:textId="77777777" w:rsidR="006C7EDA" w:rsidRDefault="006C7EDA" w:rsidP="00762C2B">
      <w:pPr>
        <w:spacing w:line="276" w:lineRule="auto"/>
        <w:jc w:val="both"/>
        <w:rPr>
          <w:rFonts w:asciiTheme="majorBidi" w:hAnsiTheme="majorBidi" w:cstheme="majorBidi"/>
        </w:rPr>
      </w:pPr>
    </w:p>
    <w:p w14:paraId="1FC26FFE" w14:textId="3EAB5085" w:rsidR="006C7EDA" w:rsidRDefault="006C7EDA" w:rsidP="002E090B">
      <w:pPr>
        <w:spacing w:line="276" w:lineRule="auto"/>
        <w:ind w:firstLine="720"/>
        <w:jc w:val="both"/>
      </w:pPr>
      <w:r>
        <w:rPr>
          <w:rFonts w:asciiTheme="majorBidi" w:hAnsiTheme="majorBidi" w:cstheme="majorBidi"/>
        </w:rPr>
        <w:t xml:space="preserve">[4] Par Rīgas apgabaltiesas 2022. gada 7. jūlija spriedumu apsūdzētais </w:t>
      </w:r>
      <w:r w:rsidR="00636015">
        <w:rPr>
          <w:rFonts w:asciiTheme="majorBidi" w:hAnsiTheme="majorBidi" w:cstheme="majorBidi"/>
        </w:rPr>
        <w:t>[pers. A]</w:t>
      </w:r>
      <w:r>
        <w:rPr>
          <w:rFonts w:asciiTheme="majorBidi" w:hAnsiTheme="majorBidi" w:cstheme="majorBidi"/>
        </w:rPr>
        <w:t xml:space="preserve"> </w:t>
      </w:r>
      <w:r w:rsidR="006D1E0A">
        <w:rPr>
          <w:rFonts w:asciiTheme="majorBidi" w:hAnsiTheme="majorBidi" w:cstheme="majorBidi"/>
        </w:rPr>
        <w:t xml:space="preserve">un viņa aizstāvis </w:t>
      </w:r>
      <w:r w:rsidR="00F20051">
        <w:rPr>
          <w:rFonts w:asciiTheme="majorBidi" w:hAnsiTheme="majorBidi" w:cstheme="majorBidi"/>
        </w:rPr>
        <w:t>M.</w:t>
      </w:r>
      <w:r w:rsidR="00DF06F1">
        <w:rPr>
          <w:rFonts w:asciiTheme="majorBidi" w:hAnsiTheme="majorBidi" w:cstheme="majorBidi"/>
        </w:rPr>
        <w:t> </w:t>
      </w:r>
      <w:r w:rsidR="00F20051">
        <w:rPr>
          <w:rFonts w:asciiTheme="majorBidi" w:hAnsiTheme="majorBidi" w:cstheme="majorBidi"/>
        </w:rPr>
        <w:t xml:space="preserve">Vitkovskis </w:t>
      </w:r>
      <w:r>
        <w:rPr>
          <w:rFonts w:asciiTheme="majorBidi" w:hAnsiTheme="majorBidi" w:cstheme="majorBidi"/>
        </w:rPr>
        <w:t>iesnie</w:t>
      </w:r>
      <w:r w:rsidR="001A4981">
        <w:rPr>
          <w:rFonts w:asciiTheme="majorBidi" w:hAnsiTheme="majorBidi" w:cstheme="majorBidi"/>
        </w:rPr>
        <w:t>guši</w:t>
      </w:r>
      <w:r>
        <w:rPr>
          <w:rFonts w:asciiTheme="majorBidi" w:hAnsiTheme="majorBidi" w:cstheme="majorBidi"/>
        </w:rPr>
        <w:t xml:space="preserve"> </w:t>
      </w:r>
      <w:r w:rsidR="00B51A20">
        <w:rPr>
          <w:rFonts w:asciiTheme="majorBidi" w:hAnsiTheme="majorBidi" w:cstheme="majorBidi"/>
        </w:rPr>
        <w:t xml:space="preserve">pēc sava satura vienādas </w:t>
      </w:r>
      <w:r>
        <w:rPr>
          <w:rFonts w:asciiTheme="majorBidi" w:hAnsiTheme="majorBidi" w:cstheme="majorBidi"/>
        </w:rPr>
        <w:t>kasācijas sūdzīb</w:t>
      </w:r>
      <w:r w:rsidR="001A4981">
        <w:rPr>
          <w:rFonts w:asciiTheme="majorBidi" w:hAnsiTheme="majorBidi" w:cstheme="majorBidi"/>
        </w:rPr>
        <w:t>as</w:t>
      </w:r>
      <w:r>
        <w:rPr>
          <w:rFonts w:asciiTheme="majorBidi" w:hAnsiTheme="majorBidi" w:cstheme="majorBidi"/>
        </w:rPr>
        <w:t>, kurā</w:t>
      </w:r>
      <w:r w:rsidR="001A4981">
        <w:rPr>
          <w:rFonts w:asciiTheme="majorBidi" w:hAnsiTheme="majorBidi" w:cstheme="majorBidi"/>
        </w:rPr>
        <w:t>s</w:t>
      </w:r>
      <w:r>
        <w:rPr>
          <w:rFonts w:asciiTheme="majorBidi" w:hAnsiTheme="majorBidi" w:cstheme="majorBidi"/>
        </w:rPr>
        <w:t xml:space="preserve"> lūdz atcelt apelācijas instances tiesas spriedumu daļā par</w:t>
      </w:r>
      <w:r w:rsidR="001A4981">
        <w:rPr>
          <w:rFonts w:asciiTheme="majorBidi" w:hAnsiTheme="majorBidi" w:cstheme="majorBidi"/>
        </w:rPr>
        <w:t xml:space="preserve"> </w:t>
      </w:r>
      <w:r w:rsidR="00636015">
        <w:rPr>
          <w:rFonts w:asciiTheme="majorBidi" w:hAnsiTheme="majorBidi" w:cstheme="majorBidi"/>
        </w:rPr>
        <w:t>[pers. A]</w:t>
      </w:r>
      <w:r>
        <w:rPr>
          <w:rFonts w:asciiTheme="majorBidi" w:hAnsiTheme="majorBidi" w:cstheme="majorBidi"/>
        </w:rPr>
        <w:t xml:space="preserve"> atzīšanu par vainīgu</w:t>
      </w:r>
      <w:r w:rsidR="00BF5F92">
        <w:rPr>
          <w:rFonts w:asciiTheme="majorBidi" w:hAnsiTheme="majorBidi" w:cstheme="majorBidi"/>
        </w:rPr>
        <w:t xml:space="preserve"> un sodīšanu</w:t>
      </w:r>
      <w:r>
        <w:rPr>
          <w:rFonts w:asciiTheme="majorBidi" w:hAnsiTheme="majorBidi" w:cstheme="majorBidi"/>
        </w:rPr>
        <w:t xml:space="preserve"> pēc Krimināllikuma 175. panta trešās daļas (</w:t>
      </w:r>
      <w:r w:rsidR="001A4981">
        <w:rPr>
          <w:rFonts w:asciiTheme="majorBidi" w:hAnsiTheme="majorBidi" w:cstheme="majorBidi"/>
        </w:rPr>
        <w:t>izdarīts</w:t>
      </w:r>
      <w:r>
        <w:rPr>
          <w:rFonts w:asciiTheme="majorBidi" w:hAnsiTheme="majorBidi" w:cstheme="majorBidi"/>
        </w:rPr>
        <w:t xml:space="preserve"> 2012. gada 13.</w:t>
      </w:r>
      <w:r>
        <w:t> janvārī)</w:t>
      </w:r>
      <w:r w:rsidR="00BF5F92">
        <w:t xml:space="preserve"> un</w:t>
      </w:r>
      <w:r>
        <w:t xml:space="preserve"> par aizturēšanā un apcietinājumā pavadītā laika ieskaitīšanu brīvības atņemšanas soda izciešanas termiņā</w:t>
      </w:r>
      <w:r w:rsidR="00BF5F92">
        <w:t xml:space="preserve">. Kasācijas sūdzībās lūgts lietu </w:t>
      </w:r>
      <w:r w:rsidR="001A4981">
        <w:t xml:space="preserve">atceltajā daļā </w:t>
      </w:r>
      <w:r>
        <w:t xml:space="preserve">nosūtīt jaunai izskatīšanai apelācijas instances tiesā. </w:t>
      </w:r>
    </w:p>
    <w:p w14:paraId="014F2A62" w14:textId="6C986449" w:rsidR="006C7EDA" w:rsidRDefault="006C7EDA" w:rsidP="00762C2B">
      <w:pPr>
        <w:spacing w:line="276" w:lineRule="auto"/>
        <w:ind w:firstLine="720"/>
        <w:jc w:val="both"/>
      </w:pPr>
      <w:r>
        <w:t>Kasācijas sūdzībā</w:t>
      </w:r>
      <w:r w:rsidR="001A4981">
        <w:t>s</w:t>
      </w:r>
      <w:r>
        <w:t xml:space="preserve"> ietverts lūgums izskatīt lietu mutvārdu procesā.</w:t>
      </w:r>
    </w:p>
    <w:p w14:paraId="5519B38A" w14:textId="0795B913" w:rsidR="006C7EDA" w:rsidRDefault="006C7EDA" w:rsidP="00762C2B">
      <w:pPr>
        <w:spacing w:line="276" w:lineRule="auto"/>
        <w:ind w:firstLine="720"/>
        <w:jc w:val="both"/>
      </w:pPr>
      <w:r>
        <w:t>[4.1]</w:t>
      </w:r>
      <w:r w:rsidR="00BF5F92">
        <w:t xml:space="preserve"> </w:t>
      </w:r>
      <w:r w:rsidR="00514777">
        <w:t>Apelācijas instances tiesa pieļāvusi Kriminālprocesa likuma 19. panta trešās daļas pārkāpumu, jo, vērtējot pierādījumus, visas šaubas</w:t>
      </w:r>
      <w:r w:rsidR="00832EFA">
        <w:t xml:space="preserve"> par inkriminēto zādzību no automašīnas </w:t>
      </w:r>
      <w:r w:rsidR="00832EFA">
        <w:rPr>
          <w:rFonts w:asciiTheme="majorBidi" w:hAnsiTheme="majorBidi" w:cstheme="majorBidi"/>
        </w:rPr>
        <w:t>2012. gada 13.</w:t>
      </w:r>
      <w:r w:rsidR="00832EFA">
        <w:t> janvārī</w:t>
      </w:r>
      <w:r w:rsidR="00514777">
        <w:t xml:space="preserve"> nav tulkojusi par labu apsūdzētajam. </w:t>
      </w:r>
      <w:r w:rsidR="00CE3F61">
        <w:t>N</w:t>
      </w:r>
      <w:r w:rsidR="00405B30">
        <w:t>osakot sodu pēc Krimināllikuma 175. panta trešās daļas par</w:t>
      </w:r>
      <w:r w:rsidR="00BF5F92">
        <w:t xml:space="preserve"> 2012. gada 13. janvārī izdarīto</w:t>
      </w:r>
      <w:r w:rsidR="00405B30">
        <w:t xml:space="preserve"> noziedzīgo nodarījumu, </w:t>
      </w:r>
      <w:r w:rsidR="00CE3F61">
        <w:t xml:space="preserve">tiesa </w:t>
      </w:r>
      <w:r w:rsidR="00405B30">
        <w:t>nav ņēmusi vērā grozījumus Krimināllikumā, tādējādi pieļau</w:t>
      </w:r>
      <w:r w:rsidR="00BF5F92">
        <w:t>jo</w:t>
      </w:r>
      <w:r w:rsidR="00405B30">
        <w:t>t Kriminālprocesa likuma 574.</w:t>
      </w:r>
      <w:r w:rsidR="00624116">
        <w:t> </w:t>
      </w:r>
      <w:r w:rsidR="00405B30">
        <w:t>pant</w:t>
      </w:r>
      <w:r w:rsidR="00832EFA">
        <w:t>a 2. punktā</w:t>
      </w:r>
      <w:r w:rsidR="00F20051">
        <w:t xml:space="preserve"> norādīt</w:t>
      </w:r>
      <w:r w:rsidR="00BF5F92">
        <w:t>o</w:t>
      </w:r>
      <w:r w:rsidR="00F20051">
        <w:t xml:space="preserve"> Krimināllikuma</w:t>
      </w:r>
      <w:r w:rsidR="00405B30">
        <w:t xml:space="preserve"> pārkāpum</w:t>
      </w:r>
      <w:r w:rsidR="00BF5F92">
        <w:t>u</w:t>
      </w:r>
      <w:r w:rsidR="00405B30">
        <w:t>.</w:t>
      </w:r>
    </w:p>
    <w:p w14:paraId="46D8CDF0" w14:textId="60789C24" w:rsidR="00405B30" w:rsidRDefault="00405B30" w:rsidP="00762C2B">
      <w:pPr>
        <w:spacing w:line="276" w:lineRule="auto"/>
        <w:ind w:firstLine="720"/>
        <w:jc w:val="both"/>
      </w:pPr>
      <w:r>
        <w:t>[4.</w:t>
      </w:r>
      <w:r w:rsidR="00514777">
        <w:t>2</w:t>
      </w:r>
      <w:r w:rsidR="00042DAC">
        <w:t>]</w:t>
      </w:r>
      <w:r>
        <w:t xml:space="preserve"> </w:t>
      </w:r>
      <w:r w:rsidR="00685B9A">
        <w:t>Apelācijas instances tiesa sašaurināti tulkojusi Krimināllikuma 49.</w:t>
      </w:r>
      <w:r w:rsidR="00685B9A">
        <w:rPr>
          <w:vertAlign w:val="superscript"/>
        </w:rPr>
        <w:t>1 </w:t>
      </w:r>
      <w:r w:rsidR="00685B9A">
        <w:t>panta pirmās daļas 1. punktu un nav to ņēmusi vērā, nosakot sodu par 2012. gada 13. janvārī izdarīto noziedzīgo nodarījumu.</w:t>
      </w:r>
    </w:p>
    <w:p w14:paraId="06615857" w14:textId="0FA67BF9" w:rsidR="00E654FD" w:rsidRPr="00E654FD" w:rsidRDefault="00E654FD" w:rsidP="00762C2B">
      <w:pPr>
        <w:spacing w:line="276" w:lineRule="auto"/>
        <w:ind w:firstLine="720"/>
        <w:jc w:val="both"/>
      </w:pPr>
      <w:r>
        <w:t>[4.</w:t>
      </w:r>
      <w:r w:rsidR="00514777">
        <w:t>3</w:t>
      </w:r>
      <w:r>
        <w:t xml:space="preserve">] </w:t>
      </w:r>
      <w:r w:rsidR="00636015">
        <w:t>[Pers. A]</w:t>
      </w:r>
      <w:r w:rsidR="00685B9A">
        <w:t xml:space="preserve"> brīvības atņemšanas soda izciešanas termiņā ieskaitīts apcietinājumā pavadītais laiks no 2020. gada 23. maija līdz 2021. gada 13. maijam</w:t>
      </w:r>
      <w:r w:rsidR="00E82EA0">
        <w:t>, proti, līdz pirmās instances tiesas sprieduma taisīšanas dienai</w:t>
      </w:r>
      <w:r w:rsidR="00685B9A">
        <w:t>. Apcietinājumā viņš atrodas arī pēc 2021. gada 13. maija, bet šis laiks nepamatoti nav ieskaitīts brīvības atņemšanas soda izciešanas termiņā, tādējādi pārkāpjot Krimināllikuma 52. panta piektās daļas prasības.</w:t>
      </w:r>
    </w:p>
    <w:p w14:paraId="5F86C783" w14:textId="77777777" w:rsidR="006D1E0A" w:rsidRDefault="006D1E0A" w:rsidP="00762C2B">
      <w:pPr>
        <w:spacing w:line="276" w:lineRule="auto"/>
        <w:ind w:firstLine="720"/>
        <w:jc w:val="center"/>
      </w:pPr>
    </w:p>
    <w:p w14:paraId="50A0D87C" w14:textId="77777777" w:rsidR="006D1E0A" w:rsidRDefault="006D1E0A" w:rsidP="00762C2B">
      <w:pPr>
        <w:spacing w:line="276" w:lineRule="auto"/>
        <w:jc w:val="center"/>
        <w:rPr>
          <w:b/>
        </w:rPr>
      </w:pPr>
      <w:r w:rsidRPr="006D1E0A">
        <w:rPr>
          <w:b/>
        </w:rPr>
        <w:t>Motīvu daļa</w:t>
      </w:r>
    </w:p>
    <w:p w14:paraId="5BABD699" w14:textId="77777777" w:rsidR="002E090B" w:rsidRDefault="002E090B" w:rsidP="00762C2B">
      <w:pPr>
        <w:spacing w:line="276" w:lineRule="auto"/>
        <w:jc w:val="both"/>
      </w:pPr>
    </w:p>
    <w:p w14:paraId="23893C34" w14:textId="6AA1A072" w:rsidR="002E090B" w:rsidRDefault="006D1E0A" w:rsidP="002E090B">
      <w:pPr>
        <w:spacing w:line="276" w:lineRule="auto"/>
        <w:ind w:firstLine="709"/>
        <w:jc w:val="both"/>
      </w:pPr>
      <w:r w:rsidRPr="00042DAC">
        <w:t xml:space="preserve">[5] Senāts atzīst, ka apsūdzētā </w:t>
      </w:r>
      <w:r w:rsidR="00636015">
        <w:t>[pers. A]</w:t>
      </w:r>
      <w:r w:rsidRPr="00042DAC">
        <w:t xml:space="preserve"> un viņa aizstāvja M. Vitkovska lūgums par lietas izskatīšanu mutvārdu procesā noraidāms. </w:t>
      </w:r>
    </w:p>
    <w:p w14:paraId="7ECB4A01" w14:textId="7091C6EC" w:rsidR="002E090B" w:rsidRDefault="006D1E0A" w:rsidP="002E090B">
      <w:pPr>
        <w:spacing w:line="276" w:lineRule="auto"/>
        <w:ind w:firstLine="709"/>
        <w:jc w:val="both"/>
      </w:pPr>
      <w:r w:rsidRPr="00042DAC">
        <w:t>Saskaņā ar Kriminālprocesa likuma 583. panta otro daļu lietas izskatīšanu rakstveida procesā nosaka, ja iespējams pieņemt lēmumu pēc lietā esošajiem materiāliem. Ja nepieciešami papildu paskaidrojumi no personām, kurām ir tiesības piedalīties procesā, vai Augstākās tiesas ieskatā attiecīgajai lietai var būt īpaša nozīme likuma normu interpretēšanā, nosaka lietas izskatīšanu tiesas sēdē.</w:t>
      </w:r>
    </w:p>
    <w:p w14:paraId="3597506E" w14:textId="58EFB3A3" w:rsidR="006D1E0A" w:rsidRPr="00042DAC" w:rsidRDefault="006D1E0A" w:rsidP="002E090B">
      <w:pPr>
        <w:spacing w:line="276" w:lineRule="auto"/>
        <w:ind w:firstLine="709"/>
        <w:jc w:val="both"/>
      </w:pPr>
      <w:r w:rsidRPr="00042DAC">
        <w:t>Senāts atzīst, ka lieta izskatāma rakstveida procesā, jo lēmumu iespējams pieņemt pēc lietā esošajiem materiāliem. Papildu paskaidrojumi no personām, kurām ir tiesības piedalīties procesā, nav nepieciešami, un konkrētai lietai nav īpašas nozīmes likuma normu interpretēšanā.</w:t>
      </w:r>
    </w:p>
    <w:p w14:paraId="08F56D4C" w14:textId="77777777" w:rsidR="006D1E0A" w:rsidRPr="00042DAC" w:rsidRDefault="006D1E0A" w:rsidP="00762C2B">
      <w:pPr>
        <w:spacing w:line="276" w:lineRule="auto"/>
        <w:jc w:val="both"/>
      </w:pPr>
    </w:p>
    <w:p w14:paraId="4A6EAE36" w14:textId="624C98A7" w:rsidR="006D1E0A" w:rsidRPr="00042DAC" w:rsidRDefault="006D1E0A" w:rsidP="002E090B">
      <w:pPr>
        <w:spacing w:line="276" w:lineRule="auto"/>
        <w:ind w:firstLine="709"/>
        <w:jc w:val="both"/>
      </w:pPr>
      <w:r w:rsidRPr="00042DAC">
        <w:t xml:space="preserve">[6] </w:t>
      </w:r>
      <w:r w:rsidR="001A25AC" w:rsidRPr="00042DAC">
        <w:t>Senāts konstatē, ka kasācijas instances tiesas kompetencē</w:t>
      </w:r>
      <w:r w:rsidR="00851A33" w:rsidRPr="00042DAC">
        <w:t xml:space="preserve"> </w:t>
      </w:r>
      <w:r w:rsidR="001A25AC" w:rsidRPr="00042DAC">
        <w:t>ir sniegt atbildi</w:t>
      </w:r>
      <w:r w:rsidR="00851A33" w:rsidRPr="00042DAC">
        <w:t xml:space="preserve">: 1) vai apelācijas instances tiesa, nosakot sodu pēc Krimināllikuma 175. panta trešās daļas par noziedzīgo nodarījumu, kas izdarīts 2012. gada 13. janvārī, nav pieļāvusi Kriminālprocesa </w:t>
      </w:r>
      <w:r w:rsidR="00851A33" w:rsidRPr="00042DAC">
        <w:lastRenderedPageBreak/>
        <w:t>likuma 574.</w:t>
      </w:r>
      <w:r w:rsidR="00624116">
        <w:t> </w:t>
      </w:r>
      <w:r w:rsidR="00851A33" w:rsidRPr="00042DAC">
        <w:t>pantā norādīto Krimināllikuma pārkāpumu; 2) vai lietā</w:t>
      </w:r>
      <w:r w:rsidR="001A25AC" w:rsidRPr="00042DAC">
        <w:t xml:space="preserve"> </w:t>
      </w:r>
      <w:r w:rsidR="00851A33" w:rsidRPr="00042DAC">
        <w:t>nav konstatējams tiesību uz kriminālprocesa pabeigšanu saprātīgā termiņā pārkāpums.</w:t>
      </w:r>
    </w:p>
    <w:p w14:paraId="4F12F4A7" w14:textId="29264777" w:rsidR="002E090B" w:rsidRDefault="00CE778A" w:rsidP="002E090B">
      <w:pPr>
        <w:spacing w:line="276" w:lineRule="auto"/>
        <w:ind w:firstLine="709"/>
        <w:jc w:val="both"/>
      </w:pPr>
      <w:r w:rsidRPr="00042DAC">
        <w:t>[6.1] Krimināllikuma</w:t>
      </w:r>
      <w:r w:rsidR="00685B9A">
        <w:t xml:space="preserve"> </w:t>
      </w:r>
      <w:r w:rsidR="00685B9A" w:rsidRPr="00042DAC">
        <w:t>175. panta trešās daļas</w:t>
      </w:r>
      <w:r w:rsidRPr="00042DAC">
        <w:t xml:space="preserve"> redakcijā, kas bija spēkā</w:t>
      </w:r>
      <w:r w:rsidR="00851A33" w:rsidRPr="00042DAC">
        <w:t xml:space="preserve"> </w:t>
      </w:r>
      <w:r w:rsidR="00381DC0" w:rsidRPr="00042DAC">
        <w:t xml:space="preserve">apsūdzētajam </w:t>
      </w:r>
      <w:r w:rsidR="00636015">
        <w:t>[pers. A]</w:t>
      </w:r>
      <w:r w:rsidRPr="00042DAC">
        <w:t xml:space="preserve"> inkriminētā noziedzīgā nodarījuma</w:t>
      </w:r>
      <w:r w:rsidR="00381DC0" w:rsidRPr="00042DAC">
        <w:t xml:space="preserve"> izdarīšanas</w:t>
      </w:r>
      <w:r w:rsidRPr="00042DAC">
        <w:t xml:space="preserve"> laikā – 2012.</w:t>
      </w:r>
      <w:r w:rsidR="002B7EBD">
        <w:t> </w:t>
      </w:r>
      <w:r w:rsidRPr="00042DAC">
        <w:t>gada 13. janvārī</w:t>
      </w:r>
      <w:r w:rsidR="001A4981" w:rsidRPr="00042DAC">
        <w:t xml:space="preserve"> –</w:t>
      </w:r>
      <w:r w:rsidRPr="00042DAC">
        <w:t xml:space="preserve"> noteikts, ka par zādzību, ja tā izdarīta, iekļūstot dzīvoklī vai citā telpā, vai ja tā</w:t>
      </w:r>
      <w:proofErr w:type="gramStart"/>
      <w:r w:rsidR="00BE142C">
        <w:t xml:space="preserve"> </w:t>
      </w:r>
      <w:r w:rsidRPr="00042DAC">
        <w:t>izdarīta no glabātavas</w:t>
      </w:r>
      <w:proofErr w:type="gramEnd"/>
      <w:r w:rsidRPr="00042DAC">
        <w:t>, ietaises, kas savieno glabātavas, vai transportlīdzekļa soda ar brīvības atņemšanu uz laiku līdz desmit gadiem, konfiscējot mantu vai bez mantas konfiskācijas.</w:t>
      </w:r>
    </w:p>
    <w:p w14:paraId="362D8FAF" w14:textId="2E102CA4" w:rsidR="002E090B" w:rsidRDefault="000E08A8" w:rsidP="002E090B">
      <w:pPr>
        <w:spacing w:line="276" w:lineRule="auto"/>
        <w:ind w:firstLine="709"/>
        <w:jc w:val="both"/>
      </w:pPr>
      <w:r w:rsidRPr="00042DAC">
        <w:t xml:space="preserve">Ar 2012. gada 13. decembra likumu </w:t>
      </w:r>
      <w:r w:rsidR="001A4981" w:rsidRPr="00042DAC">
        <w:t>„</w:t>
      </w:r>
      <w:r w:rsidRPr="00042DAC">
        <w:t>Grozījumi Krimināllikumā</w:t>
      </w:r>
      <w:r w:rsidR="001A4981" w:rsidRPr="00042DAC">
        <w:t>”</w:t>
      </w:r>
      <w:r w:rsidRPr="00042DAC">
        <w:t xml:space="preserve">, kas stājās spēkā 2013. gada 1. aprīlī, grozīta Krimināllikuma 175. panta trešās daļas sankcija, nosakot, ka par </w:t>
      </w:r>
      <w:r w:rsidR="00685B9A">
        <w:t>minēto</w:t>
      </w:r>
      <w:r w:rsidRPr="00042DAC">
        <w:t xml:space="preserve"> noziedzīgo nodarījumu soda ar brīvības atņemšanu </w:t>
      </w:r>
      <w:r w:rsidR="001A4981" w:rsidRPr="00042DAC">
        <w:t xml:space="preserve">uz laiku </w:t>
      </w:r>
      <w:r w:rsidRPr="00042DAC">
        <w:t>līdz pieciem gadiem vai ar īslaicīgu brīvības atņemšanu, vai ar piespiedu darbu, vai ar naudas sodu, konfiscējot mantu vai bez mantas konfiskācijas.</w:t>
      </w:r>
    </w:p>
    <w:p w14:paraId="59F6B32D" w14:textId="2C2F85D2" w:rsidR="001B6587" w:rsidRPr="00042DAC" w:rsidRDefault="000E08A8" w:rsidP="002E090B">
      <w:pPr>
        <w:pStyle w:val="tv213"/>
        <w:shd w:val="clear" w:color="auto" w:fill="FFFFFF"/>
        <w:spacing w:before="0" w:beforeAutospacing="0" w:after="0" w:afterAutospacing="0" w:line="276" w:lineRule="auto"/>
        <w:ind w:firstLine="709"/>
        <w:jc w:val="both"/>
      </w:pPr>
      <w:r w:rsidRPr="00042DAC">
        <w:t>Tādējādi</w:t>
      </w:r>
      <w:r w:rsidR="00381DC0" w:rsidRPr="00042DAC">
        <w:t xml:space="preserve"> konstatējams, ka</w:t>
      </w:r>
      <w:r w:rsidRPr="00042DAC">
        <w:t xml:space="preserve"> Krimināllikuma 175. panta trešās daļas redakcija, kas stājās spēkā 2013. gada 1. aprīlī</w:t>
      </w:r>
      <w:r w:rsidR="00381DC0" w:rsidRPr="00042DAC">
        <w:t>,</w:t>
      </w:r>
      <w:r w:rsidRPr="00042DAC">
        <w:t xml:space="preserve"> paredz</w:t>
      </w:r>
      <w:r w:rsidR="001B6587" w:rsidRPr="00042DAC">
        <w:t>ē</w:t>
      </w:r>
      <w:r w:rsidR="003316B5" w:rsidRPr="00042DAC">
        <w:t>ja</w:t>
      </w:r>
      <w:r w:rsidRPr="00042DAC">
        <w:t xml:space="preserve"> zemāku minimālo brīvības atņemšanas soda robežu.</w:t>
      </w:r>
      <w:r w:rsidR="001B6587" w:rsidRPr="00042DAC">
        <w:t xml:space="preserve"> 2012. gada 13. decembra likuma „Grozījumi Krimināllikumā” pārejas noteikumu 6.</w:t>
      </w:r>
      <w:r w:rsidR="00AF4899">
        <w:t> </w:t>
      </w:r>
      <w:r w:rsidR="001B6587" w:rsidRPr="00042DAC">
        <w:t>punkts noteic, ka gadījumā, ja par attiecīgo noziedzīgo nodarījumu Krimināllikumā pēc šā likuma spēkā stāšanās dienas paredzēta zemāka brīvības atņemšanas soda minimālā robeža, tiesa to ņem vērā, nosakot brīvības atņemšanas sodu.</w:t>
      </w:r>
    </w:p>
    <w:p w14:paraId="075F21A9" w14:textId="3647212C" w:rsidR="000E79B2" w:rsidRPr="00042DAC" w:rsidRDefault="001B6587" w:rsidP="00762C2B">
      <w:pPr>
        <w:shd w:val="clear" w:color="auto" w:fill="FFFFFF"/>
        <w:spacing w:line="276" w:lineRule="auto"/>
        <w:ind w:right="5" w:firstLine="720"/>
        <w:jc w:val="both"/>
      </w:pPr>
      <w:r w:rsidRPr="00042DAC">
        <w:t>Senāts norāda, ka likuma „Grozījumi Krimināllikumā” pārejas noteikumu 6.</w:t>
      </w:r>
      <w:r w:rsidR="00AF4899">
        <w:t> </w:t>
      </w:r>
      <w:r w:rsidRPr="00042DAC">
        <w:t>punkts ir imperatīva tiesību norma un tiesai tā obligāti jāpiemēro ikreiz, kad par attiecīgo noziedzīgo nodarījumu Krimināllikumā pēc šā likuma spēkā stāšanās dienas paredzēta zemāka brīvības atņemšanas soda minimālā robeža.</w:t>
      </w:r>
      <w:r w:rsidR="000E79B2" w:rsidRPr="000E79B2">
        <w:t xml:space="preserve"> </w:t>
      </w:r>
      <w:bookmarkStart w:id="1" w:name="_Hlk124754809"/>
      <w:r w:rsidR="000E79B2">
        <w:t xml:space="preserve">To, ka minētā norma ir ar </w:t>
      </w:r>
      <w:r w:rsidR="000E79B2" w:rsidRPr="00042DAC">
        <w:rPr>
          <w:spacing w:val="-1"/>
        </w:rPr>
        <w:t>imperatīv</w:t>
      </w:r>
      <w:r w:rsidR="000E79B2">
        <w:rPr>
          <w:spacing w:val="-1"/>
        </w:rPr>
        <w:t>u raksturu, Senāts norādījis arī iepriekš</w:t>
      </w:r>
      <w:r w:rsidR="000E79B2" w:rsidRPr="00042DAC">
        <w:t xml:space="preserve"> (</w:t>
      </w:r>
      <w:r w:rsidR="00B05C61">
        <w:rPr>
          <w:i/>
          <w:iCs/>
        </w:rPr>
        <w:t xml:space="preserve">Senāta </w:t>
      </w:r>
      <w:r w:rsidR="000E79B2" w:rsidRPr="00042DAC">
        <w:rPr>
          <w:i/>
          <w:iCs/>
        </w:rPr>
        <w:t>2013.</w:t>
      </w:r>
      <w:r w:rsidR="00AF4899">
        <w:rPr>
          <w:i/>
          <w:iCs/>
        </w:rPr>
        <w:t> </w:t>
      </w:r>
      <w:r w:rsidR="000E79B2" w:rsidRPr="00042DAC">
        <w:rPr>
          <w:i/>
          <w:iCs/>
        </w:rPr>
        <w:t>gada 29.</w:t>
      </w:r>
      <w:r w:rsidR="00AF4899">
        <w:rPr>
          <w:i/>
          <w:iCs/>
        </w:rPr>
        <w:t> </w:t>
      </w:r>
      <w:r w:rsidR="000E79B2" w:rsidRPr="00042DAC">
        <w:rPr>
          <w:i/>
          <w:iCs/>
        </w:rPr>
        <w:t>augusta lēmums lietā Nr.</w:t>
      </w:r>
      <w:r w:rsidR="00A27CD1">
        <w:rPr>
          <w:i/>
          <w:iCs/>
        </w:rPr>
        <w:t> </w:t>
      </w:r>
      <w:hyperlink r:id="rId8" w:history="1">
        <w:r w:rsidR="000E79B2" w:rsidRPr="0088738F">
          <w:rPr>
            <w:rStyle w:val="Hyperlink"/>
            <w:i/>
            <w:iCs/>
          </w:rPr>
          <w:t>SKK</w:t>
        </w:r>
        <w:r w:rsidR="00D370E1" w:rsidRPr="0088738F">
          <w:rPr>
            <w:rStyle w:val="Hyperlink"/>
            <w:i/>
            <w:iCs/>
          </w:rPr>
          <w:noBreakHyphen/>
        </w:r>
        <w:r w:rsidR="000E79B2" w:rsidRPr="0088738F">
          <w:rPr>
            <w:rStyle w:val="Hyperlink"/>
            <w:i/>
            <w:iCs/>
          </w:rPr>
          <w:t>589/2013</w:t>
        </w:r>
      </w:hyperlink>
      <w:r w:rsidR="00A27CD1">
        <w:rPr>
          <w:i/>
          <w:iCs/>
        </w:rPr>
        <w:t>,</w:t>
      </w:r>
      <w:r w:rsidR="008175B9" w:rsidRPr="008175B9">
        <w:rPr>
          <w:rFonts w:ascii="Helvetica" w:hAnsi="Helvetica"/>
          <w:color w:val="000000"/>
          <w:sz w:val="20"/>
          <w:szCs w:val="20"/>
          <w:shd w:val="clear" w:color="auto" w:fill="FFFFFF"/>
        </w:rPr>
        <w:t xml:space="preserve"> </w:t>
      </w:r>
      <w:r w:rsidR="008175B9" w:rsidRPr="008175B9">
        <w:rPr>
          <w:i/>
          <w:iCs/>
        </w:rPr>
        <w:t>11096265212</w:t>
      </w:r>
      <w:r w:rsidR="000E79B2" w:rsidRPr="008175B9">
        <w:t>)</w:t>
      </w:r>
      <w:r w:rsidR="000E79B2" w:rsidRPr="00042DAC">
        <w:rPr>
          <w:i/>
          <w:iCs/>
        </w:rPr>
        <w:t>.</w:t>
      </w:r>
    </w:p>
    <w:p w14:paraId="7E281E40" w14:textId="5975065F" w:rsidR="001B6587" w:rsidRPr="00042DAC" w:rsidRDefault="001B6587" w:rsidP="00762C2B">
      <w:pPr>
        <w:shd w:val="clear" w:color="auto" w:fill="FFFFFF"/>
        <w:spacing w:line="276" w:lineRule="auto"/>
        <w:ind w:right="5" w:firstLine="720"/>
        <w:jc w:val="both"/>
      </w:pPr>
      <w:bookmarkStart w:id="2" w:name="_Hlk123222941"/>
      <w:bookmarkEnd w:id="1"/>
      <w:r w:rsidRPr="00042DAC">
        <w:t>Pirmās instances tiesa lietu iztiesājusi</w:t>
      </w:r>
      <w:r w:rsidR="006B6AF3" w:rsidRPr="00042DAC">
        <w:t xml:space="preserve"> </w:t>
      </w:r>
      <w:r w:rsidR="006B6AF3" w:rsidRPr="00042DAC">
        <w:rPr>
          <w:rFonts w:asciiTheme="majorBidi" w:hAnsiTheme="majorBidi" w:cstheme="majorBidi"/>
        </w:rPr>
        <w:t>2021. gada 13. maij</w:t>
      </w:r>
      <w:r w:rsidR="000E79B2">
        <w:rPr>
          <w:rFonts w:asciiTheme="majorBidi" w:hAnsiTheme="majorBidi" w:cstheme="majorBidi"/>
        </w:rPr>
        <w:t>ā. Tiesa</w:t>
      </w:r>
      <w:r w:rsidR="006B6AF3" w:rsidRPr="00042DAC">
        <w:rPr>
          <w:rFonts w:asciiTheme="majorBidi" w:hAnsiTheme="majorBidi" w:cstheme="majorBidi"/>
        </w:rPr>
        <w:t xml:space="preserve">, nosakot sodu par noziegumu, kas izdarīts </w:t>
      </w:r>
      <w:r w:rsidR="006B6AF3" w:rsidRPr="00042DAC">
        <w:t>2012.</w:t>
      </w:r>
      <w:r w:rsidR="00AF4899">
        <w:t> </w:t>
      </w:r>
      <w:r w:rsidR="006B6AF3" w:rsidRPr="00042DAC">
        <w:t>gada 13. janvārī,</w:t>
      </w:r>
      <w:r w:rsidR="006B6AF3" w:rsidRPr="00042DAC">
        <w:rPr>
          <w:rFonts w:asciiTheme="majorBidi" w:hAnsiTheme="majorBidi" w:cstheme="majorBidi"/>
        </w:rPr>
        <w:t xml:space="preserve"> nav piemērojusi </w:t>
      </w:r>
      <w:r w:rsidR="006B6AF3" w:rsidRPr="00042DAC">
        <w:t>pārejas noteikumu 6.</w:t>
      </w:r>
      <w:r w:rsidR="00AF4899">
        <w:t> </w:t>
      </w:r>
      <w:r w:rsidR="006B6AF3" w:rsidRPr="00042DAC">
        <w:t>punkta nosacījumus, tos nav piemērojusi arī a</w:t>
      </w:r>
      <w:r w:rsidRPr="00042DAC">
        <w:t>pelācijas instances tiesa</w:t>
      </w:r>
      <w:r w:rsidR="006B6AF3" w:rsidRPr="00042DAC">
        <w:t>.</w:t>
      </w:r>
    </w:p>
    <w:p w14:paraId="224B94B3" w14:textId="740A2810" w:rsidR="002E090B" w:rsidRDefault="000E79B2" w:rsidP="002E090B">
      <w:pPr>
        <w:shd w:val="clear" w:color="auto" w:fill="FFFFFF"/>
        <w:spacing w:line="276" w:lineRule="auto"/>
        <w:ind w:firstLine="720"/>
        <w:jc w:val="both"/>
      </w:pPr>
      <w:bookmarkStart w:id="3" w:name="_Hlk124754684"/>
      <w:bookmarkEnd w:id="2"/>
      <w:r>
        <w:t>Tādējādi n</w:t>
      </w:r>
      <w:r w:rsidR="00AA6739" w:rsidRPr="00042DAC">
        <w:t>edz pirmās instances</w:t>
      </w:r>
      <w:r w:rsidR="003802F9">
        <w:t xml:space="preserve"> tiesa</w:t>
      </w:r>
      <w:r w:rsidR="00AA6739" w:rsidRPr="00042DAC">
        <w:t>, nedz apelācijas instances tiesa</w:t>
      </w:r>
      <w:r w:rsidR="00685B9A" w:rsidRPr="00685B9A">
        <w:t xml:space="preserve"> </w:t>
      </w:r>
      <w:r w:rsidR="00685B9A" w:rsidRPr="00042DAC">
        <w:t>nav izpildīju</w:t>
      </w:r>
      <w:r w:rsidR="00685B9A">
        <w:t>šas</w:t>
      </w:r>
      <w:r w:rsidR="00AA6739" w:rsidRPr="00042DAC">
        <w:t xml:space="preserve"> likuma prasības</w:t>
      </w:r>
      <w:r w:rsidR="007C5C9D">
        <w:t xml:space="preserve">. Minētais </w:t>
      </w:r>
      <w:r w:rsidR="00BF1232" w:rsidRPr="00042DAC">
        <w:t xml:space="preserve">atzīstams par Kriminālprocesa likuma 574. panta </w:t>
      </w:r>
      <w:r w:rsidR="007D5C4F">
        <w:t>1</w:t>
      </w:r>
      <w:r w:rsidR="00BF1232" w:rsidRPr="00042DAC">
        <w:t>. punkt</w:t>
      </w:r>
      <w:r w:rsidR="007C5C9D">
        <w:t>ā norādīto Krimināllikuma</w:t>
      </w:r>
      <w:r w:rsidR="00BF1232" w:rsidRPr="00042DAC">
        <w:t xml:space="preserve"> pārkāpumu</w:t>
      </w:r>
      <w:proofErr w:type="gramStart"/>
      <w:r w:rsidR="00BF1232" w:rsidRPr="00042DAC">
        <w:t xml:space="preserve"> un</w:t>
      </w:r>
      <w:proofErr w:type="gramEnd"/>
      <w:r w:rsidR="00BF1232" w:rsidRPr="00042DAC">
        <w:t xml:space="preserve"> ir pamats Rīgas apgabaltiesas 2022. gada 7. jūlija sprieduma atcelšanai daļā par </w:t>
      </w:r>
      <w:r w:rsidR="00636015">
        <w:t>[pers. A]</w:t>
      </w:r>
      <w:r w:rsidR="007C5C9D" w:rsidRPr="007C5C9D">
        <w:t xml:space="preserve"> </w:t>
      </w:r>
      <w:r w:rsidR="007C5C9D">
        <w:t>noteikto sodu</w:t>
      </w:r>
      <w:r w:rsidR="00BF1232" w:rsidRPr="00042DAC">
        <w:t xml:space="preserve"> pēc Krimināllikuma 175. panta trešās daļas (</w:t>
      </w:r>
      <w:r w:rsidR="002D15E1" w:rsidRPr="00042DAC">
        <w:t>izdarīts</w:t>
      </w:r>
      <w:r w:rsidR="00BF1232" w:rsidRPr="00042DAC">
        <w:t xml:space="preserve"> 2012. gada 13. janvārī)</w:t>
      </w:r>
      <w:r w:rsidR="002D15E1" w:rsidRPr="00042DAC">
        <w:t>.</w:t>
      </w:r>
    </w:p>
    <w:bookmarkEnd w:id="3"/>
    <w:p w14:paraId="29E90C6E" w14:textId="371296C8" w:rsidR="002E090B" w:rsidRDefault="002D15E1" w:rsidP="002E090B">
      <w:pPr>
        <w:pStyle w:val="tv213"/>
        <w:shd w:val="clear" w:color="auto" w:fill="FFFFFF"/>
        <w:spacing w:before="0" w:beforeAutospacing="0" w:after="0" w:afterAutospacing="0" w:line="276" w:lineRule="auto"/>
        <w:ind w:firstLine="709"/>
        <w:jc w:val="both"/>
      </w:pPr>
      <w:r w:rsidRPr="00042DAC">
        <w:t>Tiesas spriedums atceļams arī</w:t>
      </w:r>
      <w:r w:rsidR="007C5C9D">
        <w:t xml:space="preserve"> daļā</w:t>
      </w:r>
      <w:r w:rsidRPr="00042DAC">
        <w:t xml:space="preserve"> par</w:t>
      </w:r>
      <w:r w:rsidR="00685B9A">
        <w:t xml:space="preserve"> galīgo sodu, kas noteikts</w:t>
      </w:r>
      <w:r w:rsidRPr="00042DAC">
        <w:t xml:space="preserve"> </w:t>
      </w:r>
      <w:r w:rsidR="00685B9A" w:rsidRPr="00042DAC">
        <w:t>saskaņā ar Krimināllikuma 50.</w:t>
      </w:r>
      <w:r w:rsidR="00685B9A">
        <w:t> </w:t>
      </w:r>
      <w:r w:rsidR="00685B9A" w:rsidRPr="00042DAC">
        <w:t>panta pirmo un trešo daļu</w:t>
      </w:r>
      <w:r w:rsidR="00BF1232" w:rsidRPr="00042DAC">
        <w:t>.</w:t>
      </w:r>
    </w:p>
    <w:p w14:paraId="2AFF66DF" w14:textId="678F7C61" w:rsidR="002D15E1" w:rsidRPr="00CE1672" w:rsidRDefault="00BF1232" w:rsidP="009F1600">
      <w:pPr>
        <w:pStyle w:val="tv213"/>
        <w:shd w:val="clear" w:color="auto" w:fill="FFFFFF"/>
        <w:spacing w:before="0" w:beforeAutospacing="0" w:after="0" w:afterAutospacing="0" w:line="276" w:lineRule="auto"/>
        <w:ind w:firstLine="709"/>
        <w:jc w:val="both"/>
        <w:rPr>
          <w:rFonts w:asciiTheme="majorBidi" w:hAnsiTheme="majorBidi" w:cstheme="majorBidi"/>
        </w:rPr>
      </w:pPr>
      <w:r w:rsidRPr="00CE1672">
        <w:rPr>
          <w:rFonts w:asciiTheme="majorBidi" w:hAnsiTheme="majorBidi" w:cstheme="majorBidi"/>
        </w:rPr>
        <w:t>[</w:t>
      </w:r>
      <w:r w:rsidR="002D15E1" w:rsidRPr="00CE1672">
        <w:rPr>
          <w:rFonts w:asciiTheme="majorBidi" w:hAnsiTheme="majorBidi" w:cstheme="majorBidi"/>
        </w:rPr>
        <w:t>6.2</w:t>
      </w:r>
      <w:r w:rsidRPr="00CE1672">
        <w:rPr>
          <w:rFonts w:asciiTheme="majorBidi" w:hAnsiTheme="majorBidi" w:cstheme="majorBidi"/>
        </w:rPr>
        <w:t>]</w:t>
      </w:r>
      <w:r w:rsidR="002D15E1" w:rsidRPr="00CE1672">
        <w:rPr>
          <w:rFonts w:asciiTheme="majorBidi" w:hAnsiTheme="majorBidi" w:cstheme="majorBidi"/>
        </w:rPr>
        <w:t xml:space="preserve"> </w:t>
      </w:r>
      <w:r w:rsidR="002D15E1" w:rsidRPr="00CE1672">
        <w:rPr>
          <w:rFonts w:asciiTheme="majorBidi" w:eastAsiaTheme="minorHAnsi" w:hAnsiTheme="majorBidi" w:cstheme="majorBidi"/>
          <w:lang w:eastAsia="en-US"/>
        </w:rPr>
        <w:t>Judikatūrā pausts viedoklis, ka tiesību uz kriminālprocesa pabeigšanu saprātīgā termiņā pārkāpuma izvērtējums ir juridisks jautājums, kas ietilpst kasācijas instances tiesas kompetencē (</w:t>
      </w:r>
      <w:r w:rsidR="00B37B41" w:rsidRPr="00CE1672">
        <w:rPr>
          <w:rFonts w:asciiTheme="majorBidi" w:eastAsiaTheme="minorHAnsi" w:hAnsiTheme="majorBidi" w:cstheme="majorBidi"/>
          <w:i/>
          <w:iCs/>
          <w:lang w:eastAsia="en-US"/>
        </w:rPr>
        <w:t>Senāta</w:t>
      </w:r>
      <w:r w:rsidR="002D15E1" w:rsidRPr="00CE1672">
        <w:rPr>
          <w:rFonts w:asciiTheme="majorBidi" w:eastAsiaTheme="minorHAnsi" w:hAnsiTheme="majorBidi" w:cstheme="majorBidi"/>
          <w:i/>
          <w:iCs/>
          <w:lang w:eastAsia="en-US"/>
        </w:rPr>
        <w:t xml:space="preserve"> 2012. gada 22. maija lēmums lietā Nr.</w:t>
      </w:r>
      <w:r w:rsidR="001C4822" w:rsidRPr="00CE1672">
        <w:rPr>
          <w:rFonts w:asciiTheme="majorBidi" w:eastAsiaTheme="minorHAnsi" w:hAnsiTheme="majorBidi" w:cstheme="majorBidi"/>
        </w:rPr>
        <w:t> </w:t>
      </w:r>
      <w:hyperlink r:id="rId9" w:history="1">
        <w:r w:rsidR="002D15E1" w:rsidRPr="00CE1672">
          <w:rPr>
            <w:rStyle w:val="Hyperlink"/>
            <w:rFonts w:asciiTheme="majorBidi" w:eastAsiaTheme="minorHAnsi" w:hAnsiTheme="majorBidi" w:cstheme="majorBidi"/>
            <w:i/>
            <w:iCs/>
            <w:lang w:eastAsia="en-US"/>
          </w:rPr>
          <w:t>SKK</w:t>
        </w:r>
        <w:r w:rsidR="00EA6612" w:rsidRPr="00CE1672">
          <w:rPr>
            <w:rStyle w:val="Hyperlink"/>
            <w:rFonts w:asciiTheme="majorBidi" w:eastAsiaTheme="minorHAnsi" w:hAnsiTheme="majorBidi" w:cstheme="majorBidi"/>
            <w:i/>
            <w:iCs/>
            <w:lang w:eastAsia="en-US"/>
          </w:rPr>
          <w:noBreakHyphen/>
        </w:r>
        <w:r w:rsidR="002D15E1" w:rsidRPr="00CE1672">
          <w:rPr>
            <w:rStyle w:val="Hyperlink"/>
            <w:rFonts w:asciiTheme="majorBidi" w:eastAsiaTheme="minorHAnsi" w:hAnsiTheme="majorBidi" w:cstheme="majorBidi"/>
            <w:i/>
            <w:iCs/>
            <w:lang w:eastAsia="en-US"/>
          </w:rPr>
          <w:t>253/2012</w:t>
        </w:r>
      </w:hyperlink>
      <w:r w:rsidR="001C4822" w:rsidRPr="00CE1672">
        <w:rPr>
          <w:rFonts w:asciiTheme="majorBidi" w:eastAsiaTheme="minorHAnsi" w:hAnsiTheme="majorBidi" w:cstheme="majorBidi"/>
          <w:i/>
          <w:iCs/>
          <w:lang w:eastAsia="en-US"/>
        </w:rPr>
        <w:t xml:space="preserve">, </w:t>
      </w:r>
      <w:r w:rsidR="002D15E1" w:rsidRPr="00CE1672">
        <w:rPr>
          <w:rFonts w:asciiTheme="majorBidi" w:eastAsiaTheme="minorHAnsi" w:hAnsiTheme="majorBidi" w:cstheme="majorBidi"/>
          <w:i/>
          <w:iCs/>
          <w:lang w:eastAsia="en-US"/>
        </w:rPr>
        <w:t>11340003409, 2017. gada</w:t>
      </w:r>
      <w:r w:rsidR="002D15E1" w:rsidRPr="00CE1672">
        <w:rPr>
          <w:rFonts w:asciiTheme="majorBidi" w:eastAsiaTheme="minorHAnsi" w:hAnsiTheme="majorBidi" w:cstheme="majorBidi"/>
          <w:lang w:eastAsia="en-US"/>
        </w:rPr>
        <w:t xml:space="preserve"> </w:t>
      </w:r>
      <w:r w:rsidR="002D15E1" w:rsidRPr="00CE1672">
        <w:rPr>
          <w:rFonts w:asciiTheme="majorBidi" w:eastAsiaTheme="minorHAnsi" w:hAnsiTheme="majorBidi" w:cstheme="majorBidi"/>
          <w:i/>
          <w:iCs/>
          <w:lang w:eastAsia="en-US"/>
        </w:rPr>
        <w:t>9. marta lēmum</w:t>
      </w:r>
      <w:r w:rsidR="00BC34C7" w:rsidRPr="00CE1672">
        <w:rPr>
          <w:rFonts w:asciiTheme="majorBidi" w:eastAsiaTheme="minorHAnsi" w:hAnsiTheme="majorBidi" w:cstheme="majorBidi"/>
          <w:i/>
          <w:iCs/>
          <w:lang w:eastAsia="en-US"/>
        </w:rPr>
        <w:t>a</w:t>
      </w:r>
      <w:r w:rsidR="002D15E1" w:rsidRPr="00CE1672">
        <w:rPr>
          <w:rFonts w:asciiTheme="majorBidi" w:eastAsiaTheme="minorHAnsi" w:hAnsiTheme="majorBidi" w:cstheme="majorBidi"/>
          <w:i/>
          <w:iCs/>
          <w:lang w:eastAsia="en-US"/>
        </w:rPr>
        <w:t xml:space="preserve"> lietā Nr. </w:t>
      </w:r>
      <w:hyperlink r:id="rId10" w:history="1">
        <w:r w:rsidR="002D15E1" w:rsidRPr="00CE1672">
          <w:rPr>
            <w:rStyle w:val="Hyperlink"/>
            <w:rFonts w:asciiTheme="majorBidi" w:eastAsiaTheme="minorHAnsi" w:hAnsiTheme="majorBidi" w:cstheme="majorBidi"/>
            <w:i/>
            <w:iCs/>
            <w:lang w:eastAsia="en-US"/>
          </w:rPr>
          <w:t>SKK</w:t>
        </w:r>
        <w:r w:rsidR="00EA6612" w:rsidRPr="00CE1672">
          <w:rPr>
            <w:rStyle w:val="Hyperlink"/>
            <w:rFonts w:asciiTheme="majorBidi" w:eastAsiaTheme="minorHAnsi" w:hAnsiTheme="majorBidi" w:cstheme="majorBidi"/>
            <w:i/>
            <w:iCs/>
            <w:lang w:eastAsia="en-US"/>
          </w:rPr>
          <w:noBreakHyphen/>
        </w:r>
        <w:r w:rsidR="002D15E1" w:rsidRPr="00CE1672">
          <w:rPr>
            <w:rStyle w:val="Hyperlink"/>
            <w:rFonts w:asciiTheme="majorBidi" w:eastAsiaTheme="minorHAnsi" w:hAnsiTheme="majorBidi" w:cstheme="majorBidi"/>
            <w:i/>
            <w:iCs/>
            <w:lang w:eastAsia="en-US"/>
          </w:rPr>
          <w:t>202/2017</w:t>
        </w:r>
      </w:hyperlink>
      <w:r w:rsidR="001C4822" w:rsidRPr="00CE1672">
        <w:rPr>
          <w:rFonts w:asciiTheme="majorBidi" w:eastAsiaTheme="minorHAnsi" w:hAnsiTheme="majorBidi" w:cstheme="majorBidi"/>
          <w:i/>
          <w:iCs/>
          <w:lang w:eastAsia="en-US"/>
        </w:rPr>
        <w:t xml:space="preserve">, </w:t>
      </w:r>
      <w:r w:rsidR="002D15E1" w:rsidRPr="00CE1672">
        <w:rPr>
          <w:rFonts w:asciiTheme="majorBidi" w:eastAsiaTheme="minorHAnsi" w:hAnsiTheme="majorBidi" w:cstheme="majorBidi"/>
          <w:i/>
          <w:iCs/>
          <w:lang w:eastAsia="en-US"/>
        </w:rPr>
        <w:t>11091058112,</w:t>
      </w:r>
      <w:r w:rsidR="00BC34C7" w:rsidRPr="00CE1672">
        <w:rPr>
          <w:rFonts w:asciiTheme="majorBidi" w:eastAsiaTheme="minorHAnsi" w:hAnsiTheme="majorBidi" w:cstheme="majorBidi"/>
          <w:i/>
          <w:iCs/>
          <w:lang w:eastAsia="en-US"/>
        </w:rPr>
        <w:t xml:space="preserve"> 6. punkts,</w:t>
      </w:r>
      <w:r w:rsidR="002D15E1" w:rsidRPr="00CE1672">
        <w:rPr>
          <w:rFonts w:asciiTheme="majorBidi" w:eastAsiaTheme="minorHAnsi" w:hAnsiTheme="majorBidi" w:cstheme="majorBidi"/>
          <w:i/>
          <w:iCs/>
          <w:lang w:eastAsia="en-US"/>
        </w:rPr>
        <w:t xml:space="preserve"> 2018.</w:t>
      </w:r>
      <w:r w:rsidR="009F1600" w:rsidRPr="00CE1672">
        <w:rPr>
          <w:rFonts w:asciiTheme="majorBidi" w:eastAsiaTheme="minorHAnsi" w:hAnsiTheme="majorBidi" w:cstheme="majorBidi"/>
        </w:rPr>
        <w:t> </w:t>
      </w:r>
      <w:r w:rsidR="002D15E1" w:rsidRPr="00CE1672">
        <w:rPr>
          <w:rFonts w:asciiTheme="majorBidi" w:eastAsiaTheme="minorHAnsi" w:hAnsiTheme="majorBidi" w:cstheme="majorBidi"/>
          <w:i/>
          <w:iCs/>
          <w:lang w:eastAsia="en-US"/>
        </w:rPr>
        <w:t>gada 4.</w:t>
      </w:r>
      <w:r w:rsidR="009F1600" w:rsidRPr="00CE1672">
        <w:rPr>
          <w:rFonts w:asciiTheme="majorBidi" w:eastAsiaTheme="minorHAnsi" w:hAnsiTheme="majorBidi" w:cstheme="majorBidi"/>
          <w:i/>
          <w:iCs/>
          <w:lang w:eastAsia="en-US"/>
        </w:rPr>
        <w:t> </w:t>
      </w:r>
      <w:r w:rsidR="002D15E1" w:rsidRPr="00CE1672">
        <w:rPr>
          <w:rFonts w:asciiTheme="majorBidi" w:eastAsiaTheme="minorHAnsi" w:hAnsiTheme="majorBidi" w:cstheme="majorBidi"/>
          <w:i/>
          <w:iCs/>
          <w:lang w:eastAsia="en-US"/>
        </w:rPr>
        <w:t>septembra lēmum</w:t>
      </w:r>
      <w:r w:rsidR="009F1600" w:rsidRPr="00CE1672">
        <w:rPr>
          <w:rFonts w:asciiTheme="majorBidi" w:eastAsiaTheme="minorHAnsi" w:hAnsiTheme="majorBidi" w:cstheme="majorBidi"/>
          <w:i/>
          <w:iCs/>
          <w:lang w:eastAsia="en-US"/>
        </w:rPr>
        <w:t>a</w:t>
      </w:r>
      <w:r w:rsidR="002D15E1" w:rsidRPr="00CE1672">
        <w:rPr>
          <w:rFonts w:asciiTheme="majorBidi" w:eastAsiaTheme="minorHAnsi" w:hAnsiTheme="majorBidi" w:cstheme="majorBidi"/>
          <w:i/>
          <w:iCs/>
          <w:lang w:eastAsia="en-US"/>
        </w:rPr>
        <w:t xml:space="preserve"> lietā Nr.</w:t>
      </w:r>
      <w:r w:rsidR="001C4822" w:rsidRPr="00CE1672">
        <w:rPr>
          <w:rFonts w:asciiTheme="majorBidi" w:eastAsiaTheme="minorHAnsi" w:hAnsiTheme="majorBidi" w:cstheme="majorBidi"/>
          <w:i/>
          <w:iCs/>
          <w:lang w:eastAsia="en-US"/>
        </w:rPr>
        <w:t> </w:t>
      </w:r>
      <w:hyperlink r:id="rId11" w:history="1">
        <w:r w:rsidR="002D15E1" w:rsidRPr="00CE1672">
          <w:rPr>
            <w:rStyle w:val="Hyperlink"/>
            <w:rFonts w:asciiTheme="majorBidi" w:eastAsiaTheme="minorHAnsi" w:hAnsiTheme="majorBidi" w:cstheme="majorBidi"/>
            <w:i/>
            <w:iCs/>
            <w:lang w:eastAsia="en-US"/>
          </w:rPr>
          <w:t>SKK</w:t>
        </w:r>
        <w:r w:rsidR="00EA6612" w:rsidRPr="00CE1672">
          <w:rPr>
            <w:rStyle w:val="Hyperlink"/>
            <w:rFonts w:asciiTheme="majorBidi" w:eastAsiaTheme="minorHAnsi" w:hAnsiTheme="majorBidi" w:cstheme="majorBidi"/>
            <w:i/>
            <w:iCs/>
            <w:lang w:eastAsia="en-US"/>
          </w:rPr>
          <w:noBreakHyphen/>
        </w:r>
        <w:r w:rsidR="002D15E1" w:rsidRPr="00CE1672">
          <w:rPr>
            <w:rStyle w:val="Hyperlink"/>
            <w:rFonts w:asciiTheme="majorBidi" w:eastAsiaTheme="minorHAnsi" w:hAnsiTheme="majorBidi" w:cstheme="majorBidi"/>
            <w:i/>
            <w:iCs/>
            <w:lang w:eastAsia="en-US"/>
          </w:rPr>
          <w:t>337/2018</w:t>
        </w:r>
      </w:hyperlink>
      <w:r w:rsidR="001C4822" w:rsidRPr="00CE1672">
        <w:rPr>
          <w:rFonts w:asciiTheme="majorBidi" w:eastAsiaTheme="minorHAnsi" w:hAnsiTheme="majorBidi" w:cstheme="majorBidi"/>
          <w:i/>
          <w:iCs/>
          <w:lang w:eastAsia="en-US"/>
        </w:rPr>
        <w:t xml:space="preserve">, </w:t>
      </w:r>
      <w:r w:rsidR="002D15E1" w:rsidRPr="00CE1672">
        <w:rPr>
          <w:rFonts w:asciiTheme="majorBidi" w:eastAsiaTheme="minorHAnsi" w:hAnsiTheme="majorBidi" w:cstheme="majorBidi"/>
          <w:i/>
          <w:iCs/>
          <w:lang w:eastAsia="en-US"/>
        </w:rPr>
        <w:t>11210030713</w:t>
      </w:r>
      <w:r w:rsidR="009F1600" w:rsidRPr="00CE1672">
        <w:rPr>
          <w:rFonts w:asciiTheme="majorBidi" w:eastAsiaTheme="minorHAnsi" w:hAnsiTheme="majorBidi" w:cstheme="majorBidi"/>
          <w:i/>
          <w:iCs/>
          <w:lang w:eastAsia="en-US"/>
        </w:rPr>
        <w:t>, 16. punkts</w:t>
      </w:r>
      <w:r w:rsidR="002D15E1" w:rsidRPr="00CE1672">
        <w:rPr>
          <w:rFonts w:asciiTheme="majorBidi" w:eastAsiaTheme="minorHAnsi" w:hAnsiTheme="majorBidi" w:cstheme="majorBidi"/>
          <w:lang w:eastAsia="en-US"/>
        </w:rPr>
        <w:t>). Līdz ar to kasācijas instances tiesai jāizvērtē, vai konkrētajā</w:t>
      </w:r>
      <w:r w:rsidR="002D15E1" w:rsidRPr="00CE1672">
        <w:rPr>
          <w:rFonts w:asciiTheme="majorBidi" w:eastAsiaTheme="minorHAnsi" w:hAnsiTheme="majorBidi" w:cstheme="majorBidi"/>
          <w:i/>
          <w:iCs/>
          <w:lang w:eastAsia="en-US"/>
        </w:rPr>
        <w:t xml:space="preserve"> </w:t>
      </w:r>
      <w:r w:rsidR="002D15E1" w:rsidRPr="00CE1672">
        <w:rPr>
          <w:rFonts w:asciiTheme="majorBidi" w:eastAsiaTheme="minorHAnsi" w:hAnsiTheme="majorBidi" w:cstheme="majorBidi"/>
          <w:lang w:eastAsia="en-US"/>
        </w:rPr>
        <w:t xml:space="preserve">kriminālprocesā nav pārkāptas apsūdzētā </w:t>
      </w:r>
      <w:r w:rsidR="00636015">
        <w:rPr>
          <w:rFonts w:asciiTheme="majorBidi" w:eastAsiaTheme="minorHAnsi" w:hAnsiTheme="majorBidi" w:cstheme="majorBidi"/>
          <w:lang w:eastAsia="en-US"/>
        </w:rPr>
        <w:t>[pers. A]</w:t>
      </w:r>
      <w:r w:rsidR="002D15E1" w:rsidRPr="00CE1672">
        <w:rPr>
          <w:rFonts w:asciiTheme="majorBidi" w:eastAsiaTheme="minorHAnsi" w:hAnsiTheme="majorBidi" w:cstheme="majorBidi"/>
          <w:lang w:eastAsia="en-US"/>
        </w:rPr>
        <w:t xml:space="preserve"> tiesības uz kriminālprocesa pabeigšanu</w:t>
      </w:r>
      <w:r w:rsidR="002D15E1" w:rsidRPr="00CE1672">
        <w:rPr>
          <w:rFonts w:asciiTheme="majorBidi" w:eastAsiaTheme="minorHAnsi" w:hAnsiTheme="majorBidi" w:cstheme="majorBidi"/>
          <w:i/>
          <w:iCs/>
          <w:lang w:eastAsia="en-US"/>
        </w:rPr>
        <w:t xml:space="preserve"> </w:t>
      </w:r>
      <w:r w:rsidR="002D15E1" w:rsidRPr="00CE1672">
        <w:rPr>
          <w:rFonts w:asciiTheme="majorBidi" w:eastAsiaTheme="minorHAnsi" w:hAnsiTheme="majorBidi" w:cstheme="majorBidi"/>
          <w:lang w:eastAsia="en-US"/>
        </w:rPr>
        <w:t>saprātīgā termiņā.</w:t>
      </w:r>
    </w:p>
    <w:p w14:paraId="231A30C3" w14:textId="77777777" w:rsidR="002D15E1" w:rsidRPr="00CE1672" w:rsidRDefault="002D15E1" w:rsidP="00762C2B">
      <w:pPr>
        <w:autoSpaceDE w:val="0"/>
        <w:autoSpaceDN w:val="0"/>
        <w:adjustRightInd w:val="0"/>
        <w:spacing w:line="276" w:lineRule="auto"/>
        <w:ind w:firstLine="720"/>
        <w:jc w:val="both"/>
        <w:rPr>
          <w:rFonts w:asciiTheme="majorBidi" w:eastAsiaTheme="minorHAnsi" w:hAnsiTheme="majorBidi" w:cstheme="majorBidi"/>
          <w:lang w:eastAsia="en-US"/>
        </w:rPr>
      </w:pPr>
      <w:r w:rsidRPr="00CE1672">
        <w:rPr>
          <w:rFonts w:asciiTheme="majorBidi" w:eastAsiaTheme="minorHAnsi" w:hAnsiTheme="majorBidi" w:cstheme="majorBidi"/>
          <w:lang w:eastAsia="en-US"/>
        </w:rPr>
        <w:t>Kriminālprocesa likuma 14. panta pirmā daļa noteic, ka ikvienam ir tiesības uz kriminālprocesa pabeigšanu saprātīgā termiņā, tas ir, bez neattaisnotas novilcināšanas.</w:t>
      </w:r>
    </w:p>
    <w:p w14:paraId="3ECD61B6" w14:textId="77777777" w:rsidR="002D15E1" w:rsidRPr="00CE1672" w:rsidRDefault="002D15E1" w:rsidP="00762C2B">
      <w:pPr>
        <w:autoSpaceDE w:val="0"/>
        <w:autoSpaceDN w:val="0"/>
        <w:adjustRightInd w:val="0"/>
        <w:spacing w:line="276" w:lineRule="auto"/>
        <w:ind w:firstLine="720"/>
        <w:jc w:val="both"/>
        <w:rPr>
          <w:rFonts w:asciiTheme="majorBidi" w:eastAsiaTheme="minorHAnsi" w:hAnsiTheme="majorBidi" w:cstheme="majorBidi"/>
          <w:lang w:eastAsia="en-US"/>
        </w:rPr>
      </w:pPr>
      <w:r w:rsidRPr="00CE1672">
        <w:rPr>
          <w:rFonts w:asciiTheme="majorBidi" w:eastAsiaTheme="minorHAnsi" w:hAnsiTheme="majorBidi" w:cstheme="majorBidi"/>
          <w:lang w:eastAsia="en-US"/>
        </w:rPr>
        <w:t>Kriminālprocesa pabeigšana saprātīgā termiņā ir saistīta ar lietas apjomu, juridisko sarežģītību, procesuālo darbību daudzumu, procesā iesaistīto personu attieksmi pret pienākumu pildīšanu un citiem objektīviem apstākļiem.</w:t>
      </w:r>
    </w:p>
    <w:p w14:paraId="3B769D9A" w14:textId="1A0C2852" w:rsidR="002D15E1" w:rsidRPr="00CE1672" w:rsidRDefault="002D15E1" w:rsidP="006B6E92">
      <w:pPr>
        <w:autoSpaceDE w:val="0"/>
        <w:autoSpaceDN w:val="0"/>
        <w:adjustRightInd w:val="0"/>
        <w:spacing w:line="276" w:lineRule="auto"/>
        <w:ind w:firstLine="720"/>
        <w:jc w:val="both"/>
        <w:rPr>
          <w:rFonts w:asciiTheme="majorBidi" w:eastAsiaTheme="minorHAnsi" w:hAnsiTheme="majorBidi" w:cstheme="majorBidi"/>
          <w:i/>
          <w:iCs/>
          <w:lang w:eastAsia="en-US"/>
        </w:rPr>
      </w:pPr>
      <w:r w:rsidRPr="00CE1672">
        <w:rPr>
          <w:rFonts w:asciiTheme="majorBidi" w:eastAsiaTheme="minorHAnsi" w:hAnsiTheme="majorBidi" w:cstheme="majorBidi"/>
          <w:lang w:eastAsia="en-US"/>
        </w:rPr>
        <w:t>Savukārt Eiropas Cilvēktiesību tiesas nolēmumos pausta atziņa, ka tiesība uz tiesu saprātīgā</w:t>
      </w:r>
      <w:r w:rsidR="001C4822" w:rsidRPr="00CE1672">
        <w:rPr>
          <w:rFonts w:asciiTheme="majorBidi" w:eastAsiaTheme="minorHAnsi" w:hAnsiTheme="majorBidi" w:cstheme="majorBidi"/>
          <w:lang w:eastAsia="en-US"/>
        </w:rPr>
        <w:t xml:space="preserve"> </w:t>
      </w:r>
      <w:r w:rsidRPr="00CE1672">
        <w:rPr>
          <w:rFonts w:asciiTheme="majorBidi" w:eastAsiaTheme="minorHAnsi" w:hAnsiTheme="majorBidi" w:cstheme="majorBidi"/>
          <w:lang w:eastAsia="en-US"/>
        </w:rPr>
        <w:t>termiņā ir viena no Eiropas Cilvēktiesību un pamatbrīvību aizsardzības konvencijas 6. pantā garantētajām tiesībām, un, ka, izvērtējot termiņa saprātīgumu, ir jāņem vērā lietas konkrētie apstākļi un tās tiesu praksē noteiktie kritēriji (</w:t>
      </w:r>
      <w:r w:rsidRPr="00CE1672">
        <w:rPr>
          <w:rFonts w:asciiTheme="majorBidi" w:eastAsiaTheme="minorHAnsi" w:hAnsiTheme="majorBidi" w:cstheme="majorBidi"/>
          <w:i/>
          <w:iCs/>
          <w:lang w:eastAsia="en-US"/>
        </w:rPr>
        <w:t>Eiropas Cilvēktiesību tiesas</w:t>
      </w:r>
      <w:r w:rsidR="006B6E92" w:rsidRPr="00CE1672">
        <w:rPr>
          <w:rFonts w:asciiTheme="majorBidi" w:eastAsiaTheme="minorHAnsi" w:hAnsiTheme="majorBidi" w:cstheme="majorBidi"/>
          <w:i/>
          <w:iCs/>
          <w:lang w:eastAsia="en-US"/>
        </w:rPr>
        <w:t xml:space="preserve"> </w:t>
      </w:r>
      <w:proofErr w:type="gramStart"/>
      <w:r w:rsidR="006B6E92" w:rsidRPr="00CE1672">
        <w:rPr>
          <w:rFonts w:asciiTheme="majorBidi" w:eastAsiaTheme="minorHAnsi" w:hAnsiTheme="majorBidi" w:cstheme="majorBidi"/>
          <w:i/>
          <w:iCs/>
          <w:lang w:eastAsia="en-US"/>
        </w:rPr>
        <w:t>(</w:t>
      </w:r>
      <w:proofErr w:type="gramEnd"/>
      <w:r w:rsidR="006B6E92" w:rsidRPr="00CE1672">
        <w:rPr>
          <w:rFonts w:asciiTheme="majorBidi" w:eastAsiaTheme="minorHAnsi" w:hAnsiTheme="majorBidi" w:cstheme="majorBidi"/>
          <w:i/>
          <w:iCs/>
          <w:lang w:eastAsia="en-US"/>
        </w:rPr>
        <w:t>Lielā palāta)</w:t>
      </w:r>
      <w:r w:rsidRPr="00CE1672">
        <w:rPr>
          <w:rFonts w:asciiTheme="majorBidi" w:eastAsiaTheme="minorHAnsi" w:hAnsiTheme="majorBidi" w:cstheme="majorBidi"/>
          <w:i/>
          <w:iCs/>
          <w:lang w:eastAsia="en-US"/>
        </w:rPr>
        <w:t xml:space="preserve"> 1999. gada 25. marta spriedum</w:t>
      </w:r>
      <w:r w:rsidR="00C0474D">
        <w:rPr>
          <w:rFonts w:asciiTheme="majorBidi" w:eastAsiaTheme="minorHAnsi" w:hAnsiTheme="majorBidi" w:cstheme="majorBidi"/>
          <w:i/>
          <w:iCs/>
          <w:lang w:eastAsia="en-US"/>
        </w:rPr>
        <w:t>a</w:t>
      </w:r>
      <w:r w:rsidRPr="00CE1672">
        <w:rPr>
          <w:rFonts w:asciiTheme="majorBidi" w:eastAsiaTheme="minorHAnsi" w:hAnsiTheme="majorBidi" w:cstheme="majorBidi"/>
          <w:lang w:eastAsia="en-US"/>
        </w:rPr>
        <w:t xml:space="preserve"> </w:t>
      </w:r>
      <w:r w:rsidRPr="00CE1672">
        <w:rPr>
          <w:rFonts w:asciiTheme="majorBidi" w:eastAsiaTheme="minorHAnsi" w:hAnsiTheme="majorBidi" w:cstheme="majorBidi"/>
          <w:i/>
          <w:iCs/>
          <w:lang w:eastAsia="en-US"/>
        </w:rPr>
        <w:t xml:space="preserve">lietā </w:t>
      </w:r>
      <w:r w:rsidR="00597C66" w:rsidRPr="00CE1672">
        <w:rPr>
          <w:rFonts w:asciiTheme="majorBidi" w:eastAsiaTheme="minorHAnsi" w:hAnsiTheme="majorBidi" w:cstheme="majorBidi"/>
          <w:i/>
          <w:iCs/>
          <w:lang w:eastAsia="en-US"/>
        </w:rPr>
        <w:t>„</w:t>
      </w:r>
      <w:proofErr w:type="spellStart"/>
      <w:r w:rsidRPr="00CE1672">
        <w:rPr>
          <w:rFonts w:asciiTheme="majorBidi" w:eastAsiaTheme="minorHAnsi" w:hAnsiTheme="majorBidi" w:cstheme="majorBidi"/>
          <w:i/>
          <w:iCs/>
          <w:lang w:eastAsia="en-US"/>
        </w:rPr>
        <w:t>Pelisier</w:t>
      </w:r>
      <w:proofErr w:type="spellEnd"/>
      <w:r w:rsidRPr="00CE1672">
        <w:rPr>
          <w:rFonts w:asciiTheme="majorBidi" w:eastAsiaTheme="minorHAnsi" w:hAnsiTheme="majorBidi" w:cstheme="majorBidi"/>
          <w:i/>
          <w:iCs/>
          <w:lang w:eastAsia="en-US"/>
        </w:rPr>
        <w:t xml:space="preserve"> </w:t>
      </w:r>
      <w:proofErr w:type="spellStart"/>
      <w:r w:rsidRPr="00CE1672">
        <w:rPr>
          <w:rFonts w:asciiTheme="majorBidi" w:eastAsiaTheme="minorHAnsi" w:hAnsiTheme="majorBidi" w:cstheme="majorBidi"/>
          <w:i/>
          <w:iCs/>
          <w:lang w:eastAsia="en-US"/>
        </w:rPr>
        <w:t>and</w:t>
      </w:r>
      <w:proofErr w:type="spellEnd"/>
      <w:r w:rsidRPr="00CE1672">
        <w:rPr>
          <w:rFonts w:asciiTheme="majorBidi" w:eastAsiaTheme="minorHAnsi" w:hAnsiTheme="majorBidi" w:cstheme="majorBidi"/>
          <w:i/>
          <w:iCs/>
          <w:lang w:eastAsia="en-US"/>
        </w:rPr>
        <w:t xml:space="preserve"> </w:t>
      </w:r>
      <w:proofErr w:type="spellStart"/>
      <w:r w:rsidRPr="00CE1672">
        <w:rPr>
          <w:rFonts w:asciiTheme="majorBidi" w:eastAsiaTheme="minorHAnsi" w:hAnsiTheme="majorBidi" w:cstheme="majorBidi"/>
          <w:i/>
          <w:iCs/>
          <w:lang w:eastAsia="en-US"/>
        </w:rPr>
        <w:t>Sassi</w:t>
      </w:r>
      <w:proofErr w:type="spellEnd"/>
      <w:r w:rsidRPr="00CE1672">
        <w:rPr>
          <w:rFonts w:asciiTheme="majorBidi" w:eastAsiaTheme="minorHAnsi" w:hAnsiTheme="majorBidi" w:cstheme="majorBidi"/>
          <w:i/>
          <w:iCs/>
          <w:lang w:eastAsia="en-US"/>
        </w:rPr>
        <w:t xml:space="preserve"> v. </w:t>
      </w:r>
      <w:proofErr w:type="spellStart"/>
      <w:r w:rsidRPr="00CE1672">
        <w:rPr>
          <w:rFonts w:asciiTheme="majorBidi" w:eastAsiaTheme="minorHAnsi" w:hAnsiTheme="majorBidi" w:cstheme="majorBidi"/>
          <w:i/>
          <w:iCs/>
          <w:lang w:eastAsia="en-US"/>
        </w:rPr>
        <w:t>France</w:t>
      </w:r>
      <w:proofErr w:type="spellEnd"/>
      <w:r w:rsidRPr="00CE1672">
        <w:rPr>
          <w:rFonts w:asciiTheme="majorBidi" w:eastAsiaTheme="minorHAnsi" w:hAnsiTheme="majorBidi" w:cstheme="majorBidi"/>
          <w:i/>
          <w:iCs/>
          <w:lang w:eastAsia="en-US"/>
        </w:rPr>
        <w:t>”, iesnieguma Nr. </w:t>
      </w:r>
      <w:hyperlink r:id="rId12" w:anchor="{%22tabview%22:[%22document%22],%22itemid%22:[%22001-58226%22]}" w:history="1">
        <w:r w:rsidRPr="00CE1672">
          <w:rPr>
            <w:rStyle w:val="Hyperlink"/>
            <w:rFonts w:asciiTheme="majorBidi" w:eastAsiaTheme="minorHAnsi" w:hAnsiTheme="majorBidi" w:cstheme="majorBidi"/>
            <w:i/>
            <w:iCs/>
            <w:lang w:eastAsia="en-US"/>
          </w:rPr>
          <w:t>25444/94</w:t>
        </w:r>
      </w:hyperlink>
      <w:r w:rsidRPr="00CE1672">
        <w:rPr>
          <w:rFonts w:asciiTheme="majorBidi" w:eastAsiaTheme="minorHAnsi" w:hAnsiTheme="majorBidi" w:cstheme="majorBidi"/>
          <w:i/>
          <w:iCs/>
          <w:lang w:eastAsia="en-US"/>
        </w:rPr>
        <w:t>, 67. punkts</w:t>
      </w:r>
      <w:r w:rsidR="008175B9" w:rsidRPr="00CE1672">
        <w:rPr>
          <w:rFonts w:asciiTheme="majorBidi" w:eastAsiaTheme="minorHAnsi" w:hAnsiTheme="majorBidi" w:cstheme="majorBidi"/>
          <w:i/>
          <w:iCs/>
          <w:lang w:eastAsia="en-US"/>
        </w:rPr>
        <w:t xml:space="preserve">, </w:t>
      </w:r>
      <w:r w:rsidR="006B6E92" w:rsidRPr="00CE1672">
        <w:rPr>
          <w:rFonts w:asciiTheme="majorBidi" w:eastAsiaTheme="minorHAnsi" w:hAnsiTheme="majorBidi" w:cstheme="majorBidi"/>
          <w:i/>
          <w:iCs/>
          <w:lang w:eastAsia="en-US"/>
        </w:rPr>
        <w:t xml:space="preserve">Lielās palātas </w:t>
      </w:r>
      <w:r w:rsidRPr="00CE1672">
        <w:rPr>
          <w:rFonts w:asciiTheme="majorBidi" w:eastAsiaTheme="minorHAnsi" w:hAnsiTheme="majorBidi" w:cstheme="majorBidi"/>
          <w:i/>
          <w:iCs/>
          <w:lang w:eastAsia="en-US"/>
        </w:rPr>
        <w:t>2000. gada</w:t>
      </w:r>
      <w:r w:rsidRPr="00CE1672">
        <w:rPr>
          <w:rFonts w:asciiTheme="majorBidi" w:eastAsiaTheme="minorHAnsi" w:hAnsiTheme="majorBidi" w:cstheme="majorBidi"/>
          <w:lang w:eastAsia="en-US"/>
        </w:rPr>
        <w:t xml:space="preserve"> </w:t>
      </w:r>
      <w:r w:rsidRPr="00CE1672">
        <w:rPr>
          <w:rFonts w:asciiTheme="majorBidi" w:eastAsiaTheme="minorHAnsi" w:hAnsiTheme="majorBidi" w:cstheme="majorBidi"/>
          <w:i/>
          <w:iCs/>
          <w:lang w:eastAsia="en-US"/>
        </w:rPr>
        <w:t>27. jūnija spriedum</w:t>
      </w:r>
      <w:r w:rsidR="00C0474D">
        <w:rPr>
          <w:rFonts w:asciiTheme="majorBidi" w:eastAsiaTheme="minorHAnsi" w:hAnsiTheme="majorBidi" w:cstheme="majorBidi"/>
          <w:i/>
          <w:iCs/>
          <w:lang w:eastAsia="en-US"/>
        </w:rPr>
        <w:t>a</w:t>
      </w:r>
      <w:r w:rsidRPr="00CE1672">
        <w:rPr>
          <w:rFonts w:asciiTheme="majorBidi" w:eastAsiaTheme="minorHAnsi" w:hAnsiTheme="majorBidi" w:cstheme="majorBidi"/>
          <w:i/>
          <w:iCs/>
          <w:lang w:eastAsia="en-US"/>
        </w:rPr>
        <w:t xml:space="preserve"> lietā </w:t>
      </w:r>
      <w:r w:rsidR="008175B9" w:rsidRPr="00CE1672">
        <w:rPr>
          <w:rFonts w:asciiTheme="majorBidi" w:eastAsiaTheme="minorHAnsi" w:hAnsiTheme="majorBidi" w:cstheme="majorBidi"/>
          <w:i/>
          <w:iCs/>
          <w:lang w:eastAsia="en-US"/>
        </w:rPr>
        <w:t>„</w:t>
      </w:r>
      <w:proofErr w:type="spellStart"/>
      <w:r w:rsidRPr="00CE1672">
        <w:rPr>
          <w:rFonts w:asciiTheme="majorBidi" w:eastAsiaTheme="minorHAnsi" w:hAnsiTheme="majorBidi" w:cstheme="majorBidi"/>
          <w:i/>
          <w:iCs/>
          <w:lang w:eastAsia="en-US"/>
        </w:rPr>
        <w:t>Frydlender</w:t>
      </w:r>
      <w:proofErr w:type="spellEnd"/>
      <w:r w:rsidRPr="00CE1672">
        <w:rPr>
          <w:rFonts w:asciiTheme="majorBidi" w:eastAsiaTheme="minorHAnsi" w:hAnsiTheme="majorBidi" w:cstheme="majorBidi"/>
          <w:i/>
          <w:iCs/>
          <w:lang w:eastAsia="en-US"/>
        </w:rPr>
        <w:t xml:space="preserve"> v. </w:t>
      </w:r>
      <w:proofErr w:type="spellStart"/>
      <w:r w:rsidRPr="00CE1672">
        <w:rPr>
          <w:rFonts w:asciiTheme="majorBidi" w:eastAsiaTheme="minorHAnsi" w:hAnsiTheme="majorBidi" w:cstheme="majorBidi"/>
          <w:i/>
          <w:iCs/>
          <w:lang w:eastAsia="en-US"/>
        </w:rPr>
        <w:t>France</w:t>
      </w:r>
      <w:proofErr w:type="spellEnd"/>
      <w:r w:rsidR="008175B9" w:rsidRPr="00CE1672">
        <w:rPr>
          <w:rFonts w:asciiTheme="majorBidi" w:eastAsiaTheme="minorHAnsi" w:hAnsiTheme="majorBidi" w:cstheme="majorBidi"/>
          <w:i/>
          <w:iCs/>
          <w:lang w:eastAsia="en-US"/>
        </w:rPr>
        <w:t>”,</w:t>
      </w:r>
      <w:r w:rsidRPr="00CE1672">
        <w:rPr>
          <w:rFonts w:asciiTheme="majorBidi" w:eastAsiaTheme="minorHAnsi" w:hAnsiTheme="majorBidi" w:cstheme="majorBidi"/>
          <w:i/>
          <w:iCs/>
          <w:lang w:eastAsia="en-US"/>
        </w:rPr>
        <w:t xml:space="preserve"> iesnieguma Nr.</w:t>
      </w:r>
      <w:r w:rsidR="008175B9" w:rsidRPr="00CE1672">
        <w:rPr>
          <w:rFonts w:asciiTheme="majorBidi" w:eastAsiaTheme="minorHAnsi" w:hAnsiTheme="majorBidi" w:cstheme="majorBidi"/>
          <w:i/>
          <w:iCs/>
          <w:lang w:eastAsia="en-US"/>
        </w:rPr>
        <w:t> </w:t>
      </w:r>
      <w:hyperlink r:id="rId13" w:anchor="{%22tabview%22:[%22document%22],%22itemid%22:[%22001-58762%22]}" w:history="1">
        <w:r w:rsidRPr="00CE1672">
          <w:rPr>
            <w:rStyle w:val="Hyperlink"/>
            <w:rFonts w:asciiTheme="majorBidi" w:eastAsiaTheme="minorHAnsi" w:hAnsiTheme="majorBidi" w:cstheme="majorBidi"/>
            <w:i/>
            <w:iCs/>
            <w:lang w:eastAsia="en-US"/>
          </w:rPr>
          <w:t>30979/96</w:t>
        </w:r>
      </w:hyperlink>
      <w:r w:rsidRPr="00CE1672">
        <w:rPr>
          <w:rFonts w:asciiTheme="majorBidi" w:eastAsiaTheme="minorHAnsi" w:hAnsiTheme="majorBidi" w:cstheme="majorBidi"/>
          <w:i/>
          <w:iCs/>
          <w:lang w:eastAsia="en-US"/>
        </w:rPr>
        <w:t>, 42. punkts;</w:t>
      </w:r>
      <w:r w:rsidRPr="00CE1672">
        <w:rPr>
          <w:rFonts w:asciiTheme="majorBidi" w:eastAsiaTheme="minorHAnsi" w:hAnsiTheme="majorBidi" w:cstheme="majorBidi"/>
          <w:lang w:eastAsia="en-US"/>
        </w:rPr>
        <w:t xml:space="preserve"> </w:t>
      </w:r>
      <w:r w:rsidR="006B6E92" w:rsidRPr="00CE1672">
        <w:rPr>
          <w:rFonts w:asciiTheme="majorBidi" w:eastAsiaTheme="minorHAnsi" w:hAnsiTheme="majorBidi" w:cstheme="majorBidi"/>
          <w:i/>
          <w:iCs/>
          <w:lang w:eastAsia="en-US"/>
        </w:rPr>
        <w:t xml:space="preserve">Lielās palātas </w:t>
      </w:r>
      <w:r w:rsidRPr="00CE1672">
        <w:rPr>
          <w:rFonts w:asciiTheme="majorBidi" w:eastAsiaTheme="minorHAnsi" w:hAnsiTheme="majorBidi" w:cstheme="majorBidi"/>
          <w:i/>
          <w:iCs/>
          <w:lang w:eastAsia="en-US"/>
        </w:rPr>
        <w:t>2012. gada 22.</w:t>
      </w:r>
      <w:r w:rsidR="001C4822" w:rsidRPr="00CE1672">
        <w:rPr>
          <w:rFonts w:asciiTheme="majorBidi" w:eastAsiaTheme="minorHAnsi" w:hAnsiTheme="majorBidi" w:cstheme="majorBidi"/>
          <w:i/>
          <w:iCs/>
          <w:lang w:eastAsia="en-US"/>
        </w:rPr>
        <w:t> </w:t>
      </w:r>
      <w:r w:rsidRPr="00CE1672">
        <w:rPr>
          <w:rFonts w:asciiTheme="majorBidi" w:eastAsiaTheme="minorHAnsi" w:hAnsiTheme="majorBidi" w:cstheme="majorBidi"/>
          <w:i/>
          <w:iCs/>
          <w:lang w:eastAsia="en-US"/>
        </w:rPr>
        <w:t>maija spriedum</w:t>
      </w:r>
      <w:r w:rsidR="00C0474D">
        <w:rPr>
          <w:rFonts w:asciiTheme="majorBidi" w:eastAsiaTheme="minorHAnsi" w:hAnsiTheme="majorBidi" w:cstheme="majorBidi"/>
          <w:i/>
          <w:iCs/>
          <w:lang w:eastAsia="en-US"/>
        </w:rPr>
        <w:t>a</w:t>
      </w:r>
      <w:r w:rsidRPr="00CE1672">
        <w:rPr>
          <w:rFonts w:asciiTheme="majorBidi" w:eastAsiaTheme="minorHAnsi" w:hAnsiTheme="majorBidi" w:cstheme="majorBidi"/>
          <w:i/>
          <w:iCs/>
          <w:lang w:eastAsia="en-US"/>
        </w:rPr>
        <w:t xml:space="preserve"> lietā</w:t>
      </w:r>
      <w:r w:rsidR="001C4822" w:rsidRPr="00CE1672">
        <w:rPr>
          <w:rFonts w:asciiTheme="majorBidi" w:eastAsiaTheme="minorHAnsi" w:hAnsiTheme="majorBidi" w:cstheme="majorBidi"/>
          <w:i/>
          <w:iCs/>
          <w:lang w:eastAsia="en-US"/>
        </w:rPr>
        <w:t xml:space="preserve"> </w:t>
      </w:r>
      <w:r w:rsidR="008175B9" w:rsidRPr="00CE1672">
        <w:rPr>
          <w:rFonts w:asciiTheme="majorBidi" w:eastAsiaTheme="minorHAnsi" w:hAnsiTheme="majorBidi" w:cstheme="majorBidi"/>
          <w:i/>
          <w:iCs/>
          <w:lang w:eastAsia="en-US"/>
        </w:rPr>
        <w:t>„</w:t>
      </w:r>
      <w:proofErr w:type="spellStart"/>
      <w:r w:rsidRPr="00CE1672">
        <w:rPr>
          <w:rFonts w:asciiTheme="majorBidi" w:eastAsiaTheme="minorHAnsi" w:hAnsiTheme="majorBidi" w:cstheme="majorBidi"/>
          <w:i/>
          <w:iCs/>
          <w:lang w:eastAsia="en-US"/>
        </w:rPr>
        <w:t>Idalov</w:t>
      </w:r>
      <w:proofErr w:type="spellEnd"/>
      <w:r w:rsidRPr="00CE1672">
        <w:rPr>
          <w:rFonts w:asciiTheme="majorBidi" w:eastAsiaTheme="minorHAnsi" w:hAnsiTheme="majorBidi" w:cstheme="majorBidi"/>
          <w:i/>
          <w:iCs/>
          <w:lang w:eastAsia="en-US"/>
        </w:rPr>
        <w:t xml:space="preserve"> v. </w:t>
      </w:r>
      <w:proofErr w:type="spellStart"/>
      <w:r w:rsidRPr="00CE1672">
        <w:rPr>
          <w:rFonts w:asciiTheme="majorBidi" w:eastAsiaTheme="minorHAnsi" w:hAnsiTheme="majorBidi" w:cstheme="majorBidi"/>
          <w:i/>
          <w:iCs/>
          <w:lang w:eastAsia="en-US"/>
        </w:rPr>
        <w:t>Russia</w:t>
      </w:r>
      <w:proofErr w:type="spellEnd"/>
      <w:r w:rsidR="008175B9" w:rsidRPr="00CE1672">
        <w:rPr>
          <w:rFonts w:asciiTheme="majorBidi" w:eastAsiaTheme="minorHAnsi" w:hAnsiTheme="majorBidi" w:cstheme="majorBidi"/>
          <w:i/>
          <w:iCs/>
          <w:lang w:eastAsia="en-US"/>
        </w:rPr>
        <w:t>”</w:t>
      </w:r>
      <w:r w:rsidRPr="00CE1672">
        <w:rPr>
          <w:rFonts w:asciiTheme="majorBidi" w:eastAsiaTheme="minorHAnsi" w:hAnsiTheme="majorBidi" w:cstheme="majorBidi"/>
          <w:i/>
          <w:iCs/>
          <w:lang w:eastAsia="en-US"/>
        </w:rPr>
        <w:t>, iesnieguma Nr. </w:t>
      </w:r>
      <w:hyperlink r:id="rId14" w:anchor="{%22tabview%22:[%22document%22],%22itemid%22:[%22001-110986%22]}" w:history="1">
        <w:r w:rsidRPr="00CE1672">
          <w:rPr>
            <w:rStyle w:val="Hyperlink"/>
            <w:rFonts w:asciiTheme="majorBidi" w:eastAsiaTheme="minorHAnsi" w:hAnsiTheme="majorBidi" w:cstheme="majorBidi"/>
            <w:i/>
            <w:iCs/>
            <w:lang w:eastAsia="en-US"/>
          </w:rPr>
          <w:t>5826/03</w:t>
        </w:r>
      </w:hyperlink>
      <w:r w:rsidRPr="00CE1672">
        <w:rPr>
          <w:rFonts w:asciiTheme="majorBidi" w:eastAsiaTheme="minorHAnsi" w:hAnsiTheme="majorBidi" w:cstheme="majorBidi"/>
          <w:i/>
          <w:iCs/>
          <w:lang w:eastAsia="en-US"/>
        </w:rPr>
        <w:t>,</w:t>
      </w:r>
      <w:r w:rsidRPr="00CE1672">
        <w:rPr>
          <w:rFonts w:asciiTheme="majorBidi" w:eastAsiaTheme="minorHAnsi" w:hAnsiTheme="majorBidi" w:cstheme="majorBidi"/>
          <w:lang w:eastAsia="en-US"/>
        </w:rPr>
        <w:t xml:space="preserve"> </w:t>
      </w:r>
      <w:r w:rsidRPr="00CE1672">
        <w:rPr>
          <w:rFonts w:asciiTheme="majorBidi" w:eastAsiaTheme="minorHAnsi" w:hAnsiTheme="majorBidi" w:cstheme="majorBidi"/>
          <w:i/>
          <w:iCs/>
          <w:lang w:eastAsia="en-US"/>
        </w:rPr>
        <w:t>186. punkts</w:t>
      </w:r>
      <w:r w:rsidRPr="00CE1672">
        <w:rPr>
          <w:rFonts w:asciiTheme="majorBidi" w:eastAsiaTheme="minorHAnsi" w:hAnsiTheme="majorBidi" w:cstheme="majorBidi"/>
          <w:lang w:eastAsia="en-US"/>
        </w:rPr>
        <w:t>)</w:t>
      </w:r>
      <w:r w:rsidRPr="00CE1672">
        <w:rPr>
          <w:rFonts w:asciiTheme="majorBidi" w:eastAsiaTheme="minorHAnsi" w:hAnsiTheme="majorBidi" w:cstheme="majorBidi"/>
          <w:i/>
          <w:iCs/>
          <w:lang w:eastAsia="en-US"/>
        </w:rPr>
        <w:t>.</w:t>
      </w:r>
    </w:p>
    <w:p w14:paraId="5088DFC8" w14:textId="77777777" w:rsidR="002D15E1" w:rsidRPr="00CE1672" w:rsidRDefault="002D15E1" w:rsidP="00762C2B">
      <w:pPr>
        <w:autoSpaceDE w:val="0"/>
        <w:autoSpaceDN w:val="0"/>
        <w:adjustRightInd w:val="0"/>
        <w:spacing w:line="276" w:lineRule="auto"/>
        <w:ind w:firstLine="720"/>
        <w:jc w:val="both"/>
        <w:rPr>
          <w:rFonts w:asciiTheme="majorBidi" w:eastAsiaTheme="minorHAnsi" w:hAnsiTheme="majorBidi" w:cstheme="majorBidi"/>
          <w:lang w:eastAsia="en-US"/>
        </w:rPr>
      </w:pPr>
      <w:r w:rsidRPr="00CE1672">
        <w:rPr>
          <w:rFonts w:asciiTheme="majorBidi" w:eastAsiaTheme="minorHAnsi" w:hAnsiTheme="majorBidi" w:cstheme="majorBidi"/>
          <w:lang w:eastAsia="en-US"/>
        </w:rPr>
        <w:t>Tādējādi procesa ilguma saprātīguma izvērtēšanā būtiski ņemt vērā katras konkrētas lietas apstākļus, ievērojot vairākus kritērijus, proti, lietas sarežģītību, iesaistīto personu rīcību, aizskartās intereses.</w:t>
      </w:r>
    </w:p>
    <w:p w14:paraId="2203D753" w14:textId="458A0A03" w:rsidR="002E090B" w:rsidRPr="00154BB9" w:rsidRDefault="002D15E1" w:rsidP="00154BB9">
      <w:pPr>
        <w:pStyle w:val="tv213"/>
        <w:shd w:val="clear" w:color="auto" w:fill="FFFFFF"/>
        <w:spacing w:before="0" w:beforeAutospacing="0" w:after="0" w:afterAutospacing="0" w:line="276" w:lineRule="auto"/>
        <w:ind w:firstLine="720"/>
        <w:jc w:val="both"/>
        <w:rPr>
          <w:i/>
        </w:rPr>
      </w:pPr>
      <w:r>
        <w:t xml:space="preserve">Kriminālprocess par Krimināllikuma 175. panta trešajā daļā paredzēto noziedzīgo nodarījumu, kas izdarīts 2012. gada 13. janvārī, uzsākts 2012. gada 18. janvārī. Saistībā ar konkrēto noziedzīgo nodarījumu </w:t>
      </w:r>
      <w:r w:rsidR="00636015">
        <w:t>[pers. A]</w:t>
      </w:r>
      <w:r>
        <w:t xml:space="preserve"> atzīts par aizdomās turēto 2020. gada 6.</w:t>
      </w:r>
      <w:r w:rsidR="001C4822">
        <w:t> </w:t>
      </w:r>
      <w:r>
        <w:t>jūlijā (</w:t>
      </w:r>
      <w:r w:rsidRPr="001B500A">
        <w:rPr>
          <w:i/>
        </w:rPr>
        <w:t>lietas 2. sējuma 147.</w:t>
      </w:r>
      <w:r w:rsidR="006C5E8A">
        <w:rPr>
          <w:i/>
        </w:rPr>
        <w:t> </w:t>
      </w:r>
      <w:r w:rsidRPr="001B500A">
        <w:rPr>
          <w:i/>
        </w:rPr>
        <w:t>lapa</w:t>
      </w:r>
      <w:r>
        <w:t>). 2020. gada 8. jūlijā kriminālprocess nosūtīts kriminālvajāšanas uzsākšanai (</w:t>
      </w:r>
      <w:r w:rsidRPr="001B500A">
        <w:rPr>
          <w:i/>
        </w:rPr>
        <w:t>lietas 2. sējuma 150. lapa</w:t>
      </w:r>
      <w:r>
        <w:t xml:space="preserve">). 2020. gada 17. jūlijā </w:t>
      </w:r>
      <w:r w:rsidR="00636015">
        <w:t>[pers. A]</w:t>
      </w:r>
      <w:r>
        <w:t xml:space="preserve"> saukts pie kriminālatbildības (</w:t>
      </w:r>
      <w:r w:rsidRPr="001B500A">
        <w:rPr>
          <w:i/>
        </w:rPr>
        <w:t>lietas 2. sējuma 157.</w:t>
      </w:r>
      <w:r w:rsidR="00154BB9">
        <w:rPr>
          <w:i/>
        </w:rPr>
        <w:t>–</w:t>
      </w:r>
      <w:r w:rsidRPr="001B500A">
        <w:rPr>
          <w:i/>
        </w:rPr>
        <w:t>158. lapa</w:t>
      </w:r>
      <w:r>
        <w:t>), bet 2020. gada 29. septembrī kriminālprocess nosūtīts pirmās instances tiesai (</w:t>
      </w:r>
      <w:r w:rsidRPr="001B500A">
        <w:rPr>
          <w:i/>
        </w:rPr>
        <w:t>lietas 2. sējuma 193. lapa</w:t>
      </w:r>
      <w:r>
        <w:t>). Pirmās instances tiesa pasludinājusi notiesājošu tiesas spriedumu 2021. gada 13. maijā (</w:t>
      </w:r>
      <w:r w:rsidRPr="001B500A">
        <w:rPr>
          <w:i/>
        </w:rPr>
        <w:t>lietas 3. sējuma 99.</w:t>
      </w:r>
      <w:r w:rsidR="00154BB9">
        <w:rPr>
          <w:i/>
        </w:rPr>
        <w:t>–</w:t>
      </w:r>
      <w:r w:rsidRPr="001B500A">
        <w:rPr>
          <w:i/>
        </w:rPr>
        <w:t>115. lapa</w:t>
      </w:r>
      <w:r>
        <w:t>). Krimināllieta nosūtīta izskatīšanai apelācijas kārtībā 2021. gada 4.</w:t>
      </w:r>
      <w:r w:rsidR="002A6784">
        <w:t> </w:t>
      </w:r>
      <w:r>
        <w:t>oktobrī (</w:t>
      </w:r>
      <w:r w:rsidRPr="001B500A">
        <w:rPr>
          <w:i/>
        </w:rPr>
        <w:t>lietas 3</w:t>
      </w:r>
      <w:r w:rsidR="002A6784">
        <w:rPr>
          <w:i/>
        </w:rPr>
        <w:t>. </w:t>
      </w:r>
      <w:r w:rsidRPr="001B500A">
        <w:rPr>
          <w:i/>
        </w:rPr>
        <w:t>sējuma 197. lapa</w:t>
      </w:r>
      <w:r>
        <w:t>). Apelācijas instances tiesas spriedums pasludināts 2022. gada 7.</w:t>
      </w:r>
      <w:r w:rsidR="002A6784">
        <w:t> </w:t>
      </w:r>
      <w:r>
        <w:t xml:space="preserve">jūlijā. </w:t>
      </w:r>
    </w:p>
    <w:p w14:paraId="48CDE747" w14:textId="4679F4B4" w:rsidR="002D15E1" w:rsidRDefault="002D15E1" w:rsidP="002E090B">
      <w:pPr>
        <w:pStyle w:val="tv213"/>
        <w:shd w:val="clear" w:color="auto" w:fill="FFFFFF"/>
        <w:spacing w:before="0" w:beforeAutospacing="0" w:after="0" w:afterAutospacing="0" w:line="276" w:lineRule="auto"/>
        <w:ind w:firstLine="720"/>
        <w:jc w:val="both"/>
      </w:pPr>
      <w:r>
        <w:t xml:space="preserve">Kopš </w:t>
      </w:r>
      <w:r w:rsidR="00636015">
        <w:t>[pers. A]</w:t>
      </w:r>
      <w:r>
        <w:t xml:space="preserve"> atzīšanas par aizdomās turēto līdz krimināllietas iztiesāšana</w:t>
      </w:r>
      <w:r w:rsidR="00325C19">
        <w:t>i</w:t>
      </w:r>
      <w:r>
        <w:t xml:space="preserve"> apelācijas instances tiesā pagājuši divi gadi. </w:t>
      </w:r>
    </w:p>
    <w:p w14:paraId="1E2E6197" w14:textId="163EF029" w:rsidR="002D15E1" w:rsidRDefault="002D15E1" w:rsidP="00762C2B">
      <w:pPr>
        <w:pStyle w:val="tv213"/>
        <w:shd w:val="clear" w:color="auto" w:fill="FFFFFF"/>
        <w:spacing w:before="0" w:beforeAutospacing="0" w:after="0" w:afterAutospacing="0" w:line="276" w:lineRule="auto"/>
        <w:ind w:firstLine="720"/>
        <w:jc w:val="both"/>
      </w:pPr>
      <w:r>
        <w:t xml:space="preserve">Ievērojot kriminālprocesa apjomu, proti, </w:t>
      </w:r>
      <w:r w:rsidR="00636015">
        <w:t>[pers. A]</w:t>
      </w:r>
      <w:r>
        <w:t xml:space="preserve"> apsūdzēts par septiņu noziedzīg</w:t>
      </w:r>
      <w:r w:rsidR="00325C19">
        <w:t>u</w:t>
      </w:r>
      <w:r>
        <w:t xml:space="preserve"> nodarījumu izdarīšanu, to, ka bijusi izsludināta apsūdzētā meklēšana sakarā ar izvairīšanos no kriminālprocesa, atzīstams, ka divu gadu laika periods ir saprātīg</w:t>
      </w:r>
      <w:r w:rsidR="0016503A">
        <w:t>s</w:t>
      </w:r>
      <w:r>
        <w:t xml:space="preserve"> termiņ</w:t>
      </w:r>
      <w:r w:rsidR="0016503A">
        <w:t>š</w:t>
      </w:r>
      <w:r>
        <w:t xml:space="preserve"> kriminālprocesa veikšanai.</w:t>
      </w:r>
      <w:r w:rsidR="007C5C9D">
        <w:t xml:space="preserve"> Senāts atzīst, ka kriminālprocesā nav konstatējams</w:t>
      </w:r>
      <w:r w:rsidR="00325C19">
        <w:t xml:space="preserve"> </w:t>
      </w:r>
      <w:r w:rsidR="00636015">
        <w:t>[pers. A]</w:t>
      </w:r>
      <w:r w:rsidR="007C5C9D">
        <w:t xml:space="preserve"> tiesību uz kriminālprocesa pabeigšanu saprātīgā termiņā pārkāpums.</w:t>
      </w:r>
    </w:p>
    <w:p w14:paraId="666DB49E" w14:textId="77777777" w:rsidR="00B37B41" w:rsidRDefault="00B37B41" w:rsidP="00762C2B">
      <w:pPr>
        <w:pStyle w:val="tv213"/>
        <w:shd w:val="clear" w:color="auto" w:fill="FFFFFF"/>
        <w:spacing w:before="0" w:beforeAutospacing="0" w:after="0" w:afterAutospacing="0" w:line="276" w:lineRule="auto"/>
        <w:ind w:firstLine="720"/>
        <w:jc w:val="both"/>
      </w:pPr>
    </w:p>
    <w:p w14:paraId="42EACDE4" w14:textId="20B588D2" w:rsidR="00B37B41" w:rsidRDefault="00E654FD" w:rsidP="002E090B">
      <w:pPr>
        <w:pStyle w:val="tv213"/>
        <w:shd w:val="clear" w:color="auto" w:fill="FFFFFF"/>
        <w:spacing w:before="0" w:beforeAutospacing="0" w:after="0" w:afterAutospacing="0" w:line="276" w:lineRule="auto"/>
        <w:ind w:firstLine="709"/>
        <w:jc w:val="both"/>
      </w:pPr>
      <w:r>
        <w:t>[</w:t>
      </w:r>
      <w:r w:rsidR="00597C66">
        <w:t>7</w:t>
      </w:r>
      <w:r>
        <w:t xml:space="preserve">] </w:t>
      </w:r>
      <w:r w:rsidR="00B37B41">
        <w:t xml:space="preserve">Senāts atzīst, ka pārējā daļā apelācijas instances tiesas spriedums atstājams negrozīts, bet apsūdzētā </w:t>
      </w:r>
      <w:r w:rsidR="00636015">
        <w:t>[pers. A]</w:t>
      </w:r>
      <w:r w:rsidR="00B37B41">
        <w:t xml:space="preserve"> un viņa aizstāvja M. Vitkovska kasācijas sūdzības noraidāmas kā nepamatotas.</w:t>
      </w:r>
      <w:r w:rsidR="00FF7BEB">
        <w:t xml:space="preserve"> </w:t>
      </w:r>
      <w:r w:rsidR="0016503A">
        <w:t>K</w:t>
      </w:r>
      <w:r w:rsidR="00FF7BEB">
        <w:t xml:space="preserve">asatoru apsvērumi </w:t>
      </w:r>
      <w:r w:rsidR="0016503A">
        <w:t xml:space="preserve">par Kriminālprocesa likuma 19. panta trešās daļas pārkāpumu </w:t>
      </w:r>
      <w:r w:rsidR="00FF7BEB">
        <w:t>ir saistīti ar lietā esošo pierādījumu citādu vērtējumu</w:t>
      </w:r>
      <w:r w:rsidR="00DE2998">
        <w:t>,</w:t>
      </w:r>
      <w:r w:rsidR="00FF7BEB">
        <w:t xml:space="preserve"> nekā tos vērtējusi apelācijas instances tiesa un kasācijas sūdzības šajā daļā iesniegtas ar mērķi atcelt apelācijas instances tiesas spriedumu faktisku iemeslu dēļ, kas neatbilst Kriminālprocesa likuma 569.</w:t>
      </w:r>
      <w:r w:rsidR="002A6784">
        <w:t> </w:t>
      </w:r>
      <w:r w:rsidR="00FF7BEB">
        <w:t>panta nosacījumiem.</w:t>
      </w:r>
    </w:p>
    <w:p w14:paraId="6A6D1804" w14:textId="4FB31415" w:rsidR="002E090B" w:rsidRDefault="00B37B41" w:rsidP="002E090B">
      <w:pPr>
        <w:pStyle w:val="tv213"/>
        <w:shd w:val="clear" w:color="auto" w:fill="FFFFFF"/>
        <w:spacing w:before="0" w:beforeAutospacing="0" w:after="0" w:afterAutospacing="0" w:line="276" w:lineRule="auto"/>
        <w:ind w:firstLine="709"/>
        <w:jc w:val="both"/>
      </w:pPr>
      <w:r>
        <w:t xml:space="preserve">Apelācijas instances tiesa, atstājot negrozītu pirmās instances tiesas spriedumu daļā par </w:t>
      </w:r>
      <w:r w:rsidR="00636015">
        <w:t>[pers. A]</w:t>
      </w:r>
      <w:r>
        <w:t xml:space="preserve"> </w:t>
      </w:r>
      <w:r w:rsidR="00325C19">
        <w:t xml:space="preserve">atzīšanu par vainīgu un viņa </w:t>
      </w:r>
      <w:r>
        <w:t xml:space="preserve">noziedzīgo darbību kvalifikāciju par diviem Krimināllikuma 185. panta </w:t>
      </w:r>
      <w:r w:rsidR="000631BC">
        <w:t>pirmajā</w:t>
      </w:r>
      <w:r>
        <w:t xml:space="preserve"> daļā paredzētiem noziedzīgajiem nodarījumiem, četriem Krimināllikuma 175. panta trešajā daļā paredzētiem noziedzīgajiem nodarījumiem un</w:t>
      </w:r>
      <w:r w:rsidR="00325C19">
        <w:t xml:space="preserve"> atzīstot </w:t>
      </w:r>
      <w:r w:rsidR="00636015">
        <w:t>[pers. A]</w:t>
      </w:r>
      <w:r>
        <w:t xml:space="preserve"> par vainīgu un sod</w:t>
      </w:r>
      <w:r w:rsidR="00325C19">
        <w:t>ot</w:t>
      </w:r>
      <w:r>
        <w:t xml:space="preserve"> par Krimināllikuma 175. panta trešajā daļā</w:t>
      </w:r>
      <w:r w:rsidR="00325C19">
        <w:t xml:space="preserve"> paredzēto noziedzīgo nodarījumu</w:t>
      </w:r>
      <w:r>
        <w:t xml:space="preserve"> (izdarīts 2019. gada 22.</w:t>
      </w:r>
      <w:r w:rsidR="002A6784">
        <w:t> </w:t>
      </w:r>
      <w:r>
        <w:t xml:space="preserve">martā), atzinusi, ka pirmās instances tiesa ir izvērtējusi lietā iegūtos pierādījumus atbilstoši Kriminālprocesa likuma prasībām un pamatoti konstatējusi </w:t>
      </w:r>
      <w:r w:rsidR="00636015">
        <w:t>[pers. A]</w:t>
      </w:r>
      <w:r>
        <w:t xml:space="preserve"> darbībās visas nepieciešamās un obligātās Krimināllikuma 175. panta trešajā daļā un 185. panta </w:t>
      </w:r>
      <w:r w:rsidR="000631BC">
        <w:t>pirmajā</w:t>
      </w:r>
      <w:r>
        <w:t xml:space="preserve"> daļā paredzēto noziedzīgo nodarījumu sastāvu pazīmes. Tiesa atzinusi, ka ar pierādījumiem lietā, tajā skaitā, liecinieces </w:t>
      </w:r>
      <w:r w:rsidR="00636015">
        <w:t>[pers. B]</w:t>
      </w:r>
      <w:r>
        <w:t xml:space="preserve"> un </w:t>
      </w:r>
      <w:r w:rsidR="00636015">
        <w:t>[pers. C]</w:t>
      </w:r>
      <w:r>
        <w:t xml:space="preserve"> liecībām, novērtējot tos kopumā un savstarpējā sakarībā</w:t>
      </w:r>
      <w:r w:rsidR="00C439E1">
        <w:t xml:space="preserve"> ar citiem pierādījumiem</w:t>
      </w:r>
      <w:r>
        <w:t xml:space="preserve">, apsūdzētā vainīgums </w:t>
      </w:r>
      <w:r w:rsidR="00E82EA0">
        <w:t xml:space="preserve">arī </w:t>
      </w:r>
      <w:r>
        <w:t>Krimināllikuma 175. panta trešajā daļā (izdarīts 2012. gada 13. janvārī) paredzētajā noziedzīgajā nodarījumā ir pierādīts ārpus saprātīgām šaubām.</w:t>
      </w:r>
    </w:p>
    <w:p w14:paraId="5A08AA5E" w14:textId="11098574" w:rsidR="00C439E1" w:rsidRDefault="00C439E1" w:rsidP="002E090B">
      <w:pPr>
        <w:pStyle w:val="tv213"/>
        <w:shd w:val="clear" w:color="auto" w:fill="FFFFFF"/>
        <w:spacing w:before="0" w:beforeAutospacing="0" w:after="0" w:afterAutospacing="0" w:line="276" w:lineRule="auto"/>
        <w:ind w:firstLine="709"/>
        <w:jc w:val="both"/>
      </w:pPr>
      <w:r>
        <w:t>Senāts norāda, ka atbilstoši Kriminālprocesa likuma 569.</w:t>
      </w:r>
      <w:r w:rsidR="008F2D52">
        <w:t> </w:t>
      </w:r>
      <w:r>
        <w:t>panta pirmajai un trešajai daļai kasācijas instances tiesa lietu pēc būtības neizskata, lietas faktiskos apstākļus neskaidro un pierādījumus lietā no jauna neizvērtē. Kriminālprocesa likuma normu pārkāpumus pierādījumu vērtēšanā Senāts nekonstatē.</w:t>
      </w:r>
    </w:p>
    <w:p w14:paraId="606591FF" w14:textId="77777777" w:rsidR="007F797B" w:rsidRDefault="007F797B" w:rsidP="002E090B">
      <w:pPr>
        <w:pStyle w:val="tv213"/>
        <w:shd w:val="clear" w:color="auto" w:fill="FFFFFF"/>
        <w:spacing w:before="0" w:beforeAutospacing="0" w:after="0" w:afterAutospacing="0" w:line="276" w:lineRule="auto"/>
        <w:ind w:firstLine="709"/>
        <w:jc w:val="both"/>
      </w:pPr>
    </w:p>
    <w:p w14:paraId="0389F558" w14:textId="0EC0AE3D" w:rsidR="00E82EA0" w:rsidRDefault="007F797B" w:rsidP="002E090B">
      <w:pPr>
        <w:pStyle w:val="tv213"/>
        <w:shd w:val="clear" w:color="auto" w:fill="FFFFFF"/>
        <w:spacing w:before="0" w:beforeAutospacing="0" w:after="0" w:afterAutospacing="0" w:line="276" w:lineRule="auto"/>
        <w:ind w:firstLine="709"/>
        <w:jc w:val="both"/>
      </w:pPr>
      <w:r>
        <w:t xml:space="preserve">[8] </w:t>
      </w:r>
      <w:r w:rsidR="00E82EA0">
        <w:t>Kriminālprocesa likuma 528.</w:t>
      </w:r>
      <w:r w:rsidR="008F2D52">
        <w:t> </w:t>
      </w:r>
      <w:r w:rsidR="00E82EA0">
        <w:t xml:space="preserve">panta pirmās daļas 5. punkts noteic, ka notiesājoša sprieduma rezolutīvajā daļā norāda tiesas lēmumu par apsūdzētajam piemēroto ar brīvības atņemšanu saistīto drošības līdzekļu termiņa ieskaitīšanu soda termiņā. </w:t>
      </w:r>
    </w:p>
    <w:p w14:paraId="7FA5ECBB" w14:textId="51BB460F" w:rsidR="00FF7BEB" w:rsidRDefault="00C439E1" w:rsidP="008F2D52">
      <w:pPr>
        <w:pStyle w:val="tv213"/>
        <w:shd w:val="clear" w:color="auto" w:fill="FFFFFF"/>
        <w:spacing w:before="0" w:beforeAutospacing="0" w:after="0" w:afterAutospacing="0" w:line="276" w:lineRule="auto"/>
        <w:ind w:firstLine="709"/>
        <w:jc w:val="both"/>
      </w:pPr>
      <w:r>
        <w:t>A</w:t>
      </w:r>
      <w:r w:rsidR="00FF7BEB">
        <w:t>pelācijas instances tiesa</w:t>
      </w:r>
      <w:r w:rsidR="00E82EA0">
        <w:t>, taisot jaunu spriedumu daļā,</w:t>
      </w:r>
      <w:r w:rsidR="00FF7BEB">
        <w:t xml:space="preserve"> nav atcēlusi pirmās instances tiesas spriedumu par Krimināllikuma 52.</w:t>
      </w:r>
      <w:r w:rsidR="008F2D52">
        <w:t> </w:t>
      </w:r>
      <w:r w:rsidR="00FF7BEB">
        <w:t>panta piemērošanu</w:t>
      </w:r>
      <w:r w:rsidR="007F797B">
        <w:t>.</w:t>
      </w:r>
      <w:r>
        <w:t xml:space="preserve"> Senāts konstatē, ka t</w:t>
      </w:r>
      <w:r w:rsidR="007F797B">
        <w:t>iesa</w:t>
      </w:r>
      <w:r w:rsidR="00FF7BEB">
        <w:t xml:space="preserve"> </w:t>
      </w:r>
      <w:r w:rsidR="00E82EA0">
        <w:t>nav izpildījusi Kriminālprocesa likuma 528.</w:t>
      </w:r>
      <w:r w:rsidR="008F2D52">
        <w:t> </w:t>
      </w:r>
      <w:r w:rsidR="00E82EA0">
        <w:t>panta pirmās daļas 5.</w:t>
      </w:r>
      <w:r w:rsidR="008F2D52">
        <w:t> </w:t>
      </w:r>
      <w:r w:rsidR="00E82EA0">
        <w:t>punktā noteikto.</w:t>
      </w:r>
      <w:r w:rsidR="007F797B">
        <w:t xml:space="preserve"> Minēto pārkāpumu Senāts neatzīst par</w:t>
      </w:r>
      <w:r w:rsidR="007F797B" w:rsidRPr="007F797B">
        <w:t xml:space="preserve"> </w:t>
      </w:r>
      <w:r w:rsidR="007F797B">
        <w:t xml:space="preserve">Kriminālprocesa likuma būtisku pārkāpumu šā likuma 575. panta izpratnē. </w:t>
      </w:r>
      <w:r>
        <w:t>Minētais trūkums novēršams, izskatot lietu</w:t>
      </w:r>
      <w:r w:rsidR="00102618" w:rsidRPr="00102618">
        <w:t xml:space="preserve"> </w:t>
      </w:r>
      <w:r w:rsidR="00102618">
        <w:t>no jauna</w:t>
      </w:r>
      <w:r w:rsidR="00102618" w:rsidRPr="00102618">
        <w:t xml:space="preserve"> </w:t>
      </w:r>
      <w:r w:rsidR="00102618">
        <w:t>atceltajā daļā</w:t>
      </w:r>
      <w:r w:rsidR="007F797B">
        <w:t xml:space="preserve"> apelācijas instances ties</w:t>
      </w:r>
      <w:r>
        <w:t>ā</w:t>
      </w:r>
      <w:r w:rsidR="007F797B">
        <w:t>.</w:t>
      </w:r>
      <w:r w:rsidR="00FF7BEB">
        <w:t xml:space="preserve"> </w:t>
      </w:r>
    </w:p>
    <w:p w14:paraId="6D5C14B6" w14:textId="77777777" w:rsidR="00723974" w:rsidRDefault="00723974" w:rsidP="00762C2B">
      <w:pPr>
        <w:pStyle w:val="tv213"/>
        <w:shd w:val="clear" w:color="auto" w:fill="FFFFFF"/>
        <w:spacing w:before="0" w:beforeAutospacing="0" w:after="0" w:afterAutospacing="0" w:line="276" w:lineRule="auto"/>
        <w:ind w:firstLine="720"/>
        <w:jc w:val="both"/>
      </w:pPr>
    </w:p>
    <w:p w14:paraId="6FFF999A" w14:textId="5748BBB1" w:rsidR="009E487A" w:rsidRDefault="00B37B41" w:rsidP="002E090B">
      <w:pPr>
        <w:spacing w:line="276" w:lineRule="auto"/>
        <w:ind w:firstLine="709"/>
        <w:jc w:val="both"/>
      </w:pPr>
      <w:r>
        <w:t>[</w:t>
      </w:r>
      <w:r w:rsidR="007F797B">
        <w:t>9</w:t>
      </w:r>
      <w:r>
        <w:t xml:space="preserve">] </w:t>
      </w:r>
      <w:r w:rsidR="00851A33">
        <w:t xml:space="preserve">Senāts atzīst, ka Rīgas apgabaltiesas 2022. gada 7. jūlija spriedums atceļams daļā par </w:t>
      </w:r>
      <w:r w:rsidR="00636015">
        <w:t>[pers. A]</w:t>
      </w:r>
      <w:r w:rsidR="007F797B">
        <w:t xml:space="preserve"> </w:t>
      </w:r>
      <w:proofErr w:type="gramStart"/>
      <w:r w:rsidR="00851A33">
        <w:t>pēc Krimināllikuma 175.</w:t>
      </w:r>
      <w:r w:rsidR="008F2D52">
        <w:t> </w:t>
      </w:r>
      <w:r w:rsidR="00851A33">
        <w:t>panta trešās daļas (izdarīts 2012. gada 13. janvārī)</w:t>
      </w:r>
      <w:r w:rsidR="0016503A" w:rsidRPr="0016503A">
        <w:t xml:space="preserve"> </w:t>
      </w:r>
      <w:r w:rsidR="0016503A">
        <w:t>noteikto sodu</w:t>
      </w:r>
      <w:r w:rsidR="00851A33">
        <w:t xml:space="preserve"> un</w:t>
      </w:r>
      <w:r w:rsidR="007C5C9D" w:rsidRPr="007C5C9D">
        <w:t xml:space="preserve"> </w:t>
      </w:r>
      <w:r w:rsidR="007C5C9D">
        <w:t>saskaņā ar Krimināllikuma 50. panta pirmo un trešo daļu noteikto galīgo sodu</w:t>
      </w:r>
      <w:proofErr w:type="gramEnd"/>
      <w:r w:rsidR="007C5C9D">
        <w:t xml:space="preserve"> lēmuma [6.1] izklāstīto iemeslu dēļ</w:t>
      </w:r>
      <w:r w:rsidR="00851A33">
        <w:t>.</w:t>
      </w:r>
    </w:p>
    <w:p w14:paraId="1A3A860A" w14:textId="77777777" w:rsidR="009E487A" w:rsidRDefault="009E487A" w:rsidP="002E090B">
      <w:pPr>
        <w:spacing w:line="276" w:lineRule="auto"/>
        <w:ind w:firstLine="709"/>
        <w:jc w:val="both"/>
      </w:pPr>
    </w:p>
    <w:p w14:paraId="0093708C" w14:textId="0F5F8640" w:rsidR="00723974" w:rsidRPr="00723974" w:rsidRDefault="00723974" w:rsidP="002E090B">
      <w:pPr>
        <w:spacing w:line="276" w:lineRule="auto"/>
        <w:ind w:firstLine="709"/>
        <w:jc w:val="both"/>
        <w:rPr>
          <w:rStyle w:val="Emphasis"/>
          <w:i w:val="0"/>
          <w:iCs w:val="0"/>
        </w:rPr>
      </w:pPr>
      <w:bookmarkStart w:id="4" w:name="_Hlk123562987"/>
      <w:r>
        <w:t>[</w:t>
      </w:r>
      <w:r w:rsidR="00CE1672">
        <w:t>10</w:t>
      </w:r>
      <w:r>
        <w:t xml:space="preserve">] </w:t>
      </w:r>
      <w:r w:rsidRPr="00723974">
        <w:rPr>
          <w:rStyle w:val="Emphasis"/>
          <w:i w:val="0"/>
        </w:rPr>
        <w:t xml:space="preserve">Kriminālprocesa likuma </w:t>
      </w:r>
      <w:r>
        <w:rPr>
          <w:rStyle w:val="Emphasis"/>
          <w:i w:val="0"/>
        </w:rPr>
        <w:t>588. </w:t>
      </w:r>
      <w:r w:rsidRPr="00723974">
        <w:rPr>
          <w:rStyle w:val="Emphasis"/>
          <w:i w:val="0"/>
        </w:rPr>
        <w:t>panta 3</w:t>
      </w:r>
      <w:r w:rsidRPr="00723974">
        <w:rPr>
          <w:rStyle w:val="Emphasis"/>
          <w:i w:val="0"/>
          <w:vertAlign w:val="superscript"/>
        </w:rPr>
        <w:t>1</w:t>
      </w:r>
      <w:r>
        <w:rPr>
          <w:rStyle w:val="Emphasis"/>
          <w:i w:val="0"/>
        </w:rPr>
        <w:t>. d</w:t>
      </w:r>
      <w:r w:rsidRPr="00723974">
        <w:rPr>
          <w:rStyle w:val="Emphasis"/>
          <w:i w:val="0"/>
        </w:rPr>
        <w:t xml:space="preserve">aļa noteic: ja kasācijas instances tiesa pieņem šā likuma </w:t>
      </w:r>
      <w:r>
        <w:rPr>
          <w:rStyle w:val="Emphasis"/>
          <w:i w:val="0"/>
        </w:rPr>
        <w:t>587. </w:t>
      </w:r>
      <w:r w:rsidRPr="00723974">
        <w:rPr>
          <w:rStyle w:val="Emphasis"/>
          <w:i w:val="0"/>
        </w:rPr>
        <w:t>panta</w:t>
      </w:r>
      <w:r>
        <w:rPr>
          <w:rStyle w:val="Emphasis"/>
          <w:i w:val="0"/>
        </w:rPr>
        <w:t xml:space="preserve"> pirmās daļas 2. </w:t>
      </w:r>
      <w:r w:rsidRPr="00723974">
        <w:rPr>
          <w:rStyle w:val="Emphasis"/>
          <w:i w:val="0"/>
        </w:rPr>
        <w:t xml:space="preserve">punktā paredzēto lēmumu, tā izlemj jautājumu arī par drošības līdzekli. </w:t>
      </w:r>
    </w:p>
    <w:bookmarkEnd w:id="4"/>
    <w:p w14:paraId="33516A06" w14:textId="4C34526D" w:rsidR="00723974" w:rsidRPr="00723974" w:rsidRDefault="00723974" w:rsidP="00762C2B">
      <w:pPr>
        <w:spacing w:line="276" w:lineRule="auto"/>
        <w:ind w:right="-1" w:firstLine="709"/>
        <w:jc w:val="both"/>
        <w:rPr>
          <w:rStyle w:val="Emphasis"/>
          <w:i w:val="0"/>
        </w:rPr>
      </w:pPr>
      <w:r w:rsidRPr="00723974">
        <w:rPr>
          <w:rStyle w:val="Emphasis"/>
          <w:i w:val="0"/>
        </w:rPr>
        <w:t>A</w:t>
      </w:r>
      <w:r>
        <w:rPr>
          <w:rStyle w:val="Emphasis"/>
          <w:i w:val="0"/>
        </w:rPr>
        <w:t>psūdzētaja</w:t>
      </w:r>
      <w:r w:rsidRPr="00723974">
        <w:rPr>
          <w:rStyle w:val="Emphasis"/>
          <w:i w:val="0"/>
        </w:rPr>
        <w:t xml:space="preserve">m </w:t>
      </w:r>
      <w:r w:rsidR="00636015">
        <w:rPr>
          <w:rStyle w:val="Emphasis"/>
          <w:i w:val="0"/>
        </w:rPr>
        <w:t>[pers. A]</w:t>
      </w:r>
      <w:r w:rsidRPr="00723974">
        <w:rPr>
          <w:rStyle w:val="Emphasis"/>
          <w:i w:val="0"/>
        </w:rPr>
        <w:t xml:space="preserve"> pirmstiesas kriminālproces</w:t>
      </w:r>
      <w:r w:rsidR="00BF5F92">
        <w:rPr>
          <w:rStyle w:val="Emphasis"/>
          <w:i w:val="0"/>
        </w:rPr>
        <w:t>ā</w:t>
      </w:r>
      <w:r w:rsidRPr="00723974">
        <w:rPr>
          <w:rStyle w:val="Emphasis"/>
          <w:i w:val="0"/>
        </w:rPr>
        <w:t xml:space="preserve"> piemērots drošības līdzeklis – apcietinājums.</w:t>
      </w:r>
    </w:p>
    <w:p w14:paraId="555D46BD" w14:textId="3B34BA78" w:rsidR="00723974" w:rsidRPr="00723974" w:rsidRDefault="00723974" w:rsidP="00762C2B">
      <w:pPr>
        <w:spacing w:line="276" w:lineRule="auto"/>
        <w:ind w:right="-1" w:firstLine="709"/>
        <w:jc w:val="both"/>
        <w:rPr>
          <w:rStyle w:val="Emphasis"/>
          <w:i w:val="0"/>
        </w:rPr>
      </w:pPr>
      <w:r w:rsidRPr="00723974">
        <w:rPr>
          <w:rStyle w:val="Emphasis"/>
          <w:i w:val="0"/>
        </w:rPr>
        <w:t xml:space="preserve">Kriminālprocesa likuma </w:t>
      </w:r>
      <w:r>
        <w:rPr>
          <w:rStyle w:val="Emphasis"/>
          <w:i w:val="0"/>
        </w:rPr>
        <w:t>272. </w:t>
      </w:r>
      <w:r w:rsidRPr="00723974">
        <w:rPr>
          <w:rStyle w:val="Emphasis"/>
          <w:i w:val="0"/>
        </w:rPr>
        <w:t>panta ceturtā daļa noteic, ka pamats apcietinājumam var būt tiesas spriedums par smaga vai sevišķi smaga nozieguma izdarīšanu, par kuru piespriests brīvības atņemšanas sods.</w:t>
      </w:r>
    </w:p>
    <w:p w14:paraId="766FAED7" w14:textId="43816E02" w:rsidR="00723974" w:rsidRPr="00723974" w:rsidRDefault="00723974" w:rsidP="00762C2B">
      <w:pPr>
        <w:spacing w:line="276" w:lineRule="auto"/>
        <w:ind w:right="-1" w:firstLine="709"/>
        <w:jc w:val="both"/>
        <w:rPr>
          <w:rStyle w:val="Emphasis"/>
          <w:i w:val="0"/>
        </w:rPr>
      </w:pPr>
      <w:r w:rsidRPr="00723974">
        <w:rPr>
          <w:rStyle w:val="Emphasis"/>
          <w:i w:val="0"/>
        </w:rPr>
        <w:t>Ievērojot to, ka apsūdzēt</w:t>
      </w:r>
      <w:r>
        <w:rPr>
          <w:rStyle w:val="Emphasis"/>
          <w:i w:val="0"/>
        </w:rPr>
        <w:t>ais</w:t>
      </w:r>
      <w:r w:rsidRPr="00723974">
        <w:rPr>
          <w:rStyle w:val="Emphasis"/>
          <w:i w:val="0"/>
        </w:rPr>
        <w:t xml:space="preserve"> </w:t>
      </w:r>
      <w:r w:rsidR="00636015">
        <w:rPr>
          <w:rStyle w:val="Emphasis"/>
          <w:i w:val="0"/>
        </w:rPr>
        <w:t>[pers. A]</w:t>
      </w:r>
      <w:r w:rsidRPr="00723974">
        <w:rPr>
          <w:rStyle w:val="Emphasis"/>
          <w:i w:val="0"/>
        </w:rPr>
        <w:t xml:space="preserve"> ar pirmās instances tiesas spriedumu atzīt</w:t>
      </w:r>
      <w:r>
        <w:rPr>
          <w:rStyle w:val="Emphasis"/>
          <w:i w:val="0"/>
        </w:rPr>
        <w:t>s par vainīgu</w:t>
      </w:r>
      <w:r w:rsidRPr="00723974">
        <w:rPr>
          <w:rStyle w:val="Emphasis"/>
          <w:i w:val="0"/>
        </w:rPr>
        <w:t xml:space="preserve"> smagu noziegumu izdarīšanā, par kuriem viņ</w:t>
      </w:r>
      <w:r>
        <w:rPr>
          <w:rStyle w:val="Emphasis"/>
          <w:i w:val="0"/>
        </w:rPr>
        <w:t>a</w:t>
      </w:r>
      <w:r w:rsidRPr="00723974">
        <w:rPr>
          <w:rStyle w:val="Emphasis"/>
          <w:i w:val="0"/>
        </w:rPr>
        <w:t>m noteikts brīvības atņemšanas sods, Senāts atzīst, ka apsūdzētaj</w:t>
      </w:r>
      <w:r>
        <w:rPr>
          <w:rStyle w:val="Emphasis"/>
          <w:i w:val="0"/>
        </w:rPr>
        <w:t>a</w:t>
      </w:r>
      <w:r w:rsidRPr="00723974">
        <w:rPr>
          <w:rStyle w:val="Emphasis"/>
          <w:i w:val="0"/>
        </w:rPr>
        <w:t xml:space="preserve">m </w:t>
      </w:r>
      <w:r w:rsidR="00636015">
        <w:rPr>
          <w:rStyle w:val="Emphasis"/>
          <w:i w:val="0"/>
        </w:rPr>
        <w:t>[pers. A]</w:t>
      </w:r>
      <w:r w:rsidRPr="00723974">
        <w:rPr>
          <w:rStyle w:val="Emphasis"/>
          <w:i w:val="0"/>
        </w:rPr>
        <w:t xml:space="preserve"> turpināma drošības līdzekļa – apcietinājuma – piemērošana.</w:t>
      </w:r>
    </w:p>
    <w:p w14:paraId="35935F19" w14:textId="77777777" w:rsidR="00723974" w:rsidRDefault="00723974" w:rsidP="00762C2B">
      <w:pPr>
        <w:pStyle w:val="tv213"/>
        <w:shd w:val="clear" w:color="auto" w:fill="FFFFFF"/>
        <w:spacing w:before="0" w:beforeAutospacing="0" w:after="0" w:afterAutospacing="0" w:line="276" w:lineRule="auto"/>
        <w:ind w:firstLine="720"/>
        <w:jc w:val="center"/>
      </w:pPr>
    </w:p>
    <w:p w14:paraId="71B4189F" w14:textId="77777777" w:rsidR="00723974" w:rsidRDefault="00723974" w:rsidP="00546F3E">
      <w:pPr>
        <w:pStyle w:val="tv213"/>
        <w:shd w:val="clear" w:color="auto" w:fill="FFFFFF"/>
        <w:spacing w:before="0" w:beforeAutospacing="0" w:after="0" w:afterAutospacing="0" w:line="276" w:lineRule="auto"/>
        <w:jc w:val="center"/>
        <w:rPr>
          <w:b/>
        </w:rPr>
      </w:pPr>
      <w:r>
        <w:rPr>
          <w:b/>
        </w:rPr>
        <w:t>Rezolutīvā daļa</w:t>
      </w:r>
    </w:p>
    <w:p w14:paraId="25218419" w14:textId="77777777" w:rsidR="00283E08" w:rsidRDefault="00283E08" w:rsidP="00762C2B">
      <w:pPr>
        <w:pStyle w:val="tv213"/>
        <w:shd w:val="clear" w:color="auto" w:fill="FFFFFF"/>
        <w:spacing w:before="0" w:beforeAutospacing="0" w:after="0" w:afterAutospacing="0" w:line="276" w:lineRule="auto"/>
        <w:ind w:firstLine="720"/>
        <w:jc w:val="both"/>
      </w:pPr>
    </w:p>
    <w:p w14:paraId="11D58222" w14:textId="77777777" w:rsidR="00723974" w:rsidRDefault="00723974" w:rsidP="00762C2B">
      <w:pPr>
        <w:pStyle w:val="tv213"/>
        <w:shd w:val="clear" w:color="auto" w:fill="FFFFFF"/>
        <w:spacing w:before="0" w:beforeAutospacing="0" w:after="0" w:afterAutospacing="0" w:line="276" w:lineRule="auto"/>
        <w:ind w:firstLine="720"/>
        <w:jc w:val="both"/>
      </w:pPr>
      <w:r>
        <w:t xml:space="preserve">Pamatojoties uz Kriminālprocesa likuma 585. </w:t>
      </w:r>
      <w:r w:rsidR="00283E08">
        <w:t>un 587. pantu, Senāts</w:t>
      </w:r>
    </w:p>
    <w:p w14:paraId="46EE1E07" w14:textId="77777777" w:rsidR="00283E08" w:rsidRDefault="00283E08" w:rsidP="00762C2B">
      <w:pPr>
        <w:pStyle w:val="tv213"/>
        <w:shd w:val="clear" w:color="auto" w:fill="FFFFFF"/>
        <w:spacing w:before="0" w:beforeAutospacing="0" w:after="0" w:afterAutospacing="0" w:line="276" w:lineRule="auto"/>
        <w:ind w:firstLine="720"/>
        <w:jc w:val="both"/>
      </w:pPr>
    </w:p>
    <w:p w14:paraId="3802DDEB" w14:textId="77777777" w:rsidR="00283E08" w:rsidRDefault="00283E08" w:rsidP="00546F3E">
      <w:pPr>
        <w:pStyle w:val="tv213"/>
        <w:shd w:val="clear" w:color="auto" w:fill="FFFFFF"/>
        <w:spacing w:before="0" w:beforeAutospacing="0" w:after="0" w:afterAutospacing="0" w:line="276" w:lineRule="auto"/>
        <w:jc w:val="center"/>
        <w:rPr>
          <w:b/>
        </w:rPr>
      </w:pPr>
      <w:r>
        <w:rPr>
          <w:b/>
        </w:rPr>
        <w:t>n</w:t>
      </w:r>
      <w:r w:rsidRPr="00283E08">
        <w:rPr>
          <w:b/>
        </w:rPr>
        <w:t>olēma</w:t>
      </w:r>
    </w:p>
    <w:p w14:paraId="61083F02" w14:textId="77777777" w:rsidR="00283E08" w:rsidRDefault="00283E08" w:rsidP="00762C2B">
      <w:pPr>
        <w:pStyle w:val="tv213"/>
        <w:shd w:val="clear" w:color="auto" w:fill="FFFFFF"/>
        <w:spacing w:before="0" w:beforeAutospacing="0" w:after="0" w:afterAutospacing="0" w:line="276" w:lineRule="auto"/>
        <w:ind w:firstLine="720"/>
        <w:jc w:val="both"/>
      </w:pPr>
    </w:p>
    <w:p w14:paraId="5CCEDF5E" w14:textId="6A1CB53C" w:rsidR="00000349" w:rsidRDefault="00283E08" w:rsidP="00762C2B">
      <w:pPr>
        <w:spacing w:line="276" w:lineRule="auto"/>
        <w:ind w:firstLine="720"/>
        <w:jc w:val="both"/>
      </w:pPr>
      <w:r>
        <w:t>atcelt Rīgas apgabaltiesas 2022. gada 7. jūlija spriedumu daļā par</w:t>
      </w:r>
      <w:r w:rsidRPr="00283E08">
        <w:t xml:space="preserve"> </w:t>
      </w:r>
      <w:r w:rsidR="00636015">
        <w:rPr>
          <w:rFonts w:asciiTheme="majorBidi" w:hAnsiTheme="majorBidi" w:cstheme="majorBidi"/>
        </w:rPr>
        <w:t>[pers. A]</w:t>
      </w:r>
      <w:r w:rsidR="00167BBF">
        <w:rPr>
          <w:rFonts w:asciiTheme="majorBidi" w:hAnsiTheme="majorBidi" w:cstheme="majorBidi"/>
        </w:rPr>
        <w:t xml:space="preserve"> noteikto sodu</w:t>
      </w:r>
      <w:r>
        <w:t xml:space="preserve"> pēc Krimināllikuma 175. panta trešās daļas (</w:t>
      </w:r>
      <w:r w:rsidR="00167BBF">
        <w:t xml:space="preserve">izdarīts </w:t>
      </w:r>
      <w:r>
        <w:t>2012. gada 13. janvārī) un saskaņā ar Krimināllikuma 50. panta pirmo un trešo daļu noteikto galīgo sodu</w:t>
      </w:r>
      <w:r w:rsidR="00000349">
        <w:t>;</w:t>
      </w:r>
    </w:p>
    <w:p w14:paraId="1CC6DA70" w14:textId="77777777" w:rsidR="00000349" w:rsidRDefault="00000349" w:rsidP="00000349">
      <w:pPr>
        <w:spacing w:line="276" w:lineRule="auto"/>
        <w:ind w:firstLine="720"/>
        <w:jc w:val="both"/>
      </w:pPr>
      <w:r>
        <w:t>a</w:t>
      </w:r>
      <w:r w:rsidR="00167BBF">
        <w:t>tceltajā daļā lietu nosūtīt jaunai izskatīšanai Rīgas apgabaltiesā</w:t>
      </w:r>
      <w:r>
        <w:t>;</w:t>
      </w:r>
    </w:p>
    <w:p w14:paraId="57A5927D" w14:textId="77936824" w:rsidR="00000349" w:rsidRDefault="00000349" w:rsidP="00000349">
      <w:pPr>
        <w:spacing w:line="276" w:lineRule="auto"/>
        <w:ind w:firstLine="720"/>
        <w:jc w:val="both"/>
      </w:pPr>
      <w:r>
        <w:t>p</w:t>
      </w:r>
      <w:r w:rsidR="00283E08">
        <w:t xml:space="preserve">ārējā daļā Rīgas apgabaltiesas 2022. gada 7. jūlija spriedumu atstāt negrozītu, bet apsūdzētā </w:t>
      </w:r>
      <w:r w:rsidR="00636015">
        <w:rPr>
          <w:rFonts w:asciiTheme="majorBidi" w:hAnsiTheme="majorBidi" w:cstheme="majorBidi"/>
        </w:rPr>
        <w:t>[pers. A]</w:t>
      </w:r>
      <w:r w:rsidR="00283E08">
        <w:t xml:space="preserve"> un viņa aizstāvja M</w:t>
      </w:r>
      <w:r w:rsidR="00167BBF">
        <w:t>odra</w:t>
      </w:r>
      <w:r w:rsidR="00283E08">
        <w:t> Vitkovska kasācijas sūdzības noraidīt</w:t>
      </w:r>
      <w:r>
        <w:t>;</w:t>
      </w:r>
    </w:p>
    <w:p w14:paraId="771D750C" w14:textId="7CD25B8A" w:rsidR="00283E08" w:rsidRDefault="00000349" w:rsidP="00000349">
      <w:pPr>
        <w:spacing w:line="276" w:lineRule="auto"/>
        <w:ind w:firstLine="720"/>
        <w:jc w:val="both"/>
      </w:pPr>
      <w:r>
        <w:t>a</w:t>
      </w:r>
      <w:r w:rsidR="00283E08">
        <w:t xml:space="preserve">psūdzētajam </w:t>
      </w:r>
      <w:r w:rsidR="00636015">
        <w:rPr>
          <w:rFonts w:asciiTheme="majorBidi" w:hAnsiTheme="majorBidi" w:cstheme="majorBidi"/>
        </w:rPr>
        <w:t>[pers. A]</w:t>
      </w:r>
      <w:r w:rsidR="00283E08">
        <w:t xml:space="preserve"> turpināt piemērot drošības līdzekli – apcietinājumu.</w:t>
      </w:r>
    </w:p>
    <w:p w14:paraId="40204BD7" w14:textId="77777777" w:rsidR="008763E8" w:rsidRDefault="008763E8" w:rsidP="00762C2B">
      <w:pPr>
        <w:pStyle w:val="tv213"/>
        <w:shd w:val="clear" w:color="auto" w:fill="FFFFFF"/>
        <w:spacing w:before="0" w:beforeAutospacing="0" w:after="0" w:afterAutospacing="0" w:line="276" w:lineRule="auto"/>
        <w:ind w:firstLine="720"/>
        <w:jc w:val="both"/>
      </w:pPr>
    </w:p>
    <w:p w14:paraId="2E1D70FD" w14:textId="2D0EC25B" w:rsidR="00CE778A" w:rsidRDefault="00283E08" w:rsidP="00636015">
      <w:pPr>
        <w:pStyle w:val="tv213"/>
        <w:shd w:val="clear" w:color="auto" w:fill="FFFFFF"/>
        <w:spacing w:before="0" w:beforeAutospacing="0" w:after="0" w:afterAutospacing="0" w:line="276" w:lineRule="auto"/>
        <w:ind w:firstLine="720"/>
        <w:jc w:val="both"/>
      </w:pPr>
      <w:r>
        <w:t>Lēmums nav pārsūdzams.</w:t>
      </w:r>
    </w:p>
    <w:p w14:paraId="3A8466A3" w14:textId="77777777" w:rsidR="00CE778A" w:rsidRDefault="00CE778A" w:rsidP="00762C2B">
      <w:pPr>
        <w:spacing w:line="276" w:lineRule="auto"/>
        <w:jc w:val="both"/>
      </w:pPr>
    </w:p>
    <w:p w14:paraId="0462550F" w14:textId="77777777" w:rsidR="00CE778A" w:rsidRPr="006D1E0A" w:rsidRDefault="00CE778A" w:rsidP="00762C2B">
      <w:pPr>
        <w:spacing w:line="276" w:lineRule="auto"/>
        <w:jc w:val="both"/>
      </w:pPr>
    </w:p>
    <w:p w14:paraId="4B65CBC2" w14:textId="77777777" w:rsidR="006D1E0A" w:rsidRDefault="006D1E0A" w:rsidP="00762C2B">
      <w:pPr>
        <w:spacing w:line="276" w:lineRule="auto"/>
        <w:ind w:firstLine="720"/>
        <w:jc w:val="center"/>
      </w:pPr>
    </w:p>
    <w:p w14:paraId="1B46AADE" w14:textId="77777777" w:rsidR="006D1E0A" w:rsidRPr="006D1E0A" w:rsidRDefault="006D1E0A" w:rsidP="00762C2B">
      <w:pPr>
        <w:spacing w:line="276" w:lineRule="auto"/>
        <w:ind w:firstLine="720"/>
        <w:jc w:val="center"/>
        <w:rPr>
          <w:b/>
        </w:rPr>
      </w:pPr>
    </w:p>
    <w:p w14:paraId="0115D4E1" w14:textId="77777777" w:rsidR="002E2885" w:rsidRPr="002E2885" w:rsidRDefault="002E2885" w:rsidP="00762C2B">
      <w:pPr>
        <w:spacing w:line="276" w:lineRule="auto"/>
        <w:jc w:val="both"/>
        <w:rPr>
          <w:rFonts w:asciiTheme="majorBidi" w:hAnsiTheme="majorBidi" w:cstheme="majorBidi"/>
        </w:rPr>
      </w:pPr>
    </w:p>
    <w:p w14:paraId="3D946121" w14:textId="77777777" w:rsidR="009418A0" w:rsidRDefault="009418A0" w:rsidP="00762C2B">
      <w:pPr>
        <w:spacing w:line="276" w:lineRule="auto"/>
      </w:pPr>
    </w:p>
    <w:sectPr w:rsidR="009418A0" w:rsidSect="00762C2B">
      <w:footerReference w:type="default" r:id="rId15"/>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63617" w14:textId="77777777" w:rsidR="00D24BA8" w:rsidRDefault="00D24BA8" w:rsidP="0016506A">
      <w:r>
        <w:separator/>
      </w:r>
    </w:p>
  </w:endnote>
  <w:endnote w:type="continuationSeparator" w:id="0">
    <w:p w14:paraId="4BF26ECE" w14:textId="77777777" w:rsidR="00D24BA8" w:rsidRDefault="00D24BA8" w:rsidP="0016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830856"/>
      <w:docPartObj>
        <w:docPartGallery w:val="Page Numbers (Bottom of Page)"/>
        <w:docPartUnique/>
      </w:docPartObj>
    </w:sdtPr>
    <w:sdtEndPr/>
    <w:sdtContent>
      <w:sdt>
        <w:sdtPr>
          <w:id w:val="1728636285"/>
          <w:docPartObj>
            <w:docPartGallery w:val="Page Numbers (Top of Page)"/>
            <w:docPartUnique/>
          </w:docPartObj>
        </w:sdtPr>
        <w:sdtEndPr/>
        <w:sdtContent>
          <w:p w14:paraId="6A3E98C1" w14:textId="551231A9" w:rsidR="0016506A" w:rsidRDefault="0016506A">
            <w:pPr>
              <w:pStyle w:val="Footer"/>
              <w:jc w:val="center"/>
            </w:pPr>
            <w:r w:rsidRPr="0016506A">
              <w:rPr>
                <w:sz w:val="20"/>
                <w:szCs w:val="20"/>
              </w:rPr>
              <w:t xml:space="preserve"> </w:t>
            </w:r>
            <w:r w:rsidRPr="0016506A">
              <w:rPr>
                <w:sz w:val="20"/>
                <w:szCs w:val="20"/>
              </w:rPr>
              <w:fldChar w:fldCharType="begin"/>
            </w:r>
            <w:r w:rsidRPr="0016506A">
              <w:rPr>
                <w:sz w:val="20"/>
                <w:szCs w:val="20"/>
              </w:rPr>
              <w:instrText xml:space="preserve"> PAGE </w:instrText>
            </w:r>
            <w:r w:rsidRPr="0016506A">
              <w:rPr>
                <w:sz w:val="20"/>
                <w:szCs w:val="20"/>
              </w:rPr>
              <w:fldChar w:fldCharType="separate"/>
            </w:r>
            <w:r w:rsidRPr="0016506A">
              <w:rPr>
                <w:noProof/>
                <w:sz w:val="20"/>
                <w:szCs w:val="20"/>
              </w:rPr>
              <w:t>2</w:t>
            </w:r>
            <w:r w:rsidRPr="0016506A">
              <w:rPr>
                <w:sz w:val="20"/>
                <w:szCs w:val="20"/>
              </w:rPr>
              <w:fldChar w:fldCharType="end"/>
            </w:r>
            <w:r w:rsidRPr="0016506A">
              <w:rPr>
                <w:sz w:val="20"/>
                <w:szCs w:val="20"/>
              </w:rPr>
              <w:t xml:space="preserve"> no </w:t>
            </w:r>
            <w:r w:rsidRPr="0016506A">
              <w:rPr>
                <w:sz w:val="20"/>
                <w:szCs w:val="20"/>
              </w:rPr>
              <w:fldChar w:fldCharType="begin"/>
            </w:r>
            <w:r w:rsidRPr="0016506A">
              <w:rPr>
                <w:sz w:val="20"/>
                <w:szCs w:val="20"/>
              </w:rPr>
              <w:instrText xml:space="preserve"> NUMPAGES  </w:instrText>
            </w:r>
            <w:r w:rsidRPr="0016506A">
              <w:rPr>
                <w:sz w:val="20"/>
                <w:szCs w:val="20"/>
              </w:rPr>
              <w:fldChar w:fldCharType="separate"/>
            </w:r>
            <w:r w:rsidRPr="0016506A">
              <w:rPr>
                <w:noProof/>
                <w:sz w:val="20"/>
                <w:szCs w:val="20"/>
              </w:rPr>
              <w:t>2</w:t>
            </w:r>
            <w:r w:rsidRPr="0016506A">
              <w:rPr>
                <w:sz w:val="20"/>
                <w:szCs w:val="20"/>
              </w:rPr>
              <w:fldChar w:fldCharType="end"/>
            </w:r>
          </w:p>
        </w:sdtContent>
      </w:sdt>
    </w:sdtContent>
  </w:sdt>
  <w:p w14:paraId="31787937" w14:textId="77777777" w:rsidR="0016506A" w:rsidRDefault="00165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C2D75" w14:textId="77777777" w:rsidR="00D24BA8" w:rsidRDefault="00D24BA8" w:rsidP="0016506A">
      <w:r>
        <w:separator/>
      </w:r>
    </w:p>
  </w:footnote>
  <w:footnote w:type="continuationSeparator" w:id="0">
    <w:p w14:paraId="4AA88E20" w14:textId="77777777" w:rsidR="00D24BA8" w:rsidRDefault="00D24BA8" w:rsidP="00165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77719"/>
    <w:multiLevelType w:val="hybridMultilevel"/>
    <w:tmpl w:val="37040916"/>
    <w:lvl w:ilvl="0" w:tplc="B83204D2">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63555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789"/>
    <w:rsid w:val="00000349"/>
    <w:rsid w:val="000349AD"/>
    <w:rsid w:val="00042DAC"/>
    <w:rsid w:val="000631BC"/>
    <w:rsid w:val="00082538"/>
    <w:rsid w:val="000E08A8"/>
    <w:rsid w:val="000E79B2"/>
    <w:rsid w:val="00102618"/>
    <w:rsid w:val="0011025B"/>
    <w:rsid w:val="00115FA8"/>
    <w:rsid w:val="001216F0"/>
    <w:rsid w:val="00126487"/>
    <w:rsid w:val="00154BB9"/>
    <w:rsid w:val="001643E7"/>
    <w:rsid w:val="0016503A"/>
    <w:rsid w:val="0016506A"/>
    <w:rsid w:val="00167BBF"/>
    <w:rsid w:val="001A25AC"/>
    <w:rsid w:val="001A4981"/>
    <w:rsid w:val="001B500A"/>
    <w:rsid w:val="001B6587"/>
    <w:rsid w:val="001C288F"/>
    <w:rsid w:val="001C4822"/>
    <w:rsid w:val="001C6E9C"/>
    <w:rsid w:val="001D71C7"/>
    <w:rsid w:val="00266766"/>
    <w:rsid w:val="002810CB"/>
    <w:rsid w:val="00283E08"/>
    <w:rsid w:val="00284A78"/>
    <w:rsid w:val="002A6784"/>
    <w:rsid w:val="002B7EBD"/>
    <w:rsid w:val="002C00E9"/>
    <w:rsid w:val="002C78BB"/>
    <w:rsid w:val="002D15E1"/>
    <w:rsid w:val="002E090B"/>
    <w:rsid w:val="002E2885"/>
    <w:rsid w:val="00325C19"/>
    <w:rsid w:val="003316B5"/>
    <w:rsid w:val="0037514E"/>
    <w:rsid w:val="003802F9"/>
    <w:rsid w:val="00381DC0"/>
    <w:rsid w:val="003B5CD5"/>
    <w:rsid w:val="0040145D"/>
    <w:rsid w:val="00405B30"/>
    <w:rsid w:val="004540EF"/>
    <w:rsid w:val="00465F34"/>
    <w:rsid w:val="004869F7"/>
    <w:rsid w:val="004A1BB5"/>
    <w:rsid w:val="004D3789"/>
    <w:rsid w:val="004E088F"/>
    <w:rsid w:val="00506328"/>
    <w:rsid w:val="00514777"/>
    <w:rsid w:val="00517CAA"/>
    <w:rsid w:val="00525100"/>
    <w:rsid w:val="00532C16"/>
    <w:rsid w:val="00546F3E"/>
    <w:rsid w:val="00597C66"/>
    <w:rsid w:val="00624116"/>
    <w:rsid w:val="00636015"/>
    <w:rsid w:val="00643687"/>
    <w:rsid w:val="00685B9A"/>
    <w:rsid w:val="006A3B99"/>
    <w:rsid w:val="006B6AF3"/>
    <w:rsid w:val="006B6E92"/>
    <w:rsid w:val="006C5E8A"/>
    <w:rsid w:val="006C7C6A"/>
    <w:rsid w:val="006C7EDA"/>
    <w:rsid w:val="006D1E0A"/>
    <w:rsid w:val="006E1B1F"/>
    <w:rsid w:val="00723974"/>
    <w:rsid w:val="007439FA"/>
    <w:rsid w:val="00762C2B"/>
    <w:rsid w:val="007666F2"/>
    <w:rsid w:val="007B2E14"/>
    <w:rsid w:val="007C5C9D"/>
    <w:rsid w:val="007D5C4F"/>
    <w:rsid w:val="007E1586"/>
    <w:rsid w:val="007F797B"/>
    <w:rsid w:val="008175B9"/>
    <w:rsid w:val="00832EFA"/>
    <w:rsid w:val="0083754E"/>
    <w:rsid w:val="00844836"/>
    <w:rsid w:val="00851A33"/>
    <w:rsid w:val="00857F24"/>
    <w:rsid w:val="008763E8"/>
    <w:rsid w:val="0088738F"/>
    <w:rsid w:val="008D7E2F"/>
    <w:rsid w:val="008F2D52"/>
    <w:rsid w:val="009077A9"/>
    <w:rsid w:val="009250AC"/>
    <w:rsid w:val="009418A0"/>
    <w:rsid w:val="00944EDA"/>
    <w:rsid w:val="0096226E"/>
    <w:rsid w:val="00965CA9"/>
    <w:rsid w:val="00975B90"/>
    <w:rsid w:val="0097704A"/>
    <w:rsid w:val="009A73F7"/>
    <w:rsid w:val="009D01A5"/>
    <w:rsid w:val="009E274D"/>
    <w:rsid w:val="009E42D3"/>
    <w:rsid w:val="009E487A"/>
    <w:rsid w:val="009F1600"/>
    <w:rsid w:val="009F782C"/>
    <w:rsid w:val="00A27CD1"/>
    <w:rsid w:val="00A47C3A"/>
    <w:rsid w:val="00A6483C"/>
    <w:rsid w:val="00A96445"/>
    <w:rsid w:val="00AA6739"/>
    <w:rsid w:val="00AE3CC0"/>
    <w:rsid w:val="00AF1EDA"/>
    <w:rsid w:val="00AF4899"/>
    <w:rsid w:val="00B05C61"/>
    <w:rsid w:val="00B37B41"/>
    <w:rsid w:val="00B51A20"/>
    <w:rsid w:val="00B56931"/>
    <w:rsid w:val="00B914AD"/>
    <w:rsid w:val="00B96280"/>
    <w:rsid w:val="00BC1E55"/>
    <w:rsid w:val="00BC34C7"/>
    <w:rsid w:val="00BE142C"/>
    <w:rsid w:val="00BF1232"/>
    <w:rsid w:val="00BF5F92"/>
    <w:rsid w:val="00C02FD0"/>
    <w:rsid w:val="00C0474D"/>
    <w:rsid w:val="00C439E1"/>
    <w:rsid w:val="00C671B7"/>
    <w:rsid w:val="00C7551D"/>
    <w:rsid w:val="00C75D59"/>
    <w:rsid w:val="00CC6C8D"/>
    <w:rsid w:val="00CE1672"/>
    <w:rsid w:val="00CE3374"/>
    <w:rsid w:val="00CE3F61"/>
    <w:rsid w:val="00CE5693"/>
    <w:rsid w:val="00CE778A"/>
    <w:rsid w:val="00CF25B0"/>
    <w:rsid w:val="00CF6F8D"/>
    <w:rsid w:val="00D24BA8"/>
    <w:rsid w:val="00D370E1"/>
    <w:rsid w:val="00D701B3"/>
    <w:rsid w:val="00D7589D"/>
    <w:rsid w:val="00DD1A6E"/>
    <w:rsid w:val="00DE1014"/>
    <w:rsid w:val="00DE2998"/>
    <w:rsid w:val="00DF06F1"/>
    <w:rsid w:val="00DF1AE1"/>
    <w:rsid w:val="00DF3F10"/>
    <w:rsid w:val="00E23EBE"/>
    <w:rsid w:val="00E654FD"/>
    <w:rsid w:val="00E7192A"/>
    <w:rsid w:val="00E82EA0"/>
    <w:rsid w:val="00E869B9"/>
    <w:rsid w:val="00EA2705"/>
    <w:rsid w:val="00EA6612"/>
    <w:rsid w:val="00EB67D3"/>
    <w:rsid w:val="00F0635D"/>
    <w:rsid w:val="00F20051"/>
    <w:rsid w:val="00F33949"/>
    <w:rsid w:val="00F551F6"/>
    <w:rsid w:val="00FD0AC0"/>
    <w:rsid w:val="00FF7B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499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789"/>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4D3789"/>
    <w:pPr>
      <w:spacing w:after="120" w:line="480" w:lineRule="auto"/>
    </w:pPr>
    <w:rPr>
      <w:lang w:val="x-none"/>
    </w:rPr>
  </w:style>
  <w:style w:type="character" w:customStyle="1" w:styleId="BodyText2Char">
    <w:name w:val="Body Text 2 Char"/>
    <w:basedOn w:val="DefaultParagraphFont"/>
    <w:link w:val="BodyText2"/>
    <w:semiHidden/>
    <w:rsid w:val="004D3789"/>
    <w:rPr>
      <w:rFonts w:eastAsia="Times New Roman" w:cs="Times New Roman"/>
      <w:szCs w:val="24"/>
      <w:lang w:val="x-none" w:eastAsia="ru-RU"/>
    </w:rPr>
  </w:style>
  <w:style w:type="paragraph" w:customStyle="1" w:styleId="tv213">
    <w:name w:val="tv213"/>
    <w:basedOn w:val="Normal"/>
    <w:rsid w:val="00CE778A"/>
    <w:pPr>
      <w:spacing w:before="100" w:beforeAutospacing="1" w:after="100" w:afterAutospacing="1"/>
    </w:pPr>
    <w:rPr>
      <w:lang w:eastAsia="lv-LV"/>
    </w:rPr>
  </w:style>
  <w:style w:type="character" w:styleId="Emphasis">
    <w:name w:val="Emphasis"/>
    <w:qFormat/>
    <w:rsid w:val="00723974"/>
    <w:rPr>
      <w:i/>
      <w:iCs/>
    </w:rPr>
  </w:style>
  <w:style w:type="character" w:styleId="CommentReference">
    <w:name w:val="annotation reference"/>
    <w:basedOn w:val="DefaultParagraphFont"/>
    <w:uiPriority w:val="99"/>
    <w:semiHidden/>
    <w:unhideWhenUsed/>
    <w:rsid w:val="002C78BB"/>
    <w:rPr>
      <w:sz w:val="16"/>
      <w:szCs w:val="16"/>
    </w:rPr>
  </w:style>
  <w:style w:type="paragraph" w:styleId="CommentText">
    <w:name w:val="annotation text"/>
    <w:basedOn w:val="Normal"/>
    <w:link w:val="CommentTextChar"/>
    <w:uiPriority w:val="99"/>
    <w:semiHidden/>
    <w:unhideWhenUsed/>
    <w:rsid w:val="002C78BB"/>
    <w:rPr>
      <w:sz w:val="20"/>
      <w:szCs w:val="20"/>
    </w:rPr>
  </w:style>
  <w:style w:type="character" w:customStyle="1" w:styleId="CommentTextChar">
    <w:name w:val="Comment Text Char"/>
    <w:basedOn w:val="DefaultParagraphFont"/>
    <w:link w:val="CommentText"/>
    <w:uiPriority w:val="99"/>
    <w:semiHidden/>
    <w:rsid w:val="002C78BB"/>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2C78BB"/>
    <w:rPr>
      <w:b/>
      <w:bCs/>
    </w:rPr>
  </w:style>
  <w:style w:type="character" w:customStyle="1" w:styleId="CommentSubjectChar">
    <w:name w:val="Comment Subject Char"/>
    <w:basedOn w:val="CommentTextChar"/>
    <w:link w:val="CommentSubject"/>
    <w:uiPriority w:val="99"/>
    <w:semiHidden/>
    <w:rsid w:val="002C78BB"/>
    <w:rPr>
      <w:rFonts w:eastAsia="Times New Roman" w:cs="Times New Roman"/>
      <w:b/>
      <w:bCs/>
      <w:sz w:val="20"/>
      <w:szCs w:val="20"/>
      <w:lang w:val="lv-LV" w:eastAsia="ru-RU"/>
    </w:rPr>
  </w:style>
  <w:style w:type="paragraph" w:styleId="BalloonText">
    <w:name w:val="Balloon Text"/>
    <w:basedOn w:val="Normal"/>
    <w:link w:val="BalloonTextChar"/>
    <w:uiPriority w:val="99"/>
    <w:semiHidden/>
    <w:unhideWhenUsed/>
    <w:rsid w:val="002C78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8BB"/>
    <w:rPr>
      <w:rFonts w:ascii="Segoe UI" w:eastAsia="Times New Roman" w:hAnsi="Segoe UI" w:cs="Segoe UI"/>
      <w:sz w:val="18"/>
      <w:szCs w:val="18"/>
      <w:lang w:val="lv-LV" w:eastAsia="ru-RU"/>
    </w:rPr>
  </w:style>
  <w:style w:type="paragraph" w:styleId="Header">
    <w:name w:val="header"/>
    <w:basedOn w:val="Normal"/>
    <w:link w:val="HeaderChar"/>
    <w:uiPriority w:val="99"/>
    <w:unhideWhenUsed/>
    <w:rsid w:val="0016506A"/>
    <w:pPr>
      <w:tabs>
        <w:tab w:val="center" w:pos="4153"/>
        <w:tab w:val="right" w:pos="8306"/>
      </w:tabs>
    </w:pPr>
  </w:style>
  <w:style w:type="character" w:customStyle="1" w:styleId="HeaderChar">
    <w:name w:val="Header Char"/>
    <w:basedOn w:val="DefaultParagraphFont"/>
    <w:link w:val="Header"/>
    <w:uiPriority w:val="99"/>
    <w:rsid w:val="0016506A"/>
    <w:rPr>
      <w:rFonts w:eastAsia="Times New Roman" w:cs="Times New Roman"/>
      <w:szCs w:val="24"/>
      <w:lang w:val="lv-LV" w:eastAsia="ru-RU"/>
    </w:rPr>
  </w:style>
  <w:style w:type="paragraph" w:styleId="Footer">
    <w:name w:val="footer"/>
    <w:basedOn w:val="Normal"/>
    <w:link w:val="FooterChar"/>
    <w:uiPriority w:val="99"/>
    <w:unhideWhenUsed/>
    <w:rsid w:val="0016506A"/>
    <w:pPr>
      <w:tabs>
        <w:tab w:val="center" w:pos="4153"/>
        <w:tab w:val="right" w:pos="8306"/>
      </w:tabs>
    </w:pPr>
  </w:style>
  <w:style w:type="character" w:customStyle="1" w:styleId="FooterChar">
    <w:name w:val="Footer Char"/>
    <w:basedOn w:val="DefaultParagraphFont"/>
    <w:link w:val="Footer"/>
    <w:uiPriority w:val="99"/>
    <w:rsid w:val="0016506A"/>
    <w:rPr>
      <w:rFonts w:eastAsia="Times New Roman" w:cs="Times New Roman"/>
      <w:szCs w:val="24"/>
      <w:lang w:val="lv-LV" w:eastAsia="ru-RU"/>
    </w:rPr>
  </w:style>
  <w:style w:type="character" w:styleId="Hyperlink">
    <w:name w:val="Hyperlink"/>
    <w:basedOn w:val="DefaultParagraphFont"/>
    <w:uiPriority w:val="99"/>
    <w:unhideWhenUsed/>
    <w:rsid w:val="009F1600"/>
    <w:rPr>
      <w:color w:val="0563C1" w:themeColor="hyperlink"/>
      <w:u w:val="single"/>
    </w:rPr>
  </w:style>
  <w:style w:type="character" w:styleId="UnresolvedMention">
    <w:name w:val="Unresolved Mention"/>
    <w:basedOn w:val="DefaultParagraphFont"/>
    <w:uiPriority w:val="99"/>
    <w:semiHidden/>
    <w:unhideWhenUsed/>
    <w:rsid w:val="009F1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7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138976.pdf" TargetMode="External"/><Relationship Id="rId13" Type="http://schemas.openxmlformats.org/officeDocument/2006/relationships/hyperlink" Target="https://hudoc.echr.coe.int/eng" TargetMode="External"/><Relationship Id="rId3" Type="http://schemas.openxmlformats.org/officeDocument/2006/relationships/settings" Target="settings.xml"/><Relationship Id="rId7" Type="http://schemas.openxmlformats.org/officeDocument/2006/relationships/hyperlink" Target="https://manas.tiesas.lv/eTiesasMvc/nolemumi/pdf/496630.pdf" TargetMode="External"/><Relationship Id="rId12" Type="http://schemas.openxmlformats.org/officeDocument/2006/relationships/hyperlink" Target="https://hudoc.echr.coe.int/e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gov.lv/downloadlawfile/557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anas.tiesas.lv/eTiesasMvc/nolemumi/pdf/302573.pdf" TargetMode="External"/><Relationship Id="rId4" Type="http://schemas.openxmlformats.org/officeDocument/2006/relationships/webSettings" Target="webSettings.xml"/><Relationship Id="rId9" Type="http://schemas.openxmlformats.org/officeDocument/2006/relationships/hyperlink" Target="https://www.at.gov.lv/downloadlawfile/3862" TargetMode="External"/><Relationship Id="rId14"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10387</Words>
  <Characters>5921</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2023-03-20T13:39:00Z</dcterms:created>
  <dcterms:modified xsi:type="dcterms:W3CDTF">2023-03-20T13:39:00Z</dcterms:modified>
</cp:coreProperties>
</file>