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1C61" w14:textId="77777777" w:rsidR="00F30849" w:rsidRDefault="00F30849" w:rsidP="00F30849">
      <w:pPr>
        <w:tabs>
          <w:tab w:val="left" w:pos="3318"/>
        </w:tabs>
        <w:jc w:val="both"/>
        <w:rPr>
          <w:rFonts w:eastAsia="Calibri"/>
          <w:b/>
          <w:bCs/>
        </w:rPr>
      </w:pPr>
      <w:r w:rsidRPr="00290F5E">
        <w:rPr>
          <w:rFonts w:eastAsia="Calibri"/>
          <w:b/>
          <w:bCs/>
        </w:rPr>
        <w:t>Bērna vecāka, kurš veicis dzimuma maiņu, tiesības uz saskarsm</w:t>
      </w:r>
      <w:r>
        <w:rPr>
          <w:rFonts w:eastAsia="Calibri"/>
          <w:b/>
          <w:bCs/>
        </w:rPr>
        <w:t>i</w:t>
      </w:r>
    </w:p>
    <w:p w14:paraId="59ED23F6" w14:textId="77777777" w:rsidR="00A06212" w:rsidRPr="002D2FA0" w:rsidRDefault="00A06212" w:rsidP="008759AF">
      <w:pPr>
        <w:spacing w:line="276" w:lineRule="auto"/>
        <w:jc w:val="right"/>
      </w:pPr>
    </w:p>
    <w:p w14:paraId="00B4AB39" w14:textId="3AB098C1" w:rsidR="00A06212" w:rsidRDefault="00A06212" w:rsidP="00A06212">
      <w:pPr>
        <w:pStyle w:val="NoSpacing"/>
        <w:spacing w:line="276" w:lineRule="auto"/>
        <w:jc w:val="center"/>
        <w:rPr>
          <w:b/>
        </w:rPr>
      </w:pPr>
      <w:r w:rsidRPr="00417BF0">
        <w:rPr>
          <w:b/>
        </w:rPr>
        <w:t>Latvijas Republikas Senāta</w:t>
      </w:r>
    </w:p>
    <w:p w14:paraId="4EBEC538" w14:textId="3E95371E" w:rsidR="00A06212" w:rsidRPr="00A06212" w:rsidRDefault="00A06212" w:rsidP="00A06212">
      <w:pPr>
        <w:spacing w:line="276" w:lineRule="auto"/>
        <w:jc w:val="center"/>
        <w:rPr>
          <w:b/>
          <w:bCs/>
        </w:rPr>
      </w:pPr>
      <w:r w:rsidRPr="00A06212">
        <w:rPr>
          <w:b/>
          <w:bCs/>
        </w:rPr>
        <w:t>Civillietu departamenta</w:t>
      </w:r>
    </w:p>
    <w:p w14:paraId="2E195F48" w14:textId="77777777" w:rsidR="00A06212" w:rsidRPr="00417BF0" w:rsidRDefault="00A06212" w:rsidP="00A06212">
      <w:pPr>
        <w:pStyle w:val="NoSpacing"/>
        <w:spacing w:line="276" w:lineRule="auto"/>
        <w:jc w:val="center"/>
        <w:rPr>
          <w:b/>
          <w:bCs/>
        </w:rPr>
      </w:pPr>
      <w:r w:rsidRPr="00417BF0">
        <w:rPr>
          <w:b/>
          <w:bCs/>
        </w:rPr>
        <w:t>2023.gada [..]</w:t>
      </w:r>
    </w:p>
    <w:p w14:paraId="1E692221" w14:textId="62282F6F" w:rsidR="00A06212" w:rsidRPr="00417BF0" w:rsidRDefault="00A06212" w:rsidP="00A06212">
      <w:pPr>
        <w:tabs>
          <w:tab w:val="left" w:pos="0"/>
        </w:tabs>
        <w:ind w:right="26"/>
        <w:jc w:val="center"/>
        <w:rPr>
          <w:b/>
        </w:rPr>
      </w:pPr>
      <w:r w:rsidRPr="002D2FA0">
        <w:rPr>
          <w:b/>
        </w:rPr>
        <w:t xml:space="preserve">RĪCĪBAS </w:t>
      </w:r>
      <w:r w:rsidRPr="000F33DB">
        <w:rPr>
          <w:b/>
        </w:rPr>
        <w:t xml:space="preserve">SĒDES </w:t>
      </w:r>
      <w:r w:rsidRPr="00417BF0">
        <w:rPr>
          <w:b/>
        </w:rPr>
        <w:t>LĒMUMS</w:t>
      </w:r>
      <w:r w:rsidRPr="00417BF0">
        <w:rPr>
          <w:rStyle w:val="FootnoteReference"/>
          <w:b/>
        </w:rPr>
        <w:footnoteReference w:id="1"/>
      </w:r>
    </w:p>
    <w:p w14:paraId="424F0A37" w14:textId="5F0B0CB4" w:rsidR="00A06212" w:rsidRPr="00417BF0" w:rsidRDefault="00A06212" w:rsidP="00A06212">
      <w:pPr>
        <w:tabs>
          <w:tab w:val="left" w:pos="0"/>
        </w:tabs>
        <w:ind w:right="26"/>
        <w:jc w:val="center"/>
        <w:rPr>
          <w:bCs/>
        </w:rPr>
      </w:pPr>
      <w:r w:rsidRPr="00417BF0">
        <w:rPr>
          <w:b/>
        </w:rPr>
        <w:t>Lieta Nr. [..], SKC</w:t>
      </w:r>
      <w:r w:rsidRPr="00417BF0">
        <w:rPr>
          <w:b/>
        </w:rPr>
        <w:noBreakHyphen/>
        <w:t>[</w:t>
      </w:r>
      <w:r>
        <w:rPr>
          <w:b/>
        </w:rPr>
        <w:t>A</w:t>
      </w:r>
      <w:r w:rsidRPr="00417BF0">
        <w:rPr>
          <w:b/>
        </w:rPr>
        <w:t>]/202</w:t>
      </w:r>
      <w:r w:rsidR="002B2B00">
        <w:rPr>
          <w:b/>
        </w:rPr>
        <w:t>3</w:t>
      </w:r>
    </w:p>
    <w:p w14:paraId="6D47C757" w14:textId="77777777" w:rsidR="00A06212" w:rsidRPr="00417BF0" w:rsidRDefault="003075AE" w:rsidP="00A06212">
      <w:pPr>
        <w:jc w:val="center"/>
        <w:rPr>
          <w:noProof/>
        </w:rPr>
      </w:pPr>
      <w:hyperlink r:id="rId7" w:tgtFrame="_blank" w:history="1">
        <w:r w:rsidR="00A06212" w:rsidRPr="00417BF0">
          <w:rPr>
            <w:rStyle w:val="Hyperlink"/>
          </w:rPr>
          <w:t>ECLI:LV:AT:202</w:t>
        </w:r>
        <w:r w:rsidR="00A06212">
          <w:rPr>
            <w:rStyle w:val="Hyperlink"/>
          </w:rPr>
          <w:t>3</w:t>
        </w:r>
        <w:r w:rsidR="00A06212" w:rsidRPr="00417BF0">
          <w:rPr>
            <w:rStyle w:val="Hyperlink"/>
          </w:rPr>
          <w:t>:</w:t>
        </w:r>
      </w:hyperlink>
      <w:r w:rsidR="00A06212" w:rsidRPr="00417BF0">
        <w:t>[</w:t>
      </w:r>
      <w:r w:rsidR="00A06212" w:rsidRPr="00417BF0">
        <w:rPr>
          <w:color w:val="000000"/>
        </w:rPr>
        <w:t>..]</w:t>
      </w:r>
    </w:p>
    <w:p w14:paraId="6C929B9A" w14:textId="1910E934" w:rsidR="006E6B1A" w:rsidRDefault="006E6B1A" w:rsidP="00C735CB">
      <w:pPr>
        <w:jc w:val="center"/>
      </w:pPr>
    </w:p>
    <w:p w14:paraId="00C874A0" w14:textId="76B62919" w:rsidR="00DE61FD" w:rsidRDefault="0055193E" w:rsidP="00093830">
      <w:pPr>
        <w:spacing w:line="276" w:lineRule="auto"/>
        <w:ind w:firstLine="720"/>
        <w:jc w:val="both"/>
      </w:pPr>
      <w:r>
        <w:t>Senatoru</w:t>
      </w:r>
      <w:r w:rsidR="00DE61FD" w:rsidRPr="002D2FA0">
        <w:t xml:space="preserve"> kolēģija šādā sastāvā:</w:t>
      </w:r>
      <w:r w:rsidR="00093830">
        <w:t xml:space="preserve"> </w:t>
      </w:r>
      <w:r w:rsidR="00326B76">
        <w:t>s</w:t>
      </w:r>
      <w:r>
        <w:t>enator</w:t>
      </w:r>
      <w:r w:rsidR="00326B76">
        <w:t xml:space="preserve">s </w:t>
      </w:r>
      <w:r w:rsidR="000724C4">
        <w:t xml:space="preserve">referents </w:t>
      </w:r>
      <w:r w:rsidR="00326B76">
        <w:t>Intars Bisters</w:t>
      </w:r>
      <w:r w:rsidR="00DE61FD" w:rsidRPr="002D2FA0">
        <w:t>,</w:t>
      </w:r>
      <w:r w:rsidR="00093830">
        <w:t xml:space="preserve"> </w:t>
      </w:r>
      <w:r w:rsidR="00595CFC">
        <w:t>senator</w:t>
      </w:r>
      <w:r w:rsidR="00B966DB">
        <w:t>i</w:t>
      </w:r>
      <w:r w:rsidR="005946E5">
        <w:t xml:space="preserve"> </w:t>
      </w:r>
      <w:r w:rsidR="00B966DB" w:rsidRPr="00B966DB">
        <w:t>Ļubova</w:t>
      </w:r>
      <w:r w:rsidR="00B966DB">
        <w:t xml:space="preserve"> </w:t>
      </w:r>
      <w:r w:rsidR="00B966DB" w:rsidRPr="00B966DB">
        <w:t xml:space="preserve">Kušnire </w:t>
      </w:r>
      <w:r w:rsidR="00093830">
        <w:t xml:space="preserve">un </w:t>
      </w:r>
      <w:r w:rsidR="00B966DB" w:rsidRPr="00B966DB">
        <w:t>Normunds Salenieks</w:t>
      </w:r>
    </w:p>
    <w:p w14:paraId="4553A808" w14:textId="77777777" w:rsidR="00E0793A" w:rsidRPr="002D2FA0" w:rsidRDefault="00E0793A" w:rsidP="00093830">
      <w:pPr>
        <w:spacing w:line="276" w:lineRule="auto"/>
        <w:ind w:firstLine="720"/>
        <w:jc w:val="both"/>
      </w:pPr>
    </w:p>
    <w:p w14:paraId="252EBDAC" w14:textId="149443E7" w:rsidR="007E13EB" w:rsidRPr="002D2FA0" w:rsidRDefault="006E6B1A" w:rsidP="00093830">
      <w:pPr>
        <w:spacing w:line="276" w:lineRule="auto"/>
        <w:ind w:firstLine="720"/>
        <w:jc w:val="both"/>
      </w:pPr>
      <w:r w:rsidRPr="002D2FA0">
        <w:t>rīcības sēdē izskatīja</w:t>
      </w:r>
      <w:r w:rsidR="00B966DB">
        <w:t xml:space="preserve"> civillietu sakarā ar</w:t>
      </w:r>
      <w:r w:rsidR="00377271" w:rsidRPr="002D2FA0">
        <w:t xml:space="preserve"> </w:t>
      </w:r>
      <w:bookmarkStart w:id="0" w:name="_Hlk101813397"/>
      <w:r w:rsidR="006501B1">
        <w:t xml:space="preserve">atbildētājas </w:t>
      </w:r>
      <w:r w:rsidR="00A06212">
        <w:t xml:space="preserve">[pers. B] </w:t>
      </w:r>
      <w:r w:rsidR="000C7009">
        <w:t>kasācijas</w:t>
      </w:r>
      <w:r w:rsidRPr="002D2FA0">
        <w:t xml:space="preserve"> sūdzību par</w:t>
      </w:r>
      <w:r w:rsidR="000724C4">
        <w:t xml:space="preserve"> </w:t>
      </w:r>
      <w:r w:rsidR="00A06212">
        <w:t xml:space="preserve">[..] </w:t>
      </w:r>
      <w:r w:rsidR="000C7009">
        <w:t xml:space="preserve">apgabaltiesas </w:t>
      </w:r>
      <w:r w:rsidR="000724C4">
        <w:t xml:space="preserve">2022. gada </w:t>
      </w:r>
      <w:r w:rsidR="00A06212">
        <w:t>[..]</w:t>
      </w:r>
      <w:r w:rsidR="000C7009">
        <w:t xml:space="preserve"> spriedumu</w:t>
      </w:r>
      <w:r w:rsidR="000724C4">
        <w:t xml:space="preserve"> civillietā </w:t>
      </w:r>
      <w:r w:rsidR="00A06212">
        <w:t xml:space="preserve">[pers. A] </w:t>
      </w:r>
      <w:r w:rsidR="00B966DB">
        <w:t xml:space="preserve">prasībā pret </w:t>
      </w:r>
      <w:r w:rsidR="00A06212">
        <w:t>[pers. B]</w:t>
      </w:r>
      <w:r w:rsidR="00B966DB">
        <w:t xml:space="preserve"> par saskarsmes tiesības izmantošanas kārtības noteikšanu</w:t>
      </w:r>
      <w:r w:rsidR="000C7009" w:rsidRPr="000724C4">
        <w:t>.</w:t>
      </w:r>
      <w:bookmarkEnd w:id="0"/>
    </w:p>
    <w:p w14:paraId="0D2F3506" w14:textId="77777777" w:rsidR="006E6B1A" w:rsidRPr="002D2FA0" w:rsidRDefault="0055193E" w:rsidP="00E166B9">
      <w:pPr>
        <w:ind w:firstLine="720"/>
        <w:jc w:val="both"/>
      </w:pPr>
      <w:r>
        <w:t>Senatoru</w:t>
      </w:r>
      <w:r w:rsidR="006E6B1A" w:rsidRPr="002D2FA0">
        <w:t xml:space="preserve"> kolēģija </w:t>
      </w:r>
    </w:p>
    <w:p w14:paraId="674F42AA" w14:textId="04DE5994" w:rsidR="00B966DB" w:rsidRPr="00B966DB" w:rsidRDefault="00296C20" w:rsidP="00B966DB">
      <w:pPr>
        <w:jc w:val="center"/>
        <w:rPr>
          <w:b/>
        </w:rPr>
      </w:pPr>
      <w:r>
        <w:rPr>
          <w:b/>
        </w:rPr>
        <w:t>k</w:t>
      </w:r>
      <w:r w:rsidR="00DE61FD" w:rsidRPr="002D2FA0">
        <w:rPr>
          <w:b/>
        </w:rPr>
        <w:t>onstatēja</w:t>
      </w:r>
    </w:p>
    <w:p w14:paraId="1E7F05D2" w14:textId="77777777" w:rsidR="00B966DB" w:rsidRDefault="00B966DB" w:rsidP="00B966DB">
      <w:pPr>
        <w:autoSpaceDE w:val="0"/>
        <w:autoSpaceDN w:val="0"/>
        <w:adjustRightInd w:val="0"/>
        <w:spacing w:line="276" w:lineRule="auto"/>
        <w:jc w:val="both"/>
      </w:pPr>
    </w:p>
    <w:p w14:paraId="561F2E44" w14:textId="119C4EED" w:rsidR="00963E42" w:rsidRDefault="00963E42" w:rsidP="00CC0EB1">
      <w:pPr>
        <w:autoSpaceDE w:val="0"/>
        <w:autoSpaceDN w:val="0"/>
        <w:adjustRightInd w:val="0"/>
        <w:spacing w:line="276" w:lineRule="auto"/>
        <w:ind w:firstLine="720"/>
        <w:jc w:val="both"/>
      </w:pPr>
      <w:r>
        <w:t xml:space="preserve">Ar </w:t>
      </w:r>
      <w:r w:rsidR="00A06212">
        <w:t>[..]</w:t>
      </w:r>
      <w:r>
        <w:t xml:space="preserve"> apgabaltiesas 2022. gada </w:t>
      </w:r>
      <w:r w:rsidR="00A06212">
        <w:t>[..]</w:t>
      </w:r>
      <w:r>
        <w:t xml:space="preserve"> spriedumu daļēji apmierināta bērna bioloģiskā tēva</w:t>
      </w:r>
      <w:r w:rsidR="00ED230F">
        <w:t>, kurš uzsācis medicīniska rakstura manipulācijas veikšanu dzimuma maiņai,</w:t>
      </w:r>
      <w:r>
        <w:t xml:space="preserve"> prasība par saskarsmes tiesības izmantošanas kārtības noteikšanu</w:t>
      </w:r>
      <w:r w:rsidR="00ED230F">
        <w:t xml:space="preserve"> ar nepilngadīgo</w:t>
      </w:r>
      <w:r w:rsidR="00A06212">
        <w:t xml:space="preserve"> [bērnu]</w:t>
      </w:r>
      <w:r>
        <w:t xml:space="preserve">. </w:t>
      </w:r>
    </w:p>
    <w:p w14:paraId="68052FE4" w14:textId="277DAE99" w:rsidR="00CC0EB1" w:rsidRDefault="00963E42" w:rsidP="00236821">
      <w:pPr>
        <w:autoSpaceDE w:val="0"/>
        <w:autoSpaceDN w:val="0"/>
        <w:adjustRightInd w:val="0"/>
        <w:spacing w:line="276" w:lineRule="auto"/>
        <w:ind w:firstLine="720"/>
        <w:jc w:val="both"/>
      </w:pPr>
      <w:r>
        <w:t>Senatoru kolēģija par pamatot</w:t>
      </w:r>
      <w:r w:rsidR="00236821">
        <w:t>u</w:t>
      </w:r>
      <w:r>
        <w:t xml:space="preserve"> atzīst </w:t>
      </w:r>
      <w:r w:rsidR="00236821">
        <w:t>no pārbaudāmā sprieduma izrietošo secinājumu</w:t>
      </w:r>
      <w:r w:rsidR="00CC0EB1">
        <w:t xml:space="preserve">, ka </w:t>
      </w:r>
      <w:r w:rsidR="00CC0EB1" w:rsidRPr="00CC0EB1">
        <w:t xml:space="preserve">bērna vecāka rīcība, veicot dzimuma maiņu, pati par sevi nevar būt pamats saskarsmes tiesības ierobežošanai ar bērnu. </w:t>
      </w:r>
      <w:r w:rsidR="005A25EC">
        <w:t>B</w:t>
      </w:r>
      <w:r w:rsidR="00CC0EB1" w:rsidRPr="00CC0EB1">
        <w:t>ērna vecāka dzimuma maiņas fakts neizraisa pierādāmu kaitējumu bērna tiesībām vai interesēm, no kā izriet, ka Civillikuma 181.</w:t>
      </w:r>
      <w:r w:rsidR="00A06212">
        <w:t> </w:t>
      </w:r>
      <w:r w:rsidR="00CC0EB1" w:rsidRPr="00CC0EB1">
        <w:t>pantā minēto tiesību ierobežojumu nevar pamatot tikai ar šo faktu.</w:t>
      </w:r>
      <w:r w:rsidR="00CC0EB1">
        <w:t xml:space="preserve"> </w:t>
      </w:r>
      <w:r w:rsidR="00236821">
        <w:t>Tāpat tiesa ir ņēmusi vērā, ka līdzšinējās bioloģiskā tēva un bērna tikšanās reizes pēdējo gadu laikā ir bijušas retas un tikai saskarsmes personas klātbūtnē, līdz ar to</w:t>
      </w:r>
      <w:r w:rsidR="00236821" w:rsidRPr="00236821">
        <w:t xml:space="preserve"> </w:t>
      </w:r>
      <w:r w:rsidR="00236821" w:rsidRPr="00963E42">
        <w:t xml:space="preserve">par saprātīgu ir atzīstama tiesas spriedumā paredzētā pakāpeniskā pāreja uz saskarsmes kārtību bez saskarsmes personas klātbūtnes, kas veicinās tēva un </w:t>
      </w:r>
      <w:r w:rsidR="00C53812">
        <w:t>[bērna]</w:t>
      </w:r>
      <w:r w:rsidR="00236821" w:rsidRPr="00963E42">
        <w:t xml:space="preserve"> saskarsmes atjaunošanu.</w:t>
      </w:r>
    </w:p>
    <w:p w14:paraId="4A5F9E6D" w14:textId="3F5B97EE" w:rsidR="00236821" w:rsidRDefault="00CC0EB1" w:rsidP="00236821">
      <w:pPr>
        <w:autoSpaceDE w:val="0"/>
        <w:autoSpaceDN w:val="0"/>
        <w:adjustRightInd w:val="0"/>
        <w:spacing w:line="276" w:lineRule="auto"/>
        <w:ind w:firstLine="720"/>
        <w:jc w:val="both"/>
      </w:pPr>
      <w:r>
        <w:t xml:space="preserve">Eiropas Cilvēktiesību tiesa atzinusi, ka tiesa nedrīkstētu bērna vecākam liegt saskarsmes tiesību </w:t>
      </w:r>
      <w:r w:rsidRPr="00CC0EB1">
        <w:t xml:space="preserve">vienīgi viņa dzimuma maiņas dēļ, ja nepastāv pierādāmi apstākļi, kas liecina par iespējamu kaitējumu bērnam (sk. </w:t>
      </w:r>
      <w:r w:rsidRPr="00CC0EB1">
        <w:rPr>
          <w:i/>
          <w:iCs/>
        </w:rPr>
        <w:t>Eiropas Cilvēktiesību tiesas 2021.</w:t>
      </w:r>
      <w:r>
        <w:rPr>
          <w:i/>
          <w:iCs/>
        </w:rPr>
        <w:t> </w:t>
      </w:r>
      <w:r w:rsidRPr="00CC0EB1">
        <w:rPr>
          <w:i/>
          <w:iCs/>
        </w:rPr>
        <w:t>gada 6.</w:t>
      </w:r>
      <w:r>
        <w:rPr>
          <w:i/>
          <w:iCs/>
        </w:rPr>
        <w:t> </w:t>
      </w:r>
      <w:r w:rsidRPr="00CC0EB1">
        <w:rPr>
          <w:i/>
          <w:iCs/>
        </w:rPr>
        <w:t xml:space="preserve">jūlija sprieduma lietā </w:t>
      </w:r>
      <w:r>
        <w:rPr>
          <w:i/>
          <w:iCs/>
        </w:rPr>
        <w:t>„</w:t>
      </w:r>
      <w:r w:rsidRPr="00CC0EB1">
        <w:rPr>
          <w:i/>
          <w:iCs/>
        </w:rPr>
        <w:t>A.M. and Others v. Russia”, 47220/19, 57.</w:t>
      </w:r>
      <w:r>
        <w:rPr>
          <w:i/>
          <w:iCs/>
        </w:rPr>
        <w:t> </w:t>
      </w:r>
      <w:r w:rsidRPr="00CC0EB1">
        <w:rPr>
          <w:i/>
          <w:iCs/>
        </w:rPr>
        <w:t>punktu</w:t>
      </w:r>
      <w:r w:rsidRPr="00CC0EB1">
        <w:t xml:space="preserve">). Vienlaikus, ja pierādījumi lietā norāda uz dzimumu mainījušā bērna vecāka īslaicīgu emocionālo nestabilitāti, bērna interešu nodrošināšanai tiesa var lemt uz laiku noteikt ierobežojumus saskarsmes tiesības īstenošanā, kas bērnam ļautu pakāpeniski pielāgoties arī vecāka dzimuma maiņas apstākļiem (sk. </w:t>
      </w:r>
      <w:r w:rsidRPr="00CC0EB1">
        <w:rPr>
          <w:i/>
          <w:iCs/>
        </w:rPr>
        <w:t>Eiropas Cilvēktiesību tiesas 2010.</w:t>
      </w:r>
      <w:r>
        <w:rPr>
          <w:i/>
          <w:iCs/>
        </w:rPr>
        <w:t> </w:t>
      </w:r>
      <w:r w:rsidRPr="00CC0EB1">
        <w:rPr>
          <w:i/>
          <w:iCs/>
        </w:rPr>
        <w:t>gada 30.</w:t>
      </w:r>
      <w:r>
        <w:rPr>
          <w:i/>
          <w:iCs/>
        </w:rPr>
        <w:t> </w:t>
      </w:r>
      <w:r w:rsidRPr="00CC0EB1">
        <w:rPr>
          <w:i/>
          <w:iCs/>
        </w:rPr>
        <w:t>novembra sprieduma lietā „P.V. c. Espagne”, iesnieguma Nr.</w:t>
      </w:r>
      <w:r>
        <w:rPr>
          <w:i/>
          <w:iCs/>
        </w:rPr>
        <w:t> </w:t>
      </w:r>
      <w:r w:rsidRPr="00CC0EB1">
        <w:rPr>
          <w:i/>
          <w:iCs/>
        </w:rPr>
        <w:t>35159/09, 36.</w:t>
      </w:r>
      <w:r>
        <w:rPr>
          <w:i/>
          <w:iCs/>
        </w:rPr>
        <w:t> </w:t>
      </w:r>
      <w:r w:rsidRPr="00CC0EB1">
        <w:rPr>
          <w:i/>
          <w:iCs/>
        </w:rPr>
        <w:t>punktu</w:t>
      </w:r>
      <w:r w:rsidRPr="00CC0EB1">
        <w:t>).</w:t>
      </w:r>
    </w:p>
    <w:p w14:paraId="6DE4790F" w14:textId="3B1FE140" w:rsidR="00CC0EB1" w:rsidRDefault="00236821" w:rsidP="00236821">
      <w:pPr>
        <w:autoSpaceDE w:val="0"/>
        <w:autoSpaceDN w:val="0"/>
        <w:adjustRightInd w:val="0"/>
        <w:spacing w:line="276" w:lineRule="auto"/>
        <w:ind w:firstLine="720"/>
        <w:jc w:val="both"/>
      </w:pPr>
      <w:r>
        <w:t xml:space="preserve">Tādējādi </w:t>
      </w:r>
      <w:r w:rsidR="0044692C">
        <w:t>pārbaudāmais spriedums</w:t>
      </w:r>
      <w:r w:rsidR="00C61670">
        <w:t xml:space="preserve"> </w:t>
      </w:r>
      <w:r w:rsidR="009871C6">
        <w:t xml:space="preserve">atbilst </w:t>
      </w:r>
      <w:r w:rsidR="00C61670">
        <w:t xml:space="preserve">arī </w:t>
      </w:r>
      <w:r>
        <w:t>Eiropas Cilvēktiesību tiesas judikatūrai</w:t>
      </w:r>
      <w:r w:rsidR="003B6AD9">
        <w:t>. T</w:t>
      </w:r>
      <w:r w:rsidR="0044692C">
        <w:t>ajā pausto atziņu</w:t>
      </w:r>
      <w:r w:rsidR="009871C6">
        <w:t xml:space="preserve"> </w:t>
      </w:r>
      <w:r>
        <w:t xml:space="preserve">pareizumu </w:t>
      </w:r>
      <w:r w:rsidR="00C61670">
        <w:t xml:space="preserve">neatspēko </w:t>
      </w:r>
      <w:r>
        <w:t xml:space="preserve">kasācijas sūdzībā izteiktie pārmetumi, ka </w:t>
      </w:r>
      <w:r w:rsidR="00CC0EB1" w:rsidRPr="00CC0EB1">
        <w:t>tiesa nav analizējusi un devusi savu novērtējumu prasītāja lēmuma, ar ko uzsākts viņa dzimuma maiņas process, ietekmei uz bērna psihoemocionālo stāvokli, un ka spriedumā nav rasts taisnīgs līdzsvars starp bioloģiskā tēva</w:t>
      </w:r>
      <w:r w:rsidR="00ED30EA">
        <w:t xml:space="preserve"> </w:t>
      </w:r>
      <w:r w:rsidR="00CC0EB1" w:rsidRPr="00CC0EB1">
        <w:t xml:space="preserve">tiesībām un bērna </w:t>
      </w:r>
      <w:r w:rsidR="00ED30EA">
        <w:t>interesēm</w:t>
      </w:r>
      <w:r w:rsidR="00CC0EB1" w:rsidRPr="00CC0EB1">
        <w:t>.</w:t>
      </w:r>
    </w:p>
    <w:p w14:paraId="583EC9E2" w14:textId="71C8DBE1" w:rsidR="00B966DB" w:rsidRDefault="00ED30EA" w:rsidP="00236821">
      <w:pPr>
        <w:autoSpaceDE w:val="0"/>
        <w:autoSpaceDN w:val="0"/>
        <w:adjustRightInd w:val="0"/>
        <w:spacing w:line="276" w:lineRule="auto"/>
        <w:ind w:firstLine="720"/>
        <w:jc w:val="both"/>
      </w:pPr>
      <w:r>
        <w:lastRenderedPageBreak/>
        <w:t>K</w:t>
      </w:r>
      <w:r w:rsidR="00236821">
        <w:t>asācijas sūdzības argumenti nedod pamatu uzskatīt, ka pārsūdzētajā spriedumā ietvertais lietas iznākums ir nepareizs, kā arī šādu</w:t>
      </w:r>
      <w:r>
        <w:t xml:space="preserve"> atbildētājas</w:t>
      </w:r>
      <w:r w:rsidR="00236821">
        <w:t xml:space="preserve"> argumentu izvērtēšanai nav būtiska</w:t>
      </w:r>
      <w:r w:rsidR="00C61670">
        <w:t>s</w:t>
      </w:r>
      <w:r w:rsidR="00236821">
        <w:t xml:space="preserve"> nozīme</w:t>
      </w:r>
      <w:r w:rsidR="00C61670">
        <w:t>s</w:t>
      </w:r>
      <w:r w:rsidR="00236821">
        <w:t xml:space="preserve"> vienotas tiesu prakses nodrošināšanā vai tiesību tālākveidošanā, </w:t>
      </w:r>
      <w:r w:rsidR="00855009">
        <w:t xml:space="preserve">līdz ar to </w:t>
      </w:r>
      <w:r w:rsidR="00694DFB">
        <w:t xml:space="preserve">senatoru kolēģija atzīst, ka </w:t>
      </w:r>
      <w:r w:rsidR="00B85284" w:rsidRPr="00773A7E">
        <w:t>pastāv Civilprocesa likuma 464.</w:t>
      </w:r>
      <w:r w:rsidR="00B85284">
        <w:rPr>
          <w:vertAlign w:val="superscript"/>
        </w:rPr>
        <w:t>1 </w:t>
      </w:r>
      <w:r w:rsidR="00B85284" w:rsidRPr="00773A7E">
        <w:t>panta otrās daļas 2.</w:t>
      </w:r>
      <w:r w:rsidR="00B85284">
        <w:t> </w:t>
      </w:r>
      <w:r w:rsidR="00B85284" w:rsidRPr="00773A7E">
        <w:t>punktā norādītais pamats atteikumam iero</w:t>
      </w:r>
      <w:r w:rsidR="00B85284">
        <w:t>sināt kasācijas tiesvedību</w:t>
      </w:r>
      <w:r w:rsidR="00236821">
        <w:t>.</w:t>
      </w:r>
    </w:p>
    <w:p w14:paraId="0415A5F6" w14:textId="77777777" w:rsidR="00B966DB" w:rsidRDefault="00B966DB" w:rsidP="00B85284">
      <w:pPr>
        <w:autoSpaceDE w:val="0"/>
        <w:autoSpaceDN w:val="0"/>
        <w:adjustRightInd w:val="0"/>
        <w:spacing w:line="276" w:lineRule="auto"/>
        <w:ind w:firstLine="720"/>
        <w:jc w:val="both"/>
      </w:pPr>
    </w:p>
    <w:p w14:paraId="4DB37DF5" w14:textId="1B7C263B" w:rsidR="00B85284" w:rsidRPr="002D2FA0" w:rsidRDefault="00236821" w:rsidP="0072209F">
      <w:pPr>
        <w:spacing w:line="276" w:lineRule="auto"/>
        <w:ind w:firstLine="720"/>
        <w:jc w:val="both"/>
      </w:pPr>
      <w:r>
        <w:t>P</w:t>
      </w:r>
      <w:r w:rsidR="00C3049A">
        <w:t>amatojot</w:t>
      </w:r>
      <w:r w:rsidR="00B85284">
        <w:t>ies uz Civilprocesa likuma 464. </w:t>
      </w:r>
      <w:r w:rsidR="00C3049A">
        <w:t>panta trešo daļu, 464.</w:t>
      </w:r>
      <w:r w:rsidR="00C3049A" w:rsidRPr="00C562E4">
        <w:rPr>
          <w:vertAlign w:val="superscript"/>
        </w:rPr>
        <w:t>1</w:t>
      </w:r>
      <w:r w:rsidR="00B85284">
        <w:t> </w:t>
      </w:r>
      <w:r w:rsidR="00C3049A">
        <w:t>panta otrās daļas 2.</w:t>
      </w:r>
      <w:r w:rsidR="00B85284">
        <w:t> </w:t>
      </w:r>
      <w:r w:rsidR="00C3049A">
        <w:t>punktu, senatoru kolēģija</w:t>
      </w:r>
    </w:p>
    <w:p w14:paraId="3D40F5F8" w14:textId="0D3C15CC" w:rsidR="00DE61FD" w:rsidRDefault="0059061E" w:rsidP="00E166B9">
      <w:pPr>
        <w:jc w:val="center"/>
        <w:rPr>
          <w:b/>
        </w:rPr>
      </w:pPr>
      <w:r>
        <w:rPr>
          <w:b/>
        </w:rPr>
        <w:t>n</w:t>
      </w:r>
      <w:r w:rsidR="00DE61FD" w:rsidRPr="002D2FA0">
        <w:rPr>
          <w:b/>
        </w:rPr>
        <w:t>olēma</w:t>
      </w:r>
    </w:p>
    <w:p w14:paraId="002904F0" w14:textId="77777777" w:rsidR="00296C20" w:rsidRPr="002D2FA0" w:rsidRDefault="00296C20" w:rsidP="00296C20">
      <w:pPr>
        <w:jc w:val="center"/>
        <w:rPr>
          <w:b/>
        </w:rPr>
      </w:pPr>
    </w:p>
    <w:p w14:paraId="3A556FB1" w14:textId="0B2C1B96" w:rsidR="00093DC0" w:rsidRDefault="006E6B1A" w:rsidP="00093DC0">
      <w:pPr>
        <w:spacing w:line="276" w:lineRule="auto"/>
        <w:jc w:val="both"/>
      </w:pPr>
      <w:r w:rsidRPr="002D2FA0">
        <w:tab/>
      </w:r>
      <w:r w:rsidR="00500961">
        <w:t xml:space="preserve">atteikt </w:t>
      </w:r>
      <w:r w:rsidR="00C3049A" w:rsidRPr="00C3049A">
        <w:t>ierosināt kasācijas tiesvedību sakarā ar</w:t>
      </w:r>
      <w:r w:rsidR="00500961">
        <w:t xml:space="preserve"> </w:t>
      </w:r>
      <w:r w:rsidR="00A06212">
        <w:t>[pers. B]</w:t>
      </w:r>
      <w:r w:rsidR="00A932B5">
        <w:t xml:space="preserve"> </w:t>
      </w:r>
      <w:r w:rsidR="00093DC0">
        <w:t>kasācijas</w:t>
      </w:r>
      <w:r w:rsidR="00093DC0" w:rsidRPr="002D2FA0">
        <w:t xml:space="preserve"> sūdzību par </w:t>
      </w:r>
      <w:r w:rsidR="00A06212">
        <w:t>[..]</w:t>
      </w:r>
      <w:r w:rsidR="004368A8">
        <w:t xml:space="preserve"> apgabaltiesas 2022. gada</w:t>
      </w:r>
      <w:r w:rsidR="003075AE">
        <w:t xml:space="preserve"> [..]</w:t>
      </w:r>
      <w:r w:rsidR="004368A8">
        <w:t xml:space="preserve"> spriedumu</w:t>
      </w:r>
      <w:r w:rsidR="00093DC0">
        <w:t>.</w:t>
      </w:r>
    </w:p>
    <w:p w14:paraId="3F5F2A1F" w14:textId="77777777" w:rsidR="00093830" w:rsidRDefault="00093830" w:rsidP="00093DC0">
      <w:pPr>
        <w:spacing w:line="276" w:lineRule="auto"/>
        <w:jc w:val="both"/>
      </w:pPr>
    </w:p>
    <w:p w14:paraId="27D21AA8" w14:textId="0677BB34" w:rsidR="003653F4" w:rsidRDefault="001A70A6" w:rsidP="00093DC0">
      <w:pPr>
        <w:spacing w:line="276" w:lineRule="auto"/>
        <w:jc w:val="both"/>
      </w:pPr>
      <w:r w:rsidRPr="002D2FA0">
        <w:tab/>
      </w:r>
      <w:r w:rsidR="006E6B1A" w:rsidRPr="002D2FA0">
        <w:t>Lēmums nav pārsūdzams.</w:t>
      </w:r>
      <w:bookmarkStart w:id="1" w:name="Dropdown8"/>
      <w:bookmarkEnd w:id="1"/>
    </w:p>
    <w:sectPr w:rsidR="003653F4" w:rsidSect="00F30849">
      <w:footerReference w:type="even" r:id="rId8"/>
      <w:footerReference w:type="default" r:id="rId9"/>
      <w:pgSz w:w="11906" w:h="16838"/>
      <w:pgMar w:top="1134" w:right="170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67CC" w14:textId="77777777" w:rsidR="004C30F1" w:rsidRDefault="004C30F1" w:rsidP="004C76FA">
      <w:r>
        <w:separator/>
      </w:r>
    </w:p>
  </w:endnote>
  <w:endnote w:type="continuationSeparator" w:id="0">
    <w:p w14:paraId="18E4395C" w14:textId="77777777" w:rsidR="004C30F1" w:rsidRDefault="004C30F1" w:rsidP="004C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247" w14:textId="4B955F39" w:rsidR="00B3500C" w:rsidRDefault="00E31E41" w:rsidP="003952E9">
    <w:pPr>
      <w:pStyle w:val="Footer"/>
      <w:framePr w:wrap="around" w:vAnchor="text" w:hAnchor="margin" w:xAlign="center" w:y="1"/>
      <w:rPr>
        <w:rStyle w:val="PageNumber"/>
      </w:rPr>
    </w:pPr>
    <w:r>
      <w:rPr>
        <w:rStyle w:val="PageNumber"/>
      </w:rPr>
      <w:fldChar w:fldCharType="begin"/>
    </w:r>
    <w:r w:rsidR="00ED621D">
      <w:rPr>
        <w:rStyle w:val="PageNumber"/>
      </w:rPr>
      <w:instrText xml:space="preserve">PAGE  </w:instrText>
    </w:r>
    <w:r>
      <w:rPr>
        <w:rStyle w:val="PageNumber"/>
      </w:rPr>
      <w:fldChar w:fldCharType="separate"/>
    </w:r>
    <w:r w:rsidR="00FC66DA">
      <w:rPr>
        <w:rStyle w:val="PageNumber"/>
        <w:noProof/>
      </w:rPr>
      <w:t>1</w:t>
    </w:r>
    <w:r>
      <w:rPr>
        <w:rStyle w:val="PageNumber"/>
      </w:rPr>
      <w:fldChar w:fldCharType="end"/>
    </w:r>
  </w:p>
  <w:p w14:paraId="67DD5C80" w14:textId="77777777" w:rsidR="00B3500C" w:rsidRDefault="0030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07046"/>
      <w:docPartObj>
        <w:docPartGallery w:val="Page Numbers (Bottom of Page)"/>
        <w:docPartUnique/>
      </w:docPartObj>
    </w:sdtPr>
    <w:sdtEndPr/>
    <w:sdtContent>
      <w:sdt>
        <w:sdtPr>
          <w:id w:val="-249811864"/>
          <w:docPartObj>
            <w:docPartGallery w:val="Page Numbers (Top of Page)"/>
            <w:docPartUnique/>
          </w:docPartObj>
        </w:sdtPr>
        <w:sdtEndPr/>
        <w:sdtContent>
          <w:p w14:paraId="580FD7F6" w14:textId="77777777" w:rsidR="00FD33AB" w:rsidRDefault="003075AE">
            <w:pPr>
              <w:pStyle w:val="Footer"/>
              <w:jc w:val="center"/>
            </w:pPr>
          </w:p>
        </w:sdtContent>
      </w:sdt>
    </w:sdtContent>
  </w:sdt>
  <w:p w14:paraId="72DCDEF1" w14:textId="77777777" w:rsidR="00FD33AB" w:rsidRDefault="00FD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3C0B" w14:textId="77777777" w:rsidR="004C30F1" w:rsidRDefault="004C30F1" w:rsidP="004C76FA">
      <w:r>
        <w:separator/>
      </w:r>
    </w:p>
  </w:footnote>
  <w:footnote w:type="continuationSeparator" w:id="0">
    <w:p w14:paraId="7F79E33E" w14:textId="77777777" w:rsidR="004C30F1" w:rsidRDefault="004C30F1" w:rsidP="004C76FA">
      <w:r>
        <w:continuationSeparator/>
      </w:r>
    </w:p>
  </w:footnote>
  <w:footnote w:id="1">
    <w:p w14:paraId="75B75794" w14:textId="2BB21E41" w:rsidR="00A06212" w:rsidRDefault="00A06212" w:rsidP="00A06212">
      <w:pPr>
        <w:pStyle w:val="FootnoteText"/>
        <w:rPr>
          <w:lang w:val="lv-LV"/>
        </w:rPr>
      </w:pPr>
      <w:r>
        <w:rPr>
          <w:rStyle w:val="FootnoteReference"/>
        </w:rPr>
        <w:footnoteRef/>
      </w:r>
      <w:r>
        <w:t xml:space="preserve"> Slēgtas lietas statuss. Publicēti izvilkumi no rīcības sēdes 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1A"/>
    <w:rsid w:val="000074A8"/>
    <w:rsid w:val="00013974"/>
    <w:rsid w:val="00017B62"/>
    <w:rsid w:val="000219DA"/>
    <w:rsid w:val="00026C77"/>
    <w:rsid w:val="00037F1A"/>
    <w:rsid w:val="00057435"/>
    <w:rsid w:val="00060A43"/>
    <w:rsid w:val="000622F6"/>
    <w:rsid w:val="000724C4"/>
    <w:rsid w:val="00075010"/>
    <w:rsid w:val="000824B0"/>
    <w:rsid w:val="00083086"/>
    <w:rsid w:val="00093830"/>
    <w:rsid w:val="00093DC0"/>
    <w:rsid w:val="00097339"/>
    <w:rsid w:val="000A39B4"/>
    <w:rsid w:val="000A60F9"/>
    <w:rsid w:val="000B63E0"/>
    <w:rsid w:val="000C7009"/>
    <w:rsid w:val="000D0A2C"/>
    <w:rsid w:val="000D4C2B"/>
    <w:rsid w:val="000D69C4"/>
    <w:rsid w:val="000D70B9"/>
    <w:rsid w:val="000D74B1"/>
    <w:rsid w:val="000D7951"/>
    <w:rsid w:val="000F33DB"/>
    <w:rsid w:val="001021EC"/>
    <w:rsid w:val="00106946"/>
    <w:rsid w:val="00114BA3"/>
    <w:rsid w:val="001365B1"/>
    <w:rsid w:val="001466ED"/>
    <w:rsid w:val="00164B01"/>
    <w:rsid w:val="00164FC2"/>
    <w:rsid w:val="001744C4"/>
    <w:rsid w:val="00175AE0"/>
    <w:rsid w:val="0018081C"/>
    <w:rsid w:val="00183569"/>
    <w:rsid w:val="00185E3D"/>
    <w:rsid w:val="001A70A6"/>
    <w:rsid w:val="001C221D"/>
    <w:rsid w:val="001C2F8B"/>
    <w:rsid w:val="001C777E"/>
    <w:rsid w:val="001E6ACF"/>
    <w:rsid w:val="001E6C78"/>
    <w:rsid w:val="001F76FD"/>
    <w:rsid w:val="0020298B"/>
    <w:rsid w:val="002104DA"/>
    <w:rsid w:val="00223E9D"/>
    <w:rsid w:val="00236821"/>
    <w:rsid w:val="002431CA"/>
    <w:rsid w:val="00247EB8"/>
    <w:rsid w:val="00264136"/>
    <w:rsid w:val="00276BA7"/>
    <w:rsid w:val="00285E72"/>
    <w:rsid w:val="00296C20"/>
    <w:rsid w:val="00297122"/>
    <w:rsid w:val="002B2B00"/>
    <w:rsid w:val="002C28B8"/>
    <w:rsid w:val="002D2FA0"/>
    <w:rsid w:val="002D3912"/>
    <w:rsid w:val="002D4453"/>
    <w:rsid w:val="002D4E56"/>
    <w:rsid w:val="002E097C"/>
    <w:rsid w:val="00306A1D"/>
    <w:rsid w:val="003075AE"/>
    <w:rsid w:val="00313D58"/>
    <w:rsid w:val="00326B76"/>
    <w:rsid w:val="00343B5F"/>
    <w:rsid w:val="003503C4"/>
    <w:rsid w:val="003653F4"/>
    <w:rsid w:val="00377271"/>
    <w:rsid w:val="00387B6D"/>
    <w:rsid w:val="00390CBB"/>
    <w:rsid w:val="00395D87"/>
    <w:rsid w:val="003B00BB"/>
    <w:rsid w:val="003B6AD9"/>
    <w:rsid w:val="003F2192"/>
    <w:rsid w:val="003F6BEB"/>
    <w:rsid w:val="003F7939"/>
    <w:rsid w:val="004013AE"/>
    <w:rsid w:val="00415C8F"/>
    <w:rsid w:val="00422DEC"/>
    <w:rsid w:val="00435CEF"/>
    <w:rsid w:val="004368A8"/>
    <w:rsid w:val="0044692C"/>
    <w:rsid w:val="00455455"/>
    <w:rsid w:val="00485EA0"/>
    <w:rsid w:val="004A5760"/>
    <w:rsid w:val="004A5A86"/>
    <w:rsid w:val="004B2EF8"/>
    <w:rsid w:val="004C30F1"/>
    <w:rsid w:val="004C76FA"/>
    <w:rsid w:val="004D16B8"/>
    <w:rsid w:val="004D2BCE"/>
    <w:rsid w:val="004E1563"/>
    <w:rsid w:val="004E5F59"/>
    <w:rsid w:val="004F2DD8"/>
    <w:rsid w:val="00500961"/>
    <w:rsid w:val="00500C51"/>
    <w:rsid w:val="0052225D"/>
    <w:rsid w:val="00526278"/>
    <w:rsid w:val="00550098"/>
    <w:rsid w:val="00550789"/>
    <w:rsid w:val="00550F6D"/>
    <w:rsid w:val="0055193E"/>
    <w:rsid w:val="0059061E"/>
    <w:rsid w:val="0059119E"/>
    <w:rsid w:val="005946E5"/>
    <w:rsid w:val="00595CFC"/>
    <w:rsid w:val="005A25EC"/>
    <w:rsid w:val="005B5582"/>
    <w:rsid w:val="005C15F1"/>
    <w:rsid w:val="005D4C57"/>
    <w:rsid w:val="005E0418"/>
    <w:rsid w:val="005E38A6"/>
    <w:rsid w:val="005F0E18"/>
    <w:rsid w:val="005F791D"/>
    <w:rsid w:val="0061464F"/>
    <w:rsid w:val="00626014"/>
    <w:rsid w:val="006305CE"/>
    <w:rsid w:val="00634FDC"/>
    <w:rsid w:val="00636F65"/>
    <w:rsid w:val="006412F6"/>
    <w:rsid w:val="006501B1"/>
    <w:rsid w:val="00664311"/>
    <w:rsid w:val="00694DFB"/>
    <w:rsid w:val="006C40E1"/>
    <w:rsid w:val="006C494E"/>
    <w:rsid w:val="006D6D19"/>
    <w:rsid w:val="006E369C"/>
    <w:rsid w:val="006E4F2D"/>
    <w:rsid w:val="006E68F5"/>
    <w:rsid w:val="006E6B1A"/>
    <w:rsid w:val="006F14BC"/>
    <w:rsid w:val="007122DD"/>
    <w:rsid w:val="00714671"/>
    <w:rsid w:val="00716EED"/>
    <w:rsid w:val="00721929"/>
    <w:rsid w:val="0072209F"/>
    <w:rsid w:val="00722458"/>
    <w:rsid w:val="00725CA1"/>
    <w:rsid w:val="00742769"/>
    <w:rsid w:val="00743D20"/>
    <w:rsid w:val="0074461D"/>
    <w:rsid w:val="007553FF"/>
    <w:rsid w:val="00755FAF"/>
    <w:rsid w:val="007729E8"/>
    <w:rsid w:val="00773E82"/>
    <w:rsid w:val="0078184D"/>
    <w:rsid w:val="00781EC7"/>
    <w:rsid w:val="00795055"/>
    <w:rsid w:val="007B0507"/>
    <w:rsid w:val="007B1867"/>
    <w:rsid w:val="007B2DC4"/>
    <w:rsid w:val="007B5974"/>
    <w:rsid w:val="007B7611"/>
    <w:rsid w:val="007C4D3C"/>
    <w:rsid w:val="007C4DA7"/>
    <w:rsid w:val="007E13EB"/>
    <w:rsid w:val="007E1B10"/>
    <w:rsid w:val="007E3CB3"/>
    <w:rsid w:val="007F10C6"/>
    <w:rsid w:val="0080334A"/>
    <w:rsid w:val="00831EB3"/>
    <w:rsid w:val="00845509"/>
    <w:rsid w:val="00847600"/>
    <w:rsid w:val="0085250B"/>
    <w:rsid w:val="008544CA"/>
    <w:rsid w:val="00855009"/>
    <w:rsid w:val="00874156"/>
    <w:rsid w:val="00874F76"/>
    <w:rsid w:val="008759AF"/>
    <w:rsid w:val="00876F23"/>
    <w:rsid w:val="008771FB"/>
    <w:rsid w:val="0088081A"/>
    <w:rsid w:val="00886685"/>
    <w:rsid w:val="008C1FE3"/>
    <w:rsid w:val="008C73CC"/>
    <w:rsid w:val="00910348"/>
    <w:rsid w:val="00913DEA"/>
    <w:rsid w:val="00913E15"/>
    <w:rsid w:val="00916542"/>
    <w:rsid w:val="00920750"/>
    <w:rsid w:val="00932A8D"/>
    <w:rsid w:val="00941C98"/>
    <w:rsid w:val="00945991"/>
    <w:rsid w:val="00946167"/>
    <w:rsid w:val="009522E0"/>
    <w:rsid w:val="00962052"/>
    <w:rsid w:val="00963E42"/>
    <w:rsid w:val="00965B1B"/>
    <w:rsid w:val="00965BFB"/>
    <w:rsid w:val="00981717"/>
    <w:rsid w:val="009871C6"/>
    <w:rsid w:val="009A0F69"/>
    <w:rsid w:val="009A128A"/>
    <w:rsid w:val="009D2B77"/>
    <w:rsid w:val="009D36E2"/>
    <w:rsid w:val="00A06212"/>
    <w:rsid w:val="00A1369B"/>
    <w:rsid w:val="00A30061"/>
    <w:rsid w:val="00A33880"/>
    <w:rsid w:val="00A36799"/>
    <w:rsid w:val="00A37CCA"/>
    <w:rsid w:val="00A449DF"/>
    <w:rsid w:val="00A568A5"/>
    <w:rsid w:val="00A6082F"/>
    <w:rsid w:val="00A63DE6"/>
    <w:rsid w:val="00A87BC9"/>
    <w:rsid w:val="00A87BD1"/>
    <w:rsid w:val="00A90A3B"/>
    <w:rsid w:val="00A932B5"/>
    <w:rsid w:val="00AA292A"/>
    <w:rsid w:val="00AA731B"/>
    <w:rsid w:val="00AB3395"/>
    <w:rsid w:val="00AB3B07"/>
    <w:rsid w:val="00AC012A"/>
    <w:rsid w:val="00AE1913"/>
    <w:rsid w:val="00AE552A"/>
    <w:rsid w:val="00AF5353"/>
    <w:rsid w:val="00B03013"/>
    <w:rsid w:val="00B06183"/>
    <w:rsid w:val="00B1364F"/>
    <w:rsid w:val="00B23CE8"/>
    <w:rsid w:val="00B258B2"/>
    <w:rsid w:val="00B51655"/>
    <w:rsid w:val="00B633C0"/>
    <w:rsid w:val="00B82CA2"/>
    <w:rsid w:val="00B837B4"/>
    <w:rsid w:val="00B85284"/>
    <w:rsid w:val="00B966DB"/>
    <w:rsid w:val="00BA48C8"/>
    <w:rsid w:val="00BB51E1"/>
    <w:rsid w:val="00BB7920"/>
    <w:rsid w:val="00BC6926"/>
    <w:rsid w:val="00BD4388"/>
    <w:rsid w:val="00BE51C6"/>
    <w:rsid w:val="00BE569C"/>
    <w:rsid w:val="00BF69F8"/>
    <w:rsid w:val="00C045ED"/>
    <w:rsid w:val="00C05D19"/>
    <w:rsid w:val="00C170D3"/>
    <w:rsid w:val="00C17179"/>
    <w:rsid w:val="00C3049A"/>
    <w:rsid w:val="00C30C0F"/>
    <w:rsid w:val="00C32D70"/>
    <w:rsid w:val="00C52C16"/>
    <w:rsid w:val="00C53812"/>
    <w:rsid w:val="00C61670"/>
    <w:rsid w:val="00C667D4"/>
    <w:rsid w:val="00C735CB"/>
    <w:rsid w:val="00C93E8F"/>
    <w:rsid w:val="00CA62C1"/>
    <w:rsid w:val="00CC0EB1"/>
    <w:rsid w:val="00CC478B"/>
    <w:rsid w:val="00CC4F24"/>
    <w:rsid w:val="00CD171F"/>
    <w:rsid w:val="00CD19A3"/>
    <w:rsid w:val="00CD1C29"/>
    <w:rsid w:val="00CD2E5D"/>
    <w:rsid w:val="00CE0425"/>
    <w:rsid w:val="00CF19CC"/>
    <w:rsid w:val="00D11CAD"/>
    <w:rsid w:val="00D12955"/>
    <w:rsid w:val="00D65075"/>
    <w:rsid w:val="00D7263B"/>
    <w:rsid w:val="00D803F8"/>
    <w:rsid w:val="00DC3694"/>
    <w:rsid w:val="00DD642F"/>
    <w:rsid w:val="00DE61FD"/>
    <w:rsid w:val="00DF4F6B"/>
    <w:rsid w:val="00E0793A"/>
    <w:rsid w:val="00E166B9"/>
    <w:rsid w:val="00E171BB"/>
    <w:rsid w:val="00E31E41"/>
    <w:rsid w:val="00E62A88"/>
    <w:rsid w:val="00E6325A"/>
    <w:rsid w:val="00E65B4B"/>
    <w:rsid w:val="00E92CA2"/>
    <w:rsid w:val="00E933A5"/>
    <w:rsid w:val="00E97D0B"/>
    <w:rsid w:val="00EC4587"/>
    <w:rsid w:val="00EC5543"/>
    <w:rsid w:val="00ED0267"/>
    <w:rsid w:val="00ED18B4"/>
    <w:rsid w:val="00ED230F"/>
    <w:rsid w:val="00ED30EA"/>
    <w:rsid w:val="00ED621D"/>
    <w:rsid w:val="00EE60DB"/>
    <w:rsid w:val="00EE614E"/>
    <w:rsid w:val="00F0090F"/>
    <w:rsid w:val="00F12A85"/>
    <w:rsid w:val="00F22B5E"/>
    <w:rsid w:val="00F30849"/>
    <w:rsid w:val="00F47AED"/>
    <w:rsid w:val="00F5554B"/>
    <w:rsid w:val="00F64156"/>
    <w:rsid w:val="00F65D4F"/>
    <w:rsid w:val="00F66070"/>
    <w:rsid w:val="00F741A8"/>
    <w:rsid w:val="00F761C2"/>
    <w:rsid w:val="00F93E06"/>
    <w:rsid w:val="00FB32D0"/>
    <w:rsid w:val="00FC66DA"/>
    <w:rsid w:val="00FD276E"/>
    <w:rsid w:val="00FD33AB"/>
    <w:rsid w:val="00FE31F2"/>
    <w:rsid w:val="00FE4D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E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1A"/>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6B1A"/>
    <w:pPr>
      <w:tabs>
        <w:tab w:val="center" w:pos="4153"/>
        <w:tab w:val="right" w:pos="8306"/>
      </w:tabs>
    </w:pPr>
  </w:style>
  <w:style w:type="character" w:customStyle="1" w:styleId="FooterChar">
    <w:name w:val="Footer Char"/>
    <w:basedOn w:val="DefaultParagraphFont"/>
    <w:link w:val="Footer"/>
    <w:uiPriority w:val="99"/>
    <w:rsid w:val="006E6B1A"/>
    <w:rPr>
      <w:rFonts w:eastAsia="Times New Roman" w:cs="Times New Roman"/>
      <w:szCs w:val="24"/>
      <w:lang w:eastAsia="lv-LV"/>
    </w:rPr>
  </w:style>
  <w:style w:type="character" w:styleId="PageNumber">
    <w:name w:val="page number"/>
    <w:basedOn w:val="DefaultParagraphFont"/>
    <w:rsid w:val="006E6B1A"/>
  </w:style>
  <w:style w:type="paragraph" w:styleId="BalloonText">
    <w:name w:val="Balloon Text"/>
    <w:basedOn w:val="Normal"/>
    <w:link w:val="BalloonTextChar"/>
    <w:uiPriority w:val="99"/>
    <w:semiHidden/>
    <w:unhideWhenUsed/>
    <w:rsid w:val="00313D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58"/>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51655"/>
    <w:pPr>
      <w:tabs>
        <w:tab w:val="center" w:pos="4153"/>
        <w:tab w:val="right" w:pos="8306"/>
      </w:tabs>
    </w:pPr>
  </w:style>
  <w:style w:type="character" w:customStyle="1" w:styleId="HeaderChar">
    <w:name w:val="Header Char"/>
    <w:basedOn w:val="DefaultParagraphFont"/>
    <w:link w:val="Header"/>
    <w:uiPriority w:val="99"/>
    <w:rsid w:val="00B51655"/>
    <w:rPr>
      <w:rFonts w:eastAsia="Times New Roman" w:cs="Times New Roman"/>
      <w:szCs w:val="24"/>
      <w:lang w:eastAsia="lv-LV"/>
    </w:rPr>
  </w:style>
  <w:style w:type="paragraph" w:styleId="ListParagraph">
    <w:name w:val="List Paragraph"/>
    <w:basedOn w:val="Normal"/>
    <w:uiPriority w:val="34"/>
    <w:qFormat/>
    <w:rsid w:val="00A90A3B"/>
    <w:pPr>
      <w:ind w:left="720"/>
      <w:contextualSpacing/>
    </w:pPr>
  </w:style>
  <w:style w:type="paragraph" w:customStyle="1" w:styleId="naispant">
    <w:name w:val="naispant"/>
    <w:basedOn w:val="Normal"/>
    <w:rsid w:val="007122DD"/>
    <w:pPr>
      <w:spacing w:before="100" w:beforeAutospacing="1" w:after="100" w:afterAutospacing="1" w:line="360" w:lineRule="auto"/>
    </w:pPr>
    <w:rPr>
      <w:lang w:val="en-US" w:eastAsia="en-US"/>
    </w:rPr>
  </w:style>
  <w:style w:type="paragraph" w:styleId="Revision">
    <w:name w:val="Revision"/>
    <w:hidden/>
    <w:uiPriority w:val="99"/>
    <w:semiHidden/>
    <w:rsid w:val="005A25EC"/>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A06212"/>
    <w:rPr>
      <w:color w:val="0000FF"/>
      <w:u w:val="single"/>
    </w:rPr>
  </w:style>
  <w:style w:type="paragraph" w:styleId="FootnoteText">
    <w:name w:val="footnote text"/>
    <w:basedOn w:val="Normal"/>
    <w:link w:val="FootnoteTextChar"/>
    <w:uiPriority w:val="99"/>
    <w:semiHidden/>
    <w:unhideWhenUsed/>
    <w:rsid w:val="00A06212"/>
    <w:rPr>
      <w:sz w:val="20"/>
      <w:szCs w:val="20"/>
      <w:lang w:val="en-GB" w:eastAsia="en-US"/>
    </w:rPr>
  </w:style>
  <w:style w:type="character" w:customStyle="1" w:styleId="FootnoteTextChar">
    <w:name w:val="Footnote Text Char"/>
    <w:basedOn w:val="DefaultParagraphFont"/>
    <w:link w:val="FootnoteText"/>
    <w:uiPriority w:val="99"/>
    <w:semiHidden/>
    <w:rsid w:val="00A06212"/>
    <w:rPr>
      <w:rFonts w:eastAsia="Times New Roman" w:cs="Times New Roman"/>
      <w:sz w:val="20"/>
      <w:szCs w:val="20"/>
      <w:lang w:val="en-GB"/>
    </w:rPr>
  </w:style>
  <w:style w:type="paragraph" w:styleId="NoSpacing">
    <w:name w:val="No Spacing"/>
    <w:uiPriority w:val="1"/>
    <w:qFormat/>
    <w:rsid w:val="00A06212"/>
    <w:pPr>
      <w:spacing w:after="0" w:line="240" w:lineRule="auto"/>
    </w:pPr>
    <w:rPr>
      <w:rFonts w:eastAsia="Times New Roman" w:cs="Times New Roman"/>
      <w:szCs w:val="24"/>
      <w:lang w:eastAsia="ru-RU"/>
    </w:rPr>
  </w:style>
  <w:style w:type="character" w:styleId="FootnoteReference">
    <w:name w:val="footnote reference"/>
    <w:semiHidden/>
    <w:unhideWhenUsed/>
    <w:rsid w:val="00A06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27.C29526917.2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75529-8F60-40EF-B904-EA0D2242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2270</Words>
  <Characters>1295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2023-03-29T06:00:00Z</dcterms:created>
  <dcterms:modified xsi:type="dcterms:W3CDTF">2023-03-29T08:40:00Z</dcterms:modified>
</cp:coreProperties>
</file>