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027B" w14:textId="7B5D87EF" w:rsidR="00D32ACB" w:rsidRPr="00343FEA" w:rsidRDefault="00D32ACB" w:rsidP="00343FEA">
      <w:pPr>
        <w:spacing w:line="276" w:lineRule="auto"/>
        <w:jc w:val="both"/>
        <w:rPr>
          <w:b/>
          <w:bCs/>
          <w:lang w:eastAsia="en-US"/>
        </w:rPr>
      </w:pPr>
      <w:r w:rsidRPr="00343FEA">
        <w:rPr>
          <w:b/>
          <w:bCs/>
        </w:rPr>
        <w:t>Transportlīdze</w:t>
      </w:r>
      <w:r w:rsidR="00303499">
        <w:rPr>
          <w:b/>
          <w:bCs/>
        </w:rPr>
        <w:t>kļa reģistrācijas apliecības sa</w:t>
      </w:r>
      <w:bookmarkStart w:id="0" w:name="_GoBack"/>
      <w:bookmarkEnd w:id="0"/>
      <w:r w:rsidRPr="00343FEA">
        <w:rPr>
          <w:b/>
          <w:bCs/>
        </w:rPr>
        <w:t>vstarpējā atzīšana un atbilstības apliecinājums no citas Eiropas Savienības dalībvalsts ievestam transportlīdzeklim</w:t>
      </w:r>
    </w:p>
    <w:p w14:paraId="7424731B" w14:textId="648EA171" w:rsidR="00D32ACB" w:rsidRPr="00343FEA" w:rsidRDefault="00D32ACB" w:rsidP="00343FEA">
      <w:pPr>
        <w:spacing w:line="276" w:lineRule="auto"/>
        <w:jc w:val="both"/>
      </w:pPr>
      <w:r w:rsidRPr="00343FEA">
        <w:t xml:space="preserve">Citā Eiropas Savienības dalībvalstī izsniegtas reģistrācijas apliecības neatzīšana ir pamatota, ja izsniegtajā reģistrācijas apliecībā trūkst kādu obligāti norādāmu ziņu, vai tajā norādītās ziņas neatbilst minētajam transportlīdzeklim vai šo transportlīdzekli nav iespējams pēc šīs apliecības identificēt. Šādā gadījumā ir pamatota Ministru kabineta 2010.gada 30.novembra noteikumu Nr.1080 „Transportlīdzekļu reģistrācijas noteikumi” 39.1.8.apakšpunktā ietvertā prasība iesniegt atbilstības apliecinājumu. </w:t>
      </w:r>
    </w:p>
    <w:p w14:paraId="5A82C783" w14:textId="4ED451F4" w:rsidR="00F834BC" w:rsidRPr="00343FEA" w:rsidRDefault="00F834BC" w:rsidP="00343FEA">
      <w:pPr>
        <w:pStyle w:val="BodyText2"/>
        <w:spacing w:after="0" w:line="276" w:lineRule="auto"/>
        <w:rPr>
          <w:lang w:val="lv-LV"/>
        </w:rPr>
      </w:pPr>
    </w:p>
    <w:p w14:paraId="56FA1702" w14:textId="1D678C40" w:rsidR="006B7BBC" w:rsidRPr="00343FEA" w:rsidRDefault="00D32ACB" w:rsidP="00343FEA">
      <w:pPr>
        <w:spacing w:line="276" w:lineRule="auto"/>
        <w:jc w:val="center"/>
        <w:rPr>
          <w:b/>
        </w:rPr>
      </w:pPr>
      <w:r w:rsidRPr="00343FEA">
        <w:rPr>
          <w:b/>
        </w:rPr>
        <w:t>Latvijas Republikas Senāta</w:t>
      </w:r>
    </w:p>
    <w:p w14:paraId="14D729B4" w14:textId="724B6D8B" w:rsidR="00D32ACB" w:rsidRPr="00343FEA" w:rsidRDefault="00D32ACB" w:rsidP="00343FEA">
      <w:pPr>
        <w:spacing w:line="276" w:lineRule="auto"/>
        <w:jc w:val="center"/>
        <w:rPr>
          <w:b/>
        </w:rPr>
      </w:pPr>
      <w:r w:rsidRPr="00343FEA">
        <w:rPr>
          <w:b/>
        </w:rPr>
        <w:t>Administratīvo lietu departamenta</w:t>
      </w:r>
    </w:p>
    <w:p w14:paraId="57339E44" w14:textId="52B65B57" w:rsidR="00D32ACB" w:rsidRPr="00343FEA" w:rsidRDefault="00D32ACB" w:rsidP="00343FEA">
      <w:pPr>
        <w:spacing w:line="276" w:lineRule="auto"/>
        <w:jc w:val="center"/>
        <w:rPr>
          <w:b/>
        </w:rPr>
      </w:pPr>
      <w:r w:rsidRPr="00343FEA">
        <w:rPr>
          <w:b/>
        </w:rPr>
        <w:t>2022.gada 19.decembra</w:t>
      </w:r>
    </w:p>
    <w:p w14:paraId="53519160" w14:textId="77777777" w:rsidR="00EC5534" w:rsidRPr="00343FEA" w:rsidRDefault="00EC5534" w:rsidP="00343FEA">
      <w:pPr>
        <w:spacing w:line="276" w:lineRule="auto"/>
        <w:jc w:val="center"/>
        <w:rPr>
          <w:b/>
        </w:rPr>
      </w:pPr>
      <w:r w:rsidRPr="00343FEA">
        <w:rPr>
          <w:b/>
        </w:rPr>
        <w:t xml:space="preserve">SPRIEDUMS </w:t>
      </w:r>
    </w:p>
    <w:p w14:paraId="13F165D7" w14:textId="77777777" w:rsidR="00D32ACB" w:rsidRPr="00343FEA" w:rsidRDefault="00D32ACB" w:rsidP="00343FEA">
      <w:pPr>
        <w:spacing w:line="276" w:lineRule="auto"/>
        <w:jc w:val="center"/>
        <w:rPr>
          <w:b/>
        </w:rPr>
      </w:pPr>
      <w:r w:rsidRPr="00343FEA">
        <w:rPr>
          <w:b/>
        </w:rPr>
        <w:t>Lieta Nr. </w:t>
      </w:r>
      <w:r w:rsidRPr="00343FEA">
        <w:rPr>
          <w:b/>
          <w:lang w:eastAsia="lv-LV"/>
        </w:rPr>
        <w:t xml:space="preserve">A420256018, </w:t>
      </w:r>
      <w:r w:rsidRPr="00343FEA">
        <w:rPr>
          <w:b/>
        </w:rPr>
        <w:t>SKA-160/2022</w:t>
      </w:r>
    </w:p>
    <w:p w14:paraId="7C7E4A32" w14:textId="5C88D07C" w:rsidR="00D32ACB" w:rsidRPr="00343FEA" w:rsidRDefault="00303499" w:rsidP="00343FEA">
      <w:pPr>
        <w:spacing w:line="276" w:lineRule="auto"/>
        <w:jc w:val="center"/>
        <w:rPr>
          <w:rStyle w:val="Hyperlink"/>
        </w:rPr>
      </w:pPr>
      <w:hyperlink r:id="rId8" w:history="1">
        <w:r w:rsidR="00D32ACB" w:rsidRPr="00343FEA">
          <w:rPr>
            <w:rStyle w:val="Hyperlink"/>
          </w:rPr>
          <w:t>ECLI:LV:AT:2022:1219.A420256018.12.S</w:t>
        </w:r>
      </w:hyperlink>
    </w:p>
    <w:p w14:paraId="51B39BA7" w14:textId="77777777" w:rsidR="006B7BBC" w:rsidRPr="00343FEA" w:rsidRDefault="006B7BBC" w:rsidP="00343FEA">
      <w:pPr>
        <w:spacing w:line="276" w:lineRule="auto"/>
        <w:jc w:val="both"/>
      </w:pPr>
    </w:p>
    <w:p w14:paraId="72672637" w14:textId="65099FEA" w:rsidR="006B7BBC" w:rsidRPr="00343FEA" w:rsidRDefault="006B7BBC" w:rsidP="00343FEA">
      <w:pPr>
        <w:spacing w:line="276" w:lineRule="auto"/>
        <w:ind w:firstLine="567"/>
        <w:jc w:val="both"/>
      </w:pPr>
      <w:r w:rsidRPr="00343FEA">
        <w:t>Tiesa šādā sastāvā:</w:t>
      </w:r>
      <w:r w:rsidR="00144830" w:rsidRPr="00343FEA">
        <w:t xml:space="preserve"> senator</w:t>
      </w:r>
      <w:r w:rsidR="00163CBF" w:rsidRPr="00343FEA">
        <w:t>es</w:t>
      </w:r>
      <w:r w:rsidR="00144830" w:rsidRPr="00343FEA">
        <w:t xml:space="preserve"> </w:t>
      </w:r>
      <w:r w:rsidR="00BF1331" w:rsidRPr="00343FEA">
        <w:t>Veronika Krūmiņa</w:t>
      </w:r>
      <w:r w:rsidR="00144830" w:rsidRPr="00343FEA">
        <w:t xml:space="preserve">, </w:t>
      </w:r>
      <w:r w:rsidR="00F32F4F" w:rsidRPr="00343FEA">
        <w:t>Līvija Slica</w:t>
      </w:r>
      <w:r w:rsidR="00C55C23" w:rsidRPr="00343FEA">
        <w:t>, R</w:t>
      </w:r>
      <w:r w:rsidR="00790C87" w:rsidRPr="00343FEA">
        <w:t>udīt</w:t>
      </w:r>
      <w:r w:rsidR="00136167" w:rsidRPr="00343FEA">
        <w:t>e</w:t>
      </w:r>
      <w:r w:rsidR="00C55C23" w:rsidRPr="00343FEA">
        <w:t> Vīduša</w:t>
      </w:r>
    </w:p>
    <w:p w14:paraId="7A31EFEE" w14:textId="77777777" w:rsidR="003047F5" w:rsidRPr="00343FEA" w:rsidRDefault="003047F5" w:rsidP="00343FEA">
      <w:pPr>
        <w:spacing w:line="276" w:lineRule="auto"/>
        <w:ind w:firstLine="567"/>
        <w:jc w:val="both"/>
        <w:rPr>
          <w:rFonts w:asciiTheme="majorBidi" w:hAnsiTheme="majorBidi" w:cstheme="majorBidi"/>
        </w:rPr>
      </w:pPr>
    </w:p>
    <w:p w14:paraId="68CE89A6" w14:textId="790DC36F" w:rsidR="00A6596A" w:rsidRPr="00343FEA" w:rsidRDefault="00941626" w:rsidP="00343FEA">
      <w:pPr>
        <w:autoSpaceDE w:val="0"/>
        <w:autoSpaceDN w:val="0"/>
        <w:adjustRightInd w:val="0"/>
        <w:spacing w:line="276" w:lineRule="auto"/>
        <w:ind w:firstLine="567"/>
        <w:jc w:val="both"/>
      </w:pPr>
      <w:r w:rsidRPr="00343FEA">
        <w:t xml:space="preserve">rakstveida procesā izskatīja </w:t>
      </w:r>
      <w:r w:rsidR="00D32ACB" w:rsidRPr="00343FEA">
        <w:t xml:space="preserve">[pers. A] </w:t>
      </w:r>
      <w:r w:rsidR="001478B4" w:rsidRPr="00343FEA">
        <w:t xml:space="preserve">kasācijas sūdzību par Administratīvās apgabaltiesas 2019.gada 22.oktobra spriedumu </w:t>
      </w:r>
      <w:r w:rsidRPr="00343FEA">
        <w:t>administratīv</w:t>
      </w:r>
      <w:r w:rsidR="001478B4" w:rsidRPr="00343FEA">
        <w:t>ajā</w:t>
      </w:r>
      <w:r w:rsidRPr="00343FEA">
        <w:t xml:space="preserve"> liet</w:t>
      </w:r>
      <w:r w:rsidR="001478B4" w:rsidRPr="00343FEA">
        <w:t>ā</w:t>
      </w:r>
      <w:r w:rsidRPr="00343FEA">
        <w:t xml:space="preserve">, kas ierosināta, </w:t>
      </w:r>
      <w:r w:rsidR="00144830" w:rsidRPr="00343FEA">
        <w:t xml:space="preserve">pamatojoties uz </w:t>
      </w:r>
      <w:r w:rsidR="00D32ACB" w:rsidRPr="00343FEA">
        <w:t xml:space="preserve">[pers. A] </w:t>
      </w:r>
      <w:r w:rsidR="00533530" w:rsidRPr="00343FEA">
        <w:t xml:space="preserve">pieteikumu par </w:t>
      </w:r>
      <w:r w:rsidR="00B34F26" w:rsidRPr="00343FEA">
        <w:t>labvēlīg</w:t>
      </w:r>
      <w:r w:rsidR="00A95BFD" w:rsidRPr="00343FEA">
        <w:t>a</w:t>
      </w:r>
      <w:r w:rsidR="00B34F26" w:rsidRPr="00343FEA">
        <w:t xml:space="preserve"> administratīv</w:t>
      </w:r>
      <w:r w:rsidR="00A95BFD" w:rsidRPr="00343FEA">
        <w:t xml:space="preserve">ā </w:t>
      </w:r>
      <w:r w:rsidR="00B34F26" w:rsidRPr="00343FEA">
        <w:t>akt</w:t>
      </w:r>
      <w:r w:rsidR="00A95BFD" w:rsidRPr="00343FEA">
        <w:t>a</w:t>
      </w:r>
      <w:r w:rsidR="00B17D48" w:rsidRPr="00343FEA">
        <w:t xml:space="preserve"> izdošanu</w:t>
      </w:r>
      <w:r w:rsidR="00B34F26" w:rsidRPr="00343FEA">
        <w:t xml:space="preserve">, ar kuru tiktu veikta </w:t>
      </w:r>
      <w:r w:rsidR="00D32ACB" w:rsidRPr="00343FEA">
        <w:rPr>
          <w:rFonts w:asciiTheme="majorBidi" w:eastAsiaTheme="minorHAnsi" w:hAnsiTheme="majorBidi" w:cstheme="majorBidi"/>
          <w:lang w:eastAsia="en-US"/>
        </w:rPr>
        <w:t xml:space="preserve">[pers. A] </w:t>
      </w:r>
      <w:r w:rsidR="00B34F26" w:rsidRPr="00343FEA">
        <w:t>piederošā transportlīdzekļa pastāvīga reģistrācija Latvijā</w:t>
      </w:r>
      <w:r w:rsidR="001478B4" w:rsidRPr="00343FEA">
        <w:t>.</w:t>
      </w:r>
      <w:r w:rsidR="00B17D48" w:rsidRPr="00343FEA">
        <w:t xml:space="preserve"> </w:t>
      </w:r>
    </w:p>
    <w:p w14:paraId="56839FD0" w14:textId="77777777" w:rsidR="00144830" w:rsidRPr="00343FEA" w:rsidRDefault="00144830" w:rsidP="00343FEA">
      <w:pPr>
        <w:spacing w:line="276" w:lineRule="auto"/>
        <w:ind w:firstLine="567"/>
        <w:jc w:val="both"/>
      </w:pPr>
    </w:p>
    <w:p w14:paraId="1296C7BB" w14:textId="77777777" w:rsidR="003047F5" w:rsidRPr="00343FEA" w:rsidRDefault="003047F5" w:rsidP="00343FEA">
      <w:pPr>
        <w:pStyle w:val="ATvirsraksts"/>
      </w:pPr>
      <w:r w:rsidRPr="00343FEA">
        <w:t>Aprakstošā daļa</w:t>
      </w:r>
    </w:p>
    <w:p w14:paraId="3D790A41" w14:textId="77777777" w:rsidR="003047F5" w:rsidRPr="00343FEA" w:rsidRDefault="003047F5" w:rsidP="00343FEA">
      <w:pPr>
        <w:spacing w:line="276" w:lineRule="auto"/>
        <w:ind w:firstLine="567"/>
        <w:jc w:val="both"/>
      </w:pPr>
    </w:p>
    <w:p w14:paraId="7A463037" w14:textId="09D06329" w:rsidR="00B34F26" w:rsidRPr="00343FEA" w:rsidRDefault="000A7444" w:rsidP="00343FEA">
      <w:pPr>
        <w:autoSpaceDE w:val="0"/>
        <w:autoSpaceDN w:val="0"/>
        <w:adjustRightInd w:val="0"/>
        <w:spacing w:line="276" w:lineRule="auto"/>
        <w:ind w:firstLine="567"/>
        <w:jc w:val="both"/>
      </w:pPr>
      <w:r w:rsidRPr="00343FEA">
        <w:t>[</w:t>
      </w:r>
      <w:r w:rsidR="005218DC" w:rsidRPr="00343FEA">
        <w:t>1]</w:t>
      </w:r>
      <w:r w:rsidR="00DC7668" w:rsidRPr="00343FEA">
        <w:rPr>
          <w:rFonts w:ascii="TimesNewRomanPSMT" w:eastAsiaTheme="minorHAnsi" w:hAnsi="TimesNewRomanPSMT" w:cs="TimesNewRomanPSMT"/>
          <w:lang w:eastAsia="en-US"/>
        </w:rPr>
        <w:t> </w:t>
      </w:r>
      <w:r w:rsidR="00DC7668" w:rsidRPr="00343FEA">
        <w:rPr>
          <w:rFonts w:asciiTheme="majorBidi" w:hAnsiTheme="majorBidi" w:cstheme="majorBidi"/>
        </w:rPr>
        <w:t xml:space="preserve">Pieteicējs </w:t>
      </w:r>
      <w:r w:rsidR="00D32ACB" w:rsidRPr="00343FEA">
        <w:rPr>
          <w:rFonts w:asciiTheme="majorBidi" w:eastAsiaTheme="minorHAnsi" w:hAnsiTheme="majorBidi" w:cstheme="majorBidi"/>
          <w:lang w:eastAsia="en-US"/>
        </w:rPr>
        <w:t xml:space="preserve">[pers. A] </w:t>
      </w:r>
      <w:r w:rsidR="00DC7668" w:rsidRPr="00343FEA">
        <w:rPr>
          <w:rFonts w:asciiTheme="majorBidi" w:hAnsiTheme="majorBidi" w:cstheme="majorBidi"/>
        </w:rPr>
        <w:t xml:space="preserve">2018.gadā iegādājās Lietuvā 2008.gadā </w:t>
      </w:r>
      <w:r w:rsidR="00DC7668" w:rsidRPr="00343FEA">
        <w:t>pastāvīgi reģistrētu transportlīdzekli, kuru viņš vēl</w:t>
      </w:r>
      <w:r w:rsidR="00A95BFD" w:rsidRPr="00343FEA">
        <w:t>as</w:t>
      </w:r>
      <w:r w:rsidR="00DC7668" w:rsidRPr="00343FEA">
        <w:t xml:space="preserve"> pārreģistrēt Latvijā. Transportlīdzeklis ražots Japānā Amerikas Savienoto Valstu tirgum.</w:t>
      </w:r>
    </w:p>
    <w:p w14:paraId="015C39F1" w14:textId="20006656" w:rsidR="00DC7668" w:rsidRPr="00343FEA" w:rsidRDefault="00D60632" w:rsidP="00343FEA">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343FEA">
        <w:t>Pamatojoties uz to, ka pieteicējs neiesniedza atbilstības apliecinājumu,</w:t>
      </w:r>
      <w:r w:rsidR="00540217" w:rsidRPr="00343FEA">
        <w:t xml:space="preserve"> kā to paredz </w:t>
      </w:r>
      <w:r w:rsidR="00540217" w:rsidRPr="00343FEA">
        <w:rPr>
          <w:rFonts w:ascii="TimesNewRomanPSMT" w:hAnsi="TimesNewRomanPSMT" w:cs="TimesNewRomanPSMT"/>
        </w:rPr>
        <w:t>Ministru kabineta</w:t>
      </w:r>
      <w:r w:rsidR="00540217" w:rsidRPr="00343FEA">
        <w:t xml:space="preserve"> </w:t>
      </w:r>
      <w:r w:rsidR="00540217" w:rsidRPr="00343FEA">
        <w:rPr>
          <w:rFonts w:ascii="TimesNewRomanPSMT" w:hAnsi="TimesNewRomanPSMT" w:cs="TimesNewRomanPSMT"/>
        </w:rPr>
        <w:t xml:space="preserve">2010.gada 30.novembra noteikumu Nr. 1080 „Transportlīdzekļu </w:t>
      </w:r>
      <w:r w:rsidR="00540217" w:rsidRPr="00343FEA">
        <w:rPr>
          <w:rFonts w:asciiTheme="majorBidi" w:hAnsiTheme="majorBidi" w:cstheme="majorBidi"/>
        </w:rPr>
        <w:t>reģistrācijas noteikumi”</w:t>
      </w:r>
      <w:r w:rsidR="0065545B" w:rsidRPr="00343FEA">
        <w:rPr>
          <w:rFonts w:asciiTheme="majorBidi" w:hAnsiTheme="majorBidi" w:cstheme="majorBidi"/>
        </w:rPr>
        <w:t xml:space="preserve"> (turpmāk – </w:t>
      </w:r>
      <w:bookmarkStart w:id="1" w:name="_Hlk109291747"/>
      <w:r w:rsidR="00725E7A" w:rsidRPr="00343FEA">
        <w:rPr>
          <w:rFonts w:ascii="TimesNewRomanPSMT" w:hAnsi="TimesNewRomanPSMT" w:cs="TimesNewRomanPSMT"/>
        </w:rPr>
        <w:t xml:space="preserve">Transportlīdzekļu </w:t>
      </w:r>
      <w:r w:rsidR="00725E7A" w:rsidRPr="00343FEA">
        <w:rPr>
          <w:rFonts w:asciiTheme="majorBidi" w:hAnsiTheme="majorBidi" w:cstheme="majorBidi"/>
        </w:rPr>
        <w:t>reģistrācijas noteikumi</w:t>
      </w:r>
      <w:r w:rsidR="0065545B" w:rsidRPr="00343FEA">
        <w:rPr>
          <w:rFonts w:asciiTheme="majorBidi" w:hAnsiTheme="majorBidi" w:cstheme="majorBidi"/>
        </w:rPr>
        <w:t>)</w:t>
      </w:r>
      <w:r w:rsidR="00540217" w:rsidRPr="00343FEA">
        <w:rPr>
          <w:rFonts w:asciiTheme="majorBidi" w:hAnsiTheme="majorBidi" w:cstheme="majorBidi"/>
        </w:rPr>
        <w:t xml:space="preserve"> 39.1.8.apakšpunkts</w:t>
      </w:r>
      <w:bookmarkEnd w:id="1"/>
      <w:r w:rsidR="00540217" w:rsidRPr="00343FEA">
        <w:rPr>
          <w:rFonts w:asciiTheme="majorBidi" w:hAnsiTheme="majorBidi" w:cstheme="majorBidi"/>
        </w:rPr>
        <w:t>,</w:t>
      </w:r>
      <w:r w:rsidRPr="00343FEA">
        <w:t xml:space="preserve"> a</w:t>
      </w:r>
      <w:r w:rsidR="00DC7668" w:rsidRPr="00343FEA">
        <w:t xml:space="preserve">r </w:t>
      </w:r>
      <w:r w:rsidR="00DC7668" w:rsidRPr="00343FEA">
        <w:rPr>
          <w:rFonts w:asciiTheme="majorBidi" w:eastAsiaTheme="minorHAnsi" w:hAnsiTheme="majorBidi" w:cstheme="majorBidi"/>
          <w:lang w:eastAsia="en-US"/>
        </w:rPr>
        <w:t>VAS „Ceļu satiksmes drošības direkcija” 2018.gada</w:t>
      </w:r>
      <w:r w:rsidR="00540217" w:rsidRPr="00343FEA">
        <w:rPr>
          <w:rFonts w:asciiTheme="majorBidi" w:eastAsiaTheme="minorHAnsi" w:hAnsiTheme="majorBidi" w:cstheme="majorBidi"/>
          <w:lang w:eastAsia="en-US"/>
        </w:rPr>
        <w:t xml:space="preserve"> </w:t>
      </w:r>
      <w:r w:rsidR="00DC7668" w:rsidRPr="00343FEA">
        <w:rPr>
          <w:rFonts w:asciiTheme="majorBidi" w:eastAsiaTheme="minorHAnsi" w:hAnsiTheme="majorBidi" w:cstheme="majorBidi"/>
          <w:lang w:eastAsia="en-US"/>
        </w:rPr>
        <w:t xml:space="preserve">31.maija lēmumu </w:t>
      </w:r>
      <w:r w:rsidRPr="00343FEA">
        <w:rPr>
          <w:rFonts w:asciiTheme="majorBidi" w:eastAsiaTheme="minorHAnsi" w:hAnsiTheme="majorBidi" w:cstheme="majorBidi"/>
          <w:lang w:eastAsia="en-US"/>
        </w:rPr>
        <w:t>atstāts spēkā atteikums transportlīdzekļa pastāvīgai reģistrācijai</w:t>
      </w:r>
      <w:r w:rsidR="00FA7AB7" w:rsidRPr="00343FEA">
        <w:rPr>
          <w:rFonts w:asciiTheme="majorBidi" w:eastAsiaTheme="minorHAnsi" w:hAnsiTheme="majorBidi" w:cstheme="majorBidi"/>
          <w:lang w:eastAsia="en-US"/>
        </w:rPr>
        <w:t>.</w:t>
      </w:r>
    </w:p>
    <w:p w14:paraId="77F3D2A2" w14:textId="77777777" w:rsidR="00B34F26" w:rsidRPr="00343FEA" w:rsidRDefault="00B34F26" w:rsidP="00343FEA">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536A66DD" w14:textId="033BF71B" w:rsidR="00544B27" w:rsidRPr="00343FEA" w:rsidRDefault="00744402" w:rsidP="00343FEA">
      <w:pPr>
        <w:autoSpaceDE w:val="0"/>
        <w:autoSpaceDN w:val="0"/>
        <w:adjustRightInd w:val="0"/>
        <w:spacing w:line="276" w:lineRule="auto"/>
        <w:ind w:firstLine="567"/>
        <w:jc w:val="both"/>
        <w:rPr>
          <w:rFonts w:asciiTheme="majorBidi" w:eastAsiaTheme="minorHAnsi" w:hAnsiTheme="majorBidi" w:cstheme="majorBidi"/>
          <w:lang w:eastAsia="en-US"/>
        </w:rPr>
      </w:pPr>
      <w:r w:rsidRPr="00343FEA">
        <w:rPr>
          <w:rFonts w:asciiTheme="majorBidi" w:eastAsiaTheme="minorHAnsi" w:hAnsiTheme="majorBidi" w:cstheme="majorBidi"/>
          <w:lang w:eastAsia="en-US"/>
        </w:rPr>
        <w:t>[</w:t>
      </w:r>
      <w:r w:rsidR="00A95BFD" w:rsidRPr="00343FEA">
        <w:rPr>
          <w:rFonts w:asciiTheme="majorBidi" w:eastAsiaTheme="minorHAnsi" w:hAnsiTheme="majorBidi" w:cstheme="majorBidi"/>
          <w:lang w:eastAsia="en-US"/>
        </w:rPr>
        <w:t>2</w:t>
      </w:r>
      <w:r w:rsidRPr="00343FEA">
        <w:rPr>
          <w:rFonts w:asciiTheme="majorBidi" w:eastAsiaTheme="minorHAnsi" w:hAnsiTheme="majorBidi" w:cstheme="majorBidi"/>
          <w:lang w:eastAsia="en-US"/>
        </w:rPr>
        <w:t>]</w:t>
      </w:r>
      <w:r w:rsidR="0035658E" w:rsidRPr="00343FEA">
        <w:rPr>
          <w:rFonts w:asciiTheme="majorBidi" w:eastAsiaTheme="minorHAnsi" w:hAnsiTheme="majorBidi" w:cstheme="majorBidi"/>
          <w:lang w:eastAsia="en-US"/>
        </w:rPr>
        <w:t> </w:t>
      </w:r>
      <w:r w:rsidR="00706004" w:rsidRPr="00343FEA">
        <w:rPr>
          <w:rFonts w:asciiTheme="majorBidi" w:eastAsiaTheme="minorHAnsi" w:hAnsiTheme="majorBidi" w:cstheme="majorBidi"/>
          <w:lang w:eastAsia="en-US"/>
        </w:rPr>
        <w:t>Pieteicēj</w:t>
      </w:r>
      <w:r w:rsidR="00D60632" w:rsidRPr="00343FEA">
        <w:rPr>
          <w:rFonts w:asciiTheme="majorBidi" w:eastAsiaTheme="minorHAnsi" w:hAnsiTheme="majorBidi" w:cstheme="majorBidi"/>
          <w:lang w:eastAsia="en-US"/>
        </w:rPr>
        <w:t>s</w:t>
      </w:r>
      <w:r w:rsidR="00706004" w:rsidRPr="00343FEA">
        <w:rPr>
          <w:rFonts w:asciiTheme="majorBidi" w:eastAsiaTheme="minorHAnsi" w:hAnsiTheme="majorBidi" w:cstheme="majorBidi"/>
          <w:lang w:eastAsia="en-US"/>
        </w:rPr>
        <w:t xml:space="preserve"> </w:t>
      </w:r>
      <w:r w:rsidR="00544B27" w:rsidRPr="00343FEA">
        <w:rPr>
          <w:rFonts w:asciiTheme="majorBidi" w:eastAsiaTheme="minorHAnsi" w:hAnsiTheme="majorBidi" w:cstheme="majorBidi"/>
          <w:lang w:eastAsia="en-US"/>
        </w:rPr>
        <w:t xml:space="preserve">vērsās tiesā ar pieteikumu </w:t>
      </w:r>
      <w:r w:rsidR="00D60632" w:rsidRPr="00343FEA">
        <w:rPr>
          <w:rFonts w:asciiTheme="majorBidi" w:eastAsiaTheme="minorHAnsi" w:hAnsiTheme="majorBidi" w:cstheme="majorBidi"/>
          <w:lang w:eastAsia="en-US"/>
        </w:rPr>
        <w:t xml:space="preserve">par </w:t>
      </w:r>
      <w:r w:rsidR="00A95BFD" w:rsidRPr="00343FEA">
        <w:rPr>
          <w:rFonts w:asciiTheme="majorBidi" w:eastAsiaTheme="minorHAnsi" w:hAnsiTheme="majorBidi" w:cstheme="majorBidi"/>
          <w:lang w:eastAsia="en-US"/>
        </w:rPr>
        <w:t>labvēlīga administratīvā akta</w:t>
      </w:r>
      <w:r w:rsidR="00B17D48" w:rsidRPr="00343FEA">
        <w:rPr>
          <w:rFonts w:asciiTheme="majorBidi" w:eastAsiaTheme="minorHAnsi" w:hAnsiTheme="majorBidi" w:cstheme="majorBidi"/>
          <w:lang w:eastAsia="en-US"/>
        </w:rPr>
        <w:t xml:space="preserve"> izdošanu</w:t>
      </w:r>
      <w:r w:rsidR="00A95BFD" w:rsidRPr="00343FEA">
        <w:rPr>
          <w:rFonts w:asciiTheme="majorBidi" w:eastAsiaTheme="minorHAnsi" w:hAnsiTheme="majorBidi" w:cstheme="majorBidi"/>
          <w:lang w:eastAsia="en-US"/>
        </w:rPr>
        <w:t xml:space="preserve">, ar kuru tiktu </w:t>
      </w:r>
      <w:r w:rsidR="00B914D5" w:rsidRPr="00343FEA">
        <w:rPr>
          <w:rFonts w:asciiTheme="majorBidi" w:eastAsiaTheme="minorHAnsi" w:hAnsiTheme="majorBidi" w:cstheme="majorBidi"/>
          <w:lang w:eastAsia="en-US"/>
        </w:rPr>
        <w:t xml:space="preserve">reģistrēts </w:t>
      </w:r>
      <w:r w:rsidR="00A95BFD" w:rsidRPr="00343FEA">
        <w:rPr>
          <w:rFonts w:asciiTheme="majorBidi" w:eastAsiaTheme="minorHAnsi" w:hAnsiTheme="majorBidi" w:cstheme="majorBidi"/>
          <w:lang w:eastAsia="en-US"/>
        </w:rPr>
        <w:t>transportlīdzek</w:t>
      </w:r>
      <w:r w:rsidR="00B914D5" w:rsidRPr="00343FEA">
        <w:rPr>
          <w:rFonts w:asciiTheme="majorBidi" w:eastAsiaTheme="minorHAnsi" w:hAnsiTheme="majorBidi" w:cstheme="majorBidi"/>
          <w:lang w:eastAsia="en-US"/>
        </w:rPr>
        <w:t>lis</w:t>
      </w:r>
      <w:r w:rsidR="002475AF" w:rsidRPr="00343FEA">
        <w:rPr>
          <w:rFonts w:asciiTheme="majorBidi" w:eastAsiaTheme="minorHAnsi" w:hAnsiTheme="majorBidi" w:cstheme="majorBidi"/>
          <w:lang w:eastAsia="en-US"/>
        </w:rPr>
        <w:t>.</w:t>
      </w:r>
    </w:p>
    <w:p w14:paraId="3B8799C5" w14:textId="77777777" w:rsidR="00EE49DF" w:rsidRPr="00343FEA" w:rsidRDefault="00EE49DF" w:rsidP="00343FEA">
      <w:pPr>
        <w:autoSpaceDE w:val="0"/>
        <w:autoSpaceDN w:val="0"/>
        <w:adjustRightInd w:val="0"/>
        <w:spacing w:line="276" w:lineRule="auto"/>
        <w:ind w:firstLine="567"/>
        <w:jc w:val="both"/>
        <w:rPr>
          <w:rFonts w:ascii="TimesNewRomanPSMT" w:hAnsi="TimesNewRomanPSMT" w:cs="TimesNewRomanPSMT"/>
        </w:rPr>
      </w:pPr>
    </w:p>
    <w:p w14:paraId="07536659" w14:textId="1A74DFC8" w:rsidR="00445645" w:rsidRPr="00343FEA" w:rsidRDefault="00433699" w:rsidP="00343FEA">
      <w:pPr>
        <w:autoSpaceDE w:val="0"/>
        <w:autoSpaceDN w:val="0"/>
        <w:adjustRightInd w:val="0"/>
        <w:spacing w:line="276" w:lineRule="auto"/>
        <w:ind w:firstLine="567"/>
        <w:jc w:val="both"/>
        <w:rPr>
          <w:rFonts w:asciiTheme="majorBidi" w:hAnsiTheme="majorBidi" w:cstheme="majorBidi"/>
        </w:rPr>
      </w:pPr>
      <w:r w:rsidRPr="00343FEA">
        <w:t>[</w:t>
      </w:r>
      <w:r w:rsidR="00576444" w:rsidRPr="00343FEA">
        <w:t>3</w:t>
      </w:r>
      <w:r w:rsidR="001B4065" w:rsidRPr="00343FEA">
        <w:t>]</w:t>
      </w:r>
      <w:r w:rsidR="00D60632" w:rsidRPr="00343FEA">
        <w:rPr>
          <w:rFonts w:asciiTheme="majorBidi" w:hAnsiTheme="majorBidi" w:cstheme="majorBidi"/>
        </w:rPr>
        <w:t> </w:t>
      </w:r>
      <w:r w:rsidR="00AF59D4" w:rsidRPr="00343FEA">
        <w:rPr>
          <w:rFonts w:asciiTheme="majorBidi" w:eastAsiaTheme="minorHAnsi" w:hAnsiTheme="majorBidi" w:cstheme="majorBidi"/>
          <w:lang w:eastAsia="en-US"/>
        </w:rPr>
        <w:t xml:space="preserve">Administratīvā rajona tiesa pieteikumu noraidīja. Arī </w:t>
      </w:r>
      <w:r w:rsidR="00D305BD" w:rsidRPr="00343FEA">
        <w:rPr>
          <w:rFonts w:asciiTheme="majorBidi" w:hAnsiTheme="majorBidi" w:cstheme="majorBidi"/>
        </w:rPr>
        <w:t xml:space="preserve">Administratīvā apgabaltiesa, izskatot lietu </w:t>
      </w:r>
      <w:r w:rsidR="001705D9" w:rsidRPr="00343FEA">
        <w:rPr>
          <w:rFonts w:asciiTheme="majorBidi" w:hAnsiTheme="majorBidi" w:cstheme="majorBidi"/>
        </w:rPr>
        <w:t>apelācijas kārtībā</w:t>
      </w:r>
      <w:r w:rsidR="00D305BD" w:rsidRPr="00343FEA">
        <w:rPr>
          <w:rFonts w:asciiTheme="majorBidi" w:hAnsiTheme="majorBidi" w:cstheme="majorBidi"/>
        </w:rPr>
        <w:t xml:space="preserve">, ar </w:t>
      </w:r>
      <w:r w:rsidR="006D599F" w:rsidRPr="00343FEA">
        <w:rPr>
          <w:rFonts w:asciiTheme="majorBidi" w:hAnsiTheme="majorBidi" w:cstheme="majorBidi"/>
        </w:rPr>
        <w:t>20</w:t>
      </w:r>
      <w:r w:rsidR="00D60632" w:rsidRPr="00343FEA">
        <w:rPr>
          <w:rFonts w:asciiTheme="majorBidi" w:hAnsiTheme="majorBidi" w:cstheme="majorBidi"/>
        </w:rPr>
        <w:t>19</w:t>
      </w:r>
      <w:r w:rsidR="006D599F" w:rsidRPr="00343FEA">
        <w:rPr>
          <w:rFonts w:asciiTheme="majorBidi" w:hAnsiTheme="majorBidi" w:cstheme="majorBidi"/>
        </w:rPr>
        <w:t xml:space="preserve">.gada </w:t>
      </w:r>
      <w:r w:rsidR="00445645" w:rsidRPr="00343FEA">
        <w:rPr>
          <w:rFonts w:asciiTheme="majorBidi" w:hAnsiTheme="majorBidi" w:cstheme="majorBidi"/>
        </w:rPr>
        <w:t>22.oktobra</w:t>
      </w:r>
      <w:r w:rsidR="00F931C5" w:rsidRPr="00343FEA">
        <w:rPr>
          <w:rFonts w:asciiTheme="majorBidi" w:hAnsiTheme="majorBidi" w:cstheme="majorBidi"/>
        </w:rPr>
        <w:t xml:space="preserve"> spriedumu </w:t>
      </w:r>
      <w:r w:rsidR="00C64247" w:rsidRPr="00343FEA">
        <w:rPr>
          <w:rFonts w:asciiTheme="majorBidi" w:hAnsiTheme="majorBidi" w:cstheme="majorBidi"/>
        </w:rPr>
        <w:t xml:space="preserve">pieteikumu </w:t>
      </w:r>
      <w:r w:rsidR="00445645" w:rsidRPr="00343FEA">
        <w:rPr>
          <w:rFonts w:asciiTheme="majorBidi" w:hAnsiTheme="majorBidi" w:cstheme="majorBidi"/>
        </w:rPr>
        <w:t>noraidīja</w:t>
      </w:r>
      <w:r w:rsidR="00AF59D4" w:rsidRPr="00343FEA">
        <w:rPr>
          <w:rFonts w:asciiTheme="majorBidi" w:hAnsiTheme="majorBidi" w:cstheme="majorBidi"/>
        </w:rPr>
        <w:t>, citstarp pievienojoties rajona tiesas sprieduma motīviem</w:t>
      </w:r>
      <w:r w:rsidR="00445645" w:rsidRPr="00343FEA">
        <w:rPr>
          <w:rFonts w:asciiTheme="majorBidi" w:hAnsiTheme="majorBidi" w:cstheme="majorBidi"/>
        </w:rPr>
        <w:t>.</w:t>
      </w:r>
    </w:p>
    <w:p w14:paraId="23B2093B" w14:textId="392966F9" w:rsidR="00445645" w:rsidRPr="00343FEA" w:rsidRDefault="00445645" w:rsidP="00343FEA">
      <w:pPr>
        <w:autoSpaceDE w:val="0"/>
        <w:autoSpaceDN w:val="0"/>
        <w:adjustRightInd w:val="0"/>
        <w:spacing w:line="276" w:lineRule="auto"/>
        <w:ind w:firstLine="567"/>
        <w:jc w:val="both"/>
        <w:rPr>
          <w:rFonts w:asciiTheme="majorBidi" w:hAnsiTheme="majorBidi" w:cstheme="majorBidi"/>
        </w:rPr>
      </w:pPr>
      <w:r w:rsidRPr="00343FEA">
        <w:rPr>
          <w:rFonts w:asciiTheme="majorBidi" w:hAnsiTheme="majorBidi" w:cstheme="majorBidi"/>
        </w:rPr>
        <w:t xml:space="preserve">Tiesa </w:t>
      </w:r>
      <w:r w:rsidR="0027235B" w:rsidRPr="00343FEA">
        <w:rPr>
          <w:rFonts w:asciiTheme="majorBidi" w:hAnsiTheme="majorBidi" w:cstheme="majorBidi"/>
        </w:rPr>
        <w:t xml:space="preserve">spriedumā </w:t>
      </w:r>
      <w:r w:rsidRPr="00343FEA">
        <w:rPr>
          <w:rFonts w:asciiTheme="majorBidi" w:hAnsiTheme="majorBidi" w:cstheme="majorBidi"/>
        </w:rPr>
        <w:t xml:space="preserve">secināja, ka transportlīdzeklim nav veikta Eiropas Kopienas </w:t>
      </w:r>
      <w:r w:rsidR="00E05DFF" w:rsidRPr="00343FEA">
        <w:rPr>
          <w:rFonts w:asciiTheme="majorBidi" w:hAnsiTheme="majorBidi" w:cstheme="majorBidi"/>
        </w:rPr>
        <w:t>(turpmāk</w:t>
      </w:r>
      <w:r w:rsidR="00345924" w:rsidRPr="00343FEA">
        <w:rPr>
          <w:rFonts w:asciiTheme="majorBidi" w:hAnsiTheme="majorBidi" w:cstheme="majorBidi"/>
        </w:rPr>
        <w:t> </w:t>
      </w:r>
      <w:r w:rsidR="00E05DFF" w:rsidRPr="00343FEA">
        <w:rPr>
          <w:rFonts w:asciiTheme="majorBidi" w:hAnsiTheme="majorBidi" w:cstheme="majorBidi"/>
        </w:rPr>
        <w:t>–</w:t>
      </w:r>
      <w:r w:rsidR="00345924" w:rsidRPr="00343FEA">
        <w:rPr>
          <w:rFonts w:asciiTheme="majorBidi" w:hAnsiTheme="majorBidi" w:cstheme="majorBidi"/>
        </w:rPr>
        <w:t> </w:t>
      </w:r>
      <w:r w:rsidR="00E05DFF" w:rsidRPr="00343FEA">
        <w:rPr>
          <w:rFonts w:asciiTheme="majorBidi" w:hAnsiTheme="majorBidi" w:cstheme="majorBidi"/>
        </w:rPr>
        <w:t xml:space="preserve">EK) </w:t>
      </w:r>
      <w:r w:rsidRPr="00343FEA">
        <w:rPr>
          <w:rFonts w:asciiTheme="majorBidi" w:hAnsiTheme="majorBidi" w:cstheme="majorBidi"/>
        </w:rPr>
        <w:t xml:space="preserve">tipa apstiprināšanas procedūra, nav izsniegts </w:t>
      </w:r>
      <w:r w:rsidR="00E05DFF" w:rsidRPr="00343FEA">
        <w:rPr>
          <w:rFonts w:asciiTheme="majorBidi" w:hAnsiTheme="majorBidi" w:cstheme="majorBidi"/>
        </w:rPr>
        <w:t>EK</w:t>
      </w:r>
      <w:r w:rsidRPr="00343FEA">
        <w:rPr>
          <w:rFonts w:asciiTheme="majorBidi" w:hAnsiTheme="majorBidi" w:cstheme="majorBidi"/>
        </w:rPr>
        <w:t xml:space="preserve"> atbilstības sertifikāts</w:t>
      </w:r>
      <w:r w:rsidR="006D691A" w:rsidRPr="00343FEA">
        <w:rPr>
          <w:rFonts w:asciiTheme="majorBidi" w:hAnsiTheme="majorBidi" w:cstheme="majorBidi"/>
        </w:rPr>
        <w:t>, kā arī</w:t>
      </w:r>
      <w:r w:rsidRPr="00343FEA">
        <w:rPr>
          <w:rFonts w:asciiTheme="majorBidi" w:hAnsiTheme="majorBidi" w:cstheme="majorBidi"/>
        </w:rPr>
        <w:t xml:space="preserve"> uz izgatavotāja plāksnītes nav norādīts </w:t>
      </w:r>
      <w:r w:rsidR="00E05DFF" w:rsidRPr="00343FEA">
        <w:rPr>
          <w:rFonts w:asciiTheme="majorBidi" w:hAnsiTheme="majorBidi" w:cstheme="majorBidi"/>
        </w:rPr>
        <w:t>EK</w:t>
      </w:r>
      <w:r w:rsidRPr="00343FEA">
        <w:rPr>
          <w:rFonts w:asciiTheme="majorBidi" w:hAnsiTheme="majorBidi" w:cstheme="majorBidi"/>
        </w:rPr>
        <w:t xml:space="preserve"> tipa apstiprinājuma marķējums. Lietuvas</w:t>
      </w:r>
      <w:r w:rsidR="0035658E" w:rsidRPr="00343FEA">
        <w:rPr>
          <w:rFonts w:asciiTheme="majorBidi" w:hAnsiTheme="majorBidi" w:cstheme="majorBidi"/>
        </w:rPr>
        <w:t xml:space="preserve"> kompetentās iestādes</w:t>
      </w:r>
      <w:r w:rsidRPr="00343FEA">
        <w:rPr>
          <w:rFonts w:asciiTheme="majorBidi" w:hAnsiTheme="majorBidi" w:cstheme="majorBidi"/>
        </w:rPr>
        <w:t xml:space="preserve"> izsniegtajā pastāvīgās reģistrācijas apliecībā nav norādīts ne valsts tips, ne individuālā apstiprinājuma numurs</w:t>
      </w:r>
      <w:r w:rsidR="0035658E" w:rsidRPr="00343FEA">
        <w:rPr>
          <w:rFonts w:asciiTheme="majorBidi" w:hAnsiTheme="majorBidi" w:cstheme="majorBidi"/>
        </w:rPr>
        <w:t xml:space="preserve">. </w:t>
      </w:r>
      <w:r w:rsidR="0027235B" w:rsidRPr="00343FEA">
        <w:rPr>
          <w:rFonts w:asciiTheme="majorBidi" w:hAnsiTheme="majorBidi" w:cstheme="majorBidi"/>
        </w:rPr>
        <w:t>N</w:t>
      </w:r>
      <w:r w:rsidR="0035658E" w:rsidRPr="00343FEA">
        <w:rPr>
          <w:rFonts w:asciiTheme="majorBidi" w:hAnsiTheme="majorBidi" w:cstheme="majorBidi"/>
        </w:rPr>
        <w:t>av</w:t>
      </w:r>
      <w:r w:rsidRPr="00343FEA">
        <w:rPr>
          <w:rFonts w:asciiTheme="majorBidi" w:hAnsiTheme="majorBidi" w:cstheme="majorBidi"/>
        </w:rPr>
        <w:t xml:space="preserve"> saņemts </w:t>
      </w:r>
      <w:r w:rsidR="0027235B" w:rsidRPr="00343FEA">
        <w:rPr>
          <w:rFonts w:asciiTheme="majorBidi" w:hAnsiTheme="majorBidi" w:cstheme="majorBidi"/>
        </w:rPr>
        <w:t xml:space="preserve">arī Lietuvas </w:t>
      </w:r>
      <w:r w:rsidRPr="00343FEA">
        <w:rPr>
          <w:rFonts w:asciiTheme="majorBidi" w:hAnsiTheme="majorBidi" w:cstheme="majorBidi"/>
        </w:rPr>
        <w:t xml:space="preserve">reģistrācijas iestādes apliecinājums, ka transportlīdzeklim veikta atbilstības novērtēšana. </w:t>
      </w:r>
      <w:r w:rsidR="0035658E" w:rsidRPr="00343FEA">
        <w:rPr>
          <w:rFonts w:asciiTheme="majorBidi" w:hAnsiTheme="majorBidi" w:cstheme="majorBidi"/>
        </w:rPr>
        <w:t>Savukārt t</w:t>
      </w:r>
      <w:r w:rsidRPr="00343FEA">
        <w:rPr>
          <w:rFonts w:asciiTheme="majorBidi" w:hAnsiTheme="majorBidi" w:cstheme="majorBidi"/>
        </w:rPr>
        <w:t xml:space="preserve">ransportlīdzekļa </w:t>
      </w:r>
      <w:r w:rsidRPr="00343FEA">
        <w:rPr>
          <w:rFonts w:asciiTheme="majorBidi" w:hAnsiTheme="majorBidi" w:cstheme="majorBidi"/>
        </w:rPr>
        <w:lastRenderedPageBreak/>
        <w:t xml:space="preserve">reģistrēšanas fakts Lietuvā 2008.gadā pats par sevi nenozīmē, ka šim transportlīdzeklim piešķirts Eiropas Savienības tipa vai individuālais apstiprinājums, valsts tipa vai individuālais apstiprinājums atbilstoši </w:t>
      </w:r>
      <w:r w:rsidRPr="00343FEA">
        <w:t xml:space="preserve">Eiropas Parlamenta un Padomes </w:t>
      </w:r>
      <w:r w:rsidR="001A6534" w:rsidRPr="00343FEA">
        <w:t xml:space="preserve">2007.gada 5.septembra </w:t>
      </w:r>
      <w:r w:rsidRPr="00343FEA">
        <w:t>Direktīvas 2007/46/EK, ar ko izveido sistēmu mehānisko transportlīdzekļu un to piekabju, kā arī tādiem transportlīdzekļiem paredzētu sistēmu, sastāvdaļu un atsevišķu tehnisku vienību apstiprināšanai (pamatdirektīva)</w:t>
      </w:r>
      <w:r w:rsidR="00136167" w:rsidRPr="00343FEA">
        <w:t xml:space="preserve"> </w:t>
      </w:r>
      <w:r w:rsidRPr="00343FEA">
        <w:rPr>
          <w:rFonts w:asciiTheme="majorBidi" w:hAnsiTheme="majorBidi" w:cstheme="majorBidi"/>
        </w:rPr>
        <w:t xml:space="preserve">(turpmāk – Direktīva 2007/46/EK) prasībām. </w:t>
      </w:r>
    </w:p>
    <w:p w14:paraId="341AEEDD" w14:textId="4A0D1B67" w:rsidR="00445645" w:rsidRPr="00343FEA" w:rsidRDefault="00445645" w:rsidP="00343FEA">
      <w:pPr>
        <w:autoSpaceDE w:val="0"/>
        <w:autoSpaceDN w:val="0"/>
        <w:adjustRightInd w:val="0"/>
        <w:spacing w:line="276" w:lineRule="auto"/>
        <w:ind w:firstLine="567"/>
        <w:jc w:val="both"/>
        <w:rPr>
          <w:rFonts w:asciiTheme="majorBidi" w:hAnsiTheme="majorBidi" w:cstheme="majorBidi"/>
        </w:rPr>
      </w:pPr>
      <w:r w:rsidRPr="00343FEA">
        <w:rPr>
          <w:rFonts w:asciiTheme="majorBidi" w:hAnsiTheme="majorBidi" w:cstheme="majorBidi"/>
        </w:rPr>
        <w:t xml:space="preserve">Ievērojot minēto, tiesa </w:t>
      </w:r>
      <w:r w:rsidR="005707D1" w:rsidRPr="00343FEA">
        <w:rPr>
          <w:rFonts w:asciiTheme="majorBidi" w:hAnsiTheme="majorBidi" w:cstheme="majorBidi"/>
        </w:rPr>
        <w:t>secināja</w:t>
      </w:r>
      <w:r w:rsidRPr="00343FEA">
        <w:rPr>
          <w:rFonts w:asciiTheme="majorBidi" w:hAnsiTheme="majorBidi" w:cstheme="majorBidi"/>
        </w:rPr>
        <w:t xml:space="preserve">, ka transportlīdzeklim Lietuvā nav veikta individuālā apstiprināšanas procedūra </w:t>
      </w:r>
      <w:r w:rsidR="005707D1" w:rsidRPr="00343FEA">
        <w:rPr>
          <w:rFonts w:asciiTheme="majorBidi" w:hAnsiTheme="majorBidi" w:cstheme="majorBidi"/>
        </w:rPr>
        <w:t xml:space="preserve">un </w:t>
      </w:r>
      <w:r w:rsidRPr="00343FEA">
        <w:rPr>
          <w:rFonts w:asciiTheme="majorBidi" w:hAnsiTheme="majorBidi" w:cstheme="majorBidi"/>
        </w:rPr>
        <w:t>individuālais atbilstības sertifikāts nav izsniegts. Tādējādi tiesa atzina, ka iepriekšējās reģistrācijas valsts Lietuvas pastāvīgās reģistrācijas apliecība nav uzskatāma par Latvijā derīgu atbilstības apliecinājumu. Lai transportlīdzekli varētu reģistrēt Latvijā, tam ir jāveic atbilstības novērtēšana.</w:t>
      </w:r>
    </w:p>
    <w:p w14:paraId="2F14AB5C" w14:textId="77777777" w:rsidR="00533530" w:rsidRPr="00343FEA" w:rsidRDefault="00533530" w:rsidP="00343FEA">
      <w:pPr>
        <w:autoSpaceDE w:val="0"/>
        <w:autoSpaceDN w:val="0"/>
        <w:adjustRightInd w:val="0"/>
        <w:spacing w:line="276" w:lineRule="auto"/>
        <w:jc w:val="both"/>
        <w:rPr>
          <w:rFonts w:eastAsiaTheme="minorHAnsi"/>
          <w:lang w:eastAsia="en-US"/>
        </w:rPr>
      </w:pPr>
    </w:p>
    <w:p w14:paraId="332EBC2B" w14:textId="055CDADD" w:rsidR="005B79C9" w:rsidRPr="00343FEA" w:rsidRDefault="00F56DC5" w:rsidP="00343FEA">
      <w:pPr>
        <w:autoSpaceDE w:val="0"/>
        <w:autoSpaceDN w:val="0"/>
        <w:adjustRightInd w:val="0"/>
        <w:spacing w:line="276" w:lineRule="auto"/>
        <w:ind w:firstLine="567"/>
        <w:jc w:val="both"/>
        <w:rPr>
          <w:rFonts w:asciiTheme="majorBidi" w:hAnsiTheme="majorBidi" w:cstheme="majorBidi"/>
        </w:rPr>
      </w:pPr>
      <w:r w:rsidRPr="00343FEA">
        <w:t>[</w:t>
      </w:r>
      <w:r w:rsidR="009B1DD8" w:rsidRPr="00343FEA">
        <w:t>4</w:t>
      </w:r>
      <w:r w:rsidRPr="00343FEA">
        <w:t>]</w:t>
      </w:r>
      <w:r w:rsidR="00D21EBC" w:rsidRPr="00343FEA">
        <w:t> </w:t>
      </w:r>
      <w:r w:rsidR="00445645" w:rsidRPr="00343FEA">
        <w:t>Pieteicējs</w:t>
      </w:r>
      <w:r w:rsidRPr="00343FEA">
        <w:t xml:space="preserve"> </w:t>
      </w:r>
      <w:r w:rsidR="0048714C" w:rsidRPr="00343FEA">
        <w:t>par apgabaltiesas spriedumu</w:t>
      </w:r>
      <w:r w:rsidR="00533530" w:rsidRPr="00343FEA">
        <w:t xml:space="preserve"> </w:t>
      </w:r>
      <w:r w:rsidRPr="00343FEA">
        <w:t>iesniedza kasācijas sūdzību</w:t>
      </w:r>
      <w:r w:rsidR="005B79C9" w:rsidRPr="00343FEA">
        <w:t xml:space="preserve">, kurā </w:t>
      </w:r>
      <w:r w:rsidR="0009155D" w:rsidRPr="00343FEA">
        <w:t xml:space="preserve">pauž viedokli, ka </w:t>
      </w:r>
      <w:r w:rsidR="00FE232D" w:rsidRPr="00343FEA">
        <w:t>iestādei nav pamata pieprasīt uzrādīt atbilstības apliecinājumu, jo transportlīdzeklis 2008.gadā reģistrēts un pēc tam ilgstoši ekspluatēts citā Eiropas Savienības dalībvalstī</w:t>
      </w:r>
      <w:r w:rsidR="005F1FB5" w:rsidRPr="00343FEA">
        <w:t> </w:t>
      </w:r>
      <w:r w:rsidR="00FE232D" w:rsidRPr="00343FEA">
        <w:t>–</w:t>
      </w:r>
      <w:r w:rsidR="005F1FB5" w:rsidRPr="00343FEA">
        <w:t> </w:t>
      </w:r>
      <w:r w:rsidR="00FE232D" w:rsidRPr="00343FEA">
        <w:t>Lietuvā</w:t>
      </w:r>
      <w:r w:rsidR="005B79C9" w:rsidRPr="00343FEA">
        <w:rPr>
          <w:rFonts w:asciiTheme="majorBidi" w:hAnsiTheme="majorBidi" w:cstheme="majorBidi"/>
        </w:rPr>
        <w:t>. Lietuva</w:t>
      </w:r>
      <w:r w:rsidR="00FC6EAA" w:rsidRPr="00343FEA">
        <w:rPr>
          <w:rFonts w:asciiTheme="majorBidi" w:hAnsiTheme="majorBidi" w:cstheme="majorBidi"/>
        </w:rPr>
        <w:t xml:space="preserve"> </w:t>
      </w:r>
      <w:r w:rsidR="005B79C9" w:rsidRPr="00343FEA">
        <w:rPr>
          <w:rFonts w:asciiTheme="majorBidi" w:hAnsiTheme="majorBidi" w:cstheme="majorBidi"/>
        </w:rPr>
        <w:t>nav noteik</w:t>
      </w:r>
      <w:r w:rsidR="00FC6EAA" w:rsidRPr="00343FEA">
        <w:rPr>
          <w:rFonts w:asciiTheme="majorBidi" w:hAnsiTheme="majorBidi" w:cstheme="majorBidi"/>
        </w:rPr>
        <w:t xml:space="preserve">usi </w:t>
      </w:r>
      <w:r w:rsidR="005B79C9" w:rsidRPr="00343FEA">
        <w:rPr>
          <w:rFonts w:asciiTheme="majorBidi" w:hAnsiTheme="majorBidi" w:cstheme="majorBidi"/>
        </w:rPr>
        <w:t>speciāl</w:t>
      </w:r>
      <w:r w:rsidR="003859BF" w:rsidRPr="00343FEA">
        <w:rPr>
          <w:rFonts w:asciiTheme="majorBidi" w:hAnsiTheme="majorBidi" w:cstheme="majorBidi"/>
        </w:rPr>
        <w:t>a</w:t>
      </w:r>
      <w:r w:rsidR="005B79C9" w:rsidRPr="00343FEA">
        <w:rPr>
          <w:rFonts w:asciiTheme="majorBidi" w:hAnsiTheme="majorBidi" w:cstheme="majorBidi"/>
        </w:rPr>
        <w:t>s</w:t>
      </w:r>
      <w:r w:rsidR="00E14E22" w:rsidRPr="00343FEA">
        <w:rPr>
          <w:rFonts w:asciiTheme="majorBidi" w:hAnsiTheme="majorBidi" w:cstheme="majorBidi"/>
        </w:rPr>
        <w:t>,</w:t>
      </w:r>
      <w:r w:rsidR="005B79C9" w:rsidRPr="00343FEA">
        <w:rPr>
          <w:rFonts w:asciiTheme="majorBidi" w:hAnsiTheme="majorBidi" w:cstheme="majorBidi"/>
        </w:rPr>
        <w:t xml:space="preserve"> no harmonizētajām Eiropas Savienības prasībām atšķirīgas</w:t>
      </w:r>
      <w:r w:rsidR="00E14E22" w:rsidRPr="00343FEA">
        <w:rPr>
          <w:rFonts w:asciiTheme="majorBidi" w:hAnsiTheme="majorBidi" w:cstheme="majorBidi"/>
        </w:rPr>
        <w:t xml:space="preserve"> </w:t>
      </w:r>
      <w:r w:rsidR="005B79C9" w:rsidRPr="00343FEA">
        <w:rPr>
          <w:rFonts w:asciiTheme="majorBidi" w:hAnsiTheme="majorBidi" w:cstheme="majorBidi"/>
        </w:rPr>
        <w:t xml:space="preserve">prasības transportlīdzekļu atbilstības novērtēšanai, kā arī nav uzsākta pārkāpuma procedūra saistībā ar šo prasību neievērošanu. </w:t>
      </w:r>
      <w:r w:rsidR="00440594" w:rsidRPr="00343FEA">
        <w:rPr>
          <w:rFonts w:asciiTheme="majorBidi" w:hAnsiTheme="majorBidi" w:cstheme="majorBidi"/>
        </w:rPr>
        <w:t>Citai dalībvalstij ir jāatļauj transportlīdzekli reģistrēt</w:t>
      </w:r>
      <w:r w:rsidR="003859BF" w:rsidRPr="00343FEA">
        <w:rPr>
          <w:rFonts w:asciiTheme="majorBidi" w:hAnsiTheme="majorBidi" w:cstheme="majorBidi"/>
        </w:rPr>
        <w:t xml:space="preserve">, ja vien nav pamatota iemesla uzskatīt, ka tehniskie noteikumi, kas izmantoti apstiprinājuma piešķiršanai, nav līdzvērtīgi pašas dalībvalsts tehniskajiem noteikumiem. </w:t>
      </w:r>
      <w:r w:rsidR="00FC6EAA" w:rsidRPr="00343FEA">
        <w:rPr>
          <w:rFonts w:asciiTheme="majorBidi" w:hAnsiTheme="majorBidi" w:cstheme="majorBidi"/>
        </w:rPr>
        <w:t xml:space="preserve">Prasība iesniegt atbilstības apliecinājumu </w:t>
      </w:r>
      <w:r w:rsidR="003859BF" w:rsidRPr="00343FEA">
        <w:rPr>
          <w:rFonts w:asciiTheme="majorBidi" w:hAnsiTheme="majorBidi" w:cstheme="majorBidi"/>
        </w:rPr>
        <w:t>konkrētā gadījuma faktiskajos apstākļos</w:t>
      </w:r>
      <w:r w:rsidR="005B79C9" w:rsidRPr="00343FEA">
        <w:rPr>
          <w:rFonts w:asciiTheme="majorBidi" w:hAnsiTheme="majorBidi" w:cstheme="majorBidi"/>
        </w:rPr>
        <w:t xml:space="preserve"> </w:t>
      </w:r>
      <w:r w:rsidR="00FC6EAA" w:rsidRPr="00343FEA">
        <w:rPr>
          <w:rFonts w:asciiTheme="majorBidi" w:hAnsiTheme="majorBidi" w:cstheme="majorBidi"/>
        </w:rPr>
        <w:t>ir pretrunā</w:t>
      </w:r>
      <w:r w:rsidR="005B79C9" w:rsidRPr="00343FEA">
        <w:rPr>
          <w:rFonts w:asciiTheme="majorBidi" w:hAnsiTheme="majorBidi" w:cstheme="majorBidi"/>
        </w:rPr>
        <w:t xml:space="preserve"> </w:t>
      </w:r>
      <w:r w:rsidR="00AD30DA" w:rsidRPr="00343FEA">
        <w:rPr>
          <w:rFonts w:ascii="TimesNewRomanPSMT" w:hAnsi="TimesNewRomanPSMT" w:cs="TimesNewRomanPSMT"/>
        </w:rPr>
        <w:t>Eiropas Parlamenta un Padomes 1999.gada 29.aprīļa Direktīv</w:t>
      </w:r>
      <w:r w:rsidR="00FC6EAA" w:rsidRPr="00343FEA">
        <w:rPr>
          <w:rFonts w:ascii="TimesNewRomanPSMT" w:hAnsi="TimesNewRomanPSMT" w:cs="TimesNewRomanPSMT"/>
        </w:rPr>
        <w:t>as</w:t>
      </w:r>
      <w:r w:rsidR="00AD30DA" w:rsidRPr="00343FEA">
        <w:rPr>
          <w:rFonts w:ascii="TimesNewRomanPSMT" w:hAnsi="TimesNewRomanPSMT" w:cs="TimesNewRomanPSMT"/>
        </w:rPr>
        <w:t xml:space="preserve"> 1999/37/EK</w:t>
      </w:r>
      <w:r w:rsidR="009B0746" w:rsidRPr="00343FEA">
        <w:rPr>
          <w:rFonts w:ascii="TimesNewRomanPSMT" w:hAnsi="TimesNewRomanPSMT" w:cs="TimesNewRomanPSMT"/>
        </w:rPr>
        <w:t xml:space="preserve"> </w:t>
      </w:r>
      <w:r w:rsidR="00524D13" w:rsidRPr="00343FEA">
        <w:rPr>
          <w:rFonts w:ascii="TimesNewRomanPSMT" w:hAnsi="TimesNewRomanPSMT" w:cs="TimesNewRomanPSMT"/>
        </w:rPr>
        <w:t>par transportlīdzekļu reģistrācijas dokumentiem</w:t>
      </w:r>
      <w:r w:rsidR="00AD30DA" w:rsidRPr="00343FEA">
        <w:rPr>
          <w:rFonts w:asciiTheme="majorBidi" w:hAnsiTheme="majorBidi" w:cstheme="majorBidi"/>
        </w:rPr>
        <w:t xml:space="preserve"> (turpmāk – </w:t>
      </w:r>
      <w:r w:rsidR="005B79C9" w:rsidRPr="00343FEA">
        <w:rPr>
          <w:rFonts w:asciiTheme="majorBidi" w:hAnsiTheme="majorBidi" w:cstheme="majorBidi"/>
        </w:rPr>
        <w:t>Direktīv</w:t>
      </w:r>
      <w:r w:rsidR="00AD30DA" w:rsidRPr="00343FEA">
        <w:rPr>
          <w:rFonts w:asciiTheme="majorBidi" w:hAnsiTheme="majorBidi" w:cstheme="majorBidi"/>
        </w:rPr>
        <w:t>a</w:t>
      </w:r>
      <w:r w:rsidR="005B79C9" w:rsidRPr="00343FEA">
        <w:rPr>
          <w:rFonts w:asciiTheme="majorBidi" w:hAnsiTheme="majorBidi" w:cstheme="majorBidi"/>
        </w:rPr>
        <w:t xml:space="preserve"> 1999/37/EK</w:t>
      </w:r>
      <w:r w:rsidR="00AD30DA" w:rsidRPr="00343FEA">
        <w:rPr>
          <w:rFonts w:asciiTheme="majorBidi" w:hAnsiTheme="majorBidi" w:cstheme="majorBidi"/>
        </w:rPr>
        <w:t xml:space="preserve">) </w:t>
      </w:r>
      <w:r w:rsidR="00FC6EAA" w:rsidRPr="00343FEA">
        <w:rPr>
          <w:rFonts w:asciiTheme="majorBidi" w:hAnsiTheme="majorBidi" w:cstheme="majorBidi"/>
        </w:rPr>
        <w:t>4.</w:t>
      </w:r>
      <w:r w:rsidR="000B4DB9" w:rsidRPr="00343FEA">
        <w:rPr>
          <w:rFonts w:asciiTheme="majorBidi" w:hAnsiTheme="majorBidi" w:cstheme="majorBidi"/>
        </w:rPr>
        <w:t>pantam</w:t>
      </w:r>
      <w:r w:rsidR="00E34385" w:rsidRPr="00343FEA">
        <w:rPr>
          <w:rFonts w:asciiTheme="majorBidi" w:hAnsiTheme="majorBidi" w:cstheme="majorBidi"/>
        </w:rPr>
        <w:t>.</w:t>
      </w:r>
      <w:r w:rsidR="00E14E22" w:rsidRPr="00343FEA">
        <w:rPr>
          <w:rFonts w:asciiTheme="majorBidi" w:hAnsiTheme="majorBidi" w:cstheme="majorBidi"/>
        </w:rPr>
        <w:t xml:space="preserve"> </w:t>
      </w:r>
      <w:r w:rsidR="00E34385" w:rsidRPr="00343FEA">
        <w:rPr>
          <w:rFonts w:asciiTheme="majorBidi" w:hAnsiTheme="majorBidi" w:cstheme="majorBidi"/>
        </w:rPr>
        <w:t>Pieteicējs vērš uzmanību uz vairākiem Eiropas Savienības Tiesas spriedumiem un argumentē, ka tiesa nepamatoti nav ņēmusi vērā tajos paustās atziņas.</w:t>
      </w:r>
    </w:p>
    <w:p w14:paraId="3A0FFCE6" w14:textId="77777777" w:rsidR="000772AA" w:rsidRPr="00343FEA" w:rsidRDefault="000772AA" w:rsidP="00343FEA">
      <w:pPr>
        <w:autoSpaceDE w:val="0"/>
        <w:autoSpaceDN w:val="0"/>
        <w:adjustRightInd w:val="0"/>
        <w:spacing w:line="276" w:lineRule="auto"/>
        <w:ind w:firstLine="567"/>
        <w:jc w:val="both"/>
      </w:pPr>
    </w:p>
    <w:p w14:paraId="15EA508F" w14:textId="19FF7705" w:rsidR="006D599F" w:rsidRPr="00343FEA" w:rsidRDefault="000772AA" w:rsidP="00343FEA">
      <w:pPr>
        <w:autoSpaceDE w:val="0"/>
        <w:autoSpaceDN w:val="0"/>
        <w:adjustRightInd w:val="0"/>
        <w:spacing w:line="276" w:lineRule="auto"/>
        <w:ind w:firstLine="567"/>
        <w:jc w:val="both"/>
      </w:pPr>
      <w:r w:rsidRPr="00343FEA">
        <w:t>[5] </w:t>
      </w:r>
      <w:r w:rsidR="00445645" w:rsidRPr="00343FEA">
        <w:t>Direkcija paskaidrojumos par kasācijas sūdzību norāda, ka tā nav pamatota.</w:t>
      </w:r>
    </w:p>
    <w:p w14:paraId="0821579B" w14:textId="77777777" w:rsidR="00C6581D" w:rsidRPr="00343FEA" w:rsidRDefault="00C6581D" w:rsidP="00343FEA">
      <w:pPr>
        <w:autoSpaceDE w:val="0"/>
        <w:autoSpaceDN w:val="0"/>
        <w:adjustRightInd w:val="0"/>
        <w:spacing w:line="276" w:lineRule="auto"/>
        <w:ind w:firstLine="567"/>
        <w:jc w:val="both"/>
      </w:pPr>
    </w:p>
    <w:p w14:paraId="57F19DF6" w14:textId="77777777" w:rsidR="003047F5" w:rsidRPr="00343FEA" w:rsidRDefault="003047F5" w:rsidP="00343FEA">
      <w:pPr>
        <w:spacing w:line="276" w:lineRule="auto"/>
        <w:jc w:val="center"/>
        <w:rPr>
          <w:b/>
        </w:rPr>
      </w:pPr>
      <w:r w:rsidRPr="00343FEA">
        <w:rPr>
          <w:b/>
        </w:rPr>
        <w:t>Motīvu daļa</w:t>
      </w:r>
    </w:p>
    <w:p w14:paraId="6B45DC87" w14:textId="32DF86C1" w:rsidR="003047F5" w:rsidRPr="00343FEA" w:rsidRDefault="003047F5" w:rsidP="00343FEA">
      <w:pPr>
        <w:spacing w:line="276" w:lineRule="auto"/>
        <w:jc w:val="both"/>
      </w:pPr>
    </w:p>
    <w:p w14:paraId="72D25206" w14:textId="7067FDDB" w:rsidR="005B79C9" w:rsidRPr="00343FEA" w:rsidRDefault="003047F5" w:rsidP="00343FEA">
      <w:pPr>
        <w:spacing w:line="276" w:lineRule="auto"/>
        <w:ind w:firstLine="567"/>
        <w:jc w:val="both"/>
      </w:pPr>
      <w:r w:rsidRPr="00343FEA">
        <w:t>[</w:t>
      </w:r>
      <w:r w:rsidR="000772AA" w:rsidRPr="00343FEA">
        <w:t>6</w:t>
      </w:r>
      <w:r w:rsidR="00456B54" w:rsidRPr="00343FEA">
        <w:t>]</w:t>
      </w:r>
      <w:r w:rsidR="005B79C9" w:rsidRPr="00343FEA">
        <w:t xml:space="preserve"> Lietā ir strīds par to, vai pieteicējam </w:t>
      </w:r>
      <w:r w:rsidR="0065545B" w:rsidRPr="00343FEA">
        <w:t xml:space="preserve">transportlīdzekļa reģistrācijai Latvijā </w:t>
      </w:r>
      <w:r w:rsidR="005B79C9" w:rsidRPr="00343FEA">
        <w:t xml:space="preserve">konkrētā gadījuma faktiskajos apstākļos ir </w:t>
      </w:r>
      <w:r w:rsidR="009A6695" w:rsidRPr="00343FEA">
        <w:t xml:space="preserve">nepieciešams </w:t>
      </w:r>
      <w:r w:rsidR="00D10280" w:rsidRPr="00343FEA">
        <w:t xml:space="preserve">iesniegt </w:t>
      </w:r>
      <w:r w:rsidR="005B79C9" w:rsidRPr="00343FEA">
        <w:t>atbilstības apliecinājum</w:t>
      </w:r>
      <w:r w:rsidR="00D10280" w:rsidRPr="00343FEA">
        <w:t>u</w:t>
      </w:r>
      <w:r w:rsidR="0065545B" w:rsidRPr="00343FEA">
        <w:t>.</w:t>
      </w:r>
    </w:p>
    <w:p w14:paraId="0D9A5C2B" w14:textId="2662C8D6" w:rsidR="005B79C9" w:rsidRPr="00343FEA" w:rsidRDefault="005B79C9" w:rsidP="00343FEA">
      <w:pPr>
        <w:spacing w:line="276" w:lineRule="auto"/>
        <w:ind w:firstLine="567"/>
        <w:jc w:val="both"/>
      </w:pPr>
    </w:p>
    <w:p w14:paraId="36BF8858" w14:textId="2BC95AAE" w:rsidR="00DA489A" w:rsidRPr="00343FEA" w:rsidRDefault="00DA489A" w:rsidP="00343FEA">
      <w:pPr>
        <w:spacing w:line="276" w:lineRule="auto"/>
        <w:ind w:firstLine="567"/>
        <w:jc w:val="both"/>
        <w:rPr>
          <w:i/>
          <w:iCs/>
        </w:rPr>
      </w:pPr>
      <w:r w:rsidRPr="00343FEA">
        <w:rPr>
          <w:i/>
          <w:iCs/>
        </w:rPr>
        <w:t>Tiesību normas</w:t>
      </w:r>
    </w:p>
    <w:p w14:paraId="34F84326" w14:textId="3C8BB528" w:rsidR="0025206A" w:rsidRPr="00343FEA" w:rsidRDefault="005B79C9" w:rsidP="00343FEA">
      <w:pPr>
        <w:spacing w:line="276" w:lineRule="auto"/>
        <w:ind w:firstLine="567"/>
        <w:jc w:val="both"/>
        <w:rPr>
          <w:rFonts w:asciiTheme="majorBidi" w:hAnsiTheme="majorBidi" w:cstheme="majorBidi"/>
          <w:shd w:val="clear" w:color="auto" w:fill="FFFFFF"/>
        </w:rPr>
      </w:pPr>
      <w:r w:rsidRPr="00343FEA">
        <w:rPr>
          <w:rFonts w:asciiTheme="majorBidi" w:hAnsiTheme="majorBidi" w:cstheme="majorBidi"/>
          <w:shd w:val="clear" w:color="auto" w:fill="FFFFFF"/>
        </w:rPr>
        <w:t>[</w:t>
      </w:r>
      <w:r w:rsidR="00FE232D" w:rsidRPr="00343FEA">
        <w:rPr>
          <w:rFonts w:asciiTheme="majorBidi" w:hAnsiTheme="majorBidi" w:cstheme="majorBidi"/>
          <w:shd w:val="clear" w:color="auto" w:fill="FFFFFF"/>
        </w:rPr>
        <w:t>7</w:t>
      </w:r>
      <w:r w:rsidRPr="00343FEA">
        <w:rPr>
          <w:rFonts w:asciiTheme="majorBidi" w:hAnsiTheme="majorBidi" w:cstheme="majorBidi"/>
          <w:shd w:val="clear" w:color="auto" w:fill="FFFFFF"/>
        </w:rPr>
        <w:t>]</w:t>
      </w:r>
      <w:r w:rsidR="00EE75CC" w:rsidRPr="00343FEA">
        <w:rPr>
          <w:rFonts w:asciiTheme="majorBidi" w:hAnsiTheme="majorBidi" w:cstheme="majorBidi"/>
          <w:shd w:val="clear" w:color="auto" w:fill="FFFFFF"/>
        </w:rPr>
        <w:t> </w:t>
      </w:r>
      <w:r w:rsidR="0025206A" w:rsidRPr="00343FEA">
        <w:rPr>
          <w:rFonts w:asciiTheme="majorBidi" w:hAnsiTheme="majorBidi" w:cstheme="majorBidi"/>
          <w:shd w:val="clear" w:color="auto" w:fill="FFFFFF"/>
        </w:rPr>
        <w:t>Transportlīdzekļu reģistrāciju Latvijā no</w:t>
      </w:r>
      <w:r w:rsidR="009D7F06" w:rsidRPr="00343FEA">
        <w:rPr>
          <w:rFonts w:asciiTheme="majorBidi" w:hAnsiTheme="majorBidi" w:cstheme="majorBidi"/>
          <w:shd w:val="clear" w:color="auto" w:fill="FFFFFF"/>
        </w:rPr>
        <w:t>saka</w:t>
      </w:r>
      <w:r w:rsidR="0025206A" w:rsidRPr="00343FEA">
        <w:rPr>
          <w:rFonts w:asciiTheme="majorBidi" w:hAnsiTheme="majorBidi" w:cstheme="majorBidi"/>
          <w:shd w:val="clear" w:color="auto" w:fill="FFFFFF"/>
        </w:rPr>
        <w:t xml:space="preserve"> </w:t>
      </w:r>
      <w:r w:rsidR="009C267B" w:rsidRPr="00343FEA">
        <w:rPr>
          <w:rFonts w:asciiTheme="majorBidi" w:hAnsiTheme="majorBidi" w:cstheme="majorBidi"/>
          <w:shd w:val="clear" w:color="auto" w:fill="FFFFFF"/>
        </w:rPr>
        <w:t>Ceļu satiksmes likums un uz tā pamata izdotie Ministru kabineta noteikumi, kas vienlaikus ievieš arī Eiropas Savienības direktīvu normas.</w:t>
      </w:r>
    </w:p>
    <w:p w14:paraId="1C063A3B" w14:textId="77777777" w:rsidR="00790C87" w:rsidRPr="00343FEA" w:rsidRDefault="00790C87" w:rsidP="00343FEA">
      <w:pPr>
        <w:spacing w:line="276" w:lineRule="auto"/>
        <w:ind w:firstLine="567"/>
        <w:jc w:val="both"/>
        <w:rPr>
          <w:rFonts w:asciiTheme="majorBidi" w:hAnsiTheme="majorBidi" w:cstheme="majorBidi"/>
          <w:shd w:val="clear" w:color="auto" w:fill="FFFFFF"/>
        </w:rPr>
      </w:pPr>
    </w:p>
    <w:p w14:paraId="3F7EC43C" w14:textId="31B467E9" w:rsidR="00AC2C11" w:rsidRPr="00343FEA" w:rsidRDefault="0025206A" w:rsidP="00343FEA">
      <w:pPr>
        <w:spacing w:line="276" w:lineRule="auto"/>
        <w:ind w:firstLine="567"/>
        <w:jc w:val="both"/>
        <w:rPr>
          <w:rFonts w:asciiTheme="majorBidi" w:hAnsiTheme="majorBidi" w:cstheme="majorBidi"/>
          <w:shd w:val="clear" w:color="auto" w:fill="FFFFFF"/>
        </w:rPr>
      </w:pPr>
      <w:r w:rsidRPr="00343FEA">
        <w:rPr>
          <w:rFonts w:asciiTheme="majorBidi" w:hAnsiTheme="majorBidi" w:cstheme="majorBidi"/>
          <w:shd w:val="clear" w:color="auto" w:fill="FFFFFF"/>
        </w:rPr>
        <w:t>[</w:t>
      </w:r>
      <w:r w:rsidR="00790C87" w:rsidRPr="00343FEA">
        <w:rPr>
          <w:rFonts w:asciiTheme="majorBidi" w:hAnsiTheme="majorBidi" w:cstheme="majorBidi"/>
          <w:shd w:val="clear" w:color="auto" w:fill="FFFFFF"/>
        </w:rPr>
        <w:t>8</w:t>
      </w:r>
      <w:r w:rsidRPr="00343FEA">
        <w:rPr>
          <w:rFonts w:asciiTheme="majorBidi" w:hAnsiTheme="majorBidi" w:cstheme="majorBidi"/>
          <w:shd w:val="clear" w:color="auto" w:fill="FFFFFF"/>
        </w:rPr>
        <w:t>] </w:t>
      </w:r>
      <w:r w:rsidR="00AC2C11" w:rsidRPr="00343FEA">
        <w:rPr>
          <w:rFonts w:asciiTheme="majorBidi" w:hAnsiTheme="majorBidi" w:cstheme="majorBidi"/>
          <w:shd w:val="clear" w:color="auto" w:fill="FFFFFF"/>
        </w:rPr>
        <w:t xml:space="preserve">Ceļu satiksmes likuma 10.panta </w:t>
      </w:r>
      <w:r w:rsidR="00EE75CC" w:rsidRPr="00343FEA">
        <w:rPr>
          <w:rFonts w:asciiTheme="majorBidi" w:hAnsiTheme="majorBidi" w:cstheme="majorBidi"/>
          <w:shd w:val="clear" w:color="auto" w:fill="FFFFFF"/>
        </w:rPr>
        <w:t>pirmās daļas trešā daļa</w:t>
      </w:r>
      <w:r w:rsidR="00C72D56" w:rsidRPr="00343FEA">
        <w:rPr>
          <w:rFonts w:asciiTheme="majorBidi" w:hAnsiTheme="majorBidi" w:cstheme="majorBidi"/>
          <w:shd w:val="clear" w:color="auto" w:fill="FFFFFF"/>
        </w:rPr>
        <w:t xml:space="preserve"> </w:t>
      </w:r>
      <w:r w:rsidR="00C72D56" w:rsidRPr="00343FEA">
        <w:rPr>
          <w:rFonts w:asciiTheme="majorBidi" w:hAnsiTheme="majorBidi" w:cstheme="majorBidi"/>
        </w:rPr>
        <w:t>(</w:t>
      </w:r>
      <w:r w:rsidR="00C72D56" w:rsidRPr="00343FEA">
        <w:rPr>
          <w:rFonts w:asciiTheme="majorBidi" w:hAnsiTheme="majorBidi" w:cstheme="majorBidi"/>
          <w:i/>
          <w:iCs/>
        </w:rPr>
        <w:t>šeit un turpmāk tiesību normas</w:t>
      </w:r>
      <w:r w:rsidR="00C72D56" w:rsidRPr="00343FEA">
        <w:rPr>
          <w:rFonts w:asciiTheme="majorBidi" w:hAnsiTheme="majorBidi" w:cstheme="majorBidi"/>
        </w:rPr>
        <w:t xml:space="preserve"> </w:t>
      </w:r>
      <w:r w:rsidR="00C72D56" w:rsidRPr="00343FEA">
        <w:rPr>
          <w:rFonts w:asciiTheme="majorBidi" w:hAnsiTheme="majorBidi" w:cstheme="majorBidi"/>
          <w:i/>
          <w:iCs/>
        </w:rPr>
        <w:t>redakcijā, kas bija spēkā laikā, kad lietas izskatīšana pabeigta pēc būtība</w:t>
      </w:r>
      <w:r w:rsidR="00D10280" w:rsidRPr="00343FEA">
        <w:rPr>
          <w:rFonts w:asciiTheme="majorBidi" w:hAnsiTheme="majorBidi" w:cstheme="majorBidi"/>
          <w:i/>
          <w:iCs/>
        </w:rPr>
        <w:t>s</w:t>
      </w:r>
      <w:r w:rsidR="00C72D56" w:rsidRPr="00343FEA">
        <w:rPr>
          <w:rFonts w:asciiTheme="majorBidi" w:hAnsiTheme="majorBidi" w:cstheme="majorBidi"/>
        </w:rPr>
        <w:t xml:space="preserve">) </w:t>
      </w:r>
      <w:r w:rsidR="00EE75CC" w:rsidRPr="00343FEA">
        <w:rPr>
          <w:rFonts w:asciiTheme="majorBidi" w:hAnsiTheme="majorBidi" w:cstheme="majorBidi"/>
          <w:shd w:val="clear" w:color="auto" w:fill="FFFFFF"/>
        </w:rPr>
        <w:t>no</w:t>
      </w:r>
      <w:r w:rsidR="00725E7A" w:rsidRPr="00343FEA">
        <w:rPr>
          <w:rFonts w:asciiTheme="majorBidi" w:hAnsiTheme="majorBidi" w:cstheme="majorBidi"/>
          <w:shd w:val="clear" w:color="auto" w:fill="FFFFFF"/>
        </w:rPr>
        <w:t>saka</w:t>
      </w:r>
      <w:r w:rsidR="00C72D56" w:rsidRPr="00343FEA">
        <w:rPr>
          <w:rFonts w:asciiTheme="majorBidi" w:hAnsiTheme="majorBidi" w:cstheme="majorBidi"/>
          <w:shd w:val="clear" w:color="auto" w:fill="FFFFFF"/>
        </w:rPr>
        <w:t xml:space="preserve"> </w:t>
      </w:r>
      <w:r w:rsidR="00EE75CC" w:rsidRPr="00343FEA">
        <w:rPr>
          <w:rFonts w:asciiTheme="majorBidi" w:hAnsiTheme="majorBidi" w:cstheme="majorBidi"/>
          <w:shd w:val="clear" w:color="auto" w:fill="FFFFFF"/>
        </w:rPr>
        <w:t>Ceļu satiksmes drošības direkcijas pienākumu reģistrēt ceļu satiksmē iesaistītos mehāniskos transportlīdzekļus un to piekabes. Šo transportlīdzekļu reģistrācijas un noņemšanas no uzskaites kārtību nosaka Ministru kabinets (</w:t>
      </w:r>
      <w:r w:rsidR="00EE75CC" w:rsidRPr="00343FEA">
        <w:rPr>
          <w:rFonts w:asciiTheme="majorBidi" w:hAnsiTheme="majorBidi" w:cstheme="majorBidi"/>
          <w:i/>
          <w:iCs/>
          <w:shd w:val="clear" w:color="auto" w:fill="FFFFFF"/>
        </w:rPr>
        <w:t xml:space="preserve">10.panta </w:t>
      </w:r>
      <w:r w:rsidR="00AC2C11" w:rsidRPr="00343FEA">
        <w:rPr>
          <w:rFonts w:asciiTheme="majorBidi" w:hAnsiTheme="majorBidi" w:cstheme="majorBidi"/>
          <w:i/>
          <w:iCs/>
          <w:shd w:val="clear" w:color="auto" w:fill="FFFFFF"/>
        </w:rPr>
        <w:t>1.</w:t>
      </w:r>
      <w:r w:rsidR="00AC2C11" w:rsidRPr="00343FEA">
        <w:rPr>
          <w:rFonts w:asciiTheme="majorBidi" w:hAnsiTheme="majorBidi" w:cstheme="majorBidi"/>
          <w:i/>
          <w:iCs/>
          <w:shd w:val="clear" w:color="auto" w:fill="FFFFFF"/>
          <w:vertAlign w:val="superscript"/>
        </w:rPr>
        <w:t>4</w:t>
      </w:r>
      <w:r w:rsidR="00AC2C11" w:rsidRPr="00343FEA">
        <w:rPr>
          <w:rFonts w:asciiTheme="majorBidi" w:hAnsiTheme="majorBidi" w:cstheme="majorBidi"/>
          <w:i/>
          <w:iCs/>
          <w:shd w:val="clear" w:color="auto" w:fill="FFFFFF"/>
        </w:rPr>
        <w:t>daļa</w:t>
      </w:r>
      <w:r w:rsidR="00EE75CC" w:rsidRPr="00343FEA">
        <w:rPr>
          <w:rFonts w:asciiTheme="majorBidi" w:hAnsiTheme="majorBidi" w:cstheme="majorBidi"/>
          <w:shd w:val="clear" w:color="auto" w:fill="FFFFFF"/>
        </w:rPr>
        <w:t>).</w:t>
      </w:r>
    </w:p>
    <w:p w14:paraId="7199495A" w14:textId="287619A6" w:rsidR="00D17942" w:rsidRPr="00343FEA" w:rsidRDefault="004E6EEF" w:rsidP="00343FEA">
      <w:pPr>
        <w:spacing w:line="276" w:lineRule="auto"/>
        <w:ind w:firstLine="567"/>
        <w:jc w:val="both"/>
        <w:rPr>
          <w:rFonts w:asciiTheme="majorBidi" w:hAnsiTheme="majorBidi" w:cstheme="majorBidi"/>
          <w:shd w:val="clear" w:color="auto" w:fill="FFFFFF"/>
        </w:rPr>
      </w:pPr>
      <w:r w:rsidRPr="00343FEA">
        <w:rPr>
          <w:rFonts w:asciiTheme="majorBidi" w:hAnsiTheme="majorBidi" w:cstheme="majorBidi"/>
          <w:shd w:val="clear" w:color="auto" w:fill="FFFFFF"/>
        </w:rPr>
        <w:t>Saskaņā ar</w:t>
      </w:r>
      <w:r w:rsidR="0083117E" w:rsidRPr="00343FEA">
        <w:rPr>
          <w:rFonts w:asciiTheme="majorBidi" w:hAnsiTheme="majorBidi" w:cstheme="majorBidi"/>
          <w:shd w:val="clear" w:color="auto" w:fill="FFFFFF"/>
        </w:rPr>
        <w:t xml:space="preserve"> minēto deleģējumu Ministru kabinets ir izdevis </w:t>
      </w:r>
      <w:r w:rsidR="00DA489A" w:rsidRPr="00343FEA">
        <w:rPr>
          <w:rFonts w:ascii="TimesNewRomanPSMT" w:hAnsi="TimesNewRomanPSMT" w:cs="TimesNewRomanPSMT"/>
        </w:rPr>
        <w:t xml:space="preserve">Transportlīdzekļu </w:t>
      </w:r>
      <w:r w:rsidR="00DA489A" w:rsidRPr="00343FEA">
        <w:rPr>
          <w:rFonts w:asciiTheme="majorBidi" w:hAnsiTheme="majorBidi" w:cstheme="majorBidi"/>
        </w:rPr>
        <w:t>reģistrācijas noteikum</w:t>
      </w:r>
      <w:r w:rsidR="00F33B70" w:rsidRPr="00343FEA">
        <w:rPr>
          <w:rFonts w:asciiTheme="majorBidi" w:hAnsiTheme="majorBidi" w:cstheme="majorBidi"/>
        </w:rPr>
        <w:t>us</w:t>
      </w:r>
      <w:r w:rsidR="0083117E" w:rsidRPr="00343FEA">
        <w:rPr>
          <w:rFonts w:asciiTheme="majorBidi" w:hAnsiTheme="majorBidi" w:cstheme="majorBidi"/>
        </w:rPr>
        <w:t>, kuri no</w:t>
      </w:r>
      <w:r w:rsidR="00725E7A" w:rsidRPr="00343FEA">
        <w:rPr>
          <w:rFonts w:asciiTheme="majorBidi" w:hAnsiTheme="majorBidi" w:cstheme="majorBidi"/>
        </w:rPr>
        <w:t>saka</w:t>
      </w:r>
      <w:r w:rsidR="0083117E" w:rsidRPr="00343FEA">
        <w:rPr>
          <w:rFonts w:asciiTheme="majorBidi" w:hAnsiTheme="majorBidi" w:cstheme="majorBidi"/>
        </w:rPr>
        <w:t xml:space="preserve"> </w:t>
      </w:r>
      <w:r w:rsidR="0083117E" w:rsidRPr="00343FEA">
        <w:rPr>
          <w:rFonts w:asciiTheme="majorBidi" w:hAnsiTheme="majorBidi" w:cstheme="majorBidi"/>
          <w:shd w:val="clear" w:color="auto" w:fill="FFFFFF"/>
        </w:rPr>
        <w:t xml:space="preserve">ceļu satiksmē iesaistīto mehānisko transportlīdzekļu reģistrācijas kārtību. </w:t>
      </w:r>
      <w:r w:rsidR="005B79C9" w:rsidRPr="00343FEA">
        <w:rPr>
          <w:rFonts w:asciiTheme="majorBidi" w:hAnsiTheme="majorBidi" w:cstheme="majorBidi"/>
          <w:shd w:val="clear" w:color="auto" w:fill="FFFFFF"/>
        </w:rPr>
        <w:t>Atbilstoši</w:t>
      </w:r>
      <w:r w:rsidR="0083117E" w:rsidRPr="00343FEA">
        <w:rPr>
          <w:rFonts w:asciiTheme="majorBidi" w:hAnsiTheme="majorBidi" w:cstheme="majorBidi"/>
          <w:shd w:val="clear" w:color="auto" w:fill="FFFFFF"/>
        </w:rPr>
        <w:t xml:space="preserve"> šo</w:t>
      </w:r>
      <w:r w:rsidR="0065545B" w:rsidRPr="00343FEA">
        <w:rPr>
          <w:rFonts w:asciiTheme="majorBidi" w:hAnsiTheme="majorBidi" w:cstheme="majorBidi"/>
          <w:shd w:val="clear" w:color="auto" w:fill="FFFFFF"/>
        </w:rPr>
        <w:t xml:space="preserve"> </w:t>
      </w:r>
      <w:r w:rsidR="00941820" w:rsidRPr="00343FEA">
        <w:rPr>
          <w:rFonts w:asciiTheme="majorBidi" w:hAnsiTheme="majorBidi" w:cstheme="majorBidi"/>
        </w:rPr>
        <w:t>noteikumu 39.1.8.apakšpunktam viens no</w:t>
      </w:r>
      <w:r w:rsidR="009A6695" w:rsidRPr="00343FEA">
        <w:rPr>
          <w:rFonts w:asciiTheme="majorBidi" w:hAnsiTheme="majorBidi" w:cstheme="majorBidi"/>
        </w:rPr>
        <w:t xml:space="preserve"> nepieciešamajiem </w:t>
      </w:r>
      <w:r w:rsidR="009A6695" w:rsidRPr="00343FEA">
        <w:rPr>
          <w:rFonts w:asciiTheme="majorBidi" w:hAnsiTheme="majorBidi" w:cstheme="majorBidi"/>
        </w:rPr>
        <w:lastRenderedPageBreak/>
        <w:t>dokumentiem no</w:t>
      </w:r>
      <w:r w:rsidR="00941820" w:rsidRPr="00343FEA">
        <w:rPr>
          <w:rFonts w:asciiTheme="majorBidi" w:hAnsiTheme="majorBidi" w:cstheme="majorBidi"/>
        </w:rPr>
        <w:t xml:space="preserve"> ārvalsts ievesta transportlīdzekļa reģistrācijai </w:t>
      </w:r>
      <w:r w:rsidR="009A6695" w:rsidRPr="00343FEA">
        <w:rPr>
          <w:rFonts w:asciiTheme="majorBidi" w:hAnsiTheme="majorBidi" w:cstheme="majorBidi"/>
        </w:rPr>
        <w:t>Latvijā</w:t>
      </w:r>
      <w:r w:rsidR="0083117E" w:rsidRPr="00343FEA">
        <w:rPr>
          <w:rFonts w:asciiTheme="majorBidi" w:hAnsiTheme="majorBidi" w:cstheme="majorBidi"/>
        </w:rPr>
        <w:t xml:space="preserve"> ir transportlīdzekļa atbilstības apliecinājums. </w:t>
      </w:r>
      <w:r w:rsidR="0083117E" w:rsidRPr="00343FEA">
        <w:rPr>
          <w:rFonts w:asciiTheme="majorBidi" w:hAnsiTheme="majorBidi" w:cstheme="majorBidi"/>
          <w:shd w:val="clear" w:color="auto" w:fill="FFFFFF"/>
        </w:rPr>
        <w:t>Tas ir dokuments, kas atbilstoši normatīvajiem aktiem par riteņu transportlīdzekļu un to sastāvdaļu atbilstības novērtēšanu apliecina, ka mehāniskajam transportlīdzeklim</w:t>
      </w:r>
      <w:r w:rsidR="003652A2" w:rsidRPr="00343FEA">
        <w:rPr>
          <w:rFonts w:asciiTheme="majorBidi" w:hAnsiTheme="majorBidi" w:cstheme="majorBidi"/>
          <w:shd w:val="clear" w:color="auto" w:fill="FFFFFF"/>
        </w:rPr>
        <w:t xml:space="preserve"> </w:t>
      </w:r>
      <w:r w:rsidR="0083117E" w:rsidRPr="00343FEA">
        <w:rPr>
          <w:rFonts w:asciiTheme="majorBidi" w:hAnsiTheme="majorBidi" w:cstheme="majorBidi"/>
          <w:shd w:val="clear" w:color="auto" w:fill="FFFFFF"/>
        </w:rPr>
        <w:t>veikta atbilstības novērtēšana (</w:t>
      </w:r>
      <w:r w:rsidR="0083117E" w:rsidRPr="00343FEA">
        <w:rPr>
          <w:rFonts w:asciiTheme="majorBidi" w:hAnsiTheme="majorBidi" w:cstheme="majorBidi"/>
          <w:i/>
          <w:iCs/>
          <w:shd w:val="clear" w:color="auto" w:fill="FFFFFF"/>
        </w:rPr>
        <w:t xml:space="preserve">Ceļu satiksmes likuma </w:t>
      </w:r>
      <w:r w:rsidR="00725E7A" w:rsidRPr="00343FEA">
        <w:rPr>
          <w:rFonts w:asciiTheme="majorBidi" w:hAnsiTheme="majorBidi" w:cstheme="majorBidi"/>
          <w:i/>
          <w:iCs/>
          <w:shd w:val="clear" w:color="auto" w:fill="FFFFFF"/>
        </w:rPr>
        <w:t xml:space="preserve">1.panta </w:t>
      </w:r>
      <w:r w:rsidR="0083117E" w:rsidRPr="00343FEA">
        <w:rPr>
          <w:rFonts w:asciiTheme="majorBidi" w:hAnsiTheme="majorBidi" w:cstheme="majorBidi"/>
          <w:i/>
          <w:iCs/>
          <w:shd w:val="clear" w:color="auto" w:fill="FFFFFF"/>
        </w:rPr>
        <w:t>23</w:t>
      </w:r>
      <w:r w:rsidR="00725E7A" w:rsidRPr="00343FEA">
        <w:rPr>
          <w:rFonts w:asciiTheme="majorBidi" w:hAnsiTheme="majorBidi" w:cstheme="majorBidi"/>
          <w:i/>
          <w:iCs/>
          <w:shd w:val="clear" w:color="auto" w:fill="FFFFFF"/>
        </w:rPr>
        <w:t>.</w:t>
      </w:r>
      <w:r w:rsidR="0083117E" w:rsidRPr="00343FEA">
        <w:rPr>
          <w:rFonts w:asciiTheme="majorBidi" w:hAnsiTheme="majorBidi" w:cstheme="majorBidi"/>
          <w:i/>
          <w:iCs/>
          <w:shd w:val="clear" w:color="auto" w:fill="FFFFFF"/>
          <w:vertAlign w:val="superscript"/>
        </w:rPr>
        <w:t>2</w:t>
      </w:r>
      <w:r w:rsidR="0083117E" w:rsidRPr="00343FEA">
        <w:rPr>
          <w:rFonts w:asciiTheme="majorBidi" w:hAnsiTheme="majorBidi" w:cstheme="majorBidi"/>
          <w:i/>
          <w:iCs/>
          <w:shd w:val="clear" w:color="auto" w:fill="FFFFFF"/>
        </w:rPr>
        <w:t>punkts</w:t>
      </w:r>
      <w:r w:rsidR="0083117E" w:rsidRPr="00343FEA">
        <w:rPr>
          <w:rFonts w:asciiTheme="majorBidi" w:hAnsiTheme="majorBidi" w:cstheme="majorBidi"/>
          <w:shd w:val="clear" w:color="auto" w:fill="FFFFFF"/>
        </w:rPr>
        <w:t>).</w:t>
      </w:r>
      <w:r w:rsidR="005458A4" w:rsidRPr="00343FEA">
        <w:rPr>
          <w:rFonts w:asciiTheme="majorBidi" w:hAnsiTheme="majorBidi" w:cstheme="majorBidi"/>
          <w:shd w:val="clear" w:color="auto" w:fill="FFFFFF"/>
        </w:rPr>
        <w:t xml:space="preserve"> Atbilstības novērtēšanas kārtību </w:t>
      </w:r>
      <w:r w:rsidR="00650E5E" w:rsidRPr="00343FEA">
        <w:rPr>
          <w:rFonts w:asciiTheme="majorBidi" w:hAnsiTheme="majorBidi" w:cstheme="majorBidi"/>
          <w:shd w:val="clear" w:color="auto" w:fill="FFFFFF"/>
        </w:rPr>
        <w:t xml:space="preserve">savukārt </w:t>
      </w:r>
      <w:r w:rsidR="005458A4" w:rsidRPr="00343FEA">
        <w:rPr>
          <w:rFonts w:asciiTheme="majorBidi" w:hAnsiTheme="majorBidi" w:cstheme="majorBidi"/>
          <w:shd w:val="clear" w:color="auto" w:fill="FFFFFF"/>
        </w:rPr>
        <w:t>no</w:t>
      </w:r>
      <w:r w:rsidR="00725E7A" w:rsidRPr="00343FEA">
        <w:rPr>
          <w:rFonts w:asciiTheme="majorBidi" w:hAnsiTheme="majorBidi" w:cstheme="majorBidi"/>
          <w:shd w:val="clear" w:color="auto" w:fill="FFFFFF"/>
        </w:rPr>
        <w:t>saka</w:t>
      </w:r>
      <w:r w:rsidR="005458A4" w:rsidRPr="00343FEA">
        <w:rPr>
          <w:rFonts w:asciiTheme="majorBidi" w:hAnsiTheme="majorBidi" w:cstheme="majorBidi"/>
          <w:shd w:val="clear" w:color="auto" w:fill="FFFFFF"/>
        </w:rPr>
        <w:t xml:space="preserve"> Ministru kabineta 2009.gada 22.decembra noteikumi Nr. 1494</w:t>
      </w:r>
      <w:r w:rsidR="00161787" w:rsidRPr="00343FEA">
        <w:rPr>
          <w:rFonts w:asciiTheme="majorBidi" w:hAnsiTheme="majorBidi" w:cstheme="majorBidi"/>
          <w:shd w:val="clear" w:color="auto" w:fill="FFFFFF"/>
        </w:rPr>
        <w:t xml:space="preserve"> </w:t>
      </w:r>
      <w:r w:rsidR="00445C0C" w:rsidRPr="00343FEA">
        <w:rPr>
          <w:rFonts w:asciiTheme="majorBidi" w:hAnsiTheme="majorBidi" w:cstheme="majorBidi"/>
          <w:shd w:val="clear" w:color="auto" w:fill="FFFFFF"/>
        </w:rPr>
        <w:t>„Mopēdu, mehānisko transportlīdzekļu, to piekabju un sastāvdaļu atbilstības novērtēšanas noteikumi”.</w:t>
      </w:r>
    </w:p>
    <w:p w14:paraId="7BDE7596" w14:textId="7387F755" w:rsidR="00927E8F" w:rsidRPr="00343FEA" w:rsidRDefault="00F45969" w:rsidP="00343FEA">
      <w:pPr>
        <w:spacing w:line="276" w:lineRule="auto"/>
        <w:ind w:firstLine="567"/>
        <w:jc w:val="both"/>
        <w:rPr>
          <w:rFonts w:asciiTheme="majorBidi" w:hAnsiTheme="majorBidi" w:cstheme="majorBidi"/>
          <w:shd w:val="clear" w:color="auto" w:fill="FFFFFF"/>
        </w:rPr>
      </w:pPr>
      <w:r w:rsidRPr="00343FEA">
        <w:rPr>
          <w:rFonts w:asciiTheme="majorBidi" w:hAnsiTheme="majorBidi" w:cstheme="majorBidi"/>
          <w:shd w:val="clear" w:color="auto" w:fill="FFFFFF"/>
        </w:rPr>
        <w:t>Transportlīdzekļu reģistrācijas noteikumu</w:t>
      </w:r>
      <w:r w:rsidR="00365317" w:rsidRPr="00343FEA">
        <w:rPr>
          <w:rFonts w:asciiTheme="majorBidi" w:hAnsiTheme="majorBidi" w:cstheme="majorBidi"/>
          <w:shd w:val="clear" w:color="auto" w:fill="FFFFFF"/>
        </w:rPr>
        <w:t xml:space="preserve"> 39.2.apakšpunkts</w:t>
      </w:r>
      <w:r w:rsidR="00F173A4" w:rsidRPr="00343FEA">
        <w:rPr>
          <w:rFonts w:asciiTheme="majorBidi" w:hAnsiTheme="majorBidi" w:cstheme="majorBidi"/>
          <w:shd w:val="clear" w:color="auto" w:fill="FFFFFF"/>
        </w:rPr>
        <w:t xml:space="preserve"> </w:t>
      </w:r>
      <w:r w:rsidR="00365317" w:rsidRPr="00343FEA">
        <w:rPr>
          <w:rFonts w:asciiTheme="majorBidi" w:hAnsiTheme="majorBidi" w:cstheme="majorBidi"/>
          <w:shd w:val="clear" w:color="auto" w:fill="FFFFFF"/>
        </w:rPr>
        <w:t>no</w:t>
      </w:r>
      <w:r w:rsidRPr="00343FEA">
        <w:rPr>
          <w:rFonts w:asciiTheme="majorBidi" w:hAnsiTheme="majorBidi" w:cstheme="majorBidi"/>
          <w:shd w:val="clear" w:color="auto" w:fill="FFFFFF"/>
        </w:rPr>
        <w:t>saka</w:t>
      </w:r>
      <w:r w:rsidR="00365317" w:rsidRPr="00343FEA">
        <w:rPr>
          <w:rFonts w:asciiTheme="majorBidi" w:hAnsiTheme="majorBidi" w:cstheme="majorBidi"/>
          <w:shd w:val="clear" w:color="auto" w:fill="FFFFFF"/>
        </w:rPr>
        <w:t xml:space="preserve"> izņēmuma gadījumus, kad atbilstības apliecinājums transportlīdzekļa reģistrācijai nav jāiesniedz</w:t>
      </w:r>
      <w:r w:rsidR="00F173A4" w:rsidRPr="00343FEA">
        <w:rPr>
          <w:rFonts w:asciiTheme="majorBidi" w:hAnsiTheme="majorBidi" w:cstheme="majorBidi"/>
          <w:shd w:val="clear" w:color="auto" w:fill="FFFFFF"/>
        </w:rPr>
        <w:t>, piemēram, ja transportlīdzeklim atbilstības novērtēšana jau ir veikta un par to liecina tipa apstiprinājuma marķējums uz transportlīdzekļa izgatavotāja plāksnītes</w:t>
      </w:r>
      <w:r w:rsidR="00F9590A" w:rsidRPr="00343FEA">
        <w:rPr>
          <w:rFonts w:asciiTheme="majorBidi" w:hAnsiTheme="majorBidi" w:cstheme="majorBidi"/>
          <w:shd w:val="clear" w:color="auto" w:fill="FFFFFF"/>
        </w:rPr>
        <w:t>,</w:t>
      </w:r>
      <w:r w:rsidR="00F173A4" w:rsidRPr="00343FEA">
        <w:rPr>
          <w:rFonts w:asciiTheme="majorBidi" w:hAnsiTheme="majorBidi" w:cstheme="majorBidi"/>
          <w:shd w:val="clear" w:color="auto" w:fill="FFFFFF"/>
        </w:rPr>
        <w:t xml:space="preserve"> vai tiek iesniegta Eiropas Savienības harmonizētajām prasībām atbilstoša transportlīdzekļa reģistrācijas apliecība ar atzīmi par piešķirto valsts tipa vai individuālo apsti</w:t>
      </w:r>
      <w:r w:rsidR="00F9590A" w:rsidRPr="00343FEA">
        <w:rPr>
          <w:rFonts w:asciiTheme="majorBidi" w:hAnsiTheme="majorBidi" w:cstheme="majorBidi"/>
          <w:shd w:val="clear" w:color="auto" w:fill="FFFFFF"/>
        </w:rPr>
        <w:t>pr</w:t>
      </w:r>
      <w:r w:rsidR="00F173A4" w:rsidRPr="00343FEA">
        <w:rPr>
          <w:rFonts w:asciiTheme="majorBidi" w:hAnsiTheme="majorBidi" w:cstheme="majorBidi"/>
          <w:shd w:val="clear" w:color="auto" w:fill="FFFFFF"/>
        </w:rPr>
        <w:t>inājumu.</w:t>
      </w:r>
      <w:r w:rsidR="00927E8F" w:rsidRPr="00343FEA">
        <w:rPr>
          <w:rFonts w:asciiTheme="majorBidi" w:hAnsiTheme="majorBidi" w:cstheme="majorBidi"/>
          <w:shd w:val="clear" w:color="auto" w:fill="FFFFFF"/>
        </w:rPr>
        <w:t xml:space="preserve"> Ņemot vērā 39.2.1. un 39.2.2.</w:t>
      </w:r>
      <w:r w:rsidR="00C75795" w:rsidRPr="00343FEA">
        <w:rPr>
          <w:rFonts w:asciiTheme="majorBidi" w:hAnsiTheme="majorBidi" w:cstheme="majorBidi"/>
          <w:shd w:val="clear" w:color="auto" w:fill="FFFFFF"/>
        </w:rPr>
        <w:t xml:space="preserve">apakšpunktā </w:t>
      </w:r>
      <w:r w:rsidR="00927E8F" w:rsidRPr="00343FEA">
        <w:rPr>
          <w:rFonts w:asciiTheme="majorBidi" w:hAnsiTheme="majorBidi" w:cstheme="majorBidi"/>
          <w:shd w:val="clear" w:color="auto" w:fill="FFFFFF"/>
        </w:rPr>
        <w:t xml:space="preserve">norādītos izņēmumus, secināms, ka faktiski atbilstības apliecinājums transportlīdzekļa reģistrācijai Latvijā iesniedzams tikai izņēmuma gadījumos. </w:t>
      </w:r>
    </w:p>
    <w:p w14:paraId="077C9282" w14:textId="77777777" w:rsidR="00790C87" w:rsidRPr="00343FEA" w:rsidRDefault="00790C87" w:rsidP="00343FEA">
      <w:pPr>
        <w:spacing w:line="276" w:lineRule="auto"/>
        <w:ind w:firstLine="567"/>
        <w:jc w:val="both"/>
      </w:pPr>
    </w:p>
    <w:p w14:paraId="6A5D60DF" w14:textId="1F9782A1" w:rsidR="00C6555E" w:rsidRPr="00343FEA" w:rsidRDefault="00197816" w:rsidP="00343FEA">
      <w:pPr>
        <w:spacing w:line="276" w:lineRule="auto"/>
        <w:ind w:firstLine="567"/>
        <w:jc w:val="both"/>
      </w:pPr>
      <w:r w:rsidRPr="00343FEA">
        <w:t>[</w:t>
      </w:r>
      <w:r w:rsidR="00C67EF9" w:rsidRPr="00343FEA">
        <w:t>9</w:t>
      </w:r>
      <w:r w:rsidRPr="00343FEA">
        <w:t>] </w:t>
      </w:r>
      <w:r w:rsidR="00C6555E" w:rsidRPr="00343FEA">
        <w:t>Attiecinām</w:t>
      </w:r>
      <w:r w:rsidR="00D1366E" w:rsidRPr="00343FEA">
        <w:t>ās</w:t>
      </w:r>
      <w:r w:rsidR="00C6555E" w:rsidRPr="00343FEA">
        <w:t xml:space="preserve"> Eiropas Savienības tiesīb</w:t>
      </w:r>
      <w:r w:rsidR="00D1366E" w:rsidRPr="00343FEA">
        <w:t>as</w:t>
      </w:r>
      <w:r w:rsidR="00C6555E" w:rsidRPr="00343FEA">
        <w:t xml:space="preserve"> veido regulējums attiecībā uz transportlīdzekļu reģistrācijas dokumentiem un transportlīdzekļu atbilstības tehniskajiem noteikumiem.</w:t>
      </w:r>
    </w:p>
    <w:p w14:paraId="55C7885A" w14:textId="51388F1B" w:rsidR="00030EAB" w:rsidRPr="00343FEA" w:rsidRDefault="0072054A" w:rsidP="00343FEA">
      <w:pPr>
        <w:spacing w:line="276" w:lineRule="auto"/>
        <w:ind w:firstLine="567"/>
        <w:jc w:val="both"/>
      </w:pPr>
      <w:r w:rsidRPr="00343FEA">
        <w:t>Direktīva</w:t>
      </w:r>
      <w:r w:rsidR="00C75795" w:rsidRPr="00343FEA">
        <w:t>s</w:t>
      </w:r>
      <w:r w:rsidRPr="00343FEA">
        <w:t xml:space="preserve"> 2007/46/EK</w:t>
      </w:r>
      <w:r w:rsidR="00030EAB" w:rsidRPr="00343FEA">
        <w:t>, ar ko izveido sistēmu mehānisko transportlīdzekļu un to piekabju, kā arī tādiem transportlīdzekļiem paredzētu sistēmu, sastāvdaļu un atsevišķu tehnisku vienību apstiprināšanai</w:t>
      </w:r>
      <w:r w:rsidR="00C75795" w:rsidRPr="00343FEA">
        <w:t xml:space="preserve"> 24.panta sestā daļa</w:t>
      </w:r>
      <w:r w:rsidR="00030EAB" w:rsidRPr="00343FEA">
        <w:t>:</w:t>
      </w:r>
    </w:p>
    <w:p w14:paraId="62C6BAC9" w14:textId="32A6FF6E" w:rsidR="00030EAB" w:rsidRPr="00343FEA" w:rsidRDefault="00030EAB" w:rsidP="00343FEA">
      <w:pPr>
        <w:spacing w:line="276" w:lineRule="auto"/>
        <w:ind w:firstLine="567"/>
        <w:jc w:val="both"/>
      </w:pPr>
      <w:r w:rsidRPr="00343FEA">
        <w:t xml:space="preserve"> „Individuāla apstiprinājuma derīgums attiecas vienīgi uz apstiprinājuma piešķīrējas dalībvalsts teritoriju.</w:t>
      </w:r>
    </w:p>
    <w:p w14:paraId="7CF8A5E7" w14:textId="77777777" w:rsidR="00030EAB" w:rsidRPr="00343FEA" w:rsidRDefault="00030EAB" w:rsidP="00343FEA">
      <w:pPr>
        <w:spacing w:line="276" w:lineRule="auto"/>
        <w:ind w:firstLine="567"/>
        <w:jc w:val="both"/>
      </w:pPr>
      <w:r w:rsidRPr="00343FEA">
        <w:t>Ja pieteikuma iesniedzējs vēlas citā dalībvalstī pārdot, reģistrēt vai nodot ekspluatācijā transportlīdzekli, tad transportlīdzeklim ir jābūt piešķirtam individuālam apstiprinājumam; apstiprinājuma piešķīrēja dalībvalsts pieteikuma iesniedzējam pēc lūguma izsniedz dokumentu par tehniskām prasībām, saskaņā ar kurām transportlīdzeklis ir apstiprināts.</w:t>
      </w:r>
    </w:p>
    <w:p w14:paraId="6A019CE8" w14:textId="77777777" w:rsidR="00030EAB" w:rsidRPr="00343FEA" w:rsidRDefault="00030EAB" w:rsidP="00343FEA">
      <w:pPr>
        <w:spacing w:line="276" w:lineRule="auto"/>
        <w:ind w:firstLine="567"/>
        <w:jc w:val="both"/>
      </w:pPr>
      <w:r w:rsidRPr="00343FEA">
        <w:t>Cita dalībvalsts ļauj pārdot, reģistrēt vai nodot ekspluatācijā transportlīdzekli, par ko kādā dalībvalstī saskaņā ar šo pantu ir izsniegts individuāls apstiprinājums, ja vien nav pamatotu iemeslu uzskatīt, ka tehniskie noteikumi, ar ko saskaņā apstiprināts transportlīdzeklis, nav līdzvērtīgi tiem, ko piemēro attiecīgā valstī.”</w:t>
      </w:r>
    </w:p>
    <w:p w14:paraId="5AED5236" w14:textId="5841154C" w:rsidR="00030EAB" w:rsidRPr="00343FEA" w:rsidRDefault="00030EAB" w:rsidP="00343FEA">
      <w:pPr>
        <w:spacing w:line="276" w:lineRule="auto"/>
        <w:ind w:firstLine="567"/>
        <w:jc w:val="both"/>
      </w:pPr>
      <w:r w:rsidRPr="00343FEA">
        <w:t xml:space="preserve">48.pantā norādīts šīs direktīvas transponēšanas termiņš – 2009.gada 29.aprīlis. Tātad reģistrācijas brīdī Lietuvā direktīva vēl nebija piemērojama. Padomes 1970.gada 6.februāra </w:t>
      </w:r>
      <w:r w:rsidR="00C75795" w:rsidRPr="00343FEA">
        <w:t xml:space="preserve">Direktīvā </w:t>
      </w:r>
      <w:r w:rsidRPr="00343FEA">
        <w:t xml:space="preserve">70/156 par dalībvalstu tiesību aktu tuvināšanu attiecībā uz mehānisko transportlīdzekļu un to piekabju tipa apstiprinājumu, kuru aizstāj </w:t>
      </w:r>
      <w:r w:rsidR="00C75795" w:rsidRPr="00343FEA">
        <w:t xml:space="preserve">Direktīva </w:t>
      </w:r>
      <w:r w:rsidRPr="00343FEA">
        <w:t>2007/46</w:t>
      </w:r>
      <w:r w:rsidR="0072054A" w:rsidRPr="00343FEA">
        <w:t>/EK</w:t>
      </w:r>
      <w:r w:rsidRPr="00343FEA">
        <w:t xml:space="preserve">, nav ietverts regulējums par individuālajiem apstiprinājumiem. </w:t>
      </w:r>
    </w:p>
    <w:p w14:paraId="16030B64" w14:textId="161AEB73" w:rsidR="0025206A" w:rsidRPr="00343FEA" w:rsidRDefault="00790C87" w:rsidP="00343FEA">
      <w:pPr>
        <w:spacing w:line="276" w:lineRule="auto"/>
        <w:ind w:firstLine="567"/>
        <w:jc w:val="both"/>
      </w:pPr>
      <w:r w:rsidRPr="00343FEA">
        <w:t>Padomes 1999.gada 29.aprīļa Direktīvas 1999/37/EK par transportlīdzekļu reģistrācijas dokumentiem</w:t>
      </w:r>
      <w:r w:rsidR="00D65B55" w:rsidRPr="00343FEA">
        <w:t>:</w:t>
      </w:r>
      <w:r w:rsidR="00197816" w:rsidRPr="00343FEA">
        <w:t xml:space="preserve"> </w:t>
      </w:r>
    </w:p>
    <w:p w14:paraId="70EC62D4" w14:textId="0E636414" w:rsidR="00197816" w:rsidRPr="00343FEA" w:rsidRDefault="00197816" w:rsidP="00343FEA">
      <w:pPr>
        <w:spacing w:line="276" w:lineRule="auto"/>
        <w:ind w:firstLine="567"/>
        <w:jc w:val="both"/>
      </w:pPr>
      <w:r w:rsidRPr="00343FEA">
        <w:t>4.p</w:t>
      </w:r>
      <w:r w:rsidR="0025206A" w:rsidRPr="00343FEA">
        <w:t>ants: „</w:t>
      </w:r>
      <w:r w:rsidR="00652D58" w:rsidRPr="00343FEA">
        <w:t>Ievērojot šo direktīvu, reģistrācijas apliecību, ko izsniegusi kāda dalībvalsts, atzīst pārējās dalībvalstīs, lai transportlīdzekli identificētu starptautiskajā satiksmē vai pārreģistrētu citā dalībvalstī.</w:t>
      </w:r>
      <w:r w:rsidR="0025206A" w:rsidRPr="00343FEA">
        <w:t>”</w:t>
      </w:r>
    </w:p>
    <w:p w14:paraId="3C1466DD" w14:textId="68299A4B" w:rsidR="0025206A" w:rsidRPr="00343FEA" w:rsidRDefault="0025206A" w:rsidP="00343FEA">
      <w:pPr>
        <w:spacing w:line="276" w:lineRule="auto"/>
        <w:ind w:firstLine="567"/>
        <w:jc w:val="both"/>
      </w:pPr>
      <w:r w:rsidRPr="00343FEA">
        <w:t>5.panta otrā daļa: „Lai pārreģistrētu transportlīdzekli, kas ir reģistrēts citā dalībvalstī, kompetentās iestādes katrā tādā gadījumā prasa iesniegt iepriekšējās reģistrācijas apliecības I daļu, kā arī II</w:t>
      </w:r>
      <w:r w:rsidR="00161787" w:rsidRPr="00343FEA">
        <w:t> </w:t>
      </w:r>
      <w:r w:rsidRPr="00343FEA">
        <w:t>daļu, ja tā ir izsniegta. [..]</w:t>
      </w:r>
    </w:p>
    <w:p w14:paraId="0B8A67DC" w14:textId="0B19A94C" w:rsidR="0025206A" w:rsidRPr="00343FEA" w:rsidRDefault="0025206A" w:rsidP="00343FEA">
      <w:pPr>
        <w:spacing w:line="276" w:lineRule="auto"/>
        <w:ind w:firstLine="567"/>
        <w:jc w:val="both"/>
      </w:pPr>
      <w:r w:rsidRPr="00343FEA">
        <w:lastRenderedPageBreak/>
        <w:t>Ja reģistrācijas apliecībai ir jābūt divām daļām, bet II</w:t>
      </w:r>
      <w:r w:rsidR="00161787" w:rsidRPr="00343FEA">
        <w:t> </w:t>
      </w:r>
      <w:r w:rsidRPr="00343FEA">
        <w:t>daļas nav, kompetentās iestādes dalībvalstī, kurā ir lūgts veikt jauno reģistrāciju, ārkārtas gadījumā var pieņemt lēmumu transportlīdzekli pārreģistrēt, taču tikai pēc tam, kad rakstiski vai ar elektroniskiem saziņas līdzekļiem ir saņemts apstiprinājums no kompetentajām iestādēm tajā dalībvalstī, kur transportlīdzeklis bijis iepriekš reģistrēts, ka pieteikuma iesniedzējs ir tiesīgs pārreģistrēt transportlīdzekli citā dalībvalstī.”</w:t>
      </w:r>
    </w:p>
    <w:p w14:paraId="378C4E4F" w14:textId="77777777" w:rsidR="00790C87" w:rsidRPr="00343FEA" w:rsidRDefault="00790C87" w:rsidP="00343FEA">
      <w:pPr>
        <w:spacing w:line="276" w:lineRule="auto"/>
        <w:ind w:firstLine="567"/>
        <w:jc w:val="both"/>
      </w:pPr>
    </w:p>
    <w:p w14:paraId="7BB072B6" w14:textId="72881BF7" w:rsidR="00D43492" w:rsidRPr="00343FEA" w:rsidRDefault="002E6DF1" w:rsidP="00343FEA">
      <w:pPr>
        <w:spacing w:line="276" w:lineRule="auto"/>
        <w:ind w:firstLine="567"/>
        <w:jc w:val="both"/>
      </w:pPr>
      <w:r w:rsidRPr="00343FEA">
        <w:t>[</w:t>
      </w:r>
      <w:r w:rsidR="00C67EF9" w:rsidRPr="00343FEA">
        <w:t>10</w:t>
      </w:r>
      <w:r w:rsidRPr="00343FEA">
        <w:t>]</w:t>
      </w:r>
      <w:r w:rsidR="009905C3" w:rsidRPr="00343FEA">
        <w:t> </w:t>
      </w:r>
      <w:r w:rsidR="00030EAB" w:rsidRPr="00343FEA">
        <w:t xml:space="preserve">Eiropas Savienības Tiesas judikatūrā par </w:t>
      </w:r>
      <w:r w:rsidR="0072054A" w:rsidRPr="00343FEA">
        <w:t>Direktīvas 2007/46/EK</w:t>
      </w:r>
      <w:r w:rsidR="00790C87" w:rsidRPr="00343FEA">
        <w:t xml:space="preserve"> </w:t>
      </w:r>
      <w:r w:rsidR="00030EAB" w:rsidRPr="00343FEA">
        <w:t xml:space="preserve">24.panta </w:t>
      </w:r>
      <w:r w:rsidR="00790C87" w:rsidRPr="00343FEA">
        <w:t xml:space="preserve">sestās </w:t>
      </w:r>
      <w:r w:rsidR="00030EAB" w:rsidRPr="00343FEA">
        <w:t>daļ</w:t>
      </w:r>
      <w:r w:rsidR="00D43492" w:rsidRPr="00343FEA">
        <w:t xml:space="preserve">as interpretāciju un piemērošanu atrodamas </w:t>
      </w:r>
      <w:r w:rsidR="0072054A" w:rsidRPr="00343FEA">
        <w:t>turpmāk minētās</w:t>
      </w:r>
      <w:r w:rsidR="00D43492" w:rsidRPr="00343FEA">
        <w:t xml:space="preserve"> atziņas.</w:t>
      </w:r>
    </w:p>
    <w:p w14:paraId="1202FE67" w14:textId="3F024232" w:rsidR="00D43492" w:rsidRPr="00343FEA" w:rsidRDefault="00D43492" w:rsidP="00343FEA">
      <w:pPr>
        <w:spacing w:line="276" w:lineRule="auto"/>
        <w:ind w:firstLine="567"/>
        <w:jc w:val="both"/>
        <w:rPr>
          <w:rFonts w:asciiTheme="majorBidi" w:hAnsiTheme="majorBidi" w:cstheme="majorBidi"/>
        </w:rPr>
      </w:pPr>
      <w:r w:rsidRPr="00343FEA">
        <w:rPr>
          <w:rFonts w:asciiTheme="majorBidi" w:hAnsiTheme="majorBidi" w:cstheme="majorBidi"/>
          <w:shd w:val="clear" w:color="auto" w:fill="FFFFFF"/>
        </w:rPr>
        <w:t>Direktīva 2007/46/EK, tostarp tās 24.pants</w:t>
      </w:r>
      <w:r w:rsidR="00C75795" w:rsidRPr="00343FEA">
        <w:rPr>
          <w:rFonts w:asciiTheme="majorBidi" w:hAnsiTheme="majorBidi" w:cstheme="majorBidi"/>
          <w:shd w:val="clear" w:color="auto" w:fill="FFFFFF"/>
        </w:rPr>
        <w:t>,</w:t>
      </w:r>
      <w:r w:rsidRPr="00343FEA">
        <w:rPr>
          <w:rFonts w:asciiTheme="majorBidi" w:hAnsiTheme="majorBidi" w:cstheme="majorBidi"/>
          <w:shd w:val="clear" w:color="auto" w:fill="FFFFFF"/>
        </w:rPr>
        <w:t xml:space="preserve"> attiecas tikai uz jauniem transportlīdzekļiem. </w:t>
      </w:r>
      <w:r w:rsidR="003F5A61" w:rsidRPr="00343FEA">
        <w:rPr>
          <w:rFonts w:asciiTheme="majorBidi" w:hAnsiTheme="majorBidi" w:cstheme="majorBidi"/>
          <w:shd w:val="clear" w:color="auto" w:fill="FFFFFF"/>
        </w:rPr>
        <w:t xml:space="preserve">Individuālais apstiprinājums būtu piemērojams, ja transportlīdzeklis kopš tā izgatavošanas gada būtu tik lielā mērā </w:t>
      </w:r>
      <w:r w:rsidR="00C75795" w:rsidRPr="00343FEA">
        <w:rPr>
          <w:rFonts w:asciiTheme="majorBidi" w:hAnsiTheme="majorBidi" w:cstheme="majorBidi"/>
          <w:shd w:val="clear" w:color="auto" w:fill="FFFFFF"/>
        </w:rPr>
        <w:t>pārveidots</w:t>
      </w:r>
      <w:r w:rsidR="003F5A61" w:rsidRPr="00343FEA">
        <w:rPr>
          <w:rFonts w:asciiTheme="majorBidi" w:hAnsiTheme="majorBidi" w:cstheme="majorBidi"/>
          <w:shd w:val="clear" w:color="auto" w:fill="FFFFFF"/>
        </w:rPr>
        <w:t xml:space="preserve">, ka </w:t>
      </w:r>
      <w:r w:rsidR="00C75795" w:rsidRPr="00343FEA">
        <w:rPr>
          <w:rFonts w:asciiTheme="majorBidi" w:hAnsiTheme="majorBidi" w:cstheme="majorBidi"/>
          <w:shd w:val="clear" w:color="auto" w:fill="FFFFFF"/>
        </w:rPr>
        <w:t xml:space="preserve">tas </w:t>
      </w:r>
      <w:r w:rsidR="003F5A61" w:rsidRPr="00343FEA">
        <w:rPr>
          <w:rFonts w:asciiTheme="majorBidi" w:hAnsiTheme="majorBidi" w:cstheme="majorBidi"/>
          <w:shd w:val="clear" w:color="auto" w:fill="FFFFFF"/>
        </w:rPr>
        <w:t xml:space="preserve">būtu </w:t>
      </w:r>
      <w:r w:rsidR="00C75795" w:rsidRPr="00343FEA">
        <w:rPr>
          <w:rFonts w:asciiTheme="majorBidi" w:hAnsiTheme="majorBidi" w:cstheme="majorBidi"/>
          <w:shd w:val="clear" w:color="auto" w:fill="FFFFFF"/>
        </w:rPr>
        <w:t xml:space="preserve">pielīdzināms </w:t>
      </w:r>
      <w:r w:rsidR="003F5A61" w:rsidRPr="00343FEA">
        <w:rPr>
          <w:rFonts w:asciiTheme="majorBidi" w:hAnsiTheme="majorBidi" w:cstheme="majorBidi"/>
          <w:shd w:val="clear" w:color="auto" w:fill="FFFFFF"/>
        </w:rPr>
        <w:t xml:space="preserve">jauniem transportlīdzekļiem </w:t>
      </w:r>
      <w:r w:rsidRPr="00343FEA">
        <w:t>(</w:t>
      </w:r>
      <w:r w:rsidRPr="00343FEA">
        <w:rPr>
          <w:rFonts w:asciiTheme="majorBidi" w:hAnsiTheme="majorBidi" w:cstheme="majorBidi"/>
          <w:i/>
          <w:iCs/>
        </w:rPr>
        <w:t>Eiropas Savienības Tiesas 2019.gada 24.janvāra sprieduma lietā „RDW u.c.”, C-326/17,</w:t>
      </w:r>
      <w:r w:rsidR="00DD173C" w:rsidRPr="00343FEA">
        <w:rPr>
          <w:rFonts w:asciiTheme="majorBidi" w:hAnsiTheme="majorBidi" w:cstheme="majorBidi"/>
          <w:i/>
          <w:iCs/>
        </w:rPr>
        <w:t xml:space="preserve"> </w:t>
      </w:r>
      <w:hyperlink r:id="rId9" w:history="1">
        <w:r w:rsidR="00DD173C" w:rsidRPr="00343FEA">
          <w:rPr>
            <w:rStyle w:val="Hyperlink"/>
            <w:rFonts w:asciiTheme="majorBidi" w:hAnsiTheme="majorBidi" w:cstheme="majorBidi"/>
            <w:i/>
            <w:iCs/>
          </w:rPr>
          <w:t>ECLI:EU:C:2019:59</w:t>
        </w:r>
      </w:hyperlink>
      <w:r w:rsidR="00DD173C" w:rsidRPr="00343FEA">
        <w:rPr>
          <w:rFonts w:asciiTheme="majorBidi" w:hAnsiTheme="majorBidi" w:cstheme="majorBidi"/>
          <w:i/>
          <w:iCs/>
        </w:rPr>
        <w:t xml:space="preserve">, </w:t>
      </w:r>
      <w:r w:rsidRPr="00343FEA">
        <w:rPr>
          <w:rFonts w:asciiTheme="majorBidi" w:hAnsiTheme="majorBidi" w:cstheme="majorBidi"/>
          <w:i/>
          <w:iCs/>
        </w:rPr>
        <w:t>61. un 6</w:t>
      </w:r>
      <w:r w:rsidR="003F5A61" w:rsidRPr="00343FEA">
        <w:rPr>
          <w:rFonts w:asciiTheme="majorBidi" w:hAnsiTheme="majorBidi" w:cstheme="majorBidi"/>
          <w:i/>
          <w:iCs/>
        </w:rPr>
        <w:t>3</w:t>
      </w:r>
      <w:r w:rsidRPr="00343FEA">
        <w:rPr>
          <w:rFonts w:asciiTheme="majorBidi" w:hAnsiTheme="majorBidi" w:cstheme="majorBidi"/>
          <w:i/>
          <w:iCs/>
        </w:rPr>
        <w:t>.punkt</w:t>
      </w:r>
      <w:r w:rsidR="0072054A" w:rsidRPr="00343FEA">
        <w:rPr>
          <w:rFonts w:asciiTheme="majorBidi" w:hAnsiTheme="majorBidi" w:cstheme="majorBidi"/>
          <w:i/>
          <w:iCs/>
        </w:rPr>
        <w:t>s</w:t>
      </w:r>
      <w:r w:rsidR="00C75795" w:rsidRPr="00343FEA">
        <w:rPr>
          <w:rFonts w:asciiTheme="majorBidi" w:hAnsiTheme="majorBidi" w:cstheme="majorBidi"/>
          <w:i/>
          <w:iCs/>
        </w:rPr>
        <w:t xml:space="preserve"> (turpmāk – spriedums lietā „RDW u.c.”)</w:t>
      </w:r>
      <w:r w:rsidRPr="00343FEA">
        <w:rPr>
          <w:rFonts w:asciiTheme="majorBidi" w:hAnsiTheme="majorBidi" w:cstheme="majorBidi"/>
        </w:rPr>
        <w:t>).</w:t>
      </w:r>
    </w:p>
    <w:p w14:paraId="1EAE2345" w14:textId="58BA4F0B" w:rsidR="002E6DF1" w:rsidRPr="00343FEA" w:rsidRDefault="002E6DF1" w:rsidP="00343FEA">
      <w:pPr>
        <w:spacing w:line="276" w:lineRule="auto"/>
        <w:ind w:firstLine="567"/>
        <w:jc w:val="both"/>
      </w:pPr>
      <w:r w:rsidRPr="00343FEA">
        <w:t>Eiropas Savienības Tiesas judikatūrā par Direktīvas 1999/37/EK</w:t>
      </w:r>
      <w:r w:rsidR="004D0779" w:rsidRPr="00343FEA">
        <w:t xml:space="preserve"> 4.panta</w:t>
      </w:r>
      <w:r w:rsidRPr="00343FEA">
        <w:t xml:space="preserve"> interpretāciju un piemērošanu atrodamas šādas atziņas. </w:t>
      </w:r>
    </w:p>
    <w:p w14:paraId="5E9E5E68" w14:textId="712BC070" w:rsidR="004B397A" w:rsidRPr="00343FEA" w:rsidRDefault="002E6DF1" w:rsidP="00343FEA">
      <w:pPr>
        <w:spacing w:line="276" w:lineRule="auto"/>
        <w:ind w:firstLine="567"/>
        <w:jc w:val="both"/>
      </w:pPr>
      <w:r w:rsidRPr="00343FEA">
        <w:t>Transportlīdzekļu identifikācija pirms to reģistrācijas citā dalībvalstī, ja tā neparedz nekādu papildu pārbaudi, bet ietilpst pašā reģistrācijas pieteikuma apstrādē un ar to saistīto procedūru, proti</w:t>
      </w:r>
      <w:r w:rsidR="00B914D5" w:rsidRPr="00343FEA">
        <w:t>,</w:t>
      </w:r>
      <w:r w:rsidRPr="00343FEA">
        <w:t xml:space="preserve"> fizisku uzrādīšanu</w:t>
      </w:r>
      <w:r w:rsidR="009E29F4" w:rsidRPr="00343FEA">
        <w:t xml:space="preserve"> kādā no </w:t>
      </w:r>
      <w:r w:rsidR="004B397A" w:rsidRPr="00343FEA">
        <w:t xml:space="preserve">Nīderlandes </w:t>
      </w:r>
      <w:r w:rsidR="009E29F4" w:rsidRPr="00343FEA">
        <w:t>Ceļu satiksmes dienesta nodaļām, kuras izvietotas visā dalībvalsts teritorijā, turklāt, ja gaidīšanu rindā vairākas nedēļas var novērst</w:t>
      </w:r>
      <w:r w:rsidR="00B914D5" w:rsidRPr="00343FEA">
        <w:t>,</w:t>
      </w:r>
      <w:r w:rsidR="009E29F4" w:rsidRPr="00343FEA">
        <w:t xml:space="preserve"> laikus piesakot apmeklējumu</w:t>
      </w:r>
      <w:r w:rsidRPr="00343FEA">
        <w:t>, un par to paredzētais maksājums (konkrētajā lietā 45 </w:t>
      </w:r>
      <w:r w:rsidRPr="00343FEA">
        <w:rPr>
          <w:i/>
          <w:iCs/>
        </w:rPr>
        <w:t>euro</w:t>
      </w:r>
      <w:r w:rsidRPr="00343FEA">
        <w:t>)</w:t>
      </w:r>
      <w:r w:rsidR="009E29F4" w:rsidRPr="00343FEA">
        <w:t xml:space="preserve">, ievērojot kopējās izmaksas un finansiālās sekas, kas ir neizbēgami saistītas ar ikvienu reģistrāciju, </w:t>
      </w:r>
      <w:r w:rsidRPr="00343FEA">
        <w:t>ir vienkārša administratīva formalitāte</w:t>
      </w:r>
      <w:r w:rsidR="009E29F4" w:rsidRPr="00343FEA">
        <w:t>, neizraisa sekas, kam būtu atturoša iedarbība transportlīdzekļu importam šajā dalībvalstī vai padarītu šādu importu mazāk izdevīgu (</w:t>
      </w:r>
      <w:r w:rsidR="009E29F4" w:rsidRPr="00343FEA">
        <w:rPr>
          <w:i/>
          <w:iCs/>
        </w:rPr>
        <w:t>Eiropas Savienības Tiesas 20</w:t>
      </w:r>
      <w:r w:rsidR="004B397A" w:rsidRPr="00343FEA">
        <w:rPr>
          <w:i/>
          <w:iCs/>
        </w:rPr>
        <w:t xml:space="preserve">07.gada 20.septembra sprieduma lietā „Komisija/Nīderlande”, C-297/05, </w:t>
      </w:r>
      <w:hyperlink r:id="rId10" w:history="1">
        <w:r w:rsidR="004B397A" w:rsidRPr="00343FEA">
          <w:rPr>
            <w:rStyle w:val="Hyperlink"/>
            <w:i/>
            <w:iCs/>
          </w:rPr>
          <w:t>ECLI:EU:C:2007:531</w:t>
        </w:r>
      </w:hyperlink>
      <w:r w:rsidR="00B914D5" w:rsidRPr="00343FEA">
        <w:rPr>
          <w:rStyle w:val="Hyperlink"/>
          <w:i/>
          <w:iCs/>
        </w:rPr>
        <w:t>,</w:t>
      </w:r>
      <w:r w:rsidR="004B397A" w:rsidRPr="00343FEA">
        <w:rPr>
          <w:i/>
          <w:iCs/>
        </w:rPr>
        <w:t xml:space="preserve"> 53.</w:t>
      </w:r>
      <w:r w:rsidR="005B0589" w:rsidRPr="00343FEA">
        <w:rPr>
          <w:i/>
          <w:iCs/>
        </w:rPr>
        <w:t>–</w:t>
      </w:r>
      <w:r w:rsidR="004B397A" w:rsidRPr="00343FEA">
        <w:rPr>
          <w:i/>
          <w:iCs/>
        </w:rPr>
        <w:t>63.punkts</w:t>
      </w:r>
      <w:r w:rsidR="004B397A" w:rsidRPr="00343FEA">
        <w:t>).</w:t>
      </w:r>
    </w:p>
    <w:p w14:paraId="03C0110E" w14:textId="17BE6159" w:rsidR="00F0480B" w:rsidRPr="00343FEA" w:rsidRDefault="00DD399E" w:rsidP="00343FEA">
      <w:pPr>
        <w:spacing w:line="276" w:lineRule="auto"/>
        <w:ind w:firstLine="567"/>
        <w:jc w:val="both"/>
      </w:pPr>
      <w:r w:rsidRPr="00343FEA">
        <w:t>Direktīvas 1999/37</w:t>
      </w:r>
      <w:r w:rsidR="00D66292" w:rsidRPr="00343FEA">
        <w:t>/EK</w:t>
      </w:r>
      <w:r w:rsidRPr="00343FEA">
        <w:t xml:space="preserve"> 4.pants neparedz nekādu rīcības brīvību dalībvalstīm attiecībā uz transportlīdzekļu reģistrācijas apliecību atzīšanas principa ievērošanu. Attiecīgi minētajam pantam ir pretrunā prasība sistemātiski papildus transportlīdzekļu reģistrācijas apliecībai iesniegt arī transportlīdzekļa atbilstības sertifikātu</w:t>
      </w:r>
      <w:r w:rsidR="000F71D1" w:rsidRPr="00343FEA">
        <w:t xml:space="preserve"> (arī EK tipa sertifikātu)</w:t>
      </w:r>
      <w:r w:rsidRPr="00343FEA">
        <w:t>, lai pirms transportlīdzekļa reģistrācijas dalībvalstī varētu veikt obligāto tehnisko apskati transportlīdzeklim, kas iepriekš ir bijis reģistrēts citā dalībvalstī (</w:t>
      </w:r>
      <w:r w:rsidRPr="00343FEA">
        <w:rPr>
          <w:i/>
          <w:iCs/>
        </w:rPr>
        <w:t xml:space="preserve">Eiropas Savienības Tiesas 2012.gada 6.septembra sprieduma lietā „Komisija/Beļģija”, C-150/11, </w:t>
      </w:r>
      <w:hyperlink r:id="rId11" w:history="1">
        <w:r w:rsidRPr="00343FEA">
          <w:rPr>
            <w:rStyle w:val="Hyperlink"/>
            <w:i/>
            <w:iCs/>
          </w:rPr>
          <w:t>ECLI:EU:C:2012:539</w:t>
        </w:r>
      </w:hyperlink>
      <w:r w:rsidR="00896034" w:rsidRPr="00343FEA">
        <w:rPr>
          <w:rStyle w:val="Hyperlink"/>
          <w:i/>
          <w:iCs/>
        </w:rPr>
        <w:t>,</w:t>
      </w:r>
      <w:r w:rsidRPr="00343FEA">
        <w:rPr>
          <w:i/>
          <w:iCs/>
        </w:rPr>
        <w:t xml:space="preserve"> 73.</w:t>
      </w:r>
      <w:r w:rsidR="005B0589" w:rsidRPr="00343FEA">
        <w:rPr>
          <w:i/>
          <w:iCs/>
        </w:rPr>
        <w:t>–</w:t>
      </w:r>
      <w:r w:rsidRPr="00343FEA">
        <w:rPr>
          <w:i/>
          <w:iCs/>
        </w:rPr>
        <w:t>80.punkt</w:t>
      </w:r>
      <w:r w:rsidR="005B0589" w:rsidRPr="00343FEA">
        <w:rPr>
          <w:i/>
          <w:iCs/>
        </w:rPr>
        <w:t>s</w:t>
      </w:r>
      <w:r w:rsidRPr="00343FEA">
        <w:t>).</w:t>
      </w:r>
    </w:p>
    <w:p w14:paraId="6D78E76B" w14:textId="17C88733" w:rsidR="002E6DF1" w:rsidRPr="00343FEA" w:rsidRDefault="004D0779" w:rsidP="00343FEA">
      <w:pPr>
        <w:spacing w:line="276" w:lineRule="auto"/>
        <w:ind w:firstLine="567"/>
        <w:jc w:val="both"/>
      </w:pPr>
      <w:r w:rsidRPr="00343FEA">
        <w:t xml:space="preserve">Ar </w:t>
      </w:r>
      <w:r w:rsidR="00896034" w:rsidRPr="00343FEA">
        <w:t xml:space="preserve">Direktīvu </w:t>
      </w:r>
      <w:r w:rsidRPr="00343FEA">
        <w:t>1999/37</w:t>
      </w:r>
      <w:r w:rsidR="00D66292" w:rsidRPr="00343FEA">
        <w:t>/EK</w:t>
      </w:r>
      <w:r w:rsidRPr="00343FEA">
        <w:t xml:space="preserve"> ir iecerēts sekmēt brīvu dalību ceļu satiksmē citu dalībvalstu teritorijā kā priekšnosacījumu tāda transportlīdzekļa reģistrācijai, kas iepriekš bijis reģistrēts citā dalībvalstī, prasot dokumentu, kas apliecina transportlīdzekļa reģistrāciju un tehniskos parametrus, ar mērķi veicināt tādu transportlīdzekļu atkārtotu izmantošanu, kas iepriekš reģistrēti citā dalībvalstī, kā arī veicināt pareizu iekšējā tirgus darbību</w:t>
      </w:r>
      <w:r w:rsidR="009527D4" w:rsidRPr="00343FEA">
        <w:t>. Direktīvas 1999/37</w:t>
      </w:r>
      <w:r w:rsidR="00D66292" w:rsidRPr="00343FEA">
        <w:t>/EK</w:t>
      </w:r>
      <w:r w:rsidR="009527D4" w:rsidRPr="00343FEA">
        <w:t xml:space="preserve"> 4.pants, lasot to kopsakarā ar šīs direktīvas 3.panta 2.punktu, ir jāinterpretē tādējādi, ka tās dalībvalsts iestādes, kurā tiek lūgts pārreģistrēt lietotu transportlīdzekli, ir tiesīgas atteikties atzīt šā transportlīdzekļa iepriekšējās reģistrācijas vietas dalībvalsts izdotu reģistrācijas apliecību, ja tajā trūkst kādu obligāti norādāmu ziņu, ja tajā norādītās ziņas neatbilst minētajam transportlīdzeklim un ja šo transportlīdzekli pēc šīs apliecības nav iespējams identificēt (</w:t>
      </w:r>
      <w:r w:rsidR="009527D4" w:rsidRPr="00343FEA">
        <w:rPr>
          <w:rFonts w:asciiTheme="majorBidi" w:hAnsiTheme="majorBidi" w:cstheme="majorBidi"/>
          <w:i/>
          <w:iCs/>
        </w:rPr>
        <w:t>Eiropas Savienības Tiesas sprieduma lietā „RDW</w:t>
      </w:r>
      <w:r w:rsidR="00030EAB" w:rsidRPr="00343FEA">
        <w:rPr>
          <w:rFonts w:asciiTheme="majorBidi" w:hAnsiTheme="majorBidi" w:cstheme="majorBidi"/>
          <w:i/>
          <w:iCs/>
        </w:rPr>
        <w:t xml:space="preserve"> u.c</w:t>
      </w:r>
      <w:r w:rsidR="007F5A6A" w:rsidRPr="00343FEA">
        <w:rPr>
          <w:rFonts w:asciiTheme="majorBidi" w:hAnsiTheme="majorBidi" w:cstheme="majorBidi"/>
          <w:i/>
          <w:iCs/>
        </w:rPr>
        <w:t>.</w:t>
      </w:r>
      <w:r w:rsidR="00896034" w:rsidRPr="00343FEA">
        <w:rPr>
          <w:rFonts w:asciiTheme="majorBidi" w:hAnsiTheme="majorBidi" w:cstheme="majorBidi"/>
          <w:i/>
          <w:iCs/>
        </w:rPr>
        <w:t>”</w:t>
      </w:r>
      <w:r w:rsidR="009527D4" w:rsidRPr="00343FEA">
        <w:rPr>
          <w:rFonts w:asciiTheme="majorBidi" w:hAnsiTheme="majorBidi" w:cstheme="majorBidi"/>
          <w:i/>
          <w:iCs/>
        </w:rPr>
        <w:t xml:space="preserve"> 50. un 59.punkt</w:t>
      </w:r>
      <w:r w:rsidR="00351019" w:rsidRPr="00343FEA">
        <w:rPr>
          <w:rFonts w:asciiTheme="majorBidi" w:hAnsiTheme="majorBidi" w:cstheme="majorBidi"/>
          <w:i/>
          <w:iCs/>
        </w:rPr>
        <w:t>s</w:t>
      </w:r>
      <w:r w:rsidR="009527D4" w:rsidRPr="00343FEA">
        <w:rPr>
          <w:rFonts w:asciiTheme="majorBidi" w:hAnsiTheme="majorBidi" w:cstheme="majorBidi"/>
        </w:rPr>
        <w:t>).</w:t>
      </w:r>
    </w:p>
    <w:p w14:paraId="78B9126C" w14:textId="2D8935C0" w:rsidR="00E7577D" w:rsidRPr="00343FEA" w:rsidRDefault="00E7577D" w:rsidP="00343FEA">
      <w:pPr>
        <w:spacing w:line="276" w:lineRule="auto"/>
        <w:ind w:firstLine="567"/>
        <w:jc w:val="both"/>
        <w:rPr>
          <w:rFonts w:asciiTheme="majorBidi" w:hAnsiTheme="majorBidi" w:cstheme="majorBidi"/>
        </w:rPr>
      </w:pPr>
      <w:r w:rsidRPr="00343FEA">
        <w:rPr>
          <w:rFonts w:asciiTheme="majorBidi" w:hAnsiTheme="majorBidi" w:cstheme="majorBidi"/>
          <w:shd w:val="clear" w:color="auto" w:fill="FFFFFF"/>
        </w:rPr>
        <w:lastRenderedPageBreak/>
        <w:t>Direktīva 1999/37</w:t>
      </w:r>
      <w:r w:rsidR="00D66292" w:rsidRPr="00343FEA">
        <w:rPr>
          <w:rFonts w:asciiTheme="majorBidi" w:hAnsiTheme="majorBidi" w:cstheme="majorBidi"/>
          <w:shd w:val="clear" w:color="auto" w:fill="FFFFFF"/>
        </w:rPr>
        <w:t>/EK</w:t>
      </w:r>
      <w:r w:rsidRPr="00343FEA">
        <w:rPr>
          <w:rFonts w:asciiTheme="majorBidi" w:hAnsiTheme="majorBidi" w:cstheme="majorBidi"/>
          <w:shd w:val="clear" w:color="auto" w:fill="FFFFFF"/>
        </w:rPr>
        <w:t xml:space="preserve"> ir piemērojama attiecībā uz dokumentiem, ko dalībvalstis izdevušas, reģistrējot transportlīdzekļus, kas izgatavoti pirms 2009.gada 29.aprīļa, proti, dienas, kad beidzās Direktīvas 2007/46</w:t>
      </w:r>
      <w:r w:rsidR="005B0589" w:rsidRPr="00343FEA">
        <w:rPr>
          <w:rFonts w:asciiTheme="majorBidi" w:hAnsiTheme="majorBidi" w:cstheme="majorBidi"/>
          <w:shd w:val="clear" w:color="auto" w:fill="FFFFFF"/>
        </w:rPr>
        <w:t>/EK</w:t>
      </w:r>
      <w:r w:rsidRPr="00343FEA">
        <w:rPr>
          <w:rFonts w:asciiTheme="majorBidi" w:hAnsiTheme="majorBidi" w:cstheme="majorBidi"/>
          <w:shd w:val="clear" w:color="auto" w:fill="FFFFFF"/>
        </w:rPr>
        <w:t xml:space="preserve"> transponēšanas termiņš </w:t>
      </w:r>
      <w:r w:rsidRPr="00343FEA">
        <w:t>(</w:t>
      </w:r>
      <w:r w:rsidRPr="00343FEA">
        <w:rPr>
          <w:rFonts w:asciiTheme="majorBidi" w:hAnsiTheme="majorBidi" w:cstheme="majorBidi"/>
          <w:i/>
          <w:iCs/>
        </w:rPr>
        <w:t xml:space="preserve">Eiropas Savienības Tiesas sprieduma lietā „RDW </w:t>
      </w:r>
      <w:r w:rsidR="00030EAB" w:rsidRPr="00343FEA">
        <w:rPr>
          <w:rFonts w:asciiTheme="majorBidi" w:hAnsiTheme="majorBidi" w:cstheme="majorBidi"/>
          <w:i/>
          <w:iCs/>
        </w:rPr>
        <w:t>u.c.</w:t>
      </w:r>
      <w:r w:rsidRPr="00343FEA">
        <w:rPr>
          <w:rFonts w:asciiTheme="majorBidi" w:hAnsiTheme="majorBidi" w:cstheme="majorBidi"/>
          <w:i/>
          <w:iCs/>
        </w:rPr>
        <w:t xml:space="preserve">” </w:t>
      </w:r>
      <w:r w:rsidR="0075067A" w:rsidRPr="00343FEA">
        <w:rPr>
          <w:rFonts w:asciiTheme="majorBidi" w:hAnsiTheme="majorBidi" w:cstheme="majorBidi"/>
          <w:i/>
          <w:iCs/>
        </w:rPr>
        <w:t>43</w:t>
      </w:r>
      <w:r w:rsidRPr="00343FEA">
        <w:rPr>
          <w:rFonts w:asciiTheme="majorBidi" w:hAnsiTheme="majorBidi" w:cstheme="majorBidi"/>
          <w:i/>
          <w:iCs/>
        </w:rPr>
        <w:t>.punkt</w:t>
      </w:r>
      <w:r w:rsidR="005B0589" w:rsidRPr="00343FEA">
        <w:rPr>
          <w:rFonts w:asciiTheme="majorBidi" w:hAnsiTheme="majorBidi" w:cstheme="majorBidi"/>
          <w:i/>
          <w:iCs/>
        </w:rPr>
        <w:t>s</w:t>
      </w:r>
      <w:r w:rsidRPr="00343FEA">
        <w:rPr>
          <w:rFonts w:asciiTheme="majorBidi" w:hAnsiTheme="majorBidi" w:cstheme="majorBidi"/>
        </w:rPr>
        <w:t>).</w:t>
      </w:r>
    </w:p>
    <w:p w14:paraId="62BE3E1B" w14:textId="58EDCB6A" w:rsidR="00790C87" w:rsidRPr="00343FEA" w:rsidRDefault="00790C87" w:rsidP="00343FEA">
      <w:pPr>
        <w:spacing w:line="276" w:lineRule="auto"/>
        <w:ind w:firstLine="567"/>
        <w:jc w:val="both"/>
        <w:rPr>
          <w:rFonts w:asciiTheme="majorBidi" w:hAnsiTheme="majorBidi" w:cstheme="majorBidi"/>
        </w:rPr>
      </w:pPr>
    </w:p>
    <w:p w14:paraId="35A17B7F" w14:textId="16AB68D3" w:rsidR="00C67EF9" w:rsidRPr="00343FEA" w:rsidRDefault="00C67EF9" w:rsidP="00343FEA">
      <w:pPr>
        <w:spacing w:line="276" w:lineRule="auto"/>
        <w:ind w:firstLine="567"/>
        <w:jc w:val="both"/>
        <w:rPr>
          <w:rFonts w:asciiTheme="majorBidi" w:hAnsiTheme="majorBidi" w:cstheme="majorBidi"/>
        </w:rPr>
      </w:pPr>
      <w:r w:rsidRPr="00343FEA">
        <w:rPr>
          <w:rFonts w:asciiTheme="majorBidi" w:hAnsiTheme="majorBidi" w:cstheme="majorBidi"/>
        </w:rPr>
        <w:t>[11] </w:t>
      </w:r>
      <w:bookmarkStart w:id="2" w:name="_Hlk121753383"/>
      <w:r w:rsidRPr="00343FEA">
        <w:rPr>
          <w:rFonts w:asciiTheme="majorBidi" w:hAnsiTheme="majorBidi" w:cstheme="majorBidi"/>
          <w:shd w:val="clear" w:color="auto" w:fill="FFFFFF"/>
        </w:rPr>
        <w:t>V</w:t>
      </w:r>
      <w:r w:rsidRPr="00343FEA">
        <w:rPr>
          <w:rFonts w:asciiTheme="majorBidi" w:hAnsiTheme="majorBidi" w:cstheme="majorBidi"/>
        </w:rPr>
        <w:t xml:space="preserve">isaptverošu pārskatu un informāciju par tiesību aktu principiem, </w:t>
      </w:r>
      <w:r w:rsidR="00896034" w:rsidRPr="00343FEA">
        <w:rPr>
          <w:rFonts w:asciiTheme="majorBidi" w:hAnsiTheme="majorBidi" w:cstheme="majorBidi"/>
        </w:rPr>
        <w:t xml:space="preserve">kuri </w:t>
      </w:r>
      <w:r w:rsidRPr="00343FEA">
        <w:rPr>
          <w:rFonts w:asciiTheme="majorBidi" w:hAnsiTheme="majorBidi" w:cstheme="majorBidi"/>
        </w:rPr>
        <w:t>attiecas uz mehānisko transportlīdzekļu reģistrāciju dalībvalstī, kas nav iegādes valsts, un pārreģistrāciju dalībvalstu starpā,</w:t>
      </w:r>
      <w:r w:rsidRPr="00343FEA">
        <w:rPr>
          <w:rFonts w:asciiTheme="majorBidi" w:hAnsiTheme="majorBidi" w:cstheme="majorBidi"/>
          <w:shd w:val="clear" w:color="auto" w:fill="FFFFFF"/>
        </w:rPr>
        <w:t xml:space="preserve"> sniedz Eiropas </w:t>
      </w:r>
      <w:r w:rsidRPr="00343FEA">
        <w:t xml:space="preserve">Komisijas skaidrojošais paziņojums par </w:t>
      </w:r>
      <w:r w:rsidRPr="00343FEA">
        <w:rPr>
          <w:rFonts w:asciiTheme="majorBidi" w:hAnsiTheme="majorBidi" w:cstheme="majorBidi"/>
        </w:rPr>
        <w:t>procedūrām to mehānisko transportlīdzekļu reģistrācijai, kuru izcelsmes valsts ir citā dalībvalstī (2007/C 68/04) (turpmāk – skaidrojošais paziņojums) (</w:t>
      </w:r>
      <w:hyperlink r:id="rId12" w:history="1">
        <w:r w:rsidRPr="00343FEA">
          <w:rPr>
            <w:rStyle w:val="Hyperlink"/>
            <w:rFonts w:asciiTheme="majorBidi" w:hAnsiTheme="majorBidi" w:cstheme="majorBidi"/>
            <w:i/>
            <w:iCs/>
            <w:color w:val="auto"/>
            <w:u w:val="none"/>
          </w:rPr>
          <w:t>https://eur-lex.europa.eu/legal-content/LV/TXT/PDF/?uri=CELEX:C2007/068/04&amp;from=PL</w:t>
        </w:r>
      </w:hyperlink>
      <w:r w:rsidRPr="00343FEA">
        <w:rPr>
          <w:rFonts w:asciiTheme="majorBidi" w:hAnsiTheme="majorBidi" w:cstheme="majorBidi"/>
        </w:rPr>
        <w:t>).</w:t>
      </w:r>
    </w:p>
    <w:bookmarkEnd w:id="2"/>
    <w:p w14:paraId="6CAE3A40" w14:textId="77777777" w:rsidR="00C67EF9" w:rsidRPr="00343FEA" w:rsidRDefault="00C67EF9" w:rsidP="00343FEA">
      <w:pPr>
        <w:spacing w:line="276" w:lineRule="auto"/>
        <w:ind w:firstLine="567"/>
        <w:jc w:val="both"/>
        <w:rPr>
          <w:rFonts w:asciiTheme="majorBidi" w:hAnsiTheme="majorBidi" w:cstheme="majorBidi"/>
        </w:rPr>
      </w:pPr>
    </w:p>
    <w:p w14:paraId="7C69C059" w14:textId="4C270CFA" w:rsidR="002D38B4" w:rsidRPr="00343FEA" w:rsidRDefault="003B0FE8" w:rsidP="00343FEA">
      <w:pPr>
        <w:spacing w:line="276" w:lineRule="auto"/>
        <w:ind w:firstLine="567"/>
        <w:jc w:val="both"/>
      </w:pPr>
      <w:r w:rsidRPr="00343FEA">
        <w:rPr>
          <w:rFonts w:asciiTheme="majorBidi" w:hAnsiTheme="majorBidi" w:cstheme="majorBidi"/>
        </w:rPr>
        <w:t>[</w:t>
      </w:r>
      <w:r w:rsidR="00790C87" w:rsidRPr="00343FEA">
        <w:rPr>
          <w:rFonts w:asciiTheme="majorBidi" w:hAnsiTheme="majorBidi" w:cstheme="majorBidi"/>
        </w:rPr>
        <w:t>1</w:t>
      </w:r>
      <w:r w:rsidR="00C67EF9" w:rsidRPr="00343FEA">
        <w:rPr>
          <w:rFonts w:asciiTheme="majorBidi" w:hAnsiTheme="majorBidi" w:cstheme="majorBidi"/>
        </w:rPr>
        <w:t>2</w:t>
      </w:r>
      <w:r w:rsidRPr="00343FEA">
        <w:rPr>
          <w:rFonts w:asciiTheme="majorBidi" w:hAnsiTheme="majorBidi" w:cstheme="majorBidi"/>
        </w:rPr>
        <w:t>] K</w:t>
      </w:r>
      <w:r w:rsidR="002D38B4" w:rsidRPr="00343FEA">
        <w:rPr>
          <w:rFonts w:asciiTheme="majorBidi" w:hAnsiTheme="majorBidi" w:cstheme="majorBidi"/>
        </w:rPr>
        <w:t>asācijas sūdzībā norādītie Eiropas Savienības Tiesas spriedumi</w:t>
      </w:r>
      <w:r w:rsidRPr="00343FEA">
        <w:rPr>
          <w:rFonts w:asciiTheme="majorBidi" w:hAnsiTheme="majorBidi" w:cstheme="majorBidi"/>
        </w:rPr>
        <w:t xml:space="preserve">, kas </w:t>
      </w:r>
      <w:r w:rsidR="002D38B4" w:rsidRPr="00343FEA">
        <w:rPr>
          <w:rFonts w:asciiTheme="majorBidi" w:hAnsiTheme="majorBidi" w:cstheme="majorBidi"/>
        </w:rPr>
        <w:t>neietver Direktīvas 1999/37 4.panta interpretāciju, nav tieši izmantojami</w:t>
      </w:r>
      <w:r w:rsidRPr="00343FEA">
        <w:rPr>
          <w:rFonts w:asciiTheme="majorBidi" w:hAnsiTheme="majorBidi" w:cstheme="majorBidi"/>
        </w:rPr>
        <w:t xml:space="preserve"> šīs normas interpretācijā</w:t>
      </w:r>
      <w:r w:rsidR="002D38B4" w:rsidRPr="00343FEA">
        <w:rPr>
          <w:rFonts w:asciiTheme="majorBidi" w:hAnsiTheme="majorBidi" w:cstheme="majorBidi"/>
        </w:rPr>
        <w:t>.</w:t>
      </w:r>
      <w:r w:rsidRPr="00343FEA">
        <w:rPr>
          <w:rFonts w:asciiTheme="majorBidi" w:hAnsiTheme="majorBidi" w:cstheme="majorBidi"/>
        </w:rPr>
        <w:t xml:space="preserve"> </w:t>
      </w:r>
      <w:r w:rsidR="00B61490" w:rsidRPr="00343FEA">
        <w:rPr>
          <w:rFonts w:asciiTheme="majorBidi" w:hAnsiTheme="majorBidi" w:cstheme="majorBidi"/>
        </w:rPr>
        <w:t>Tā</w:t>
      </w:r>
      <w:r w:rsidRPr="00343FEA">
        <w:rPr>
          <w:rFonts w:asciiTheme="majorBidi" w:hAnsiTheme="majorBidi" w:cstheme="majorBidi"/>
        </w:rPr>
        <w:t xml:space="preserve"> </w:t>
      </w:r>
      <w:r w:rsidR="00B61490" w:rsidRPr="00343FEA">
        <w:rPr>
          <w:rFonts w:asciiTheme="majorBidi" w:hAnsiTheme="majorBidi" w:cstheme="majorBidi"/>
        </w:rPr>
        <w:t>Eiropas Savienības Tiesas 2005.gada 10.novembra spriedums lietā „Komisija/Portugāle”, C</w:t>
      </w:r>
      <w:r w:rsidR="00076AD9" w:rsidRPr="00343FEA">
        <w:rPr>
          <w:rFonts w:asciiTheme="majorBidi" w:hAnsiTheme="majorBidi" w:cstheme="majorBidi"/>
        </w:rPr>
        <w:noBreakHyphen/>
      </w:r>
      <w:r w:rsidR="00B61490" w:rsidRPr="00343FEA">
        <w:rPr>
          <w:rFonts w:asciiTheme="majorBidi" w:hAnsiTheme="majorBidi" w:cstheme="majorBidi"/>
        </w:rPr>
        <w:t xml:space="preserve">432/03, </w:t>
      </w:r>
      <w:hyperlink r:id="rId13" w:history="1">
        <w:r w:rsidR="00B61490" w:rsidRPr="00343FEA">
          <w:rPr>
            <w:rStyle w:val="Hyperlink"/>
            <w:rFonts w:asciiTheme="majorBidi" w:hAnsiTheme="majorBidi" w:cstheme="majorBidi"/>
          </w:rPr>
          <w:t>ECLI:EU:C:2005:669</w:t>
        </w:r>
      </w:hyperlink>
      <w:r w:rsidR="00B914D5" w:rsidRPr="00343FEA">
        <w:rPr>
          <w:rStyle w:val="Hyperlink"/>
          <w:rFonts w:asciiTheme="majorBidi" w:hAnsiTheme="majorBidi" w:cstheme="majorBidi"/>
        </w:rPr>
        <w:t>,</w:t>
      </w:r>
      <w:r w:rsidR="00B61490" w:rsidRPr="00343FEA">
        <w:rPr>
          <w:rFonts w:asciiTheme="majorBidi" w:hAnsiTheme="majorBidi" w:cstheme="majorBidi"/>
        </w:rPr>
        <w:t xml:space="preserve"> attiecas uz no citām dalībvalstīm importētu polietilēna cauruļu atbilstības sertifikātu neatzīšanu; </w:t>
      </w:r>
      <w:r w:rsidR="00673007" w:rsidRPr="00343FEA">
        <w:rPr>
          <w:rFonts w:asciiTheme="majorBidi" w:hAnsiTheme="majorBidi" w:cstheme="majorBidi"/>
        </w:rPr>
        <w:t xml:space="preserve">2009.gada 16.jūlija spriedums lietā </w:t>
      </w:r>
      <w:r w:rsidR="00582E70" w:rsidRPr="00343FEA">
        <w:rPr>
          <w:rFonts w:asciiTheme="majorBidi" w:hAnsiTheme="majorBidi" w:cstheme="majorBidi"/>
        </w:rPr>
        <w:t>„Komisija/Polija”, C</w:t>
      </w:r>
      <w:r w:rsidR="00076AD9" w:rsidRPr="00343FEA">
        <w:rPr>
          <w:rFonts w:asciiTheme="majorBidi" w:hAnsiTheme="majorBidi" w:cstheme="majorBidi"/>
        </w:rPr>
        <w:noBreakHyphen/>
      </w:r>
      <w:r w:rsidR="00582E70" w:rsidRPr="00343FEA">
        <w:rPr>
          <w:rFonts w:asciiTheme="majorBidi" w:hAnsiTheme="majorBidi" w:cstheme="majorBidi"/>
        </w:rPr>
        <w:t xml:space="preserve">165/08, </w:t>
      </w:r>
      <w:hyperlink r:id="rId14" w:history="1">
        <w:r w:rsidR="00582E70" w:rsidRPr="00343FEA">
          <w:rPr>
            <w:rStyle w:val="Hyperlink"/>
            <w:rFonts w:asciiTheme="majorBidi" w:hAnsiTheme="majorBidi" w:cstheme="majorBidi"/>
          </w:rPr>
          <w:t>ECLI:EU:C:2009:473</w:t>
        </w:r>
      </w:hyperlink>
      <w:r w:rsidR="00F24488" w:rsidRPr="00343FEA">
        <w:rPr>
          <w:rStyle w:val="Hyperlink"/>
          <w:rFonts w:asciiTheme="majorBidi" w:hAnsiTheme="majorBidi" w:cstheme="majorBidi"/>
        </w:rPr>
        <w:t>,</w:t>
      </w:r>
      <w:r w:rsidR="00582E70" w:rsidRPr="00343FEA">
        <w:rPr>
          <w:rFonts w:asciiTheme="majorBidi" w:hAnsiTheme="majorBidi" w:cstheme="majorBidi"/>
        </w:rPr>
        <w:t xml:space="preserve"> attiecas uz aizliegumu iekļaut valsts šķirņu katalogā ģenētiski modificētus organismus, </w:t>
      </w:r>
      <w:r w:rsidR="00B61490" w:rsidRPr="00343FEA">
        <w:rPr>
          <w:rFonts w:asciiTheme="majorBidi" w:hAnsiTheme="majorBidi" w:cstheme="majorBidi"/>
        </w:rPr>
        <w:t>2011.gada 27.oktobra spriedums lietā „Komisija/Polija”, C</w:t>
      </w:r>
      <w:r w:rsidR="00076AD9" w:rsidRPr="00343FEA">
        <w:rPr>
          <w:rFonts w:asciiTheme="majorBidi" w:hAnsiTheme="majorBidi" w:cstheme="majorBidi"/>
        </w:rPr>
        <w:noBreakHyphen/>
      </w:r>
      <w:r w:rsidR="00B61490" w:rsidRPr="00343FEA">
        <w:rPr>
          <w:rFonts w:asciiTheme="majorBidi" w:hAnsiTheme="majorBidi" w:cstheme="majorBidi"/>
        </w:rPr>
        <w:t xml:space="preserve">311/10, </w:t>
      </w:r>
      <w:hyperlink r:id="rId15" w:history="1">
        <w:r w:rsidR="004B446A" w:rsidRPr="00343FEA">
          <w:rPr>
            <w:rStyle w:val="Hyperlink"/>
            <w:rFonts w:asciiTheme="majorBidi" w:hAnsiTheme="majorBidi" w:cstheme="majorBidi"/>
          </w:rPr>
          <w:t>ECLI:EU:C:2011:702</w:t>
        </w:r>
      </w:hyperlink>
      <w:r w:rsidR="00F24488" w:rsidRPr="00343FEA">
        <w:rPr>
          <w:rFonts w:asciiTheme="majorBidi" w:hAnsiTheme="majorBidi" w:cstheme="majorBidi"/>
        </w:rPr>
        <w:t>,</w:t>
      </w:r>
      <w:r w:rsidR="00F6614F" w:rsidRPr="00343FEA">
        <w:rPr>
          <w:rFonts w:asciiTheme="majorBidi" w:hAnsiTheme="majorBidi" w:cstheme="majorBidi"/>
        </w:rPr>
        <w:t xml:space="preserve"> kopumā pārbauda Polijas veiktos pasākumus Direktīvas 2007/46</w:t>
      </w:r>
      <w:r w:rsidR="005B0589" w:rsidRPr="00343FEA">
        <w:rPr>
          <w:rFonts w:asciiTheme="majorBidi" w:hAnsiTheme="majorBidi" w:cstheme="majorBidi"/>
        </w:rPr>
        <w:t>/EK</w:t>
      </w:r>
      <w:r w:rsidR="00F6614F" w:rsidRPr="00343FEA">
        <w:rPr>
          <w:rFonts w:asciiTheme="majorBidi" w:hAnsiTheme="majorBidi" w:cstheme="majorBidi"/>
        </w:rPr>
        <w:t xml:space="preserve"> transponēšanā un attiecīgi norādītais par papildu sertifikāta prasīšanu attiecas uz transportlīdzekļiem, kuriem izsniegts EK atbilstības sertifikāts (</w:t>
      </w:r>
      <w:r w:rsidR="00F6614F" w:rsidRPr="00343FEA">
        <w:rPr>
          <w:rFonts w:asciiTheme="majorBidi" w:hAnsiTheme="majorBidi" w:cstheme="majorBidi"/>
          <w:i/>
          <w:iCs/>
        </w:rPr>
        <w:t>sprieduma 68.punkt</w:t>
      </w:r>
      <w:r w:rsidR="005B0589" w:rsidRPr="00343FEA">
        <w:rPr>
          <w:rFonts w:asciiTheme="majorBidi" w:hAnsiTheme="majorBidi" w:cstheme="majorBidi"/>
          <w:i/>
          <w:iCs/>
        </w:rPr>
        <w:t>s</w:t>
      </w:r>
      <w:r w:rsidR="00F6614F" w:rsidRPr="00343FEA">
        <w:rPr>
          <w:rFonts w:asciiTheme="majorBidi" w:hAnsiTheme="majorBidi" w:cstheme="majorBidi"/>
        </w:rPr>
        <w:t>)</w:t>
      </w:r>
      <w:r w:rsidR="00622E2E" w:rsidRPr="00343FEA">
        <w:rPr>
          <w:rFonts w:asciiTheme="majorBidi" w:hAnsiTheme="majorBidi" w:cstheme="majorBidi"/>
        </w:rPr>
        <w:t>,</w:t>
      </w:r>
      <w:r w:rsidR="005B0589" w:rsidRPr="00343FEA">
        <w:rPr>
          <w:rFonts w:asciiTheme="majorBidi" w:hAnsiTheme="majorBidi" w:cstheme="majorBidi"/>
        </w:rPr>
        <w:t xml:space="preserve"> </w:t>
      </w:r>
      <w:r w:rsidR="009F1410" w:rsidRPr="00343FEA">
        <w:rPr>
          <w:rFonts w:asciiTheme="majorBidi" w:hAnsiTheme="majorBidi" w:cstheme="majorBidi"/>
        </w:rPr>
        <w:t>2014.gada 20.marta spriedums lietā „Komisija/Polija”, C</w:t>
      </w:r>
      <w:r w:rsidR="00076AD9" w:rsidRPr="00343FEA">
        <w:rPr>
          <w:rFonts w:asciiTheme="majorBidi" w:hAnsiTheme="majorBidi" w:cstheme="majorBidi"/>
        </w:rPr>
        <w:noBreakHyphen/>
      </w:r>
      <w:r w:rsidR="009F1410" w:rsidRPr="00343FEA">
        <w:rPr>
          <w:rFonts w:asciiTheme="majorBidi" w:hAnsiTheme="majorBidi" w:cstheme="majorBidi"/>
        </w:rPr>
        <w:t xml:space="preserve">639/11, </w:t>
      </w:r>
      <w:hyperlink r:id="rId16" w:history="1">
        <w:r w:rsidR="009F1410" w:rsidRPr="00343FEA">
          <w:rPr>
            <w:rStyle w:val="Hyperlink"/>
            <w:rFonts w:asciiTheme="majorBidi" w:hAnsiTheme="majorBidi" w:cstheme="majorBidi"/>
          </w:rPr>
          <w:t>ECLI:EU:C:2014:173</w:t>
        </w:r>
      </w:hyperlink>
      <w:r w:rsidR="00F24488" w:rsidRPr="00343FEA">
        <w:rPr>
          <w:rStyle w:val="Hyperlink"/>
          <w:rFonts w:asciiTheme="majorBidi" w:hAnsiTheme="majorBidi" w:cstheme="majorBidi"/>
        </w:rPr>
        <w:t>,</w:t>
      </w:r>
      <w:r w:rsidR="009F1410" w:rsidRPr="00343FEA">
        <w:rPr>
          <w:rFonts w:asciiTheme="majorBidi" w:hAnsiTheme="majorBidi" w:cstheme="majorBidi"/>
        </w:rPr>
        <w:t xml:space="preserve"> attiecas uz nacionālajā regulējumā izvirzītu prasību par stūres iekārtas pārcelšanu reģistrācijas atļaušanai</w:t>
      </w:r>
      <w:r w:rsidR="00DD173C" w:rsidRPr="00343FEA">
        <w:rPr>
          <w:rFonts w:asciiTheme="majorBidi" w:hAnsiTheme="majorBidi" w:cstheme="majorBidi"/>
        </w:rPr>
        <w:t>. Tajā norādīts, ka</w:t>
      </w:r>
      <w:r w:rsidR="009F1410" w:rsidRPr="00343FEA">
        <w:rPr>
          <w:rFonts w:asciiTheme="majorBidi" w:hAnsiTheme="majorBidi" w:cstheme="majorBidi"/>
        </w:rPr>
        <w:t xml:space="preserve"> attiecībā uz jauniem transportlīdzekļiem </w:t>
      </w:r>
      <w:r w:rsidR="00DD173C" w:rsidRPr="00343FEA">
        <w:rPr>
          <w:rFonts w:asciiTheme="majorBidi" w:hAnsiTheme="majorBidi" w:cstheme="majorBidi"/>
        </w:rPr>
        <w:t xml:space="preserve">prasības </w:t>
      </w:r>
      <w:r w:rsidR="009F1410" w:rsidRPr="00343FEA">
        <w:rPr>
          <w:rFonts w:asciiTheme="majorBidi" w:hAnsiTheme="majorBidi" w:cstheme="majorBidi"/>
        </w:rPr>
        <w:t>ietilpst Direktīvas 2007/46</w:t>
      </w:r>
      <w:r w:rsidR="005B0589" w:rsidRPr="00343FEA">
        <w:rPr>
          <w:rFonts w:asciiTheme="majorBidi" w:hAnsiTheme="majorBidi" w:cstheme="majorBidi"/>
        </w:rPr>
        <w:t>/EK</w:t>
      </w:r>
      <w:r w:rsidR="009F1410" w:rsidRPr="00343FEA">
        <w:rPr>
          <w:rFonts w:asciiTheme="majorBidi" w:hAnsiTheme="majorBidi" w:cstheme="majorBidi"/>
        </w:rPr>
        <w:t xml:space="preserve"> regulējuma jomā, savukārt attiecībā uz </w:t>
      </w:r>
      <w:r w:rsidR="00673007" w:rsidRPr="00343FEA">
        <w:rPr>
          <w:rFonts w:asciiTheme="majorBidi" w:hAnsiTheme="majorBidi" w:cstheme="majorBidi"/>
        </w:rPr>
        <w:t>agrāk reģistrētiem transportlīdzekļiem, nepastāvot pilnīgai saskaņošanai Eiropas Savienības tiesību līmenī, attiecināmas normas par preču brīvu apriti Eiropas Savienībā</w:t>
      </w:r>
      <w:r w:rsidR="00EF0B35" w:rsidRPr="00343FEA">
        <w:rPr>
          <w:rFonts w:asciiTheme="majorBidi" w:hAnsiTheme="majorBidi" w:cstheme="majorBidi"/>
        </w:rPr>
        <w:t>.</w:t>
      </w:r>
    </w:p>
    <w:p w14:paraId="45449823" w14:textId="5D7D7F6F" w:rsidR="00F90C18" w:rsidRPr="00343FEA" w:rsidRDefault="00F90C18" w:rsidP="00343FEA">
      <w:pPr>
        <w:spacing w:line="276" w:lineRule="auto"/>
        <w:ind w:firstLine="567"/>
        <w:jc w:val="both"/>
        <w:rPr>
          <w:rFonts w:asciiTheme="majorBidi" w:hAnsiTheme="majorBidi" w:cstheme="majorBidi"/>
          <w:shd w:val="clear" w:color="auto" w:fill="FFFFFF"/>
        </w:rPr>
      </w:pPr>
    </w:p>
    <w:p w14:paraId="7A7CCB42" w14:textId="62AF2F5B" w:rsidR="002A15E2" w:rsidRPr="00343FEA" w:rsidRDefault="002A15E2" w:rsidP="00343FEA">
      <w:pPr>
        <w:spacing w:line="276" w:lineRule="auto"/>
        <w:ind w:firstLine="567"/>
        <w:jc w:val="both"/>
        <w:rPr>
          <w:rFonts w:asciiTheme="majorBidi" w:hAnsiTheme="majorBidi" w:cstheme="majorBidi"/>
          <w:i/>
          <w:iCs/>
          <w:shd w:val="clear" w:color="auto" w:fill="FFFFFF"/>
        </w:rPr>
      </w:pPr>
      <w:r w:rsidRPr="00343FEA">
        <w:rPr>
          <w:rFonts w:asciiTheme="majorBidi" w:hAnsiTheme="majorBidi" w:cstheme="majorBidi"/>
          <w:i/>
          <w:iCs/>
          <w:shd w:val="clear" w:color="auto" w:fill="FFFFFF"/>
        </w:rPr>
        <w:t>Kasācijas pamati</w:t>
      </w:r>
    </w:p>
    <w:p w14:paraId="795C2640" w14:textId="5CFFF5FB" w:rsidR="00C72D56" w:rsidRPr="00343FEA" w:rsidRDefault="00727F61" w:rsidP="00343FEA">
      <w:pPr>
        <w:spacing w:line="276" w:lineRule="auto"/>
        <w:ind w:firstLine="567"/>
        <w:jc w:val="both"/>
        <w:rPr>
          <w:rFonts w:asciiTheme="majorBidi" w:hAnsiTheme="majorBidi" w:cstheme="majorBidi"/>
          <w:shd w:val="clear" w:color="auto" w:fill="FFFFFF"/>
        </w:rPr>
      </w:pPr>
      <w:r w:rsidRPr="00343FEA">
        <w:rPr>
          <w:rFonts w:asciiTheme="majorBidi" w:hAnsiTheme="majorBidi" w:cstheme="majorBidi"/>
          <w:shd w:val="clear" w:color="auto" w:fill="FFFFFF"/>
        </w:rPr>
        <w:t>[</w:t>
      </w:r>
      <w:r w:rsidR="00790C87" w:rsidRPr="00343FEA">
        <w:rPr>
          <w:rFonts w:asciiTheme="majorBidi" w:hAnsiTheme="majorBidi" w:cstheme="majorBidi"/>
          <w:shd w:val="clear" w:color="auto" w:fill="FFFFFF"/>
        </w:rPr>
        <w:t>1</w:t>
      </w:r>
      <w:r w:rsidR="00C67EF9" w:rsidRPr="00343FEA">
        <w:rPr>
          <w:rFonts w:asciiTheme="majorBidi" w:hAnsiTheme="majorBidi" w:cstheme="majorBidi"/>
          <w:shd w:val="clear" w:color="auto" w:fill="FFFFFF"/>
        </w:rPr>
        <w:t>3</w:t>
      </w:r>
      <w:r w:rsidRPr="00343FEA">
        <w:rPr>
          <w:rFonts w:asciiTheme="majorBidi" w:hAnsiTheme="majorBidi" w:cstheme="majorBidi"/>
          <w:shd w:val="clear" w:color="auto" w:fill="FFFFFF"/>
        </w:rPr>
        <w:t>]</w:t>
      </w:r>
      <w:r w:rsidR="00F90C18" w:rsidRPr="00343FEA">
        <w:rPr>
          <w:rFonts w:asciiTheme="majorBidi" w:hAnsiTheme="majorBidi" w:cstheme="majorBidi"/>
          <w:shd w:val="clear" w:color="auto" w:fill="FFFFFF"/>
        </w:rPr>
        <w:t> </w:t>
      </w:r>
      <w:bookmarkStart w:id="3" w:name="_Hlk93649399"/>
      <w:r w:rsidR="00F90C18" w:rsidRPr="00343FEA">
        <w:rPr>
          <w:rFonts w:asciiTheme="majorBidi" w:hAnsiTheme="majorBidi" w:cstheme="majorBidi"/>
          <w:shd w:val="clear" w:color="auto" w:fill="FFFFFF"/>
        </w:rPr>
        <w:t xml:space="preserve"> </w:t>
      </w:r>
      <w:bookmarkEnd w:id="3"/>
      <w:r w:rsidR="00A167CC" w:rsidRPr="00343FEA">
        <w:rPr>
          <w:rFonts w:asciiTheme="majorBidi" w:hAnsiTheme="majorBidi" w:cstheme="majorBidi"/>
          <w:shd w:val="clear" w:color="auto" w:fill="FFFFFF"/>
        </w:rPr>
        <w:t xml:space="preserve">Kasācijas sūdzības pamatā ir iebildumi, ka </w:t>
      </w:r>
      <w:r w:rsidRPr="00343FEA">
        <w:rPr>
          <w:rFonts w:asciiTheme="majorBidi" w:hAnsiTheme="majorBidi" w:cstheme="majorBidi"/>
          <w:shd w:val="clear" w:color="auto" w:fill="FFFFFF"/>
        </w:rPr>
        <w:t>nacionālajos normatīvajos aktos noteiktā</w:t>
      </w:r>
      <w:r w:rsidR="00766CCE" w:rsidRPr="00343FEA">
        <w:rPr>
          <w:rFonts w:asciiTheme="majorBidi" w:hAnsiTheme="majorBidi" w:cstheme="majorBidi"/>
          <w:shd w:val="clear" w:color="auto" w:fill="FFFFFF"/>
        </w:rPr>
        <w:t xml:space="preserve"> </w:t>
      </w:r>
      <w:r w:rsidR="006A69DE" w:rsidRPr="00343FEA">
        <w:rPr>
          <w:rFonts w:asciiTheme="majorBidi" w:hAnsiTheme="majorBidi" w:cstheme="majorBidi"/>
          <w:shd w:val="clear" w:color="auto" w:fill="FFFFFF"/>
        </w:rPr>
        <w:t>prasība</w:t>
      </w:r>
      <w:r w:rsidR="00C222C2" w:rsidRPr="00343FEA">
        <w:rPr>
          <w:rFonts w:asciiTheme="majorBidi" w:hAnsiTheme="majorBidi" w:cstheme="majorBidi"/>
          <w:shd w:val="clear" w:color="auto" w:fill="FFFFFF"/>
        </w:rPr>
        <w:t xml:space="preserve"> transportlīdzekļa reģistrācijai iesniegt atbilstības apliecinājumu</w:t>
      </w:r>
      <w:r w:rsidR="00766CCE" w:rsidRPr="00343FEA">
        <w:rPr>
          <w:rFonts w:asciiTheme="majorBidi" w:hAnsiTheme="majorBidi" w:cstheme="majorBidi"/>
          <w:shd w:val="clear" w:color="auto" w:fill="FFFFFF"/>
        </w:rPr>
        <w:t xml:space="preserve"> arī</w:t>
      </w:r>
      <w:r w:rsidR="00F90C18" w:rsidRPr="00343FEA">
        <w:rPr>
          <w:rFonts w:asciiTheme="majorBidi" w:hAnsiTheme="majorBidi" w:cstheme="majorBidi"/>
          <w:shd w:val="clear" w:color="auto" w:fill="FFFFFF"/>
        </w:rPr>
        <w:t xml:space="preserve"> </w:t>
      </w:r>
      <w:r w:rsidR="00766CCE" w:rsidRPr="00343FEA">
        <w:rPr>
          <w:rFonts w:asciiTheme="majorBidi" w:hAnsiTheme="majorBidi" w:cstheme="majorBidi"/>
          <w:shd w:val="clear" w:color="auto" w:fill="FFFFFF"/>
        </w:rPr>
        <w:t xml:space="preserve">tādiem transportlīdzekļiem, kuri iepriekš </w:t>
      </w:r>
      <w:r w:rsidR="00D10280" w:rsidRPr="00343FEA">
        <w:rPr>
          <w:rFonts w:asciiTheme="majorBidi" w:hAnsiTheme="majorBidi" w:cstheme="majorBidi"/>
          <w:shd w:val="clear" w:color="auto" w:fill="FFFFFF"/>
        </w:rPr>
        <w:t xml:space="preserve">jau </w:t>
      </w:r>
      <w:r w:rsidR="00766CCE" w:rsidRPr="00343FEA">
        <w:rPr>
          <w:rFonts w:asciiTheme="majorBidi" w:hAnsiTheme="majorBidi" w:cstheme="majorBidi"/>
          <w:shd w:val="clear" w:color="auto" w:fill="FFFFFF"/>
        </w:rPr>
        <w:t xml:space="preserve">reģistrēti citā dalībvalstī, </w:t>
      </w:r>
      <w:r w:rsidR="006A69DE" w:rsidRPr="00343FEA">
        <w:rPr>
          <w:rFonts w:asciiTheme="majorBidi" w:hAnsiTheme="majorBidi" w:cstheme="majorBidi"/>
          <w:shd w:val="clear" w:color="auto" w:fill="FFFFFF"/>
        </w:rPr>
        <w:t>ir pretrunā Eiropas Savienības ties</w:t>
      </w:r>
      <w:r w:rsidRPr="00343FEA">
        <w:rPr>
          <w:rFonts w:asciiTheme="majorBidi" w:hAnsiTheme="majorBidi" w:cstheme="majorBidi"/>
          <w:shd w:val="clear" w:color="auto" w:fill="FFFFFF"/>
        </w:rPr>
        <w:t>ību</w:t>
      </w:r>
      <w:r w:rsidR="006A69DE" w:rsidRPr="00343FEA">
        <w:rPr>
          <w:rFonts w:asciiTheme="majorBidi" w:hAnsiTheme="majorBidi" w:cstheme="majorBidi"/>
          <w:shd w:val="clear" w:color="auto" w:fill="FFFFFF"/>
        </w:rPr>
        <w:t xml:space="preserve"> akt</w:t>
      </w:r>
      <w:r w:rsidR="004D63AF" w:rsidRPr="00343FEA">
        <w:rPr>
          <w:rFonts w:asciiTheme="majorBidi" w:hAnsiTheme="majorBidi" w:cstheme="majorBidi"/>
          <w:shd w:val="clear" w:color="auto" w:fill="FFFFFF"/>
        </w:rPr>
        <w:t>os</w:t>
      </w:r>
      <w:r w:rsidR="001C7E1C" w:rsidRPr="00343FEA">
        <w:rPr>
          <w:rFonts w:asciiTheme="majorBidi" w:hAnsiTheme="majorBidi" w:cstheme="majorBidi"/>
          <w:shd w:val="clear" w:color="auto" w:fill="FFFFFF"/>
        </w:rPr>
        <w:t xml:space="preserve"> </w:t>
      </w:r>
      <w:r w:rsidR="00016FF1" w:rsidRPr="00343FEA">
        <w:rPr>
          <w:rFonts w:asciiTheme="majorBidi" w:hAnsiTheme="majorBidi" w:cstheme="majorBidi"/>
          <w:shd w:val="clear" w:color="auto" w:fill="FFFFFF"/>
        </w:rPr>
        <w:t xml:space="preserve">– </w:t>
      </w:r>
      <w:r w:rsidR="00896034" w:rsidRPr="00343FEA">
        <w:rPr>
          <w:rFonts w:asciiTheme="majorBidi" w:hAnsiTheme="majorBidi" w:cstheme="majorBidi"/>
          <w:shd w:val="clear" w:color="auto" w:fill="FFFFFF"/>
        </w:rPr>
        <w:t xml:space="preserve">Direktīvā </w:t>
      </w:r>
      <w:r w:rsidR="009C1D73" w:rsidRPr="00343FEA">
        <w:rPr>
          <w:rFonts w:asciiTheme="majorBidi" w:eastAsiaTheme="minorHAnsi" w:hAnsiTheme="majorBidi" w:cstheme="majorBidi"/>
          <w:lang w:eastAsia="en-US"/>
        </w:rPr>
        <w:t>2007/46/EK un</w:t>
      </w:r>
      <w:r w:rsidR="009C1D73" w:rsidRPr="00343FEA">
        <w:t xml:space="preserve"> </w:t>
      </w:r>
      <w:r w:rsidR="00361303" w:rsidRPr="00343FEA">
        <w:t xml:space="preserve">Direktīvā </w:t>
      </w:r>
      <w:r w:rsidR="009C1D73" w:rsidRPr="00343FEA">
        <w:rPr>
          <w:rFonts w:asciiTheme="majorBidi" w:eastAsiaTheme="minorHAnsi" w:hAnsiTheme="majorBidi" w:cstheme="majorBidi"/>
          <w:lang w:eastAsia="en-US"/>
        </w:rPr>
        <w:t>1999/37/EK</w:t>
      </w:r>
      <w:r w:rsidR="00016FF1" w:rsidRPr="00343FEA">
        <w:rPr>
          <w:rFonts w:asciiTheme="majorBidi" w:hAnsiTheme="majorBidi" w:cstheme="majorBidi"/>
          <w:shd w:val="clear" w:color="auto" w:fill="FFFFFF"/>
        </w:rPr>
        <w:t xml:space="preserve"> –</w:t>
      </w:r>
      <w:r w:rsidR="001C7E1C" w:rsidRPr="00343FEA">
        <w:rPr>
          <w:rFonts w:asciiTheme="majorBidi" w:hAnsiTheme="majorBidi" w:cstheme="majorBidi"/>
          <w:shd w:val="clear" w:color="auto" w:fill="FFFFFF"/>
        </w:rPr>
        <w:t xml:space="preserve"> </w:t>
      </w:r>
      <w:r w:rsidR="004D63AF" w:rsidRPr="00343FEA">
        <w:rPr>
          <w:rFonts w:asciiTheme="majorBidi" w:hAnsiTheme="majorBidi" w:cstheme="majorBidi"/>
          <w:shd w:val="clear" w:color="auto" w:fill="FFFFFF"/>
        </w:rPr>
        <w:t>noteiktaj</w:t>
      </w:r>
      <w:r w:rsidR="00CF02CF" w:rsidRPr="00343FEA">
        <w:rPr>
          <w:rFonts w:asciiTheme="majorBidi" w:hAnsiTheme="majorBidi" w:cstheme="majorBidi"/>
          <w:shd w:val="clear" w:color="auto" w:fill="FFFFFF"/>
        </w:rPr>
        <w:t>a</w:t>
      </w:r>
      <w:r w:rsidR="004D63AF" w:rsidRPr="00343FEA">
        <w:rPr>
          <w:rFonts w:asciiTheme="majorBidi" w:hAnsiTheme="majorBidi" w:cstheme="majorBidi"/>
          <w:shd w:val="clear" w:color="auto" w:fill="FFFFFF"/>
        </w:rPr>
        <w:t>m</w:t>
      </w:r>
      <w:r w:rsidR="00B04CAA" w:rsidRPr="00343FEA">
        <w:rPr>
          <w:rFonts w:asciiTheme="majorBidi" w:hAnsiTheme="majorBidi" w:cstheme="majorBidi"/>
          <w:shd w:val="clear" w:color="auto" w:fill="FFFFFF"/>
        </w:rPr>
        <w:t xml:space="preserve">, kā arī </w:t>
      </w:r>
      <w:r w:rsidR="00577DA3" w:rsidRPr="00343FEA">
        <w:rPr>
          <w:rFonts w:asciiTheme="majorBidi" w:hAnsiTheme="majorBidi" w:cstheme="majorBidi"/>
          <w:shd w:val="clear" w:color="auto" w:fill="FFFFFF"/>
        </w:rPr>
        <w:t xml:space="preserve">neatbilst </w:t>
      </w:r>
      <w:r w:rsidR="001C7E1C" w:rsidRPr="00343FEA">
        <w:rPr>
          <w:rFonts w:asciiTheme="majorBidi" w:hAnsiTheme="majorBidi" w:cstheme="majorBidi"/>
          <w:shd w:val="clear" w:color="auto" w:fill="FFFFFF"/>
        </w:rPr>
        <w:t xml:space="preserve">Eiropas Savienības Tiesas </w:t>
      </w:r>
      <w:r w:rsidR="00766CCE" w:rsidRPr="00343FEA">
        <w:rPr>
          <w:rFonts w:asciiTheme="majorBidi" w:hAnsiTheme="majorBidi" w:cstheme="majorBidi"/>
          <w:shd w:val="clear" w:color="auto" w:fill="FFFFFF"/>
        </w:rPr>
        <w:t>spriedumos izteiktajām atziņām.</w:t>
      </w:r>
    </w:p>
    <w:p w14:paraId="661F9FD0" w14:textId="194BA84A" w:rsidR="00D45C6D" w:rsidRPr="00343FEA" w:rsidRDefault="002A15E2" w:rsidP="00343FEA">
      <w:pPr>
        <w:spacing w:line="276" w:lineRule="auto"/>
        <w:ind w:firstLine="567"/>
        <w:jc w:val="both"/>
        <w:rPr>
          <w:rFonts w:asciiTheme="majorBidi" w:hAnsiTheme="majorBidi" w:cstheme="majorBidi"/>
        </w:rPr>
      </w:pPr>
      <w:r w:rsidRPr="00343FEA">
        <w:rPr>
          <w:rFonts w:asciiTheme="majorBidi" w:hAnsiTheme="majorBidi" w:cstheme="majorBidi"/>
        </w:rPr>
        <w:t>Būtībā, ņemot vērā kasatora izvirzītos argumentu</w:t>
      </w:r>
      <w:r w:rsidR="00896034" w:rsidRPr="00343FEA">
        <w:rPr>
          <w:rFonts w:asciiTheme="majorBidi" w:hAnsiTheme="majorBidi" w:cstheme="majorBidi"/>
        </w:rPr>
        <w:t>s</w:t>
      </w:r>
      <w:r w:rsidRPr="00343FEA">
        <w:rPr>
          <w:rFonts w:asciiTheme="majorBidi" w:hAnsiTheme="majorBidi" w:cstheme="majorBidi"/>
        </w:rPr>
        <w:t xml:space="preserve">, kasācijas kārtībā pārbaudāms, vai </w:t>
      </w:r>
      <w:r w:rsidRPr="00343FEA">
        <w:rPr>
          <w:rFonts w:ascii="TimesNewRomanPSMT" w:hAnsi="TimesNewRomanPSMT" w:cs="TimesNewRomanPSMT"/>
        </w:rPr>
        <w:t xml:space="preserve">Transportlīdzekļu </w:t>
      </w:r>
      <w:r w:rsidRPr="00343FEA">
        <w:rPr>
          <w:rFonts w:asciiTheme="majorBidi" w:hAnsiTheme="majorBidi" w:cstheme="majorBidi"/>
        </w:rPr>
        <w:t>reģistrācijas noteikumu 39.1.8.apakšpunktā ietvertā prasība iesniegt atbilstības apliecinājumu konkrētā gadījuma faktiskajos apstākļos ir pretrunā Direktīvas 1999/37/EK 4.</w:t>
      </w:r>
      <w:r w:rsidR="00896034" w:rsidRPr="00343FEA">
        <w:rPr>
          <w:rFonts w:asciiTheme="majorBidi" w:hAnsiTheme="majorBidi" w:cstheme="majorBidi"/>
        </w:rPr>
        <w:t>pantam</w:t>
      </w:r>
      <w:r w:rsidRPr="00343FEA">
        <w:rPr>
          <w:rFonts w:asciiTheme="majorBidi" w:hAnsiTheme="majorBidi" w:cstheme="majorBidi"/>
        </w:rPr>
        <w:t>.</w:t>
      </w:r>
    </w:p>
    <w:p w14:paraId="2DF79A4C" w14:textId="4815EE5A" w:rsidR="002A15E2" w:rsidRPr="00343FEA" w:rsidRDefault="002A15E2" w:rsidP="00343FEA">
      <w:pPr>
        <w:spacing w:line="276" w:lineRule="auto"/>
        <w:ind w:firstLine="567"/>
        <w:jc w:val="both"/>
        <w:rPr>
          <w:rFonts w:asciiTheme="majorBidi" w:hAnsiTheme="majorBidi" w:cstheme="majorBidi"/>
          <w:shd w:val="clear" w:color="auto" w:fill="FFFFFF"/>
        </w:rPr>
      </w:pPr>
    </w:p>
    <w:p w14:paraId="0C65E09E" w14:textId="34F27A3B" w:rsidR="002A15E2" w:rsidRPr="00343FEA" w:rsidRDefault="00B77862" w:rsidP="00343FEA">
      <w:pPr>
        <w:spacing w:line="276" w:lineRule="auto"/>
        <w:ind w:firstLine="567"/>
        <w:jc w:val="both"/>
        <w:rPr>
          <w:rFonts w:asciiTheme="majorBidi" w:hAnsiTheme="majorBidi" w:cstheme="majorBidi"/>
          <w:i/>
          <w:iCs/>
          <w:shd w:val="clear" w:color="auto" w:fill="FFFFFF"/>
        </w:rPr>
      </w:pPr>
      <w:r w:rsidRPr="00343FEA">
        <w:rPr>
          <w:rFonts w:asciiTheme="majorBidi" w:hAnsiTheme="majorBidi" w:cstheme="majorBidi"/>
          <w:i/>
          <w:iCs/>
          <w:shd w:val="clear" w:color="auto" w:fill="FFFFFF"/>
        </w:rPr>
        <w:t>Nacionālo normu piemērošana d</w:t>
      </w:r>
      <w:r w:rsidR="00CC7A1D" w:rsidRPr="00343FEA">
        <w:rPr>
          <w:rFonts w:asciiTheme="majorBidi" w:hAnsiTheme="majorBidi" w:cstheme="majorBidi"/>
          <w:i/>
          <w:iCs/>
          <w:shd w:val="clear" w:color="auto" w:fill="FFFFFF"/>
        </w:rPr>
        <w:t>irektīv</w:t>
      </w:r>
      <w:r w:rsidRPr="00343FEA">
        <w:rPr>
          <w:rFonts w:asciiTheme="majorBidi" w:hAnsiTheme="majorBidi" w:cstheme="majorBidi"/>
          <w:i/>
          <w:iCs/>
          <w:shd w:val="clear" w:color="auto" w:fill="FFFFFF"/>
        </w:rPr>
        <w:t>as gaismā</w:t>
      </w:r>
    </w:p>
    <w:p w14:paraId="142542E5" w14:textId="03BF8961" w:rsidR="00BB7389" w:rsidRPr="00343FEA" w:rsidRDefault="00D45C6D" w:rsidP="00343FEA">
      <w:pPr>
        <w:spacing w:line="276" w:lineRule="auto"/>
        <w:ind w:firstLine="567"/>
        <w:jc w:val="both"/>
      </w:pPr>
      <w:r w:rsidRPr="00343FEA">
        <w:rPr>
          <w:rFonts w:asciiTheme="majorBidi" w:hAnsiTheme="majorBidi" w:cstheme="majorBidi"/>
          <w:shd w:val="clear" w:color="auto" w:fill="FFFFFF"/>
        </w:rPr>
        <w:t>[</w:t>
      </w:r>
      <w:r w:rsidR="00790C87" w:rsidRPr="00343FEA">
        <w:rPr>
          <w:rFonts w:asciiTheme="majorBidi" w:hAnsiTheme="majorBidi" w:cstheme="majorBidi"/>
          <w:shd w:val="clear" w:color="auto" w:fill="FFFFFF"/>
        </w:rPr>
        <w:t>1</w:t>
      </w:r>
      <w:r w:rsidR="00C67EF9" w:rsidRPr="00343FEA">
        <w:rPr>
          <w:rFonts w:asciiTheme="majorBidi" w:hAnsiTheme="majorBidi" w:cstheme="majorBidi"/>
          <w:shd w:val="clear" w:color="auto" w:fill="FFFFFF"/>
        </w:rPr>
        <w:t>4</w:t>
      </w:r>
      <w:r w:rsidRPr="00343FEA">
        <w:rPr>
          <w:rFonts w:asciiTheme="majorBidi" w:hAnsiTheme="majorBidi" w:cstheme="majorBidi"/>
          <w:shd w:val="clear" w:color="auto" w:fill="FFFFFF"/>
        </w:rPr>
        <w:t>] </w:t>
      </w:r>
      <w:r w:rsidR="001C7E1C" w:rsidRPr="00343FEA">
        <w:rPr>
          <w:rFonts w:asciiTheme="majorBidi" w:hAnsiTheme="majorBidi" w:cstheme="majorBidi"/>
          <w:shd w:val="clear" w:color="auto" w:fill="FFFFFF"/>
        </w:rPr>
        <w:t xml:space="preserve">Vispirms Senāts </w:t>
      </w:r>
      <w:r w:rsidR="00B83B5C" w:rsidRPr="00343FEA">
        <w:rPr>
          <w:rFonts w:asciiTheme="majorBidi" w:hAnsiTheme="majorBidi" w:cstheme="majorBidi"/>
          <w:shd w:val="clear" w:color="auto" w:fill="FFFFFF"/>
        </w:rPr>
        <w:t>atgādina</w:t>
      </w:r>
      <w:r w:rsidR="001C7E1C" w:rsidRPr="00343FEA">
        <w:rPr>
          <w:rFonts w:asciiTheme="majorBidi" w:hAnsiTheme="majorBidi" w:cstheme="majorBidi"/>
          <w:shd w:val="clear" w:color="auto" w:fill="FFFFFF"/>
        </w:rPr>
        <w:t xml:space="preserve">, ka </w:t>
      </w:r>
      <w:r w:rsidR="00C222C2" w:rsidRPr="00343FEA">
        <w:rPr>
          <w:rFonts w:asciiTheme="majorBidi" w:hAnsiTheme="majorBidi" w:cstheme="majorBidi"/>
          <w:shd w:val="clear" w:color="auto" w:fill="FFFFFF"/>
        </w:rPr>
        <w:t>vair</w:t>
      </w:r>
      <w:r w:rsidR="00CF02CF" w:rsidRPr="00343FEA">
        <w:rPr>
          <w:rFonts w:asciiTheme="majorBidi" w:hAnsiTheme="majorBidi" w:cstheme="majorBidi"/>
          <w:shd w:val="clear" w:color="auto" w:fill="FFFFFF"/>
        </w:rPr>
        <w:t>ākumā</w:t>
      </w:r>
      <w:r w:rsidR="00C222C2" w:rsidRPr="00343FEA">
        <w:rPr>
          <w:rFonts w:asciiTheme="majorBidi" w:hAnsiTheme="majorBidi" w:cstheme="majorBidi"/>
          <w:shd w:val="clear" w:color="auto" w:fill="FFFFFF"/>
        </w:rPr>
        <w:t xml:space="preserve"> gadījumu </w:t>
      </w:r>
      <w:r w:rsidR="00787288" w:rsidRPr="00343FEA">
        <w:rPr>
          <w:rFonts w:asciiTheme="majorBidi" w:hAnsiTheme="majorBidi" w:cstheme="majorBidi"/>
          <w:shd w:val="clear" w:color="auto" w:fill="FFFFFF"/>
        </w:rPr>
        <w:t xml:space="preserve">direktīvas </w:t>
      </w:r>
      <w:r w:rsidR="00C222C2" w:rsidRPr="00343FEA">
        <w:rPr>
          <w:rFonts w:asciiTheme="majorBidi" w:hAnsiTheme="majorBidi" w:cstheme="majorBidi"/>
          <w:shd w:val="clear" w:color="auto" w:fill="FFFFFF"/>
        </w:rPr>
        <w:t>nav tieši piemērojami</w:t>
      </w:r>
      <w:r w:rsidR="00B74478" w:rsidRPr="00343FEA">
        <w:rPr>
          <w:rFonts w:asciiTheme="majorBidi" w:hAnsiTheme="majorBidi" w:cstheme="majorBidi"/>
        </w:rPr>
        <w:t xml:space="preserve"> </w:t>
      </w:r>
      <w:r w:rsidR="00E16D37" w:rsidRPr="00343FEA">
        <w:rPr>
          <w:rFonts w:asciiTheme="majorBidi" w:hAnsiTheme="majorBidi" w:cstheme="majorBidi"/>
        </w:rPr>
        <w:t xml:space="preserve">tiesību akti. </w:t>
      </w:r>
      <w:r w:rsidR="00B74478" w:rsidRPr="00343FEA">
        <w:rPr>
          <w:rFonts w:asciiTheme="majorBidi" w:hAnsiTheme="majorBidi" w:cstheme="majorBidi"/>
          <w:shd w:val="clear" w:color="auto" w:fill="FFFFFF"/>
        </w:rPr>
        <w:t>Tās</w:t>
      </w:r>
      <w:r w:rsidR="00E16D37" w:rsidRPr="00343FEA">
        <w:rPr>
          <w:rFonts w:asciiTheme="majorBidi" w:hAnsiTheme="majorBidi" w:cstheme="majorBidi"/>
          <w:shd w:val="clear" w:color="auto" w:fill="FFFFFF"/>
        </w:rPr>
        <w:t xml:space="preserve"> uzliek saistības attiecībā uz sasniedzamo rezultātu, bet ļauj </w:t>
      </w:r>
      <w:r w:rsidR="00CF02CF" w:rsidRPr="00343FEA">
        <w:rPr>
          <w:rFonts w:asciiTheme="majorBidi" w:hAnsiTheme="majorBidi" w:cstheme="majorBidi"/>
          <w:shd w:val="clear" w:color="auto" w:fill="FFFFFF"/>
        </w:rPr>
        <w:t>nacionālo</w:t>
      </w:r>
      <w:r w:rsidR="00E16D37" w:rsidRPr="00343FEA">
        <w:rPr>
          <w:rFonts w:asciiTheme="majorBidi" w:hAnsiTheme="majorBidi" w:cstheme="majorBidi"/>
          <w:shd w:val="clear" w:color="auto" w:fill="FFFFFF"/>
        </w:rPr>
        <w:t xml:space="preserve"> valstu iestādēm noteikt to īstenošanas formas un metodes </w:t>
      </w:r>
      <w:r w:rsidR="00E16D37" w:rsidRPr="00343FEA">
        <w:rPr>
          <w:rFonts w:asciiTheme="majorBidi" w:hAnsiTheme="majorBidi" w:cstheme="majorBidi"/>
        </w:rPr>
        <w:t>(</w:t>
      </w:r>
      <w:r w:rsidR="00E16D37" w:rsidRPr="00343FEA">
        <w:rPr>
          <w:rFonts w:asciiTheme="majorBidi" w:hAnsiTheme="majorBidi" w:cstheme="majorBidi"/>
          <w:i/>
          <w:iCs/>
        </w:rPr>
        <w:t>Līguma par Eiropas Savienības darbību 288.pant</w:t>
      </w:r>
      <w:r w:rsidR="00B74478" w:rsidRPr="00343FEA">
        <w:rPr>
          <w:rFonts w:asciiTheme="majorBidi" w:hAnsiTheme="majorBidi" w:cstheme="majorBidi"/>
          <w:i/>
          <w:iCs/>
        </w:rPr>
        <w:t>s</w:t>
      </w:r>
      <w:r w:rsidR="00E16D37" w:rsidRPr="00343FEA">
        <w:rPr>
          <w:rFonts w:asciiTheme="majorBidi" w:hAnsiTheme="majorBidi" w:cstheme="majorBidi"/>
        </w:rPr>
        <w:t>). Nacionālajos normatīvajos aktos direktīvu prasības ietver, to saturu transponējot attiecīgajā nacionālajā normatīvajā aktā</w:t>
      </w:r>
      <w:r w:rsidR="00577DA3" w:rsidRPr="00343FEA">
        <w:rPr>
          <w:rFonts w:asciiTheme="majorBidi" w:hAnsiTheme="majorBidi" w:cstheme="majorBidi"/>
        </w:rPr>
        <w:t>.</w:t>
      </w:r>
      <w:r w:rsidR="00B74478" w:rsidRPr="00343FEA">
        <w:rPr>
          <w:rFonts w:asciiTheme="majorBidi" w:hAnsiTheme="majorBidi" w:cstheme="majorBidi"/>
        </w:rPr>
        <w:t xml:space="preserve"> Tomēr</w:t>
      </w:r>
      <w:r w:rsidR="00016FF1" w:rsidRPr="00343FEA">
        <w:rPr>
          <w:rFonts w:asciiTheme="majorBidi" w:hAnsiTheme="majorBidi" w:cstheme="majorBidi"/>
        </w:rPr>
        <w:t>, lai arī d</w:t>
      </w:r>
      <w:r w:rsidR="00016FF1" w:rsidRPr="00343FEA">
        <w:t xml:space="preserve">alībvalstīm, transponējot direktīvas, ir </w:t>
      </w:r>
      <w:r w:rsidR="00016FF1" w:rsidRPr="00343FEA">
        <w:lastRenderedPageBreak/>
        <w:t xml:space="preserve">zināma rīcības brīvība, </w:t>
      </w:r>
      <w:r w:rsidR="00BB7389" w:rsidRPr="00343FEA">
        <w:t>direktīvas nosacījumi attiecīgā direktīvas mērķa sasniegšanai nacionālajos normatīvajos aktos jāiestrādā noteiktajā laikā un pareizi.</w:t>
      </w:r>
    </w:p>
    <w:p w14:paraId="0FDEF589" w14:textId="78227B9F" w:rsidR="008C5280" w:rsidRPr="00343FEA" w:rsidRDefault="00BB7389" w:rsidP="00343FEA">
      <w:pPr>
        <w:spacing w:line="276" w:lineRule="auto"/>
        <w:ind w:firstLine="567"/>
        <w:jc w:val="both"/>
        <w:rPr>
          <w:rFonts w:asciiTheme="majorBidi" w:eastAsiaTheme="minorHAnsi" w:hAnsiTheme="majorBidi" w:cstheme="majorBidi"/>
          <w:lang w:eastAsia="en-US"/>
        </w:rPr>
      </w:pPr>
      <w:r w:rsidRPr="00343FEA">
        <w:t>Līdz ar to, i</w:t>
      </w:r>
      <w:r w:rsidR="008C5280" w:rsidRPr="00343FEA">
        <w:t>evērojot, ka</w:t>
      </w:r>
      <w:r w:rsidR="00CD6EDD" w:rsidRPr="00343FEA">
        <w:t xml:space="preserve"> </w:t>
      </w:r>
      <w:r w:rsidR="00016FF1" w:rsidRPr="00343FEA">
        <w:t>iepriekš norādītie</w:t>
      </w:r>
      <w:r w:rsidR="008C5280" w:rsidRPr="00343FEA">
        <w:t xml:space="preserve"> nacionālie tiesību akti iztulkojami atbilstoši tajos transponēto Eiropas Savienības direktīvu jēgai un mērķim, </w:t>
      </w:r>
      <w:r w:rsidR="00C72D56" w:rsidRPr="00343FEA">
        <w:t xml:space="preserve">tālāk </w:t>
      </w:r>
      <w:r w:rsidR="000F6A6E" w:rsidRPr="00343FEA">
        <w:rPr>
          <w:rFonts w:asciiTheme="majorBidi" w:eastAsiaTheme="minorHAnsi" w:hAnsiTheme="majorBidi" w:cstheme="majorBidi"/>
          <w:lang w:eastAsia="en-US"/>
        </w:rPr>
        <w:t>Senāts pārbaud</w:t>
      </w:r>
      <w:r w:rsidR="00C72D56" w:rsidRPr="00343FEA">
        <w:rPr>
          <w:rFonts w:asciiTheme="majorBidi" w:eastAsiaTheme="minorHAnsi" w:hAnsiTheme="majorBidi" w:cstheme="majorBidi"/>
          <w:lang w:eastAsia="en-US"/>
        </w:rPr>
        <w:t>īs</w:t>
      </w:r>
      <w:r w:rsidR="000F6A6E" w:rsidRPr="00343FEA">
        <w:rPr>
          <w:rFonts w:asciiTheme="majorBidi" w:eastAsiaTheme="minorHAnsi" w:hAnsiTheme="majorBidi" w:cstheme="majorBidi"/>
          <w:lang w:eastAsia="en-US"/>
        </w:rPr>
        <w:t xml:space="preserve">, vai prasība </w:t>
      </w:r>
      <w:r w:rsidR="00016FF1" w:rsidRPr="00343FEA">
        <w:rPr>
          <w:rFonts w:asciiTheme="majorBidi" w:eastAsiaTheme="minorHAnsi" w:hAnsiTheme="majorBidi" w:cstheme="majorBidi"/>
          <w:lang w:eastAsia="en-US"/>
        </w:rPr>
        <w:t xml:space="preserve">iesniegt atbilstības apliecinājumu </w:t>
      </w:r>
      <w:r w:rsidR="00C72D56" w:rsidRPr="00343FEA">
        <w:rPr>
          <w:rFonts w:asciiTheme="majorBidi" w:eastAsiaTheme="minorHAnsi" w:hAnsiTheme="majorBidi" w:cstheme="majorBidi"/>
          <w:lang w:eastAsia="en-US"/>
        </w:rPr>
        <w:t xml:space="preserve">konkrētā gadījuma faktiskajos apstākļos </w:t>
      </w:r>
      <w:r w:rsidR="000F6A6E" w:rsidRPr="00343FEA">
        <w:rPr>
          <w:rFonts w:asciiTheme="majorBidi" w:eastAsiaTheme="minorHAnsi" w:hAnsiTheme="majorBidi" w:cstheme="majorBidi"/>
          <w:lang w:eastAsia="en-US"/>
        </w:rPr>
        <w:t>nav pretrunā</w:t>
      </w:r>
      <w:r w:rsidR="00216FE2" w:rsidRPr="00343FEA">
        <w:rPr>
          <w:rFonts w:asciiTheme="majorBidi" w:eastAsiaTheme="minorHAnsi" w:hAnsiTheme="majorBidi" w:cstheme="majorBidi"/>
          <w:lang w:eastAsia="en-US"/>
        </w:rPr>
        <w:t xml:space="preserve"> </w:t>
      </w:r>
      <w:r w:rsidR="000F6A6E" w:rsidRPr="00343FEA">
        <w:rPr>
          <w:rFonts w:asciiTheme="majorBidi" w:eastAsiaTheme="minorHAnsi" w:hAnsiTheme="majorBidi" w:cstheme="majorBidi"/>
          <w:lang w:eastAsia="en-US"/>
        </w:rPr>
        <w:t xml:space="preserve">Eiropas Savienības tiesību </w:t>
      </w:r>
      <w:r w:rsidR="00AF0939" w:rsidRPr="00343FEA">
        <w:rPr>
          <w:rFonts w:asciiTheme="majorBidi" w:eastAsiaTheme="minorHAnsi" w:hAnsiTheme="majorBidi" w:cstheme="majorBidi"/>
          <w:lang w:eastAsia="en-US"/>
        </w:rPr>
        <w:t>normām</w:t>
      </w:r>
      <w:r w:rsidR="00F24488" w:rsidRPr="00343FEA">
        <w:rPr>
          <w:rFonts w:asciiTheme="majorBidi" w:eastAsiaTheme="minorHAnsi" w:hAnsiTheme="majorBidi" w:cstheme="majorBidi"/>
          <w:lang w:eastAsia="en-US"/>
        </w:rPr>
        <w:t>,</w:t>
      </w:r>
      <w:r w:rsidR="00216FE2" w:rsidRPr="00343FEA">
        <w:rPr>
          <w:rFonts w:asciiTheme="majorBidi" w:eastAsiaTheme="minorHAnsi" w:hAnsiTheme="majorBidi" w:cstheme="majorBidi"/>
          <w:lang w:eastAsia="en-US"/>
        </w:rPr>
        <w:t xml:space="preserve"> </w:t>
      </w:r>
      <w:r w:rsidR="00CC7A1D" w:rsidRPr="00343FEA">
        <w:rPr>
          <w:rFonts w:asciiTheme="majorBidi" w:eastAsiaTheme="minorHAnsi" w:hAnsiTheme="majorBidi" w:cstheme="majorBidi"/>
          <w:lang w:eastAsia="en-US"/>
        </w:rPr>
        <w:t xml:space="preserve">kā tās interpretējusi </w:t>
      </w:r>
      <w:r w:rsidR="008C5280" w:rsidRPr="00343FEA">
        <w:t>Eiropas Savienības Tiesa</w:t>
      </w:r>
      <w:r w:rsidR="008C5280" w:rsidRPr="00343FEA">
        <w:rPr>
          <w:rFonts w:asciiTheme="majorBidi" w:eastAsiaTheme="minorHAnsi" w:hAnsiTheme="majorBidi" w:cstheme="majorBidi"/>
          <w:lang w:eastAsia="en-US"/>
        </w:rPr>
        <w:t>.</w:t>
      </w:r>
    </w:p>
    <w:p w14:paraId="3DA1E8D4" w14:textId="116AD190" w:rsidR="00442DBC" w:rsidRPr="00343FEA" w:rsidRDefault="00442DBC" w:rsidP="00343FEA">
      <w:pPr>
        <w:spacing w:line="276" w:lineRule="auto"/>
        <w:ind w:firstLine="567"/>
        <w:jc w:val="both"/>
      </w:pPr>
      <w:r w:rsidRPr="00343FEA">
        <w:rPr>
          <w:shd w:val="clear" w:color="auto" w:fill="FFFFFF"/>
        </w:rPr>
        <w:t>Savukārt direktīvu interpretāciju veic, ņemot vērā tās vispārējo struktūru un mērķi. Eiropas Savienības tiesību normās paredzētais vispārīgais regulējums piemērojams plaši, savukārt normās noteiktie izņēmumi iztulkojami šauri.</w:t>
      </w:r>
    </w:p>
    <w:p w14:paraId="53CF649B" w14:textId="20858095" w:rsidR="006768E0" w:rsidRPr="00343FEA" w:rsidRDefault="006768E0" w:rsidP="00343FEA">
      <w:pPr>
        <w:spacing w:line="276" w:lineRule="auto"/>
        <w:ind w:firstLine="567"/>
        <w:jc w:val="both"/>
        <w:rPr>
          <w:rFonts w:asciiTheme="majorBidi" w:hAnsiTheme="majorBidi" w:cstheme="majorBidi"/>
          <w:shd w:val="clear" w:color="auto" w:fill="FFFFFF"/>
        </w:rPr>
      </w:pPr>
    </w:p>
    <w:p w14:paraId="2560EB79" w14:textId="1A15DB92" w:rsidR="00B77862" w:rsidRPr="00343FEA" w:rsidRDefault="00563D47" w:rsidP="00343FEA">
      <w:pPr>
        <w:spacing w:line="276" w:lineRule="auto"/>
        <w:ind w:firstLine="567"/>
        <w:jc w:val="both"/>
        <w:rPr>
          <w:i/>
          <w:iCs/>
          <w:shd w:val="clear" w:color="auto" w:fill="FFFFFF"/>
        </w:rPr>
      </w:pPr>
      <w:r w:rsidRPr="00343FEA">
        <w:rPr>
          <w:i/>
          <w:iCs/>
          <w:shd w:val="clear" w:color="auto" w:fill="FFFFFF"/>
        </w:rPr>
        <w:t xml:space="preserve">Par </w:t>
      </w:r>
      <w:r w:rsidR="00B77862" w:rsidRPr="00343FEA">
        <w:rPr>
          <w:i/>
          <w:iCs/>
          <w:shd w:val="clear" w:color="auto" w:fill="FFFFFF"/>
        </w:rPr>
        <w:t>Direktīvas 1999/37</w:t>
      </w:r>
      <w:r w:rsidR="00BA1E6A" w:rsidRPr="00343FEA">
        <w:rPr>
          <w:i/>
          <w:iCs/>
          <w:shd w:val="clear" w:color="auto" w:fill="FFFFFF"/>
        </w:rPr>
        <w:t>/EK</w:t>
      </w:r>
      <w:r w:rsidR="00B77862" w:rsidRPr="00343FEA">
        <w:rPr>
          <w:i/>
          <w:iCs/>
          <w:shd w:val="clear" w:color="auto" w:fill="FFFFFF"/>
        </w:rPr>
        <w:t xml:space="preserve"> 4.panta un 5.panta otr</w:t>
      </w:r>
      <w:r w:rsidRPr="00343FEA">
        <w:rPr>
          <w:i/>
          <w:iCs/>
          <w:shd w:val="clear" w:color="auto" w:fill="FFFFFF"/>
        </w:rPr>
        <w:t xml:space="preserve">ās </w:t>
      </w:r>
      <w:r w:rsidR="00B77862" w:rsidRPr="00343FEA">
        <w:rPr>
          <w:i/>
          <w:iCs/>
          <w:shd w:val="clear" w:color="auto" w:fill="FFFFFF"/>
        </w:rPr>
        <w:t>daļas interpretācij</w:t>
      </w:r>
      <w:r w:rsidRPr="00343FEA">
        <w:rPr>
          <w:i/>
          <w:iCs/>
          <w:shd w:val="clear" w:color="auto" w:fill="FFFFFF"/>
        </w:rPr>
        <w:t>u</w:t>
      </w:r>
    </w:p>
    <w:p w14:paraId="4963F4E4" w14:textId="2980E29F" w:rsidR="00C65F49" w:rsidRPr="00343FEA" w:rsidRDefault="00B77862" w:rsidP="00343FEA">
      <w:pPr>
        <w:spacing w:line="276" w:lineRule="auto"/>
        <w:ind w:firstLine="567"/>
        <w:jc w:val="both"/>
        <w:rPr>
          <w:shd w:val="clear" w:color="auto" w:fill="FFFFFF"/>
        </w:rPr>
      </w:pPr>
      <w:r w:rsidRPr="00343FEA">
        <w:rPr>
          <w:shd w:val="clear" w:color="auto" w:fill="FFFFFF"/>
        </w:rPr>
        <w:t>[1</w:t>
      </w:r>
      <w:r w:rsidR="00C67EF9" w:rsidRPr="00343FEA">
        <w:rPr>
          <w:shd w:val="clear" w:color="auto" w:fill="FFFFFF"/>
        </w:rPr>
        <w:t>5</w:t>
      </w:r>
      <w:r w:rsidRPr="00343FEA">
        <w:rPr>
          <w:shd w:val="clear" w:color="auto" w:fill="FFFFFF"/>
        </w:rPr>
        <w:t>] </w:t>
      </w:r>
      <w:r w:rsidR="00C65F49" w:rsidRPr="00343FEA">
        <w:rPr>
          <w:shd w:val="clear" w:color="auto" w:fill="FFFFFF"/>
        </w:rPr>
        <w:t>Direktīvas 1999/37 4.pants no</w:t>
      </w:r>
      <w:r w:rsidR="0049701A" w:rsidRPr="00343FEA">
        <w:rPr>
          <w:shd w:val="clear" w:color="auto" w:fill="FFFFFF"/>
        </w:rPr>
        <w:t>saka</w:t>
      </w:r>
      <w:r w:rsidR="00C65F49" w:rsidRPr="00343FEA">
        <w:rPr>
          <w:shd w:val="clear" w:color="auto" w:fill="FFFFFF"/>
        </w:rPr>
        <w:t xml:space="preserve"> vispārīgo </w:t>
      </w:r>
      <w:r w:rsidR="00442DBC" w:rsidRPr="00343FEA">
        <w:rPr>
          <w:shd w:val="clear" w:color="auto" w:fill="FFFFFF"/>
        </w:rPr>
        <w:t xml:space="preserve">principu savstarpējai dalībvalstu izsniegtu reģistrācijas apliecību atzīšanai. </w:t>
      </w:r>
      <w:r w:rsidR="00A63E87" w:rsidRPr="00343FEA">
        <w:rPr>
          <w:shd w:val="clear" w:color="auto" w:fill="FFFFFF"/>
        </w:rPr>
        <w:t>Kā izriet no Direktīvas 1999/37 3., 5. un 6.apsvēruma, šī direktīva paredz uzlabot brīvu kustību pa ceļiem citu dalībvalstu teritorijā kā priekšnoteikumu tāda transportlīdzekļa reģistrācijai, kas iepriekš bijis reģistrēts citā dalībvalstī, prasot dokumentu, kas apliecina transportlīdzekļa reģistrāciju un tehniskos parametrus, ar mērķi veicināt tādu transportlīdzekļu atkārtotu izmantošanu, kas iepriekš reģistrēti citā dalībvalstī, kā arī veicināt pareizu iekšējā tirgus darbību.</w:t>
      </w:r>
    </w:p>
    <w:p w14:paraId="35E31861" w14:textId="6CAA84F4" w:rsidR="00A75E24" w:rsidRPr="00343FEA" w:rsidRDefault="00A63E87" w:rsidP="00343FEA">
      <w:pPr>
        <w:spacing w:line="276" w:lineRule="auto"/>
        <w:ind w:firstLine="567"/>
        <w:jc w:val="both"/>
        <w:rPr>
          <w:shd w:val="clear" w:color="auto" w:fill="FFFFFF"/>
        </w:rPr>
      </w:pPr>
      <w:r w:rsidRPr="00343FEA">
        <w:rPr>
          <w:shd w:val="clear" w:color="auto" w:fill="FFFFFF"/>
        </w:rPr>
        <w:t>Vienlaikus minētais 4.pants norāda, ka vispārīgais atzīšanas princips darbojas, ja ievērotas šīs direktīvas prasības</w:t>
      </w:r>
      <w:r w:rsidR="00E979C0" w:rsidRPr="00343FEA">
        <w:rPr>
          <w:shd w:val="clear" w:color="auto" w:fill="FFFFFF"/>
        </w:rPr>
        <w:t xml:space="preserve">. Kontekstā ar preambulas 5.apsvērumā norādīto, ka dalībvalstis prasa dokumentu, kas apliecina transportlīdzekļa reģistrāciju un tehniskos parametrus, secināms, ka 5.panta otrajā daļā norādīts uz prasībām pārreģistrācijas atļaušanai. </w:t>
      </w:r>
    </w:p>
    <w:p w14:paraId="0C15D1DF" w14:textId="0C967E72" w:rsidR="00B24398" w:rsidRPr="00343FEA" w:rsidRDefault="000F373A" w:rsidP="00343FEA">
      <w:pPr>
        <w:spacing w:line="276" w:lineRule="auto"/>
        <w:ind w:firstLine="567"/>
        <w:jc w:val="both"/>
        <w:rPr>
          <w:shd w:val="clear" w:color="auto" w:fill="FFFFFF"/>
        </w:rPr>
      </w:pPr>
      <w:r w:rsidRPr="00343FEA">
        <w:t xml:space="preserve">Savukārt kontekstā ar Direktīvas 2007/46/EK 24.panta </w:t>
      </w:r>
      <w:r w:rsidR="0049701A" w:rsidRPr="00343FEA">
        <w:t xml:space="preserve">sesto </w:t>
      </w:r>
      <w:r w:rsidRPr="00343FEA">
        <w:t xml:space="preserve">daļu </w:t>
      </w:r>
      <w:r w:rsidR="00D66292" w:rsidRPr="00343FEA">
        <w:t xml:space="preserve">secināms, ka arī kādā dalībvalstī jau reģistrētam, bet būtiski pārveidotam transportlīdzeklim iespējams izvirzīt prasību par </w:t>
      </w:r>
      <w:r w:rsidRPr="00343FEA">
        <w:t>individuāla</w:t>
      </w:r>
      <w:r w:rsidR="00E10953" w:rsidRPr="00343FEA">
        <w:t xml:space="preserve"> </w:t>
      </w:r>
      <w:r w:rsidRPr="00343FEA">
        <w:t>apstiprinājum</w:t>
      </w:r>
      <w:r w:rsidR="00E10953" w:rsidRPr="00343FEA">
        <w:t>a saņemšanu</w:t>
      </w:r>
      <w:r w:rsidRPr="00343FEA">
        <w:t xml:space="preserve">, ja </w:t>
      </w:r>
      <w:r w:rsidR="00E10953" w:rsidRPr="00343FEA">
        <w:t xml:space="preserve">reģistrācijas apliecībā trūkst kādu obligāti norādāmu ziņu, ja tajā norādītās ziņas neatbilst minētajam transportlīdzeklim un ja šo transportlīdzekli pēc šīs apliecības nav iespējams identificēt. </w:t>
      </w:r>
      <w:r w:rsidR="00B24398" w:rsidRPr="00343FEA">
        <w:rPr>
          <w:shd w:val="clear" w:color="auto" w:fill="FFFFFF"/>
        </w:rPr>
        <w:t>Arī Eiropas Savienības Tiesas iepriekš minētajā 2012.gada 6.septembra sprieduma lietā „Komisija/Beļģija”</w:t>
      </w:r>
      <w:r w:rsidR="00361303" w:rsidRPr="00343FEA">
        <w:rPr>
          <w:shd w:val="clear" w:color="auto" w:fill="FFFFFF"/>
        </w:rPr>
        <w:t>,</w:t>
      </w:r>
      <w:r w:rsidR="00B24398" w:rsidRPr="00343FEA">
        <w:rPr>
          <w:shd w:val="clear" w:color="auto" w:fill="FFFFFF"/>
        </w:rPr>
        <w:t xml:space="preserve"> C-150/11</w:t>
      </w:r>
      <w:r w:rsidR="00F24488" w:rsidRPr="00343FEA">
        <w:rPr>
          <w:shd w:val="clear" w:color="auto" w:fill="FFFFFF"/>
        </w:rPr>
        <w:t>,</w:t>
      </w:r>
      <w:r w:rsidR="00B24398" w:rsidRPr="00343FEA">
        <w:rPr>
          <w:shd w:val="clear" w:color="auto" w:fill="FFFFFF"/>
        </w:rPr>
        <w:t xml:space="preserve"> </w:t>
      </w:r>
      <w:hyperlink r:id="rId17" w:history="1">
        <w:r w:rsidR="00113003" w:rsidRPr="00343FEA">
          <w:rPr>
            <w:rStyle w:val="Hyperlink"/>
          </w:rPr>
          <w:t>ECLI:EU:C:2012:539</w:t>
        </w:r>
      </w:hyperlink>
      <w:r w:rsidR="00361303" w:rsidRPr="00343FEA">
        <w:rPr>
          <w:rStyle w:val="Hyperlink"/>
        </w:rPr>
        <w:t>,</w:t>
      </w:r>
      <w:r w:rsidR="00113003" w:rsidRPr="00343FEA">
        <w:rPr>
          <w:rStyle w:val="Hyperlink"/>
          <w:i/>
          <w:iCs/>
        </w:rPr>
        <w:t xml:space="preserve"> </w:t>
      </w:r>
      <w:r w:rsidR="00B24398" w:rsidRPr="00343FEA">
        <w:rPr>
          <w:shd w:val="clear" w:color="auto" w:fill="FFFFFF"/>
        </w:rPr>
        <w:t xml:space="preserve">norādītais par papildu atbilstības sertifikāta sistemātisku prasīšanu ļauj secināt, ka izņēmuma gadījumos, lai pārliecinātos, ka reģistrējamais transportlīdzeklis nerada draudus ceļu satiksmei, atbilstības pārbaude var būt pamatota. Draudi ceļu satiksmei varētu rasties, ja trūktu obligātas reģistrācijas dokumentā norādāmās ziņas un tās nebūtu noskaidrojamas administratīvās sadarbības ietvaros (sal. </w:t>
      </w:r>
      <w:r w:rsidR="00B24398" w:rsidRPr="00343FEA">
        <w:rPr>
          <w:i/>
          <w:iCs/>
          <w:shd w:val="clear" w:color="auto" w:fill="FFFFFF"/>
        </w:rPr>
        <w:t>Direktīvas 1999/37/EK 5.panta otrā daļa</w:t>
      </w:r>
      <w:r w:rsidR="00B24398" w:rsidRPr="00343FEA">
        <w:rPr>
          <w:shd w:val="clear" w:color="auto" w:fill="FFFFFF"/>
        </w:rPr>
        <w:t>) vai nebūtu noskaidrojams, kādas kategorijas vadītāja apliecība nepieciešama konkrētā transportlīdzekļa vadīšanai (</w:t>
      </w:r>
      <w:r w:rsidR="00B24398" w:rsidRPr="00343FEA">
        <w:rPr>
          <w:i/>
          <w:iCs/>
          <w:shd w:val="clear" w:color="auto" w:fill="FFFFFF"/>
        </w:rPr>
        <w:t>Direktīvas 1999/37/EK preambulas 4.apsvērums</w:t>
      </w:r>
      <w:r w:rsidR="00B24398" w:rsidRPr="00343FEA">
        <w:rPr>
          <w:shd w:val="clear" w:color="auto" w:fill="FFFFFF"/>
        </w:rPr>
        <w:t>).</w:t>
      </w:r>
    </w:p>
    <w:p w14:paraId="64BB6752" w14:textId="6766B942" w:rsidR="000F373A" w:rsidRPr="00343FEA" w:rsidRDefault="00E10953" w:rsidP="00343FEA">
      <w:pPr>
        <w:spacing w:line="276" w:lineRule="auto"/>
        <w:ind w:firstLine="567"/>
        <w:jc w:val="both"/>
        <w:rPr>
          <w:shd w:val="clear" w:color="auto" w:fill="FFFFFF"/>
        </w:rPr>
      </w:pPr>
      <w:r w:rsidRPr="00343FEA">
        <w:t xml:space="preserve">Savukārt, ja ir pazīmes, kas liecina par to, ka reģistrācijai pieteiktais transportlīdzeklis apdraud ceļu satiksmes drošību, atbildīgā iestāde saskaņā ar </w:t>
      </w:r>
      <w:r w:rsidR="009C1558" w:rsidRPr="00343FEA">
        <w:t xml:space="preserve">Eiropas Parlamenta un Padomes 2009.gada 6.maija Direktīvas 2009/40/EK par mehānisko transportlīdzekļu un to piekabju tehniskajām apskatēm </w:t>
      </w:r>
      <w:r w:rsidRPr="00343FEA">
        <w:t xml:space="preserve">5.panta </w:t>
      </w:r>
      <w:r w:rsidR="009C1558" w:rsidRPr="00343FEA">
        <w:t>„</w:t>
      </w:r>
      <w:r w:rsidRPr="00343FEA">
        <w:t>a</w:t>
      </w:r>
      <w:r w:rsidR="009C1558" w:rsidRPr="00343FEA">
        <w:t>” </w:t>
      </w:r>
      <w:r w:rsidRPr="00343FEA">
        <w:t xml:space="preserve">punktu </w:t>
      </w:r>
      <w:r w:rsidR="00B07B00" w:rsidRPr="00343FEA">
        <w:t xml:space="preserve">drīkstēja </w:t>
      </w:r>
      <w:r w:rsidRPr="00343FEA">
        <w:t>prasīt, lai minētajam transportlīdzeklim pirms tā reģistrācijas tiktu veikta apskate</w:t>
      </w:r>
      <w:r w:rsidR="00B07B00" w:rsidRPr="00343FEA">
        <w:t>. Šobrīd tehniskās apskates savstarpējo atzīšanu no</w:t>
      </w:r>
      <w:r w:rsidR="009D7F06" w:rsidRPr="00343FEA">
        <w:t>saka</w:t>
      </w:r>
      <w:r w:rsidR="00B07B00" w:rsidRPr="00343FEA">
        <w:t xml:space="preserve"> Eiropas Parlamenta un Padomes 2014.gada 3.aprīļa Direktīva 2014/45/ES par mehānisko transportlīdzekļu un to piekabju periodiskajām tehniskajām apskatēm un par Direktīvas 2009/40/EK atcelšanu, kuras 5.panta 4.punktā arī ir paredzēta iespēja noteiktos gadījumos </w:t>
      </w:r>
      <w:r w:rsidR="00B24398" w:rsidRPr="00343FEA">
        <w:t>prasīt ārkārtas tehnisko apskati</w:t>
      </w:r>
      <w:r w:rsidR="00ED21B2" w:rsidRPr="00343FEA">
        <w:t>, tai skaitā, ja transportlīdzekļa drošības un vides sistēmas un komponenti ir mainīti vai pārveidoti, ja ir mainījies transportlīdzekļa reģistrācijas apliecības turētājs vai gadījumos, kas būtiski ietekmē ceļu satiksmes drošību</w:t>
      </w:r>
      <w:r w:rsidRPr="00343FEA">
        <w:t>.</w:t>
      </w:r>
    </w:p>
    <w:p w14:paraId="28774D1B" w14:textId="7442396D" w:rsidR="00B43674" w:rsidRPr="00343FEA" w:rsidRDefault="00563D47" w:rsidP="00343FEA">
      <w:pPr>
        <w:spacing w:line="276" w:lineRule="auto"/>
        <w:ind w:firstLine="567"/>
        <w:jc w:val="both"/>
        <w:rPr>
          <w:shd w:val="clear" w:color="auto" w:fill="FFFFFF"/>
        </w:rPr>
      </w:pPr>
      <w:r w:rsidRPr="00343FEA">
        <w:rPr>
          <w:shd w:val="clear" w:color="auto" w:fill="FFFFFF"/>
        </w:rPr>
        <w:lastRenderedPageBreak/>
        <w:t>Senāts secina, ka, lai gan izņēmuma gadījumos ir pieļaujam</w:t>
      </w:r>
      <w:r w:rsidR="00DB42A4" w:rsidRPr="00343FEA">
        <w:rPr>
          <w:shd w:val="clear" w:color="auto" w:fill="FFFFFF"/>
        </w:rPr>
        <w:t>s prasīt papildu atbilstības pārbaudi</w:t>
      </w:r>
      <w:r w:rsidRPr="00343FEA">
        <w:rPr>
          <w:shd w:val="clear" w:color="auto" w:fill="FFFFFF"/>
        </w:rPr>
        <w:t xml:space="preserve">, tālejošākas reģistrācijas prasības, kas kaitē </w:t>
      </w:r>
      <w:r w:rsidRPr="00343FEA">
        <w:t>Direktīvas</w:t>
      </w:r>
      <w:r w:rsidR="00361303" w:rsidRPr="00343FEA">
        <w:t xml:space="preserve"> </w:t>
      </w:r>
      <w:r w:rsidRPr="00343FEA">
        <w:t>1999/37/EK</w:t>
      </w:r>
      <w:r w:rsidRPr="00343FEA">
        <w:rPr>
          <w:shd w:val="clear" w:color="auto" w:fill="FFFFFF"/>
        </w:rPr>
        <w:t xml:space="preserve"> 4.pantā iekļautajam reģistrācijas apliecību savstarpējās atzīšanas principam, nav saderīgas ar Eiropas Savienības tiesību aktiem.</w:t>
      </w:r>
    </w:p>
    <w:p w14:paraId="6F9A3E87" w14:textId="4734D4C4" w:rsidR="00B25848" w:rsidRPr="00343FEA" w:rsidRDefault="00B25848" w:rsidP="00343FEA">
      <w:pPr>
        <w:spacing w:line="276" w:lineRule="auto"/>
        <w:ind w:firstLine="567"/>
        <w:jc w:val="both"/>
        <w:rPr>
          <w:rFonts w:asciiTheme="majorBidi" w:hAnsiTheme="majorBidi" w:cstheme="majorBidi"/>
          <w:shd w:val="clear" w:color="auto" w:fill="FFFFFF"/>
        </w:rPr>
      </w:pPr>
    </w:p>
    <w:p w14:paraId="50D33F24" w14:textId="6B700C3C" w:rsidR="005C1D2A" w:rsidRPr="00343FEA" w:rsidRDefault="00952A28" w:rsidP="00343FEA">
      <w:pPr>
        <w:spacing w:line="276" w:lineRule="auto"/>
        <w:ind w:firstLine="567"/>
        <w:jc w:val="both"/>
        <w:rPr>
          <w:rFonts w:asciiTheme="majorBidi" w:hAnsiTheme="majorBidi" w:cstheme="majorBidi"/>
          <w:i/>
          <w:iCs/>
          <w:shd w:val="clear" w:color="auto" w:fill="FFFFFF"/>
        </w:rPr>
      </w:pPr>
      <w:r w:rsidRPr="00343FEA">
        <w:rPr>
          <w:rFonts w:asciiTheme="majorBidi" w:hAnsiTheme="majorBidi" w:cstheme="majorBidi"/>
          <w:i/>
          <w:iCs/>
          <w:shd w:val="clear" w:color="auto" w:fill="FFFFFF"/>
        </w:rPr>
        <w:t>Prasības par atbilstības sertifikāta iesniegšanu pamatojuma pārbaude</w:t>
      </w:r>
    </w:p>
    <w:p w14:paraId="258EDE75" w14:textId="5225FEE0" w:rsidR="005C1D2A" w:rsidRPr="00343FEA" w:rsidRDefault="005C1D2A" w:rsidP="00343FEA">
      <w:pPr>
        <w:spacing w:line="276" w:lineRule="auto"/>
        <w:ind w:firstLine="567"/>
        <w:jc w:val="both"/>
        <w:rPr>
          <w:rFonts w:asciiTheme="majorBidi" w:hAnsiTheme="majorBidi" w:cstheme="majorBidi"/>
        </w:rPr>
      </w:pPr>
      <w:r w:rsidRPr="00343FEA">
        <w:rPr>
          <w:rFonts w:asciiTheme="majorBidi" w:hAnsiTheme="majorBidi" w:cstheme="majorBidi"/>
        </w:rPr>
        <w:t>[1</w:t>
      </w:r>
      <w:r w:rsidR="00C67EF9" w:rsidRPr="00343FEA">
        <w:rPr>
          <w:rFonts w:asciiTheme="majorBidi" w:hAnsiTheme="majorBidi" w:cstheme="majorBidi"/>
        </w:rPr>
        <w:t>6</w:t>
      </w:r>
      <w:r w:rsidRPr="00343FEA">
        <w:rPr>
          <w:rFonts w:asciiTheme="majorBidi" w:hAnsiTheme="majorBidi" w:cstheme="majorBidi"/>
        </w:rPr>
        <w:t xml:space="preserve">] Senāts atzīst, ka pārsūdzētajā spriedumā trūkst </w:t>
      </w:r>
      <w:r w:rsidR="00952A28" w:rsidRPr="00343FEA">
        <w:rPr>
          <w:rFonts w:asciiTheme="majorBidi" w:hAnsiTheme="majorBidi" w:cstheme="majorBidi"/>
        </w:rPr>
        <w:t>š</w:t>
      </w:r>
      <w:r w:rsidR="00403005" w:rsidRPr="00343FEA">
        <w:rPr>
          <w:rFonts w:asciiTheme="majorBidi" w:hAnsiTheme="majorBidi" w:cstheme="majorBidi"/>
        </w:rPr>
        <w:t>ā</w:t>
      </w:r>
      <w:r w:rsidR="00952A28" w:rsidRPr="00343FEA">
        <w:rPr>
          <w:rFonts w:asciiTheme="majorBidi" w:hAnsiTheme="majorBidi" w:cstheme="majorBidi"/>
        </w:rPr>
        <w:t xml:space="preserve"> sprieduma 1</w:t>
      </w:r>
      <w:r w:rsidR="00790C87" w:rsidRPr="00343FEA">
        <w:rPr>
          <w:rFonts w:asciiTheme="majorBidi" w:hAnsiTheme="majorBidi" w:cstheme="majorBidi"/>
        </w:rPr>
        <w:t>3</w:t>
      </w:r>
      <w:r w:rsidR="00952A28" w:rsidRPr="00343FEA">
        <w:rPr>
          <w:rFonts w:asciiTheme="majorBidi" w:hAnsiTheme="majorBidi" w:cstheme="majorBidi"/>
        </w:rPr>
        <w:t xml:space="preserve">.punktā </w:t>
      </w:r>
      <w:r w:rsidRPr="00343FEA">
        <w:rPr>
          <w:rFonts w:asciiTheme="majorBidi" w:hAnsiTheme="majorBidi" w:cstheme="majorBidi"/>
        </w:rPr>
        <w:t xml:space="preserve">minēto apstākļu </w:t>
      </w:r>
      <w:r w:rsidR="00F24488" w:rsidRPr="00343FEA">
        <w:rPr>
          <w:rFonts w:asciiTheme="majorBidi" w:hAnsiTheme="majorBidi" w:cstheme="majorBidi"/>
        </w:rPr>
        <w:t>vērtējuma</w:t>
      </w:r>
      <w:r w:rsidRPr="00343FEA">
        <w:rPr>
          <w:rFonts w:asciiTheme="majorBidi" w:hAnsiTheme="majorBidi" w:cstheme="majorBidi"/>
        </w:rPr>
        <w:t>.</w:t>
      </w:r>
    </w:p>
    <w:p w14:paraId="74F90139" w14:textId="1F1CB08B" w:rsidR="005C1D2A" w:rsidRPr="00343FEA" w:rsidRDefault="005C1D2A" w:rsidP="00343FEA">
      <w:pPr>
        <w:spacing w:line="276" w:lineRule="auto"/>
        <w:ind w:firstLine="567"/>
        <w:jc w:val="both"/>
        <w:rPr>
          <w:rFonts w:asciiTheme="majorBidi" w:hAnsiTheme="majorBidi" w:cstheme="majorBidi"/>
        </w:rPr>
      </w:pPr>
      <w:r w:rsidRPr="00343FEA">
        <w:rPr>
          <w:rFonts w:asciiTheme="majorBidi" w:hAnsiTheme="majorBidi" w:cstheme="majorBidi"/>
        </w:rPr>
        <w:t xml:space="preserve">Tiesa, </w:t>
      </w:r>
      <w:r w:rsidRPr="00343FEA">
        <w:rPr>
          <w:rFonts w:asciiTheme="majorBidi" w:eastAsiaTheme="minorHAnsi" w:hAnsiTheme="majorBidi" w:cstheme="majorBidi"/>
          <w:lang w:eastAsia="en-US"/>
        </w:rPr>
        <w:t>atsaucoties uz Direktīvas</w:t>
      </w:r>
      <w:r w:rsidRPr="00343FEA">
        <w:rPr>
          <w:rFonts w:asciiTheme="majorBidi" w:hAnsiTheme="majorBidi" w:cstheme="majorBidi"/>
        </w:rPr>
        <w:t xml:space="preserve"> </w:t>
      </w:r>
      <w:r w:rsidRPr="00343FEA">
        <w:rPr>
          <w:rFonts w:asciiTheme="majorBidi" w:eastAsiaTheme="minorHAnsi" w:hAnsiTheme="majorBidi" w:cstheme="majorBidi"/>
          <w:lang w:eastAsia="en-US"/>
        </w:rPr>
        <w:t>1999/37/EK 4.pantu un I</w:t>
      </w:r>
      <w:r w:rsidR="00361303" w:rsidRPr="00343FEA">
        <w:rPr>
          <w:rFonts w:asciiTheme="majorBidi" w:eastAsiaTheme="minorHAnsi" w:hAnsiTheme="majorBidi" w:cstheme="majorBidi"/>
          <w:lang w:eastAsia="en-US"/>
        </w:rPr>
        <w:t> </w:t>
      </w:r>
      <w:r w:rsidRPr="00343FEA">
        <w:rPr>
          <w:rFonts w:asciiTheme="majorBidi" w:eastAsiaTheme="minorHAnsi" w:hAnsiTheme="majorBidi" w:cstheme="majorBidi"/>
          <w:lang w:eastAsia="en-US"/>
        </w:rPr>
        <w:t>pielikuma „K”</w:t>
      </w:r>
      <w:r w:rsidR="00361303" w:rsidRPr="00343FEA">
        <w:rPr>
          <w:rFonts w:asciiTheme="majorBidi" w:eastAsiaTheme="minorHAnsi" w:hAnsiTheme="majorBidi" w:cstheme="majorBidi"/>
          <w:lang w:eastAsia="en-US"/>
        </w:rPr>
        <w:t> </w:t>
      </w:r>
      <w:r w:rsidRPr="00343FEA">
        <w:rPr>
          <w:rFonts w:asciiTheme="majorBidi" w:eastAsiaTheme="minorHAnsi" w:hAnsiTheme="majorBidi" w:cstheme="majorBidi"/>
          <w:lang w:eastAsia="en-US"/>
        </w:rPr>
        <w:t>apakšpunktu un izvērtējot reģistrācijas apliecībā ietverto informāciju, vienīgi konstatējusi, ka reģistrācijas apliecība</w:t>
      </w:r>
      <w:r w:rsidRPr="00343FEA">
        <w:rPr>
          <w:rFonts w:asciiTheme="majorBidi" w:hAnsiTheme="majorBidi" w:cstheme="majorBidi"/>
        </w:rPr>
        <w:t xml:space="preserve"> </w:t>
      </w:r>
      <w:r w:rsidRPr="00343FEA">
        <w:rPr>
          <w:rFonts w:asciiTheme="majorBidi" w:eastAsiaTheme="minorHAnsi" w:hAnsiTheme="majorBidi" w:cstheme="majorBidi"/>
          <w:lang w:eastAsia="en-US"/>
        </w:rPr>
        <w:t>neapstiprina, ka transportlīdzeklim Lietuvā tika izsniegts atbilstības apliecinājums.</w:t>
      </w:r>
      <w:r w:rsidRPr="00343FEA">
        <w:rPr>
          <w:rFonts w:asciiTheme="majorBidi" w:hAnsiTheme="majorBidi" w:cstheme="majorBidi"/>
        </w:rPr>
        <w:t xml:space="preserve"> </w:t>
      </w:r>
    </w:p>
    <w:p w14:paraId="0FB0E16E" w14:textId="4F8D1D70" w:rsidR="005C1D2A" w:rsidRPr="00343FEA" w:rsidRDefault="005C1D2A" w:rsidP="00343FEA">
      <w:pPr>
        <w:spacing w:line="276" w:lineRule="auto"/>
        <w:ind w:firstLine="567"/>
        <w:jc w:val="both"/>
        <w:rPr>
          <w:rFonts w:asciiTheme="majorBidi" w:hAnsiTheme="majorBidi" w:cstheme="majorBidi"/>
        </w:rPr>
      </w:pPr>
      <w:r w:rsidRPr="00343FEA">
        <w:rPr>
          <w:rFonts w:asciiTheme="majorBidi" w:hAnsiTheme="majorBidi" w:cstheme="majorBidi"/>
        </w:rPr>
        <w:t>Pirmkārt, Senāts šajā sakarā atzīst, ka f</w:t>
      </w:r>
      <w:r w:rsidRPr="00343FEA">
        <w:t>akts, ka transportlīdzeklis jau ir bijis reģistrēts citā dalībvalstī, nozīmē, ka šīs valsts kompetentās iestādes ir atzinušas, ka mehāniskais transportlīdzeklis atbilst šajā valstī spēkā esošajām prasībām (</w:t>
      </w:r>
      <w:r w:rsidR="00C67EF9" w:rsidRPr="00343FEA">
        <w:t xml:space="preserve">sk. </w:t>
      </w:r>
      <w:r w:rsidRPr="00343FEA">
        <w:rPr>
          <w:i/>
          <w:iCs/>
        </w:rPr>
        <w:t>skaidrojošā paziņojuma 3.3.2.apakšpunktu</w:t>
      </w:r>
      <w:r w:rsidRPr="00343FEA">
        <w:t>).</w:t>
      </w:r>
      <w:r w:rsidRPr="00343FEA">
        <w:rPr>
          <w:rFonts w:asciiTheme="majorBidi" w:hAnsiTheme="majorBidi" w:cstheme="majorBidi"/>
        </w:rPr>
        <w:t xml:space="preserve"> Otrkārt, no </w:t>
      </w:r>
      <w:r w:rsidRPr="00343FEA">
        <w:t>Direktīvas</w:t>
      </w:r>
      <w:r w:rsidR="00361303" w:rsidRPr="00343FEA">
        <w:t xml:space="preserve"> </w:t>
      </w:r>
      <w:r w:rsidRPr="00343FEA">
        <w:t xml:space="preserve">1999/37/EK </w:t>
      </w:r>
      <w:r w:rsidRPr="00343FEA">
        <w:rPr>
          <w:rFonts w:asciiTheme="majorBidi" w:eastAsiaTheme="minorHAnsi" w:hAnsiTheme="majorBidi" w:cstheme="majorBidi"/>
          <w:lang w:eastAsia="en-US"/>
        </w:rPr>
        <w:t>I</w:t>
      </w:r>
      <w:r w:rsidR="00361303" w:rsidRPr="00343FEA">
        <w:rPr>
          <w:rFonts w:asciiTheme="majorBidi" w:eastAsiaTheme="minorHAnsi" w:hAnsiTheme="majorBidi" w:cstheme="majorBidi"/>
          <w:lang w:eastAsia="en-US"/>
        </w:rPr>
        <w:t> </w:t>
      </w:r>
      <w:r w:rsidRPr="00343FEA">
        <w:t xml:space="preserve">pielikumā norādītā reģistrācijas apliecības parauga neizriet, ka tajā būtu obligāti jānorāda ziņas par to, vai transportlīdzeklim ir izsniegts </w:t>
      </w:r>
      <w:r w:rsidRPr="00343FEA">
        <w:rPr>
          <w:shd w:val="clear" w:color="auto" w:fill="FFFFFF"/>
        </w:rPr>
        <w:t>individuālās apstiprināšanas sertifikāts</w:t>
      </w:r>
      <w:r w:rsidRPr="00343FEA">
        <w:t xml:space="preserve">. </w:t>
      </w:r>
      <w:r w:rsidRPr="00343FEA">
        <w:rPr>
          <w:rFonts w:asciiTheme="majorBidi" w:eastAsiaTheme="minorHAnsi" w:hAnsiTheme="majorBidi" w:cstheme="majorBidi"/>
          <w:lang w:eastAsia="en-US"/>
        </w:rPr>
        <w:t>Direktīvas 1999/37/EK I</w:t>
      </w:r>
      <w:r w:rsidR="0049701A" w:rsidRPr="00343FEA">
        <w:rPr>
          <w:rFonts w:asciiTheme="majorBidi" w:eastAsiaTheme="minorHAnsi" w:hAnsiTheme="majorBidi" w:cstheme="majorBidi"/>
          <w:lang w:eastAsia="en-US"/>
        </w:rPr>
        <w:t> </w:t>
      </w:r>
      <w:r w:rsidRPr="00343FEA">
        <w:rPr>
          <w:rFonts w:asciiTheme="majorBidi" w:eastAsiaTheme="minorHAnsi" w:hAnsiTheme="majorBidi" w:cstheme="majorBidi"/>
          <w:lang w:eastAsia="en-US"/>
        </w:rPr>
        <w:t xml:space="preserve">pielikuma „K” apakšpunkts tikai paredz, ka transportlīdzekļa reģistrācijas apliecībā norāda tipa apstiprinājuma numuru, ja </w:t>
      </w:r>
      <w:r w:rsidR="009E3038" w:rsidRPr="00343FEA">
        <w:rPr>
          <w:rFonts w:asciiTheme="majorBidi" w:eastAsiaTheme="minorHAnsi" w:hAnsiTheme="majorBidi" w:cstheme="majorBidi"/>
          <w:lang w:eastAsia="en-US"/>
        </w:rPr>
        <w:t xml:space="preserve">tas </w:t>
      </w:r>
      <w:r w:rsidRPr="00343FEA">
        <w:rPr>
          <w:rFonts w:asciiTheme="majorBidi" w:eastAsiaTheme="minorHAnsi" w:hAnsiTheme="majorBidi" w:cstheme="majorBidi"/>
          <w:lang w:eastAsia="en-US"/>
        </w:rPr>
        <w:t>ir</w:t>
      </w:r>
      <w:r w:rsidRPr="00343FEA">
        <w:rPr>
          <w:rFonts w:asciiTheme="majorBidi" w:hAnsiTheme="majorBidi" w:cstheme="majorBidi"/>
          <w:shd w:val="clear" w:color="auto" w:fill="FFFFFF"/>
        </w:rPr>
        <w:t xml:space="preserve"> </w:t>
      </w:r>
      <w:r w:rsidRPr="00343FEA">
        <w:rPr>
          <w:rFonts w:asciiTheme="majorBidi" w:eastAsiaTheme="minorHAnsi" w:hAnsiTheme="majorBidi" w:cstheme="majorBidi"/>
          <w:lang w:eastAsia="en-US"/>
        </w:rPr>
        <w:t>pieejams. Tomēr apstāklis, ka apliecībā nav norādīts tipa apstiprinājums, nav pietiekams pamats atteikties šo apliecību atzīt, jo strīdus transportlīdzeklis ir tāds, kuru varēja apstiprināt individuāli, līdz ar to tipa apstiprinājuma numurs varēja arī nebūt pieejams.</w:t>
      </w:r>
      <w:r w:rsidRPr="00343FEA">
        <w:rPr>
          <w:rFonts w:asciiTheme="majorBidi" w:hAnsiTheme="majorBidi" w:cstheme="majorBidi"/>
        </w:rPr>
        <w:t xml:space="preserve"> </w:t>
      </w:r>
    </w:p>
    <w:p w14:paraId="32FB5073" w14:textId="4FA5AA02" w:rsidR="005C1D2A" w:rsidRPr="00343FEA" w:rsidRDefault="005C1D2A" w:rsidP="00343FEA">
      <w:pPr>
        <w:spacing w:line="276" w:lineRule="auto"/>
        <w:ind w:firstLine="567"/>
        <w:jc w:val="both"/>
        <w:rPr>
          <w:shd w:val="clear" w:color="auto" w:fill="FFFFFF"/>
        </w:rPr>
      </w:pPr>
      <w:r w:rsidRPr="00343FEA">
        <w:rPr>
          <w:shd w:val="clear" w:color="auto" w:fill="FFFFFF"/>
        </w:rPr>
        <w:t xml:space="preserve">Tāpat jāņem vērā, ka Eiropas Savienības Tiesa ir atzinusi, ka pārreģistrācijas nolūkos lietotu transportlīdzekļu, kas iepriekš reģistrēti citās dalībvalstīs, tehniskie parametri var tikt noskaidroti, pamatojoties uz pastāvošajiem reģistrācijas dokumentiem. Līdz ar to dalībvalstis nevar attaisnot sistemātisku prasību iesniegt atbilstības sertifikātu, pamatojot to ar nepieciešamību pārbaudīt tādu transportlīdzekļu tehniskos parametrus, kuriem ir reģistrācijas apliecība. Šāda prasība liegtu jebkādu nozīmi citās dalībvalstīs izsniegtu reģistrācijas apliecību atzīšanas principam (sal. </w:t>
      </w:r>
      <w:r w:rsidRPr="00343FEA">
        <w:rPr>
          <w:i/>
          <w:iCs/>
        </w:rPr>
        <w:t xml:space="preserve">Eiropas Savienības Tiesas 2012.gada 6.septembra </w:t>
      </w:r>
      <w:r w:rsidR="00CE5A00" w:rsidRPr="00343FEA">
        <w:rPr>
          <w:i/>
          <w:iCs/>
        </w:rPr>
        <w:t xml:space="preserve">sprieduma </w:t>
      </w:r>
      <w:r w:rsidRPr="00343FEA">
        <w:rPr>
          <w:i/>
          <w:iCs/>
        </w:rPr>
        <w:t>lietā „</w:t>
      </w:r>
      <w:r w:rsidR="002D5C1F" w:rsidRPr="00343FEA">
        <w:rPr>
          <w:i/>
          <w:iCs/>
        </w:rPr>
        <w:t>Komisija/Beļģija</w:t>
      </w:r>
      <w:r w:rsidRPr="00343FEA">
        <w:rPr>
          <w:i/>
          <w:iCs/>
        </w:rPr>
        <w:t xml:space="preserve">”, C-150/11, </w:t>
      </w:r>
      <w:hyperlink r:id="rId18" w:history="1">
        <w:r w:rsidRPr="00343FEA">
          <w:rPr>
            <w:rStyle w:val="Hyperlink"/>
            <w:i/>
            <w:iCs/>
            <w:color w:val="auto"/>
            <w:u w:val="none"/>
          </w:rPr>
          <w:t>ECLI:EU:C:2012:539</w:t>
        </w:r>
      </w:hyperlink>
      <w:r w:rsidRPr="00343FEA">
        <w:rPr>
          <w:i/>
          <w:iCs/>
        </w:rPr>
        <w:t>, 75.–77.punkts</w:t>
      </w:r>
      <w:r w:rsidRPr="00343FEA">
        <w:t>).</w:t>
      </w:r>
    </w:p>
    <w:p w14:paraId="2B336B5C" w14:textId="7BEE047A" w:rsidR="005C1D2A" w:rsidRPr="00343FEA" w:rsidRDefault="005C1D2A" w:rsidP="00343FEA">
      <w:pPr>
        <w:spacing w:line="276" w:lineRule="auto"/>
        <w:ind w:firstLine="567"/>
        <w:jc w:val="both"/>
      </w:pPr>
      <w:r w:rsidRPr="00343FEA">
        <w:rPr>
          <w:shd w:val="clear" w:color="auto" w:fill="FFFFFF"/>
        </w:rPr>
        <w:t xml:space="preserve">Ievērojot minēto, iestāde nav atbrīvota no </w:t>
      </w:r>
      <w:r w:rsidRPr="00343FEA">
        <w:t>Direktīvas</w:t>
      </w:r>
      <w:r w:rsidR="00361303" w:rsidRPr="00343FEA">
        <w:t xml:space="preserve"> </w:t>
      </w:r>
      <w:r w:rsidRPr="00343FEA">
        <w:t>1999/37/EK</w:t>
      </w:r>
      <w:r w:rsidRPr="00343FEA">
        <w:rPr>
          <w:shd w:val="clear" w:color="auto" w:fill="FFFFFF"/>
        </w:rPr>
        <w:t xml:space="preserve"> 4.pantā noteiktā pienākuma atzīt reģistrācijas apliecību tikai tā iemesla dēļ, ka reģistrācijas apliecībā ir neprecīza informācija vai noteikta informācija tajā nav norādīta. </w:t>
      </w:r>
      <w:r w:rsidRPr="00343FEA">
        <w:rPr>
          <w:rFonts w:asciiTheme="majorBidi" w:hAnsiTheme="majorBidi" w:cstheme="majorBidi"/>
        </w:rPr>
        <w:t xml:space="preserve">Ņemot vērā minētajā normā </w:t>
      </w:r>
      <w:r w:rsidRPr="00343FEA">
        <w:rPr>
          <w:shd w:val="clear" w:color="auto" w:fill="FFFFFF"/>
        </w:rPr>
        <w:t xml:space="preserve">nostiprināto reģistrācijas apliecību savstarpējās atzīšanas pienākumu un Eiropas Savienības Tiesas sniegto šīs normas interpretāciju, Senāts atzīst, ka </w:t>
      </w:r>
      <w:r w:rsidRPr="00343FEA">
        <w:t xml:space="preserve">ar Lietuvas izsniegto transportlīdzekļa reģistrācijas apliecību parastos apstākļos būtu jāpietiek, lai tiktu veikta transportlīdzekļa pārreģistrācija. </w:t>
      </w:r>
    </w:p>
    <w:p w14:paraId="6EAA7512" w14:textId="0F02D347" w:rsidR="005C1D2A" w:rsidRPr="00343FEA" w:rsidRDefault="005C1D2A" w:rsidP="00343FEA">
      <w:pPr>
        <w:spacing w:line="276" w:lineRule="auto"/>
        <w:ind w:firstLine="567"/>
        <w:jc w:val="both"/>
        <w:rPr>
          <w:rFonts w:asciiTheme="majorBidi" w:hAnsiTheme="majorBidi" w:cstheme="majorBidi"/>
          <w:color w:val="000000"/>
        </w:rPr>
      </w:pPr>
      <w:r w:rsidRPr="00343FEA">
        <w:t xml:space="preserve">Izskatot lietu </w:t>
      </w:r>
      <w:r w:rsidR="00790C87" w:rsidRPr="00343FEA">
        <w:t>no jauna</w:t>
      </w:r>
      <w:r w:rsidRPr="00343FEA">
        <w:t xml:space="preserve">, tiesai ir jāvērtē šajā spriedumā norādītie priekšnoteikumi citā dalībvalstī izsniegtas reģistrācijas neatzīšanai, proti, vai </w:t>
      </w:r>
      <w:r w:rsidRPr="00343FEA">
        <w:rPr>
          <w:rFonts w:asciiTheme="majorBidi" w:hAnsiTheme="majorBidi" w:cstheme="majorBidi"/>
          <w:color w:val="000000"/>
        </w:rPr>
        <w:t xml:space="preserve">tajā trūkst kādu obligāti norādāmu ziņu, vai tajā norādītās ziņas neatbilst minētajam transportlīdzeklim un vai šo transportlīdzekli nav iespējams pēc šīs apliecības identificēt. </w:t>
      </w:r>
    </w:p>
    <w:p w14:paraId="1C5A2CC7" w14:textId="77777777" w:rsidR="005C1D2A" w:rsidRPr="00343FEA" w:rsidRDefault="005C1D2A" w:rsidP="00343FEA">
      <w:pPr>
        <w:spacing w:line="276" w:lineRule="auto"/>
        <w:ind w:firstLine="567"/>
        <w:jc w:val="both"/>
        <w:rPr>
          <w:shd w:val="clear" w:color="auto" w:fill="FFFFFF"/>
        </w:rPr>
      </w:pPr>
      <w:r w:rsidRPr="00343FEA">
        <w:rPr>
          <w:rFonts w:asciiTheme="majorBidi" w:hAnsiTheme="majorBidi" w:cstheme="majorBidi"/>
          <w:color w:val="000000"/>
        </w:rPr>
        <w:t>Tikai tad, ja vērtējuma rezultātā tiesa konstatēs, ka ir konstatējams kāds no minētajiem apstākļiem, lietā varēs atzīt, ka Lietuvas kompetentās iestādes izsniegtā reģistrācijas apliecība nevar tikt atzīta, proti, nevar būt pietiekams pamats transportlīdzekļa pārreģistrācijai Latvijā.</w:t>
      </w:r>
    </w:p>
    <w:p w14:paraId="1E8DF883" w14:textId="77777777" w:rsidR="00776B73" w:rsidRPr="00343FEA" w:rsidRDefault="00776B73" w:rsidP="00343FEA">
      <w:pPr>
        <w:spacing w:line="276" w:lineRule="auto"/>
        <w:ind w:firstLine="567"/>
        <w:jc w:val="both"/>
        <w:rPr>
          <w:rFonts w:asciiTheme="majorBidi" w:eastAsiaTheme="minorHAnsi" w:hAnsiTheme="majorBidi" w:cstheme="majorBidi"/>
          <w:lang w:eastAsia="en-US"/>
        </w:rPr>
      </w:pPr>
    </w:p>
    <w:p w14:paraId="15540C44" w14:textId="2AFC3DDB" w:rsidR="00D235AF" w:rsidRPr="00343FEA" w:rsidRDefault="00B8317C" w:rsidP="00343FEA">
      <w:pPr>
        <w:spacing w:line="276" w:lineRule="auto"/>
        <w:ind w:firstLine="567"/>
        <w:jc w:val="both"/>
        <w:rPr>
          <w:rFonts w:asciiTheme="majorBidi" w:eastAsiaTheme="minorHAnsi" w:hAnsiTheme="majorBidi" w:cstheme="majorBidi"/>
          <w:lang w:eastAsia="en-US"/>
        </w:rPr>
      </w:pPr>
      <w:r w:rsidRPr="00343FEA">
        <w:rPr>
          <w:rFonts w:asciiTheme="majorBidi" w:hAnsiTheme="majorBidi" w:cstheme="majorBidi"/>
          <w:shd w:val="clear" w:color="auto" w:fill="FFFFFF"/>
        </w:rPr>
        <w:t>[1</w:t>
      </w:r>
      <w:r w:rsidR="00C67EF9" w:rsidRPr="00343FEA">
        <w:rPr>
          <w:rFonts w:asciiTheme="majorBidi" w:hAnsiTheme="majorBidi" w:cstheme="majorBidi"/>
          <w:shd w:val="clear" w:color="auto" w:fill="FFFFFF"/>
        </w:rPr>
        <w:t>7</w:t>
      </w:r>
      <w:r w:rsidRPr="00343FEA">
        <w:rPr>
          <w:rFonts w:asciiTheme="majorBidi" w:hAnsiTheme="majorBidi" w:cstheme="majorBidi"/>
          <w:shd w:val="clear" w:color="auto" w:fill="FFFFFF"/>
        </w:rPr>
        <w:t>]</w:t>
      </w:r>
      <w:r w:rsidR="00F6234C" w:rsidRPr="00343FEA">
        <w:rPr>
          <w:rFonts w:asciiTheme="majorBidi" w:hAnsiTheme="majorBidi" w:cstheme="majorBidi"/>
          <w:shd w:val="clear" w:color="auto" w:fill="FFFFFF"/>
        </w:rPr>
        <w:t> </w:t>
      </w:r>
      <w:r w:rsidR="00D235AF" w:rsidRPr="00343FEA">
        <w:rPr>
          <w:rFonts w:asciiTheme="majorBidi" w:eastAsiaTheme="minorHAnsi" w:hAnsiTheme="majorBidi" w:cstheme="majorBidi"/>
          <w:lang w:eastAsia="en-US"/>
        </w:rPr>
        <w:t>Lietā nav strīda, ka transportlīdzeklis nav ražots Eiropas Savienības tirgum un tam</w:t>
      </w:r>
      <w:r w:rsidR="00B622BD" w:rsidRPr="00343FEA">
        <w:rPr>
          <w:rFonts w:asciiTheme="majorBidi" w:eastAsiaTheme="minorHAnsi" w:hAnsiTheme="majorBidi" w:cstheme="majorBidi"/>
          <w:lang w:eastAsia="en-US"/>
        </w:rPr>
        <w:t xml:space="preserve"> </w:t>
      </w:r>
      <w:r w:rsidR="00D235AF" w:rsidRPr="00343FEA">
        <w:rPr>
          <w:rFonts w:asciiTheme="majorBidi" w:eastAsiaTheme="minorHAnsi" w:hAnsiTheme="majorBidi" w:cstheme="majorBidi"/>
          <w:lang w:eastAsia="en-US"/>
        </w:rPr>
        <w:t xml:space="preserve">nav </w:t>
      </w:r>
      <w:r w:rsidR="00E05DFF" w:rsidRPr="00343FEA">
        <w:rPr>
          <w:rFonts w:asciiTheme="majorBidi" w:eastAsiaTheme="minorHAnsi" w:hAnsiTheme="majorBidi" w:cstheme="majorBidi"/>
          <w:lang w:eastAsia="en-US"/>
        </w:rPr>
        <w:t>EK</w:t>
      </w:r>
      <w:r w:rsidR="00D235AF" w:rsidRPr="00343FEA">
        <w:rPr>
          <w:rFonts w:asciiTheme="majorBidi" w:eastAsiaTheme="minorHAnsi" w:hAnsiTheme="majorBidi" w:cstheme="majorBidi"/>
          <w:lang w:eastAsia="en-US"/>
        </w:rPr>
        <w:t xml:space="preserve"> tipa apstiprinājuma. </w:t>
      </w:r>
    </w:p>
    <w:p w14:paraId="3C4FEEC9" w14:textId="1531C9C7" w:rsidR="00CD7C55" w:rsidRPr="00343FEA" w:rsidRDefault="00D5517A" w:rsidP="00343FEA">
      <w:pPr>
        <w:spacing w:line="276" w:lineRule="auto"/>
        <w:ind w:firstLine="567"/>
        <w:jc w:val="both"/>
        <w:rPr>
          <w:rFonts w:asciiTheme="majorBidi" w:eastAsiaTheme="minorHAnsi" w:hAnsiTheme="majorBidi" w:cstheme="majorBidi"/>
          <w:lang w:eastAsia="en-US"/>
        </w:rPr>
      </w:pPr>
      <w:r w:rsidRPr="00343FEA">
        <w:rPr>
          <w:rFonts w:asciiTheme="majorBidi" w:eastAsiaTheme="minorHAnsi" w:hAnsiTheme="majorBidi" w:cstheme="majorBidi"/>
          <w:lang w:eastAsia="en-US"/>
        </w:rPr>
        <w:lastRenderedPageBreak/>
        <w:t xml:space="preserve">Administratīvā rajona tiesa spriedumā, kura motivācijai apgabaltiesa ir pievienojusies, </w:t>
      </w:r>
      <w:r w:rsidR="00CD7C55" w:rsidRPr="00343FEA">
        <w:rPr>
          <w:rFonts w:asciiTheme="majorBidi" w:eastAsiaTheme="minorHAnsi" w:hAnsiTheme="majorBidi" w:cstheme="majorBidi"/>
          <w:lang w:eastAsia="en-US"/>
        </w:rPr>
        <w:t>secināja, ka Lietuvas kompetentās iestādes izsniegtā</w:t>
      </w:r>
      <w:r w:rsidR="00893900" w:rsidRPr="00343FEA">
        <w:rPr>
          <w:rFonts w:asciiTheme="majorBidi" w:eastAsiaTheme="minorHAnsi" w:hAnsiTheme="majorBidi" w:cstheme="majorBidi"/>
          <w:lang w:eastAsia="en-US"/>
        </w:rPr>
        <w:t>s</w:t>
      </w:r>
      <w:r w:rsidR="00CD7C55" w:rsidRPr="00343FEA">
        <w:rPr>
          <w:rFonts w:asciiTheme="majorBidi" w:eastAsiaTheme="minorHAnsi" w:hAnsiTheme="majorBidi" w:cstheme="majorBidi"/>
          <w:lang w:eastAsia="en-US"/>
        </w:rPr>
        <w:t xml:space="preserve"> reģistrācijas apliecības „K”</w:t>
      </w:r>
      <w:r w:rsidR="00361303" w:rsidRPr="00343FEA">
        <w:rPr>
          <w:rFonts w:asciiTheme="majorBidi" w:hAnsiTheme="majorBidi" w:cstheme="majorBidi"/>
        </w:rPr>
        <w:t> </w:t>
      </w:r>
      <w:r w:rsidR="00CD7C55" w:rsidRPr="00343FEA">
        <w:rPr>
          <w:rFonts w:asciiTheme="majorBidi" w:eastAsiaTheme="minorHAnsi" w:hAnsiTheme="majorBidi" w:cstheme="majorBidi"/>
          <w:lang w:eastAsia="en-US"/>
        </w:rPr>
        <w:t>apakšpunktā nav atzīmes par tipa apstiprinājumu, kā to paredz Direktīvas 1999/37/EK I</w:t>
      </w:r>
      <w:r w:rsidRPr="00343FEA">
        <w:rPr>
          <w:rFonts w:asciiTheme="majorBidi" w:eastAsiaTheme="minorHAnsi" w:hAnsiTheme="majorBidi" w:cstheme="majorBidi"/>
          <w:lang w:eastAsia="en-US"/>
        </w:rPr>
        <w:t> </w:t>
      </w:r>
      <w:r w:rsidR="00CD7C55" w:rsidRPr="00343FEA">
        <w:rPr>
          <w:rFonts w:asciiTheme="majorBidi" w:eastAsiaTheme="minorHAnsi" w:hAnsiTheme="majorBidi" w:cstheme="majorBidi"/>
          <w:lang w:eastAsia="en-US"/>
        </w:rPr>
        <w:t>pielikuma „K”</w:t>
      </w:r>
      <w:r w:rsidR="00C90296" w:rsidRPr="00343FEA">
        <w:rPr>
          <w:rFonts w:asciiTheme="majorBidi" w:eastAsiaTheme="minorHAnsi" w:hAnsiTheme="majorBidi" w:cstheme="majorBidi"/>
          <w:lang w:eastAsia="en-US"/>
        </w:rPr>
        <w:t> </w:t>
      </w:r>
      <w:r w:rsidR="00CD7C55" w:rsidRPr="00343FEA">
        <w:rPr>
          <w:rFonts w:asciiTheme="majorBidi" w:eastAsiaTheme="minorHAnsi" w:hAnsiTheme="majorBidi" w:cstheme="majorBidi"/>
          <w:lang w:eastAsia="en-US"/>
        </w:rPr>
        <w:t>apakšpunkts. Tāpat</w:t>
      </w:r>
      <w:r w:rsidR="00220677" w:rsidRPr="00343FEA">
        <w:rPr>
          <w:rFonts w:asciiTheme="majorBidi" w:eastAsiaTheme="minorHAnsi" w:hAnsiTheme="majorBidi" w:cstheme="majorBidi"/>
          <w:lang w:eastAsia="en-US"/>
        </w:rPr>
        <w:t xml:space="preserve"> izdrukā no Eiropas transportlīdzekļu un to vadītāju informatīvās sistēmas (</w:t>
      </w:r>
      <w:r w:rsidR="00220677" w:rsidRPr="00343FEA">
        <w:rPr>
          <w:rFonts w:asciiTheme="majorBidi" w:eastAsiaTheme="minorHAnsi" w:hAnsiTheme="majorBidi" w:cstheme="majorBidi"/>
          <w:i/>
          <w:iCs/>
          <w:lang w:eastAsia="en-US"/>
        </w:rPr>
        <w:t>EUCARIS</w:t>
      </w:r>
      <w:r w:rsidR="00220677" w:rsidRPr="00343FEA">
        <w:rPr>
          <w:rFonts w:asciiTheme="majorBidi" w:eastAsiaTheme="minorHAnsi" w:hAnsiTheme="majorBidi" w:cstheme="majorBidi"/>
          <w:lang w:eastAsia="en-US"/>
        </w:rPr>
        <w:t>) nav atzīmes par to, ka transportlīdzeklim Lietuvā izsniegts atbilstības apliecinājums.</w:t>
      </w:r>
      <w:r w:rsidR="00CC63EC" w:rsidRPr="00343FEA">
        <w:rPr>
          <w:rFonts w:asciiTheme="majorBidi" w:eastAsiaTheme="minorHAnsi" w:hAnsiTheme="majorBidi" w:cstheme="majorBidi"/>
          <w:lang w:eastAsia="en-US"/>
        </w:rPr>
        <w:t xml:space="preserve"> Tādējādi tiesa atzina, </w:t>
      </w:r>
      <w:r w:rsidR="00737D32" w:rsidRPr="00343FEA">
        <w:rPr>
          <w:rFonts w:asciiTheme="majorBidi" w:eastAsiaTheme="minorHAnsi" w:hAnsiTheme="majorBidi" w:cstheme="majorBidi"/>
          <w:lang w:eastAsia="en-US"/>
        </w:rPr>
        <w:t xml:space="preserve">ka lietā nav neviena pierādījuma, kas apliecinātu to, ka transportlīdzeklim Lietuvā </w:t>
      </w:r>
      <w:r w:rsidR="00E01881" w:rsidRPr="00343FEA">
        <w:rPr>
          <w:rFonts w:asciiTheme="majorBidi" w:eastAsiaTheme="minorHAnsi" w:hAnsiTheme="majorBidi" w:cstheme="majorBidi"/>
          <w:lang w:eastAsia="en-US"/>
        </w:rPr>
        <w:t>veikta atbilstības novērtēšana</w:t>
      </w:r>
      <w:r w:rsidR="00737D32" w:rsidRPr="00343FEA">
        <w:rPr>
          <w:rFonts w:asciiTheme="majorBidi" w:eastAsiaTheme="minorHAnsi" w:hAnsiTheme="majorBidi" w:cstheme="majorBidi"/>
          <w:lang w:eastAsia="en-US"/>
        </w:rPr>
        <w:t xml:space="preserve"> </w:t>
      </w:r>
      <w:r w:rsidR="008B5359" w:rsidRPr="00343FEA">
        <w:rPr>
          <w:rFonts w:asciiTheme="majorBidi" w:eastAsiaTheme="minorHAnsi" w:hAnsiTheme="majorBidi" w:cstheme="majorBidi"/>
          <w:lang w:eastAsia="en-US"/>
        </w:rPr>
        <w:t xml:space="preserve">atbilstoši Direktīvas 2007/46/EK prasībām, un </w:t>
      </w:r>
      <w:r w:rsidR="00CE24AB" w:rsidRPr="00343FEA">
        <w:rPr>
          <w:rFonts w:asciiTheme="majorBidi" w:eastAsiaTheme="minorHAnsi" w:hAnsiTheme="majorBidi" w:cstheme="majorBidi"/>
          <w:lang w:eastAsia="en-US"/>
        </w:rPr>
        <w:t xml:space="preserve">minētais ir pamats </w:t>
      </w:r>
      <w:r w:rsidR="00CA65F9" w:rsidRPr="00343FEA">
        <w:rPr>
          <w:rFonts w:asciiTheme="majorBidi" w:eastAsiaTheme="minorHAnsi" w:hAnsiTheme="majorBidi" w:cstheme="majorBidi"/>
          <w:lang w:eastAsia="en-US"/>
        </w:rPr>
        <w:t>citā dalībvalstī izsniegtas reģistrācijas apliecības neatzīšanai</w:t>
      </w:r>
      <w:r w:rsidR="00A54C8A" w:rsidRPr="00343FEA">
        <w:rPr>
          <w:rFonts w:asciiTheme="majorBidi" w:eastAsiaTheme="minorHAnsi" w:hAnsiTheme="majorBidi" w:cstheme="majorBidi"/>
          <w:lang w:eastAsia="en-US"/>
        </w:rPr>
        <w:t xml:space="preserve"> un atteikumam </w:t>
      </w:r>
      <w:r w:rsidR="00CA65F9" w:rsidRPr="00343FEA">
        <w:rPr>
          <w:rFonts w:asciiTheme="majorBidi" w:eastAsiaTheme="minorHAnsi" w:hAnsiTheme="majorBidi" w:cstheme="majorBidi"/>
          <w:lang w:eastAsia="en-US"/>
        </w:rPr>
        <w:t>transportlīdzek</w:t>
      </w:r>
      <w:r w:rsidR="00A54C8A" w:rsidRPr="00343FEA">
        <w:rPr>
          <w:rFonts w:asciiTheme="majorBidi" w:eastAsiaTheme="minorHAnsi" w:hAnsiTheme="majorBidi" w:cstheme="majorBidi"/>
          <w:lang w:eastAsia="en-US"/>
        </w:rPr>
        <w:t>li</w:t>
      </w:r>
      <w:r w:rsidR="00CA65F9" w:rsidRPr="00343FEA">
        <w:rPr>
          <w:rFonts w:asciiTheme="majorBidi" w:eastAsiaTheme="minorHAnsi" w:hAnsiTheme="majorBidi" w:cstheme="majorBidi"/>
          <w:lang w:eastAsia="en-US"/>
        </w:rPr>
        <w:t xml:space="preserve"> pārreģistr</w:t>
      </w:r>
      <w:r w:rsidR="00A54C8A" w:rsidRPr="00343FEA">
        <w:rPr>
          <w:rFonts w:asciiTheme="majorBidi" w:eastAsiaTheme="minorHAnsi" w:hAnsiTheme="majorBidi" w:cstheme="majorBidi"/>
          <w:lang w:eastAsia="en-US"/>
        </w:rPr>
        <w:t>ēt</w:t>
      </w:r>
      <w:r w:rsidR="00893900" w:rsidRPr="00343FEA">
        <w:rPr>
          <w:rFonts w:asciiTheme="majorBidi" w:eastAsiaTheme="minorHAnsi" w:hAnsiTheme="majorBidi" w:cstheme="majorBidi"/>
          <w:lang w:eastAsia="en-US"/>
        </w:rPr>
        <w:t xml:space="preserve"> (</w:t>
      </w:r>
      <w:r w:rsidR="00893900" w:rsidRPr="00343FEA">
        <w:rPr>
          <w:rFonts w:asciiTheme="majorBidi" w:eastAsiaTheme="minorHAnsi" w:hAnsiTheme="majorBidi" w:cstheme="majorBidi"/>
          <w:i/>
          <w:iCs/>
          <w:lang w:eastAsia="en-US"/>
        </w:rPr>
        <w:t>sprieduma 6.6.–6.7.punkts</w:t>
      </w:r>
      <w:r w:rsidR="00893900" w:rsidRPr="00343FEA">
        <w:rPr>
          <w:rFonts w:asciiTheme="majorBidi" w:eastAsiaTheme="minorHAnsi" w:hAnsiTheme="majorBidi" w:cstheme="majorBidi"/>
          <w:lang w:eastAsia="en-US"/>
        </w:rPr>
        <w:t>)</w:t>
      </w:r>
      <w:r w:rsidR="00A54C8A" w:rsidRPr="00343FEA">
        <w:rPr>
          <w:rFonts w:asciiTheme="majorBidi" w:eastAsiaTheme="minorHAnsi" w:hAnsiTheme="majorBidi" w:cstheme="majorBidi"/>
          <w:lang w:eastAsia="en-US"/>
        </w:rPr>
        <w:t>.</w:t>
      </w:r>
    </w:p>
    <w:p w14:paraId="4EE0D23D" w14:textId="5242D037" w:rsidR="00CE24AB" w:rsidRPr="00343FEA" w:rsidRDefault="00CE24AB" w:rsidP="00343FEA">
      <w:pPr>
        <w:spacing w:line="276" w:lineRule="auto"/>
        <w:ind w:firstLine="567"/>
        <w:jc w:val="both"/>
        <w:rPr>
          <w:rFonts w:asciiTheme="majorBidi" w:hAnsiTheme="majorBidi" w:cstheme="majorBidi"/>
          <w:shd w:val="clear" w:color="auto" w:fill="FFFFFF"/>
        </w:rPr>
      </w:pPr>
      <w:r w:rsidRPr="00343FEA">
        <w:rPr>
          <w:rFonts w:asciiTheme="majorBidi" w:hAnsiTheme="majorBidi" w:cstheme="majorBidi"/>
          <w:shd w:val="clear" w:color="auto" w:fill="FFFFFF"/>
        </w:rPr>
        <w:t>Savukārt p</w:t>
      </w:r>
      <w:r w:rsidRPr="00343FEA">
        <w:rPr>
          <w:rFonts w:asciiTheme="majorBidi" w:eastAsiaTheme="minorHAnsi" w:hAnsiTheme="majorBidi" w:cstheme="majorBidi"/>
          <w:lang w:eastAsia="en-US"/>
        </w:rPr>
        <w:t>ieteicējs uzskata, ka prasība</w:t>
      </w:r>
      <w:r w:rsidRPr="00343FEA">
        <w:rPr>
          <w:rFonts w:asciiTheme="majorBidi" w:hAnsiTheme="majorBidi" w:cstheme="majorBidi"/>
          <w:shd w:val="clear" w:color="auto" w:fill="FFFFFF"/>
        </w:rPr>
        <w:t xml:space="preserve"> </w:t>
      </w:r>
      <w:r w:rsidRPr="00343FEA">
        <w:rPr>
          <w:rFonts w:asciiTheme="majorBidi" w:eastAsiaTheme="minorHAnsi" w:hAnsiTheme="majorBidi" w:cstheme="majorBidi"/>
          <w:lang w:eastAsia="en-US"/>
        </w:rPr>
        <w:t>iesniegt atbilstības apliecinājumu tāda transportlīdzekļa pārreģistrācijai, kurš iepriekš jau ir reģistrēts citā dalībvalstī, ir pretrunā Direktīvas</w:t>
      </w:r>
      <w:r w:rsidR="00361303" w:rsidRPr="00343FEA">
        <w:rPr>
          <w:rFonts w:asciiTheme="majorBidi" w:eastAsiaTheme="minorHAnsi" w:hAnsiTheme="majorBidi" w:cstheme="majorBidi"/>
          <w:lang w:eastAsia="en-US"/>
        </w:rPr>
        <w:t xml:space="preserve"> </w:t>
      </w:r>
      <w:r w:rsidRPr="00343FEA">
        <w:rPr>
          <w:rFonts w:asciiTheme="majorBidi" w:eastAsiaTheme="minorHAnsi" w:hAnsiTheme="majorBidi" w:cstheme="majorBidi"/>
          <w:lang w:eastAsia="en-US"/>
        </w:rPr>
        <w:t>1999/37/EK 4.</w:t>
      </w:r>
      <w:r w:rsidR="009E3038" w:rsidRPr="00343FEA">
        <w:rPr>
          <w:rFonts w:asciiTheme="majorBidi" w:eastAsiaTheme="minorHAnsi" w:hAnsiTheme="majorBidi" w:cstheme="majorBidi"/>
          <w:lang w:eastAsia="en-US"/>
        </w:rPr>
        <w:t>pantam</w:t>
      </w:r>
      <w:r w:rsidRPr="00343FEA">
        <w:rPr>
          <w:rFonts w:asciiTheme="majorBidi" w:hAnsiTheme="majorBidi" w:cstheme="majorBidi"/>
          <w:shd w:val="clear" w:color="auto" w:fill="FFFFFF"/>
        </w:rPr>
        <w:t xml:space="preserve">, kas </w:t>
      </w:r>
      <w:r w:rsidR="009D7F06" w:rsidRPr="00343FEA">
        <w:rPr>
          <w:rFonts w:asciiTheme="majorBidi" w:hAnsiTheme="majorBidi" w:cstheme="majorBidi"/>
          <w:shd w:val="clear" w:color="auto" w:fill="FFFFFF"/>
        </w:rPr>
        <w:t>nosaka:</w:t>
      </w:r>
      <w:r w:rsidRPr="00343FEA">
        <w:rPr>
          <w:rFonts w:asciiTheme="majorBidi" w:hAnsiTheme="majorBidi" w:cstheme="majorBidi"/>
          <w:shd w:val="clear" w:color="auto" w:fill="FFFFFF"/>
        </w:rPr>
        <w:t xml:space="preserve"> reģistrācijas apliecību, ko izsniegusi kāda dalībvalsts, atzīst pārējās dalībvalstis, lai transportlīdzekli identificētu starptautiskajā satiksmē vai pārreģistrētu citā dalībvalstī.</w:t>
      </w:r>
      <w:r w:rsidR="00D5517A" w:rsidRPr="00343FEA">
        <w:rPr>
          <w:rFonts w:asciiTheme="majorBidi" w:hAnsiTheme="majorBidi" w:cstheme="majorBidi"/>
          <w:shd w:val="clear" w:color="auto" w:fill="FFFFFF"/>
        </w:rPr>
        <w:t xml:space="preserve"> </w:t>
      </w:r>
    </w:p>
    <w:p w14:paraId="42C6594B" w14:textId="77777777" w:rsidR="00790C87" w:rsidRPr="00343FEA" w:rsidRDefault="00790C87" w:rsidP="00343FEA">
      <w:pPr>
        <w:spacing w:line="276" w:lineRule="auto"/>
        <w:ind w:firstLine="567"/>
        <w:jc w:val="both"/>
        <w:rPr>
          <w:rFonts w:asciiTheme="majorBidi" w:hAnsiTheme="majorBidi" w:cstheme="majorBidi"/>
          <w:shd w:val="clear" w:color="auto" w:fill="FFFFFF"/>
        </w:rPr>
      </w:pPr>
    </w:p>
    <w:p w14:paraId="2614DFC5" w14:textId="5B1C6386" w:rsidR="00233669" w:rsidRPr="00343FEA" w:rsidRDefault="00233669" w:rsidP="00343FEA">
      <w:pPr>
        <w:spacing w:line="276" w:lineRule="auto"/>
        <w:ind w:firstLine="567"/>
        <w:jc w:val="both"/>
        <w:rPr>
          <w:rFonts w:asciiTheme="majorBidi" w:hAnsiTheme="majorBidi" w:cstheme="majorBidi"/>
        </w:rPr>
      </w:pPr>
      <w:r w:rsidRPr="00343FEA">
        <w:rPr>
          <w:rFonts w:asciiTheme="majorBidi" w:hAnsiTheme="majorBidi" w:cstheme="majorBidi"/>
          <w:i/>
          <w:iCs/>
        </w:rPr>
        <w:t>Par prejudiciālo jautājumu uzdošanu Eiropas Savienības Tiesai</w:t>
      </w:r>
    </w:p>
    <w:p w14:paraId="3D5A5E8C" w14:textId="26B9FD21" w:rsidR="005A6840" w:rsidRPr="00343FEA" w:rsidRDefault="00CA7267" w:rsidP="00343FEA">
      <w:pPr>
        <w:spacing w:line="276" w:lineRule="auto"/>
        <w:ind w:firstLine="720"/>
        <w:contextualSpacing/>
        <w:jc w:val="both"/>
      </w:pPr>
      <w:r w:rsidRPr="00343FEA">
        <w:t>[</w:t>
      </w:r>
      <w:r w:rsidR="00233669" w:rsidRPr="00343FEA">
        <w:t>1</w:t>
      </w:r>
      <w:r w:rsidR="0049580A" w:rsidRPr="00343FEA">
        <w:t>8</w:t>
      </w:r>
      <w:r w:rsidRPr="00343FEA">
        <w:t>]</w:t>
      </w:r>
      <w:r w:rsidR="008312EF" w:rsidRPr="00343FEA">
        <w:t> </w:t>
      </w:r>
      <w:r w:rsidR="005A6840" w:rsidRPr="00343FEA">
        <w:t>Kasācijas sūdzībā ietverts lūgums uzdot Eiropas Savienības Tiesai prejudiciālos jautājumus par kompetentās iestādes rīcības</w:t>
      </w:r>
      <w:r w:rsidR="00F637CF" w:rsidRPr="00343FEA">
        <w:t>,</w:t>
      </w:r>
      <w:r w:rsidR="005A6840" w:rsidRPr="00343FEA">
        <w:t xml:space="preserve"> </w:t>
      </w:r>
      <w:r w:rsidR="00305F6A" w:rsidRPr="00343FEA">
        <w:t>atsakot reģistrēt transportlīdzekli, kas citas dalībvalsts reģistrā bijis reģistrēts vairāk nekā 10</w:t>
      </w:r>
      <w:r w:rsidR="00361303" w:rsidRPr="00343FEA">
        <w:t> </w:t>
      </w:r>
      <w:r w:rsidR="00305F6A" w:rsidRPr="00343FEA">
        <w:t xml:space="preserve">gadus, vai pieprasot veikt atbilstības pārbaudi tāpēc, ka trūkst datu </w:t>
      </w:r>
      <w:r w:rsidR="00305F6A" w:rsidRPr="00343FEA">
        <w:rPr>
          <w:i/>
          <w:iCs/>
        </w:rPr>
        <w:t>EUCARIS</w:t>
      </w:r>
      <w:r w:rsidR="00305F6A" w:rsidRPr="00343FEA">
        <w:t xml:space="preserve"> sistēmā vai informācijas par iepriekš veiktu atbilstības novērtējumu, </w:t>
      </w:r>
      <w:r w:rsidR="00F637CF" w:rsidRPr="00343FEA">
        <w:t xml:space="preserve">atbilstību </w:t>
      </w:r>
      <w:r w:rsidR="005A6840" w:rsidRPr="00343FEA">
        <w:t>Eiropas Savienības tiesību normām</w:t>
      </w:r>
      <w:r w:rsidR="00305F6A" w:rsidRPr="00343FEA">
        <w:t>, proti</w:t>
      </w:r>
      <w:r w:rsidR="00A72770" w:rsidRPr="00343FEA">
        <w:t>,</w:t>
      </w:r>
      <w:r w:rsidR="00305F6A" w:rsidRPr="00343FEA">
        <w:t xml:space="preserve"> </w:t>
      </w:r>
      <w:r w:rsidR="00A72770" w:rsidRPr="00343FEA">
        <w:t xml:space="preserve">Direktīvai </w:t>
      </w:r>
      <w:r w:rsidR="00305F6A" w:rsidRPr="00343FEA">
        <w:t>2007/46/EK un Direktīva</w:t>
      </w:r>
      <w:r w:rsidR="00F637CF" w:rsidRPr="00343FEA">
        <w:t>i</w:t>
      </w:r>
      <w:r w:rsidR="00305F6A" w:rsidRPr="00343FEA">
        <w:t xml:space="preserve"> 1999/37/EK, kā arī Līguma par Eiropas Savienības darbību 34.pantam</w:t>
      </w:r>
      <w:r w:rsidR="005A6840" w:rsidRPr="00343FEA">
        <w:t>.</w:t>
      </w:r>
    </w:p>
    <w:p w14:paraId="4EE9E844" w14:textId="5038B891" w:rsidR="005A6840" w:rsidRPr="00343FEA" w:rsidRDefault="005A6840" w:rsidP="00343FEA">
      <w:pPr>
        <w:spacing w:line="276" w:lineRule="auto"/>
        <w:ind w:firstLine="720"/>
        <w:contextualSpacing/>
        <w:jc w:val="both"/>
      </w:pPr>
      <w:r w:rsidRPr="00343FEA">
        <w:t xml:space="preserve">Eiropas Savienības Tiesas kompetence prejudiciālo nolēmumu procedūrā noteikta Līguma par Eiropas Savienību darbību 267.pantā un skaidrota Eiropas Savienības Tiesas judikatūrā (sk. šajā jautājumā īpaši </w:t>
      </w:r>
      <w:r w:rsidRPr="00343FEA">
        <w:rPr>
          <w:i/>
          <w:iCs/>
        </w:rPr>
        <w:t xml:space="preserve">Eiropas Savienības Tiesas 2021.gada 6.oktobra sprieduma lietā „Consorzio Italian Management e Catania Multiservizi un Catania Multiservizi”, C-561/19, </w:t>
      </w:r>
      <w:hyperlink r:id="rId19" w:history="1">
        <w:r w:rsidRPr="00343FEA">
          <w:rPr>
            <w:rStyle w:val="Hyperlink"/>
            <w:i/>
            <w:iCs/>
          </w:rPr>
          <w:t>ECLI:EU:C:2021:799</w:t>
        </w:r>
      </w:hyperlink>
      <w:r w:rsidR="00A72770" w:rsidRPr="00343FEA">
        <w:rPr>
          <w:rStyle w:val="Hyperlink"/>
          <w:i/>
          <w:iCs/>
        </w:rPr>
        <w:t>,</w:t>
      </w:r>
      <w:r w:rsidRPr="00343FEA">
        <w:rPr>
          <w:i/>
          <w:iCs/>
        </w:rPr>
        <w:t xml:space="preserve"> 68.</w:t>
      </w:r>
      <w:r w:rsidR="00A72770" w:rsidRPr="00343FEA">
        <w:rPr>
          <w:i/>
          <w:iCs/>
        </w:rPr>
        <w:t xml:space="preserve"> </w:t>
      </w:r>
      <w:r w:rsidRPr="00343FEA">
        <w:rPr>
          <w:i/>
          <w:iCs/>
        </w:rPr>
        <w:t>un 69.punktu</w:t>
      </w:r>
      <w:r w:rsidRPr="00343FEA">
        <w:t>).</w:t>
      </w:r>
    </w:p>
    <w:p w14:paraId="7E805683" w14:textId="121C8E32" w:rsidR="005A6840" w:rsidRPr="00343FEA" w:rsidRDefault="005A6840" w:rsidP="00343FEA">
      <w:pPr>
        <w:spacing w:line="276" w:lineRule="auto"/>
        <w:ind w:firstLine="720"/>
        <w:contextualSpacing/>
        <w:jc w:val="both"/>
      </w:pPr>
      <w:r w:rsidRPr="00343FEA">
        <w:t>Atbilstoši šai judikatūrai Senāts novērtēs kasator</w:t>
      </w:r>
      <w:r w:rsidR="00305F6A" w:rsidRPr="00343FEA">
        <w:t>a</w:t>
      </w:r>
      <w:r w:rsidRPr="00343FEA">
        <w:t xml:space="preserve"> izvirzītos iespējamo</w:t>
      </w:r>
      <w:r w:rsidR="00227028" w:rsidRPr="00343FEA">
        <w:t>s</w:t>
      </w:r>
      <w:r w:rsidRPr="00343FEA">
        <w:t xml:space="preserve"> prejudiciālo</w:t>
      </w:r>
      <w:r w:rsidR="00227028" w:rsidRPr="00343FEA">
        <w:t>s</w:t>
      </w:r>
      <w:r w:rsidRPr="00343FEA">
        <w:t xml:space="preserve"> jautājumus un to uzdošanai norādīto pamatojumu.</w:t>
      </w:r>
    </w:p>
    <w:p w14:paraId="1C83C951" w14:textId="7B6F993B" w:rsidR="005A6840" w:rsidRPr="00343FEA" w:rsidRDefault="005A6840" w:rsidP="00343FEA">
      <w:pPr>
        <w:spacing w:line="276" w:lineRule="auto"/>
        <w:ind w:firstLine="720"/>
        <w:contextualSpacing/>
        <w:jc w:val="both"/>
        <w:rPr>
          <w:color w:val="000000"/>
        </w:rPr>
      </w:pPr>
      <w:r w:rsidRPr="00343FEA">
        <w:rPr>
          <w:color w:val="000000"/>
        </w:rPr>
        <w:t xml:space="preserve">Senāts secina, ka </w:t>
      </w:r>
      <w:r w:rsidR="00E259F6" w:rsidRPr="00343FEA">
        <w:rPr>
          <w:color w:val="000000"/>
        </w:rPr>
        <w:t xml:space="preserve">norādītais pamatojums – nolēmums šajā lietā acīmredzami skar Eiropas Savienības tiesību piemērošanu un interpretāciju – nav pietiekams, lai Senātam būtu iespējams to izvērtēt un argumentēti atbildēt. </w:t>
      </w:r>
    </w:p>
    <w:p w14:paraId="4A8BEAEF" w14:textId="4386E352" w:rsidR="005A6840" w:rsidRPr="00343FEA" w:rsidRDefault="005A6840" w:rsidP="00343FEA">
      <w:pPr>
        <w:spacing w:line="276" w:lineRule="auto"/>
        <w:ind w:firstLine="720"/>
        <w:contextualSpacing/>
        <w:jc w:val="both"/>
        <w:rPr>
          <w:lang w:eastAsia="lv-LV"/>
        </w:rPr>
      </w:pPr>
      <w:r w:rsidRPr="00343FEA">
        <w:t>Eiropas Savienības Tiesas Reglamenta 94.panta „c”</w:t>
      </w:r>
      <w:r w:rsidR="00361303" w:rsidRPr="00343FEA">
        <w:t> </w:t>
      </w:r>
      <w:r w:rsidRPr="00343FEA">
        <w:t xml:space="preserve">apakšpunktā norādīts pienākums lēmumā par prejudiciālo jautājumu uzdošanu ietvert to iemeslu izklāstu, kas likuši šaubīties par Eiropas Savienības tiesību normas interpretāciju vai spēkā esību, kā arī saikni starp attiecīgajām Eiropas Savienības tiesību normām un pamatlietai piemērojamiem valsts tiesību aktiem. Minētās Reglamenta normas neizpilde var būt pamats atzīt pieteikumu par acīmredzami nepieņemamu (piemēram, </w:t>
      </w:r>
      <w:r w:rsidRPr="00343FEA">
        <w:rPr>
          <w:i/>
          <w:iCs/>
        </w:rPr>
        <w:t xml:space="preserve">Eiropas Savienības Tiesas 2014.gada 3.jūlija rīkojums lietā „Talasca”, C-19/14, </w:t>
      </w:r>
      <w:hyperlink r:id="rId20" w:history="1">
        <w:r w:rsidRPr="00343FEA">
          <w:rPr>
            <w:rStyle w:val="Hyperlink"/>
            <w:i/>
            <w:iCs/>
          </w:rPr>
          <w:t>ECLI:EU:C:2014:2049</w:t>
        </w:r>
      </w:hyperlink>
      <w:r w:rsidRPr="00343FEA">
        <w:t>).</w:t>
      </w:r>
      <w:r w:rsidR="00E259F6" w:rsidRPr="00343FEA">
        <w:t xml:space="preserve"> </w:t>
      </w:r>
      <w:r w:rsidRPr="00343FEA">
        <w:t xml:space="preserve">Tādējādi </w:t>
      </w:r>
      <w:r w:rsidR="00E259F6" w:rsidRPr="00343FEA">
        <w:t xml:space="preserve">norādītais pamatojums </w:t>
      </w:r>
      <w:r w:rsidRPr="00343FEA">
        <w:t>iespējam</w:t>
      </w:r>
      <w:r w:rsidR="00285DFE" w:rsidRPr="00343FEA">
        <w:t xml:space="preserve">iem </w:t>
      </w:r>
      <w:r w:rsidRPr="00343FEA">
        <w:t>uzdodamie</w:t>
      </w:r>
      <w:r w:rsidR="00F637CF" w:rsidRPr="00343FEA">
        <w:t>m</w:t>
      </w:r>
      <w:r w:rsidRPr="00343FEA">
        <w:t xml:space="preserve"> jautājumi</w:t>
      </w:r>
      <w:r w:rsidR="00285DFE" w:rsidRPr="00343FEA">
        <w:t>em</w:t>
      </w:r>
      <w:r w:rsidRPr="00343FEA">
        <w:t xml:space="preserve"> atbilstoši Eiropas Savienības Tiesas judikatūrai </w:t>
      </w:r>
      <w:r w:rsidR="009F6C68" w:rsidRPr="00343FEA">
        <w:t xml:space="preserve">pats par sevi nav </w:t>
      </w:r>
      <w:r w:rsidR="00A72770" w:rsidRPr="00343FEA">
        <w:t>pietiekams</w:t>
      </w:r>
      <w:r w:rsidR="009F6C68" w:rsidRPr="00343FEA">
        <w:t xml:space="preserve">, lai šajā lietas izskatīšanas stadijā Senātam būtu nepieciešams vērsties Eiropas Savienības Tiesā. </w:t>
      </w:r>
    </w:p>
    <w:p w14:paraId="74C09F9F" w14:textId="32327E2A" w:rsidR="005A6840" w:rsidRPr="00343FEA" w:rsidRDefault="005A6840" w:rsidP="00343FEA">
      <w:pPr>
        <w:spacing w:line="276" w:lineRule="auto"/>
        <w:ind w:firstLine="720"/>
        <w:contextualSpacing/>
        <w:jc w:val="both"/>
        <w:rPr>
          <w:color w:val="000000"/>
        </w:rPr>
      </w:pPr>
      <w:r w:rsidRPr="00343FEA">
        <w:rPr>
          <w:color w:val="000000"/>
        </w:rPr>
        <w:t xml:space="preserve">Vienlaikus Senāts uzskata par nepieciešamu </w:t>
      </w:r>
      <w:r w:rsidR="00285DFE" w:rsidRPr="00343FEA">
        <w:rPr>
          <w:color w:val="000000"/>
        </w:rPr>
        <w:t xml:space="preserve">norādīt, ka uz izskatāmo lietu attiecināmās Eiropas Savienības tiesību </w:t>
      </w:r>
      <w:r w:rsidRPr="00343FEA">
        <w:rPr>
          <w:color w:val="000000"/>
        </w:rPr>
        <w:t>norm</w:t>
      </w:r>
      <w:r w:rsidR="00285DFE" w:rsidRPr="00343FEA">
        <w:rPr>
          <w:color w:val="000000"/>
        </w:rPr>
        <w:t xml:space="preserve">as </w:t>
      </w:r>
      <w:r w:rsidRPr="00343FEA">
        <w:rPr>
          <w:color w:val="000000"/>
        </w:rPr>
        <w:t>ir skaidra</w:t>
      </w:r>
      <w:r w:rsidR="00285DFE" w:rsidRPr="00343FEA">
        <w:rPr>
          <w:color w:val="000000"/>
        </w:rPr>
        <w:t>s</w:t>
      </w:r>
      <w:r w:rsidRPr="00343FEA">
        <w:rPr>
          <w:color w:val="000000"/>
        </w:rPr>
        <w:t xml:space="preserve">. Turklāt arī </w:t>
      </w:r>
      <w:r w:rsidR="00285DFE" w:rsidRPr="00343FEA">
        <w:rPr>
          <w:color w:val="000000"/>
        </w:rPr>
        <w:t xml:space="preserve">šajā spriedumā </w:t>
      </w:r>
      <w:r w:rsidR="00A72770" w:rsidRPr="00343FEA">
        <w:rPr>
          <w:color w:val="000000"/>
        </w:rPr>
        <w:t xml:space="preserve">analizētā </w:t>
      </w:r>
      <w:r w:rsidR="00285DFE" w:rsidRPr="00343FEA">
        <w:rPr>
          <w:color w:val="000000"/>
        </w:rPr>
        <w:t xml:space="preserve">un vērā ņemtā Eiropas Savienības Tiesas judikatūra </w:t>
      </w:r>
      <w:r w:rsidRPr="00343FEA">
        <w:rPr>
          <w:color w:val="000000"/>
        </w:rPr>
        <w:t xml:space="preserve">pastiprina šo normu izpratni (sk. </w:t>
      </w:r>
      <w:r w:rsidR="00285DFE" w:rsidRPr="00343FEA">
        <w:rPr>
          <w:i/>
          <w:iCs/>
          <w:color w:val="000000"/>
        </w:rPr>
        <w:t>š</w:t>
      </w:r>
      <w:r w:rsidR="000939B1" w:rsidRPr="00343FEA">
        <w:rPr>
          <w:i/>
          <w:iCs/>
          <w:color w:val="000000"/>
        </w:rPr>
        <w:t>ā</w:t>
      </w:r>
      <w:r w:rsidR="00285DFE" w:rsidRPr="00343FEA">
        <w:rPr>
          <w:i/>
          <w:iCs/>
          <w:color w:val="000000"/>
        </w:rPr>
        <w:t xml:space="preserve"> sprieduma </w:t>
      </w:r>
      <w:r w:rsidR="0049701A" w:rsidRPr="00343FEA">
        <w:rPr>
          <w:i/>
          <w:iCs/>
          <w:color w:val="000000"/>
        </w:rPr>
        <w:t>10</w:t>
      </w:r>
      <w:r w:rsidR="00285DFE" w:rsidRPr="00343FEA">
        <w:rPr>
          <w:i/>
          <w:iCs/>
          <w:color w:val="000000"/>
        </w:rPr>
        <w:t>.punktā norādīto Eiropas Savienības Tiesas judikatūru</w:t>
      </w:r>
      <w:r w:rsidR="00285DFE" w:rsidRPr="00343FEA">
        <w:rPr>
          <w:color w:val="000000"/>
        </w:rPr>
        <w:t>)</w:t>
      </w:r>
      <w:r w:rsidR="00A72770" w:rsidRPr="00343FEA">
        <w:rPr>
          <w:color w:val="000000"/>
        </w:rPr>
        <w:t>.</w:t>
      </w:r>
      <w:r w:rsidRPr="00343FEA">
        <w:rPr>
          <w:color w:val="000000"/>
        </w:rPr>
        <w:t xml:space="preserve"> </w:t>
      </w:r>
    </w:p>
    <w:p w14:paraId="05568A7F" w14:textId="59424947" w:rsidR="008312EF" w:rsidRPr="00343FEA" w:rsidRDefault="00353D29" w:rsidP="00343FEA">
      <w:pPr>
        <w:spacing w:line="276" w:lineRule="auto"/>
        <w:ind w:firstLine="567"/>
        <w:jc w:val="both"/>
      </w:pPr>
      <w:r w:rsidRPr="00343FEA">
        <w:lastRenderedPageBreak/>
        <w:t>L</w:t>
      </w:r>
      <w:r w:rsidR="008312EF" w:rsidRPr="00343FEA">
        <w:t xml:space="preserve">ietā nav saskatāmas tādas neskaidrības par Eiropas Savienības tiesību aktu interpretāciju, kas varētu būt par pamatu kasācijas </w:t>
      </w:r>
      <w:r w:rsidR="00CA7267" w:rsidRPr="00343FEA">
        <w:t>sūdzībā izteikt</w:t>
      </w:r>
      <w:r w:rsidR="008312EF" w:rsidRPr="00343FEA">
        <w:t>ā</w:t>
      </w:r>
      <w:r w:rsidR="00CA7267" w:rsidRPr="00343FEA">
        <w:t xml:space="preserve"> lūgum</w:t>
      </w:r>
      <w:r w:rsidR="008312EF" w:rsidRPr="00343FEA">
        <w:t>a</w:t>
      </w:r>
      <w:r w:rsidR="00CA7267" w:rsidRPr="00343FEA">
        <w:t xml:space="preserve"> vērsties Eiropas Savienības Tiesā ar prejudiciāl</w:t>
      </w:r>
      <w:r w:rsidR="00BD4BB0" w:rsidRPr="00343FEA">
        <w:t xml:space="preserve">u </w:t>
      </w:r>
      <w:r w:rsidR="00CA7267" w:rsidRPr="00343FEA">
        <w:t>jautājum</w:t>
      </w:r>
      <w:r w:rsidR="00BD4BB0" w:rsidRPr="00343FEA">
        <w:t xml:space="preserve">u </w:t>
      </w:r>
      <w:r w:rsidR="008312EF" w:rsidRPr="00343FEA">
        <w:t>apmierināšanai. Eiropas Savienības Tiesa jau ir izteikusi</w:t>
      </w:r>
      <w:r w:rsidR="006B0EDB" w:rsidRPr="00343FEA">
        <w:t>es</w:t>
      </w:r>
      <w:r w:rsidR="008312EF" w:rsidRPr="00343FEA">
        <w:t xml:space="preserve"> par lietā piemērojamo Eiropas Savienības tiesību normu piemērošanu, un š</w:t>
      </w:r>
      <w:r w:rsidR="00A564C6" w:rsidRPr="00343FEA">
        <w:t>i</w:t>
      </w:r>
      <w:r w:rsidR="008312EF" w:rsidRPr="00343FEA">
        <w:t xml:space="preserve">s </w:t>
      </w:r>
      <w:r w:rsidR="006B0EDB" w:rsidRPr="00343FEA">
        <w:t>spriedums tām atbilst</w:t>
      </w:r>
      <w:r w:rsidR="008312EF" w:rsidRPr="00343FEA">
        <w:t>.</w:t>
      </w:r>
    </w:p>
    <w:p w14:paraId="255F896F" w14:textId="77777777" w:rsidR="009A6695" w:rsidRPr="00343FEA" w:rsidRDefault="009A6695" w:rsidP="00343FEA">
      <w:pPr>
        <w:spacing w:line="276" w:lineRule="auto"/>
        <w:ind w:firstLine="567"/>
        <w:jc w:val="both"/>
        <w:rPr>
          <w:rFonts w:ascii="TimesNewRomanPSMT" w:eastAsiaTheme="minorHAnsi" w:hAnsi="TimesNewRomanPSMT" w:cs="TimesNewRomanPSMT"/>
          <w:lang w:eastAsia="en-US"/>
        </w:rPr>
      </w:pPr>
    </w:p>
    <w:p w14:paraId="1FE29A66" w14:textId="0227E660" w:rsidR="004B4936" w:rsidRPr="00343FEA" w:rsidRDefault="004B4936" w:rsidP="00343FEA">
      <w:pPr>
        <w:autoSpaceDE w:val="0"/>
        <w:autoSpaceDN w:val="0"/>
        <w:adjustRightInd w:val="0"/>
        <w:spacing w:line="276" w:lineRule="auto"/>
        <w:ind w:firstLine="567"/>
        <w:jc w:val="both"/>
      </w:pPr>
      <w:r w:rsidRPr="00343FEA">
        <w:t>[</w:t>
      </w:r>
      <w:r w:rsidR="00A72770" w:rsidRPr="00343FEA">
        <w:t>19</w:t>
      </w:r>
      <w:r w:rsidRPr="00343FEA">
        <w:t>]</w:t>
      </w:r>
      <w:r w:rsidR="0057567A" w:rsidRPr="00343FEA">
        <w:t> </w:t>
      </w:r>
      <w:r w:rsidRPr="00343FEA">
        <w:t>Ņemot vērā minēto, Senāts atzīst</w:t>
      </w:r>
      <w:r w:rsidR="00C3371F" w:rsidRPr="00343FEA">
        <w:t xml:space="preserve"> par pamatotiem kasācijas sūdzībā izteiktos iebildumus, ka </w:t>
      </w:r>
      <w:r w:rsidRPr="00343FEA">
        <w:t>apgabaltiesa</w:t>
      </w:r>
      <w:r w:rsidR="00353D29" w:rsidRPr="00343FEA">
        <w:t xml:space="preserve"> nav ņēmusi vērā Eiropas Savienības Tiesas </w:t>
      </w:r>
      <w:r w:rsidR="00184DE6" w:rsidRPr="00343FEA">
        <w:t xml:space="preserve">sniegto Eiropas Savienības tiesību normu interpretāciju, </w:t>
      </w:r>
      <w:r w:rsidR="003D0A38" w:rsidRPr="00343FEA">
        <w:t xml:space="preserve">un tas </w:t>
      </w:r>
      <w:r w:rsidR="00184DE6" w:rsidRPr="00343FEA">
        <w:t xml:space="preserve">varēja ietekmēt lietas </w:t>
      </w:r>
      <w:r w:rsidR="00C3371F" w:rsidRPr="00343FEA">
        <w:t>rezultātu</w:t>
      </w:r>
      <w:r w:rsidR="00184DE6" w:rsidRPr="00343FEA">
        <w:t>. Līdz ar to</w:t>
      </w:r>
      <w:r w:rsidR="00C3371F" w:rsidRPr="00343FEA">
        <w:t xml:space="preserve"> apgabaltiesas spriedums ir atceļams un lieta nododama jaunai izskatīšanai apgabaltiesā.</w:t>
      </w:r>
    </w:p>
    <w:p w14:paraId="33A838A8" w14:textId="17FB88D0" w:rsidR="00CC3ACA" w:rsidRPr="00343FEA" w:rsidRDefault="00CC3ACA" w:rsidP="00343FEA">
      <w:pPr>
        <w:spacing w:line="276" w:lineRule="auto"/>
        <w:jc w:val="both"/>
        <w:rPr>
          <w:rFonts w:asciiTheme="majorBidi" w:hAnsiTheme="majorBidi" w:cstheme="majorBidi"/>
          <w:shd w:val="clear" w:color="auto" w:fill="FFFFFF"/>
        </w:rPr>
      </w:pPr>
    </w:p>
    <w:p w14:paraId="71BCDEC6" w14:textId="77777777" w:rsidR="005E0B8C" w:rsidRPr="00343FEA" w:rsidRDefault="005E0B8C" w:rsidP="00343FEA">
      <w:pPr>
        <w:spacing w:line="276" w:lineRule="auto"/>
        <w:jc w:val="center"/>
        <w:rPr>
          <w:b/>
        </w:rPr>
      </w:pPr>
      <w:r w:rsidRPr="00343FEA">
        <w:rPr>
          <w:b/>
        </w:rPr>
        <w:t>Rezolutīvā daļa</w:t>
      </w:r>
    </w:p>
    <w:p w14:paraId="75BB3941" w14:textId="77777777" w:rsidR="005E0B8C" w:rsidRPr="00343FEA" w:rsidRDefault="005E0B8C" w:rsidP="00343FEA">
      <w:pPr>
        <w:spacing w:line="276" w:lineRule="auto"/>
        <w:rPr>
          <w:b/>
        </w:rPr>
      </w:pPr>
    </w:p>
    <w:p w14:paraId="637122BD" w14:textId="1609D51E" w:rsidR="000131C9" w:rsidRPr="00343FEA" w:rsidRDefault="002F1A00" w:rsidP="00343FEA">
      <w:pPr>
        <w:spacing w:line="276" w:lineRule="auto"/>
        <w:ind w:firstLine="567"/>
        <w:jc w:val="both"/>
        <w:rPr>
          <w:strike/>
        </w:rPr>
      </w:pPr>
      <w:r w:rsidRPr="00343FEA">
        <w:t xml:space="preserve">Pamatojoties uz Administratīvā procesa likuma </w:t>
      </w:r>
      <w:r w:rsidR="004B4936" w:rsidRPr="00343FEA">
        <w:t xml:space="preserve">348.panta pirmās daļas </w:t>
      </w:r>
      <w:r w:rsidR="00044187" w:rsidRPr="00343FEA">
        <w:t>2</w:t>
      </w:r>
      <w:r w:rsidR="004B4936" w:rsidRPr="00343FEA">
        <w:t>.punktu un 351.pantu</w:t>
      </w:r>
      <w:r w:rsidRPr="00343FEA">
        <w:t>, Senāts</w:t>
      </w:r>
    </w:p>
    <w:p w14:paraId="5EA79CCD" w14:textId="77777777" w:rsidR="002F1A00" w:rsidRPr="00343FEA" w:rsidRDefault="002F1A00" w:rsidP="00343FEA">
      <w:pPr>
        <w:spacing w:line="276" w:lineRule="auto"/>
        <w:ind w:firstLine="567"/>
        <w:jc w:val="both"/>
        <w:rPr>
          <w:b/>
        </w:rPr>
      </w:pPr>
    </w:p>
    <w:p w14:paraId="6C57ACB4" w14:textId="0731CFF7" w:rsidR="005E0B8C" w:rsidRPr="00343FEA" w:rsidRDefault="005E0B8C" w:rsidP="00343FEA">
      <w:pPr>
        <w:spacing w:line="276" w:lineRule="auto"/>
        <w:jc w:val="center"/>
        <w:rPr>
          <w:b/>
        </w:rPr>
      </w:pPr>
      <w:r w:rsidRPr="00343FEA">
        <w:rPr>
          <w:b/>
        </w:rPr>
        <w:t>nosprieda</w:t>
      </w:r>
    </w:p>
    <w:p w14:paraId="228FF189" w14:textId="77777777" w:rsidR="002F1A00" w:rsidRPr="00343FEA" w:rsidRDefault="002F1A00" w:rsidP="00343FEA">
      <w:pPr>
        <w:spacing w:line="276" w:lineRule="auto"/>
        <w:ind w:firstLine="567"/>
        <w:jc w:val="both"/>
        <w:rPr>
          <w:b/>
        </w:rPr>
      </w:pPr>
    </w:p>
    <w:p w14:paraId="068818EF" w14:textId="342E5375" w:rsidR="005E0B8C" w:rsidRPr="00343FEA" w:rsidRDefault="00D75018" w:rsidP="00343FEA">
      <w:pPr>
        <w:spacing w:line="276" w:lineRule="auto"/>
        <w:ind w:firstLine="567"/>
        <w:jc w:val="both"/>
      </w:pPr>
      <w:r w:rsidRPr="00343FEA">
        <w:t>a</w:t>
      </w:r>
      <w:r w:rsidR="002F1A00" w:rsidRPr="00343FEA">
        <w:t>t</w:t>
      </w:r>
      <w:r w:rsidR="00353D29" w:rsidRPr="00343FEA">
        <w:t>celt</w:t>
      </w:r>
      <w:r w:rsidR="00445645" w:rsidRPr="00343FEA">
        <w:t xml:space="preserve"> </w:t>
      </w:r>
      <w:r w:rsidR="005E0B8C" w:rsidRPr="00343FEA">
        <w:t>Administratīvās apgabaltiesas 20</w:t>
      </w:r>
      <w:r w:rsidR="00445645" w:rsidRPr="00343FEA">
        <w:t>19</w:t>
      </w:r>
      <w:r w:rsidR="005E0B8C" w:rsidRPr="00343FEA">
        <w:t xml:space="preserve">.gada </w:t>
      </w:r>
      <w:r w:rsidR="00445645" w:rsidRPr="00343FEA">
        <w:t>22.oktobra</w:t>
      </w:r>
      <w:r w:rsidR="005E0B8C" w:rsidRPr="00343FEA">
        <w:t xml:space="preserve"> spriedumu</w:t>
      </w:r>
      <w:r w:rsidR="00C3371F" w:rsidRPr="00343FEA">
        <w:t xml:space="preserve"> un nodot lietu jaunai izskatīšanai Administratīvajā apgabaltiesā</w:t>
      </w:r>
      <w:r w:rsidR="00351019" w:rsidRPr="00343FEA">
        <w:t>;</w:t>
      </w:r>
    </w:p>
    <w:p w14:paraId="22D45061" w14:textId="270EA8D1" w:rsidR="00353D29" w:rsidRPr="00343FEA" w:rsidRDefault="000939B1" w:rsidP="00343FEA">
      <w:pPr>
        <w:spacing w:line="276" w:lineRule="auto"/>
        <w:ind w:firstLine="567"/>
        <w:jc w:val="both"/>
        <w:rPr>
          <w:strike/>
        </w:rPr>
      </w:pPr>
      <w:r w:rsidRPr="00343FEA">
        <w:t>a</w:t>
      </w:r>
      <w:r w:rsidR="00353D29" w:rsidRPr="00343FEA">
        <w:t xml:space="preserve">tmaksāt </w:t>
      </w:r>
      <w:r w:rsidR="00D32ACB" w:rsidRPr="00343FEA">
        <w:rPr>
          <w:rFonts w:asciiTheme="majorBidi" w:eastAsiaTheme="minorHAnsi" w:hAnsiTheme="majorBidi" w:cstheme="majorBidi"/>
          <w:lang w:eastAsia="en-US"/>
        </w:rPr>
        <w:t xml:space="preserve">[pers. A] </w:t>
      </w:r>
      <w:r w:rsidR="00C3371F" w:rsidRPr="00343FEA">
        <w:t>drošības naudu 70 </w:t>
      </w:r>
      <w:r w:rsidR="00C3371F" w:rsidRPr="00343FEA">
        <w:rPr>
          <w:i/>
          <w:iCs/>
        </w:rPr>
        <w:t>euro</w:t>
      </w:r>
      <w:r w:rsidR="00C3371F" w:rsidRPr="00343FEA">
        <w:t>.</w:t>
      </w:r>
    </w:p>
    <w:p w14:paraId="430EBD35" w14:textId="77777777" w:rsidR="000939B1" w:rsidRPr="00343FEA" w:rsidRDefault="000939B1" w:rsidP="00343FEA">
      <w:pPr>
        <w:spacing w:line="276" w:lineRule="auto"/>
        <w:ind w:firstLine="567"/>
        <w:jc w:val="both"/>
      </w:pPr>
    </w:p>
    <w:p w14:paraId="1350B580" w14:textId="7A12ECAE" w:rsidR="00F82A87" w:rsidRPr="00343FEA" w:rsidRDefault="005E0B8C" w:rsidP="00343FEA">
      <w:pPr>
        <w:spacing w:line="276" w:lineRule="auto"/>
        <w:ind w:firstLine="567"/>
        <w:jc w:val="both"/>
      </w:pPr>
      <w:r w:rsidRPr="00343FEA">
        <w:t>Spriedums nav pārsūdzams.</w:t>
      </w:r>
    </w:p>
    <w:p w14:paraId="5B76DCD4" w14:textId="541595D2" w:rsidR="00FD7901" w:rsidRDefault="00FD7901" w:rsidP="00D32ACB">
      <w:pPr>
        <w:spacing w:line="276" w:lineRule="auto"/>
        <w:ind w:firstLine="567"/>
        <w:jc w:val="both"/>
      </w:pPr>
    </w:p>
    <w:p w14:paraId="5B216989" w14:textId="77777777" w:rsidR="00445645" w:rsidRDefault="00445645" w:rsidP="00D32ACB">
      <w:pPr>
        <w:spacing w:line="276" w:lineRule="auto"/>
        <w:ind w:firstLine="567"/>
        <w:jc w:val="both"/>
      </w:pPr>
    </w:p>
    <w:p w14:paraId="7A811E6F" w14:textId="77777777" w:rsidR="00BB7853" w:rsidRDefault="00BB7853" w:rsidP="00FD7901">
      <w:pPr>
        <w:spacing w:line="276" w:lineRule="auto"/>
        <w:ind w:firstLine="567"/>
        <w:jc w:val="both"/>
      </w:pPr>
    </w:p>
    <w:p w14:paraId="50DA6B1B" w14:textId="77777777" w:rsidR="00FD7901" w:rsidRPr="005E3D5E" w:rsidRDefault="00FD7901" w:rsidP="00FD7901">
      <w:pPr>
        <w:tabs>
          <w:tab w:val="center" w:pos="1701"/>
          <w:tab w:val="center" w:pos="4536"/>
          <w:tab w:val="center" w:pos="7371"/>
        </w:tabs>
        <w:spacing w:line="276" w:lineRule="auto"/>
        <w:ind w:firstLine="720"/>
        <w:jc w:val="both"/>
      </w:pPr>
      <w:r w:rsidRPr="003057E5">
        <w:rPr>
          <w:color w:val="FFFFFF" w:themeColor="background1"/>
        </w:rPr>
        <w:tab/>
        <w:t>(paraksts)</w:t>
      </w:r>
      <w:r w:rsidRPr="005E3D5E">
        <w:tab/>
      </w:r>
      <w:r w:rsidRPr="003057E5">
        <w:rPr>
          <w:color w:val="FFFFFF" w:themeColor="background1"/>
        </w:rPr>
        <w:t>(paraksts)</w:t>
      </w:r>
      <w:r w:rsidRPr="005E3D5E">
        <w:tab/>
      </w:r>
      <w:r w:rsidRPr="003057E5">
        <w:rPr>
          <w:color w:val="FFFFFF" w:themeColor="background1"/>
        </w:rPr>
        <w:t>(paraksts)</w:t>
      </w:r>
    </w:p>
    <w:p w14:paraId="664BCFBC" w14:textId="786F19E9" w:rsidR="00FD7901" w:rsidRPr="005E3D5E" w:rsidRDefault="00FD7901" w:rsidP="00733DD3">
      <w:pPr>
        <w:tabs>
          <w:tab w:val="center" w:pos="1701"/>
          <w:tab w:val="center" w:pos="4678"/>
          <w:tab w:val="center" w:pos="7797"/>
        </w:tabs>
        <w:spacing w:line="276" w:lineRule="auto"/>
        <w:ind w:firstLine="567"/>
        <w:jc w:val="both"/>
      </w:pPr>
      <w:r w:rsidRPr="005E3D5E">
        <w:tab/>
      </w:r>
    </w:p>
    <w:p w14:paraId="7A0299FD" w14:textId="77777777" w:rsidR="00FD7901" w:rsidRPr="00FD7901" w:rsidRDefault="00FD7901" w:rsidP="007073C0">
      <w:pPr>
        <w:spacing w:line="276" w:lineRule="auto"/>
        <w:jc w:val="both"/>
      </w:pPr>
    </w:p>
    <w:sectPr w:rsidR="00FD7901" w:rsidRPr="00FD7901" w:rsidSect="00A6596A">
      <w:footerReference w:type="default" r:id="rId2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020C5" w14:textId="77777777" w:rsidR="006435E6" w:rsidRDefault="006435E6" w:rsidP="003047F5">
      <w:r>
        <w:separator/>
      </w:r>
    </w:p>
  </w:endnote>
  <w:endnote w:type="continuationSeparator" w:id="0">
    <w:p w14:paraId="6502F6BD" w14:textId="77777777" w:rsidR="006435E6" w:rsidRDefault="006435E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59F3" w14:textId="500BF1A3" w:rsidR="00480244" w:rsidRDefault="00480244"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03499">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03499">
      <w:rPr>
        <w:rStyle w:val="PageNumber"/>
        <w:noProof/>
      </w:rPr>
      <w:t>9</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A9AD9" w14:textId="77777777" w:rsidR="006435E6" w:rsidRDefault="006435E6" w:rsidP="003047F5">
      <w:r>
        <w:separator/>
      </w:r>
    </w:p>
  </w:footnote>
  <w:footnote w:type="continuationSeparator" w:id="0">
    <w:p w14:paraId="49472AF3" w14:textId="77777777" w:rsidR="006435E6" w:rsidRDefault="006435E6"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6"/>
    <w:rsid w:val="0000038E"/>
    <w:rsid w:val="0000045E"/>
    <w:rsid w:val="00002102"/>
    <w:rsid w:val="00002F05"/>
    <w:rsid w:val="000101D3"/>
    <w:rsid w:val="000131C9"/>
    <w:rsid w:val="000133FF"/>
    <w:rsid w:val="000146F2"/>
    <w:rsid w:val="00016FF1"/>
    <w:rsid w:val="000225A3"/>
    <w:rsid w:val="000237D8"/>
    <w:rsid w:val="00023969"/>
    <w:rsid w:val="000272E0"/>
    <w:rsid w:val="00027AB5"/>
    <w:rsid w:val="00027FD7"/>
    <w:rsid w:val="00030CF0"/>
    <w:rsid w:val="00030EAB"/>
    <w:rsid w:val="00034CE9"/>
    <w:rsid w:val="00034FF2"/>
    <w:rsid w:val="00035BDC"/>
    <w:rsid w:val="00037CA1"/>
    <w:rsid w:val="00040BFA"/>
    <w:rsid w:val="00040F6B"/>
    <w:rsid w:val="000411E8"/>
    <w:rsid w:val="00043C67"/>
    <w:rsid w:val="00043C9D"/>
    <w:rsid w:val="00044187"/>
    <w:rsid w:val="00046F55"/>
    <w:rsid w:val="00050846"/>
    <w:rsid w:val="00051D38"/>
    <w:rsid w:val="00057E7E"/>
    <w:rsid w:val="00065CA0"/>
    <w:rsid w:val="00067F55"/>
    <w:rsid w:val="000708AF"/>
    <w:rsid w:val="00072F97"/>
    <w:rsid w:val="000737B9"/>
    <w:rsid w:val="0007470A"/>
    <w:rsid w:val="000753D3"/>
    <w:rsid w:val="00076AD9"/>
    <w:rsid w:val="000772AA"/>
    <w:rsid w:val="00080045"/>
    <w:rsid w:val="00082CD6"/>
    <w:rsid w:val="00085908"/>
    <w:rsid w:val="00085979"/>
    <w:rsid w:val="0008609D"/>
    <w:rsid w:val="00086A96"/>
    <w:rsid w:val="00086C7A"/>
    <w:rsid w:val="000901E5"/>
    <w:rsid w:val="0009155D"/>
    <w:rsid w:val="000939B1"/>
    <w:rsid w:val="0009410A"/>
    <w:rsid w:val="000941B6"/>
    <w:rsid w:val="0009687D"/>
    <w:rsid w:val="00097D01"/>
    <w:rsid w:val="000A04D3"/>
    <w:rsid w:val="000A4F15"/>
    <w:rsid w:val="000A5AAE"/>
    <w:rsid w:val="000A66D4"/>
    <w:rsid w:val="000A7278"/>
    <w:rsid w:val="000A7444"/>
    <w:rsid w:val="000B0A3A"/>
    <w:rsid w:val="000B1502"/>
    <w:rsid w:val="000B21C3"/>
    <w:rsid w:val="000B4089"/>
    <w:rsid w:val="000B40A8"/>
    <w:rsid w:val="000B4DB9"/>
    <w:rsid w:val="000B5013"/>
    <w:rsid w:val="000B6CB7"/>
    <w:rsid w:val="000B7B49"/>
    <w:rsid w:val="000C0AC5"/>
    <w:rsid w:val="000C2575"/>
    <w:rsid w:val="000C344B"/>
    <w:rsid w:val="000C64C9"/>
    <w:rsid w:val="000C74A5"/>
    <w:rsid w:val="000D0B7B"/>
    <w:rsid w:val="000D20A0"/>
    <w:rsid w:val="000D23BD"/>
    <w:rsid w:val="000D2A41"/>
    <w:rsid w:val="000D2E9F"/>
    <w:rsid w:val="000D6B25"/>
    <w:rsid w:val="000E0B2A"/>
    <w:rsid w:val="000E215E"/>
    <w:rsid w:val="000E4B21"/>
    <w:rsid w:val="000E5A7E"/>
    <w:rsid w:val="000E60EC"/>
    <w:rsid w:val="000F1E79"/>
    <w:rsid w:val="000F373A"/>
    <w:rsid w:val="000F51CE"/>
    <w:rsid w:val="000F6A6E"/>
    <w:rsid w:val="000F71D1"/>
    <w:rsid w:val="000F7613"/>
    <w:rsid w:val="000F76CF"/>
    <w:rsid w:val="000F79BE"/>
    <w:rsid w:val="001002E7"/>
    <w:rsid w:val="0010065B"/>
    <w:rsid w:val="00100FFE"/>
    <w:rsid w:val="0010291E"/>
    <w:rsid w:val="00102B21"/>
    <w:rsid w:val="00102B71"/>
    <w:rsid w:val="00103212"/>
    <w:rsid w:val="001035C0"/>
    <w:rsid w:val="0010525D"/>
    <w:rsid w:val="001074CA"/>
    <w:rsid w:val="00107A0B"/>
    <w:rsid w:val="001108D8"/>
    <w:rsid w:val="00113003"/>
    <w:rsid w:val="00116FEA"/>
    <w:rsid w:val="00120236"/>
    <w:rsid w:val="0012042F"/>
    <w:rsid w:val="00122D50"/>
    <w:rsid w:val="001265C8"/>
    <w:rsid w:val="00126A5F"/>
    <w:rsid w:val="0012708C"/>
    <w:rsid w:val="001279E1"/>
    <w:rsid w:val="00131D5F"/>
    <w:rsid w:val="00131E7B"/>
    <w:rsid w:val="00132373"/>
    <w:rsid w:val="00133606"/>
    <w:rsid w:val="00134214"/>
    <w:rsid w:val="00134E6C"/>
    <w:rsid w:val="00136167"/>
    <w:rsid w:val="00136364"/>
    <w:rsid w:val="00137BC9"/>
    <w:rsid w:val="001400CA"/>
    <w:rsid w:val="001406E2"/>
    <w:rsid w:val="00140895"/>
    <w:rsid w:val="00140B90"/>
    <w:rsid w:val="00144830"/>
    <w:rsid w:val="00146166"/>
    <w:rsid w:val="00146FDB"/>
    <w:rsid w:val="001473B0"/>
    <w:rsid w:val="001478B4"/>
    <w:rsid w:val="00147AD9"/>
    <w:rsid w:val="00147F7B"/>
    <w:rsid w:val="00150087"/>
    <w:rsid w:val="00151A96"/>
    <w:rsid w:val="00152956"/>
    <w:rsid w:val="00154E3A"/>
    <w:rsid w:val="00156C8B"/>
    <w:rsid w:val="001576CD"/>
    <w:rsid w:val="00157FD0"/>
    <w:rsid w:val="00160846"/>
    <w:rsid w:val="00161787"/>
    <w:rsid w:val="00162AFF"/>
    <w:rsid w:val="00162BBC"/>
    <w:rsid w:val="00163CBF"/>
    <w:rsid w:val="001646E9"/>
    <w:rsid w:val="00165054"/>
    <w:rsid w:val="001670D3"/>
    <w:rsid w:val="001705D9"/>
    <w:rsid w:val="001706BB"/>
    <w:rsid w:val="00172011"/>
    <w:rsid w:val="001733A4"/>
    <w:rsid w:val="0017348B"/>
    <w:rsid w:val="00173E9E"/>
    <w:rsid w:val="001800C1"/>
    <w:rsid w:val="001803B4"/>
    <w:rsid w:val="00182A7A"/>
    <w:rsid w:val="001844A8"/>
    <w:rsid w:val="00184DE6"/>
    <w:rsid w:val="001852FF"/>
    <w:rsid w:val="00185BD4"/>
    <w:rsid w:val="00186A46"/>
    <w:rsid w:val="001917D3"/>
    <w:rsid w:val="00191D4D"/>
    <w:rsid w:val="0019238A"/>
    <w:rsid w:val="0019349E"/>
    <w:rsid w:val="001935AB"/>
    <w:rsid w:val="00194C6B"/>
    <w:rsid w:val="00195025"/>
    <w:rsid w:val="001968DE"/>
    <w:rsid w:val="00196BB0"/>
    <w:rsid w:val="00197816"/>
    <w:rsid w:val="001A0495"/>
    <w:rsid w:val="001A1FE0"/>
    <w:rsid w:val="001A3A88"/>
    <w:rsid w:val="001A4562"/>
    <w:rsid w:val="001A6534"/>
    <w:rsid w:val="001B155D"/>
    <w:rsid w:val="001B19EC"/>
    <w:rsid w:val="001B2FE8"/>
    <w:rsid w:val="001B4065"/>
    <w:rsid w:val="001B68D6"/>
    <w:rsid w:val="001C1740"/>
    <w:rsid w:val="001C302C"/>
    <w:rsid w:val="001C439A"/>
    <w:rsid w:val="001C4D86"/>
    <w:rsid w:val="001C7018"/>
    <w:rsid w:val="001C7DC4"/>
    <w:rsid w:val="001C7E1C"/>
    <w:rsid w:val="001D10F8"/>
    <w:rsid w:val="001D1934"/>
    <w:rsid w:val="001D1DA8"/>
    <w:rsid w:val="001D2D57"/>
    <w:rsid w:val="001D2EF0"/>
    <w:rsid w:val="001D72F3"/>
    <w:rsid w:val="001E0006"/>
    <w:rsid w:val="001E18E6"/>
    <w:rsid w:val="001E3A09"/>
    <w:rsid w:val="001E7A9C"/>
    <w:rsid w:val="001F0F06"/>
    <w:rsid w:val="001F2703"/>
    <w:rsid w:val="001F2F91"/>
    <w:rsid w:val="0020150D"/>
    <w:rsid w:val="00201AB3"/>
    <w:rsid w:val="00202108"/>
    <w:rsid w:val="002026D0"/>
    <w:rsid w:val="00203040"/>
    <w:rsid w:val="00204AC1"/>
    <w:rsid w:val="00205609"/>
    <w:rsid w:val="00207F91"/>
    <w:rsid w:val="00211530"/>
    <w:rsid w:val="002125DE"/>
    <w:rsid w:val="00213062"/>
    <w:rsid w:val="00213949"/>
    <w:rsid w:val="0021655B"/>
    <w:rsid w:val="00216FE2"/>
    <w:rsid w:val="00220677"/>
    <w:rsid w:val="00225CC6"/>
    <w:rsid w:val="00227028"/>
    <w:rsid w:val="00230CC7"/>
    <w:rsid w:val="00231961"/>
    <w:rsid w:val="0023227D"/>
    <w:rsid w:val="00232846"/>
    <w:rsid w:val="00233669"/>
    <w:rsid w:val="00234EDE"/>
    <w:rsid w:val="00236E52"/>
    <w:rsid w:val="00237F92"/>
    <w:rsid w:val="0024106F"/>
    <w:rsid w:val="002452A0"/>
    <w:rsid w:val="00245F92"/>
    <w:rsid w:val="002461B5"/>
    <w:rsid w:val="002475AF"/>
    <w:rsid w:val="0025206A"/>
    <w:rsid w:val="0025374A"/>
    <w:rsid w:val="002539E5"/>
    <w:rsid w:val="00255205"/>
    <w:rsid w:val="002553DE"/>
    <w:rsid w:val="002566ED"/>
    <w:rsid w:val="0026094F"/>
    <w:rsid w:val="00261945"/>
    <w:rsid w:val="0026394B"/>
    <w:rsid w:val="0026635D"/>
    <w:rsid w:val="00266434"/>
    <w:rsid w:val="0027235B"/>
    <w:rsid w:val="00272E2D"/>
    <w:rsid w:val="002736F1"/>
    <w:rsid w:val="0027469B"/>
    <w:rsid w:val="002748A8"/>
    <w:rsid w:val="002753F5"/>
    <w:rsid w:val="0027596F"/>
    <w:rsid w:val="0027641E"/>
    <w:rsid w:val="00280C05"/>
    <w:rsid w:val="00282BCB"/>
    <w:rsid w:val="00285DFE"/>
    <w:rsid w:val="00293462"/>
    <w:rsid w:val="002939F0"/>
    <w:rsid w:val="0029589C"/>
    <w:rsid w:val="00296D54"/>
    <w:rsid w:val="00297396"/>
    <w:rsid w:val="002A0248"/>
    <w:rsid w:val="002A15E2"/>
    <w:rsid w:val="002A1650"/>
    <w:rsid w:val="002A17B5"/>
    <w:rsid w:val="002A2CC3"/>
    <w:rsid w:val="002A3515"/>
    <w:rsid w:val="002A773C"/>
    <w:rsid w:val="002B0536"/>
    <w:rsid w:val="002B29A8"/>
    <w:rsid w:val="002B6835"/>
    <w:rsid w:val="002B6B5F"/>
    <w:rsid w:val="002C0372"/>
    <w:rsid w:val="002C05FB"/>
    <w:rsid w:val="002C147A"/>
    <w:rsid w:val="002C4061"/>
    <w:rsid w:val="002D010F"/>
    <w:rsid w:val="002D38B4"/>
    <w:rsid w:val="002D46A9"/>
    <w:rsid w:val="002D51CB"/>
    <w:rsid w:val="002D5347"/>
    <w:rsid w:val="002D5C1F"/>
    <w:rsid w:val="002D63CE"/>
    <w:rsid w:val="002D6E84"/>
    <w:rsid w:val="002D7159"/>
    <w:rsid w:val="002D754F"/>
    <w:rsid w:val="002E0988"/>
    <w:rsid w:val="002E239D"/>
    <w:rsid w:val="002E283E"/>
    <w:rsid w:val="002E35E5"/>
    <w:rsid w:val="002E3CFB"/>
    <w:rsid w:val="002E3EC0"/>
    <w:rsid w:val="002E3F98"/>
    <w:rsid w:val="002E4711"/>
    <w:rsid w:val="002E5380"/>
    <w:rsid w:val="002E590C"/>
    <w:rsid w:val="002E5AB0"/>
    <w:rsid w:val="002E6DF1"/>
    <w:rsid w:val="002F160E"/>
    <w:rsid w:val="002F1A00"/>
    <w:rsid w:val="002F21B0"/>
    <w:rsid w:val="002F4F5E"/>
    <w:rsid w:val="002F7D77"/>
    <w:rsid w:val="00300B04"/>
    <w:rsid w:val="00301A51"/>
    <w:rsid w:val="003020D1"/>
    <w:rsid w:val="00302659"/>
    <w:rsid w:val="00302F45"/>
    <w:rsid w:val="00303499"/>
    <w:rsid w:val="00304605"/>
    <w:rsid w:val="003047F5"/>
    <w:rsid w:val="003057E5"/>
    <w:rsid w:val="00305F6A"/>
    <w:rsid w:val="003062AD"/>
    <w:rsid w:val="003069A8"/>
    <w:rsid w:val="003119D4"/>
    <w:rsid w:val="0031448D"/>
    <w:rsid w:val="003158FC"/>
    <w:rsid w:val="003161DD"/>
    <w:rsid w:val="00316D8B"/>
    <w:rsid w:val="00323302"/>
    <w:rsid w:val="00323B0B"/>
    <w:rsid w:val="0032794C"/>
    <w:rsid w:val="00334CBB"/>
    <w:rsid w:val="00335786"/>
    <w:rsid w:val="00336E61"/>
    <w:rsid w:val="00337520"/>
    <w:rsid w:val="003410FD"/>
    <w:rsid w:val="00343FEA"/>
    <w:rsid w:val="00344A49"/>
    <w:rsid w:val="00344DE4"/>
    <w:rsid w:val="00345924"/>
    <w:rsid w:val="00346384"/>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481"/>
    <w:rsid w:val="00361303"/>
    <w:rsid w:val="00361DC9"/>
    <w:rsid w:val="00363305"/>
    <w:rsid w:val="003646BE"/>
    <w:rsid w:val="00364761"/>
    <w:rsid w:val="00364A35"/>
    <w:rsid w:val="00365019"/>
    <w:rsid w:val="003652A2"/>
    <w:rsid w:val="00365317"/>
    <w:rsid w:val="00366968"/>
    <w:rsid w:val="0037343E"/>
    <w:rsid w:val="00373EF6"/>
    <w:rsid w:val="003859BF"/>
    <w:rsid w:val="00390E40"/>
    <w:rsid w:val="003911B4"/>
    <w:rsid w:val="00392319"/>
    <w:rsid w:val="0039352D"/>
    <w:rsid w:val="00394544"/>
    <w:rsid w:val="0039589E"/>
    <w:rsid w:val="003968EE"/>
    <w:rsid w:val="00396BD6"/>
    <w:rsid w:val="00397598"/>
    <w:rsid w:val="003A04DA"/>
    <w:rsid w:val="003A084F"/>
    <w:rsid w:val="003A0AEF"/>
    <w:rsid w:val="003A273C"/>
    <w:rsid w:val="003A7227"/>
    <w:rsid w:val="003B0FE8"/>
    <w:rsid w:val="003B172E"/>
    <w:rsid w:val="003B30EE"/>
    <w:rsid w:val="003B3828"/>
    <w:rsid w:val="003B3E6D"/>
    <w:rsid w:val="003B5F8E"/>
    <w:rsid w:val="003B70E0"/>
    <w:rsid w:val="003B7854"/>
    <w:rsid w:val="003B7A2D"/>
    <w:rsid w:val="003B7D8B"/>
    <w:rsid w:val="003C0023"/>
    <w:rsid w:val="003C1239"/>
    <w:rsid w:val="003C629E"/>
    <w:rsid w:val="003C6503"/>
    <w:rsid w:val="003C675E"/>
    <w:rsid w:val="003C7B32"/>
    <w:rsid w:val="003D0A38"/>
    <w:rsid w:val="003D160E"/>
    <w:rsid w:val="003D4DCC"/>
    <w:rsid w:val="003D5FD4"/>
    <w:rsid w:val="003D6667"/>
    <w:rsid w:val="003D7021"/>
    <w:rsid w:val="003E2CA8"/>
    <w:rsid w:val="003E33DF"/>
    <w:rsid w:val="003E4470"/>
    <w:rsid w:val="003E73F4"/>
    <w:rsid w:val="003F117D"/>
    <w:rsid w:val="003F1E58"/>
    <w:rsid w:val="003F278F"/>
    <w:rsid w:val="003F4074"/>
    <w:rsid w:val="003F4866"/>
    <w:rsid w:val="003F5A61"/>
    <w:rsid w:val="003F5DCC"/>
    <w:rsid w:val="003F7581"/>
    <w:rsid w:val="0040063D"/>
    <w:rsid w:val="0040079B"/>
    <w:rsid w:val="00403005"/>
    <w:rsid w:val="00406AD3"/>
    <w:rsid w:val="00406BA1"/>
    <w:rsid w:val="00411822"/>
    <w:rsid w:val="00414777"/>
    <w:rsid w:val="004163A2"/>
    <w:rsid w:val="0041657F"/>
    <w:rsid w:val="004166AF"/>
    <w:rsid w:val="004202E2"/>
    <w:rsid w:val="0042302C"/>
    <w:rsid w:val="00424B84"/>
    <w:rsid w:val="004255D0"/>
    <w:rsid w:val="004256EA"/>
    <w:rsid w:val="0043182C"/>
    <w:rsid w:val="004322B1"/>
    <w:rsid w:val="004327F4"/>
    <w:rsid w:val="004330E5"/>
    <w:rsid w:val="00433699"/>
    <w:rsid w:val="00434B91"/>
    <w:rsid w:val="00437076"/>
    <w:rsid w:val="00440594"/>
    <w:rsid w:val="00441458"/>
    <w:rsid w:val="00442DBC"/>
    <w:rsid w:val="00445645"/>
    <w:rsid w:val="00445C0C"/>
    <w:rsid w:val="0044750A"/>
    <w:rsid w:val="00451B5B"/>
    <w:rsid w:val="00453B34"/>
    <w:rsid w:val="00454226"/>
    <w:rsid w:val="0045432C"/>
    <w:rsid w:val="00456B54"/>
    <w:rsid w:val="00457E5C"/>
    <w:rsid w:val="00460254"/>
    <w:rsid w:val="00460370"/>
    <w:rsid w:val="004607B1"/>
    <w:rsid w:val="00462BF3"/>
    <w:rsid w:val="004636B7"/>
    <w:rsid w:val="00466ED0"/>
    <w:rsid w:val="004675C6"/>
    <w:rsid w:val="004677ED"/>
    <w:rsid w:val="004716D3"/>
    <w:rsid w:val="0047223A"/>
    <w:rsid w:val="004728CA"/>
    <w:rsid w:val="00473CE4"/>
    <w:rsid w:val="00475110"/>
    <w:rsid w:val="00475302"/>
    <w:rsid w:val="00480244"/>
    <w:rsid w:val="00481CBC"/>
    <w:rsid w:val="00482826"/>
    <w:rsid w:val="004829E8"/>
    <w:rsid w:val="00482E2C"/>
    <w:rsid w:val="00484647"/>
    <w:rsid w:val="00486340"/>
    <w:rsid w:val="00486473"/>
    <w:rsid w:val="0048714C"/>
    <w:rsid w:val="0049095C"/>
    <w:rsid w:val="00491095"/>
    <w:rsid w:val="004917B0"/>
    <w:rsid w:val="00491A7F"/>
    <w:rsid w:val="00491DEC"/>
    <w:rsid w:val="004942CB"/>
    <w:rsid w:val="0049580A"/>
    <w:rsid w:val="00496DF4"/>
    <w:rsid w:val="0049701A"/>
    <w:rsid w:val="004978D2"/>
    <w:rsid w:val="00497C78"/>
    <w:rsid w:val="004A0212"/>
    <w:rsid w:val="004A0893"/>
    <w:rsid w:val="004A0CCD"/>
    <w:rsid w:val="004A156C"/>
    <w:rsid w:val="004A157B"/>
    <w:rsid w:val="004A1856"/>
    <w:rsid w:val="004A2567"/>
    <w:rsid w:val="004A3129"/>
    <w:rsid w:val="004A4903"/>
    <w:rsid w:val="004A492F"/>
    <w:rsid w:val="004A5103"/>
    <w:rsid w:val="004A6F40"/>
    <w:rsid w:val="004B076A"/>
    <w:rsid w:val="004B11F1"/>
    <w:rsid w:val="004B27DF"/>
    <w:rsid w:val="004B397A"/>
    <w:rsid w:val="004B446A"/>
    <w:rsid w:val="004B4936"/>
    <w:rsid w:val="004B4A2B"/>
    <w:rsid w:val="004B687F"/>
    <w:rsid w:val="004B6E1A"/>
    <w:rsid w:val="004C0740"/>
    <w:rsid w:val="004C2181"/>
    <w:rsid w:val="004C2513"/>
    <w:rsid w:val="004C268D"/>
    <w:rsid w:val="004C2DEC"/>
    <w:rsid w:val="004C3227"/>
    <w:rsid w:val="004C3B95"/>
    <w:rsid w:val="004C4FD5"/>
    <w:rsid w:val="004C55F1"/>
    <w:rsid w:val="004C6914"/>
    <w:rsid w:val="004C71EE"/>
    <w:rsid w:val="004D0779"/>
    <w:rsid w:val="004D105E"/>
    <w:rsid w:val="004D63AF"/>
    <w:rsid w:val="004D75D0"/>
    <w:rsid w:val="004E0698"/>
    <w:rsid w:val="004E352B"/>
    <w:rsid w:val="004E49F0"/>
    <w:rsid w:val="004E4C8A"/>
    <w:rsid w:val="004E4E77"/>
    <w:rsid w:val="004E68CA"/>
    <w:rsid w:val="004E6EEF"/>
    <w:rsid w:val="004E7E4E"/>
    <w:rsid w:val="004F0E31"/>
    <w:rsid w:val="004F2285"/>
    <w:rsid w:val="004F3754"/>
    <w:rsid w:val="004F37C6"/>
    <w:rsid w:val="004F7C9C"/>
    <w:rsid w:val="00500967"/>
    <w:rsid w:val="00500BAD"/>
    <w:rsid w:val="00500D59"/>
    <w:rsid w:val="005025FC"/>
    <w:rsid w:val="0050729A"/>
    <w:rsid w:val="005123EF"/>
    <w:rsid w:val="00512C9A"/>
    <w:rsid w:val="0051415D"/>
    <w:rsid w:val="005178E0"/>
    <w:rsid w:val="00520A63"/>
    <w:rsid w:val="005218DC"/>
    <w:rsid w:val="00521A02"/>
    <w:rsid w:val="0052292A"/>
    <w:rsid w:val="00523DC1"/>
    <w:rsid w:val="005242D1"/>
    <w:rsid w:val="00524D13"/>
    <w:rsid w:val="0052545C"/>
    <w:rsid w:val="0052553D"/>
    <w:rsid w:val="00525995"/>
    <w:rsid w:val="00530AFA"/>
    <w:rsid w:val="00530D0C"/>
    <w:rsid w:val="00531191"/>
    <w:rsid w:val="00533530"/>
    <w:rsid w:val="00534E87"/>
    <w:rsid w:val="00540217"/>
    <w:rsid w:val="0054132D"/>
    <w:rsid w:val="00543786"/>
    <w:rsid w:val="00543E46"/>
    <w:rsid w:val="00544B27"/>
    <w:rsid w:val="005458A4"/>
    <w:rsid w:val="00546F9E"/>
    <w:rsid w:val="00547B99"/>
    <w:rsid w:val="0055082A"/>
    <w:rsid w:val="005522FB"/>
    <w:rsid w:val="005529BF"/>
    <w:rsid w:val="00552F15"/>
    <w:rsid w:val="00555C4E"/>
    <w:rsid w:val="005565AB"/>
    <w:rsid w:val="0055669D"/>
    <w:rsid w:val="005567F6"/>
    <w:rsid w:val="00556A96"/>
    <w:rsid w:val="00561C7A"/>
    <w:rsid w:val="0056258F"/>
    <w:rsid w:val="00563D47"/>
    <w:rsid w:val="005640E5"/>
    <w:rsid w:val="00565D89"/>
    <w:rsid w:val="00565E3B"/>
    <w:rsid w:val="005662A8"/>
    <w:rsid w:val="00566AE8"/>
    <w:rsid w:val="0056781A"/>
    <w:rsid w:val="005707D1"/>
    <w:rsid w:val="00570B47"/>
    <w:rsid w:val="00572A48"/>
    <w:rsid w:val="00572E24"/>
    <w:rsid w:val="00573046"/>
    <w:rsid w:val="0057567A"/>
    <w:rsid w:val="0057621F"/>
    <w:rsid w:val="00576444"/>
    <w:rsid w:val="00576BF0"/>
    <w:rsid w:val="005776F7"/>
    <w:rsid w:val="00577DA3"/>
    <w:rsid w:val="00580A0A"/>
    <w:rsid w:val="00582830"/>
    <w:rsid w:val="00582E70"/>
    <w:rsid w:val="00584E3F"/>
    <w:rsid w:val="00587FFC"/>
    <w:rsid w:val="00595306"/>
    <w:rsid w:val="00597B41"/>
    <w:rsid w:val="005A0962"/>
    <w:rsid w:val="005A22B8"/>
    <w:rsid w:val="005A2B82"/>
    <w:rsid w:val="005A34B1"/>
    <w:rsid w:val="005A3C7D"/>
    <w:rsid w:val="005A4E2C"/>
    <w:rsid w:val="005A6840"/>
    <w:rsid w:val="005A74F1"/>
    <w:rsid w:val="005B0589"/>
    <w:rsid w:val="005B1135"/>
    <w:rsid w:val="005B26C3"/>
    <w:rsid w:val="005B2A0D"/>
    <w:rsid w:val="005B2A74"/>
    <w:rsid w:val="005B46F9"/>
    <w:rsid w:val="005B479B"/>
    <w:rsid w:val="005B5D59"/>
    <w:rsid w:val="005B79C9"/>
    <w:rsid w:val="005C1D2A"/>
    <w:rsid w:val="005C2869"/>
    <w:rsid w:val="005C4A6F"/>
    <w:rsid w:val="005C4A70"/>
    <w:rsid w:val="005C56AE"/>
    <w:rsid w:val="005C762F"/>
    <w:rsid w:val="005C7EA8"/>
    <w:rsid w:val="005D0EB0"/>
    <w:rsid w:val="005D44EF"/>
    <w:rsid w:val="005D6A8E"/>
    <w:rsid w:val="005E00BA"/>
    <w:rsid w:val="005E0B8C"/>
    <w:rsid w:val="005E19D9"/>
    <w:rsid w:val="005E1D94"/>
    <w:rsid w:val="005E5AEE"/>
    <w:rsid w:val="005F0932"/>
    <w:rsid w:val="005F10F2"/>
    <w:rsid w:val="005F1FB5"/>
    <w:rsid w:val="005F3901"/>
    <w:rsid w:val="005F3D29"/>
    <w:rsid w:val="005F3EFA"/>
    <w:rsid w:val="005F6A53"/>
    <w:rsid w:val="005F70B2"/>
    <w:rsid w:val="005F74D4"/>
    <w:rsid w:val="00603A08"/>
    <w:rsid w:val="006053D0"/>
    <w:rsid w:val="00605E05"/>
    <w:rsid w:val="00605E58"/>
    <w:rsid w:val="006064E0"/>
    <w:rsid w:val="00606EC3"/>
    <w:rsid w:val="006109B1"/>
    <w:rsid w:val="006116B9"/>
    <w:rsid w:val="00611B5A"/>
    <w:rsid w:val="00611DC1"/>
    <w:rsid w:val="00613709"/>
    <w:rsid w:val="00613C4E"/>
    <w:rsid w:val="006145FE"/>
    <w:rsid w:val="00614D63"/>
    <w:rsid w:val="006171C4"/>
    <w:rsid w:val="00622C7E"/>
    <w:rsid w:val="00622E2E"/>
    <w:rsid w:val="00623DFD"/>
    <w:rsid w:val="006251C4"/>
    <w:rsid w:val="00625AEF"/>
    <w:rsid w:val="00625CF8"/>
    <w:rsid w:val="00626F4B"/>
    <w:rsid w:val="00630FB8"/>
    <w:rsid w:val="00631368"/>
    <w:rsid w:val="00633637"/>
    <w:rsid w:val="00634450"/>
    <w:rsid w:val="006346AD"/>
    <w:rsid w:val="00634B85"/>
    <w:rsid w:val="00635C59"/>
    <w:rsid w:val="00635EAE"/>
    <w:rsid w:val="006374A4"/>
    <w:rsid w:val="00637B15"/>
    <w:rsid w:val="00637EC5"/>
    <w:rsid w:val="0064040B"/>
    <w:rsid w:val="006405BF"/>
    <w:rsid w:val="00643157"/>
    <w:rsid w:val="006435E6"/>
    <w:rsid w:val="006435F1"/>
    <w:rsid w:val="00643934"/>
    <w:rsid w:val="00644E97"/>
    <w:rsid w:val="00645246"/>
    <w:rsid w:val="006466AC"/>
    <w:rsid w:val="00650E5E"/>
    <w:rsid w:val="00651796"/>
    <w:rsid w:val="00652AAD"/>
    <w:rsid w:val="00652D58"/>
    <w:rsid w:val="00653D07"/>
    <w:rsid w:val="006549B0"/>
    <w:rsid w:val="0065545B"/>
    <w:rsid w:val="00655DCA"/>
    <w:rsid w:val="00655E5A"/>
    <w:rsid w:val="00655F28"/>
    <w:rsid w:val="00657769"/>
    <w:rsid w:val="006608E5"/>
    <w:rsid w:val="0066207A"/>
    <w:rsid w:val="00663BFE"/>
    <w:rsid w:val="0066455B"/>
    <w:rsid w:val="006654BE"/>
    <w:rsid w:val="00665984"/>
    <w:rsid w:val="00665B39"/>
    <w:rsid w:val="00666C8A"/>
    <w:rsid w:val="00671CC0"/>
    <w:rsid w:val="00671E74"/>
    <w:rsid w:val="00671EAF"/>
    <w:rsid w:val="00672EDF"/>
    <w:rsid w:val="00673007"/>
    <w:rsid w:val="00673E3B"/>
    <w:rsid w:val="0067499A"/>
    <w:rsid w:val="00676357"/>
    <w:rsid w:val="006768E0"/>
    <w:rsid w:val="00677B24"/>
    <w:rsid w:val="00677D43"/>
    <w:rsid w:val="00681095"/>
    <w:rsid w:val="0068399D"/>
    <w:rsid w:val="006860C7"/>
    <w:rsid w:val="00687A06"/>
    <w:rsid w:val="00687DAB"/>
    <w:rsid w:val="006919CF"/>
    <w:rsid w:val="00692117"/>
    <w:rsid w:val="00692C50"/>
    <w:rsid w:val="00695FCF"/>
    <w:rsid w:val="00697AF6"/>
    <w:rsid w:val="006A006D"/>
    <w:rsid w:val="006A1701"/>
    <w:rsid w:val="006A1DFA"/>
    <w:rsid w:val="006A3055"/>
    <w:rsid w:val="006A450E"/>
    <w:rsid w:val="006A4F79"/>
    <w:rsid w:val="006A5083"/>
    <w:rsid w:val="006A53C9"/>
    <w:rsid w:val="006A5CF5"/>
    <w:rsid w:val="006A6517"/>
    <w:rsid w:val="006A69DE"/>
    <w:rsid w:val="006A6AA9"/>
    <w:rsid w:val="006B0EDB"/>
    <w:rsid w:val="006B1A24"/>
    <w:rsid w:val="006B1FD8"/>
    <w:rsid w:val="006B3FC3"/>
    <w:rsid w:val="006B47D4"/>
    <w:rsid w:val="006B4B93"/>
    <w:rsid w:val="006B4F89"/>
    <w:rsid w:val="006B56B1"/>
    <w:rsid w:val="006B59DC"/>
    <w:rsid w:val="006B65CB"/>
    <w:rsid w:val="006B7BBC"/>
    <w:rsid w:val="006C2C84"/>
    <w:rsid w:val="006C44DA"/>
    <w:rsid w:val="006D3102"/>
    <w:rsid w:val="006D599F"/>
    <w:rsid w:val="006D5FB0"/>
    <w:rsid w:val="006D691A"/>
    <w:rsid w:val="006D6BD6"/>
    <w:rsid w:val="006E25CB"/>
    <w:rsid w:val="006E363B"/>
    <w:rsid w:val="006E3814"/>
    <w:rsid w:val="006F2A5B"/>
    <w:rsid w:val="006F328B"/>
    <w:rsid w:val="006F32B1"/>
    <w:rsid w:val="006F36FD"/>
    <w:rsid w:val="006F3F0E"/>
    <w:rsid w:val="006F5D3B"/>
    <w:rsid w:val="006F76C8"/>
    <w:rsid w:val="007004BD"/>
    <w:rsid w:val="00700F9C"/>
    <w:rsid w:val="00701DE2"/>
    <w:rsid w:val="0070329D"/>
    <w:rsid w:val="00703942"/>
    <w:rsid w:val="0070480F"/>
    <w:rsid w:val="007054E4"/>
    <w:rsid w:val="00706004"/>
    <w:rsid w:val="007073C0"/>
    <w:rsid w:val="00707DF4"/>
    <w:rsid w:val="007102D7"/>
    <w:rsid w:val="00711458"/>
    <w:rsid w:val="0072054A"/>
    <w:rsid w:val="007229B1"/>
    <w:rsid w:val="00722EFE"/>
    <w:rsid w:val="0072471A"/>
    <w:rsid w:val="00724FEE"/>
    <w:rsid w:val="00725E7A"/>
    <w:rsid w:val="00726653"/>
    <w:rsid w:val="00727040"/>
    <w:rsid w:val="0072767B"/>
    <w:rsid w:val="00727F61"/>
    <w:rsid w:val="00730AD5"/>
    <w:rsid w:val="00733DD3"/>
    <w:rsid w:val="00736747"/>
    <w:rsid w:val="00736A53"/>
    <w:rsid w:val="00736B9A"/>
    <w:rsid w:val="007376C8"/>
    <w:rsid w:val="00737D32"/>
    <w:rsid w:val="00740127"/>
    <w:rsid w:val="0074033E"/>
    <w:rsid w:val="00742B42"/>
    <w:rsid w:val="007442E9"/>
    <w:rsid w:val="00744402"/>
    <w:rsid w:val="0074565A"/>
    <w:rsid w:val="007475BE"/>
    <w:rsid w:val="0075008E"/>
    <w:rsid w:val="007504FC"/>
    <w:rsid w:val="0075067A"/>
    <w:rsid w:val="007507A1"/>
    <w:rsid w:val="00761F51"/>
    <w:rsid w:val="007640BE"/>
    <w:rsid w:val="0076548B"/>
    <w:rsid w:val="00766CCE"/>
    <w:rsid w:val="00767E4F"/>
    <w:rsid w:val="007709C7"/>
    <w:rsid w:val="00771D9A"/>
    <w:rsid w:val="007724B9"/>
    <w:rsid w:val="00775BB6"/>
    <w:rsid w:val="007769AB"/>
    <w:rsid w:val="00776B73"/>
    <w:rsid w:val="00780DFA"/>
    <w:rsid w:val="00784404"/>
    <w:rsid w:val="00784660"/>
    <w:rsid w:val="00784EA0"/>
    <w:rsid w:val="00787288"/>
    <w:rsid w:val="00790C87"/>
    <w:rsid w:val="00791C82"/>
    <w:rsid w:val="00795C33"/>
    <w:rsid w:val="007969E8"/>
    <w:rsid w:val="00797141"/>
    <w:rsid w:val="00797411"/>
    <w:rsid w:val="007A657D"/>
    <w:rsid w:val="007B189B"/>
    <w:rsid w:val="007B1F74"/>
    <w:rsid w:val="007B2956"/>
    <w:rsid w:val="007B2C8B"/>
    <w:rsid w:val="007B3AA8"/>
    <w:rsid w:val="007B4561"/>
    <w:rsid w:val="007B4731"/>
    <w:rsid w:val="007B4841"/>
    <w:rsid w:val="007B4E19"/>
    <w:rsid w:val="007B7FA6"/>
    <w:rsid w:val="007C1BBE"/>
    <w:rsid w:val="007C1FAD"/>
    <w:rsid w:val="007C36EF"/>
    <w:rsid w:val="007C3988"/>
    <w:rsid w:val="007C40AC"/>
    <w:rsid w:val="007C52D4"/>
    <w:rsid w:val="007D0B44"/>
    <w:rsid w:val="007D0F3E"/>
    <w:rsid w:val="007D1A05"/>
    <w:rsid w:val="007D20D2"/>
    <w:rsid w:val="007D7818"/>
    <w:rsid w:val="007E2399"/>
    <w:rsid w:val="007E598B"/>
    <w:rsid w:val="007E5AE5"/>
    <w:rsid w:val="007E78DC"/>
    <w:rsid w:val="007F1F17"/>
    <w:rsid w:val="007F2A62"/>
    <w:rsid w:val="007F485E"/>
    <w:rsid w:val="007F5A6A"/>
    <w:rsid w:val="007F6A1C"/>
    <w:rsid w:val="00802112"/>
    <w:rsid w:val="00804BA9"/>
    <w:rsid w:val="00804BE4"/>
    <w:rsid w:val="00804EE7"/>
    <w:rsid w:val="00810240"/>
    <w:rsid w:val="00811F25"/>
    <w:rsid w:val="00812B45"/>
    <w:rsid w:val="00815904"/>
    <w:rsid w:val="00817805"/>
    <w:rsid w:val="0082381C"/>
    <w:rsid w:val="008247F5"/>
    <w:rsid w:val="0082691A"/>
    <w:rsid w:val="00826DDD"/>
    <w:rsid w:val="008303EF"/>
    <w:rsid w:val="0083117E"/>
    <w:rsid w:val="008312EF"/>
    <w:rsid w:val="00832917"/>
    <w:rsid w:val="00833668"/>
    <w:rsid w:val="00834042"/>
    <w:rsid w:val="0083775E"/>
    <w:rsid w:val="0083793A"/>
    <w:rsid w:val="00837C12"/>
    <w:rsid w:val="008400EE"/>
    <w:rsid w:val="0084212B"/>
    <w:rsid w:val="00845521"/>
    <w:rsid w:val="0084573A"/>
    <w:rsid w:val="0085064B"/>
    <w:rsid w:val="008525B2"/>
    <w:rsid w:val="00853D09"/>
    <w:rsid w:val="00854C14"/>
    <w:rsid w:val="008570F8"/>
    <w:rsid w:val="00861E70"/>
    <w:rsid w:val="0086240B"/>
    <w:rsid w:val="0086281C"/>
    <w:rsid w:val="00862923"/>
    <w:rsid w:val="00863AB8"/>
    <w:rsid w:val="00864B5F"/>
    <w:rsid w:val="00865C5C"/>
    <w:rsid w:val="0087359E"/>
    <w:rsid w:val="00873EDA"/>
    <w:rsid w:val="00874E2F"/>
    <w:rsid w:val="00880873"/>
    <w:rsid w:val="00880C6B"/>
    <w:rsid w:val="0088468A"/>
    <w:rsid w:val="00884E32"/>
    <w:rsid w:val="00885C29"/>
    <w:rsid w:val="008860F8"/>
    <w:rsid w:val="0088648E"/>
    <w:rsid w:val="008869D5"/>
    <w:rsid w:val="00886C73"/>
    <w:rsid w:val="008870FE"/>
    <w:rsid w:val="0089110A"/>
    <w:rsid w:val="008926D8"/>
    <w:rsid w:val="00892B25"/>
    <w:rsid w:val="00893900"/>
    <w:rsid w:val="00893A21"/>
    <w:rsid w:val="00894F8B"/>
    <w:rsid w:val="00895D71"/>
    <w:rsid w:val="00896034"/>
    <w:rsid w:val="00896419"/>
    <w:rsid w:val="00896EAC"/>
    <w:rsid w:val="00897433"/>
    <w:rsid w:val="00897B95"/>
    <w:rsid w:val="008A093C"/>
    <w:rsid w:val="008A10C7"/>
    <w:rsid w:val="008A2C12"/>
    <w:rsid w:val="008A4B86"/>
    <w:rsid w:val="008A53F9"/>
    <w:rsid w:val="008A66DF"/>
    <w:rsid w:val="008A7C61"/>
    <w:rsid w:val="008B5192"/>
    <w:rsid w:val="008B5359"/>
    <w:rsid w:val="008B65EC"/>
    <w:rsid w:val="008B7A4B"/>
    <w:rsid w:val="008C1387"/>
    <w:rsid w:val="008C1E28"/>
    <w:rsid w:val="008C2E62"/>
    <w:rsid w:val="008C4959"/>
    <w:rsid w:val="008C5280"/>
    <w:rsid w:val="008C6498"/>
    <w:rsid w:val="008D0D96"/>
    <w:rsid w:val="008D686D"/>
    <w:rsid w:val="008E1833"/>
    <w:rsid w:val="008E3299"/>
    <w:rsid w:val="008E3EAD"/>
    <w:rsid w:val="008E579E"/>
    <w:rsid w:val="008E5986"/>
    <w:rsid w:val="008E59AE"/>
    <w:rsid w:val="008E5BA4"/>
    <w:rsid w:val="008E641E"/>
    <w:rsid w:val="008E6DBB"/>
    <w:rsid w:val="008E77C8"/>
    <w:rsid w:val="008F0B1D"/>
    <w:rsid w:val="008F0D37"/>
    <w:rsid w:val="008F2EF1"/>
    <w:rsid w:val="008F5AF5"/>
    <w:rsid w:val="008F602D"/>
    <w:rsid w:val="008F7107"/>
    <w:rsid w:val="008F7BD3"/>
    <w:rsid w:val="009011A2"/>
    <w:rsid w:val="00902185"/>
    <w:rsid w:val="00902DEF"/>
    <w:rsid w:val="00907EF0"/>
    <w:rsid w:val="00910919"/>
    <w:rsid w:val="00912080"/>
    <w:rsid w:val="0091468A"/>
    <w:rsid w:val="0091479B"/>
    <w:rsid w:val="00915B40"/>
    <w:rsid w:val="009168C2"/>
    <w:rsid w:val="00917275"/>
    <w:rsid w:val="009229FE"/>
    <w:rsid w:val="009237F9"/>
    <w:rsid w:val="0092427B"/>
    <w:rsid w:val="00927E8F"/>
    <w:rsid w:val="00930EB5"/>
    <w:rsid w:val="00931A55"/>
    <w:rsid w:val="009328D8"/>
    <w:rsid w:val="00932F1D"/>
    <w:rsid w:val="00936537"/>
    <w:rsid w:val="00937F35"/>
    <w:rsid w:val="009403FB"/>
    <w:rsid w:val="00940817"/>
    <w:rsid w:val="00940F81"/>
    <w:rsid w:val="00941626"/>
    <w:rsid w:val="00941820"/>
    <w:rsid w:val="00942B0E"/>
    <w:rsid w:val="00942EA4"/>
    <w:rsid w:val="0094308A"/>
    <w:rsid w:val="0094596E"/>
    <w:rsid w:val="009478F9"/>
    <w:rsid w:val="00950930"/>
    <w:rsid w:val="009519AB"/>
    <w:rsid w:val="009527D4"/>
    <w:rsid w:val="00952A28"/>
    <w:rsid w:val="0095453E"/>
    <w:rsid w:val="00955505"/>
    <w:rsid w:val="00955DB4"/>
    <w:rsid w:val="00957DD8"/>
    <w:rsid w:val="00960490"/>
    <w:rsid w:val="00960B87"/>
    <w:rsid w:val="009627FE"/>
    <w:rsid w:val="00963881"/>
    <w:rsid w:val="009639F7"/>
    <w:rsid w:val="00963BBF"/>
    <w:rsid w:val="009644F7"/>
    <w:rsid w:val="00965274"/>
    <w:rsid w:val="00966B38"/>
    <w:rsid w:val="00967FA0"/>
    <w:rsid w:val="00970806"/>
    <w:rsid w:val="009708E9"/>
    <w:rsid w:val="009720C9"/>
    <w:rsid w:val="009724FA"/>
    <w:rsid w:val="009731DC"/>
    <w:rsid w:val="0097370C"/>
    <w:rsid w:val="00973DE7"/>
    <w:rsid w:val="00973E2A"/>
    <w:rsid w:val="00975466"/>
    <w:rsid w:val="0097657B"/>
    <w:rsid w:val="00977EFD"/>
    <w:rsid w:val="00980185"/>
    <w:rsid w:val="0098337F"/>
    <w:rsid w:val="009836F1"/>
    <w:rsid w:val="0098738A"/>
    <w:rsid w:val="009905C3"/>
    <w:rsid w:val="009927A5"/>
    <w:rsid w:val="00993033"/>
    <w:rsid w:val="009976BB"/>
    <w:rsid w:val="0099778E"/>
    <w:rsid w:val="00997C49"/>
    <w:rsid w:val="009A07C4"/>
    <w:rsid w:val="009A6695"/>
    <w:rsid w:val="009A66A7"/>
    <w:rsid w:val="009A6F37"/>
    <w:rsid w:val="009B0746"/>
    <w:rsid w:val="009B1DD8"/>
    <w:rsid w:val="009B2B24"/>
    <w:rsid w:val="009B34D7"/>
    <w:rsid w:val="009B569A"/>
    <w:rsid w:val="009C1558"/>
    <w:rsid w:val="009C1D73"/>
    <w:rsid w:val="009C21FA"/>
    <w:rsid w:val="009C267B"/>
    <w:rsid w:val="009C29A2"/>
    <w:rsid w:val="009C6447"/>
    <w:rsid w:val="009C69CA"/>
    <w:rsid w:val="009C7542"/>
    <w:rsid w:val="009D001E"/>
    <w:rsid w:val="009D092C"/>
    <w:rsid w:val="009D1313"/>
    <w:rsid w:val="009D7037"/>
    <w:rsid w:val="009D7F06"/>
    <w:rsid w:val="009D7F23"/>
    <w:rsid w:val="009E0657"/>
    <w:rsid w:val="009E0EB5"/>
    <w:rsid w:val="009E2055"/>
    <w:rsid w:val="009E29F4"/>
    <w:rsid w:val="009E3038"/>
    <w:rsid w:val="009E3775"/>
    <w:rsid w:val="009E3F34"/>
    <w:rsid w:val="009E49CF"/>
    <w:rsid w:val="009F1410"/>
    <w:rsid w:val="009F28BA"/>
    <w:rsid w:val="009F305F"/>
    <w:rsid w:val="009F3C2D"/>
    <w:rsid w:val="009F47E4"/>
    <w:rsid w:val="009F5FB8"/>
    <w:rsid w:val="009F64B3"/>
    <w:rsid w:val="009F6C68"/>
    <w:rsid w:val="00A00062"/>
    <w:rsid w:val="00A0175F"/>
    <w:rsid w:val="00A02122"/>
    <w:rsid w:val="00A022F3"/>
    <w:rsid w:val="00A04194"/>
    <w:rsid w:val="00A064D2"/>
    <w:rsid w:val="00A06EDB"/>
    <w:rsid w:val="00A071A0"/>
    <w:rsid w:val="00A13666"/>
    <w:rsid w:val="00A13912"/>
    <w:rsid w:val="00A1482A"/>
    <w:rsid w:val="00A15411"/>
    <w:rsid w:val="00A165C6"/>
    <w:rsid w:val="00A167CC"/>
    <w:rsid w:val="00A16AE6"/>
    <w:rsid w:val="00A20A34"/>
    <w:rsid w:val="00A2181A"/>
    <w:rsid w:val="00A21C3C"/>
    <w:rsid w:val="00A22728"/>
    <w:rsid w:val="00A24C6D"/>
    <w:rsid w:val="00A30FB1"/>
    <w:rsid w:val="00A31015"/>
    <w:rsid w:val="00A31147"/>
    <w:rsid w:val="00A3480B"/>
    <w:rsid w:val="00A41AE1"/>
    <w:rsid w:val="00A42D60"/>
    <w:rsid w:val="00A51DAF"/>
    <w:rsid w:val="00A520D0"/>
    <w:rsid w:val="00A52217"/>
    <w:rsid w:val="00A52F13"/>
    <w:rsid w:val="00A53681"/>
    <w:rsid w:val="00A53A1C"/>
    <w:rsid w:val="00A54C8A"/>
    <w:rsid w:val="00A564C6"/>
    <w:rsid w:val="00A632A5"/>
    <w:rsid w:val="00A63549"/>
    <w:rsid w:val="00A63E87"/>
    <w:rsid w:val="00A6596A"/>
    <w:rsid w:val="00A676A2"/>
    <w:rsid w:val="00A72752"/>
    <w:rsid w:val="00A72770"/>
    <w:rsid w:val="00A73A3B"/>
    <w:rsid w:val="00A748F6"/>
    <w:rsid w:val="00A75E24"/>
    <w:rsid w:val="00A76227"/>
    <w:rsid w:val="00A76429"/>
    <w:rsid w:val="00A77A8E"/>
    <w:rsid w:val="00A831F1"/>
    <w:rsid w:val="00A8500B"/>
    <w:rsid w:val="00A85909"/>
    <w:rsid w:val="00A91918"/>
    <w:rsid w:val="00A931A6"/>
    <w:rsid w:val="00A947F4"/>
    <w:rsid w:val="00A95BFD"/>
    <w:rsid w:val="00AA087D"/>
    <w:rsid w:val="00AA0FF6"/>
    <w:rsid w:val="00AA1091"/>
    <w:rsid w:val="00AA2880"/>
    <w:rsid w:val="00AA371C"/>
    <w:rsid w:val="00AA380A"/>
    <w:rsid w:val="00AA5052"/>
    <w:rsid w:val="00AA5DB6"/>
    <w:rsid w:val="00AA5F8F"/>
    <w:rsid w:val="00AA75BA"/>
    <w:rsid w:val="00AB0190"/>
    <w:rsid w:val="00AB1325"/>
    <w:rsid w:val="00AB2143"/>
    <w:rsid w:val="00AB3441"/>
    <w:rsid w:val="00AB3667"/>
    <w:rsid w:val="00AB37A8"/>
    <w:rsid w:val="00AB64E5"/>
    <w:rsid w:val="00AB7418"/>
    <w:rsid w:val="00AC17F5"/>
    <w:rsid w:val="00AC1DEF"/>
    <w:rsid w:val="00AC292C"/>
    <w:rsid w:val="00AC2C11"/>
    <w:rsid w:val="00AC3488"/>
    <w:rsid w:val="00AC67AA"/>
    <w:rsid w:val="00AD0265"/>
    <w:rsid w:val="00AD0B71"/>
    <w:rsid w:val="00AD118D"/>
    <w:rsid w:val="00AD21AA"/>
    <w:rsid w:val="00AD30DA"/>
    <w:rsid w:val="00AE05A3"/>
    <w:rsid w:val="00AE0DBD"/>
    <w:rsid w:val="00AE1B81"/>
    <w:rsid w:val="00AE5196"/>
    <w:rsid w:val="00AE55B6"/>
    <w:rsid w:val="00AF022D"/>
    <w:rsid w:val="00AF033A"/>
    <w:rsid w:val="00AF0939"/>
    <w:rsid w:val="00AF20F2"/>
    <w:rsid w:val="00AF2237"/>
    <w:rsid w:val="00AF2644"/>
    <w:rsid w:val="00AF3CC8"/>
    <w:rsid w:val="00AF59D4"/>
    <w:rsid w:val="00B04CAA"/>
    <w:rsid w:val="00B0517F"/>
    <w:rsid w:val="00B07B00"/>
    <w:rsid w:val="00B10FCF"/>
    <w:rsid w:val="00B12036"/>
    <w:rsid w:val="00B13163"/>
    <w:rsid w:val="00B14277"/>
    <w:rsid w:val="00B15415"/>
    <w:rsid w:val="00B16FC0"/>
    <w:rsid w:val="00B17B5A"/>
    <w:rsid w:val="00B17D48"/>
    <w:rsid w:val="00B204E9"/>
    <w:rsid w:val="00B219F7"/>
    <w:rsid w:val="00B22943"/>
    <w:rsid w:val="00B24398"/>
    <w:rsid w:val="00B25848"/>
    <w:rsid w:val="00B304E6"/>
    <w:rsid w:val="00B3107F"/>
    <w:rsid w:val="00B314B1"/>
    <w:rsid w:val="00B31E85"/>
    <w:rsid w:val="00B33F0D"/>
    <w:rsid w:val="00B34EB4"/>
    <w:rsid w:val="00B34F26"/>
    <w:rsid w:val="00B35D6E"/>
    <w:rsid w:val="00B36182"/>
    <w:rsid w:val="00B37A3D"/>
    <w:rsid w:val="00B40848"/>
    <w:rsid w:val="00B41E79"/>
    <w:rsid w:val="00B41F01"/>
    <w:rsid w:val="00B42EDF"/>
    <w:rsid w:val="00B43674"/>
    <w:rsid w:val="00B4630E"/>
    <w:rsid w:val="00B47255"/>
    <w:rsid w:val="00B507D9"/>
    <w:rsid w:val="00B525AE"/>
    <w:rsid w:val="00B525D6"/>
    <w:rsid w:val="00B53B20"/>
    <w:rsid w:val="00B5442D"/>
    <w:rsid w:val="00B600ED"/>
    <w:rsid w:val="00B60261"/>
    <w:rsid w:val="00B607EE"/>
    <w:rsid w:val="00B61490"/>
    <w:rsid w:val="00B615B2"/>
    <w:rsid w:val="00B61E87"/>
    <w:rsid w:val="00B62184"/>
    <w:rsid w:val="00B622BD"/>
    <w:rsid w:val="00B62375"/>
    <w:rsid w:val="00B6252E"/>
    <w:rsid w:val="00B62EA5"/>
    <w:rsid w:val="00B6318A"/>
    <w:rsid w:val="00B63613"/>
    <w:rsid w:val="00B64219"/>
    <w:rsid w:val="00B6541C"/>
    <w:rsid w:val="00B6582B"/>
    <w:rsid w:val="00B6683D"/>
    <w:rsid w:val="00B7154C"/>
    <w:rsid w:val="00B74478"/>
    <w:rsid w:val="00B77862"/>
    <w:rsid w:val="00B814E7"/>
    <w:rsid w:val="00B81EFB"/>
    <w:rsid w:val="00B8317C"/>
    <w:rsid w:val="00B83B5C"/>
    <w:rsid w:val="00B84DFD"/>
    <w:rsid w:val="00B84F68"/>
    <w:rsid w:val="00B85DCE"/>
    <w:rsid w:val="00B86F3A"/>
    <w:rsid w:val="00B914D5"/>
    <w:rsid w:val="00B91815"/>
    <w:rsid w:val="00B91F9A"/>
    <w:rsid w:val="00B92357"/>
    <w:rsid w:val="00B92FE2"/>
    <w:rsid w:val="00B95D2F"/>
    <w:rsid w:val="00B96A90"/>
    <w:rsid w:val="00BA188F"/>
    <w:rsid w:val="00BA1E6A"/>
    <w:rsid w:val="00BA3953"/>
    <w:rsid w:val="00BA445E"/>
    <w:rsid w:val="00BA5F9B"/>
    <w:rsid w:val="00BA61C3"/>
    <w:rsid w:val="00BA7745"/>
    <w:rsid w:val="00BB0E7C"/>
    <w:rsid w:val="00BB1EA6"/>
    <w:rsid w:val="00BB26F4"/>
    <w:rsid w:val="00BB409F"/>
    <w:rsid w:val="00BB4182"/>
    <w:rsid w:val="00BB5382"/>
    <w:rsid w:val="00BB5728"/>
    <w:rsid w:val="00BB5FA1"/>
    <w:rsid w:val="00BB7389"/>
    <w:rsid w:val="00BB7853"/>
    <w:rsid w:val="00BB7D92"/>
    <w:rsid w:val="00BC07CB"/>
    <w:rsid w:val="00BC0DF5"/>
    <w:rsid w:val="00BC12D7"/>
    <w:rsid w:val="00BC19BA"/>
    <w:rsid w:val="00BC1F48"/>
    <w:rsid w:val="00BC2055"/>
    <w:rsid w:val="00BC383B"/>
    <w:rsid w:val="00BC3C29"/>
    <w:rsid w:val="00BC4259"/>
    <w:rsid w:val="00BD3791"/>
    <w:rsid w:val="00BD3B65"/>
    <w:rsid w:val="00BD4BB0"/>
    <w:rsid w:val="00BD6473"/>
    <w:rsid w:val="00BD67FA"/>
    <w:rsid w:val="00BD68D9"/>
    <w:rsid w:val="00BE3ACC"/>
    <w:rsid w:val="00BE5301"/>
    <w:rsid w:val="00BF0456"/>
    <w:rsid w:val="00BF1331"/>
    <w:rsid w:val="00BF17C7"/>
    <w:rsid w:val="00BF4C06"/>
    <w:rsid w:val="00BF719A"/>
    <w:rsid w:val="00BF768A"/>
    <w:rsid w:val="00C005DB"/>
    <w:rsid w:val="00C01F11"/>
    <w:rsid w:val="00C04031"/>
    <w:rsid w:val="00C04C53"/>
    <w:rsid w:val="00C05500"/>
    <w:rsid w:val="00C063AD"/>
    <w:rsid w:val="00C11684"/>
    <w:rsid w:val="00C11BD3"/>
    <w:rsid w:val="00C121C1"/>
    <w:rsid w:val="00C1368A"/>
    <w:rsid w:val="00C16324"/>
    <w:rsid w:val="00C17576"/>
    <w:rsid w:val="00C20E11"/>
    <w:rsid w:val="00C222C2"/>
    <w:rsid w:val="00C2465A"/>
    <w:rsid w:val="00C26965"/>
    <w:rsid w:val="00C26E49"/>
    <w:rsid w:val="00C273D6"/>
    <w:rsid w:val="00C277DA"/>
    <w:rsid w:val="00C30555"/>
    <w:rsid w:val="00C3371F"/>
    <w:rsid w:val="00C3426A"/>
    <w:rsid w:val="00C36CCB"/>
    <w:rsid w:val="00C40731"/>
    <w:rsid w:val="00C41366"/>
    <w:rsid w:val="00C449F7"/>
    <w:rsid w:val="00C4508D"/>
    <w:rsid w:val="00C46379"/>
    <w:rsid w:val="00C46A91"/>
    <w:rsid w:val="00C47813"/>
    <w:rsid w:val="00C50665"/>
    <w:rsid w:val="00C50FDC"/>
    <w:rsid w:val="00C524D8"/>
    <w:rsid w:val="00C53B10"/>
    <w:rsid w:val="00C540BA"/>
    <w:rsid w:val="00C551CD"/>
    <w:rsid w:val="00C55C23"/>
    <w:rsid w:val="00C5660A"/>
    <w:rsid w:val="00C56B2E"/>
    <w:rsid w:val="00C57993"/>
    <w:rsid w:val="00C57C20"/>
    <w:rsid w:val="00C600AF"/>
    <w:rsid w:val="00C60881"/>
    <w:rsid w:val="00C60B75"/>
    <w:rsid w:val="00C64247"/>
    <w:rsid w:val="00C644DC"/>
    <w:rsid w:val="00C6555E"/>
    <w:rsid w:val="00C6581D"/>
    <w:rsid w:val="00C65F49"/>
    <w:rsid w:val="00C67EF9"/>
    <w:rsid w:val="00C7268E"/>
    <w:rsid w:val="00C72D56"/>
    <w:rsid w:val="00C73014"/>
    <w:rsid w:val="00C73AEF"/>
    <w:rsid w:val="00C73D26"/>
    <w:rsid w:val="00C75412"/>
    <w:rsid w:val="00C75795"/>
    <w:rsid w:val="00C76A85"/>
    <w:rsid w:val="00C77219"/>
    <w:rsid w:val="00C81875"/>
    <w:rsid w:val="00C8274F"/>
    <w:rsid w:val="00C84A94"/>
    <w:rsid w:val="00C85D95"/>
    <w:rsid w:val="00C87673"/>
    <w:rsid w:val="00C87F0C"/>
    <w:rsid w:val="00C90296"/>
    <w:rsid w:val="00C90C0C"/>
    <w:rsid w:val="00C97F96"/>
    <w:rsid w:val="00CA0E7D"/>
    <w:rsid w:val="00CA0FDD"/>
    <w:rsid w:val="00CA4A00"/>
    <w:rsid w:val="00CA51FC"/>
    <w:rsid w:val="00CA65F9"/>
    <w:rsid w:val="00CA7267"/>
    <w:rsid w:val="00CA7404"/>
    <w:rsid w:val="00CA794B"/>
    <w:rsid w:val="00CB062C"/>
    <w:rsid w:val="00CB4F5E"/>
    <w:rsid w:val="00CB5EE5"/>
    <w:rsid w:val="00CB7E46"/>
    <w:rsid w:val="00CC12DA"/>
    <w:rsid w:val="00CC1534"/>
    <w:rsid w:val="00CC15C2"/>
    <w:rsid w:val="00CC3ACA"/>
    <w:rsid w:val="00CC4434"/>
    <w:rsid w:val="00CC47B3"/>
    <w:rsid w:val="00CC4FDA"/>
    <w:rsid w:val="00CC63EC"/>
    <w:rsid w:val="00CC774F"/>
    <w:rsid w:val="00CC7A1D"/>
    <w:rsid w:val="00CD14F6"/>
    <w:rsid w:val="00CD197A"/>
    <w:rsid w:val="00CD1A5B"/>
    <w:rsid w:val="00CD27AD"/>
    <w:rsid w:val="00CD5EF7"/>
    <w:rsid w:val="00CD67EE"/>
    <w:rsid w:val="00CD6EDD"/>
    <w:rsid w:val="00CD7C55"/>
    <w:rsid w:val="00CE24AB"/>
    <w:rsid w:val="00CE5A00"/>
    <w:rsid w:val="00CE6884"/>
    <w:rsid w:val="00CF02CF"/>
    <w:rsid w:val="00CF050D"/>
    <w:rsid w:val="00CF12A9"/>
    <w:rsid w:val="00CF198A"/>
    <w:rsid w:val="00CF19CC"/>
    <w:rsid w:val="00CF2162"/>
    <w:rsid w:val="00CF3057"/>
    <w:rsid w:val="00CF44E8"/>
    <w:rsid w:val="00CF779E"/>
    <w:rsid w:val="00D01D2E"/>
    <w:rsid w:val="00D10280"/>
    <w:rsid w:val="00D117F9"/>
    <w:rsid w:val="00D11AC5"/>
    <w:rsid w:val="00D1343C"/>
    <w:rsid w:val="00D1366E"/>
    <w:rsid w:val="00D147BA"/>
    <w:rsid w:val="00D15A28"/>
    <w:rsid w:val="00D16069"/>
    <w:rsid w:val="00D17942"/>
    <w:rsid w:val="00D21870"/>
    <w:rsid w:val="00D21EBC"/>
    <w:rsid w:val="00D235AF"/>
    <w:rsid w:val="00D305BD"/>
    <w:rsid w:val="00D307B5"/>
    <w:rsid w:val="00D315FA"/>
    <w:rsid w:val="00D3210B"/>
    <w:rsid w:val="00D327EF"/>
    <w:rsid w:val="00D32ACB"/>
    <w:rsid w:val="00D42A39"/>
    <w:rsid w:val="00D43492"/>
    <w:rsid w:val="00D4481E"/>
    <w:rsid w:val="00D45C6D"/>
    <w:rsid w:val="00D472BA"/>
    <w:rsid w:val="00D475E1"/>
    <w:rsid w:val="00D51708"/>
    <w:rsid w:val="00D51BF0"/>
    <w:rsid w:val="00D52310"/>
    <w:rsid w:val="00D5366C"/>
    <w:rsid w:val="00D54C2C"/>
    <w:rsid w:val="00D5517A"/>
    <w:rsid w:val="00D60632"/>
    <w:rsid w:val="00D62C4B"/>
    <w:rsid w:val="00D6367F"/>
    <w:rsid w:val="00D6385C"/>
    <w:rsid w:val="00D64FDF"/>
    <w:rsid w:val="00D65962"/>
    <w:rsid w:val="00D65B55"/>
    <w:rsid w:val="00D66292"/>
    <w:rsid w:val="00D675B0"/>
    <w:rsid w:val="00D7028E"/>
    <w:rsid w:val="00D70390"/>
    <w:rsid w:val="00D703DD"/>
    <w:rsid w:val="00D70A84"/>
    <w:rsid w:val="00D70AE3"/>
    <w:rsid w:val="00D7177F"/>
    <w:rsid w:val="00D75018"/>
    <w:rsid w:val="00D75D14"/>
    <w:rsid w:val="00D77276"/>
    <w:rsid w:val="00D810E0"/>
    <w:rsid w:val="00D84D0F"/>
    <w:rsid w:val="00D86532"/>
    <w:rsid w:val="00D86A04"/>
    <w:rsid w:val="00D92257"/>
    <w:rsid w:val="00D922CD"/>
    <w:rsid w:val="00D927F1"/>
    <w:rsid w:val="00D94754"/>
    <w:rsid w:val="00D96636"/>
    <w:rsid w:val="00DA0035"/>
    <w:rsid w:val="00DA0680"/>
    <w:rsid w:val="00DA1BC8"/>
    <w:rsid w:val="00DA489A"/>
    <w:rsid w:val="00DA5583"/>
    <w:rsid w:val="00DA5F5A"/>
    <w:rsid w:val="00DA7D71"/>
    <w:rsid w:val="00DB2D7F"/>
    <w:rsid w:val="00DB2F83"/>
    <w:rsid w:val="00DB3EF7"/>
    <w:rsid w:val="00DB42A4"/>
    <w:rsid w:val="00DB7A94"/>
    <w:rsid w:val="00DB7ECA"/>
    <w:rsid w:val="00DC0057"/>
    <w:rsid w:val="00DC00ED"/>
    <w:rsid w:val="00DC0B32"/>
    <w:rsid w:val="00DC2259"/>
    <w:rsid w:val="00DC3DCC"/>
    <w:rsid w:val="00DC43F5"/>
    <w:rsid w:val="00DC4C79"/>
    <w:rsid w:val="00DC5180"/>
    <w:rsid w:val="00DC7668"/>
    <w:rsid w:val="00DD1182"/>
    <w:rsid w:val="00DD1297"/>
    <w:rsid w:val="00DD173C"/>
    <w:rsid w:val="00DD23E9"/>
    <w:rsid w:val="00DD399E"/>
    <w:rsid w:val="00DD7F52"/>
    <w:rsid w:val="00DE105A"/>
    <w:rsid w:val="00DE2506"/>
    <w:rsid w:val="00DF16ED"/>
    <w:rsid w:val="00DF17C3"/>
    <w:rsid w:val="00DF2136"/>
    <w:rsid w:val="00DF33C4"/>
    <w:rsid w:val="00DF5AB1"/>
    <w:rsid w:val="00DF5D67"/>
    <w:rsid w:val="00DF644C"/>
    <w:rsid w:val="00DF7B0E"/>
    <w:rsid w:val="00E00C56"/>
    <w:rsid w:val="00E01881"/>
    <w:rsid w:val="00E0271E"/>
    <w:rsid w:val="00E04259"/>
    <w:rsid w:val="00E04CBE"/>
    <w:rsid w:val="00E058E5"/>
    <w:rsid w:val="00E05DFF"/>
    <w:rsid w:val="00E07445"/>
    <w:rsid w:val="00E10953"/>
    <w:rsid w:val="00E12706"/>
    <w:rsid w:val="00E12976"/>
    <w:rsid w:val="00E13F2F"/>
    <w:rsid w:val="00E1464A"/>
    <w:rsid w:val="00E14E22"/>
    <w:rsid w:val="00E16A9D"/>
    <w:rsid w:val="00E16D37"/>
    <w:rsid w:val="00E22DD4"/>
    <w:rsid w:val="00E23F39"/>
    <w:rsid w:val="00E241AD"/>
    <w:rsid w:val="00E24695"/>
    <w:rsid w:val="00E259F6"/>
    <w:rsid w:val="00E26C55"/>
    <w:rsid w:val="00E2703A"/>
    <w:rsid w:val="00E30702"/>
    <w:rsid w:val="00E3182E"/>
    <w:rsid w:val="00E3313A"/>
    <w:rsid w:val="00E336D4"/>
    <w:rsid w:val="00E34385"/>
    <w:rsid w:val="00E35F36"/>
    <w:rsid w:val="00E360C0"/>
    <w:rsid w:val="00E40ABA"/>
    <w:rsid w:val="00E449BF"/>
    <w:rsid w:val="00E44F5F"/>
    <w:rsid w:val="00E4684F"/>
    <w:rsid w:val="00E47E64"/>
    <w:rsid w:val="00E5117F"/>
    <w:rsid w:val="00E51696"/>
    <w:rsid w:val="00E5207C"/>
    <w:rsid w:val="00E52382"/>
    <w:rsid w:val="00E5368F"/>
    <w:rsid w:val="00E53823"/>
    <w:rsid w:val="00E5386C"/>
    <w:rsid w:val="00E548D5"/>
    <w:rsid w:val="00E54F03"/>
    <w:rsid w:val="00E5541F"/>
    <w:rsid w:val="00E557A3"/>
    <w:rsid w:val="00E55B24"/>
    <w:rsid w:val="00E55D23"/>
    <w:rsid w:val="00E6012A"/>
    <w:rsid w:val="00E60B40"/>
    <w:rsid w:val="00E61394"/>
    <w:rsid w:val="00E6253C"/>
    <w:rsid w:val="00E62C45"/>
    <w:rsid w:val="00E64925"/>
    <w:rsid w:val="00E653C4"/>
    <w:rsid w:val="00E65967"/>
    <w:rsid w:val="00E66892"/>
    <w:rsid w:val="00E67BE2"/>
    <w:rsid w:val="00E7016B"/>
    <w:rsid w:val="00E7226B"/>
    <w:rsid w:val="00E7328F"/>
    <w:rsid w:val="00E74029"/>
    <w:rsid w:val="00E74556"/>
    <w:rsid w:val="00E7577D"/>
    <w:rsid w:val="00E75D54"/>
    <w:rsid w:val="00E77E05"/>
    <w:rsid w:val="00E8124F"/>
    <w:rsid w:val="00E81836"/>
    <w:rsid w:val="00E825B2"/>
    <w:rsid w:val="00E83DCE"/>
    <w:rsid w:val="00E84A16"/>
    <w:rsid w:val="00E86452"/>
    <w:rsid w:val="00E86711"/>
    <w:rsid w:val="00E86A4C"/>
    <w:rsid w:val="00E87F0F"/>
    <w:rsid w:val="00E9000E"/>
    <w:rsid w:val="00E907C1"/>
    <w:rsid w:val="00E91442"/>
    <w:rsid w:val="00E918C6"/>
    <w:rsid w:val="00E92638"/>
    <w:rsid w:val="00E95593"/>
    <w:rsid w:val="00E9579A"/>
    <w:rsid w:val="00E95F62"/>
    <w:rsid w:val="00E96820"/>
    <w:rsid w:val="00E97437"/>
    <w:rsid w:val="00E977E7"/>
    <w:rsid w:val="00E979C0"/>
    <w:rsid w:val="00EA0ADB"/>
    <w:rsid w:val="00EA1907"/>
    <w:rsid w:val="00EA36D1"/>
    <w:rsid w:val="00EA425A"/>
    <w:rsid w:val="00EA4C53"/>
    <w:rsid w:val="00EA6F53"/>
    <w:rsid w:val="00EA7814"/>
    <w:rsid w:val="00EB2951"/>
    <w:rsid w:val="00EB344A"/>
    <w:rsid w:val="00EB3735"/>
    <w:rsid w:val="00EB44DF"/>
    <w:rsid w:val="00EB5F39"/>
    <w:rsid w:val="00EB721B"/>
    <w:rsid w:val="00EB74D0"/>
    <w:rsid w:val="00EC0244"/>
    <w:rsid w:val="00EC1E1F"/>
    <w:rsid w:val="00EC2661"/>
    <w:rsid w:val="00EC34EC"/>
    <w:rsid w:val="00EC3F50"/>
    <w:rsid w:val="00EC4B06"/>
    <w:rsid w:val="00EC5534"/>
    <w:rsid w:val="00EC65F6"/>
    <w:rsid w:val="00ED09F3"/>
    <w:rsid w:val="00ED0B35"/>
    <w:rsid w:val="00ED2127"/>
    <w:rsid w:val="00ED21B2"/>
    <w:rsid w:val="00ED399B"/>
    <w:rsid w:val="00ED7C0D"/>
    <w:rsid w:val="00ED7FA1"/>
    <w:rsid w:val="00EE0945"/>
    <w:rsid w:val="00EE1452"/>
    <w:rsid w:val="00EE28FA"/>
    <w:rsid w:val="00EE49DF"/>
    <w:rsid w:val="00EE6181"/>
    <w:rsid w:val="00EE683F"/>
    <w:rsid w:val="00EE75CC"/>
    <w:rsid w:val="00EF0B35"/>
    <w:rsid w:val="00EF525D"/>
    <w:rsid w:val="00EF5925"/>
    <w:rsid w:val="00EF6315"/>
    <w:rsid w:val="00EF70F7"/>
    <w:rsid w:val="00EF7227"/>
    <w:rsid w:val="00F016EC"/>
    <w:rsid w:val="00F02670"/>
    <w:rsid w:val="00F02C6E"/>
    <w:rsid w:val="00F0480B"/>
    <w:rsid w:val="00F06BA3"/>
    <w:rsid w:val="00F06D37"/>
    <w:rsid w:val="00F10BCD"/>
    <w:rsid w:val="00F173A4"/>
    <w:rsid w:val="00F20230"/>
    <w:rsid w:val="00F2095D"/>
    <w:rsid w:val="00F24100"/>
    <w:rsid w:val="00F24488"/>
    <w:rsid w:val="00F27061"/>
    <w:rsid w:val="00F32F4F"/>
    <w:rsid w:val="00F33B70"/>
    <w:rsid w:val="00F33C4C"/>
    <w:rsid w:val="00F35D53"/>
    <w:rsid w:val="00F3750C"/>
    <w:rsid w:val="00F40065"/>
    <w:rsid w:val="00F43FAD"/>
    <w:rsid w:val="00F44273"/>
    <w:rsid w:val="00F45969"/>
    <w:rsid w:val="00F463AF"/>
    <w:rsid w:val="00F46C6E"/>
    <w:rsid w:val="00F51E76"/>
    <w:rsid w:val="00F56120"/>
    <w:rsid w:val="00F56DC5"/>
    <w:rsid w:val="00F6234C"/>
    <w:rsid w:val="00F6271C"/>
    <w:rsid w:val="00F6311E"/>
    <w:rsid w:val="00F63560"/>
    <w:rsid w:val="00F637BB"/>
    <w:rsid w:val="00F637CF"/>
    <w:rsid w:val="00F63B8D"/>
    <w:rsid w:val="00F64704"/>
    <w:rsid w:val="00F6614F"/>
    <w:rsid w:val="00F703BF"/>
    <w:rsid w:val="00F70861"/>
    <w:rsid w:val="00F711E3"/>
    <w:rsid w:val="00F7475B"/>
    <w:rsid w:val="00F7496B"/>
    <w:rsid w:val="00F75E13"/>
    <w:rsid w:val="00F80731"/>
    <w:rsid w:val="00F81367"/>
    <w:rsid w:val="00F8267B"/>
    <w:rsid w:val="00F82A87"/>
    <w:rsid w:val="00F834BC"/>
    <w:rsid w:val="00F83AFA"/>
    <w:rsid w:val="00F851AC"/>
    <w:rsid w:val="00F85386"/>
    <w:rsid w:val="00F856BC"/>
    <w:rsid w:val="00F87CD0"/>
    <w:rsid w:val="00F87FC2"/>
    <w:rsid w:val="00F90C18"/>
    <w:rsid w:val="00F92CE5"/>
    <w:rsid w:val="00F931C5"/>
    <w:rsid w:val="00F931DB"/>
    <w:rsid w:val="00F94523"/>
    <w:rsid w:val="00F9590A"/>
    <w:rsid w:val="00F971CD"/>
    <w:rsid w:val="00F97227"/>
    <w:rsid w:val="00F97F5B"/>
    <w:rsid w:val="00FA2ED3"/>
    <w:rsid w:val="00FA4A9E"/>
    <w:rsid w:val="00FA6301"/>
    <w:rsid w:val="00FA7AB7"/>
    <w:rsid w:val="00FA7EE9"/>
    <w:rsid w:val="00FB0302"/>
    <w:rsid w:val="00FB08BE"/>
    <w:rsid w:val="00FB1315"/>
    <w:rsid w:val="00FB4D38"/>
    <w:rsid w:val="00FC01DD"/>
    <w:rsid w:val="00FC02BF"/>
    <w:rsid w:val="00FC0900"/>
    <w:rsid w:val="00FC4FB4"/>
    <w:rsid w:val="00FC54A2"/>
    <w:rsid w:val="00FC5AE2"/>
    <w:rsid w:val="00FC6EAA"/>
    <w:rsid w:val="00FC6F3E"/>
    <w:rsid w:val="00FD06DA"/>
    <w:rsid w:val="00FD16C7"/>
    <w:rsid w:val="00FD2424"/>
    <w:rsid w:val="00FD244F"/>
    <w:rsid w:val="00FD257E"/>
    <w:rsid w:val="00FD25E0"/>
    <w:rsid w:val="00FD4453"/>
    <w:rsid w:val="00FD524A"/>
    <w:rsid w:val="00FD53A1"/>
    <w:rsid w:val="00FD5407"/>
    <w:rsid w:val="00FD7901"/>
    <w:rsid w:val="00FE0846"/>
    <w:rsid w:val="00FE10D5"/>
    <w:rsid w:val="00FE1EBC"/>
    <w:rsid w:val="00FE232D"/>
    <w:rsid w:val="00FE2C70"/>
    <w:rsid w:val="00FE5C0E"/>
    <w:rsid w:val="00FE6D9F"/>
    <w:rsid w:val="00FE747B"/>
    <w:rsid w:val="00FF1B1B"/>
    <w:rsid w:val="00FF24FB"/>
    <w:rsid w:val="00FF2EC7"/>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customStyle="1"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 w:id="211729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4115.pdf" TargetMode="External"/><Relationship Id="rId13" Type="http://schemas.openxmlformats.org/officeDocument/2006/relationships/hyperlink" Target="https://curia.europa.eu/juris/document/document.jsf?text=&amp;docid=55606&amp;pageIndex=0&amp;doclang=lv&amp;mode=lst&amp;dir=&amp;occ=first&amp;part=1&amp;cid=2755315" TargetMode="External"/><Relationship Id="rId18" Type="http://schemas.openxmlformats.org/officeDocument/2006/relationships/hyperlink" Target="https://curia.europa.eu/juris/document/document.jsf?docid=126425&amp;text=&amp;dir=&amp;doclang=LV&amp;part=1&amp;occ=first&amp;mode=lst&amp;pageIndex=0&amp;cid=55863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ur-lex.europa.eu/legal-content/LV/TXT/PDF/?uri=CELEX:C2007/068/04&amp;from=PL" TargetMode="External"/><Relationship Id="rId17" Type="http://schemas.openxmlformats.org/officeDocument/2006/relationships/hyperlink" Target="https://curia.europa.eu/juris/document/document.jsf?text=&amp;docid=126425&amp;pageIndex=0&amp;doclang=lv&amp;mode=lst&amp;dir=&amp;occ=first&amp;part=1&amp;cid=320787" TargetMode="External"/><Relationship Id="rId2" Type="http://schemas.openxmlformats.org/officeDocument/2006/relationships/numbering" Target="numbering.xml"/><Relationship Id="rId16" Type="http://schemas.openxmlformats.org/officeDocument/2006/relationships/hyperlink" Target="https://curia.europa.eu/juris/document/document.jsf?text=&amp;docid=149501&amp;pageIndex=0&amp;doclang=lv&amp;mode=lst&amp;dir=&amp;occ=first&amp;part=1&amp;cid=389436" TargetMode="External"/><Relationship Id="rId20" Type="http://schemas.openxmlformats.org/officeDocument/2006/relationships/hyperlink" Target="https://curia.europa.eu/juris/document/document.jsf?text=&amp;docid=154781&amp;pageIndex=0&amp;doclang=lv&amp;mode=lst&amp;dir=&amp;occ=first&amp;part=1&amp;cid=6716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126425&amp;pageIndex=0&amp;doclang=lv&amp;mode=lst&amp;dir=&amp;occ=first&amp;part=1&amp;cid=320787" TargetMode="External"/><Relationship Id="rId5" Type="http://schemas.openxmlformats.org/officeDocument/2006/relationships/webSettings" Target="webSettings.xml"/><Relationship Id="rId15" Type="http://schemas.openxmlformats.org/officeDocument/2006/relationships/hyperlink" Target="https://curia.europa.eu/juris/document/document.jsf?text=&amp;docid=111926&amp;pageIndex=0&amp;doclang=FR&amp;mode=lst&amp;dir=&amp;occ=first&amp;part=1&amp;cid=88326" TargetMode="External"/><Relationship Id="rId23" Type="http://schemas.openxmlformats.org/officeDocument/2006/relationships/theme" Target="theme/theme1.xml"/><Relationship Id="rId10" Type="http://schemas.openxmlformats.org/officeDocument/2006/relationships/hyperlink" Target="https://curia.europa.eu/juris/document/document.jsf?text=&amp;docid=62976&amp;pageIndex=0&amp;doclang=lv&amp;mode=lst&amp;dir=&amp;occ=first&amp;part=1&amp;cid=320787" TargetMode="External"/><Relationship Id="rId19" Type="http://schemas.openxmlformats.org/officeDocument/2006/relationships/hyperlink" Target="https://curia.europa.eu/juris/document/document.jsf?text=&amp;docid=247052&amp;pageIndex=0&amp;doclang=lv&amp;mode=lst&amp;dir=&amp;occ=first&amp;part=1&amp;cid=171717" TargetMode="External"/><Relationship Id="rId4" Type="http://schemas.openxmlformats.org/officeDocument/2006/relationships/settings" Target="settings.xml"/><Relationship Id="rId9" Type="http://schemas.openxmlformats.org/officeDocument/2006/relationships/hyperlink" Target="https://curia.europa.eu/juris/document/document.jsf?mode=lst&amp;pageIndex=0&amp;docid=210184&amp;part=1&amp;doclang=LV&amp;text=&amp;dir=&amp;occ=first&amp;cid=88326" TargetMode="External"/><Relationship Id="rId14" Type="http://schemas.openxmlformats.org/officeDocument/2006/relationships/hyperlink" Target="https://curia.europa.eu/juris/document/document.jsf?text=&amp;docid=72470&amp;pageIndex=0&amp;doclang=LV&amp;mode=lst&amp;dir=&amp;occ=first&amp;part=1&amp;cid=276456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6D01E-639A-4994-8C6C-87870E0C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4610</Words>
  <Characters>26280</Characters>
  <Application>Microsoft Office Word</Application>
  <DocSecurity>0</DocSecurity>
  <Lines>219</Lines>
  <Paragraphs>61</Paragraphs>
  <ScaleCrop>false</ScaleCrop>
  <Company/>
  <LinksUpToDate>false</LinksUpToDate>
  <CharactersWithSpaces>30829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2023-06-01T07:15:00Z</dcterms:created>
  <dcterms:modified xsi:type="dcterms:W3CDTF">2023-06-01T08:36:00Z</dcterms:modified>
</cp:coreProperties>
</file>