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EBA7E" w14:textId="77777777" w:rsidR="003F7F37" w:rsidRDefault="003F7F37" w:rsidP="00D51633">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Pašvaldības saistošo noteikumu atbilstība augstāka juridiskā spēka tiesību normām </w:t>
      </w:r>
    </w:p>
    <w:p w14:paraId="16EEC212" w14:textId="53CDFA56" w:rsidR="003F7F37" w:rsidRDefault="003F7F37" w:rsidP="00D51633">
      <w:pPr>
        <w:autoSpaceDE w:val="0"/>
        <w:autoSpaceDN w:val="0"/>
        <w:spacing w:line="276" w:lineRule="auto"/>
        <w:jc w:val="both"/>
        <w:rPr>
          <w:rFonts w:ascii="TimesNewRomanPSMT" w:hAnsi="TimesNewRomanPSMT"/>
        </w:rPr>
      </w:pPr>
      <w:r>
        <w:rPr>
          <w:rFonts w:ascii="TimesNewRomanPSMT" w:hAnsi="TimesNewRomanPSMT"/>
        </w:rPr>
        <w:t xml:space="preserve">Pašvaldības saistošie noteikumi ir uzskatāmi par atbilstošiem augstāka juridiskā spēka tiesību normām, ja vienlaikus izpildās divi kumulatīvi kritēriji: 1) saistošie noteikumi ir izdoti likumdevēja noteiktā pilnvarojuma robežās jeb, citiem vārdiem, tie ir izdoti, ievērojot </w:t>
      </w:r>
      <w:r>
        <w:rPr>
          <w:rFonts w:ascii="TimesNewRomanPS-ItalicMT" w:hAnsi="TimesNewRomanPS-ItalicMT"/>
          <w:i/>
          <w:iCs/>
        </w:rPr>
        <w:t xml:space="preserve">ultra vires </w:t>
      </w:r>
      <w:r>
        <w:rPr>
          <w:rFonts w:ascii="TimesNewRomanPSMT" w:hAnsi="TimesNewRomanPSMT"/>
        </w:rPr>
        <w:t>doktrīnu; un 2) saistošie noteikumi saturiski atbilst Satversmes un citām augstāka juridiskā spēka tiesību normām. Līdz ar to, vērtējot, vai pašvaldības saistošie noteikumi atbilst augstāka juridiskā spēka tiesību normām, nepietiek vienīgi ar konstatējumu, ka noteikumi ir izdoti likumdevēja noteiktā pilnvarojuma robežās. Ir nepieciešams konstatēt, ka noteikumi arī saturiski atbilst augstāka juridiskā spēka normām.</w:t>
      </w:r>
    </w:p>
    <w:p w14:paraId="6097D9CB" w14:textId="77777777" w:rsidR="003F7F37" w:rsidRDefault="003F7F37" w:rsidP="00D51633">
      <w:pPr>
        <w:autoSpaceDE w:val="0"/>
        <w:autoSpaceDN w:val="0"/>
        <w:spacing w:line="276" w:lineRule="auto"/>
        <w:jc w:val="both"/>
        <w:rPr>
          <w:rFonts w:ascii="TimesNewRomanPSMT" w:hAnsi="TimesNewRomanPSMT"/>
          <w:b/>
          <w:bCs/>
        </w:rPr>
      </w:pPr>
    </w:p>
    <w:p w14:paraId="3C8B35DC" w14:textId="77777777" w:rsidR="003F7F37" w:rsidRDefault="003F7F37" w:rsidP="00D51633">
      <w:pPr>
        <w:autoSpaceDE w:val="0"/>
        <w:autoSpaceDN w:val="0"/>
        <w:spacing w:line="276" w:lineRule="auto"/>
        <w:jc w:val="both"/>
        <w:rPr>
          <w:rFonts w:ascii="TimesNewRomanPSMT" w:hAnsi="TimesNewRomanPSMT"/>
          <w:b/>
          <w:bCs/>
        </w:rPr>
      </w:pPr>
      <w:r>
        <w:rPr>
          <w:rFonts w:ascii="TimesNewRomanPSMT" w:hAnsi="TimesNewRomanPSMT"/>
          <w:b/>
          <w:bCs/>
        </w:rPr>
        <w:t>Pirmsskolas izglītības pieejamības ierobežojuma, kas noteikts kā avansa maksājums par ēdināšanas pakalpojumu, samērīguma izvērtējums</w:t>
      </w:r>
    </w:p>
    <w:p w14:paraId="439E0F17" w14:textId="77777777" w:rsidR="003F7F37" w:rsidRDefault="003F7F37" w:rsidP="00D51633">
      <w:pPr>
        <w:autoSpaceDE w:val="0"/>
        <w:autoSpaceDN w:val="0"/>
        <w:spacing w:line="276" w:lineRule="auto"/>
        <w:jc w:val="both"/>
        <w:rPr>
          <w:rFonts w:ascii="TimesNewRomanPSMT" w:hAnsi="TimesNewRomanPSMT"/>
        </w:rPr>
      </w:pPr>
      <w:r>
        <w:rPr>
          <w:rFonts w:ascii="TimesNewRomanPSMT" w:hAnsi="TimesNewRomanPSMT"/>
        </w:rPr>
        <w:t xml:space="preserve">Latvijā bērniem jau no agrīna vecuma ir jānodrošina no Satversmes 112.panta panta izrietošās tiesības pilnvērtīgi izmantot visas iespējas, ko sniedz izglītības sistēma. </w:t>
      </w:r>
    </w:p>
    <w:p w14:paraId="2CF457E8" w14:textId="039C4CB2" w:rsidR="003047F5" w:rsidRDefault="003F7F37" w:rsidP="00D51633">
      <w:pPr>
        <w:autoSpaceDE w:val="0"/>
        <w:autoSpaceDN w:val="0"/>
        <w:spacing w:line="276" w:lineRule="auto"/>
        <w:jc w:val="both"/>
        <w:rPr>
          <w:rFonts w:ascii="TimesNewRomanPSMT" w:hAnsi="TimesNewRomanPSMT"/>
        </w:rPr>
      </w:pPr>
      <w:r>
        <w:rPr>
          <w:rFonts w:ascii="TimesNewRomanPSMT" w:hAnsi="TimesNewRomanPSMT"/>
        </w:rPr>
        <w:t xml:space="preserve">Ja valsts un pašvaldība vispār ir izveidojusi pirmsskolas izglītības iegūšanas sistēmu, kas ietver pirmsskolas izglītības iestādes apmeklēšanu arī vasaras periodā, tad nosacījumi pirmsskolas izglītības iestādes apmeklēšanai nedrīkst būt tādi, kas nesamērīgi ierobežo piekļuvi šim publiskajam pakalpojumam. </w:t>
      </w:r>
    </w:p>
    <w:p w14:paraId="1E36F28D" w14:textId="77777777" w:rsidR="003F7F37" w:rsidRPr="003F7F37" w:rsidRDefault="003F7F37" w:rsidP="00D51633">
      <w:pPr>
        <w:autoSpaceDE w:val="0"/>
        <w:autoSpaceDN w:val="0"/>
        <w:spacing w:line="276" w:lineRule="auto"/>
        <w:jc w:val="both"/>
        <w:rPr>
          <w:rFonts w:ascii="TimesNewRomanPSMT" w:hAnsi="TimesNewRomanPSMT"/>
        </w:rPr>
      </w:pPr>
    </w:p>
    <w:p w14:paraId="5B96512A" w14:textId="1B1D5CCF" w:rsidR="006B7BBC" w:rsidRPr="003F7F37" w:rsidRDefault="003F7F37" w:rsidP="00D51633">
      <w:pPr>
        <w:spacing w:line="276" w:lineRule="auto"/>
        <w:jc w:val="center"/>
        <w:rPr>
          <w:b/>
        </w:rPr>
      </w:pPr>
      <w:r w:rsidRPr="003F7F37">
        <w:rPr>
          <w:b/>
        </w:rPr>
        <w:t>Latvijas Republikas Senāta</w:t>
      </w:r>
    </w:p>
    <w:p w14:paraId="592C7F52" w14:textId="2CD39CA8" w:rsidR="003F7F37" w:rsidRPr="003F7F37" w:rsidRDefault="003F7F37" w:rsidP="00D51633">
      <w:pPr>
        <w:spacing w:line="276" w:lineRule="auto"/>
        <w:jc w:val="center"/>
        <w:rPr>
          <w:b/>
        </w:rPr>
      </w:pPr>
      <w:r w:rsidRPr="003F7F37">
        <w:rPr>
          <w:b/>
        </w:rPr>
        <w:t xml:space="preserve">Administratīvo lietu departamenta </w:t>
      </w:r>
    </w:p>
    <w:p w14:paraId="4D2D950C" w14:textId="68BBDA27" w:rsidR="003F7F37" w:rsidRPr="003F7F37" w:rsidRDefault="003F7F37" w:rsidP="00D51633">
      <w:pPr>
        <w:spacing w:line="276" w:lineRule="auto"/>
        <w:jc w:val="center"/>
        <w:rPr>
          <w:b/>
        </w:rPr>
      </w:pPr>
      <w:r w:rsidRPr="003F7F37">
        <w:rPr>
          <w:b/>
        </w:rPr>
        <w:t>2022.gada 29.decembra</w:t>
      </w:r>
    </w:p>
    <w:p w14:paraId="30B4B012" w14:textId="4AA36FFE" w:rsidR="006B7BBC" w:rsidRPr="003F7F37" w:rsidRDefault="0089619C" w:rsidP="00D51633">
      <w:pPr>
        <w:spacing w:line="276" w:lineRule="auto"/>
        <w:jc w:val="center"/>
        <w:rPr>
          <w:b/>
        </w:rPr>
      </w:pPr>
      <w:r w:rsidRPr="003F7F37">
        <w:rPr>
          <w:b/>
        </w:rPr>
        <w:t>SPRIEDUMS</w:t>
      </w:r>
    </w:p>
    <w:p w14:paraId="3D03D34E" w14:textId="56CE2722" w:rsidR="003F7F37" w:rsidRPr="003F7F37" w:rsidRDefault="003F7F37" w:rsidP="00D51633">
      <w:pPr>
        <w:spacing w:line="276" w:lineRule="auto"/>
        <w:jc w:val="center"/>
        <w:rPr>
          <w:b/>
          <w:lang w:eastAsia="lv-LV"/>
        </w:rPr>
      </w:pPr>
      <w:r w:rsidRPr="003F7F37">
        <w:rPr>
          <w:b/>
        </w:rPr>
        <w:t>Lieta Nr. A420285819</w:t>
      </w:r>
      <w:r w:rsidRPr="003F7F37">
        <w:rPr>
          <w:b/>
          <w:lang w:eastAsia="lv-LV"/>
        </w:rPr>
        <w:t>, SKA-315/2022</w:t>
      </w:r>
    </w:p>
    <w:p w14:paraId="3DC02E5A" w14:textId="08BA9679" w:rsidR="003F7F37" w:rsidRPr="003F7F37" w:rsidRDefault="0031795A" w:rsidP="00D51633">
      <w:pPr>
        <w:spacing w:line="276" w:lineRule="auto"/>
        <w:jc w:val="center"/>
        <w:rPr>
          <w:b/>
        </w:rPr>
      </w:pPr>
      <w:hyperlink r:id="rId7" w:history="1">
        <w:r w:rsidR="003F7F37" w:rsidRPr="003F7F37">
          <w:rPr>
            <w:rStyle w:val="Hyperlink"/>
            <w:rFonts w:eastAsiaTheme="minorHAnsi"/>
            <w:lang w:val="en-US" w:eastAsia="en-US"/>
          </w:rPr>
          <w:t>ECLI:LV:AT:2022:1229.A420285819.10.S</w:t>
        </w:r>
      </w:hyperlink>
    </w:p>
    <w:p w14:paraId="2F242BC5" w14:textId="77777777" w:rsidR="006B7BBC" w:rsidRDefault="006B7BBC" w:rsidP="00D51633">
      <w:pPr>
        <w:spacing w:line="276" w:lineRule="auto"/>
        <w:ind w:firstLine="567"/>
        <w:jc w:val="both"/>
      </w:pPr>
    </w:p>
    <w:p w14:paraId="19AFEF33" w14:textId="3B834FEF" w:rsidR="006B7BBC" w:rsidRDefault="006B7BBC" w:rsidP="00D51633">
      <w:pPr>
        <w:spacing w:line="276" w:lineRule="auto"/>
        <w:ind w:firstLine="567"/>
        <w:jc w:val="both"/>
      </w:pPr>
      <w:r w:rsidRPr="00B75A4A">
        <w:t>Tiesa</w:t>
      </w:r>
      <w:r w:rsidRPr="0015480A">
        <w:t xml:space="preserve"> šādā sastāvā: senator</w:t>
      </w:r>
      <w:r w:rsidR="0097713E">
        <w:t>es Ieva Višķere, Dzintra Amerika, Anita Kovaļevska</w:t>
      </w:r>
    </w:p>
    <w:p w14:paraId="3049557F" w14:textId="77777777" w:rsidR="003047F5" w:rsidRPr="0082381C" w:rsidRDefault="003047F5" w:rsidP="00D51633">
      <w:pPr>
        <w:spacing w:line="276" w:lineRule="auto"/>
        <w:ind w:firstLine="567"/>
        <w:jc w:val="both"/>
      </w:pPr>
    </w:p>
    <w:p w14:paraId="45FEDFF2" w14:textId="4653CB5E" w:rsidR="003047F5" w:rsidRPr="0082381C" w:rsidRDefault="00941626" w:rsidP="00D51633">
      <w:pPr>
        <w:spacing w:line="276" w:lineRule="auto"/>
        <w:ind w:firstLine="567"/>
        <w:jc w:val="both"/>
      </w:pPr>
      <w:r w:rsidRPr="0082381C">
        <w:t xml:space="preserve">rakstveida procesā izskatīja administratīvo lietu, kas ierosināta, pamatojoties uz </w:t>
      </w:r>
      <w:r w:rsidR="00BC4A23">
        <w:t xml:space="preserve">[pers. A] </w:t>
      </w:r>
      <w:r w:rsidR="0097713E">
        <w:t>pieteikumu par Salaspils novada domes 2019.gada 10.oktobra lēmuma (sēdes protokols Nr. 20, 22. §) atzīšanu par prettiesisku</w:t>
      </w:r>
      <w:r w:rsidRPr="0082381C">
        <w:t>, s</w:t>
      </w:r>
      <w:r w:rsidR="008570F8">
        <w:t>a</w:t>
      </w:r>
      <w:r w:rsidRPr="0082381C">
        <w:t xml:space="preserve">karā ar </w:t>
      </w:r>
      <w:r w:rsidR="0097713E">
        <w:t xml:space="preserve">Salaspils novada domes </w:t>
      </w:r>
      <w:r w:rsidRPr="0082381C">
        <w:t xml:space="preserve">kasācijas sūdzību par </w:t>
      </w:r>
      <w:r w:rsidR="002663B3">
        <w:t xml:space="preserve">Administratīvās </w:t>
      </w:r>
      <w:r w:rsidR="0097713E">
        <w:t xml:space="preserve">apgabaltiesas 2020.gada 5.novembra </w:t>
      </w:r>
      <w:r w:rsidRPr="0082381C">
        <w:t>spriedumu.</w:t>
      </w:r>
    </w:p>
    <w:p w14:paraId="5DE22EF3" w14:textId="77777777" w:rsidR="00A6596A" w:rsidRPr="0082381C" w:rsidRDefault="00A6596A" w:rsidP="00D51633">
      <w:pPr>
        <w:spacing w:line="276" w:lineRule="auto"/>
        <w:ind w:firstLine="567"/>
        <w:jc w:val="both"/>
      </w:pPr>
    </w:p>
    <w:p w14:paraId="49301551" w14:textId="77777777" w:rsidR="003047F5" w:rsidRPr="0082381C" w:rsidRDefault="003047F5" w:rsidP="00D51633">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D51633">
      <w:pPr>
        <w:spacing w:line="276" w:lineRule="auto"/>
        <w:ind w:firstLine="567"/>
        <w:jc w:val="both"/>
      </w:pPr>
    </w:p>
    <w:p w14:paraId="48623ABD" w14:textId="0967805C" w:rsidR="003047F5" w:rsidRDefault="003047F5" w:rsidP="00D51633">
      <w:pPr>
        <w:spacing w:line="276" w:lineRule="auto"/>
        <w:ind w:firstLine="567"/>
        <w:jc w:val="both"/>
      </w:pPr>
      <w:r w:rsidRPr="0082381C">
        <w:t>[1]</w:t>
      </w:r>
      <w:r w:rsidR="00851689">
        <w:t xml:space="preserve"> Pieteicējas </w:t>
      </w:r>
      <w:r w:rsidR="00BC4A23">
        <w:t xml:space="preserve">[pers. A] </w:t>
      </w:r>
      <w:r w:rsidR="00851689">
        <w:t xml:space="preserve">meita </w:t>
      </w:r>
      <w:r w:rsidR="00BC4A23">
        <w:t>[pers. </w:t>
      </w:r>
      <w:r w:rsidR="00BC4A23">
        <w:t>B</w:t>
      </w:r>
      <w:r w:rsidR="00BC4A23">
        <w:t xml:space="preserve">] </w:t>
      </w:r>
      <w:r w:rsidR="00851689">
        <w:t>apmeklē vienu no Salaspils novada pašvaldības pirmsskolas izglītības iestādēm.</w:t>
      </w:r>
    </w:p>
    <w:p w14:paraId="57B2D066" w14:textId="585D695C" w:rsidR="007358BC" w:rsidRDefault="007358BC" w:rsidP="00D51633">
      <w:pPr>
        <w:spacing w:line="276" w:lineRule="auto"/>
        <w:ind w:firstLine="567"/>
        <w:jc w:val="both"/>
      </w:pPr>
      <w:r w:rsidRPr="00500DF2">
        <w:t xml:space="preserve">Pieteicēja </w:t>
      </w:r>
      <w:r w:rsidR="00F70915" w:rsidRPr="00500DF2">
        <w:t>bija informējusi pirmsskolas izglītības iestād</w:t>
      </w:r>
      <w:r w:rsidR="00731927" w:rsidRPr="00500DF2">
        <w:t>i</w:t>
      </w:r>
      <w:r w:rsidR="00F70915" w:rsidRPr="00500DF2">
        <w:t xml:space="preserve">, ka pieteicējas meita to citstarp apmeklēs arī 2019.gada augustā. Tomēr pieteicēja </w:t>
      </w:r>
      <w:r w:rsidRPr="00500DF2">
        <w:t xml:space="preserve">par </w:t>
      </w:r>
      <w:r w:rsidR="00CB409A">
        <w:t>dažām dienām</w:t>
      </w:r>
      <w:r w:rsidRPr="00500DF2">
        <w:t xml:space="preserve"> nokavēja termiņu</w:t>
      </w:r>
      <w:r w:rsidR="009352F4" w:rsidRPr="00500DF2">
        <w:t xml:space="preserve">, </w:t>
      </w:r>
      <w:r w:rsidR="00763405" w:rsidRPr="00500DF2">
        <w:t xml:space="preserve">līdz kuram </w:t>
      </w:r>
      <w:r w:rsidR="00ED6B03">
        <w:t xml:space="preserve">avansā </w:t>
      </w:r>
      <w:r w:rsidR="00763405" w:rsidRPr="00500DF2">
        <w:t>bija jāapmaksā</w:t>
      </w:r>
      <w:r w:rsidRPr="00500DF2">
        <w:t xml:space="preserve"> viņas meitai pirmsskolas</w:t>
      </w:r>
      <w:r>
        <w:t xml:space="preserve"> izglītības iestādē nodrošināt</w:t>
      </w:r>
      <w:r w:rsidR="00763405">
        <w:t>ais</w:t>
      </w:r>
      <w:r>
        <w:t xml:space="preserve"> ēdināšanas pakalpojum</w:t>
      </w:r>
      <w:r w:rsidR="00763405">
        <w:t>s</w:t>
      </w:r>
      <w:r w:rsidR="009352F4">
        <w:t xml:space="preserve"> </w:t>
      </w:r>
      <w:r w:rsidR="00874230">
        <w:t xml:space="preserve">par </w:t>
      </w:r>
      <w:r w:rsidR="009D4D49">
        <w:t>minēto mēnesi</w:t>
      </w:r>
      <w:r>
        <w:t xml:space="preserve">. </w:t>
      </w:r>
      <w:r w:rsidR="00030A28">
        <w:t>Tāpēc</w:t>
      </w:r>
      <w:r>
        <w:t xml:space="preserve"> </w:t>
      </w:r>
      <w:r w:rsidR="00E902F4">
        <w:t xml:space="preserve">saskaņā ar domes 2012.gada 29.augusta saistošajos noteikumos Nr. 27/2012 „Kārtība, kādā Salaspils novada pašvaldība īsteno pirmsskolas izglītības nodrošināšanas funkciju” (turpmāk – Pirmsskolas izglītības </w:t>
      </w:r>
      <w:r w:rsidR="00CD3DB6">
        <w:t xml:space="preserve">nodrošināšanas </w:t>
      </w:r>
      <w:r w:rsidR="00FB3E83">
        <w:t>noteikumi</w:t>
      </w:r>
      <w:r w:rsidR="00CD3DB6">
        <w:t xml:space="preserve">) </w:t>
      </w:r>
      <w:r w:rsidR="00A06900">
        <w:t>paredzēto</w:t>
      </w:r>
      <w:r w:rsidR="00690C90">
        <w:t xml:space="preserve"> kārtību </w:t>
      </w:r>
      <w:r>
        <w:t xml:space="preserve">pieteicējas meitai </w:t>
      </w:r>
      <w:r w:rsidR="009D4D49">
        <w:t>attiecīgajā</w:t>
      </w:r>
      <w:r w:rsidR="00A90FB2">
        <w:t xml:space="preserve"> mēnesī </w:t>
      </w:r>
      <w:r>
        <w:t>netika nodrošināta vieta pirmsskolas izglītības iestādē</w:t>
      </w:r>
      <w:r w:rsidR="00A90FB2">
        <w:t>.</w:t>
      </w:r>
    </w:p>
    <w:p w14:paraId="7B7447C9" w14:textId="31F443F9" w:rsidR="003047F5" w:rsidRDefault="000D33B6" w:rsidP="00D51633">
      <w:pPr>
        <w:spacing w:line="276" w:lineRule="auto"/>
        <w:ind w:firstLine="567"/>
        <w:jc w:val="both"/>
      </w:pPr>
      <w:r>
        <w:lastRenderedPageBreak/>
        <w:t xml:space="preserve">Pieteicēja </w:t>
      </w:r>
      <w:r w:rsidR="00A71314">
        <w:t>2019.gada 1.augustā vērsās ar iesniegumu domē, lūdzot pieteicējas meitai augustā tomēr nodrošināt vietu attiecīgajā pirmsskolas izglītības iestādē. Ar domes 2019.gada 10.oktobra lēmumu (sēdes protokols Nr. 20, 22. §) kā administratīvā akta galīgo noformējumu pieteicējas lūgums noraidīts.</w:t>
      </w:r>
    </w:p>
    <w:p w14:paraId="031410F8" w14:textId="77777777" w:rsidR="00E474BF" w:rsidRPr="0082381C" w:rsidRDefault="00E474BF" w:rsidP="00D51633">
      <w:pPr>
        <w:spacing w:line="276" w:lineRule="auto"/>
        <w:ind w:firstLine="567"/>
        <w:jc w:val="both"/>
      </w:pPr>
    </w:p>
    <w:p w14:paraId="36F2F623" w14:textId="44CCCC5B" w:rsidR="003047F5" w:rsidRPr="0082381C" w:rsidRDefault="003047F5" w:rsidP="00D51633">
      <w:pPr>
        <w:spacing w:line="276" w:lineRule="auto"/>
        <w:ind w:firstLine="567"/>
        <w:jc w:val="both"/>
      </w:pPr>
      <w:r w:rsidRPr="0082381C">
        <w:t>[2]</w:t>
      </w:r>
      <w:r w:rsidR="00E474BF">
        <w:t xml:space="preserve"> Pieteicēja vērsās tiesā </w:t>
      </w:r>
      <w:r w:rsidR="00A06900">
        <w:t xml:space="preserve">un lūdza </w:t>
      </w:r>
      <w:r w:rsidR="00E474BF">
        <w:t>minēt</w:t>
      </w:r>
      <w:r w:rsidR="00A06900">
        <w:t>o</w:t>
      </w:r>
      <w:r w:rsidR="00E474BF">
        <w:t xml:space="preserve"> Salaspils novada domes lēmum</w:t>
      </w:r>
      <w:r w:rsidR="00A06900">
        <w:t>u</w:t>
      </w:r>
      <w:r w:rsidR="00E474BF">
        <w:t xml:space="preserve"> </w:t>
      </w:r>
      <w:r w:rsidR="00EA42A6">
        <w:t>atzī</w:t>
      </w:r>
      <w:r w:rsidR="00A06900">
        <w:t>t</w:t>
      </w:r>
      <w:r w:rsidR="00EA42A6">
        <w:t xml:space="preserve"> par prettiesisku.</w:t>
      </w:r>
    </w:p>
    <w:p w14:paraId="0D7827B6" w14:textId="77777777" w:rsidR="006B7BBC" w:rsidRDefault="006B7BBC" w:rsidP="00D51633">
      <w:pPr>
        <w:pStyle w:val="ATpamattesksts"/>
      </w:pPr>
    </w:p>
    <w:p w14:paraId="21D969F8" w14:textId="189A5522" w:rsidR="003047F5" w:rsidRPr="0082381C" w:rsidRDefault="003047F5" w:rsidP="00D51633">
      <w:pPr>
        <w:spacing w:line="276" w:lineRule="auto"/>
        <w:ind w:firstLine="567"/>
        <w:jc w:val="both"/>
      </w:pPr>
      <w:r w:rsidRPr="0082381C">
        <w:t>[</w:t>
      </w:r>
      <w:r w:rsidR="006B7BBC">
        <w:t>3</w:t>
      </w:r>
      <w:r w:rsidRPr="0082381C">
        <w:t>]</w:t>
      </w:r>
      <w:r w:rsidR="00095FA9">
        <w:t> Administratīvā apgabaltiesa, izskatījusi lietu apelācijas kārtībā, ar 2020.gada 5.novembra spriedumu pieteicējas pieteikumu apmierināja. Spriedums</w:t>
      </w:r>
      <w:r w:rsidR="00D85BB7">
        <w:t xml:space="preserve">, </w:t>
      </w:r>
      <w:r w:rsidR="00A06900">
        <w:t>ņ</w:t>
      </w:r>
      <w:r w:rsidR="00D85BB7">
        <w:t xml:space="preserve">emot vērā </w:t>
      </w:r>
      <w:r w:rsidR="00A06900">
        <w:t xml:space="preserve">arī </w:t>
      </w:r>
      <w:r w:rsidR="00D85BB7">
        <w:t>pievienošanos pirmās instances tiesas sprieduma motivācijai,</w:t>
      </w:r>
      <w:r w:rsidR="00095FA9">
        <w:t xml:space="preserve"> pamatots </w:t>
      </w:r>
      <w:r w:rsidR="00D867CA">
        <w:t>ar turpmāk norādītajiem argumentiem.</w:t>
      </w:r>
    </w:p>
    <w:p w14:paraId="2CC30CFC" w14:textId="2A45709E" w:rsidR="003047F5" w:rsidRDefault="006B7BBC" w:rsidP="00D51633">
      <w:pPr>
        <w:spacing w:line="276" w:lineRule="auto"/>
        <w:ind w:firstLine="567"/>
        <w:jc w:val="both"/>
      </w:pPr>
      <w:r>
        <w:t>[3.1</w:t>
      </w:r>
      <w:r w:rsidR="003047F5" w:rsidRPr="0082381C">
        <w:t>]</w:t>
      </w:r>
      <w:r w:rsidR="00420CA3">
        <w:t> Saskaņā ar Izglītības likuma un likuma „Par pašvaldībām” normām bērnam, lai attīstītu savu garīgo un fizisko potenciālu,</w:t>
      </w:r>
      <w:r w:rsidR="0039181D">
        <w:t xml:space="preserve"> </w:t>
      </w:r>
      <w:r w:rsidR="00420CA3">
        <w:t>ir tiesības iegūt valsts vai pašvaldības apmaksātu pirmsskolas izglītību.</w:t>
      </w:r>
    </w:p>
    <w:p w14:paraId="483A225D" w14:textId="217D6688" w:rsidR="00B31257" w:rsidRDefault="00B31257" w:rsidP="00D51633">
      <w:pPr>
        <w:spacing w:line="276" w:lineRule="auto"/>
        <w:ind w:firstLine="567"/>
        <w:jc w:val="both"/>
      </w:pPr>
      <w:r>
        <w:t>Lietā ir strīds par pirmsskolas izglītības iegūšanu vasaras periodā, kad saskaņā ar Ministru kabineta 2018.gada 21.novembra noteikumu Nr. 716 „</w:t>
      </w:r>
      <w:hyperlink r:id="rId8" w:tgtFrame="_blank" w:history="1">
        <w:r w:rsidRPr="00B31257">
          <w:t>Noteikumi par valsts pirmsskolas izglītības vadlīnijām</w:t>
        </w:r>
      </w:hyperlink>
      <w:r w:rsidR="00B839AA">
        <w:t xml:space="preserve"> </w:t>
      </w:r>
      <w:r w:rsidRPr="00B31257">
        <w:t>un pirmsskolas izglītības programmu paraugiem</w:t>
      </w:r>
      <w:r>
        <w:t>”</w:t>
      </w:r>
      <w:r w:rsidR="005D2C31">
        <w:t xml:space="preserve"> normām bērns iegūtās prasmes nostiprina, nevis iegūst no jauna. Tomēr tas pats par sevi nemaina </w:t>
      </w:r>
      <w:r w:rsidR="00CB39D4">
        <w:t>apstākli</w:t>
      </w:r>
      <w:r w:rsidR="005D2C31">
        <w:t xml:space="preserve">, ka arī šajā periodā bērns </w:t>
      </w:r>
      <w:r w:rsidR="003373E4">
        <w:t>iegūst pirmsskolas izglītību, apgūstot tās programmu.</w:t>
      </w:r>
    </w:p>
    <w:p w14:paraId="5BDDA088" w14:textId="3406428A" w:rsidR="005D2C31" w:rsidRDefault="005D2C31" w:rsidP="00D51633">
      <w:pPr>
        <w:spacing w:line="276" w:lineRule="auto"/>
        <w:ind w:firstLine="567"/>
        <w:jc w:val="both"/>
      </w:pPr>
      <w:r>
        <w:t xml:space="preserve">[3.2] Atbilstoši Pirmsskolas izglītības nodrošināšanas noteikumu normām, lai bērnam pirmsskolas izglītības iestādē būtu nodrošināta vieta vasaras periodā, ir jāizpildās šādiem trim kumulatīviem </w:t>
      </w:r>
      <w:r w:rsidR="00347EBF">
        <w:t>nosacījumiem</w:t>
      </w:r>
      <w:r>
        <w:t>: 1)</w:t>
      </w:r>
      <w:r w:rsidR="00B839AA">
        <w:t xml:space="preserve"> </w:t>
      </w:r>
      <w:r>
        <w:t xml:space="preserve">vecākam </w:t>
      </w:r>
      <w:r w:rsidR="00E9014C">
        <w:t xml:space="preserve">ir </w:t>
      </w:r>
      <w:r>
        <w:t xml:space="preserve">jāiesniedz </w:t>
      </w:r>
      <w:r w:rsidR="00015E9E">
        <w:t xml:space="preserve">iesniegums </w:t>
      </w:r>
      <w:r>
        <w:t xml:space="preserve">par vēlmi izmantot pirmsskolas izglītības pakalpojumus vasarā </w:t>
      </w:r>
      <w:r w:rsidR="00015E9E">
        <w:t xml:space="preserve">(34.punkts); 2) </w:t>
      </w:r>
      <w:r w:rsidR="0078685A">
        <w:t xml:space="preserve">vecākam ir jābūt veikušam samaksu </w:t>
      </w:r>
      <w:r w:rsidR="00015E9E">
        <w:t xml:space="preserve">par ēdināšanas pakalpojumu par martu, aprīli un maiju (36.punkts); 3) </w:t>
      </w:r>
      <w:r w:rsidR="0078685A">
        <w:t xml:space="preserve">vecākam </w:t>
      </w:r>
      <w:r w:rsidR="00015E9E">
        <w:t>avansā</w:t>
      </w:r>
      <w:r w:rsidR="00577AED">
        <w:t xml:space="preserve"> (</w:t>
      </w:r>
      <w:r w:rsidR="00015E9E">
        <w:t>proti, līdz iepriekšējā mēneša 25.datumam</w:t>
      </w:r>
      <w:r w:rsidR="00577AED">
        <w:t xml:space="preserve">) </w:t>
      </w:r>
      <w:r w:rsidR="00015E9E">
        <w:t>jāveic samaksa par ēdināšanas pakalpojumu par katru vasaras mēnesi</w:t>
      </w:r>
      <w:r w:rsidR="009E1BC8">
        <w:t xml:space="preserve"> (proti, </w:t>
      </w:r>
      <w:r w:rsidR="00182263">
        <w:t>jūniju, jūliju un augustu</w:t>
      </w:r>
      <w:r w:rsidR="009E1BC8">
        <w:t>)</w:t>
      </w:r>
      <w:r w:rsidR="00921ACD">
        <w:t xml:space="preserve"> </w:t>
      </w:r>
      <w:r w:rsidR="00577AED">
        <w:t>(36.</w:t>
      </w:r>
      <w:r w:rsidR="0018500B" w:rsidRPr="00FB0E62">
        <w:rPr>
          <w:vertAlign w:val="superscript"/>
        </w:rPr>
        <w:t>2</w:t>
      </w:r>
      <w:r w:rsidR="0018500B">
        <w:t>punkts).</w:t>
      </w:r>
    </w:p>
    <w:p w14:paraId="7FDEB95A" w14:textId="285723D5" w:rsidR="006158BC" w:rsidRDefault="006158BC" w:rsidP="00D51633">
      <w:pPr>
        <w:spacing w:line="276" w:lineRule="auto"/>
        <w:ind w:firstLine="567"/>
        <w:jc w:val="both"/>
      </w:pPr>
      <w:r>
        <w:t>Pieteicēja izpildīja pirmo un otro nosacījumu,</w:t>
      </w:r>
      <w:r w:rsidR="005E0DF1">
        <w:t xml:space="preserve"> taču </w:t>
      </w:r>
      <w:r>
        <w:t>nebija izpildījusi trešo nosacījumu. Proti, pieteicēja 2019.gada 12.jūlijā e-pastā saņēma avansa rēķinu par ēdināšanas</w:t>
      </w:r>
      <w:r w:rsidR="00E9014C">
        <w:t xml:space="preserve"> pakalpojumu </w:t>
      </w:r>
      <w:r w:rsidR="00FA673D">
        <w:t>par augustu, kurā kā samaksas termiņš bija norādīts 25.jūlijs</w:t>
      </w:r>
      <w:r w:rsidR="00DE06C5">
        <w:t xml:space="preserve">, tomēr aizmirsa veikt attiecīgo maksājumu. 2019.gada 1.augustā, kad, kā ierasts, pieteicēja aizveda bērnu uz pirmsskolas izglītības iestādi, pieteicējas bērns saņēma atteikumu iestādes apmeklējumam </w:t>
      </w:r>
      <w:r w:rsidR="00FC5F9E">
        <w:t>visu augusta mēnesi</w:t>
      </w:r>
      <w:r w:rsidR="00DE06C5">
        <w:t>.</w:t>
      </w:r>
      <w:r w:rsidR="005E0DF1">
        <w:t xml:space="preserve"> Pieteicēja uzskata, ka trešā nosacījuma neizpilde, jo sevišķi ņemot vērā to, ka vecākam par rēķina apmaksas nepieciešamību netiek nosūtīts pa</w:t>
      </w:r>
      <w:r w:rsidR="000F7DBC">
        <w:t>t</w:t>
      </w:r>
      <w:r w:rsidR="005E0DF1">
        <w:t xml:space="preserve"> atgādinājums</w:t>
      </w:r>
      <w:r w:rsidR="000F7DBC">
        <w:t xml:space="preserve"> vai brīdinājums</w:t>
      </w:r>
      <w:r w:rsidR="005E0DF1">
        <w:t>, nav samērīga ar bērna tiesībām apmeklēt pirmsskolas izglītības iestādi.</w:t>
      </w:r>
    </w:p>
    <w:p w14:paraId="49506AB8" w14:textId="0375B95E" w:rsidR="001A5CDE" w:rsidRDefault="005E0DF1" w:rsidP="00D51633">
      <w:pPr>
        <w:spacing w:line="276" w:lineRule="auto"/>
        <w:ind w:firstLine="567"/>
        <w:jc w:val="both"/>
      </w:pPr>
      <w:r>
        <w:t>[3.3]</w:t>
      </w:r>
      <w:r w:rsidR="001A5CDE">
        <w:t> </w:t>
      </w:r>
      <w:r w:rsidR="00A06900">
        <w:t>S</w:t>
      </w:r>
      <w:r w:rsidR="00D42B39">
        <w:t>trīdus nosacījumam pašam par sevi ir leģitīms mērķis – racionāli organizēt pirmsskolas izglītības iestādes resursus un pedagoģiskā darba plānojumu. Tomēr strīdus nosacījums nav uzskatāms par saudzīgāko līdzekli, ar kuru iespējams sasniegt tiesību normas leģitīmo mērķi.</w:t>
      </w:r>
    </w:p>
    <w:p w14:paraId="31AAF1A1" w14:textId="26595723" w:rsidR="00D42B39" w:rsidRDefault="00D42B39" w:rsidP="00D51633">
      <w:pPr>
        <w:spacing w:line="276" w:lineRule="auto"/>
        <w:ind w:firstLine="567"/>
        <w:jc w:val="both"/>
      </w:pPr>
      <w:r>
        <w:t xml:space="preserve">Pirmkārt, jāņem vērā, ka strīdus nosacījums ir tikai viens no vairākiem nosacījumiem, kas </w:t>
      </w:r>
      <w:r w:rsidR="001A5CDE">
        <w:t xml:space="preserve">ir </w:t>
      </w:r>
      <w:r>
        <w:t xml:space="preserve">jāizpilda bērna vecākam, lai bērnam vasaras periodā būtu nodrošināta vieta pirmsskolas izglītības iestādē. Visi nosacījumi ir vērsti uz to, lai pēc iespējas racionālāk plānotu pašvaldības pirmsskolas izglītības iestāžu resursus. Otrkārt, iestādes resursu un darba organizācijas plānošana nevar pārsniegt tam nepieciešamos līdzekļus, proti, nevar būt tik ļoti vērsta uz resursu un darba organizācijas plānošanu, ka tā būtiski ietekmē bērna tiesības apmeklēt pirmsskolas izglītības iestādi. Arī citās Pierīgas pašvaldībās vasaras periodā ir nepieciešams racionāli plānot </w:t>
      </w:r>
      <w:r>
        <w:lastRenderedPageBreak/>
        <w:t>un izmantot resursus un veikt organizatoriskos pasākumus, tomēr no lietā noskaidrotā izriet, ka citās pašvaldībās šis mērķis tiek sasniegts ar saudzējošākiem līdzekļiem, piemēram, pedagogu un vecāku aptauju. Treškārt, sekas, kas iestājas gadījumā, ja vecāks laikus neveic maksājumu par ēdināšanas pakalpojumu</w:t>
      </w:r>
      <w:r w:rsidR="001A5CDE">
        <w:t>, nav samērīgas</w:t>
      </w:r>
      <w:r w:rsidR="00FC6015">
        <w:t>,</w:t>
      </w:r>
      <w:r w:rsidR="001A5CDE">
        <w:t xml:space="preserve"> un regulējums nav bērna interesēm atbilstošs. Jautājums būtu jārisina, izmantojot citu mehānismu, piemēram, nosakot līgumsodu par avansa rēķina apmaksas kavējumu un piedzenot parādu tiesas ceļā, ja vecāki ļaunprātīgi neveic rēķina apmaksu. Taču risinājums nav panākams, liedzot bērnam apmeklēt pirmsskolas izglītības iestādi</w:t>
      </w:r>
      <w:r w:rsidR="00752126">
        <w:t xml:space="preserve"> un tādējādi radot bērnam</w:t>
      </w:r>
      <w:r w:rsidR="001A5CDE">
        <w:t xml:space="preserve"> nelabvēlīgas sekas.</w:t>
      </w:r>
    </w:p>
    <w:p w14:paraId="14A09802" w14:textId="613D49FF" w:rsidR="00752126" w:rsidRDefault="00752126" w:rsidP="00D51633">
      <w:pPr>
        <w:spacing w:line="276" w:lineRule="auto"/>
        <w:ind w:firstLine="567"/>
        <w:jc w:val="both"/>
      </w:pPr>
      <w:r>
        <w:t xml:space="preserve">Ievērojot minēto, strīdus </w:t>
      </w:r>
      <w:r w:rsidR="00CF6537">
        <w:t xml:space="preserve">nosacījums </w:t>
      </w:r>
      <w:r>
        <w:t xml:space="preserve">atzīstams par neatbilstošu Izglītības likuma 2.pantam un 17.panta pirmajai daļai, kur nolūkā attīstīt savu garīgo un fizisko potenciālu </w:t>
      </w:r>
      <w:r w:rsidR="001412D4">
        <w:t xml:space="preserve">nostiprinātas bērna tiesības </w:t>
      </w:r>
      <w:r>
        <w:t xml:space="preserve">iegūt valsts vai pašvaldības apmaksātu pirmsskolas izglītību, kā arī Bērnu tiesību aizsardzības likuma 6.panta pirmajai daļai, kas paredz, ka tiesiskajās attiecībās, kas skar bērnu, bērna tiesības un intereses ir prioritāras. </w:t>
      </w:r>
    </w:p>
    <w:p w14:paraId="0362DB88" w14:textId="6863D061" w:rsidR="00A06900" w:rsidRDefault="00A06900" w:rsidP="00D51633">
      <w:pPr>
        <w:spacing w:line="276" w:lineRule="auto"/>
        <w:ind w:firstLine="567"/>
        <w:jc w:val="both"/>
      </w:pPr>
      <w:r>
        <w:t xml:space="preserve">Ņemot vērā, ka pārsūdzētais </w:t>
      </w:r>
      <w:r w:rsidR="00727EF1">
        <w:t xml:space="preserve">domes </w:t>
      </w:r>
      <w:r>
        <w:t>lēmums balstīts uz tādu saistošo noteikumu normu, kas neatbilst augstāka juridiskā spēka nomām (likuma normām), šis lēmums atzīstams par prettiesisku.</w:t>
      </w:r>
    </w:p>
    <w:p w14:paraId="3C6BF604" w14:textId="4E00DBAD" w:rsidR="00D867CA" w:rsidRDefault="00D867CA" w:rsidP="00D51633">
      <w:pPr>
        <w:spacing w:line="276" w:lineRule="auto"/>
        <w:ind w:firstLine="567"/>
        <w:jc w:val="both"/>
      </w:pPr>
    </w:p>
    <w:p w14:paraId="2D6B1217" w14:textId="74BE2D7D" w:rsidR="00D867CA" w:rsidRDefault="00D867CA" w:rsidP="00D51633">
      <w:pPr>
        <w:spacing w:line="276" w:lineRule="auto"/>
        <w:ind w:firstLine="567"/>
        <w:jc w:val="both"/>
      </w:pPr>
      <w:r>
        <w:t xml:space="preserve">[4] Salaspils novada dome </w:t>
      </w:r>
      <w:r w:rsidRPr="00525834">
        <w:t>par spriedumu iesniedza kasācijas sūdzību</w:t>
      </w:r>
      <w:r w:rsidR="00752126">
        <w:t>, argumentējot, ka apgabaltiesa nepamatoti secinājusi, ka Pirmsskolas izglītības nodrošināšanas noteikumu regulējums neatbilst augstāka juridiskā spēka tiesību normām</w:t>
      </w:r>
      <w:r w:rsidR="00D63538">
        <w:t>, un līdz ar to nepamatoti atzinusi par prettiesisku domes lēmumu, kurš pamatots ar minēto regulējumu.</w:t>
      </w:r>
    </w:p>
    <w:p w14:paraId="2398B062" w14:textId="4CC894A5" w:rsidR="00D867CA" w:rsidRDefault="00D867CA" w:rsidP="00D51633">
      <w:pPr>
        <w:spacing w:line="276" w:lineRule="auto"/>
        <w:ind w:firstLine="567"/>
        <w:jc w:val="both"/>
      </w:pPr>
    </w:p>
    <w:p w14:paraId="45FB56E2" w14:textId="364594FF" w:rsidR="00D867CA" w:rsidRPr="0082381C" w:rsidRDefault="00D867CA" w:rsidP="00D51633">
      <w:pPr>
        <w:spacing w:line="276" w:lineRule="auto"/>
        <w:ind w:firstLine="567"/>
        <w:jc w:val="both"/>
      </w:pPr>
      <w:r>
        <w:t xml:space="preserve">[5] Pieteicēja paskaidrojumos par kasācijas sūdzību norādīja, ka uzskata to par nepamatotu. </w:t>
      </w:r>
    </w:p>
    <w:p w14:paraId="51D5FABC" w14:textId="77777777" w:rsidR="003047F5" w:rsidRPr="0082381C" w:rsidRDefault="003047F5" w:rsidP="00D51633">
      <w:pPr>
        <w:spacing w:line="276" w:lineRule="auto"/>
        <w:ind w:firstLine="567"/>
        <w:jc w:val="both"/>
      </w:pPr>
    </w:p>
    <w:p w14:paraId="1900DA50" w14:textId="77777777" w:rsidR="003047F5" w:rsidRPr="0082381C" w:rsidRDefault="003047F5" w:rsidP="00D51633">
      <w:pPr>
        <w:spacing w:line="276" w:lineRule="auto"/>
        <w:jc w:val="center"/>
        <w:rPr>
          <w:b/>
        </w:rPr>
      </w:pPr>
      <w:r w:rsidRPr="0082381C">
        <w:rPr>
          <w:b/>
        </w:rPr>
        <w:t>Motīvu daļa</w:t>
      </w:r>
    </w:p>
    <w:p w14:paraId="1BB040D6" w14:textId="14976562" w:rsidR="00F623B5" w:rsidRDefault="00F623B5" w:rsidP="00D51633">
      <w:pPr>
        <w:spacing w:line="276" w:lineRule="auto"/>
        <w:ind w:firstLine="567"/>
        <w:jc w:val="both"/>
      </w:pPr>
    </w:p>
    <w:p w14:paraId="48170758" w14:textId="610DB421" w:rsidR="00AB35CF" w:rsidRDefault="00F623B5" w:rsidP="00D51633">
      <w:pPr>
        <w:spacing w:line="276" w:lineRule="auto"/>
        <w:ind w:firstLine="567"/>
        <w:jc w:val="both"/>
      </w:pPr>
      <w:r>
        <w:t>[</w:t>
      </w:r>
      <w:r w:rsidR="003772AF">
        <w:t>6</w:t>
      </w:r>
      <w:r>
        <w:t>]</w:t>
      </w:r>
      <w:r w:rsidR="00484995">
        <w:t> Lietā piemērojamais Pirmsskolas izglītības nodrošināšanas noteikumu regulējums paredzēja, ka vasaras periodā</w:t>
      </w:r>
      <w:r w:rsidR="00081C5C">
        <w:t xml:space="preserve"> –</w:t>
      </w:r>
      <w:r w:rsidR="00C00A5C">
        <w:t xml:space="preserve"> </w:t>
      </w:r>
      <w:r w:rsidR="00484995">
        <w:t>jūnijā, jūlijā un augustā</w:t>
      </w:r>
      <w:r w:rsidR="00081C5C">
        <w:t xml:space="preserve"> – </w:t>
      </w:r>
      <w:r w:rsidR="00484995">
        <w:t xml:space="preserve">bērnam </w:t>
      </w:r>
      <w:r w:rsidR="00165D12">
        <w:t>vieta pirmsskolas izglītības iestādē tiek nodrošināta tad, ja vecāks citstarp ir</w:t>
      </w:r>
      <w:r w:rsidR="00362D08">
        <w:t xml:space="preserve"> </w:t>
      </w:r>
      <w:r w:rsidR="00F72B39">
        <w:t>veicis avansa maksājumu</w:t>
      </w:r>
      <w:r w:rsidR="00165D12">
        <w:t xml:space="preserve"> par ēdināšanas pakalpojumu par katru vasaras mēnesi.</w:t>
      </w:r>
      <w:r w:rsidR="00664986">
        <w:t xml:space="preserve"> </w:t>
      </w:r>
      <w:r w:rsidR="00900448">
        <w:t>Savukārt, ja</w:t>
      </w:r>
      <w:r w:rsidR="0026266B">
        <w:t xml:space="preserve"> vecāks līdz iepriekšējā mēneša 25.datumam </w:t>
      </w:r>
      <w:r w:rsidR="00F72B39">
        <w:t>nav samaksājis par ēdināšanas pakalpojumu</w:t>
      </w:r>
      <w:r w:rsidR="0026266B">
        <w:t xml:space="preserve">, bērnam </w:t>
      </w:r>
      <w:r w:rsidR="00664986">
        <w:t xml:space="preserve">vieta pirmsskolas izglītības iestādē attiecīgajā vasaras mēnesī </w:t>
      </w:r>
      <w:r w:rsidR="004C7A60">
        <w:t>netiek nodrošināta.</w:t>
      </w:r>
    </w:p>
    <w:p w14:paraId="3AB519A9" w14:textId="68222CFC" w:rsidR="00483345" w:rsidRDefault="00CB409A" w:rsidP="00D51633">
      <w:pPr>
        <w:spacing w:line="276" w:lineRule="auto"/>
        <w:ind w:firstLine="567"/>
        <w:jc w:val="both"/>
      </w:pPr>
      <w:r>
        <w:t>K</w:t>
      </w:r>
      <w:r w:rsidR="00CC784D">
        <w:t>asācijas tiesvedības ietvaros pārbaudāms, vai apgabaltiesa</w:t>
      </w:r>
      <w:r>
        <w:t>, atzīstot</w:t>
      </w:r>
      <w:r w:rsidR="005A4E86">
        <w:t xml:space="preserve"> </w:t>
      </w:r>
      <w:r w:rsidR="008B4841">
        <w:t>minēto regulējumu</w:t>
      </w:r>
      <w:r w:rsidR="00A637F8">
        <w:t xml:space="preserve"> </w:t>
      </w:r>
      <w:r w:rsidR="00CC784D">
        <w:t>par neatbilstošu Izglītības likuma un Bērnu tiesību aizsardzības likuma normām</w:t>
      </w:r>
      <w:r>
        <w:t>, pieļāvusi kasācijas sūdzībā norādītos tiesību normu piemērošanas pārkāpumus.</w:t>
      </w:r>
    </w:p>
    <w:p w14:paraId="7E89D534" w14:textId="77777777" w:rsidR="00236EAE" w:rsidRDefault="00236EAE" w:rsidP="00D51633">
      <w:pPr>
        <w:spacing w:line="276" w:lineRule="auto"/>
        <w:ind w:firstLine="567"/>
        <w:jc w:val="both"/>
      </w:pPr>
    </w:p>
    <w:p w14:paraId="7B817A98" w14:textId="6E3D01D7" w:rsidR="00A17A38" w:rsidRDefault="00483345" w:rsidP="00D51633">
      <w:pPr>
        <w:spacing w:line="276" w:lineRule="auto"/>
        <w:ind w:firstLine="567"/>
        <w:jc w:val="both"/>
      </w:pPr>
      <w:r>
        <w:t>[7]</w:t>
      </w:r>
      <w:r w:rsidR="00A17A38">
        <w:t> </w:t>
      </w:r>
      <w:r>
        <w:t xml:space="preserve">Dome kasācijas sūdzībā </w:t>
      </w:r>
      <w:r w:rsidR="00A17A38">
        <w:t>norāda</w:t>
      </w:r>
      <w:r>
        <w:t>, ka</w:t>
      </w:r>
      <w:r w:rsidR="002040F7">
        <w:t xml:space="preserve"> no pārsūdzētā sprieduma neesot saprotams, kādēļ tiesa</w:t>
      </w:r>
      <w:r w:rsidR="006D4F8F">
        <w:t xml:space="preserve"> ir</w:t>
      </w:r>
      <w:r w:rsidR="002040F7">
        <w:t xml:space="preserve"> vērtējusi strīdus Pirmsskolas izglītības nodrošināšanas noteikumu </w:t>
      </w:r>
      <w:r w:rsidR="00C25662">
        <w:t>regulējuma</w:t>
      </w:r>
      <w:r w:rsidR="002040F7">
        <w:t xml:space="preserve"> atbilstību Izglītības likuma normām, </w:t>
      </w:r>
      <w:r w:rsidR="00EB736C">
        <w:t xml:space="preserve">bet ne </w:t>
      </w:r>
      <w:r w:rsidR="002040F7">
        <w:t xml:space="preserve">Vispārējās izglītības likuma normām. </w:t>
      </w:r>
      <w:r w:rsidR="000837DC">
        <w:t xml:space="preserve">Domes ieskatā, </w:t>
      </w:r>
      <w:r w:rsidR="00577EBD">
        <w:t>Izglītības likum</w:t>
      </w:r>
      <w:r w:rsidR="00842C22">
        <w:t xml:space="preserve">ā </w:t>
      </w:r>
      <w:r w:rsidR="00577EBD">
        <w:t>esot ietvert</w:t>
      </w:r>
      <w:r w:rsidR="00842C22">
        <w:t>as</w:t>
      </w:r>
      <w:r w:rsidR="00577EBD">
        <w:t xml:space="preserve"> vienīgi </w:t>
      </w:r>
      <w:r w:rsidR="00842C22">
        <w:t>vispārīg</w:t>
      </w:r>
      <w:r w:rsidR="0040001F">
        <w:t>ā</w:t>
      </w:r>
      <w:r w:rsidR="00842C22">
        <w:t>s pirmsskolas izglītīb</w:t>
      </w:r>
      <w:r w:rsidR="00C07C4F">
        <w:t>as nodrošināšanu</w:t>
      </w:r>
      <w:r w:rsidR="00842C22">
        <w:t xml:space="preserve"> regulējoš</w:t>
      </w:r>
      <w:r w:rsidR="00032C15">
        <w:t>ā</w:t>
      </w:r>
      <w:r w:rsidR="00842C22">
        <w:t xml:space="preserve">s tiesību normas, savukārt Vispārējās izglītības likumā </w:t>
      </w:r>
      <w:r w:rsidR="00542033">
        <w:t>–</w:t>
      </w:r>
      <w:r w:rsidR="00842C22">
        <w:t xml:space="preserve"> </w:t>
      </w:r>
      <w:r w:rsidR="00032C15">
        <w:t>speciālās attiecīgo jomu regulējošās tiesību normas</w:t>
      </w:r>
      <w:r w:rsidR="00842C22">
        <w:t xml:space="preserve">. Tādējādi tiesai esot vajadzējis pamatot, kādēļ tā lietā ir piemērojusi vienīgi Izglītības likuma 2.pantu un 17.panta pirmo daļu, </w:t>
      </w:r>
      <w:r w:rsidR="00B9560D">
        <w:t>bet ne</w:t>
      </w:r>
      <w:r w:rsidR="00842C22">
        <w:t xml:space="preserve"> Vispārējās izglītības likuma V</w:t>
      </w:r>
      <w:r w:rsidR="008E7C15">
        <w:t> </w:t>
      </w:r>
      <w:r w:rsidR="00842C22">
        <w:t>nodaļā „Pirmsskolas izglītība” ietvertās tiesību normas</w:t>
      </w:r>
      <w:r w:rsidR="00CD5B39">
        <w:t xml:space="preserve">, kas </w:t>
      </w:r>
      <w:r w:rsidR="0006508E">
        <w:t xml:space="preserve">konkrētajā gadījumā </w:t>
      </w:r>
      <w:r w:rsidR="00CD5B39">
        <w:t>esot uzskatāmas par speciālajām tiesību normām iepretim minētajām Izglītības likuma normām.</w:t>
      </w:r>
    </w:p>
    <w:p w14:paraId="1BED8DB5" w14:textId="77777777" w:rsidR="00682679" w:rsidRDefault="00682679" w:rsidP="00D51633">
      <w:pPr>
        <w:spacing w:line="276" w:lineRule="auto"/>
        <w:ind w:firstLine="567"/>
        <w:jc w:val="both"/>
      </w:pPr>
    </w:p>
    <w:p w14:paraId="37F4F64A" w14:textId="24BDB464" w:rsidR="00682679" w:rsidRDefault="00682679" w:rsidP="00D51633">
      <w:pPr>
        <w:spacing w:line="276" w:lineRule="auto"/>
        <w:ind w:firstLine="567"/>
        <w:jc w:val="both"/>
      </w:pPr>
      <w:r>
        <w:t>[8]</w:t>
      </w:r>
      <w:r w:rsidR="00AD3B20">
        <w:t> </w:t>
      </w:r>
      <w:r w:rsidR="009C353C">
        <w:t xml:space="preserve">Senāts </w:t>
      </w:r>
      <w:r>
        <w:t>atzīst, ka minētais arguments neliecina par tiesas pieļautu tiesību normu piemērošanas pārkāpumu.</w:t>
      </w:r>
      <w:r w:rsidR="004C4636">
        <w:t xml:space="preserve"> </w:t>
      </w:r>
    </w:p>
    <w:p w14:paraId="2674AD89" w14:textId="647D5A4F" w:rsidR="00682679" w:rsidRDefault="00117086" w:rsidP="00D51633">
      <w:pPr>
        <w:spacing w:line="276" w:lineRule="auto"/>
        <w:ind w:firstLine="567"/>
        <w:jc w:val="both"/>
      </w:pPr>
      <w:r>
        <w:t>Vispārīgās tiesību normas un speciālās tiesību normas saista tas</w:t>
      </w:r>
      <w:r w:rsidR="00D04E05">
        <w:t xml:space="preserve">, ka tās regulē vienu un to pašu faktisko situāciju un tādējādi </w:t>
      </w:r>
      <w:r w:rsidR="00F50709">
        <w:t xml:space="preserve">var </w:t>
      </w:r>
      <w:r w:rsidR="00D04E05">
        <w:t>veido</w:t>
      </w:r>
      <w:r w:rsidR="00F50709">
        <w:t>t</w:t>
      </w:r>
      <w:r w:rsidR="00213257">
        <w:t xml:space="preserve"> savstarpēju</w:t>
      </w:r>
      <w:r w:rsidR="00D04E05">
        <w:t xml:space="preserve"> </w:t>
      </w:r>
      <w:r w:rsidR="00213257">
        <w:t xml:space="preserve">tiesību normu </w:t>
      </w:r>
      <w:r w:rsidR="00D04E05">
        <w:t xml:space="preserve">kolīziju (piemēram, </w:t>
      </w:r>
      <w:r w:rsidR="00D04E05" w:rsidRPr="00351871">
        <w:rPr>
          <w:i/>
          <w:iCs/>
        </w:rPr>
        <w:t xml:space="preserve">Neimanis J. Ievads tiesībās. </w:t>
      </w:r>
      <w:r w:rsidR="00321DA3" w:rsidRPr="00351871">
        <w:rPr>
          <w:i/>
          <w:iCs/>
        </w:rPr>
        <w:t>Izdevējs</w:t>
      </w:r>
      <w:r w:rsidR="00D04E05" w:rsidRPr="00351871">
        <w:rPr>
          <w:i/>
          <w:iCs/>
        </w:rPr>
        <w:t>: zvērināts advokāts J. Neimanis, 2004, 58.–59.lpp.</w:t>
      </w:r>
      <w:r w:rsidR="00D04E05">
        <w:t>)</w:t>
      </w:r>
      <w:r w:rsidR="002A3392">
        <w:t>. T</w:t>
      </w:r>
      <w:r w:rsidR="00500C50">
        <w:t>aču t</w:t>
      </w:r>
      <w:r w:rsidR="002A3392">
        <w:t>as acīmredzami nav izskatāmais gadījums</w:t>
      </w:r>
      <w:r w:rsidR="007A3BA5">
        <w:t>, jo tiesas piemērotās Izglītības likuma normas un Vispārējās izglītības likuma V</w:t>
      </w:r>
      <w:r w:rsidR="008E7C15">
        <w:t> </w:t>
      </w:r>
      <w:r w:rsidR="007A3BA5">
        <w:t xml:space="preserve">nodaļā „Pirmsskolas izglītība” ietvertās tiesību normas neregulē </w:t>
      </w:r>
      <w:r w:rsidR="00554D12">
        <w:t>vienas un tās pašas situācijas</w:t>
      </w:r>
      <w:r w:rsidR="007A3BA5">
        <w:t>.</w:t>
      </w:r>
      <w:r w:rsidR="007917E1">
        <w:t xml:space="preserve"> Proti, </w:t>
      </w:r>
      <w:r w:rsidR="00A97C6D">
        <w:t xml:space="preserve">Izglītības likuma 2.pantā ir atspoguļots minētā likuma mērķis, </w:t>
      </w:r>
      <w:r w:rsidR="00C45DD5">
        <w:t xml:space="preserve">bet </w:t>
      </w:r>
      <w:r w:rsidR="00A97C6D">
        <w:t xml:space="preserve">17.panta pirmajā daļā – </w:t>
      </w:r>
      <w:r w:rsidR="00554D12">
        <w:t xml:space="preserve">noteikta </w:t>
      </w:r>
      <w:r w:rsidR="00A97C6D">
        <w:t>pašvaldības kompetence pirmsskolas izglītības, pamatizglītības, vidējās izglītības, kā arī interešu izglītības</w:t>
      </w:r>
      <w:r w:rsidR="004F4EE0">
        <w:t xml:space="preserve"> un ārpusstundu pasākumu</w:t>
      </w:r>
      <w:r w:rsidR="00A97C6D">
        <w:t xml:space="preserve"> nodrošināšanas jomā. Savukārt </w:t>
      </w:r>
      <w:r w:rsidR="00C45DD5">
        <w:t>Vispārējās izglītības likuma V nodaļā „Pirmsskolas izglītība” ietvertajās tiesību normās ir regulēti tādi jautājumi kā pirmsskolas izglītības programma (20.pants), pirmsskolas vecuma bērnu sagatavošanas obligātums (20.</w:t>
      </w:r>
      <w:r w:rsidR="00C45DD5" w:rsidRPr="00C45DD5">
        <w:rPr>
          <w:vertAlign w:val="superscript"/>
        </w:rPr>
        <w:t>1</w:t>
      </w:r>
      <w:r w:rsidR="00C45DD5">
        <w:t>pants), pirmsskolas izglītības pieejamība (21.pants), pirmsskolas izglītības programmas īstenošana (22.pants), pirmsskolas izglītības konsultatīvie centri (24.pants), pirmsskolas izglītības iestādes dibināšanas nosacījumi (25.pants) un izglītojamo uzņemšana pirmsskolas izglītības iestādēs (26.pants).</w:t>
      </w:r>
      <w:r w:rsidR="00A637F8">
        <w:t xml:space="preserve"> </w:t>
      </w:r>
      <w:r w:rsidR="00EF0ADD">
        <w:t>Arī t</w:t>
      </w:r>
      <w:r w:rsidR="007A3BA5">
        <w:t xml:space="preserve">as vien, ka Izglītības likuma 2.pantā ir atspoguļots likuma mērķis – tātad </w:t>
      </w:r>
      <w:r w:rsidR="0043561B">
        <w:t xml:space="preserve">pēc būtības </w:t>
      </w:r>
      <w:r w:rsidR="007A3BA5">
        <w:t xml:space="preserve">vispārīgs jautājums, </w:t>
      </w:r>
      <w:r w:rsidR="008E7C15">
        <w:t xml:space="preserve">no tiesību teorijas skatupunkta </w:t>
      </w:r>
      <w:r w:rsidR="007A3BA5">
        <w:t xml:space="preserve">pats par sevi </w:t>
      </w:r>
      <w:r w:rsidR="00063EAA">
        <w:t>minēto normu</w:t>
      </w:r>
      <w:r w:rsidR="007A3BA5">
        <w:t xml:space="preserve"> nepadara par vispārīgo tiesību normu</w:t>
      </w:r>
      <w:r w:rsidR="00BE58B2">
        <w:t xml:space="preserve"> iepretim </w:t>
      </w:r>
      <w:r w:rsidR="00512141">
        <w:t>citām tiesību normām</w:t>
      </w:r>
      <w:r w:rsidR="008E7C15">
        <w:t xml:space="preserve">, tostarp </w:t>
      </w:r>
      <w:r w:rsidR="000B213B">
        <w:t xml:space="preserve">jau minētajām </w:t>
      </w:r>
      <w:r w:rsidR="008E7C15">
        <w:t>Vispārējās izglītības likuma normām.</w:t>
      </w:r>
      <w:r w:rsidR="00020719">
        <w:t xml:space="preserve"> </w:t>
      </w:r>
    </w:p>
    <w:p w14:paraId="1BDEF22C" w14:textId="77777777" w:rsidR="00682679" w:rsidRPr="00CB409A" w:rsidRDefault="002C513C" w:rsidP="00D51633">
      <w:pPr>
        <w:spacing w:line="276" w:lineRule="auto"/>
        <w:ind w:firstLine="567"/>
        <w:jc w:val="both"/>
      </w:pPr>
      <w:r w:rsidRPr="00CB409A">
        <w:t xml:space="preserve">Līdz ar to domes kasācijas sūdzības argumenti, kurus būtībā veido vienīgi apgalvojuma formā pausts viedoklis par to, kuras tiesību normas konkrētajā gadījumā dome uzskata par vispārīgajām tiesību normām un kuras – par speciālajām tiesību normām, </w:t>
      </w:r>
      <w:r w:rsidR="00020719" w:rsidRPr="00CB409A">
        <w:t>neliecina par tiesas pieļaut</w:t>
      </w:r>
      <w:r w:rsidR="00BB26D7" w:rsidRPr="00CB409A">
        <w:t>ie</w:t>
      </w:r>
      <w:r w:rsidR="00020719" w:rsidRPr="00CB409A">
        <w:t xml:space="preserve">m materiālo vai procesuālo tiesību normu </w:t>
      </w:r>
      <w:r w:rsidR="00BB26D7" w:rsidRPr="00CB409A">
        <w:t>pārkāpumiem.</w:t>
      </w:r>
      <w:r w:rsidR="00682679" w:rsidRPr="00CB409A">
        <w:t xml:space="preserve"> </w:t>
      </w:r>
    </w:p>
    <w:p w14:paraId="152329F8" w14:textId="29E9481F" w:rsidR="00C93CAA" w:rsidRDefault="00020719" w:rsidP="00D51633">
      <w:pPr>
        <w:spacing w:line="276" w:lineRule="auto"/>
        <w:ind w:firstLine="567"/>
        <w:jc w:val="both"/>
      </w:pPr>
      <w:r w:rsidRPr="00CB409A">
        <w:t>Turklāt</w:t>
      </w:r>
      <w:r w:rsidR="00682679" w:rsidRPr="00CB409A">
        <w:t xml:space="preserve"> dome nav </w:t>
      </w:r>
      <w:r w:rsidR="00A637F8" w:rsidRPr="00CB409A">
        <w:t>pamatojusi</w:t>
      </w:r>
      <w:r w:rsidR="00682679" w:rsidRPr="00CB409A">
        <w:t xml:space="preserve">, kura no </w:t>
      </w:r>
      <w:r w:rsidR="00294B39">
        <w:t xml:space="preserve">Vispārējās izglītības </w:t>
      </w:r>
      <w:r w:rsidR="00682679" w:rsidRPr="00CB409A">
        <w:t>likuma normām, kuras dome uzskata par speciālajām, un kāpēc pieļauj tādu nosacījumu piekļuvei pirmsskolas izglītības iestādei</w:t>
      </w:r>
      <w:r w:rsidR="00A637F8" w:rsidRPr="00CB409A">
        <w:t xml:space="preserve"> kā strīdus nosacījums. Kā </w:t>
      </w:r>
      <w:r w:rsidRPr="00CB409A">
        <w:t>noprotams</w:t>
      </w:r>
      <w:r w:rsidR="00203BBD" w:rsidRPr="00CB409A">
        <w:t xml:space="preserve"> no kasācijas sūdzības</w:t>
      </w:r>
      <w:r w:rsidRPr="00CB409A">
        <w:t>, dome minētos argumentus</w:t>
      </w:r>
      <w:r w:rsidR="000653F0" w:rsidRPr="00CB409A">
        <w:t xml:space="preserve"> </w:t>
      </w:r>
      <w:r w:rsidRPr="00CB409A">
        <w:t>ir norādījusi</w:t>
      </w:r>
      <w:r w:rsidR="00A637F8" w:rsidRPr="00CB409A">
        <w:t xml:space="preserve"> vien tādēļ, ka</w:t>
      </w:r>
      <w:r w:rsidRPr="00CB409A">
        <w:t xml:space="preserve"> uzskata</w:t>
      </w:r>
      <w:r w:rsidR="00682679" w:rsidRPr="00CB409A">
        <w:t>:</w:t>
      </w:r>
      <w:r w:rsidRPr="00CB409A">
        <w:t xml:space="preserve"> lai </w:t>
      </w:r>
      <w:r w:rsidR="000653F0" w:rsidRPr="00CB409A">
        <w:t xml:space="preserve">atzītu, ka lietā piemērojamais Pirmsskolas izglītības nodrošināšanas noteikumu regulējums atbilst augstāka juridiskā spēka tiesību normām, </w:t>
      </w:r>
      <w:r w:rsidR="00AA77FC" w:rsidRPr="00CB409A">
        <w:t>ir nepieciešams konstatēt vienīgi to, ka strīdus regulējums</w:t>
      </w:r>
      <w:r w:rsidR="007917E1" w:rsidRPr="00CB409A">
        <w:t xml:space="preserve"> ir izdots</w:t>
      </w:r>
      <w:r w:rsidR="007917E1">
        <w:t xml:space="preserve"> likumdevēja noteiktā pilnvarojuma robežās</w:t>
      </w:r>
      <w:r w:rsidR="00845A02">
        <w:t xml:space="preserve"> – konkrētajā gadījumā Vispārējās izglītības likuma 26.panta pirmajā daļā dotā pilnvarojuma robežās.</w:t>
      </w:r>
    </w:p>
    <w:p w14:paraId="12CF9F14" w14:textId="4D56C728" w:rsidR="00020719" w:rsidRDefault="00052A0B" w:rsidP="00D51633">
      <w:pPr>
        <w:spacing w:line="276" w:lineRule="auto"/>
        <w:ind w:firstLine="567"/>
        <w:jc w:val="both"/>
      </w:pPr>
      <w:r>
        <w:t xml:space="preserve">Taču </w:t>
      </w:r>
      <w:r w:rsidR="00336A56">
        <w:t xml:space="preserve">Senāts turpmāk norādīto apsvērumu dēļ atzīst, ka arī </w:t>
      </w:r>
      <w:r w:rsidR="00670CC8">
        <w:t>šis domes</w:t>
      </w:r>
      <w:r w:rsidR="00336A56">
        <w:t xml:space="preserve"> uzskats </w:t>
      </w:r>
      <w:r>
        <w:t xml:space="preserve">nav pamatots. </w:t>
      </w:r>
    </w:p>
    <w:p w14:paraId="6E35E582" w14:textId="2C95CE23" w:rsidR="00336A56" w:rsidRDefault="00336A56" w:rsidP="00D51633">
      <w:pPr>
        <w:spacing w:line="276" w:lineRule="auto"/>
        <w:ind w:firstLine="567"/>
        <w:jc w:val="both"/>
      </w:pPr>
    </w:p>
    <w:p w14:paraId="5F4D658A" w14:textId="49E4F6E2" w:rsidR="00C41079" w:rsidRDefault="00336A56" w:rsidP="00D51633">
      <w:pPr>
        <w:spacing w:line="276" w:lineRule="auto"/>
        <w:ind w:firstLine="567"/>
        <w:jc w:val="both"/>
      </w:pPr>
      <w:r>
        <w:t>[</w:t>
      </w:r>
      <w:r w:rsidR="00C93CAA">
        <w:t>9</w:t>
      </w:r>
      <w:r>
        <w:t>]</w:t>
      </w:r>
      <w:r w:rsidR="00056278">
        <w:t> </w:t>
      </w:r>
      <w:r w:rsidR="00BF10F3">
        <w:t xml:space="preserve">Saistošie noteikumi ir pašvaldības domes instruments, ar kura palīdzību dome var organizēt savu autonomo funkciju izpildi un noregulēt citus jautājumus, ja likums </w:t>
      </w:r>
      <w:r w:rsidR="00056278">
        <w:t>(</w:t>
      </w:r>
      <w:r w:rsidR="00BF10F3">
        <w:t>vai Ministru kabineta noteikumi</w:t>
      </w:r>
      <w:r w:rsidR="00056278">
        <w:t>)</w:t>
      </w:r>
      <w:r w:rsidR="00BF10F3">
        <w:t xml:space="preserve"> ir pašvaldību tam pilnvarojuši.</w:t>
      </w:r>
      <w:r w:rsidR="00056278">
        <w:t xml:space="preserve"> </w:t>
      </w:r>
      <w:r w:rsidR="00BF10F3">
        <w:t xml:space="preserve">Kā konsekventi atzinusi Satversmes tiesa, </w:t>
      </w:r>
      <w:r w:rsidR="003D5CD7">
        <w:t xml:space="preserve">no likumības un varas dalīšanas principiem izriet, ka pašvaldībai ir tiesības izdot saistošos noteikumus tikai likumā noteiktos gadījumos, likuma ietvaros, un tie nedrīkst būt pretrunā </w:t>
      </w:r>
      <w:r w:rsidR="00A459DD">
        <w:t xml:space="preserve">ar </w:t>
      </w:r>
      <w:r w:rsidR="003D5CD7">
        <w:t>Latvijas Republikas Satversmes (turpmāk – Satversme) normām, kā arī citām augstāka juridiskā spēka tiesību normām (</w:t>
      </w:r>
      <w:r w:rsidR="001F5EE5" w:rsidRPr="00923BE4">
        <w:t xml:space="preserve">piemēram, </w:t>
      </w:r>
      <w:r w:rsidR="001F5EE5" w:rsidRPr="00923BE4">
        <w:rPr>
          <w:i/>
          <w:iCs/>
        </w:rPr>
        <w:t xml:space="preserve">Satversmes tiesas </w:t>
      </w:r>
      <w:r w:rsidR="00903965">
        <w:rPr>
          <w:i/>
          <w:iCs/>
        </w:rPr>
        <w:t xml:space="preserve">2014.gada 29.decembra sprieduma lietā Nr. 2014-06-03 21.punkts, </w:t>
      </w:r>
      <w:r w:rsidR="001F5EE5" w:rsidRPr="00923BE4">
        <w:rPr>
          <w:i/>
          <w:iCs/>
        </w:rPr>
        <w:t>2016.gada 12.februāra sprieduma lietā Nr.</w:t>
      </w:r>
      <w:r w:rsidR="00C00A5C">
        <w:rPr>
          <w:i/>
          <w:iCs/>
        </w:rPr>
        <w:t> </w:t>
      </w:r>
      <w:r w:rsidR="001F5EE5" w:rsidRPr="00923BE4">
        <w:rPr>
          <w:i/>
          <w:iCs/>
        </w:rPr>
        <w:t>2015-13-03 14.1. un 14.3.punkts</w:t>
      </w:r>
      <w:r w:rsidR="001F5EE5">
        <w:rPr>
          <w:i/>
          <w:iCs/>
        </w:rPr>
        <w:t xml:space="preserve">, </w:t>
      </w:r>
      <w:r w:rsidR="001F5EE5" w:rsidRPr="00923BE4">
        <w:rPr>
          <w:i/>
          <w:iCs/>
        </w:rPr>
        <w:t>2018.gada 15.novembra sprieduma lietā Nr. 2018-07-05 15.2.punkts</w:t>
      </w:r>
      <w:r w:rsidR="003D5CD7">
        <w:t>).</w:t>
      </w:r>
    </w:p>
    <w:p w14:paraId="4FE292DA" w14:textId="02AAEF74" w:rsidR="00225772" w:rsidRDefault="0001766C" w:rsidP="00D51633">
      <w:pPr>
        <w:spacing w:line="276" w:lineRule="auto"/>
        <w:ind w:firstLine="567"/>
        <w:jc w:val="both"/>
      </w:pPr>
      <w:r>
        <w:lastRenderedPageBreak/>
        <w:t>Tādējādi pašvaldības</w:t>
      </w:r>
      <w:r w:rsidR="000D30E7">
        <w:t xml:space="preserve"> domes</w:t>
      </w:r>
      <w:r>
        <w:t xml:space="preserve"> izdoti saistošie noteikumi </w:t>
      </w:r>
      <w:r w:rsidR="000D30E7">
        <w:t xml:space="preserve">ir </w:t>
      </w:r>
      <w:r>
        <w:t xml:space="preserve">uzskatāmi par atbilstošiem augstāka juridiskā spēka tiesību normām, ja </w:t>
      </w:r>
      <w:r w:rsidR="00FD7D76">
        <w:t xml:space="preserve">vienlaikus </w:t>
      </w:r>
      <w:r>
        <w:t xml:space="preserve">izpildās </w:t>
      </w:r>
      <w:r w:rsidR="00FC596F">
        <w:t>divi</w:t>
      </w:r>
      <w:r>
        <w:t xml:space="preserve"> kumulatīvi kritēriji: 1)</w:t>
      </w:r>
      <w:r w:rsidR="000D30E7">
        <w:t> </w:t>
      </w:r>
      <w:r>
        <w:t xml:space="preserve">saistošie noteikumi </w:t>
      </w:r>
      <w:r w:rsidR="00F85B9C">
        <w:t>ir izdoti likumdevēja noteiktā pilnvarojuma robežās</w:t>
      </w:r>
      <w:r w:rsidR="00D75BB8">
        <w:t xml:space="preserve"> jeb, citiem vārdiem, tie ir izdoti, ievērojot </w:t>
      </w:r>
      <w:r w:rsidR="00D75BB8" w:rsidRPr="00D75BB8">
        <w:rPr>
          <w:i/>
          <w:iCs/>
        </w:rPr>
        <w:t xml:space="preserve">ultra vires </w:t>
      </w:r>
      <w:r w:rsidR="00D75BB8">
        <w:t>doktrīnu</w:t>
      </w:r>
      <w:r w:rsidR="00F85B9C">
        <w:t xml:space="preserve">; un 2) saistošie noteikumi saturiski atbilst Satversmes un citām augstāka juridiskā spēka tiesību normām. </w:t>
      </w:r>
    </w:p>
    <w:p w14:paraId="0B7C3BE8" w14:textId="617F65A5" w:rsidR="00225772" w:rsidRDefault="00225772" w:rsidP="00D51633">
      <w:pPr>
        <w:spacing w:line="276" w:lineRule="auto"/>
        <w:ind w:firstLine="567"/>
        <w:jc w:val="both"/>
      </w:pPr>
      <w:r>
        <w:t>Minētais</w:t>
      </w:r>
      <w:r w:rsidR="00E6523F">
        <w:t xml:space="preserve"> nozīmē, ka, </w:t>
      </w:r>
      <w:r>
        <w:t xml:space="preserve">vērtējot, vai pašvaldības saistošie noteikumi atbilst augstāka juridiskā spēka tiesību normām, nepietiek </w:t>
      </w:r>
      <w:r w:rsidR="00B14727">
        <w:t xml:space="preserve">vienīgi ar konstatējumu, ka noteikumi ir izdoti likumdevēja noteiktā pilnvarojuma robežās. Ir nepieciešams </w:t>
      </w:r>
      <w:r w:rsidR="002A7E79">
        <w:t>konstatēt, ka</w:t>
      </w:r>
      <w:r w:rsidR="00B14727">
        <w:t xml:space="preserve"> noteikumi arī saturiski atbilst augstāka juridiskā spēka normām.</w:t>
      </w:r>
    </w:p>
    <w:p w14:paraId="14867DE1" w14:textId="7E29C4FD" w:rsidR="00B14727" w:rsidRDefault="00B14727" w:rsidP="00D51633">
      <w:pPr>
        <w:spacing w:line="276" w:lineRule="auto"/>
        <w:ind w:firstLine="567"/>
        <w:jc w:val="both"/>
      </w:pPr>
    </w:p>
    <w:p w14:paraId="23770BE8" w14:textId="160C0D14" w:rsidR="00B14727" w:rsidRDefault="00B14727" w:rsidP="00D51633">
      <w:pPr>
        <w:spacing w:line="276" w:lineRule="auto"/>
        <w:ind w:firstLine="567"/>
        <w:jc w:val="both"/>
      </w:pPr>
      <w:r>
        <w:t>[</w:t>
      </w:r>
      <w:r w:rsidR="00C93CAA">
        <w:t>10</w:t>
      </w:r>
      <w:r>
        <w:t>]</w:t>
      </w:r>
      <w:r w:rsidR="004F6B8C">
        <w:t> Latvijā personas tiesības uz izglītību visupirms ir aizsargātas konstitucionāla rakstura tiesību norm</w:t>
      </w:r>
      <w:r w:rsidR="00B67B63">
        <w:t>ā</w:t>
      </w:r>
      <w:r w:rsidR="0097345B">
        <w:t>. P</w:t>
      </w:r>
      <w:r w:rsidR="004F6B8C">
        <w:t>roti, t</w:t>
      </w:r>
      <w:r w:rsidR="00DC2AC6">
        <w:t>o</w:t>
      </w:r>
      <w:r w:rsidR="004F6B8C">
        <w:t>, ka ikvienam ir tiesības uz izglītību</w:t>
      </w:r>
      <w:r w:rsidR="00DC2AC6">
        <w:t>, paredz</w:t>
      </w:r>
      <w:r w:rsidR="004F6B8C">
        <w:t xml:space="preserve"> Satversmes 112.panta </w:t>
      </w:r>
      <w:r w:rsidR="00DC2AC6">
        <w:t>pirmais teikums.</w:t>
      </w:r>
    </w:p>
    <w:p w14:paraId="0BA3F6F8" w14:textId="77777777" w:rsidR="00375959" w:rsidRDefault="00375959" w:rsidP="00D51633">
      <w:pPr>
        <w:spacing w:line="276" w:lineRule="auto"/>
        <w:ind w:firstLine="567"/>
        <w:jc w:val="both"/>
      </w:pPr>
      <w:r>
        <w:t>Satversmes tiesa, tostarp ņemot vērā starptautisko cilvēktiesību normu piemērošanas praksi, ir atzinusi, ka tiesības uz izglītību ir tiesības, kas bērnam piemīt jau no agrīna vecuma. Tādējādi Latvijā, kurā likumdevējs kā pirmo pakāpi izglītības sistēmā ir paredzējis pirmsskolas izglītību, tiesības uz izglītību aptver arī pirmsskolas izglītības pakāpi. Turklāt Satversmes tiesa ir arī īpaši uzsvērusi, ka tiesības uz izglītību aptver abus pirmsskolas izglītības posmus – gan pirmo posmu, kurā izglītību apgūst bērni vecumā no pusotra līdz pieciem gadiem, gan otro posmu, kurā izglītību apgūst bērni vecumā no pieciem līdz septiņiem gadiem (</w:t>
      </w:r>
      <w:r w:rsidRPr="00217D88">
        <w:rPr>
          <w:i/>
          <w:iCs/>
        </w:rPr>
        <w:t xml:space="preserve">Satversmes tiesas 2020.gada 19.jūnija sprieduma lietā Nr. 2019-20-03 </w:t>
      </w:r>
      <w:r>
        <w:rPr>
          <w:i/>
          <w:iCs/>
        </w:rPr>
        <w:t>12.1</w:t>
      </w:r>
      <w:r w:rsidRPr="00217D88">
        <w:rPr>
          <w:i/>
          <w:iCs/>
        </w:rPr>
        <w:t>.</w:t>
      </w:r>
      <w:r w:rsidRPr="0057133C">
        <w:rPr>
          <w:i/>
          <w:iCs/>
        </w:rPr>
        <w:t>–12.2.punkts</w:t>
      </w:r>
      <w:r>
        <w:t>).</w:t>
      </w:r>
    </w:p>
    <w:p w14:paraId="03413CCB" w14:textId="21DF6FF9" w:rsidR="00375959" w:rsidRDefault="00375959" w:rsidP="00D51633">
      <w:pPr>
        <w:spacing w:line="276" w:lineRule="auto"/>
        <w:ind w:firstLine="567"/>
        <w:jc w:val="both"/>
      </w:pPr>
      <w:r>
        <w:t xml:space="preserve">Minētais nozīmē, ka Latvijā bērniem jau no agrīna vecuma ir jānodrošina no Satversmes 112.panta pirmā teikuma izrietošās tiesības pilnvērtīgi izmantot visas iespējas, ko sniedz izglītības sistēma. Tostarp valstij ir pienākums nodrošināt, ka pirmsskolas izglītība atbilst </w:t>
      </w:r>
      <w:r w:rsidR="00D029BE">
        <w:t xml:space="preserve">tādām pamatprasībām kā izglītības iespēju nodrošināšana, pieejamība, pieņemamība un pielāgošanās. Savukārt tas citstarp nozīmē, ka valsts rīcībai, </w:t>
      </w:r>
      <w:r>
        <w:t xml:space="preserve">nodrošinot pirmsskolas izglītību, ir jābūt tādai, lai bērniem jau no agrīna vecuma piemistu vienlīdzīgas izglītības iespējas un tiktu novērsti šķēršļi, kas var rasties, izmantojot attiecīgās izglītības iespējas (sal. </w:t>
      </w:r>
      <w:r w:rsidRPr="00217D88">
        <w:rPr>
          <w:i/>
          <w:iCs/>
        </w:rPr>
        <w:t xml:space="preserve">Satversmes tiesas </w:t>
      </w:r>
      <w:r w:rsidR="00C71063" w:rsidRPr="00217D88">
        <w:rPr>
          <w:i/>
          <w:iCs/>
        </w:rPr>
        <w:t>2019.gada 23.aprīļa sprieduma lietā Nr. 2018-12-01 20.punkts</w:t>
      </w:r>
      <w:r w:rsidR="00C71063">
        <w:rPr>
          <w:i/>
          <w:iCs/>
        </w:rPr>
        <w:t xml:space="preserve">, </w:t>
      </w:r>
      <w:r w:rsidRPr="00217D88">
        <w:rPr>
          <w:i/>
          <w:iCs/>
        </w:rPr>
        <w:t>2020.gada 19.jūnija sprieduma lietā Nr. 2019-20-03 13.punkts</w:t>
      </w:r>
      <w:r>
        <w:t>).</w:t>
      </w:r>
    </w:p>
    <w:p w14:paraId="6F72E021" w14:textId="780C61D3" w:rsidR="00372566" w:rsidRDefault="009B55C9" w:rsidP="00D51633">
      <w:pPr>
        <w:spacing w:line="276" w:lineRule="auto"/>
        <w:ind w:firstLine="567"/>
        <w:jc w:val="both"/>
      </w:pPr>
      <w:r>
        <w:t xml:space="preserve">Likumdevējs </w:t>
      </w:r>
      <w:r w:rsidR="0029068C">
        <w:t xml:space="preserve">Izglītības likuma 2.pantā </w:t>
      </w:r>
      <w:r w:rsidR="00D63538">
        <w:t xml:space="preserve">(kurā atspoguļots Latvijas izglītības sistēmas mērķis nodrošināt katram Latvijas iedzīvotājam iespēju attīstīt savu garīgo un fizisko potenciālu, lai veidotos par patstāvīgu un attīstītu personību, demokrātiskas Latvijas valsts un sabiedrības locekli) </w:t>
      </w:r>
      <w:r w:rsidR="0029068C">
        <w:t>un 17.panta pirmajā daļā</w:t>
      </w:r>
      <w:r>
        <w:t xml:space="preserve"> </w:t>
      </w:r>
      <w:r w:rsidR="00D63538">
        <w:t xml:space="preserve">(kurā citstarp paredzēts pašvaldības pienākums nodrošināt bērniem iespēju iegūt pirmsskolas izglītību bērna dzīvesvietai tuvākajā izglītības iestādē) </w:t>
      </w:r>
      <w:r>
        <w:t xml:space="preserve">būtībā ir iedzīvinājis minētos </w:t>
      </w:r>
      <w:r w:rsidR="00A303A8">
        <w:t>no Satversmes 112.panta pirmā teikuma izrietošos ar tiesībām uz izglītību saistītos principus.</w:t>
      </w:r>
      <w:r w:rsidR="00467D83">
        <w:t xml:space="preserve"> Līdz ar to apgabaltiesa </w:t>
      </w:r>
      <w:r w:rsidR="003142E9">
        <w:t xml:space="preserve">ir </w:t>
      </w:r>
      <w:r w:rsidR="00467D83">
        <w:t xml:space="preserve">pamatoti vērtējusi, vai </w:t>
      </w:r>
      <w:r w:rsidR="005A71B7">
        <w:t>lietā piemērojamais Pirmsskolas izglītības nodrošināšanas noteikumu regulējums</w:t>
      </w:r>
      <w:r w:rsidR="00591658">
        <w:t xml:space="preserve"> saturiski atbilst minētajām Izglītības likuma normām. Savukārt konstatējot, ka strīdus noteikumu regulējums minētajām normām saturiski neatbilst, </w:t>
      </w:r>
      <w:r w:rsidR="00682679">
        <w:t>jo nesamērīgi ierobežo bērn</w:t>
      </w:r>
      <w:r w:rsidR="00AC6FC3">
        <w:t>a tiesības uz pirmsskolas izglītības pieejamību</w:t>
      </w:r>
      <w:r w:rsidR="00682679">
        <w:t>, t</w:t>
      </w:r>
      <w:r w:rsidR="00591658">
        <w:t xml:space="preserve">iesa pamatoti atzinusi, ka tas </w:t>
      </w:r>
      <w:r w:rsidR="00F2528E">
        <w:t xml:space="preserve">arī kopumā </w:t>
      </w:r>
      <w:r w:rsidR="00591658">
        <w:t>nav uzskatāms par atbilstošu augstāka juridiskā spēka tiesību normām</w:t>
      </w:r>
      <w:r w:rsidR="00A86A5D">
        <w:t>.</w:t>
      </w:r>
    </w:p>
    <w:p w14:paraId="00C4C603" w14:textId="05E9A58F" w:rsidR="00591658" w:rsidRDefault="00591658" w:rsidP="00D51633">
      <w:pPr>
        <w:spacing w:line="276" w:lineRule="auto"/>
        <w:ind w:firstLine="567"/>
        <w:jc w:val="both"/>
      </w:pPr>
    </w:p>
    <w:p w14:paraId="024ED431" w14:textId="4CC8F46F" w:rsidR="00F056CB" w:rsidRDefault="00591658" w:rsidP="00D51633">
      <w:pPr>
        <w:spacing w:line="276" w:lineRule="auto"/>
        <w:ind w:firstLine="567"/>
        <w:jc w:val="both"/>
      </w:pPr>
      <w:r>
        <w:t>[11]</w:t>
      </w:r>
      <w:r w:rsidR="00F2528E">
        <w:t> </w:t>
      </w:r>
      <w:r w:rsidR="00813FED">
        <w:t xml:space="preserve">Dome kasācijas sūdzībā norāda, ka apgabaltiesai, vērtējot strīdus Pirmsskolas izglītības nodrošināšanas noteikumu regulējuma atbilstību </w:t>
      </w:r>
      <w:r w:rsidR="007E290A">
        <w:t xml:space="preserve">Bērnu tiesību aizsardzības likuma 6.panta pirmajai daļai, vajadzēja ņemt vērā arī minētā likuma 5.panta pirmās daļas 1.punktu, </w:t>
      </w:r>
      <w:r w:rsidR="007E290A">
        <w:lastRenderedPageBreak/>
        <w:t xml:space="preserve">kurā noteikts, ka </w:t>
      </w:r>
      <w:r w:rsidR="001A7167">
        <w:t xml:space="preserve">viens no subjektiem, kuram ir jānodrošina bērna tiesību aizsardzība, ir </w:t>
      </w:r>
      <w:r w:rsidR="001B0D17">
        <w:t>pa</w:t>
      </w:r>
      <w:r w:rsidR="00AE642E">
        <w:t xml:space="preserve">ts </w:t>
      </w:r>
      <w:r w:rsidR="001A7167">
        <w:t>bērna vecāk</w:t>
      </w:r>
      <w:r w:rsidR="00AE642E">
        <w:t>s</w:t>
      </w:r>
      <w:r w:rsidR="001A7167">
        <w:t>.</w:t>
      </w:r>
      <w:r w:rsidR="001F12CD">
        <w:t xml:space="preserve"> Šajā sakarā dome uzsver, ka </w:t>
      </w:r>
      <w:r w:rsidR="001B0D17">
        <w:t xml:space="preserve">pirmsskolas izglītības pirmajā posmā, kurā izglītību apgūst bērni vecumā no pusotra līdz pieciem gadiem, primāra ir vecāku loma. </w:t>
      </w:r>
      <w:r w:rsidR="00812566">
        <w:t>Tāpēc esot samērīgi no vecāk</w:t>
      </w:r>
      <w:r w:rsidR="00AE642E">
        <w:t>a</w:t>
      </w:r>
      <w:r w:rsidR="00812566">
        <w:t xml:space="preserve"> prasīt kaut nelielu līdzdarbību pirmsskolas izglītības nodrošināšanā, savlaicīgi avansā samaksājot par bērna ēdināšanas pakalpojumu izglītības iestādē vasaras periodā, pat ja vecāk</w:t>
      </w:r>
      <w:r w:rsidR="00AE642E">
        <w:t>a</w:t>
      </w:r>
      <w:r w:rsidR="00812566">
        <w:t xml:space="preserve">m </w:t>
      </w:r>
      <w:r w:rsidR="00874CF6">
        <w:t xml:space="preserve">tas </w:t>
      </w:r>
      <w:r w:rsidR="00812566">
        <w:t xml:space="preserve">rada </w:t>
      </w:r>
      <w:r w:rsidR="00D322DC">
        <w:t xml:space="preserve">kādas </w:t>
      </w:r>
      <w:r w:rsidR="00812566">
        <w:t>neērtības.</w:t>
      </w:r>
    </w:p>
    <w:p w14:paraId="709DA879" w14:textId="75073218" w:rsidR="007C0CB3" w:rsidRDefault="0000512A" w:rsidP="00D51633">
      <w:pPr>
        <w:spacing w:line="276" w:lineRule="auto"/>
        <w:ind w:firstLine="567"/>
        <w:jc w:val="both"/>
      </w:pPr>
      <w:r>
        <w:t>Pretēji</w:t>
      </w:r>
      <w:r w:rsidR="006263F1">
        <w:t xml:space="preserve"> domes apgalvotajam</w:t>
      </w:r>
      <w:r w:rsidR="007C0CB3">
        <w:t xml:space="preserve"> </w:t>
      </w:r>
      <w:r>
        <w:t xml:space="preserve">Senāts </w:t>
      </w:r>
      <w:r w:rsidR="007C0CB3">
        <w:t>nekonstatē, ka tiesa pārsūdzētajā spriedumā būtu noliegusi</w:t>
      </w:r>
      <w:r w:rsidR="005F62A8">
        <w:t xml:space="preserve"> bērna vecāk</w:t>
      </w:r>
      <w:r w:rsidR="00257285">
        <w:t>u</w:t>
      </w:r>
      <w:r w:rsidR="005F62A8">
        <w:t xml:space="preserve"> nozīmīgo lomu bērna pirmsskolas izglītības nodrošināšanas pirmajā posmā. </w:t>
      </w:r>
      <w:r w:rsidR="008E574C">
        <w:t>Tomēr</w:t>
      </w:r>
      <w:r w:rsidR="006263F1">
        <w:t xml:space="preserve"> tas pats par sevi nenozīmē, ka </w:t>
      </w:r>
      <w:r w:rsidR="00704EFC">
        <w:t xml:space="preserve">tiesa nevarēja </w:t>
      </w:r>
      <w:r w:rsidR="007511F8">
        <w:t xml:space="preserve">(tai nebija pienākuma) </w:t>
      </w:r>
      <w:r w:rsidR="00704EFC">
        <w:t>vērtēt</w:t>
      </w:r>
      <w:r w:rsidR="008E574C">
        <w:t xml:space="preserve">, vai </w:t>
      </w:r>
      <w:r w:rsidR="006263F1">
        <w:t>bērna vecāk</w:t>
      </w:r>
      <w:r w:rsidR="00515EB6">
        <w:t>a</w:t>
      </w:r>
      <w:r w:rsidR="006263F1">
        <w:t xml:space="preserve">m noteiktā prasība </w:t>
      </w:r>
      <w:r w:rsidR="00B80D03">
        <w:t xml:space="preserve">vasaras mēnešos </w:t>
      </w:r>
      <w:r w:rsidR="006263F1">
        <w:t xml:space="preserve">avansā veikt maksājumu par ēdināšanas pakalpojumu un </w:t>
      </w:r>
      <w:r w:rsidR="00A637F8">
        <w:t xml:space="preserve">jo īpaši – </w:t>
      </w:r>
      <w:r w:rsidR="006263F1">
        <w:t>šādas</w:t>
      </w:r>
      <w:r w:rsidR="00A637F8">
        <w:t xml:space="preserve"> </w:t>
      </w:r>
      <w:r w:rsidR="006263F1">
        <w:t>prasības neizpildes gadījumā radīt</w:t>
      </w:r>
      <w:r w:rsidR="001E4A66">
        <w:t>ās</w:t>
      </w:r>
      <w:r w:rsidR="006263F1">
        <w:t xml:space="preserve"> </w:t>
      </w:r>
      <w:r w:rsidR="001E4A66">
        <w:t>sekas</w:t>
      </w:r>
      <w:r w:rsidR="006263F1">
        <w:t xml:space="preserve"> – vietas nenodrošināšan</w:t>
      </w:r>
      <w:r w:rsidR="001E4A66">
        <w:t>a</w:t>
      </w:r>
      <w:r w:rsidR="00B80D03">
        <w:t xml:space="preserve"> </w:t>
      </w:r>
      <w:r w:rsidR="00257285">
        <w:t xml:space="preserve">bērnam </w:t>
      </w:r>
      <w:r w:rsidR="00B80D03">
        <w:t xml:space="preserve">pirmsskolas izglītības iestādē – </w:t>
      </w:r>
      <w:r w:rsidR="001E4A66">
        <w:t xml:space="preserve">nerada </w:t>
      </w:r>
      <w:r w:rsidR="00515EB6">
        <w:t xml:space="preserve">tādu bērna tiesību uz izglītību ierobežojumu, </w:t>
      </w:r>
      <w:r w:rsidR="00417BAC">
        <w:t>kas nevar tikt atzīts par</w:t>
      </w:r>
      <w:r w:rsidR="000F4F9D">
        <w:t xml:space="preserve"> </w:t>
      </w:r>
      <w:r w:rsidR="00B80FF5">
        <w:t>attaisnoj</w:t>
      </w:r>
      <w:r w:rsidR="00F50709">
        <w:t>a</w:t>
      </w:r>
      <w:r w:rsidR="00B80FF5">
        <w:t>mu</w:t>
      </w:r>
      <w:r w:rsidR="006D29A7">
        <w:t xml:space="preserve">, un līdz ar to neatbilst Izglītības likuma un Bērnu tiesību aizsardzības likuma normām. </w:t>
      </w:r>
      <w:r w:rsidR="00541F94">
        <w:t xml:space="preserve">Tiesību normu augstākā kritika prasa, lai tiesa ikvienā lietā gūtu pārliecību, ka lietā piemērojamais tiesiskais regulējums savā būtībā ir tiesisks (sal. </w:t>
      </w:r>
      <w:r w:rsidR="00541F94" w:rsidRPr="0015318A">
        <w:rPr>
          <w:i/>
          <w:iCs/>
        </w:rPr>
        <w:t>Senāta 2020.gada 22.septembra sprieduma lietā Nr. SKA-244/2020 (</w:t>
      </w:r>
      <w:hyperlink r:id="rId9" w:history="1">
        <w:r w:rsidR="003265E8" w:rsidRPr="003265E8">
          <w:rPr>
            <w:rStyle w:val="Hyperlink"/>
            <w:i/>
            <w:iCs/>
            <w:color w:val="auto"/>
            <w:u w:val="none"/>
          </w:rPr>
          <w:t>ECLI:LV:AT:2020:0922.A420352516.7.S</w:t>
        </w:r>
      </w:hyperlink>
      <w:r w:rsidR="00541F94" w:rsidRPr="0015318A">
        <w:rPr>
          <w:i/>
          <w:iCs/>
        </w:rPr>
        <w:t>) 19.punkts</w:t>
      </w:r>
      <w:r w:rsidR="00541F94">
        <w:t>).</w:t>
      </w:r>
    </w:p>
    <w:p w14:paraId="678D2477" w14:textId="1BFBB1D0" w:rsidR="006D29A7" w:rsidRDefault="00470AED" w:rsidP="00D51633">
      <w:pPr>
        <w:spacing w:line="276" w:lineRule="auto"/>
        <w:ind w:firstLine="567"/>
        <w:jc w:val="both"/>
      </w:pPr>
      <w:r>
        <w:t xml:space="preserve">Tiesa, vispusīgi izvērtējot, vai </w:t>
      </w:r>
      <w:r w:rsidR="006D29A7">
        <w:t>bērna tiesību uz izglītību ierobežojums</w:t>
      </w:r>
      <w:r w:rsidR="006A1FB4">
        <w:t>, ko rada strīdus prasība un tās neizpildes gadījumā radītās sekas, ir uzskatāms par attaisnoj</w:t>
      </w:r>
      <w:r w:rsidR="00F50709">
        <w:t>a</w:t>
      </w:r>
      <w:r w:rsidR="006A1FB4">
        <w:t>mu, tostarp, vai tas atbilst Satversmes tiesas judikatūrā attīstītajam pamattiesību ierobežojuma samērīguma testam,</w:t>
      </w:r>
      <w:r w:rsidR="007C431E">
        <w:t xml:space="preserve"> secināja, ka tas nevar tikt atzīts par samērīgu</w:t>
      </w:r>
      <w:r w:rsidR="00E61846">
        <w:t xml:space="preserve">, jo pretēji domes apgalvotajam </w:t>
      </w:r>
      <w:r w:rsidR="00D1237E">
        <w:t xml:space="preserve">prasības neizpildes </w:t>
      </w:r>
      <w:r w:rsidR="005278C1">
        <w:t xml:space="preserve">radītās </w:t>
      </w:r>
      <w:r w:rsidR="00D1237E">
        <w:t xml:space="preserve">sekas ir tādas, kas nevis tikai </w:t>
      </w:r>
      <w:r w:rsidR="00AE21D9">
        <w:t xml:space="preserve">rada </w:t>
      </w:r>
      <w:r w:rsidR="00D1237E">
        <w:t xml:space="preserve">kādas neērtības, bet pēc būtības atņem bērnam tiesības uz pirmsskolas izglītības pieejamību. </w:t>
      </w:r>
      <w:r w:rsidR="005278C1">
        <w:t xml:space="preserve">Dome </w:t>
      </w:r>
      <w:r w:rsidR="00C96E4D">
        <w:t>šim tiesas veiktajam novērtējumam kasācijas sūdzībā būtībā nav norādījusi nevienu pretargumentu.</w:t>
      </w:r>
    </w:p>
    <w:p w14:paraId="4469FECA" w14:textId="2F9D116F" w:rsidR="00C96E4D" w:rsidRDefault="00C96E4D" w:rsidP="00D51633">
      <w:pPr>
        <w:spacing w:line="276" w:lineRule="auto"/>
        <w:ind w:firstLine="567"/>
        <w:jc w:val="both"/>
      </w:pPr>
    </w:p>
    <w:p w14:paraId="37B2971B" w14:textId="6E034FD3" w:rsidR="00C96E4D" w:rsidRDefault="00AE21D9" w:rsidP="00D51633">
      <w:pPr>
        <w:spacing w:line="276" w:lineRule="auto"/>
        <w:ind w:firstLine="567"/>
        <w:jc w:val="both"/>
      </w:pPr>
      <w:r>
        <w:t xml:space="preserve">[12] Dome kasācijas sūdzībā arī uzsvērusi, ka </w:t>
      </w:r>
      <w:r w:rsidR="00A34F8D">
        <w:t>Pirmsskolas izglītības nodrošināšanas noteikumos paredzētā prasība vecākam vasaras periodā veikt avansa maksājumus par ēdināšanas pakalpojumu ir vērsta uz pārējo pirmsskolas izglītības iestādi apmeklējošo bērnu interešu un tiesību aizsardzību.</w:t>
      </w:r>
    </w:p>
    <w:p w14:paraId="36D57BAB" w14:textId="7FEE0C1A" w:rsidR="004F2357" w:rsidRDefault="00A34F8D" w:rsidP="00D51633">
      <w:pPr>
        <w:spacing w:line="276" w:lineRule="auto"/>
        <w:ind w:firstLine="567"/>
        <w:jc w:val="both"/>
      </w:pPr>
      <w:r>
        <w:t>Tomēr minētais pats par sevi nenozīmē, ka strīdus prasība</w:t>
      </w:r>
      <w:r w:rsidR="00A637F8">
        <w:t>s</w:t>
      </w:r>
      <w:r>
        <w:t xml:space="preserve"> neizpildes gadījumā radītās sekas atbilst samērīguma testam. Jāņem vērā, ka samērīguma tests sastāv no trīs kritērijiem. Proti, lai izvērtētu, vai pamattiesību ierobežojums atbilst samērīguma principam, ir nepieciešams izvērtēt: 1) vai likumdevēja izraudzītie līdzekļi ir piemēroti leģitīmā mērķa sasniegšanai; 2) vai leģitīmo mērķi nevar sasniegt ar indivīda tiesības mazāk ierobežojošiem līdzekļiem; un 3) vai labums, ko iegūst sabiedrība</w:t>
      </w:r>
      <w:r w:rsidR="004F2357">
        <w:t xml:space="preserve">, ir lielāks par indivīda tiesībām nodarīto kaitējumu (piemēram, </w:t>
      </w:r>
      <w:r w:rsidR="004F2357" w:rsidRPr="004F2357">
        <w:rPr>
          <w:i/>
          <w:iCs/>
        </w:rPr>
        <w:t xml:space="preserve">Satversmes tiesas </w:t>
      </w:r>
      <w:r w:rsidR="00903965">
        <w:rPr>
          <w:i/>
          <w:iCs/>
        </w:rPr>
        <w:t xml:space="preserve">2007.gada 16.maija sprieduma lietā Nr. 2006-42-01 11.punkts, </w:t>
      </w:r>
      <w:r w:rsidR="004F2357" w:rsidRPr="004F2357">
        <w:rPr>
          <w:i/>
          <w:iCs/>
        </w:rPr>
        <w:t>2018.gada 26.aprīļa sprieduma lietā Nr. 2017-18-01 21.3.punkts</w:t>
      </w:r>
      <w:r w:rsidR="004F2357">
        <w:t xml:space="preserve">). </w:t>
      </w:r>
      <w:r>
        <w:t xml:space="preserve">Apgabaltiesa pārsūdzētajā spriedumā nav noliegusi, ka strīdus prasība </w:t>
      </w:r>
      <w:r w:rsidR="004F2357">
        <w:t>atbilst pirmajam samērīguma testu veidojošajam kritērijam</w:t>
      </w:r>
      <w:r w:rsidR="00282C4B">
        <w:t>,</w:t>
      </w:r>
      <w:r w:rsidR="004F2357">
        <w:t xml:space="preserve"> proti,</w:t>
      </w:r>
      <w:r w:rsidR="00E85EDB">
        <w:t xml:space="preserve"> kopumā</w:t>
      </w:r>
      <w:r w:rsidR="004F2357">
        <w:t xml:space="preserve"> ir vērsta uz leģitīma mērķa sasniegšanu. Tomēr tiesa ir atzinusi, ka </w:t>
      </w:r>
      <w:r w:rsidR="00E85EDB">
        <w:t xml:space="preserve">tā neatbilst otrajam kritērijam, jo attiecīgo leģitīmo mērķi var sasniegt ar </w:t>
      </w:r>
      <w:r w:rsidR="00977949">
        <w:t xml:space="preserve">bērna </w:t>
      </w:r>
      <w:r w:rsidR="00E85EDB">
        <w:t>tiesības mazāk ierobežojošiem līdzekļiem.</w:t>
      </w:r>
      <w:r w:rsidR="00DE6F7E">
        <w:t xml:space="preserve"> Tā kā pamattiesību ierobežojums ir uzskatāms par neatbilstošu samērīguma principam, ja neizpildās kaut vai viens no samērīguma testu veidojošiem kritērijiem, tiesa </w:t>
      </w:r>
      <w:r w:rsidR="00B22F68">
        <w:t xml:space="preserve">secīgi </w:t>
      </w:r>
      <w:r w:rsidR="00401C24">
        <w:t xml:space="preserve">pamatoti </w:t>
      </w:r>
      <w:r w:rsidR="00B22F68">
        <w:t>atzinusi</w:t>
      </w:r>
      <w:r w:rsidR="00DE6F7E">
        <w:t>, ka strīdus prasība</w:t>
      </w:r>
      <w:r w:rsidR="00A637F8">
        <w:t>s</w:t>
      </w:r>
      <w:r w:rsidR="00DE6F7E">
        <w:t xml:space="preserve"> neizpildes gadījumā radītās sekas nav samērīgas.</w:t>
      </w:r>
    </w:p>
    <w:p w14:paraId="3B407228" w14:textId="720198C7" w:rsidR="00DE6F7E" w:rsidRDefault="00DE6F7E" w:rsidP="00D51633">
      <w:pPr>
        <w:spacing w:line="276" w:lineRule="auto"/>
        <w:ind w:firstLine="567"/>
        <w:jc w:val="both"/>
      </w:pPr>
    </w:p>
    <w:p w14:paraId="424F02B4" w14:textId="6EA8ABD0" w:rsidR="00DE6F7E" w:rsidRDefault="00DE6F7E" w:rsidP="00D51633">
      <w:pPr>
        <w:spacing w:line="276" w:lineRule="auto"/>
        <w:ind w:firstLine="567"/>
        <w:jc w:val="both"/>
      </w:pPr>
      <w:r>
        <w:lastRenderedPageBreak/>
        <w:t>[13] </w:t>
      </w:r>
      <w:r w:rsidR="00583C0D">
        <w:t>Kasācijas sūdzībā norādīts, ka tiesa pārsūdzētajā spriedumā esot piešķīrusi izšķirošu nozīmi tam, ka vecākam, pirms viņa bērnam tiek liegta pirmsskolas izglītības iestādes apmeklēšana, netiek atgādināts par nokavētā avansa rēķina par ēdināšanas pakalpojumiem samaksu un vecāks netiek brīdināts par</w:t>
      </w:r>
      <w:r w:rsidR="00140834">
        <w:t xml:space="preserve"> rēķina neapmaksāšanas sekām. Tomēr tiesa neesot devusi nekādu vērtējumu lietas materiālos esošajiem pierādījumiem, kas apliecina, ka vecāki tiek brīdināti par </w:t>
      </w:r>
      <w:r w:rsidR="00D06AFA">
        <w:t xml:space="preserve">avansa </w:t>
      </w:r>
      <w:r w:rsidR="00140834">
        <w:t>rēķina neapmaksā</w:t>
      </w:r>
      <w:r w:rsidR="00D06AFA">
        <w:t>šanas</w:t>
      </w:r>
      <w:r w:rsidR="00140834">
        <w:t xml:space="preserve"> sekām.</w:t>
      </w:r>
    </w:p>
    <w:p w14:paraId="082D3D22" w14:textId="0C656F14" w:rsidR="00F1682F" w:rsidRDefault="00D06AFA" w:rsidP="00D51633">
      <w:pPr>
        <w:spacing w:line="276" w:lineRule="auto"/>
        <w:ind w:firstLine="567"/>
        <w:jc w:val="both"/>
      </w:pPr>
      <w:r>
        <w:t xml:space="preserve">Šāds apgalvojums neatbilst pārsūdzētā sprieduma saturam. </w:t>
      </w:r>
      <w:r w:rsidR="003D253A">
        <w:t>Nav strīda par to</w:t>
      </w:r>
      <w:r>
        <w:t>, ka vecāki vispārīgi tiek brīdināti par avansa rēķina neapmaksāšanas sekām, parasti – ar brīdinājum</w:t>
      </w:r>
      <w:r w:rsidR="00D96B0B">
        <w:t>u</w:t>
      </w:r>
      <w:r>
        <w:t>, kas izvietots uz pirmsskolas izglītības iestādes informācijas dēļa</w:t>
      </w:r>
      <w:r w:rsidR="00705F9A">
        <w:t xml:space="preserve"> vai </w:t>
      </w:r>
      <w:r w:rsidR="00221F67">
        <w:t xml:space="preserve">informatīvajā žurnālā, kurā vecāki parakstās par to, ka viņu bērns vasaras periodā apmeklēs pirmsskolas izglītības iestādi </w:t>
      </w:r>
      <w:r w:rsidR="003D253A">
        <w:t>(</w:t>
      </w:r>
      <w:r w:rsidR="003D253A" w:rsidRPr="00F50709">
        <w:t>piemēram,</w:t>
      </w:r>
      <w:r w:rsidR="003D253A" w:rsidRPr="003D253A">
        <w:rPr>
          <w:i/>
          <w:iCs/>
        </w:rPr>
        <w:t xml:space="preserve"> lietas </w:t>
      </w:r>
      <w:r w:rsidR="004D549D">
        <w:rPr>
          <w:i/>
          <w:iCs/>
        </w:rPr>
        <w:t xml:space="preserve">92., </w:t>
      </w:r>
      <w:r w:rsidR="003D253A" w:rsidRPr="003D253A">
        <w:rPr>
          <w:i/>
          <w:iCs/>
        </w:rPr>
        <w:t>101. un 102.lapa</w:t>
      </w:r>
      <w:r w:rsidR="003D253A">
        <w:t>)</w:t>
      </w:r>
      <w:r w:rsidR="00221F67">
        <w:t>.</w:t>
      </w:r>
      <w:r>
        <w:t xml:space="preserve"> Tomēr tiesa ir atzinusi, ka ar šādu vispārīga rakstura brīdinājumu nav pietiekami</w:t>
      </w:r>
      <w:r w:rsidR="00B93A58">
        <w:t xml:space="preserve">, lai </w:t>
      </w:r>
      <w:r w:rsidR="003D253A">
        <w:t>secinātu</w:t>
      </w:r>
      <w:r w:rsidR="00B93A58">
        <w:t>, ka lietā piemērojamais Pirmsskolas izglītības nodrošināšanas noteikumu regulējums ir samērīgs</w:t>
      </w:r>
      <w:r w:rsidR="00F1682F">
        <w:t xml:space="preserve">, jo vecākiem netiek atgādināts par avansa rēķina apmaksas nepieciešamību, kad jau ir noticis apmaksas kavējums un attiecīgi vecāki </w:t>
      </w:r>
      <w:r w:rsidR="003D253A">
        <w:t xml:space="preserve">tieši šādā </w:t>
      </w:r>
      <w:r w:rsidR="00F1682F">
        <w:t xml:space="preserve">situācijā netiek brīdināti par avansa rēķina neapmaksāšanas sekām. </w:t>
      </w:r>
      <w:r w:rsidR="004E1CA5">
        <w:t>Tas, ka dome šādiem tiesas secinājumiem nepiekrīt, kasācijas sūdzībā atkārtoti uzsverot jau lietas izskatīšanas pēc būtības laikā pausto viedokli, ka pirmsskolas izglītības iestādē izvēlētais vecāku brīdināšanas veids būtu jāuzskata par pietiekamu, neliecina par tiesas pieļautiem tiesību normu pārkāpumiem.</w:t>
      </w:r>
    </w:p>
    <w:p w14:paraId="06FA9AD7" w14:textId="5C796BE5" w:rsidR="004E1CA5" w:rsidRDefault="004E1CA5" w:rsidP="00D51633">
      <w:pPr>
        <w:spacing w:line="276" w:lineRule="auto"/>
        <w:ind w:firstLine="567"/>
        <w:jc w:val="both"/>
      </w:pPr>
    </w:p>
    <w:p w14:paraId="392D289A" w14:textId="5010994E" w:rsidR="004E1CA5" w:rsidRDefault="004E1CA5" w:rsidP="00D51633">
      <w:pPr>
        <w:spacing w:line="276" w:lineRule="auto"/>
        <w:ind w:firstLine="567"/>
        <w:jc w:val="both"/>
      </w:pPr>
      <w:r>
        <w:t>[14]</w:t>
      </w:r>
      <w:r w:rsidR="005535FD">
        <w:t> Kasācijas sūdzībā arī argumentēts, ka pirmsskolas izglītības iestādes apmeklēšanas nodrošināšana vasaras periodā drīzāk pilda sociālu, nevis izglītības funkciju un attiecīgi ierobežojums, ko rada strīdus prasība un tās neizpildes gadījumā radītās sekas, nevarot tikt atzīts par tikpat būtisku, kā tas būtu, ja tāda pati prasība vecākam būtu noteikta pārējā gada periodā.</w:t>
      </w:r>
    </w:p>
    <w:p w14:paraId="18FCF30A" w14:textId="5B624F2E" w:rsidR="001041E4" w:rsidRDefault="001041E4" w:rsidP="00D51633">
      <w:pPr>
        <w:spacing w:line="276" w:lineRule="auto"/>
        <w:ind w:firstLine="567"/>
        <w:jc w:val="both"/>
      </w:pPr>
      <w:r>
        <w:t>Šāds uzskats neatbilst tiesību normām. Kā jau pamatoti pārsūdzētajā spriedumā norādījusi apgabaltiesa, atbilstoši Ministru kabineta 2018.gada 21.novembra noteikumu Nr. 716 „</w:t>
      </w:r>
      <w:hyperlink r:id="rId10" w:tgtFrame="_blank" w:history="1">
        <w:r w:rsidRPr="00B31257">
          <w:t>Noteikumi par valsts pirmsskolas izglītības vadlīnijām</w:t>
        </w:r>
      </w:hyperlink>
      <w:r w:rsidR="00602351">
        <w:t xml:space="preserve"> </w:t>
      </w:r>
      <w:r w:rsidRPr="00B31257">
        <w:t>un pirmsskolas izglītības programmu paraugiem</w:t>
      </w:r>
      <w:r>
        <w:t xml:space="preserve">” 8.1.apakšpunktam arī vasaras periodā pirmsskolas izglītības iestādē notiek izglītības programmu apguve, tikai nevis apgūstot jaunas zināšanas un prasmes, bet nostiprinot pārējā gada periodā iegūtās zināšanas un prasmes. </w:t>
      </w:r>
      <w:r w:rsidR="00FC5BD8">
        <w:t>Līdz ar to arī vasaras periodā pirmsskolas izglītības iestādes apmeklēšanai ir izglītības funkcija.</w:t>
      </w:r>
    </w:p>
    <w:p w14:paraId="44768D27" w14:textId="2E2059C0" w:rsidR="00657E00" w:rsidRDefault="00A637F8" w:rsidP="00D51633">
      <w:pPr>
        <w:spacing w:line="276" w:lineRule="auto"/>
        <w:ind w:firstLine="567"/>
        <w:jc w:val="both"/>
      </w:pPr>
      <w:r>
        <w:t xml:space="preserve">Senāts </w:t>
      </w:r>
      <w:r w:rsidR="00C61132">
        <w:t xml:space="preserve">arī </w:t>
      </w:r>
      <w:r>
        <w:t xml:space="preserve">uzsver: ja valsts un pašvaldība vispār ir izveidojusi pirmsskolas izglītības iegūšanas sistēmu, kas ietver pirmsskolas izglītības iestādes apmeklēšanu arī vasaras periodā, tad </w:t>
      </w:r>
      <w:r w:rsidR="00C61132">
        <w:t xml:space="preserve">nosacījumi pirmsskolas izglītības iestādes apmeklēšanai nedrīkst būt tādi, kas nesamērīgi ierobežo piekļuvi šim publiskajam pakalpojumam. </w:t>
      </w:r>
    </w:p>
    <w:p w14:paraId="0C9A144E" w14:textId="77777777" w:rsidR="00657E00" w:rsidRDefault="00657E00" w:rsidP="00D51633">
      <w:pPr>
        <w:spacing w:line="276" w:lineRule="auto"/>
        <w:ind w:firstLine="567"/>
        <w:jc w:val="both"/>
      </w:pPr>
    </w:p>
    <w:p w14:paraId="57CF1711" w14:textId="24D713F1" w:rsidR="00657E00" w:rsidRDefault="00657E00" w:rsidP="00D51633">
      <w:pPr>
        <w:spacing w:line="276" w:lineRule="auto"/>
        <w:ind w:firstLine="567"/>
        <w:jc w:val="both"/>
      </w:pPr>
      <w:r>
        <w:t>[15] Dome kasācijas sūdzībā arī uzsver, ka Pirmsskolas izglītības nodrošināšanas noteikumos ietvertā strīdus prasība esot uzskatāma par imperatīvu tiesību normu, tāpēc, nekonstatējot netipiskus apstākļus, domei nebija citas iespējas kā vien pieņemt obligāto administratīvo aktu par vietas nenodrošināšanu pieteicējas meitai pirmsskolas izglītības iestādē 2019.gada augusta mēnesī.</w:t>
      </w:r>
    </w:p>
    <w:p w14:paraId="60731DBC" w14:textId="549A84C0" w:rsidR="00657E00" w:rsidRDefault="00657E00" w:rsidP="00D51633">
      <w:pPr>
        <w:spacing w:line="276" w:lineRule="auto"/>
        <w:ind w:firstLine="567"/>
        <w:jc w:val="both"/>
      </w:pPr>
      <w:r>
        <w:t xml:space="preserve">Šādi argumenti liecina, ka dome kļūdaini izprot pienākumu savā darbībā ievērot likumu un tiesības. </w:t>
      </w:r>
      <w:r w:rsidRPr="00657E00">
        <w:t xml:space="preserve">Tiesību virsvadības princips un no tā atvasinātais tiesiskuma princips paredz tiesību piemērotāja pienākumu izprast tiesību sistēmu (tostarp tiesību normu hierarhiju) un tiesību sistēmas pamatā esošos tiesību principus un konstitucionāla ranga vērtības (tātad arī </w:t>
      </w:r>
      <w:r w:rsidR="00075F1D">
        <w:t>pamattiesības</w:t>
      </w:r>
      <w:r w:rsidRPr="00657E00">
        <w:t>)</w:t>
      </w:r>
      <w:r w:rsidR="00602351">
        <w:t xml:space="preserve"> </w:t>
      </w:r>
      <w:r w:rsidRPr="00657E00">
        <w:t xml:space="preserve">un piemērot tiesību normas, </w:t>
      </w:r>
      <w:r w:rsidR="0071296C">
        <w:t xml:space="preserve">gan ņemot vērā to </w:t>
      </w:r>
      <w:r w:rsidRPr="00657E00">
        <w:t>jēgu un mērķ</w:t>
      </w:r>
      <w:r w:rsidR="0071296C">
        <w:t xml:space="preserve">i šīs tiesību sistēmas </w:t>
      </w:r>
      <w:r w:rsidR="0071296C">
        <w:lastRenderedPageBreak/>
        <w:t>kontekstā, gan atbilstību augstāka juridiskā spēka tiesību normām</w:t>
      </w:r>
      <w:r w:rsidRPr="00657E00">
        <w:t>. Tiesiskuma princips, proti</w:t>
      </w:r>
      <w:r w:rsidR="003057B9">
        <w:t>,</w:t>
      </w:r>
      <w:r w:rsidRPr="00657E00">
        <w:t xml:space="preserve"> tas, ka iestādes rīcībai ir jāatbilst iestādes darbību regulējošajām tiesību normām, nenozīmē, ka iestāde var formāli piemērot </w:t>
      </w:r>
      <w:r w:rsidR="0071296C">
        <w:t xml:space="preserve">pašvaldības saistošo noteikumu </w:t>
      </w:r>
      <w:r w:rsidRPr="00657E00">
        <w:t>normu, neskatoties</w:t>
      </w:r>
      <w:r w:rsidR="0071296C">
        <w:t xml:space="preserve"> uz to</w:t>
      </w:r>
      <w:r w:rsidRPr="00657E00">
        <w:t xml:space="preserve">, kāda ir attiecīgās normas jēga </w:t>
      </w:r>
      <w:r w:rsidR="0071296C">
        <w:t xml:space="preserve">un hierarhija </w:t>
      </w:r>
      <w:r w:rsidRPr="00657E00">
        <w:t>kontekstā ar citām piemērojamām tiesību normām.</w:t>
      </w:r>
      <w:r w:rsidR="0071296C">
        <w:t xml:space="preserve"> </w:t>
      </w:r>
      <w:r w:rsidRPr="00657E00">
        <w:t>Arī likumdevējs, pieņemot tiesisko regulējumu, rēķinās ar to, ka tiesību piemērotājs apzinās šo savu pienākumu un līdz ar to tiesību normas piemēros atbilstoši tiesību normu hierarhijai, sistēmiski un pēc to jēgas un būtības, nevis atrauti no kopējās tiesību sistēmas un formāli</w:t>
      </w:r>
      <w:r w:rsidR="00602351">
        <w:t>.</w:t>
      </w:r>
      <w:r w:rsidR="0071296C">
        <w:t xml:space="preserve"> </w:t>
      </w:r>
      <w:r w:rsidR="00602351">
        <w:t>T</w:t>
      </w:r>
      <w:r w:rsidR="0071296C">
        <w:t>ostarp</w:t>
      </w:r>
      <w:r w:rsidR="00602351">
        <w:t xml:space="preserve"> likumdevējs</w:t>
      </w:r>
      <w:r w:rsidR="00401C24">
        <w:t xml:space="preserve"> rēķinās, ka tiesību piemērotājs nepieciešamības gadījumā</w:t>
      </w:r>
      <w:r w:rsidR="0071296C">
        <w:t xml:space="preserve"> nepiemēros augstāka juridiskā spēka tiesību normām neatbilstošas tiesību normas (sal. </w:t>
      </w:r>
      <w:r w:rsidR="0071296C" w:rsidRPr="00B44EFA">
        <w:rPr>
          <w:i/>
          <w:iCs/>
        </w:rPr>
        <w:t>Senāta 2019.gada 31.janvāra sprieduma lietā Nr. SKA-148/2019 (</w:t>
      </w:r>
      <w:hyperlink r:id="rId11" w:history="1">
        <w:r w:rsidR="00013533" w:rsidRPr="00B44EFA">
          <w:rPr>
            <w:rStyle w:val="Hyperlink"/>
            <w:i/>
            <w:iCs/>
            <w:color w:val="auto"/>
            <w:u w:val="none"/>
          </w:rPr>
          <w:t>ECLI:LV:AT:2019:0131.A420322015.2.S</w:t>
        </w:r>
      </w:hyperlink>
      <w:r w:rsidR="0071296C" w:rsidRPr="00B44EFA">
        <w:rPr>
          <w:i/>
          <w:iCs/>
        </w:rPr>
        <w:t>) 13.punkts</w:t>
      </w:r>
      <w:r w:rsidR="0071296C">
        <w:t>).</w:t>
      </w:r>
    </w:p>
    <w:p w14:paraId="0C54E247" w14:textId="7C79E2A6" w:rsidR="0071296C" w:rsidRDefault="0071296C" w:rsidP="00D51633">
      <w:pPr>
        <w:spacing w:line="276" w:lineRule="auto"/>
        <w:ind w:firstLine="567"/>
        <w:jc w:val="both"/>
      </w:pPr>
    </w:p>
    <w:p w14:paraId="7597533B" w14:textId="01EBE3BD" w:rsidR="0071296C" w:rsidRPr="002159D1" w:rsidRDefault="0071296C" w:rsidP="00D51633">
      <w:pPr>
        <w:spacing w:line="276" w:lineRule="auto"/>
        <w:ind w:firstLine="567"/>
        <w:jc w:val="both"/>
      </w:pPr>
      <w:r>
        <w:t>[16] </w:t>
      </w:r>
      <w:r w:rsidRPr="002159D1">
        <w:t xml:space="preserve">Rezumējot minēto, </w:t>
      </w:r>
      <w:r>
        <w:t xml:space="preserve">domes kasācijas sūdzībā norādītie argumenti neliecina par apgabaltiesas pieļautiem materiālo vai procesuālo tiesību normu pārkāpumiem. Tādējādi </w:t>
      </w:r>
      <w:r w:rsidRPr="002159D1">
        <w:t xml:space="preserve">pārsūdzētais spriedums ir atstājams negrozīts, bet </w:t>
      </w:r>
      <w:r w:rsidR="0085010C">
        <w:t>domes</w:t>
      </w:r>
      <w:r w:rsidR="0085010C" w:rsidRPr="002159D1">
        <w:t xml:space="preserve"> </w:t>
      </w:r>
      <w:r w:rsidRPr="002159D1">
        <w:t>kasācijas sūdzība ir noraidāma.</w:t>
      </w:r>
    </w:p>
    <w:p w14:paraId="40181455" w14:textId="77777777" w:rsidR="00C312DF" w:rsidRPr="0082381C" w:rsidRDefault="00C312DF" w:rsidP="00D51633">
      <w:pPr>
        <w:spacing w:line="276" w:lineRule="auto"/>
        <w:ind w:firstLine="567"/>
        <w:jc w:val="both"/>
      </w:pPr>
    </w:p>
    <w:p w14:paraId="7F133DF8" w14:textId="77777777" w:rsidR="003047F5" w:rsidRPr="0082381C" w:rsidRDefault="003047F5" w:rsidP="00D51633">
      <w:pPr>
        <w:spacing w:line="276" w:lineRule="auto"/>
        <w:jc w:val="center"/>
        <w:rPr>
          <w:b/>
        </w:rPr>
      </w:pPr>
      <w:r w:rsidRPr="0082381C">
        <w:rPr>
          <w:b/>
        </w:rPr>
        <w:t>Rezolutīvā daļa</w:t>
      </w:r>
    </w:p>
    <w:p w14:paraId="203D55B2" w14:textId="77777777" w:rsidR="003047F5" w:rsidRPr="0082381C" w:rsidRDefault="003047F5" w:rsidP="00D51633">
      <w:pPr>
        <w:spacing w:line="276" w:lineRule="auto"/>
        <w:ind w:firstLine="567"/>
        <w:jc w:val="both"/>
        <w:rPr>
          <w:bCs/>
          <w:spacing w:val="70"/>
        </w:rPr>
      </w:pPr>
    </w:p>
    <w:p w14:paraId="6C0D5837" w14:textId="607E31AF" w:rsidR="003047F5" w:rsidRPr="0082381C" w:rsidRDefault="003047F5" w:rsidP="00D51633">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1D4837">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D51633">
      <w:pPr>
        <w:spacing w:line="276" w:lineRule="auto"/>
        <w:ind w:firstLine="567"/>
        <w:jc w:val="both"/>
      </w:pPr>
    </w:p>
    <w:p w14:paraId="6FE7AC9C" w14:textId="268BB826" w:rsidR="003047F5" w:rsidRPr="0082381C" w:rsidRDefault="003047F5" w:rsidP="00D51633">
      <w:pPr>
        <w:spacing w:line="276" w:lineRule="auto"/>
        <w:jc w:val="center"/>
        <w:rPr>
          <w:b/>
        </w:rPr>
      </w:pPr>
      <w:r w:rsidRPr="0082381C">
        <w:rPr>
          <w:b/>
        </w:rPr>
        <w:t>nosprieda</w:t>
      </w:r>
    </w:p>
    <w:p w14:paraId="25D5DF80" w14:textId="77777777" w:rsidR="00A6596A" w:rsidRPr="0082381C" w:rsidRDefault="00A6596A" w:rsidP="00D51633">
      <w:pPr>
        <w:spacing w:line="276" w:lineRule="auto"/>
        <w:jc w:val="center"/>
        <w:rPr>
          <w:b/>
        </w:rPr>
      </w:pPr>
    </w:p>
    <w:p w14:paraId="244C56BE" w14:textId="171888D8" w:rsidR="000F3172" w:rsidRDefault="000F3172" w:rsidP="00D51633">
      <w:pPr>
        <w:spacing w:line="276" w:lineRule="auto"/>
        <w:ind w:firstLine="567"/>
        <w:jc w:val="both"/>
      </w:pPr>
      <w:r>
        <w:t xml:space="preserve">Atstāt negrozītu Administratīvās </w:t>
      </w:r>
      <w:r w:rsidR="001D4837">
        <w:t>apgabaltiesas 2020.gada 5.novembra</w:t>
      </w:r>
      <w:r>
        <w:t xml:space="preserve"> spriedumu, bet </w:t>
      </w:r>
      <w:r w:rsidR="001D4837">
        <w:t>Salaspils novada domes</w:t>
      </w:r>
      <w:r>
        <w:t xml:space="preserve"> kasācijas sūdzību noraidīt.</w:t>
      </w:r>
    </w:p>
    <w:p w14:paraId="1FA8889F" w14:textId="77777777" w:rsidR="000F3172" w:rsidRDefault="000F3172" w:rsidP="00D51633">
      <w:pPr>
        <w:spacing w:line="276" w:lineRule="auto"/>
        <w:ind w:firstLine="567"/>
        <w:jc w:val="both"/>
      </w:pPr>
      <w:r>
        <w:t>Spriedums nav pārsūdzams.</w:t>
      </w:r>
    </w:p>
    <w:p w14:paraId="3857CED0" w14:textId="77777777" w:rsidR="00801CD9" w:rsidRDefault="00801CD9" w:rsidP="00801CD9">
      <w:pPr>
        <w:spacing w:line="276" w:lineRule="auto"/>
        <w:ind w:firstLine="567"/>
        <w:jc w:val="both"/>
        <w:rPr>
          <w:bCs/>
        </w:rPr>
      </w:pPr>
    </w:p>
    <w:p w14:paraId="2CCFD83C" w14:textId="77777777" w:rsidR="00801CD9" w:rsidRDefault="00801CD9" w:rsidP="00801CD9">
      <w:pPr>
        <w:spacing w:line="276" w:lineRule="auto"/>
        <w:ind w:firstLine="567"/>
        <w:jc w:val="both"/>
        <w:rPr>
          <w:bCs/>
        </w:rPr>
      </w:pPr>
    </w:p>
    <w:p w14:paraId="4B4C74F8" w14:textId="3FB06851" w:rsidR="00F43FAD" w:rsidRPr="0082381C" w:rsidRDefault="00F43FAD" w:rsidP="006B7BBC">
      <w:pPr>
        <w:tabs>
          <w:tab w:val="left" w:pos="2880"/>
          <w:tab w:val="left" w:pos="4680"/>
          <w:tab w:val="left" w:pos="6660"/>
        </w:tabs>
        <w:spacing w:line="276" w:lineRule="auto"/>
        <w:ind w:firstLine="567"/>
        <w:jc w:val="both"/>
        <w:rPr>
          <w:color w:val="000000"/>
        </w:rPr>
      </w:pPr>
      <w:bookmarkStart w:id="0" w:name="_GoBack"/>
      <w:bookmarkEnd w:id="0"/>
    </w:p>
    <w:sectPr w:rsidR="00F43FAD" w:rsidRPr="0082381C"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B3FD" w14:textId="77777777" w:rsidR="00354D6F" w:rsidRDefault="00354D6F" w:rsidP="003047F5">
      <w:r>
        <w:separator/>
      </w:r>
    </w:p>
  </w:endnote>
  <w:endnote w:type="continuationSeparator" w:id="0">
    <w:p w14:paraId="4FC01664" w14:textId="77777777" w:rsidR="00354D6F" w:rsidRDefault="00354D6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D946FAD"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1795A">
      <w:rPr>
        <w:rStyle w:val="PageNumber"/>
        <w:noProof/>
      </w:rPr>
      <w:t>8</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31795A">
      <w:rPr>
        <w:rStyle w:val="PageNumber"/>
        <w:noProof/>
      </w:rPr>
      <w:t>8</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67F04" w14:textId="77777777" w:rsidR="00354D6F" w:rsidRDefault="00354D6F" w:rsidP="003047F5">
      <w:r>
        <w:separator/>
      </w:r>
    </w:p>
  </w:footnote>
  <w:footnote w:type="continuationSeparator" w:id="0">
    <w:p w14:paraId="23CE17D7" w14:textId="77777777" w:rsidR="00354D6F" w:rsidRDefault="00354D6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12A"/>
    <w:rsid w:val="0001240F"/>
    <w:rsid w:val="00013533"/>
    <w:rsid w:val="00015E9E"/>
    <w:rsid w:val="0001766C"/>
    <w:rsid w:val="00020719"/>
    <w:rsid w:val="00030A28"/>
    <w:rsid w:val="00032C15"/>
    <w:rsid w:val="000365E2"/>
    <w:rsid w:val="000473F5"/>
    <w:rsid w:val="000520E6"/>
    <w:rsid w:val="00052A0B"/>
    <w:rsid w:val="00056278"/>
    <w:rsid w:val="00060211"/>
    <w:rsid w:val="00062CDE"/>
    <w:rsid w:val="0006309D"/>
    <w:rsid w:val="00063EAA"/>
    <w:rsid w:val="000641E7"/>
    <w:rsid w:val="0006508E"/>
    <w:rsid w:val="000653F0"/>
    <w:rsid w:val="000708AF"/>
    <w:rsid w:val="00072833"/>
    <w:rsid w:val="000739A3"/>
    <w:rsid w:val="00075F1D"/>
    <w:rsid w:val="00081C5C"/>
    <w:rsid w:val="000837DC"/>
    <w:rsid w:val="00095FA9"/>
    <w:rsid w:val="000A1110"/>
    <w:rsid w:val="000A693E"/>
    <w:rsid w:val="000B0A3A"/>
    <w:rsid w:val="000B213B"/>
    <w:rsid w:val="000C22CA"/>
    <w:rsid w:val="000D30E7"/>
    <w:rsid w:val="000D33B6"/>
    <w:rsid w:val="000E02FC"/>
    <w:rsid w:val="000E4E67"/>
    <w:rsid w:val="000F3172"/>
    <w:rsid w:val="000F36C0"/>
    <w:rsid w:val="000F38A5"/>
    <w:rsid w:val="000F4F9D"/>
    <w:rsid w:val="000F7DBC"/>
    <w:rsid w:val="0010332C"/>
    <w:rsid w:val="001041E4"/>
    <w:rsid w:val="001108D8"/>
    <w:rsid w:val="00117086"/>
    <w:rsid w:val="001179B4"/>
    <w:rsid w:val="0012222F"/>
    <w:rsid w:val="00132AB3"/>
    <w:rsid w:val="00140834"/>
    <w:rsid w:val="001412D4"/>
    <w:rsid w:val="0014709E"/>
    <w:rsid w:val="0014789D"/>
    <w:rsid w:val="0015318A"/>
    <w:rsid w:val="0015606C"/>
    <w:rsid w:val="0016381F"/>
    <w:rsid w:val="001646E9"/>
    <w:rsid w:val="00164730"/>
    <w:rsid w:val="00164BF8"/>
    <w:rsid w:val="00165D12"/>
    <w:rsid w:val="00170E3A"/>
    <w:rsid w:val="0017232F"/>
    <w:rsid w:val="00177C6E"/>
    <w:rsid w:val="0018187C"/>
    <w:rsid w:val="00182263"/>
    <w:rsid w:val="0018500B"/>
    <w:rsid w:val="0018670C"/>
    <w:rsid w:val="00190445"/>
    <w:rsid w:val="0019238A"/>
    <w:rsid w:val="001966C5"/>
    <w:rsid w:val="00196BAA"/>
    <w:rsid w:val="001A0495"/>
    <w:rsid w:val="001A4A69"/>
    <w:rsid w:val="001A5CDE"/>
    <w:rsid w:val="001A7167"/>
    <w:rsid w:val="001B0D17"/>
    <w:rsid w:val="001C03A6"/>
    <w:rsid w:val="001D4837"/>
    <w:rsid w:val="001E2355"/>
    <w:rsid w:val="001E34B2"/>
    <w:rsid w:val="001E3A09"/>
    <w:rsid w:val="001E4A66"/>
    <w:rsid w:val="001F12CD"/>
    <w:rsid w:val="001F1B3C"/>
    <w:rsid w:val="001F5EE5"/>
    <w:rsid w:val="002034AA"/>
    <w:rsid w:val="00203BBD"/>
    <w:rsid w:val="00203C4E"/>
    <w:rsid w:val="002040F7"/>
    <w:rsid w:val="00207028"/>
    <w:rsid w:val="00213257"/>
    <w:rsid w:val="002138AB"/>
    <w:rsid w:val="00217D1B"/>
    <w:rsid w:val="00217D88"/>
    <w:rsid w:val="00220337"/>
    <w:rsid w:val="00221F67"/>
    <w:rsid w:val="00224FB9"/>
    <w:rsid w:val="00225772"/>
    <w:rsid w:val="00236E52"/>
    <w:rsid w:val="00236EAE"/>
    <w:rsid w:val="00237F92"/>
    <w:rsid w:val="002401E3"/>
    <w:rsid w:val="00250320"/>
    <w:rsid w:val="002511B1"/>
    <w:rsid w:val="00257285"/>
    <w:rsid w:val="00261253"/>
    <w:rsid w:val="0026266B"/>
    <w:rsid w:val="00263148"/>
    <w:rsid w:val="002663B3"/>
    <w:rsid w:val="0027469B"/>
    <w:rsid w:val="00274C7E"/>
    <w:rsid w:val="00282C4B"/>
    <w:rsid w:val="0029068C"/>
    <w:rsid w:val="00293462"/>
    <w:rsid w:val="00294B39"/>
    <w:rsid w:val="002A0466"/>
    <w:rsid w:val="002A3392"/>
    <w:rsid w:val="002A340E"/>
    <w:rsid w:val="002A7E79"/>
    <w:rsid w:val="002C0C34"/>
    <w:rsid w:val="002C513C"/>
    <w:rsid w:val="002C58A8"/>
    <w:rsid w:val="002D3C46"/>
    <w:rsid w:val="003008D5"/>
    <w:rsid w:val="00301A51"/>
    <w:rsid w:val="003047F5"/>
    <w:rsid w:val="00304A5F"/>
    <w:rsid w:val="0030518A"/>
    <w:rsid w:val="003057B9"/>
    <w:rsid w:val="003142E9"/>
    <w:rsid w:val="003146E2"/>
    <w:rsid w:val="0031795A"/>
    <w:rsid w:val="0032128B"/>
    <w:rsid w:val="00321DA3"/>
    <w:rsid w:val="0032282D"/>
    <w:rsid w:val="003265E8"/>
    <w:rsid w:val="003313CC"/>
    <w:rsid w:val="00331F8E"/>
    <w:rsid w:val="00336A56"/>
    <w:rsid w:val="003373E4"/>
    <w:rsid w:val="00347EBF"/>
    <w:rsid w:val="00351871"/>
    <w:rsid w:val="0035346E"/>
    <w:rsid w:val="00354D6F"/>
    <w:rsid w:val="003562D0"/>
    <w:rsid w:val="00362D08"/>
    <w:rsid w:val="00367831"/>
    <w:rsid w:val="00372566"/>
    <w:rsid w:val="00375959"/>
    <w:rsid w:val="003772AF"/>
    <w:rsid w:val="003819F0"/>
    <w:rsid w:val="00386169"/>
    <w:rsid w:val="00391809"/>
    <w:rsid w:val="0039181D"/>
    <w:rsid w:val="00392B62"/>
    <w:rsid w:val="003A11D5"/>
    <w:rsid w:val="003A4D26"/>
    <w:rsid w:val="003A5B69"/>
    <w:rsid w:val="003B098A"/>
    <w:rsid w:val="003C0BC2"/>
    <w:rsid w:val="003C1D16"/>
    <w:rsid w:val="003D253A"/>
    <w:rsid w:val="003D5CD7"/>
    <w:rsid w:val="003E6AC8"/>
    <w:rsid w:val="003E73F4"/>
    <w:rsid w:val="003F7F37"/>
    <w:rsid w:val="0040001F"/>
    <w:rsid w:val="00401C24"/>
    <w:rsid w:val="0040487A"/>
    <w:rsid w:val="00417BAC"/>
    <w:rsid w:val="00420CA3"/>
    <w:rsid w:val="00420F7E"/>
    <w:rsid w:val="00421179"/>
    <w:rsid w:val="00424B84"/>
    <w:rsid w:val="0043182C"/>
    <w:rsid w:val="0043387D"/>
    <w:rsid w:val="0043561B"/>
    <w:rsid w:val="00467D83"/>
    <w:rsid w:val="00470AED"/>
    <w:rsid w:val="00474DA0"/>
    <w:rsid w:val="00483345"/>
    <w:rsid w:val="004837CD"/>
    <w:rsid w:val="00484995"/>
    <w:rsid w:val="004852C5"/>
    <w:rsid w:val="00490E36"/>
    <w:rsid w:val="00491DEC"/>
    <w:rsid w:val="004A0332"/>
    <w:rsid w:val="004A3C55"/>
    <w:rsid w:val="004A4903"/>
    <w:rsid w:val="004B726B"/>
    <w:rsid w:val="004C4438"/>
    <w:rsid w:val="004C4636"/>
    <w:rsid w:val="004C4882"/>
    <w:rsid w:val="004C6A74"/>
    <w:rsid w:val="004C7607"/>
    <w:rsid w:val="004C7A60"/>
    <w:rsid w:val="004D549D"/>
    <w:rsid w:val="004E1CA5"/>
    <w:rsid w:val="004F0C0F"/>
    <w:rsid w:val="004F2357"/>
    <w:rsid w:val="004F27EC"/>
    <w:rsid w:val="004F4EE0"/>
    <w:rsid w:val="004F6B8C"/>
    <w:rsid w:val="00500982"/>
    <w:rsid w:val="00500C50"/>
    <w:rsid w:val="00500DED"/>
    <w:rsid w:val="00500DF2"/>
    <w:rsid w:val="00507291"/>
    <w:rsid w:val="00512141"/>
    <w:rsid w:val="00515EB6"/>
    <w:rsid w:val="0052059C"/>
    <w:rsid w:val="00521A02"/>
    <w:rsid w:val="00523DB5"/>
    <w:rsid w:val="00524487"/>
    <w:rsid w:val="005278C1"/>
    <w:rsid w:val="00541F94"/>
    <w:rsid w:val="00542033"/>
    <w:rsid w:val="00543E46"/>
    <w:rsid w:val="005476AA"/>
    <w:rsid w:val="00552D91"/>
    <w:rsid w:val="005535FD"/>
    <w:rsid w:val="00554D12"/>
    <w:rsid w:val="00555241"/>
    <w:rsid w:val="00566B74"/>
    <w:rsid w:val="005670D7"/>
    <w:rsid w:val="0057133C"/>
    <w:rsid w:val="00577AED"/>
    <w:rsid w:val="00577EBD"/>
    <w:rsid w:val="005839CA"/>
    <w:rsid w:val="00583C0D"/>
    <w:rsid w:val="00591658"/>
    <w:rsid w:val="005A4E86"/>
    <w:rsid w:val="005A71B7"/>
    <w:rsid w:val="005B1930"/>
    <w:rsid w:val="005B271F"/>
    <w:rsid w:val="005B472C"/>
    <w:rsid w:val="005B6C24"/>
    <w:rsid w:val="005C3B38"/>
    <w:rsid w:val="005D058E"/>
    <w:rsid w:val="005D2C31"/>
    <w:rsid w:val="005D5C93"/>
    <w:rsid w:val="005E0DF1"/>
    <w:rsid w:val="005E2721"/>
    <w:rsid w:val="005F62A8"/>
    <w:rsid w:val="0060148C"/>
    <w:rsid w:val="00602351"/>
    <w:rsid w:val="00613B94"/>
    <w:rsid w:val="006158BC"/>
    <w:rsid w:val="006263F1"/>
    <w:rsid w:val="00630CF1"/>
    <w:rsid w:val="00635F68"/>
    <w:rsid w:val="00650CF3"/>
    <w:rsid w:val="00652AAD"/>
    <w:rsid w:val="00656A23"/>
    <w:rsid w:val="00657B99"/>
    <w:rsid w:val="00657E00"/>
    <w:rsid w:val="00661B19"/>
    <w:rsid w:val="006630CB"/>
    <w:rsid w:val="006630F7"/>
    <w:rsid w:val="00664986"/>
    <w:rsid w:val="00667B29"/>
    <w:rsid w:val="00670CC8"/>
    <w:rsid w:val="00674DE3"/>
    <w:rsid w:val="006760C3"/>
    <w:rsid w:val="00677601"/>
    <w:rsid w:val="006810B1"/>
    <w:rsid w:val="00681593"/>
    <w:rsid w:val="00682679"/>
    <w:rsid w:val="00690C90"/>
    <w:rsid w:val="00693CD5"/>
    <w:rsid w:val="00695924"/>
    <w:rsid w:val="00695BCB"/>
    <w:rsid w:val="006A1FB4"/>
    <w:rsid w:val="006B5A8B"/>
    <w:rsid w:val="006B7BBC"/>
    <w:rsid w:val="006C6135"/>
    <w:rsid w:val="006C789A"/>
    <w:rsid w:val="006D29A7"/>
    <w:rsid w:val="006D4F8F"/>
    <w:rsid w:val="006F5D3B"/>
    <w:rsid w:val="00704EFC"/>
    <w:rsid w:val="00705F9A"/>
    <w:rsid w:val="0071296C"/>
    <w:rsid w:val="00716F8D"/>
    <w:rsid w:val="00727EF1"/>
    <w:rsid w:val="00731927"/>
    <w:rsid w:val="007358BC"/>
    <w:rsid w:val="00741C77"/>
    <w:rsid w:val="007511F8"/>
    <w:rsid w:val="00752126"/>
    <w:rsid w:val="00752B87"/>
    <w:rsid w:val="00763405"/>
    <w:rsid w:val="00764631"/>
    <w:rsid w:val="007709C7"/>
    <w:rsid w:val="00773C9E"/>
    <w:rsid w:val="00773DA1"/>
    <w:rsid w:val="0077509E"/>
    <w:rsid w:val="007832D7"/>
    <w:rsid w:val="0078685A"/>
    <w:rsid w:val="007917E1"/>
    <w:rsid w:val="00797C12"/>
    <w:rsid w:val="007A3BA5"/>
    <w:rsid w:val="007C021A"/>
    <w:rsid w:val="007C0CB3"/>
    <w:rsid w:val="007C2AF8"/>
    <w:rsid w:val="007C4037"/>
    <w:rsid w:val="007C431E"/>
    <w:rsid w:val="007E290A"/>
    <w:rsid w:val="007E4038"/>
    <w:rsid w:val="007F7FF4"/>
    <w:rsid w:val="00801CD9"/>
    <w:rsid w:val="008079AB"/>
    <w:rsid w:val="008079D8"/>
    <w:rsid w:val="00810FCC"/>
    <w:rsid w:val="00812566"/>
    <w:rsid w:val="00813FED"/>
    <w:rsid w:val="0082381C"/>
    <w:rsid w:val="008248A9"/>
    <w:rsid w:val="00826A18"/>
    <w:rsid w:val="00831A4B"/>
    <w:rsid w:val="00832268"/>
    <w:rsid w:val="00833668"/>
    <w:rsid w:val="008359DA"/>
    <w:rsid w:val="0084065A"/>
    <w:rsid w:val="00842C22"/>
    <w:rsid w:val="00845A02"/>
    <w:rsid w:val="0085010C"/>
    <w:rsid w:val="00851689"/>
    <w:rsid w:val="00851F1E"/>
    <w:rsid w:val="0085460C"/>
    <w:rsid w:val="008570F8"/>
    <w:rsid w:val="00866056"/>
    <w:rsid w:val="008728AB"/>
    <w:rsid w:val="00874230"/>
    <w:rsid w:val="00874CF6"/>
    <w:rsid w:val="00877956"/>
    <w:rsid w:val="008810AA"/>
    <w:rsid w:val="00881ADB"/>
    <w:rsid w:val="0089619C"/>
    <w:rsid w:val="008A0611"/>
    <w:rsid w:val="008A1396"/>
    <w:rsid w:val="008A2776"/>
    <w:rsid w:val="008A5DF6"/>
    <w:rsid w:val="008B4841"/>
    <w:rsid w:val="008B5DEC"/>
    <w:rsid w:val="008C1BB2"/>
    <w:rsid w:val="008C3728"/>
    <w:rsid w:val="008D074B"/>
    <w:rsid w:val="008D33D8"/>
    <w:rsid w:val="008D3802"/>
    <w:rsid w:val="008D75C1"/>
    <w:rsid w:val="008E505B"/>
    <w:rsid w:val="008E574C"/>
    <w:rsid w:val="008E7C15"/>
    <w:rsid w:val="008F2573"/>
    <w:rsid w:val="00900024"/>
    <w:rsid w:val="00900448"/>
    <w:rsid w:val="00903965"/>
    <w:rsid w:val="00903D74"/>
    <w:rsid w:val="00906406"/>
    <w:rsid w:val="00913D25"/>
    <w:rsid w:val="00914E35"/>
    <w:rsid w:val="00916332"/>
    <w:rsid w:val="00921531"/>
    <w:rsid w:val="00921ACD"/>
    <w:rsid w:val="009229FE"/>
    <w:rsid w:val="009259F3"/>
    <w:rsid w:val="00926106"/>
    <w:rsid w:val="00934B1B"/>
    <w:rsid w:val="00934E56"/>
    <w:rsid w:val="009352F4"/>
    <w:rsid w:val="00941626"/>
    <w:rsid w:val="009450FE"/>
    <w:rsid w:val="00945A5E"/>
    <w:rsid w:val="00950AB8"/>
    <w:rsid w:val="0095346A"/>
    <w:rsid w:val="009639F7"/>
    <w:rsid w:val="00963CBB"/>
    <w:rsid w:val="0097345B"/>
    <w:rsid w:val="0097713E"/>
    <w:rsid w:val="00977809"/>
    <w:rsid w:val="00977949"/>
    <w:rsid w:val="00980873"/>
    <w:rsid w:val="009818B6"/>
    <w:rsid w:val="00996B0A"/>
    <w:rsid w:val="009A017E"/>
    <w:rsid w:val="009A2426"/>
    <w:rsid w:val="009A50DA"/>
    <w:rsid w:val="009B55C9"/>
    <w:rsid w:val="009B7B0C"/>
    <w:rsid w:val="009C353C"/>
    <w:rsid w:val="009C3EB1"/>
    <w:rsid w:val="009D25F6"/>
    <w:rsid w:val="009D4279"/>
    <w:rsid w:val="009D4D49"/>
    <w:rsid w:val="009E1BC8"/>
    <w:rsid w:val="009F0821"/>
    <w:rsid w:val="00A00062"/>
    <w:rsid w:val="00A014D8"/>
    <w:rsid w:val="00A04ADA"/>
    <w:rsid w:val="00A06900"/>
    <w:rsid w:val="00A17A38"/>
    <w:rsid w:val="00A25464"/>
    <w:rsid w:val="00A269A5"/>
    <w:rsid w:val="00A303A8"/>
    <w:rsid w:val="00A33765"/>
    <w:rsid w:val="00A34F8D"/>
    <w:rsid w:val="00A459DD"/>
    <w:rsid w:val="00A637F8"/>
    <w:rsid w:val="00A6596A"/>
    <w:rsid w:val="00A71314"/>
    <w:rsid w:val="00A74118"/>
    <w:rsid w:val="00A831F1"/>
    <w:rsid w:val="00A86A5D"/>
    <w:rsid w:val="00A90FB2"/>
    <w:rsid w:val="00A94C0D"/>
    <w:rsid w:val="00A979BE"/>
    <w:rsid w:val="00A97C6D"/>
    <w:rsid w:val="00AA3ACE"/>
    <w:rsid w:val="00AA77FC"/>
    <w:rsid w:val="00AB35CF"/>
    <w:rsid w:val="00AC015D"/>
    <w:rsid w:val="00AC6FC3"/>
    <w:rsid w:val="00AD3B20"/>
    <w:rsid w:val="00AD677A"/>
    <w:rsid w:val="00AE21D9"/>
    <w:rsid w:val="00AE642E"/>
    <w:rsid w:val="00AF2237"/>
    <w:rsid w:val="00B07145"/>
    <w:rsid w:val="00B10484"/>
    <w:rsid w:val="00B14727"/>
    <w:rsid w:val="00B161E8"/>
    <w:rsid w:val="00B22A0B"/>
    <w:rsid w:val="00B22F68"/>
    <w:rsid w:val="00B31257"/>
    <w:rsid w:val="00B35553"/>
    <w:rsid w:val="00B44EFA"/>
    <w:rsid w:val="00B46966"/>
    <w:rsid w:val="00B51CC1"/>
    <w:rsid w:val="00B55EC4"/>
    <w:rsid w:val="00B63FCB"/>
    <w:rsid w:val="00B67B63"/>
    <w:rsid w:val="00B739D4"/>
    <w:rsid w:val="00B75348"/>
    <w:rsid w:val="00B75A4A"/>
    <w:rsid w:val="00B76E0B"/>
    <w:rsid w:val="00B80449"/>
    <w:rsid w:val="00B80D03"/>
    <w:rsid w:val="00B80FF5"/>
    <w:rsid w:val="00B839AA"/>
    <w:rsid w:val="00B83D9B"/>
    <w:rsid w:val="00B863E3"/>
    <w:rsid w:val="00B91B99"/>
    <w:rsid w:val="00B93A58"/>
    <w:rsid w:val="00B9560D"/>
    <w:rsid w:val="00B96BE2"/>
    <w:rsid w:val="00BA0453"/>
    <w:rsid w:val="00BA0FB8"/>
    <w:rsid w:val="00BA57E0"/>
    <w:rsid w:val="00BB26D7"/>
    <w:rsid w:val="00BB4182"/>
    <w:rsid w:val="00BB5382"/>
    <w:rsid w:val="00BC1475"/>
    <w:rsid w:val="00BC4A23"/>
    <w:rsid w:val="00BD4D2C"/>
    <w:rsid w:val="00BE27E4"/>
    <w:rsid w:val="00BE2AA3"/>
    <w:rsid w:val="00BE58B2"/>
    <w:rsid w:val="00BE774A"/>
    <w:rsid w:val="00BF10F3"/>
    <w:rsid w:val="00BF1806"/>
    <w:rsid w:val="00C00A5C"/>
    <w:rsid w:val="00C07C4F"/>
    <w:rsid w:val="00C104DF"/>
    <w:rsid w:val="00C11D24"/>
    <w:rsid w:val="00C25662"/>
    <w:rsid w:val="00C312DF"/>
    <w:rsid w:val="00C41079"/>
    <w:rsid w:val="00C45DD5"/>
    <w:rsid w:val="00C469B1"/>
    <w:rsid w:val="00C60D61"/>
    <w:rsid w:val="00C61132"/>
    <w:rsid w:val="00C71063"/>
    <w:rsid w:val="00C74654"/>
    <w:rsid w:val="00C756A7"/>
    <w:rsid w:val="00C76DCF"/>
    <w:rsid w:val="00C832ED"/>
    <w:rsid w:val="00C83C66"/>
    <w:rsid w:val="00C844F0"/>
    <w:rsid w:val="00C90103"/>
    <w:rsid w:val="00C9241C"/>
    <w:rsid w:val="00C93CAA"/>
    <w:rsid w:val="00C96E4D"/>
    <w:rsid w:val="00CA4FE0"/>
    <w:rsid w:val="00CA52A0"/>
    <w:rsid w:val="00CB145E"/>
    <w:rsid w:val="00CB39D4"/>
    <w:rsid w:val="00CB409A"/>
    <w:rsid w:val="00CC2A43"/>
    <w:rsid w:val="00CC545A"/>
    <w:rsid w:val="00CC784D"/>
    <w:rsid w:val="00CD3DB6"/>
    <w:rsid w:val="00CD401A"/>
    <w:rsid w:val="00CD5B39"/>
    <w:rsid w:val="00CF6537"/>
    <w:rsid w:val="00D029BE"/>
    <w:rsid w:val="00D046F5"/>
    <w:rsid w:val="00D04E05"/>
    <w:rsid w:val="00D06AFA"/>
    <w:rsid w:val="00D1237E"/>
    <w:rsid w:val="00D22271"/>
    <w:rsid w:val="00D27CE6"/>
    <w:rsid w:val="00D3210B"/>
    <w:rsid w:val="00D322DC"/>
    <w:rsid w:val="00D33838"/>
    <w:rsid w:val="00D33B05"/>
    <w:rsid w:val="00D40369"/>
    <w:rsid w:val="00D42B39"/>
    <w:rsid w:val="00D42BF7"/>
    <w:rsid w:val="00D5139E"/>
    <w:rsid w:val="00D51633"/>
    <w:rsid w:val="00D63538"/>
    <w:rsid w:val="00D63CE8"/>
    <w:rsid w:val="00D676A3"/>
    <w:rsid w:val="00D70124"/>
    <w:rsid w:val="00D7028E"/>
    <w:rsid w:val="00D70422"/>
    <w:rsid w:val="00D71427"/>
    <w:rsid w:val="00D7177F"/>
    <w:rsid w:val="00D75BB8"/>
    <w:rsid w:val="00D763FE"/>
    <w:rsid w:val="00D85BB7"/>
    <w:rsid w:val="00D867CA"/>
    <w:rsid w:val="00D96B0B"/>
    <w:rsid w:val="00DA7225"/>
    <w:rsid w:val="00DB0D88"/>
    <w:rsid w:val="00DB11F6"/>
    <w:rsid w:val="00DB43B9"/>
    <w:rsid w:val="00DC2AC6"/>
    <w:rsid w:val="00DD1A37"/>
    <w:rsid w:val="00DD511F"/>
    <w:rsid w:val="00DE06C5"/>
    <w:rsid w:val="00DE4E70"/>
    <w:rsid w:val="00DE6F7E"/>
    <w:rsid w:val="00DF1068"/>
    <w:rsid w:val="00DF60AD"/>
    <w:rsid w:val="00E03267"/>
    <w:rsid w:val="00E04EFF"/>
    <w:rsid w:val="00E11E8B"/>
    <w:rsid w:val="00E1248A"/>
    <w:rsid w:val="00E301A8"/>
    <w:rsid w:val="00E3182E"/>
    <w:rsid w:val="00E354D5"/>
    <w:rsid w:val="00E41EAA"/>
    <w:rsid w:val="00E474BF"/>
    <w:rsid w:val="00E474C0"/>
    <w:rsid w:val="00E5207C"/>
    <w:rsid w:val="00E52937"/>
    <w:rsid w:val="00E57A84"/>
    <w:rsid w:val="00E61846"/>
    <w:rsid w:val="00E64904"/>
    <w:rsid w:val="00E6523F"/>
    <w:rsid w:val="00E677CE"/>
    <w:rsid w:val="00E75483"/>
    <w:rsid w:val="00E7614B"/>
    <w:rsid w:val="00E772EF"/>
    <w:rsid w:val="00E840CD"/>
    <w:rsid w:val="00E85EDB"/>
    <w:rsid w:val="00E9014C"/>
    <w:rsid w:val="00E902F4"/>
    <w:rsid w:val="00E93493"/>
    <w:rsid w:val="00EA42A6"/>
    <w:rsid w:val="00EB452A"/>
    <w:rsid w:val="00EB52C0"/>
    <w:rsid w:val="00EB6F75"/>
    <w:rsid w:val="00EB736C"/>
    <w:rsid w:val="00EB7E32"/>
    <w:rsid w:val="00EC2A48"/>
    <w:rsid w:val="00ED6B03"/>
    <w:rsid w:val="00EE683F"/>
    <w:rsid w:val="00EF0ADD"/>
    <w:rsid w:val="00EF0FC1"/>
    <w:rsid w:val="00EF12BB"/>
    <w:rsid w:val="00EF347B"/>
    <w:rsid w:val="00F056CB"/>
    <w:rsid w:val="00F065D0"/>
    <w:rsid w:val="00F10E0E"/>
    <w:rsid w:val="00F1682F"/>
    <w:rsid w:val="00F2171C"/>
    <w:rsid w:val="00F2528E"/>
    <w:rsid w:val="00F252B1"/>
    <w:rsid w:val="00F30286"/>
    <w:rsid w:val="00F33D3C"/>
    <w:rsid w:val="00F36CF4"/>
    <w:rsid w:val="00F42D07"/>
    <w:rsid w:val="00F43FAD"/>
    <w:rsid w:val="00F50709"/>
    <w:rsid w:val="00F50E31"/>
    <w:rsid w:val="00F623B5"/>
    <w:rsid w:val="00F70915"/>
    <w:rsid w:val="00F71A47"/>
    <w:rsid w:val="00F72B39"/>
    <w:rsid w:val="00F740F9"/>
    <w:rsid w:val="00F81367"/>
    <w:rsid w:val="00F85B9C"/>
    <w:rsid w:val="00F92DA4"/>
    <w:rsid w:val="00F95618"/>
    <w:rsid w:val="00F97929"/>
    <w:rsid w:val="00FA2DF4"/>
    <w:rsid w:val="00FA630E"/>
    <w:rsid w:val="00FA673D"/>
    <w:rsid w:val="00FB0E62"/>
    <w:rsid w:val="00FB383D"/>
    <w:rsid w:val="00FB3E83"/>
    <w:rsid w:val="00FC0AE5"/>
    <w:rsid w:val="00FC2751"/>
    <w:rsid w:val="00FC596F"/>
    <w:rsid w:val="00FC5AE2"/>
    <w:rsid w:val="00FC5BD8"/>
    <w:rsid w:val="00FC5F9E"/>
    <w:rsid w:val="00FC6015"/>
    <w:rsid w:val="00FD25E0"/>
    <w:rsid w:val="00FD7D76"/>
    <w:rsid w:val="00FF05D9"/>
    <w:rsid w:val="00FF54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257"/>
    <w:rPr>
      <w:color w:val="0563C1" w:themeColor="hyperlink"/>
      <w:u w:val="single"/>
    </w:rPr>
  </w:style>
  <w:style w:type="character" w:customStyle="1" w:styleId="UnresolvedMention">
    <w:name w:val="Unresolved Mention"/>
    <w:basedOn w:val="DefaultParagraphFont"/>
    <w:uiPriority w:val="99"/>
    <w:semiHidden/>
    <w:unhideWhenUsed/>
    <w:rsid w:val="00B31257"/>
    <w:rPr>
      <w:color w:val="605E5C"/>
      <w:shd w:val="clear" w:color="auto" w:fill="E1DFDD"/>
    </w:rPr>
  </w:style>
  <w:style w:type="paragraph" w:customStyle="1" w:styleId="tv213">
    <w:name w:val="tv213"/>
    <w:basedOn w:val="Normal"/>
    <w:rsid w:val="00D046F5"/>
    <w:pPr>
      <w:spacing w:before="100" w:beforeAutospacing="1" w:after="100" w:afterAutospacing="1"/>
    </w:pPr>
    <w:rPr>
      <w:lang w:eastAsia="lv-LV"/>
    </w:rPr>
  </w:style>
  <w:style w:type="paragraph" w:styleId="Revision">
    <w:name w:val="Revision"/>
    <w:hidden/>
    <w:uiPriority w:val="99"/>
    <w:semiHidden/>
    <w:rsid w:val="00500982"/>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98409">
      <w:bodyDiv w:val="1"/>
      <w:marLeft w:val="0"/>
      <w:marRight w:val="0"/>
      <w:marTop w:val="0"/>
      <w:marBottom w:val="0"/>
      <w:divBdr>
        <w:top w:val="none" w:sz="0" w:space="0" w:color="auto"/>
        <w:left w:val="none" w:sz="0" w:space="0" w:color="auto"/>
        <w:bottom w:val="none" w:sz="0" w:space="0" w:color="auto"/>
        <w:right w:val="none" w:sz="0" w:space="0" w:color="auto"/>
      </w:divBdr>
    </w:div>
    <w:div w:id="1193113695">
      <w:bodyDiv w:val="1"/>
      <w:marLeft w:val="0"/>
      <w:marRight w:val="0"/>
      <w:marTop w:val="0"/>
      <w:marBottom w:val="0"/>
      <w:divBdr>
        <w:top w:val="none" w:sz="0" w:space="0" w:color="auto"/>
        <w:left w:val="none" w:sz="0" w:space="0" w:color="auto"/>
        <w:bottom w:val="none" w:sz="0" w:space="0" w:color="auto"/>
        <w:right w:val="none" w:sz="0" w:space="0" w:color="auto"/>
      </w:divBdr>
    </w:div>
    <w:div w:id="1541746151">
      <w:bodyDiv w:val="1"/>
      <w:marLeft w:val="0"/>
      <w:marRight w:val="0"/>
      <w:marTop w:val="0"/>
      <w:marBottom w:val="0"/>
      <w:divBdr>
        <w:top w:val="none" w:sz="0" w:space="0" w:color="auto"/>
        <w:left w:val="none" w:sz="0" w:space="0" w:color="auto"/>
        <w:bottom w:val="none" w:sz="0" w:space="0" w:color="auto"/>
        <w:right w:val="none" w:sz="0" w:space="0" w:color="auto"/>
      </w:divBdr>
    </w:div>
    <w:div w:id="21089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0854-noteikumi-par-valsts-pirmsskolas-izglitibas-vadlinij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49518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19:0131.A420322015.2.S" TargetMode="External"/><Relationship Id="rId5" Type="http://schemas.openxmlformats.org/officeDocument/2006/relationships/footnotes" Target="footnotes.xml"/><Relationship Id="rId10" Type="http://schemas.openxmlformats.org/officeDocument/2006/relationships/hyperlink" Target="https://likumi.lv/ta/id/250854-noteikumi-par-valsts-pirmsskolas-izglitibas-vadlinijam"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0:0922.A420352516.7.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30F9-FB7A-448F-8B39-F36F9D92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3943</Words>
  <Characters>22476</Characters>
  <Application>Microsoft Office Word</Application>
  <DocSecurity>0</DocSecurity>
  <Lines>187</Lines>
  <Paragraphs>52</Paragraphs>
  <ScaleCrop>false</ScaleCrop>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2023-06-13T06:06:00Z</dcterms:created>
  <dcterms:modified xsi:type="dcterms:W3CDTF">2023-06-13T06:06:00Z</dcterms:modified>
</cp:coreProperties>
</file>