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9DD3D" w14:textId="52088BC2" w:rsidR="007772DE" w:rsidRPr="00865639" w:rsidRDefault="00865639" w:rsidP="00865639">
      <w:pPr>
        <w:rPr>
          <w:b/>
          <w:bCs/>
          <w:szCs w:val="24"/>
        </w:rPr>
      </w:pPr>
      <w:r>
        <w:rPr>
          <w:b/>
          <w:bCs/>
        </w:rPr>
        <w:t xml:space="preserve">Publisko iepirkumu pasūtītājs kā iespējama trešā persona lietā par konkurences pārkāpumu </w:t>
      </w:r>
    </w:p>
    <w:p w14:paraId="287431F1" w14:textId="20D04AD7" w:rsidR="007772DE" w:rsidRPr="00865639" w:rsidRDefault="00865639" w:rsidP="00865639">
      <w:pPr>
        <w:spacing w:after="0"/>
        <w:jc w:val="center"/>
        <w:rPr>
          <w:b/>
          <w:szCs w:val="24"/>
        </w:rPr>
      </w:pPr>
      <w:r w:rsidRPr="00865639">
        <w:rPr>
          <w:b/>
          <w:szCs w:val="24"/>
        </w:rPr>
        <w:t>Latvijas Republikas Senāta</w:t>
      </w:r>
    </w:p>
    <w:p w14:paraId="6959459B" w14:textId="4017B746" w:rsidR="00865639" w:rsidRPr="00865639" w:rsidRDefault="00865639" w:rsidP="00865639">
      <w:pPr>
        <w:spacing w:after="0"/>
        <w:jc w:val="center"/>
        <w:rPr>
          <w:b/>
          <w:szCs w:val="24"/>
        </w:rPr>
      </w:pPr>
      <w:r w:rsidRPr="00865639">
        <w:rPr>
          <w:b/>
          <w:szCs w:val="24"/>
        </w:rPr>
        <w:t xml:space="preserve">Administratīvo lietu departamenta </w:t>
      </w:r>
    </w:p>
    <w:p w14:paraId="68DED676" w14:textId="47D66B7F" w:rsidR="00865639" w:rsidRPr="00865639" w:rsidRDefault="00865639" w:rsidP="00865639">
      <w:pPr>
        <w:spacing w:after="0"/>
        <w:jc w:val="center"/>
        <w:rPr>
          <w:b/>
          <w:szCs w:val="24"/>
        </w:rPr>
      </w:pPr>
      <w:r w:rsidRPr="00865639">
        <w:rPr>
          <w:b/>
          <w:szCs w:val="24"/>
        </w:rPr>
        <w:t>2022.gada 12.decembra</w:t>
      </w:r>
    </w:p>
    <w:p w14:paraId="0CACA0CD" w14:textId="0602EA6B" w:rsidR="007772DE" w:rsidRPr="00865639" w:rsidRDefault="00090135" w:rsidP="00865639">
      <w:pPr>
        <w:spacing w:after="0"/>
        <w:jc w:val="center"/>
        <w:rPr>
          <w:b/>
          <w:szCs w:val="24"/>
        </w:rPr>
      </w:pPr>
      <w:r w:rsidRPr="00865639">
        <w:rPr>
          <w:b/>
          <w:szCs w:val="24"/>
        </w:rPr>
        <w:t xml:space="preserve">RĪCĪBAS SĒDES </w:t>
      </w:r>
      <w:r w:rsidR="007772DE" w:rsidRPr="00865639">
        <w:rPr>
          <w:b/>
          <w:szCs w:val="24"/>
        </w:rPr>
        <w:t>LĒMUMS</w:t>
      </w:r>
    </w:p>
    <w:p w14:paraId="1AD0A9A3" w14:textId="77777777" w:rsidR="00865639" w:rsidRPr="00865639" w:rsidRDefault="00865639" w:rsidP="00865639">
      <w:pPr>
        <w:spacing w:after="0"/>
        <w:jc w:val="center"/>
        <w:rPr>
          <w:b/>
          <w:szCs w:val="24"/>
        </w:rPr>
      </w:pPr>
      <w:r w:rsidRPr="00865639">
        <w:rPr>
          <w:b/>
          <w:szCs w:val="24"/>
        </w:rPr>
        <w:t>Lieta Nr. A43004021, SKA-1149/2022</w:t>
      </w:r>
    </w:p>
    <w:p w14:paraId="4D891A21" w14:textId="7442400A" w:rsidR="00090135" w:rsidRPr="00865639" w:rsidRDefault="00865639" w:rsidP="00865639">
      <w:pPr>
        <w:spacing w:after="0"/>
        <w:jc w:val="center"/>
        <w:rPr>
          <w:rFonts w:cs="Times New Roman"/>
          <w:u w:val="single"/>
        </w:rPr>
      </w:pPr>
      <w:hyperlink r:id="rId8" w:history="1">
        <w:r w:rsidRPr="00865639">
          <w:rPr>
            <w:rStyle w:val="Hyperlink"/>
            <w:rFonts w:cs="Times New Roman"/>
            <w:sz w:val="22"/>
            <w:lang w:val="en-US"/>
          </w:rPr>
          <w:t>ECLI:LV:AT:2022:1212.A43004021.8.L</w:t>
        </w:r>
      </w:hyperlink>
    </w:p>
    <w:p w14:paraId="5C53EDA5" w14:textId="77777777" w:rsidR="00865639" w:rsidRPr="002A18AC" w:rsidRDefault="00865639" w:rsidP="00865639">
      <w:pPr>
        <w:spacing w:after="0"/>
        <w:jc w:val="center"/>
      </w:pPr>
    </w:p>
    <w:p w14:paraId="32364FDD" w14:textId="348769E0" w:rsidR="00884874" w:rsidRDefault="00090135" w:rsidP="00865639">
      <w:pPr>
        <w:tabs>
          <w:tab w:val="left" w:pos="1276"/>
        </w:tabs>
        <w:spacing w:after="0"/>
        <w:ind w:firstLine="567"/>
        <w:rPr>
          <w:rFonts w:cs="Times New Roman"/>
        </w:rPr>
      </w:pPr>
      <w:r>
        <w:t>[1] Senātā saņemta</w:t>
      </w:r>
      <w:r w:rsidR="00B673DE">
        <w:t>s</w:t>
      </w:r>
      <w:r>
        <w:t xml:space="preserve"> pieteicēj</w:t>
      </w:r>
      <w:r w:rsidR="00B673DE">
        <w:t>u –</w:t>
      </w:r>
      <w:r w:rsidR="00884874">
        <w:t xml:space="preserve"> </w:t>
      </w:r>
      <w:bookmarkStart w:id="0" w:name="_Hlk121488794"/>
      <w:r w:rsidR="00B673DE">
        <w:t>AS „LNK Industries” un SIA „Skonto būve” –</w:t>
      </w:r>
      <w:r w:rsidR="00D14B96">
        <w:t xml:space="preserve"> </w:t>
      </w:r>
      <w:r>
        <w:t>blakus sūdzība</w:t>
      </w:r>
      <w:r w:rsidR="00B673DE">
        <w:t>s</w:t>
      </w:r>
      <w:r>
        <w:t xml:space="preserve"> par </w:t>
      </w:r>
      <w:r w:rsidRPr="002A18AC">
        <w:rPr>
          <w:rFonts w:cs="Times New Roman"/>
        </w:rPr>
        <w:t xml:space="preserve">Administratīvās </w:t>
      </w:r>
      <w:r w:rsidR="00B673DE">
        <w:rPr>
          <w:rFonts w:cs="Times New Roman"/>
        </w:rPr>
        <w:t xml:space="preserve">apgabaltiesas </w:t>
      </w:r>
      <w:r w:rsidRPr="002A18AC">
        <w:rPr>
          <w:rFonts w:cs="Times New Roman"/>
        </w:rPr>
        <w:t xml:space="preserve">2022.gada </w:t>
      </w:r>
      <w:r w:rsidR="00B673DE">
        <w:rPr>
          <w:rFonts w:cs="Times New Roman"/>
        </w:rPr>
        <w:t>12</w:t>
      </w:r>
      <w:r w:rsidRPr="002A18AC">
        <w:rPr>
          <w:rFonts w:cs="Times New Roman"/>
        </w:rPr>
        <w:t>.</w:t>
      </w:r>
      <w:r w:rsidR="00884874">
        <w:rPr>
          <w:rFonts w:cs="Times New Roman"/>
        </w:rPr>
        <w:t>oktobra</w:t>
      </w:r>
      <w:r w:rsidRPr="002A18AC">
        <w:rPr>
          <w:rFonts w:cs="Times New Roman"/>
        </w:rPr>
        <w:t xml:space="preserve"> lēmumu</w:t>
      </w:r>
      <w:bookmarkEnd w:id="0"/>
      <w:r>
        <w:rPr>
          <w:rFonts w:cs="Times New Roman"/>
        </w:rPr>
        <w:t xml:space="preserve">, ar kuru atteikts </w:t>
      </w:r>
      <w:r w:rsidR="00B673DE">
        <w:rPr>
          <w:rFonts w:cs="Times New Roman"/>
        </w:rPr>
        <w:t>lietā pieaicināt trešās personas</w:t>
      </w:r>
      <w:r w:rsidR="00884874">
        <w:rPr>
          <w:rFonts w:cs="Times New Roman"/>
        </w:rPr>
        <w:t>.</w:t>
      </w:r>
    </w:p>
    <w:p w14:paraId="461951D7" w14:textId="38AB143C" w:rsidR="00FB1BC2" w:rsidRDefault="00B673DE" w:rsidP="00865639">
      <w:pPr>
        <w:tabs>
          <w:tab w:val="left" w:pos="1276"/>
        </w:tabs>
        <w:spacing w:after="0"/>
        <w:ind w:firstLine="567"/>
        <w:rPr>
          <w:rFonts w:cs="Times New Roman"/>
        </w:rPr>
      </w:pPr>
      <w:r>
        <w:rPr>
          <w:rFonts w:cs="Times New Roman"/>
        </w:rPr>
        <w:t xml:space="preserve">Administratīvā lieta tikusi ierosināta, pamatojoties uz </w:t>
      </w:r>
      <w:r w:rsidRPr="00B673DE">
        <w:rPr>
          <w:rFonts w:cs="Times New Roman"/>
        </w:rPr>
        <w:t>SIA</w:t>
      </w:r>
      <w:r w:rsidR="00096426">
        <w:rPr>
          <w:rFonts w:cs="Times New Roman"/>
        </w:rPr>
        <w:t> </w:t>
      </w:r>
      <w:r w:rsidRPr="00B673DE">
        <w:rPr>
          <w:rFonts w:cs="Times New Roman"/>
        </w:rPr>
        <w:t>„Skonto Būve”, SIA</w:t>
      </w:r>
      <w:r w:rsidR="00096426">
        <w:rPr>
          <w:rFonts w:cs="Times New Roman"/>
        </w:rPr>
        <w:t> </w:t>
      </w:r>
      <w:r w:rsidRPr="00B673DE">
        <w:rPr>
          <w:rFonts w:cs="Times New Roman"/>
        </w:rPr>
        <w:t xml:space="preserve">„Latvijas Energoceltnieks”, </w:t>
      </w:r>
      <w:r w:rsidRPr="00B673DE">
        <w:rPr>
          <w:rFonts w:cs="Times New Roman"/>
        </w:rPr>
        <w:lastRenderedPageBreak/>
        <w:t>SIA</w:t>
      </w:r>
      <w:r w:rsidR="00096426">
        <w:rPr>
          <w:rFonts w:cs="Times New Roman"/>
        </w:rPr>
        <w:t> </w:t>
      </w:r>
      <w:r w:rsidRPr="00B673DE">
        <w:rPr>
          <w:rFonts w:cs="Times New Roman"/>
        </w:rPr>
        <w:t>„Arčers”, AS</w:t>
      </w:r>
      <w:r w:rsidR="00096426">
        <w:rPr>
          <w:rFonts w:cs="Times New Roman"/>
        </w:rPr>
        <w:t> </w:t>
      </w:r>
      <w:r w:rsidRPr="00B673DE">
        <w:rPr>
          <w:rFonts w:cs="Times New Roman"/>
        </w:rPr>
        <w:t>„UGN”, SIA</w:t>
      </w:r>
      <w:r w:rsidR="00096426">
        <w:rPr>
          <w:rFonts w:cs="Times New Roman"/>
        </w:rPr>
        <w:t> </w:t>
      </w:r>
      <w:r w:rsidRPr="00B673DE">
        <w:rPr>
          <w:rFonts w:cs="Times New Roman"/>
        </w:rPr>
        <w:t>„RERE Būve”, AS</w:t>
      </w:r>
      <w:r w:rsidR="00096426">
        <w:rPr>
          <w:rFonts w:cs="Times New Roman"/>
        </w:rPr>
        <w:t> </w:t>
      </w:r>
      <w:r w:rsidRPr="00B673DE">
        <w:rPr>
          <w:rFonts w:cs="Times New Roman"/>
        </w:rPr>
        <w:t>„RERE Grupa”, SIA</w:t>
      </w:r>
      <w:r w:rsidR="00096426">
        <w:rPr>
          <w:rFonts w:cs="Times New Roman"/>
        </w:rPr>
        <w:t> </w:t>
      </w:r>
      <w:r w:rsidRPr="00B673DE">
        <w:rPr>
          <w:rFonts w:cs="Times New Roman"/>
        </w:rPr>
        <w:t>„RE&amp;RE”, SIA</w:t>
      </w:r>
      <w:r w:rsidR="00096426">
        <w:rPr>
          <w:rFonts w:cs="Times New Roman"/>
        </w:rPr>
        <w:t> </w:t>
      </w:r>
      <w:r w:rsidRPr="00B673DE">
        <w:rPr>
          <w:rFonts w:cs="Times New Roman"/>
        </w:rPr>
        <w:t>„Abora”, SIA</w:t>
      </w:r>
      <w:r w:rsidR="00096426">
        <w:rPr>
          <w:rFonts w:cs="Times New Roman"/>
        </w:rPr>
        <w:t> </w:t>
      </w:r>
      <w:r w:rsidRPr="00B673DE">
        <w:rPr>
          <w:rFonts w:cs="Times New Roman"/>
        </w:rPr>
        <w:t>„Tehnocentrs”, AS</w:t>
      </w:r>
      <w:r w:rsidR="00096426">
        <w:rPr>
          <w:rFonts w:cs="Times New Roman"/>
        </w:rPr>
        <w:t> </w:t>
      </w:r>
      <w:r w:rsidRPr="00B673DE">
        <w:rPr>
          <w:rFonts w:cs="Times New Roman"/>
        </w:rPr>
        <w:t>„LNK Industries”, SIA</w:t>
      </w:r>
      <w:r w:rsidR="00096426">
        <w:rPr>
          <w:rFonts w:cs="Times New Roman"/>
        </w:rPr>
        <w:t> </w:t>
      </w:r>
      <w:r w:rsidRPr="00B673DE">
        <w:rPr>
          <w:rFonts w:cs="Times New Roman"/>
        </w:rPr>
        <w:t>„LNK (Latvijas Novitātes Komplekss)”,</w:t>
      </w:r>
      <w:r>
        <w:rPr>
          <w:rFonts w:cs="Times New Roman"/>
        </w:rPr>
        <w:t xml:space="preserve"> </w:t>
      </w:r>
      <w:r w:rsidRPr="00B673DE">
        <w:rPr>
          <w:rFonts w:cs="Times New Roman"/>
        </w:rPr>
        <w:t>SIA</w:t>
      </w:r>
      <w:r w:rsidR="00096426">
        <w:rPr>
          <w:rFonts w:cs="Times New Roman"/>
        </w:rPr>
        <w:t> </w:t>
      </w:r>
      <w:r w:rsidRPr="00B673DE">
        <w:rPr>
          <w:rFonts w:cs="Times New Roman"/>
        </w:rPr>
        <w:t>„Merks” un AS</w:t>
      </w:r>
      <w:r w:rsidR="00096426">
        <w:rPr>
          <w:rFonts w:cs="Times New Roman"/>
        </w:rPr>
        <w:t> </w:t>
      </w:r>
      <w:r w:rsidRPr="00B673DE">
        <w:rPr>
          <w:rFonts w:cs="Times New Roman"/>
        </w:rPr>
        <w:t>„Merko Ehitus”</w:t>
      </w:r>
      <w:r>
        <w:rPr>
          <w:rFonts w:cs="Times New Roman"/>
        </w:rPr>
        <w:t xml:space="preserve"> pieteikumu par Konkurences padomes </w:t>
      </w:r>
      <w:r w:rsidR="002E5217" w:rsidRPr="002E5217">
        <w:rPr>
          <w:rFonts w:cs="Times New Roman"/>
        </w:rPr>
        <w:t>2021.gada 30.jūlija lēmum</w:t>
      </w:r>
      <w:r w:rsidR="002E5217">
        <w:rPr>
          <w:rFonts w:cs="Times New Roman"/>
        </w:rPr>
        <w:t>a Nr. 22 atcelšanu.</w:t>
      </w:r>
      <w:r w:rsidR="00FB1BC2">
        <w:rPr>
          <w:rFonts w:cs="Times New Roman"/>
        </w:rPr>
        <w:t xml:space="preserve"> Konkurences padome ar minēto lēmumu ir konstatējusi </w:t>
      </w:r>
      <w:r w:rsidR="00FB1BC2" w:rsidRPr="00FB1BC2">
        <w:rPr>
          <w:rFonts w:cs="Times New Roman"/>
        </w:rPr>
        <w:t>Konkurences likuma 11.p</w:t>
      </w:r>
      <w:bookmarkStart w:id="1" w:name="_GoBack"/>
      <w:bookmarkEnd w:id="1"/>
      <w:r w:rsidR="00FB1BC2" w:rsidRPr="00FB1BC2">
        <w:rPr>
          <w:rFonts w:cs="Times New Roman"/>
        </w:rPr>
        <w:t>anta pirmajā daļā un Līguma par Eiropas Savienības</w:t>
      </w:r>
      <w:r w:rsidR="00FB1BC2">
        <w:rPr>
          <w:rFonts w:cs="Times New Roman"/>
        </w:rPr>
        <w:t xml:space="preserve"> </w:t>
      </w:r>
      <w:r w:rsidR="00FB1BC2" w:rsidRPr="00FB1BC2">
        <w:rPr>
          <w:rFonts w:cs="Times New Roman"/>
        </w:rPr>
        <w:t xml:space="preserve">darbību 101.panta 1.punktā noteiktā aizlieguma pārkāpumu </w:t>
      </w:r>
      <w:r w:rsidR="00FB1BC2">
        <w:rPr>
          <w:rFonts w:cs="Times New Roman"/>
        </w:rPr>
        <w:t>(</w:t>
      </w:r>
      <w:r w:rsidR="00FB1BC2" w:rsidRPr="00FB1BC2">
        <w:rPr>
          <w:rFonts w:cs="Times New Roman"/>
        </w:rPr>
        <w:t>karteļa vienošan</w:t>
      </w:r>
      <w:r w:rsidR="00FB1BC2">
        <w:rPr>
          <w:rFonts w:cs="Times New Roman"/>
        </w:rPr>
        <w:t>o</w:t>
      </w:r>
      <w:r w:rsidR="00FB1BC2" w:rsidRPr="00FB1BC2">
        <w:rPr>
          <w:rFonts w:cs="Times New Roman"/>
        </w:rPr>
        <w:t>s par dalību iepirkumu procedūrās</w:t>
      </w:r>
      <w:r w:rsidR="00FB1BC2">
        <w:rPr>
          <w:rFonts w:cs="Times New Roman"/>
        </w:rPr>
        <w:t>)</w:t>
      </w:r>
      <w:r w:rsidR="00FB1BC2" w:rsidRPr="00FB1BC2">
        <w:rPr>
          <w:rFonts w:cs="Times New Roman"/>
        </w:rPr>
        <w:t xml:space="preserve"> SIA</w:t>
      </w:r>
      <w:r w:rsidR="00096426">
        <w:rPr>
          <w:rFonts w:cs="Times New Roman"/>
        </w:rPr>
        <w:t> </w:t>
      </w:r>
      <w:r w:rsidR="00FB1BC2" w:rsidRPr="00FB1BC2">
        <w:rPr>
          <w:rFonts w:cs="Times New Roman"/>
        </w:rPr>
        <w:t>„Skonto Būve”, SIA</w:t>
      </w:r>
      <w:r w:rsidR="00096426">
        <w:rPr>
          <w:rFonts w:cs="Times New Roman"/>
        </w:rPr>
        <w:t> </w:t>
      </w:r>
      <w:r w:rsidR="00FB1BC2" w:rsidRPr="00FB1BC2">
        <w:rPr>
          <w:rFonts w:cs="Times New Roman"/>
        </w:rPr>
        <w:t>„Latvijas Energoceltnieks”, SIA</w:t>
      </w:r>
      <w:r w:rsidR="00096426">
        <w:rPr>
          <w:rFonts w:cs="Times New Roman"/>
        </w:rPr>
        <w:t> </w:t>
      </w:r>
      <w:r w:rsidR="00FB1BC2" w:rsidRPr="00FB1BC2">
        <w:rPr>
          <w:rFonts w:cs="Times New Roman"/>
        </w:rPr>
        <w:t>„Velve”, SIA</w:t>
      </w:r>
      <w:r w:rsidR="00096426">
        <w:rPr>
          <w:rFonts w:cs="Times New Roman"/>
        </w:rPr>
        <w:t> </w:t>
      </w:r>
      <w:r w:rsidR="00FB1BC2" w:rsidRPr="00FB1BC2">
        <w:rPr>
          <w:rFonts w:cs="Times New Roman"/>
        </w:rPr>
        <w:t>„Arčers”, SIA</w:t>
      </w:r>
      <w:r w:rsidR="00096426">
        <w:rPr>
          <w:rFonts w:cs="Times New Roman"/>
        </w:rPr>
        <w:t> </w:t>
      </w:r>
      <w:r w:rsidR="00FB1BC2" w:rsidRPr="00FB1BC2">
        <w:rPr>
          <w:rFonts w:cs="Times New Roman"/>
        </w:rPr>
        <w:t>„RERE Būve”, SIA</w:t>
      </w:r>
      <w:r w:rsidR="00096426">
        <w:rPr>
          <w:rFonts w:cs="Times New Roman"/>
        </w:rPr>
        <w:t> </w:t>
      </w:r>
      <w:r w:rsidR="00FB1BC2" w:rsidRPr="00FB1BC2">
        <w:rPr>
          <w:rFonts w:cs="Times New Roman"/>
        </w:rPr>
        <w:t>„RE&amp;RE”, SIA</w:t>
      </w:r>
      <w:r w:rsidR="00096426">
        <w:rPr>
          <w:rFonts w:cs="Times New Roman"/>
        </w:rPr>
        <w:t> </w:t>
      </w:r>
      <w:r w:rsidR="00FB1BC2" w:rsidRPr="00FB1BC2">
        <w:rPr>
          <w:rFonts w:cs="Times New Roman"/>
        </w:rPr>
        <w:t>„RBSSKALS Būvvadība”, SIA</w:t>
      </w:r>
      <w:r w:rsidR="00096426">
        <w:rPr>
          <w:rFonts w:cs="Times New Roman"/>
        </w:rPr>
        <w:t> </w:t>
      </w:r>
      <w:r w:rsidR="00FB1BC2" w:rsidRPr="00FB1BC2">
        <w:rPr>
          <w:rFonts w:cs="Times New Roman"/>
        </w:rPr>
        <w:t>„Abora”, AS</w:t>
      </w:r>
      <w:r w:rsidR="00096426">
        <w:rPr>
          <w:rFonts w:cs="Times New Roman"/>
        </w:rPr>
        <w:t> </w:t>
      </w:r>
      <w:r w:rsidR="00FB1BC2" w:rsidRPr="00FB1BC2">
        <w:rPr>
          <w:rFonts w:cs="Times New Roman"/>
        </w:rPr>
        <w:t>„LNK Industries” un</w:t>
      </w:r>
      <w:r w:rsidR="00FB1BC2">
        <w:rPr>
          <w:rFonts w:cs="Times New Roman"/>
        </w:rPr>
        <w:t xml:space="preserve"> </w:t>
      </w:r>
      <w:r w:rsidR="00FB1BC2" w:rsidRPr="00FB1BC2">
        <w:rPr>
          <w:rFonts w:cs="Times New Roman"/>
        </w:rPr>
        <w:lastRenderedPageBreak/>
        <w:t>SIA</w:t>
      </w:r>
      <w:r w:rsidR="00096426">
        <w:rPr>
          <w:rFonts w:cs="Times New Roman"/>
        </w:rPr>
        <w:t> </w:t>
      </w:r>
      <w:r w:rsidR="00FB1BC2" w:rsidRPr="00FB1BC2">
        <w:rPr>
          <w:rFonts w:cs="Times New Roman"/>
        </w:rPr>
        <w:t>„Merks” darbībās un uzlik</w:t>
      </w:r>
      <w:r w:rsidR="00FB1BC2">
        <w:rPr>
          <w:rFonts w:cs="Times New Roman"/>
        </w:rPr>
        <w:t>usi</w:t>
      </w:r>
      <w:r w:rsidR="00FB1BC2" w:rsidRPr="00FB1BC2">
        <w:rPr>
          <w:rFonts w:cs="Times New Roman"/>
        </w:rPr>
        <w:t xml:space="preserve"> minētajām sabiedrībām (izņemot SIA</w:t>
      </w:r>
      <w:r w:rsidR="00096426">
        <w:rPr>
          <w:rFonts w:cs="Times New Roman"/>
        </w:rPr>
        <w:t> </w:t>
      </w:r>
      <w:r w:rsidR="00FB1BC2" w:rsidRPr="00FB1BC2">
        <w:rPr>
          <w:rFonts w:cs="Times New Roman"/>
        </w:rPr>
        <w:t>„RBSSKALS</w:t>
      </w:r>
      <w:r w:rsidR="00FB1BC2">
        <w:rPr>
          <w:rFonts w:cs="Times New Roman"/>
        </w:rPr>
        <w:t xml:space="preserve"> </w:t>
      </w:r>
      <w:r w:rsidR="00FB1BC2" w:rsidRPr="00FB1BC2">
        <w:rPr>
          <w:rFonts w:cs="Times New Roman"/>
        </w:rPr>
        <w:t xml:space="preserve">Būvvadība”) naudas sodu. </w:t>
      </w:r>
    </w:p>
    <w:p w14:paraId="1E499D45" w14:textId="6494363C" w:rsidR="002E5217" w:rsidRDefault="00FB1BC2" w:rsidP="00865639">
      <w:pPr>
        <w:tabs>
          <w:tab w:val="left" w:pos="1276"/>
        </w:tabs>
        <w:spacing w:after="0"/>
        <w:ind w:firstLine="567"/>
        <w:rPr>
          <w:rFonts w:cs="Times New Roman"/>
        </w:rPr>
      </w:pPr>
      <w:r>
        <w:rPr>
          <w:rFonts w:cs="Times New Roman"/>
        </w:rPr>
        <w:t>AS</w:t>
      </w:r>
      <w:r w:rsidR="00096426">
        <w:rPr>
          <w:rFonts w:cs="Times New Roman"/>
        </w:rPr>
        <w:t> </w:t>
      </w:r>
      <w:r>
        <w:rPr>
          <w:rFonts w:cs="Times New Roman"/>
        </w:rPr>
        <w:t>„LNK Industries” apgabaltiesai iesniedza lūgumu pieaicināt lietā trešās personas – publisko iepirkumu pasūtītājus –, ņemot vērā, ka Centrālā finanšu un līgumu aģentūra pie noteikta lietas iznākuma var piemērot pasūtītājiem finanšu korekciju.</w:t>
      </w:r>
    </w:p>
    <w:p w14:paraId="4795CCC8" w14:textId="77777777" w:rsidR="00884874" w:rsidRDefault="00884874" w:rsidP="00865639">
      <w:pPr>
        <w:tabs>
          <w:tab w:val="left" w:pos="1276"/>
        </w:tabs>
        <w:spacing w:after="0"/>
        <w:ind w:firstLine="567"/>
        <w:rPr>
          <w:rFonts w:cs="Times New Roman"/>
        </w:rPr>
      </w:pPr>
    </w:p>
    <w:p w14:paraId="6A2D7B10" w14:textId="04DFFA81" w:rsidR="00101E6D" w:rsidRDefault="004B64B6" w:rsidP="00865639">
      <w:pPr>
        <w:tabs>
          <w:tab w:val="left" w:pos="1276"/>
        </w:tabs>
        <w:spacing w:after="0"/>
        <w:ind w:firstLine="567"/>
      </w:pPr>
      <w:r>
        <w:t>[2] </w:t>
      </w:r>
      <w:r w:rsidR="00F20ED9">
        <w:t>Blakus sūdzībās norādīti apsvērumi, kādēļ ir saskatāms tāds publisko iepirkumu pasūtītāju tiesību vai tiesisko interešu iespējamais aizskārums, kura dēļ pasūtītāji būtu pieaicināmi lietā trešās personas statusā.</w:t>
      </w:r>
    </w:p>
    <w:p w14:paraId="7D16EAD4" w14:textId="4417734C" w:rsidR="00D14B96" w:rsidRDefault="00D14B96" w:rsidP="00865639">
      <w:pPr>
        <w:tabs>
          <w:tab w:val="left" w:pos="1276"/>
        </w:tabs>
        <w:spacing w:after="0"/>
        <w:ind w:firstLine="567"/>
      </w:pPr>
      <w:r>
        <w:lastRenderedPageBreak/>
        <w:t>Senatoru kolēģija konstatē, ka Administratīvās apgabaltiesas lēmumā būtībā jau ir argumentēts, kādēļ nav saskatāma pasūtītāju aizsargājama tiesība vai tiesiskā interese. Senatoru kolēģijai nav šaubu par šā pamatojuma pareizību. Blakus sūdzībās ir izvērsta argumentācija par to, ka šie tiesas apsvērumi nav pareizi, tomēr tai nav pamata piekrist.</w:t>
      </w:r>
    </w:p>
    <w:p w14:paraId="7F4834D2" w14:textId="101F55D3" w:rsidR="00F20ED9" w:rsidRDefault="00F20ED9" w:rsidP="00865639">
      <w:pPr>
        <w:tabs>
          <w:tab w:val="left" w:pos="1276"/>
        </w:tabs>
        <w:spacing w:after="0"/>
        <w:ind w:firstLine="567"/>
      </w:pPr>
    </w:p>
    <w:p w14:paraId="1D2C4B1C" w14:textId="4E941913" w:rsidR="00F20ED9" w:rsidRDefault="00F20ED9" w:rsidP="00865639">
      <w:pPr>
        <w:tabs>
          <w:tab w:val="left" w:pos="1276"/>
        </w:tabs>
        <w:spacing w:after="0"/>
        <w:ind w:firstLine="567"/>
      </w:pPr>
      <w:r>
        <w:t>[3]</w:t>
      </w:r>
      <w:r w:rsidR="00096426">
        <w:t> </w:t>
      </w:r>
      <w:r w:rsidR="00D14B96">
        <w:t>Blakus sūdzībās</w:t>
      </w:r>
      <w:r>
        <w:t xml:space="preserve"> </w:t>
      </w:r>
      <w:r w:rsidR="003338EF">
        <w:t>skaidrots</w:t>
      </w:r>
      <w:r>
        <w:t>, ka no šajā</w:t>
      </w:r>
      <w:r w:rsidR="00D14B96">
        <w:t xml:space="preserve"> administratīvajā</w:t>
      </w:r>
      <w:r>
        <w:t xml:space="preserve"> lietā izdarītajiem secinājumiem</w:t>
      </w:r>
      <w:r w:rsidR="00101E6D">
        <w:t xml:space="preserve"> un vērtējuma (pieņēmuma par iespējamiem Konkurences likuma pārkāpumiem) ir tieši atkarīga</w:t>
      </w:r>
      <w:r w:rsidR="00D14B96">
        <w:t xml:space="preserve"> pasūtītājiem</w:t>
      </w:r>
      <w:r w:rsidR="00101E6D">
        <w:t xml:space="preserve"> piemērojamā finanšu korekcija.</w:t>
      </w:r>
    </w:p>
    <w:p w14:paraId="5C0E5876" w14:textId="51760359" w:rsidR="00101E6D" w:rsidRDefault="00101E6D" w:rsidP="00865639">
      <w:pPr>
        <w:tabs>
          <w:tab w:val="left" w:pos="1276"/>
        </w:tabs>
        <w:spacing w:after="0"/>
        <w:ind w:firstLine="567"/>
      </w:pPr>
      <w:r>
        <w:lastRenderedPageBreak/>
        <w:t>Jāpiekrīt, ka atbilstoši</w:t>
      </w:r>
      <w:r w:rsidR="002F0F81" w:rsidRPr="002F0F81">
        <w:t xml:space="preserve"> </w:t>
      </w:r>
      <w:r w:rsidR="00EE3427" w:rsidRPr="00EE3427">
        <w:t>Eiropas Parlamenta un Padomes 2013.gada 17.decembra Regulas (ES) Nr.</w:t>
      </w:r>
      <w:r w:rsidR="002F1360">
        <w:t> </w:t>
      </w:r>
      <w:r w:rsidR="00EE3427" w:rsidRPr="00EE3427">
        <w:t>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w:t>
      </w:r>
      <w:r w:rsidR="002F1360">
        <w:t> </w:t>
      </w:r>
      <w:r w:rsidR="00EE3427" w:rsidRPr="00EE3427">
        <w:t>1083/2006 (turpmāk – regula Nr.</w:t>
      </w:r>
      <w:r w:rsidR="002F1360">
        <w:t> 1</w:t>
      </w:r>
      <w:r w:rsidR="00EE3427" w:rsidRPr="00EE3427">
        <w:t>303/2013)</w:t>
      </w:r>
      <w:r w:rsidR="00EE3427">
        <w:t xml:space="preserve"> 122.panta 2.punktam, </w:t>
      </w:r>
      <w:r w:rsidR="002F0F81" w:rsidRPr="002F0F81">
        <w:t>Eiropas Savienības struktūrfondu un Kohēzijas fonda 2014.</w:t>
      </w:r>
      <w:r w:rsidR="002F0F81">
        <w:t>–</w:t>
      </w:r>
      <w:r w:rsidR="002F0F81" w:rsidRPr="002F0F81">
        <w:t>2020.gada plānošanas perioda vadības likum</w:t>
      </w:r>
      <w:r w:rsidR="002F0F81">
        <w:t>a</w:t>
      </w:r>
      <w:r>
        <w:t xml:space="preserve"> </w:t>
      </w:r>
      <w:r w:rsidR="00D14B96">
        <w:t xml:space="preserve">20.panta 9.punktam un uz tā  pamata izdotajiem Ministru kabineta </w:t>
      </w:r>
      <w:r w:rsidR="00D14B96">
        <w:lastRenderedPageBreak/>
        <w:t>2015.gada 8.septembra noteikumiem Nr. 517 „</w:t>
      </w:r>
      <w:r w:rsidR="00D14B96" w:rsidRPr="00D14B96">
        <w:t>Kārtība, kādā ziņo par konstatētajām neatbilstībām un atgūst neatbilstoši veiktos izdevumus Eiropas Savienības struktūrfondu un Kohēzijas fonda ieviešanā 2014.–2020.gada plānošanas period</w:t>
      </w:r>
      <w:r w:rsidR="00D14B96">
        <w:t>ā”</w:t>
      </w:r>
      <w:r w:rsidR="004409DC">
        <w:t xml:space="preserve"> (turpmāk – noteikumi Nr. 517)</w:t>
      </w:r>
      <w:r w:rsidR="00D14B96">
        <w:t xml:space="preserve">, ievērojot arī </w:t>
      </w:r>
      <w:r w:rsidR="00EE3427">
        <w:t>r</w:t>
      </w:r>
      <w:r w:rsidR="00D14B96" w:rsidRPr="00D14B96">
        <w:t>egulas Nr.</w:t>
      </w:r>
      <w:r w:rsidR="00D14B96">
        <w:t> </w:t>
      </w:r>
      <w:r w:rsidR="00D14B96" w:rsidRPr="00D14B96">
        <w:t>1303/2013</w:t>
      </w:r>
      <w:r w:rsidR="001D2AA8">
        <w:t xml:space="preserve"> </w:t>
      </w:r>
      <w:r w:rsidR="00D14B96" w:rsidRPr="00D14B96">
        <w:t>2.panta 36.punkt</w:t>
      </w:r>
      <w:r w:rsidR="00D14B96">
        <w:t xml:space="preserve">u, </w:t>
      </w:r>
      <w:r>
        <w:t xml:space="preserve">Centrālajai finanšu un līgumu aģentūrai rodas pamats </w:t>
      </w:r>
      <w:r w:rsidR="00F3632F">
        <w:t xml:space="preserve">konstatēt neatbilstību un </w:t>
      </w:r>
      <w:r>
        <w:t>piemērot finanšu korekciju</w:t>
      </w:r>
      <w:r w:rsidR="001E75EB">
        <w:t xml:space="preserve">, ja tiek konstatēts tāds pārkāpums Eiropas Savienības fondu īstenošanā, kas </w:t>
      </w:r>
      <w:r w:rsidR="001E75EB" w:rsidRPr="001E75EB">
        <w:t>rada vai varētu radīt kaitējumu Savienības budžetam</w:t>
      </w:r>
      <w:r>
        <w:t>.</w:t>
      </w:r>
      <w:r w:rsidR="001E75EB">
        <w:t xml:space="preserve"> Kā noteikts noteikumu </w:t>
      </w:r>
      <w:r w:rsidR="004409DC">
        <w:t xml:space="preserve">Nr. 517 </w:t>
      </w:r>
      <w:r w:rsidR="001E75EB">
        <w:t>8.punktā, s</w:t>
      </w:r>
      <w:r w:rsidR="001E75EB" w:rsidRPr="001E75EB">
        <w:t xml:space="preserve">adarbības iestāde, ņemot vērā tās rīcībā esošo informāciju, kā arī vadošās iestādes, revīzijas iestādes, </w:t>
      </w:r>
      <w:r w:rsidR="001E75EB" w:rsidRPr="001E75EB">
        <w:lastRenderedPageBreak/>
        <w:t>sertifikācijas iestādes vai atbildīgās iestādes sniegto informāciju par projektā konstatēto iespējamo neatbilstību, izvērtē iespējamo neatbilstību, tās smagumu, veidu un radīto zaudējumu apmēru un pieņem lēmumu par neatbilstības konstatēšanu. Ja sadarbības iestāde konstatē, ka neatbilstoši veikto izdevumu summu nav iespējams konkrēti noteikt vai būtu nesamērīgi samazināt projekta attiecināmās izmaksas par visu izdevumu summu, kas neatbilst normatīvo aktu un civiltiesiskā līguma vai vienošanās nosacījumiem par projekta īstenošanu, sadarbības iestāde saskaņā ar vadošās iestādes izstrādātajām vadlīnijām par finanšu korekciju piemērošanu piemēro proporcionālo finanšu korekciju</w:t>
      </w:r>
      <w:r w:rsidR="00F3632F">
        <w:t xml:space="preserve">. Savukārt </w:t>
      </w:r>
      <w:r w:rsidR="00F3632F">
        <w:lastRenderedPageBreak/>
        <w:t>noteikumu 20.punkts regulē neatbilstoši veikto izdevumu ieturēšanu un atgūšanu.</w:t>
      </w:r>
    </w:p>
    <w:p w14:paraId="23A07ABC" w14:textId="44EE5356" w:rsidR="001E75EB" w:rsidRDefault="001E75EB" w:rsidP="00865639">
      <w:pPr>
        <w:tabs>
          <w:tab w:val="left" w:pos="1276"/>
        </w:tabs>
        <w:spacing w:after="0"/>
        <w:ind w:firstLine="567"/>
      </w:pPr>
      <w:r>
        <w:t xml:space="preserve">Tātad, ja tiek konstatēts, ka konkurences tiesību pārkāpums ir </w:t>
      </w:r>
      <w:r w:rsidR="003338EF">
        <w:t>tāds</w:t>
      </w:r>
      <w:r>
        <w:t>, kas rada vai varētu radīt kaitējumu Savienības budžetam, tas var novest pie tā, ka pasūtītāju projektos tiek piemērota finanšu korekcija</w:t>
      </w:r>
      <w:r w:rsidR="004409DC">
        <w:t>, un tāda</w:t>
      </w:r>
      <w:r w:rsidR="003338EF">
        <w:t>s</w:t>
      </w:r>
      <w:r w:rsidR="004409DC">
        <w:t xml:space="preserve"> sekas vismaz īstermiņā varētu būt pasūtītājiem ekonomiski neizdevīgas.</w:t>
      </w:r>
    </w:p>
    <w:p w14:paraId="1849C904" w14:textId="66F2F915" w:rsidR="00101E6D" w:rsidRDefault="00101E6D" w:rsidP="00865639">
      <w:pPr>
        <w:tabs>
          <w:tab w:val="left" w:pos="1276"/>
        </w:tabs>
        <w:spacing w:after="0"/>
        <w:ind w:firstLine="567"/>
      </w:pPr>
      <w:r>
        <w:t xml:space="preserve">Jānorāda, ka </w:t>
      </w:r>
      <w:r w:rsidR="002F1360">
        <w:t xml:space="preserve">turklāt </w:t>
      </w:r>
      <w:r>
        <w:t xml:space="preserve">tās nav vienīgās hipotētiskās sekas, kas var rasties pasūtītājiem. Tāpat kā citos gadījumos, konkurences tiesību pārkāpums var radīt pamatu personām, kuras pārkāpuma dēļ cietušas zaudējumus, piedzīt šos zaudējumus civilprocesuālā kārtībā (Konkurences likuma </w:t>
      </w:r>
      <w:r w:rsidR="001E75EB">
        <w:t>21.pants</w:t>
      </w:r>
      <w:r>
        <w:t>)</w:t>
      </w:r>
      <w:r w:rsidR="001E75EB">
        <w:t xml:space="preserve">, proti, </w:t>
      </w:r>
      <w:r w:rsidR="004409DC">
        <w:t xml:space="preserve">pārkāpuma konstatēšana </w:t>
      </w:r>
      <w:r w:rsidR="004409DC">
        <w:lastRenderedPageBreak/>
        <w:t>ar Konkurences padomes lēmumu vai civilprocesuālā kārtībā varētu būt pamats pasūtītājam prasīt zaudējumus no pārkāpuma izdarītājiem, un šādas sekas savukārt novērstu ekonomisko neizdevīgumu.</w:t>
      </w:r>
    </w:p>
    <w:p w14:paraId="748D3775" w14:textId="426C8F70" w:rsidR="00101E6D" w:rsidRDefault="00101E6D" w:rsidP="00865639">
      <w:pPr>
        <w:tabs>
          <w:tab w:val="left" w:pos="1276"/>
        </w:tabs>
        <w:spacing w:after="0"/>
        <w:ind w:firstLine="567"/>
      </w:pPr>
      <w:r>
        <w:t>Tomēr gan vienā, gan otrā gadījumā nav saskatāms, ka pastāvētu noteikta ar tiesību normām aizsargāta tiesība vai tiesiskā interese, kuras aizsardzībai būtu jānotiek lietā, kurā tiek pārbaudīt</w:t>
      </w:r>
      <w:r w:rsidR="001E75EB">
        <w:t>s</w:t>
      </w:r>
      <w:r>
        <w:t xml:space="preserve"> Konkurences padomes lēmuma </w:t>
      </w:r>
      <w:r w:rsidR="001E75EB">
        <w:t>tiesiskums</w:t>
      </w:r>
      <w:r>
        <w:t xml:space="preserve">. Senatoru kolēģija piekrīt Administratīvās apgabaltiesas lēmumā norādītajiem apsvērumiem, ka interese neciest no finanšu korekcijas konkurences tiesību pārkāpuma gadījumā ir tikai ekonomiska interese. Gluži tas pats attiecināms arī uz iespēju piedzīt </w:t>
      </w:r>
      <w:r>
        <w:lastRenderedPageBreak/>
        <w:t xml:space="preserve">zaudējumus: ja pieņem, ka konkurences tiesību pārkāpums šajā lietā apstiprināsies arī ar tiesas spriedumu, tas var būt pamats </w:t>
      </w:r>
      <w:r w:rsidR="009A239C">
        <w:t xml:space="preserve">tālāk risināt </w:t>
      </w:r>
      <w:r>
        <w:t>gan finanšu korekcij</w:t>
      </w:r>
      <w:r w:rsidR="009A239C">
        <w:t>u</w:t>
      </w:r>
      <w:r>
        <w:t>, gan zaudējumu atlīdzināšanas prasījum</w:t>
      </w:r>
      <w:r w:rsidR="009A239C">
        <w:t>us</w:t>
      </w:r>
      <w:r>
        <w:t>, un tādā ziņā pārkāpuma konstatēšana var veidot pamatu šādai ekonomiska rakstura interesei</w:t>
      </w:r>
      <w:r w:rsidR="00061200">
        <w:t xml:space="preserve">; </w:t>
      </w:r>
      <w:r>
        <w:t>t</w:t>
      </w:r>
      <w:r w:rsidR="00061200">
        <w:t>omēr</w:t>
      </w:r>
      <w:r>
        <w:t xml:space="preserve"> nav saskatāma tiesība vai tiesiskā intereses, kas pati par sevi dotu pamatu iebilst pārkāpuma konstatēšanai vai, tieši otrādi, uzstāt uz pārkāpuma konstatāciju lietā, kurā tiek pārbaudīts Konkurences padomes lēmuma tiesiskums.</w:t>
      </w:r>
    </w:p>
    <w:p w14:paraId="1B29DC43" w14:textId="2FF3A70B" w:rsidR="00AA15D0" w:rsidRDefault="00AA15D0" w:rsidP="00865639">
      <w:pPr>
        <w:tabs>
          <w:tab w:val="left" w:pos="1276"/>
        </w:tabs>
        <w:spacing w:after="0"/>
        <w:ind w:firstLine="567"/>
      </w:pPr>
    </w:p>
    <w:p w14:paraId="67046B1E" w14:textId="72A40599" w:rsidR="00E265AE" w:rsidRDefault="00AA15D0" w:rsidP="00865639">
      <w:pPr>
        <w:tabs>
          <w:tab w:val="left" w:pos="1276"/>
        </w:tabs>
        <w:spacing w:after="0"/>
        <w:ind w:firstLine="567"/>
      </w:pPr>
      <w:r>
        <w:t>[</w:t>
      </w:r>
      <w:r w:rsidR="002F72B2">
        <w:t>4</w:t>
      </w:r>
      <w:r>
        <w:t>]</w:t>
      </w:r>
      <w:r w:rsidR="00096426">
        <w:t> </w:t>
      </w:r>
      <w:r w:rsidR="004409DC">
        <w:t>Jāuzsver arī apgabaltiesas norādītais: Konkurences padomes lēmums nerada tiešas tiesiskās sekas pasū</w:t>
      </w:r>
      <w:r w:rsidR="004409DC">
        <w:lastRenderedPageBreak/>
        <w:t xml:space="preserve">tītājiem, bet tikai lēmumā norādītajiem pārkāpuma izdarītājiem – karteļa dalībniekiem. </w:t>
      </w:r>
      <w:r w:rsidR="00E265AE">
        <w:t xml:space="preserve">Konkurences padomes lēmums tālāk var būt pamats lemt par finanšu korekcijām, taču tās ir tālākas sekas, kas tiek radītas ar sadarbības iestādes lēmumu atkarībā no apstākļiem, kuri raksturo konkrētu pasūtītāju iesaisti (sal. </w:t>
      </w:r>
      <w:r w:rsidR="00E265AE" w:rsidRPr="002F72B2">
        <w:rPr>
          <w:i/>
          <w:iCs/>
        </w:rPr>
        <w:t>Senāta 2013.gada 8.augusta lēmuma lietā Nr. SKA-784/2013 (</w:t>
      </w:r>
      <w:r w:rsidR="002F72B2" w:rsidRPr="002F72B2">
        <w:rPr>
          <w:i/>
          <w:iCs/>
        </w:rPr>
        <w:t>A421021209) 8., 9.punkts</w:t>
      </w:r>
      <w:r w:rsidR="002F72B2">
        <w:t>).</w:t>
      </w:r>
    </w:p>
    <w:p w14:paraId="66F114BB" w14:textId="5328DDEA" w:rsidR="00883DB7" w:rsidRDefault="002F1360" w:rsidP="00865639">
      <w:pPr>
        <w:tabs>
          <w:tab w:val="left" w:pos="1276"/>
        </w:tabs>
        <w:spacing w:after="0"/>
        <w:ind w:firstLine="567"/>
      </w:pPr>
      <w:r>
        <w:t>Konkurences padomes l</w:t>
      </w:r>
      <w:r w:rsidR="004409DC">
        <w:t>ēmuma teksts turklāt skaidri apstiprina, ka Konkurences padome ir atturējusies noskaidrot katra iepirkuma pasūtītāja iesaisti pārkāpumā (lēmuma 248.punkts, kā arī apstāklis, ka lēmum</w:t>
      </w:r>
      <w:r>
        <w:t xml:space="preserve">ā nav konstatēti </w:t>
      </w:r>
      <w:r w:rsidR="004409DC">
        <w:t>pasūtītāju pārkāpum</w:t>
      </w:r>
      <w:r>
        <w:t>i</w:t>
      </w:r>
      <w:r w:rsidR="004409DC">
        <w:t xml:space="preserve">). Pasūtītāju loma vērtēta, lai noskaidrotu karteļa izpausmes, kā to var redzēt </w:t>
      </w:r>
      <w:r w:rsidR="004409DC">
        <w:lastRenderedPageBreak/>
        <w:t>no lēmuma 13.1.4.sadaļas, kurā ilustratīvi raksturot</w:t>
      </w:r>
      <w:r>
        <w:t>a</w:t>
      </w:r>
      <w:r w:rsidR="004409DC">
        <w:t xml:space="preserve"> pasūtītāj</w:t>
      </w:r>
      <w:r w:rsidR="001D2AA8">
        <w:t>u</w:t>
      </w:r>
      <w:r w:rsidR="004409DC">
        <w:t xml:space="preserve"> loma karteļa darbībā.</w:t>
      </w:r>
      <w:r w:rsidR="005844FC">
        <w:t xml:space="preserve"> </w:t>
      </w:r>
      <w:r w:rsidR="003338EF">
        <w:t>Tādējādi</w:t>
      </w:r>
      <w:r w:rsidR="00F3632F">
        <w:t xml:space="preserve"> šīs administratīvās lietas izskatīšanas priekšmets nevar būt </w:t>
      </w:r>
      <w:r w:rsidR="001D2AA8">
        <w:t xml:space="preserve">konkrētu </w:t>
      </w:r>
      <w:r w:rsidR="003338EF">
        <w:t>pasūtītāju iesaist</w:t>
      </w:r>
      <w:r w:rsidR="00F3632F">
        <w:t>e</w:t>
      </w:r>
      <w:r w:rsidR="003338EF">
        <w:t xml:space="preserve"> pārkāpum</w:t>
      </w:r>
      <w:r w:rsidR="00F3632F">
        <w:t>ā</w:t>
      </w:r>
      <w:r w:rsidR="003338EF">
        <w:t xml:space="preserve"> un attiecīgi </w:t>
      </w:r>
      <w:r w:rsidR="00F3632F">
        <w:t xml:space="preserve">konkretizēts pamatojums </w:t>
      </w:r>
      <w:r w:rsidR="003338EF">
        <w:t>finanšu korekcij</w:t>
      </w:r>
      <w:r w:rsidR="00F3632F">
        <w:t>as pielāgošanai konkrētos gadījumos.</w:t>
      </w:r>
      <w:r w:rsidR="003338EF">
        <w:t xml:space="preserve"> </w:t>
      </w:r>
      <w:r w:rsidR="00883DB7">
        <w:t>Blakus sūdzības iesniedzējas SIA „Skonto būve” arguments, ka vienīgi š</w:t>
      </w:r>
      <w:r>
        <w:t>ajā lietā</w:t>
      </w:r>
      <w:r w:rsidR="00883DB7">
        <w:t xml:space="preserve"> pasūtītājiem ir iespējams izteikties pret Konkurences padomes pārmetumiem par pasūtītāju darbībām un ka tikai šajā lietā tiks noskaidrots pasūtītāju iesaistes līmenis, acīmredzami neatbilst Konkurences padomes lēmuma un attiecīgi arī par to ierosinātās tiesvedības tvērumam. </w:t>
      </w:r>
      <w:r w:rsidR="00207282">
        <w:t xml:space="preserve">Savukārt AS „LNK Industries” skaidrojums par to, ka arī publisko tiesību subjekti var būt tirgus dalībnieki un to darbībās var </w:t>
      </w:r>
      <w:r w:rsidR="00207282">
        <w:lastRenderedPageBreak/>
        <w:t>tikt konstatēts tirgus pārkāpums, neattiecas uz šo lietu, jo Konkurences padome</w:t>
      </w:r>
      <w:r w:rsidR="00985FEB">
        <w:t>s lēmumā nav konstatēts pārkāpums publisko tiesību subjektu darbībā.</w:t>
      </w:r>
    </w:p>
    <w:p w14:paraId="5EA526E8" w14:textId="5EE51E20" w:rsidR="004409DC" w:rsidRDefault="003338EF" w:rsidP="00865639">
      <w:pPr>
        <w:tabs>
          <w:tab w:val="left" w:pos="1276"/>
        </w:tabs>
        <w:spacing w:after="0"/>
        <w:ind w:firstLine="567"/>
      </w:pPr>
      <w:r>
        <w:t>Tā</w:t>
      </w:r>
      <w:r w:rsidR="00883DB7">
        <w:t>dējādi</w:t>
      </w:r>
      <w:r>
        <w:t xml:space="preserve">, kā jau norādīts iepriekš, pasūtītāju interese konkurences tiesību pārkāpuma konstatēšanā vai nekonstatēšanā ir vienīgi </w:t>
      </w:r>
      <w:r w:rsidR="00883DB7">
        <w:t xml:space="preserve">vispārīga </w:t>
      </w:r>
      <w:r>
        <w:t>ekonomiska interese</w:t>
      </w:r>
      <w:r w:rsidR="00F3632F">
        <w:t>, lai nerastos (vai rastos) pamats tālāk</w:t>
      </w:r>
      <w:r w:rsidR="00C56ED0">
        <w:t>iem noregulējumiem attiecībā uz finanšu korekciju vai zaudējumu piedziņu.</w:t>
      </w:r>
      <w:r w:rsidR="002F1360" w:rsidRPr="002F1360">
        <w:t xml:space="preserve"> Tātad nav arī tiešu tiesisku seku attiecībā uz pasūtītājiem.</w:t>
      </w:r>
      <w:r w:rsidR="002F1360">
        <w:t xml:space="preserve"> </w:t>
      </w:r>
    </w:p>
    <w:p w14:paraId="3D012352" w14:textId="6FB4C6FF" w:rsidR="00883DB7" w:rsidRDefault="00883DB7" w:rsidP="00865639">
      <w:pPr>
        <w:tabs>
          <w:tab w:val="left" w:pos="1276"/>
        </w:tabs>
        <w:spacing w:after="0"/>
        <w:ind w:firstLine="567"/>
      </w:pPr>
    </w:p>
    <w:p w14:paraId="038B4E58" w14:textId="23070986" w:rsidR="007D615C" w:rsidRDefault="00061200" w:rsidP="00865639">
      <w:pPr>
        <w:tabs>
          <w:tab w:val="left" w:pos="1276"/>
        </w:tabs>
        <w:spacing w:after="0"/>
        <w:ind w:firstLine="567"/>
      </w:pPr>
      <w:r>
        <w:t>[</w:t>
      </w:r>
      <w:r w:rsidR="002F72B2">
        <w:t>5</w:t>
      </w:r>
      <w:r>
        <w:t>]</w:t>
      </w:r>
      <w:r w:rsidR="00096426">
        <w:t> </w:t>
      </w:r>
      <w:r>
        <w:t xml:space="preserve">Blakus sūdzībās norādīts, ka apgabaltiesas lēmums ir pretrunā ar Senāta judikatūrā atzīto, ka tiesiski </w:t>
      </w:r>
      <w:r>
        <w:lastRenderedPageBreak/>
        <w:t>aizsargājama interese ir arī interese saglabāt esošo faktisko vai tiesisko stāvokli (</w:t>
      </w:r>
      <w:r w:rsidRPr="001D2AA8">
        <w:rPr>
          <w:i/>
          <w:iCs/>
        </w:rPr>
        <w:t>Senāta 2010.gada 29.novembra lēmuma lietā Nr. SKA-1020/2010 (A43006009) 9.punkts</w:t>
      </w:r>
      <w:r>
        <w:t>).</w:t>
      </w:r>
    </w:p>
    <w:p w14:paraId="508D8CE4" w14:textId="60FD88E6" w:rsidR="00883DB7" w:rsidRDefault="00DE2C6B" w:rsidP="00865639">
      <w:pPr>
        <w:tabs>
          <w:tab w:val="left" w:pos="1276"/>
        </w:tabs>
        <w:spacing w:after="0"/>
        <w:ind w:firstLine="567"/>
      </w:pPr>
      <w:r>
        <w:t>Š</w:t>
      </w:r>
      <w:r w:rsidR="00061200">
        <w:t>ādai interesei saglabāt esošo faktisko vai tiesisko stāvokli ir jābūt pamatotai ar kādām tiesībām vai tiesiski aizsargātām interesēm. Citād</w:t>
      </w:r>
      <w:r w:rsidR="002F1360">
        <w:t>i</w:t>
      </w:r>
      <w:r w:rsidR="00061200">
        <w:t xml:space="preserve"> veidotos pretruna ar Administratīvā procesa likuma 28.panta pirmo daļu, kas paredz, ka par trešo personu var būt persona, </w:t>
      </w:r>
      <w:r w:rsidR="00061200" w:rsidRPr="00061200">
        <w:t xml:space="preserve">kuras </w:t>
      </w:r>
      <w:r w:rsidR="00061200" w:rsidRPr="00177C86">
        <w:rPr>
          <w:i/>
          <w:iCs/>
        </w:rPr>
        <w:t>tiesības vai tiesiskās intereses</w:t>
      </w:r>
      <w:r w:rsidR="00061200" w:rsidRPr="00061200">
        <w:t xml:space="preserve"> attiecīgais administratīvais akts var ierobežot vai kuru var skart tiesas spriedums lietā</w:t>
      </w:r>
      <w:r w:rsidR="00061200">
        <w:t xml:space="preserve">. Respektīvi, tiesas procesā būtu jāpiedalās personai, kura nav administratīvā akta adresāts, bet kura vēlas tiesas </w:t>
      </w:r>
      <w:r w:rsidR="00061200">
        <w:lastRenderedPageBreak/>
        <w:t>procesa rezultātā saglabāt esošo faktisko un tiesisko situāciju, kas pamatojas noteiktās šīs personas tiesībās vai tiesiskajās interesēs. Salīdzinoši, ja, piemēram, tiesā tiktu pārbaudīts būvatļaujas tiesiskums,</w:t>
      </w:r>
      <w:r w:rsidR="00177C86">
        <w:t xml:space="preserve"> ar paredzēto būvniecību skartajām personām kā kaimiņiem ir iespēja piedalīties tiesas procesā, ja ar būvatļauju tiek skartas viņu </w:t>
      </w:r>
      <w:r w:rsidR="00061200">
        <w:t>īpašuma tiesīb</w:t>
      </w:r>
      <w:r w:rsidR="00177C86">
        <w:t>a</w:t>
      </w:r>
      <w:r w:rsidR="00061200">
        <w:t>s</w:t>
      </w:r>
      <w:r w:rsidR="00177C86">
        <w:t xml:space="preserve"> (tiek ietekmēts īpašuma stāvoklis, iespējas izmantot savu īpašumu), taču šāda iespēja piedalīties tiesas procesā </w:t>
      </w:r>
      <w:r w:rsidR="001D2AA8">
        <w:t>nav piešķirama</w:t>
      </w:r>
      <w:r w:rsidR="00177C86">
        <w:t>, ja interese saglabāt esošo situāciju pamatojas tikai ar tiesību normām neaizsargātā vispārīgā interesē saglabāt esošo apkārtnes ainavu</w:t>
      </w:r>
      <w:r w:rsidR="001D2AA8">
        <w:t xml:space="preserve"> un lietu kārtību</w:t>
      </w:r>
      <w:r w:rsidR="00177C86">
        <w:t xml:space="preserve">. </w:t>
      </w:r>
    </w:p>
    <w:p w14:paraId="218F945C" w14:textId="1C3B47DE" w:rsidR="00207282" w:rsidRDefault="00207282" w:rsidP="00865639">
      <w:pPr>
        <w:tabs>
          <w:tab w:val="left" w:pos="1276"/>
        </w:tabs>
        <w:spacing w:after="0"/>
        <w:ind w:firstLine="567"/>
      </w:pPr>
    </w:p>
    <w:p w14:paraId="2940DD33" w14:textId="61205E85" w:rsidR="00207282" w:rsidRDefault="00207282" w:rsidP="00865639">
      <w:pPr>
        <w:tabs>
          <w:tab w:val="left" w:pos="1276"/>
        </w:tabs>
        <w:spacing w:after="0"/>
        <w:ind w:firstLine="567"/>
      </w:pPr>
      <w:r>
        <w:lastRenderedPageBreak/>
        <w:t>[</w:t>
      </w:r>
      <w:r w:rsidR="002F72B2">
        <w:t>6</w:t>
      </w:r>
      <w:r>
        <w:t>]</w:t>
      </w:r>
      <w:r w:rsidR="00096426">
        <w:t> </w:t>
      </w:r>
      <w:r>
        <w:t>AS</w:t>
      </w:r>
      <w:r w:rsidR="00096426">
        <w:t> </w:t>
      </w:r>
      <w:r>
        <w:t>„LNK Industries” blakus sūdzībā norāda, ka pasūtītāju iesaiste tiesas procesā varētu nodrošināt lietas apstākļu vispusīgu noskaidrošanu, tostarp par iespējamo pasūtītāju lomas neesību.</w:t>
      </w:r>
    </w:p>
    <w:p w14:paraId="19A09F53" w14:textId="67B7D8A1" w:rsidR="00207282" w:rsidRDefault="00207282" w:rsidP="00865639">
      <w:pPr>
        <w:tabs>
          <w:tab w:val="left" w:pos="1276"/>
        </w:tabs>
        <w:spacing w:after="0"/>
        <w:ind w:firstLine="567"/>
      </w:pPr>
      <w:r>
        <w:t>Kā jau minēts iepriekš, pasūtītāju loma karteļa īstenošanā nemaz nav konkretizēta attiecībā uz konkrētiem pasūtītājiem un par to nav pieņemts Konkurences padomes lēmums, un tas attiecīgi netiks konstatēts šajā tiesvedībā. Savukārt apstākļu noskaidrošanai par Konkurences padomes konstatēto pārkāpumu ir iespējama liecinieku nopratināšana.</w:t>
      </w:r>
    </w:p>
    <w:p w14:paraId="12FE921A" w14:textId="4B379B5A" w:rsidR="00E265AE" w:rsidRDefault="00E265AE" w:rsidP="00865639">
      <w:pPr>
        <w:tabs>
          <w:tab w:val="left" w:pos="1276"/>
        </w:tabs>
        <w:spacing w:after="0"/>
        <w:ind w:firstLine="567"/>
      </w:pPr>
    </w:p>
    <w:p w14:paraId="2F4FB678" w14:textId="4557CB30" w:rsidR="00E265AE" w:rsidRDefault="00E265AE" w:rsidP="00865639">
      <w:pPr>
        <w:tabs>
          <w:tab w:val="left" w:pos="1276"/>
        </w:tabs>
        <w:spacing w:after="0"/>
        <w:ind w:firstLine="567"/>
      </w:pPr>
      <w:r>
        <w:lastRenderedPageBreak/>
        <w:t>[</w:t>
      </w:r>
      <w:r w:rsidR="002F72B2">
        <w:t>7</w:t>
      </w:r>
      <w:r>
        <w:t>]</w:t>
      </w:r>
      <w:r w:rsidR="00096426">
        <w:t> </w:t>
      </w:r>
      <w:r>
        <w:t xml:space="preserve">Turklāt senatoru kolēģija vērš uzmanību, ka lielākā daļa pasūtītāju ir publisko tiesību subjekti, kam vispārīgi nebūtu jāveidojas patstāvīgām, no sabiedrības interesēm atšķirīgām interesēm, kas būtu aizstāvamas administratīvā procesa kārtībā tiesas procesā iepretim Latvijas Republikas iestādei Konkurences padomei. Sistēmiski to apstiprina arī </w:t>
      </w:r>
      <w:r w:rsidRPr="00E265AE">
        <w:t>Eiropas Savienības struktūrfondu un Kohēzijas fonda 2014.–2020.gada plānošanas perioda vadības likuma</w:t>
      </w:r>
      <w:r>
        <w:t xml:space="preserve"> 32.pants, kas liedz iespēju t</w:t>
      </w:r>
      <w:r w:rsidRPr="00E265AE">
        <w:t>iešās vai pastarpinātās pārvaldes iestād</w:t>
      </w:r>
      <w:r>
        <w:t>ēm</w:t>
      </w:r>
      <w:r w:rsidRPr="00E265AE">
        <w:t>, atvasināt</w:t>
      </w:r>
      <w:r>
        <w:t>ām</w:t>
      </w:r>
      <w:r w:rsidRPr="00E265AE">
        <w:t xml:space="preserve"> publisk</w:t>
      </w:r>
      <w:r>
        <w:t>ām</w:t>
      </w:r>
      <w:r w:rsidRPr="00E265AE">
        <w:t xml:space="preserve"> person</w:t>
      </w:r>
      <w:r>
        <w:t>ām</w:t>
      </w:r>
      <w:r w:rsidRPr="00E265AE">
        <w:t xml:space="preserve"> vai ci</w:t>
      </w:r>
      <w:r>
        <w:t>tām</w:t>
      </w:r>
      <w:r w:rsidRPr="00E265AE">
        <w:t xml:space="preserve"> valsts iestād</w:t>
      </w:r>
      <w:r>
        <w:t>ēm pārsūdzēt vadošās iestādes lēmumus.</w:t>
      </w:r>
    </w:p>
    <w:p w14:paraId="38AB9D9F" w14:textId="77777777" w:rsidR="00061200" w:rsidRDefault="00061200" w:rsidP="00865639">
      <w:pPr>
        <w:tabs>
          <w:tab w:val="left" w:pos="1276"/>
        </w:tabs>
        <w:spacing w:after="0"/>
        <w:ind w:firstLine="567"/>
      </w:pPr>
    </w:p>
    <w:p w14:paraId="54CC6F08" w14:textId="7E455502" w:rsidR="00316FED" w:rsidRPr="00ED765D" w:rsidRDefault="00601A24" w:rsidP="00865639">
      <w:pPr>
        <w:spacing w:after="0"/>
        <w:ind w:firstLine="567"/>
        <w:rPr>
          <w:rFonts w:asciiTheme="majorBidi" w:hAnsiTheme="majorBidi" w:cstheme="majorBidi"/>
        </w:rPr>
      </w:pPr>
      <w:r>
        <w:rPr>
          <w:rFonts w:asciiTheme="majorBidi" w:hAnsiTheme="majorBidi" w:cstheme="majorBidi"/>
        </w:rPr>
        <w:lastRenderedPageBreak/>
        <w:t>[</w:t>
      </w:r>
      <w:r w:rsidR="002F72B2">
        <w:rPr>
          <w:rFonts w:asciiTheme="majorBidi" w:hAnsiTheme="majorBidi" w:cstheme="majorBidi"/>
        </w:rPr>
        <w:t>8</w:t>
      </w:r>
      <w:r>
        <w:rPr>
          <w:rFonts w:asciiTheme="majorBidi" w:hAnsiTheme="majorBidi" w:cstheme="majorBidi"/>
        </w:rPr>
        <w:t>] </w:t>
      </w:r>
      <w:r w:rsidR="00316FED">
        <w:t>Ievērojot minēto, senatoru kolēģija atzīst, ka pieteicēj</w:t>
      </w:r>
      <w:r w:rsidR="002F72B2">
        <w:t>u</w:t>
      </w:r>
      <w:r w:rsidR="00316FED">
        <w:t xml:space="preserve"> </w:t>
      </w:r>
      <w:r w:rsidR="00316FED" w:rsidRPr="008028ED">
        <w:t>blakus sūdzīb</w:t>
      </w:r>
      <w:r w:rsidR="00316FED">
        <w:t>a</w:t>
      </w:r>
      <w:r w:rsidR="002F72B2">
        <w:t>s</w:t>
      </w:r>
      <w:r w:rsidR="00316FED">
        <w:t xml:space="preserve"> ir </w:t>
      </w:r>
      <w:r w:rsidR="00316FED" w:rsidRPr="008028ED">
        <w:t>acīmredzami nepamatot</w:t>
      </w:r>
      <w:r w:rsidR="00316FED">
        <w:t>a</w:t>
      </w:r>
      <w:r w:rsidR="002F72B2">
        <w:t>s</w:t>
      </w:r>
      <w:r w:rsidR="00316FED">
        <w:t xml:space="preserve">. Minētais atbilstoši </w:t>
      </w:r>
      <w:r w:rsidR="00316FED" w:rsidRPr="00F64141">
        <w:t>Administratīvā procesa likuma 320.</w:t>
      </w:r>
      <w:r w:rsidR="00316FED" w:rsidRPr="00F64141">
        <w:rPr>
          <w:vertAlign w:val="superscript"/>
        </w:rPr>
        <w:t>1</w:t>
      </w:r>
      <w:r w:rsidR="00316FED" w:rsidRPr="00F64141">
        <w:t xml:space="preserve">pantam </w:t>
      </w:r>
      <w:r w:rsidR="00316FED">
        <w:t>ir pamats atteikumam t</w:t>
      </w:r>
      <w:r w:rsidR="002F72B2">
        <w:t>ās</w:t>
      </w:r>
      <w:r w:rsidR="00316FED">
        <w:t xml:space="preserve"> izskatīt.</w:t>
      </w:r>
    </w:p>
    <w:p w14:paraId="7EA73636" w14:textId="77777777" w:rsidR="002A18AC" w:rsidRPr="002A18AC" w:rsidRDefault="002A18AC" w:rsidP="00865639">
      <w:pPr>
        <w:pStyle w:val="NormalWeb"/>
        <w:shd w:val="clear" w:color="auto" w:fill="FFFFFF"/>
        <w:tabs>
          <w:tab w:val="left" w:pos="567"/>
        </w:tabs>
        <w:spacing w:line="276" w:lineRule="auto"/>
        <w:ind w:firstLine="567"/>
        <w:jc w:val="both"/>
      </w:pPr>
    </w:p>
    <w:p w14:paraId="1E41C857" w14:textId="77777777" w:rsidR="005575AF" w:rsidRPr="002A18AC" w:rsidRDefault="00F04A13" w:rsidP="00865639">
      <w:pPr>
        <w:pStyle w:val="NormalWeb"/>
        <w:shd w:val="clear" w:color="auto" w:fill="FFFFFF"/>
        <w:tabs>
          <w:tab w:val="left" w:pos="567"/>
        </w:tabs>
        <w:spacing w:line="276" w:lineRule="auto"/>
        <w:contextualSpacing/>
        <w:jc w:val="center"/>
        <w:rPr>
          <w:b/>
        </w:rPr>
      </w:pPr>
      <w:r w:rsidRPr="002A18AC">
        <w:rPr>
          <w:b/>
        </w:rPr>
        <w:t>Rezolutīvā daļa</w:t>
      </w:r>
    </w:p>
    <w:p w14:paraId="5066A10F" w14:textId="77777777" w:rsidR="005575AF" w:rsidRPr="002A18AC" w:rsidRDefault="005575AF" w:rsidP="00865639">
      <w:pPr>
        <w:pStyle w:val="NormalWeb"/>
        <w:shd w:val="clear" w:color="auto" w:fill="FFFFFF"/>
        <w:tabs>
          <w:tab w:val="left" w:pos="567"/>
        </w:tabs>
        <w:spacing w:line="276" w:lineRule="auto"/>
        <w:ind w:firstLine="567"/>
        <w:jc w:val="center"/>
        <w:rPr>
          <w:b/>
        </w:rPr>
      </w:pPr>
    </w:p>
    <w:p w14:paraId="1ABA73AF" w14:textId="2DFCB4E7" w:rsidR="006165C0" w:rsidRDefault="006165C0" w:rsidP="00865639">
      <w:pPr>
        <w:spacing w:after="0"/>
        <w:ind w:firstLine="567"/>
      </w:pPr>
      <w:r w:rsidRPr="00F91755">
        <w:t xml:space="preserve">Pamatojoties uz Administratīvā procesa likuma </w:t>
      </w:r>
      <w:r>
        <w:t>320.</w:t>
      </w:r>
      <w:r w:rsidRPr="00C36A35">
        <w:rPr>
          <w:vertAlign w:val="superscript"/>
        </w:rPr>
        <w:t>1</w:t>
      </w:r>
      <w:r>
        <w:t xml:space="preserve">pantu un </w:t>
      </w:r>
      <w:r w:rsidRPr="00F91755">
        <w:t xml:space="preserve">338.panta </w:t>
      </w:r>
      <w:r>
        <w:t>astoto</w:t>
      </w:r>
      <w:r w:rsidRPr="00F91755">
        <w:t xml:space="preserve"> daļu, senatoru kolēģija</w:t>
      </w:r>
    </w:p>
    <w:p w14:paraId="52B4D10B" w14:textId="77777777" w:rsidR="006165C0" w:rsidRDefault="006165C0" w:rsidP="00865639">
      <w:pPr>
        <w:spacing w:after="0"/>
        <w:ind w:firstLine="567"/>
      </w:pPr>
    </w:p>
    <w:p w14:paraId="611F74F6" w14:textId="51773CA9" w:rsidR="00F04A13" w:rsidRPr="002A18AC" w:rsidRDefault="008F33BD" w:rsidP="00865639">
      <w:pPr>
        <w:pStyle w:val="NormalWeb"/>
        <w:shd w:val="clear" w:color="auto" w:fill="FFFFFF"/>
        <w:tabs>
          <w:tab w:val="left" w:pos="567"/>
        </w:tabs>
        <w:spacing w:line="276" w:lineRule="auto"/>
        <w:contextualSpacing/>
        <w:jc w:val="center"/>
        <w:rPr>
          <w:b/>
        </w:rPr>
      </w:pPr>
      <w:r w:rsidRPr="002A18AC">
        <w:rPr>
          <w:b/>
        </w:rPr>
        <w:t>n</w:t>
      </w:r>
      <w:r w:rsidR="00F04A13" w:rsidRPr="002A18AC">
        <w:rPr>
          <w:b/>
        </w:rPr>
        <w:t>olēma</w:t>
      </w:r>
    </w:p>
    <w:p w14:paraId="31FADF0B" w14:textId="77777777" w:rsidR="008F33BD" w:rsidRPr="002A18AC" w:rsidRDefault="008F33BD" w:rsidP="00865639">
      <w:pPr>
        <w:pStyle w:val="NormalWeb"/>
        <w:shd w:val="clear" w:color="auto" w:fill="FFFFFF"/>
        <w:tabs>
          <w:tab w:val="left" w:pos="567"/>
        </w:tabs>
        <w:spacing w:line="276" w:lineRule="auto"/>
        <w:ind w:firstLine="567"/>
        <w:jc w:val="center"/>
      </w:pPr>
    </w:p>
    <w:p w14:paraId="0F01A62D" w14:textId="650FD8A7" w:rsidR="00E36024" w:rsidRDefault="006165C0" w:rsidP="00865639">
      <w:pPr>
        <w:spacing w:after="0"/>
        <w:ind w:firstLine="567"/>
      </w:pPr>
      <w:r>
        <w:lastRenderedPageBreak/>
        <w:t xml:space="preserve">atteikt izskatīt </w:t>
      </w:r>
      <w:r w:rsidR="002F1360" w:rsidRPr="002F1360">
        <w:t>AS</w:t>
      </w:r>
      <w:r w:rsidR="002F1360">
        <w:t> </w:t>
      </w:r>
      <w:r w:rsidR="002F1360" w:rsidRPr="002F1360">
        <w:t>„LNK Industries” un SIA</w:t>
      </w:r>
      <w:r w:rsidR="002F1360">
        <w:t> </w:t>
      </w:r>
      <w:r w:rsidR="002F1360" w:rsidRPr="002F1360">
        <w:t xml:space="preserve">„Skonto būve” </w:t>
      </w:r>
      <w:r w:rsidR="002F1360">
        <w:t>b</w:t>
      </w:r>
      <w:r w:rsidR="002F1360" w:rsidRPr="002F1360">
        <w:t>lakus sūdzības par Administratīvās apgabaltiesas 2022.gada 12.oktobra lēmumu</w:t>
      </w:r>
      <w:r w:rsidR="000957B7">
        <w:rPr>
          <w:rFonts w:cs="Times New Roman"/>
        </w:rPr>
        <w:t>.</w:t>
      </w:r>
    </w:p>
    <w:p w14:paraId="281C9C85" w14:textId="77777777" w:rsidR="006165C0" w:rsidRDefault="006165C0" w:rsidP="00865639">
      <w:pPr>
        <w:spacing w:after="0"/>
        <w:ind w:firstLine="567"/>
      </w:pPr>
      <w:r w:rsidRPr="00F91755">
        <w:t>Lēmums nav pārsūdzams.</w:t>
      </w:r>
    </w:p>
    <w:p w14:paraId="27E66F96" w14:textId="645A0882" w:rsidR="00163BD2" w:rsidRDefault="00163BD2" w:rsidP="00865639">
      <w:pPr>
        <w:tabs>
          <w:tab w:val="left" w:pos="3402"/>
          <w:tab w:val="left" w:pos="7200"/>
          <w:tab w:val="left" w:pos="7560"/>
        </w:tabs>
        <w:spacing w:after="0"/>
        <w:ind w:firstLine="567"/>
      </w:pPr>
    </w:p>
    <w:p w14:paraId="6D054A1A" w14:textId="77777777" w:rsidR="001179A4" w:rsidRDefault="001179A4" w:rsidP="00865639">
      <w:pPr>
        <w:tabs>
          <w:tab w:val="left" w:pos="3402"/>
          <w:tab w:val="left" w:pos="7200"/>
          <w:tab w:val="left" w:pos="7560"/>
        </w:tabs>
        <w:spacing w:after="0"/>
        <w:ind w:firstLine="567"/>
      </w:pPr>
    </w:p>
    <w:p w14:paraId="5ABC1226" w14:textId="77777777" w:rsidR="007923FA" w:rsidRPr="002A18AC" w:rsidRDefault="007923FA" w:rsidP="00865639">
      <w:pPr>
        <w:tabs>
          <w:tab w:val="left" w:pos="3402"/>
          <w:tab w:val="left" w:pos="7200"/>
          <w:tab w:val="left" w:pos="7560"/>
        </w:tabs>
        <w:spacing w:after="0"/>
        <w:ind w:firstLine="567"/>
      </w:pPr>
    </w:p>
    <w:p w14:paraId="008B9FA9" w14:textId="77777777" w:rsidR="008F33BD" w:rsidRPr="002A18AC" w:rsidRDefault="008F33BD" w:rsidP="00865639">
      <w:pPr>
        <w:tabs>
          <w:tab w:val="left" w:pos="3402"/>
          <w:tab w:val="left" w:pos="7200"/>
          <w:tab w:val="left" w:pos="7560"/>
        </w:tabs>
        <w:spacing w:after="0"/>
        <w:ind w:firstLine="567"/>
      </w:pPr>
    </w:p>
    <w:tbl>
      <w:tblPr>
        <w:tblW w:w="0" w:type="auto"/>
        <w:tblLook w:val="04A0" w:firstRow="1" w:lastRow="0" w:firstColumn="1" w:lastColumn="0" w:noHBand="0" w:noVBand="1"/>
      </w:tblPr>
      <w:tblGrid>
        <w:gridCol w:w="3020"/>
        <w:gridCol w:w="3020"/>
        <w:gridCol w:w="3021"/>
      </w:tblGrid>
      <w:tr w:rsidR="00F04A13" w:rsidRPr="002A18AC" w14:paraId="37C1571E" w14:textId="77777777" w:rsidTr="00E63051">
        <w:tc>
          <w:tcPr>
            <w:tcW w:w="3020" w:type="dxa"/>
            <w:shd w:val="clear" w:color="auto" w:fill="auto"/>
          </w:tcPr>
          <w:p w14:paraId="5A77AC49" w14:textId="1F2AF642" w:rsidR="00F04A13" w:rsidRPr="002A18AC" w:rsidRDefault="006165C0" w:rsidP="00865639">
            <w:pPr>
              <w:spacing w:after="0"/>
              <w:contextualSpacing/>
              <w:jc w:val="center"/>
            </w:pPr>
            <w:r>
              <w:t xml:space="preserve">Senatore </w:t>
            </w:r>
            <w:r w:rsidR="00F04A13" w:rsidRPr="002A18AC">
              <w:t>R. Vīduša</w:t>
            </w:r>
          </w:p>
        </w:tc>
        <w:tc>
          <w:tcPr>
            <w:tcW w:w="3020" w:type="dxa"/>
            <w:shd w:val="clear" w:color="auto" w:fill="auto"/>
          </w:tcPr>
          <w:p w14:paraId="339B4757" w14:textId="4E27F3C0" w:rsidR="00F04A13" w:rsidRPr="002A18AC" w:rsidRDefault="006165C0" w:rsidP="00865639">
            <w:pPr>
              <w:spacing w:after="0"/>
              <w:contextualSpacing/>
              <w:jc w:val="center"/>
            </w:pPr>
            <w:r>
              <w:t>Senator</w:t>
            </w:r>
            <w:r w:rsidR="007923FA">
              <w:t>e V</w:t>
            </w:r>
            <w:r w:rsidR="00250EF8" w:rsidRPr="002A18AC">
              <w:t>. </w:t>
            </w:r>
            <w:r w:rsidR="007923FA">
              <w:t>Kakste</w:t>
            </w:r>
          </w:p>
        </w:tc>
        <w:tc>
          <w:tcPr>
            <w:tcW w:w="3021" w:type="dxa"/>
            <w:shd w:val="clear" w:color="auto" w:fill="auto"/>
          </w:tcPr>
          <w:p w14:paraId="6C454051" w14:textId="62731A7E" w:rsidR="00F04A13" w:rsidRPr="002A18AC" w:rsidRDefault="006165C0" w:rsidP="00865639">
            <w:pPr>
              <w:spacing w:after="0"/>
              <w:contextualSpacing/>
              <w:jc w:val="center"/>
              <w:rPr>
                <w:rFonts w:eastAsia="Calibri"/>
              </w:rPr>
            </w:pPr>
            <w:r>
              <w:rPr>
                <w:rFonts w:eastAsia="Calibri"/>
              </w:rPr>
              <w:t xml:space="preserve">Senatore </w:t>
            </w:r>
            <w:r w:rsidR="007923FA">
              <w:rPr>
                <w:rFonts w:eastAsia="Calibri"/>
              </w:rPr>
              <w:t>L</w:t>
            </w:r>
            <w:r w:rsidR="00250EF8" w:rsidRPr="002A18AC">
              <w:rPr>
                <w:rFonts w:eastAsia="Calibri"/>
              </w:rPr>
              <w:t>. </w:t>
            </w:r>
            <w:r w:rsidR="007923FA">
              <w:rPr>
                <w:rFonts w:eastAsia="Calibri"/>
              </w:rPr>
              <w:t>Paegļkalna</w:t>
            </w:r>
          </w:p>
        </w:tc>
      </w:tr>
    </w:tbl>
    <w:p w14:paraId="7868318A" w14:textId="77777777" w:rsidR="00EC140F" w:rsidRPr="002A18AC" w:rsidRDefault="00EC140F" w:rsidP="00B656A9">
      <w:pPr>
        <w:spacing w:after="0"/>
        <w:contextualSpacing/>
      </w:pPr>
    </w:p>
    <w:sectPr w:rsidR="00EC140F" w:rsidRPr="002A18AC" w:rsidSect="002129C3">
      <w:footerReference w:type="default" r:id="rId9"/>
      <w:pgSz w:w="11906" w:h="16838"/>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5B73D" w14:textId="77777777" w:rsidR="00BD1C21" w:rsidRDefault="00BD1C21" w:rsidP="00AA550B">
      <w:pPr>
        <w:spacing w:after="0" w:line="240" w:lineRule="auto"/>
      </w:pPr>
      <w:r>
        <w:separator/>
      </w:r>
    </w:p>
  </w:endnote>
  <w:endnote w:type="continuationSeparator" w:id="0">
    <w:p w14:paraId="5E0D20E8" w14:textId="77777777" w:rsidR="00BD1C21" w:rsidRDefault="00BD1C21" w:rsidP="00AA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55771"/>
      <w:docPartObj>
        <w:docPartGallery w:val="Page Numbers (Bottom of Page)"/>
        <w:docPartUnique/>
      </w:docPartObj>
    </w:sdtPr>
    <w:sdtEndPr/>
    <w:sdtContent>
      <w:sdt>
        <w:sdtPr>
          <w:id w:val="-1669238322"/>
          <w:docPartObj>
            <w:docPartGallery w:val="Page Numbers (Top of Page)"/>
            <w:docPartUnique/>
          </w:docPartObj>
        </w:sdtPr>
        <w:sdtEndPr/>
        <w:sdtContent>
          <w:p w14:paraId="24A80C9D" w14:textId="47D711BD" w:rsidR="006B0593" w:rsidRDefault="006B0593" w:rsidP="00D94E0F">
            <w:pPr>
              <w:pStyle w:val="Footer"/>
              <w:jc w:val="center"/>
            </w:pPr>
            <w:r w:rsidRPr="00AA550B">
              <w:rPr>
                <w:bCs/>
                <w:szCs w:val="24"/>
              </w:rPr>
              <w:fldChar w:fldCharType="begin"/>
            </w:r>
            <w:r w:rsidRPr="00AA550B">
              <w:rPr>
                <w:bCs/>
              </w:rPr>
              <w:instrText xml:space="preserve"> PAGE </w:instrText>
            </w:r>
            <w:r w:rsidRPr="00AA550B">
              <w:rPr>
                <w:bCs/>
                <w:szCs w:val="24"/>
              </w:rPr>
              <w:fldChar w:fldCharType="separate"/>
            </w:r>
            <w:r w:rsidR="00FE1E78">
              <w:rPr>
                <w:bCs/>
                <w:noProof/>
              </w:rPr>
              <w:t>2</w:t>
            </w:r>
            <w:r w:rsidRPr="00AA550B">
              <w:rPr>
                <w:bCs/>
                <w:szCs w:val="24"/>
              </w:rPr>
              <w:fldChar w:fldCharType="end"/>
            </w:r>
            <w:r w:rsidR="00F73C4F">
              <w:rPr>
                <w:bCs/>
                <w:szCs w:val="24"/>
              </w:rPr>
              <w:t xml:space="preserve"> </w:t>
            </w:r>
            <w:r w:rsidRPr="00AA550B">
              <w:rPr>
                <w:bCs/>
                <w:szCs w:val="24"/>
              </w:rPr>
              <w:t xml:space="preserve">no </w:t>
            </w:r>
            <w:r w:rsidRPr="00AA550B">
              <w:rPr>
                <w:bCs/>
                <w:szCs w:val="24"/>
              </w:rPr>
              <w:fldChar w:fldCharType="begin"/>
            </w:r>
            <w:r w:rsidRPr="00AA550B">
              <w:rPr>
                <w:bCs/>
              </w:rPr>
              <w:instrText xml:space="preserve"> NUMPAGES  </w:instrText>
            </w:r>
            <w:r w:rsidRPr="00AA550B">
              <w:rPr>
                <w:bCs/>
                <w:szCs w:val="24"/>
              </w:rPr>
              <w:fldChar w:fldCharType="separate"/>
            </w:r>
            <w:r w:rsidR="00FE1E78">
              <w:rPr>
                <w:bCs/>
                <w:noProof/>
              </w:rPr>
              <w:t>4</w:t>
            </w:r>
            <w:r w:rsidRPr="00AA550B">
              <w:rPr>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34B16" w14:textId="77777777" w:rsidR="00BD1C21" w:rsidRDefault="00BD1C21" w:rsidP="00AA550B">
      <w:pPr>
        <w:spacing w:after="0" w:line="240" w:lineRule="auto"/>
      </w:pPr>
      <w:r>
        <w:separator/>
      </w:r>
    </w:p>
  </w:footnote>
  <w:footnote w:type="continuationSeparator" w:id="0">
    <w:p w14:paraId="2700C369" w14:textId="77777777" w:rsidR="00BD1C21" w:rsidRDefault="00BD1C21" w:rsidP="00AA55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22C9062"/>
    <w:lvl w:ilvl="0">
      <w:start w:val="1"/>
      <w:numFmt w:val="decimal"/>
      <w:pStyle w:val="Style1"/>
      <w:lvlText w:val="[%1]"/>
      <w:lvlJc w:val="left"/>
      <w:rPr>
        <w:rFonts w:cs="Times New Roman"/>
        <w:b w:val="0"/>
        <w:bCs w:val="0"/>
        <w:i w:val="0"/>
        <w:iCs w:val="0"/>
        <w:smallCaps w:val="0"/>
        <w:strike w:val="0"/>
        <w:color w:val="000000"/>
        <w:spacing w:val="0"/>
        <w:w w:val="100"/>
        <w:position w:val="0"/>
        <w:sz w:val="24"/>
        <w:szCs w:val="24"/>
        <w:u w:val="none"/>
      </w:rPr>
    </w:lvl>
    <w:lvl w:ilvl="1">
      <w:start w:val="1"/>
      <w:numFmt w:val="decimal"/>
      <w:pStyle w:val="Style2"/>
      <w:lvlText w:val="[%1.%2]"/>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cs="Times New Roman"/>
        <w:b w:val="0"/>
        <w:bCs w:val="0"/>
        <w:i w:val="0"/>
        <w:iCs w:val="0"/>
        <w:smallCaps w:val="0"/>
        <w:strike w:val="0"/>
        <w:color w:val="000000"/>
        <w:spacing w:val="0"/>
        <w:w w:val="100"/>
        <w:position w:val="0"/>
        <w:sz w:val="24"/>
        <w:szCs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7A"/>
    <w:rsid w:val="000002F9"/>
    <w:rsid w:val="00003461"/>
    <w:rsid w:val="000049EB"/>
    <w:rsid w:val="00016F54"/>
    <w:rsid w:val="00021EAA"/>
    <w:rsid w:val="00026575"/>
    <w:rsid w:val="00030B60"/>
    <w:rsid w:val="00037748"/>
    <w:rsid w:val="0004384C"/>
    <w:rsid w:val="00045DCD"/>
    <w:rsid w:val="00061200"/>
    <w:rsid w:val="00064952"/>
    <w:rsid w:val="00065417"/>
    <w:rsid w:val="00065FA7"/>
    <w:rsid w:val="000840C9"/>
    <w:rsid w:val="00086438"/>
    <w:rsid w:val="00090135"/>
    <w:rsid w:val="00091881"/>
    <w:rsid w:val="00092B4D"/>
    <w:rsid w:val="0009395A"/>
    <w:rsid w:val="000957B7"/>
    <w:rsid w:val="00096426"/>
    <w:rsid w:val="000A0791"/>
    <w:rsid w:val="000A1819"/>
    <w:rsid w:val="000B170D"/>
    <w:rsid w:val="000B24F8"/>
    <w:rsid w:val="000B74BF"/>
    <w:rsid w:val="000C0924"/>
    <w:rsid w:val="000C33B2"/>
    <w:rsid w:val="000C4308"/>
    <w:rsid w:val="000C6972"/>
    <w:rsid w:val="000D4F9B"/>
    <w:rsid w:val="000E1E65"/>
    <w:rsid w:val="000E4413"/>
    <w:rsid w:val="000F7884"/>
    <w:rsid w:val="00101E6D"/>
    <w:rsid w:val="00106D9C"/>
    <w:rsid w:val="001104D1"/>
    <w:rsid w:val="001176FF"/>
    <w:rsid w:val="001179A4"/>
    <w:rsid w:val="00121408"/>
    <w:rsid w:val="00125D5B"/>
    <w:rsid w:val="00126ED2"/>
    <w:rsid w:val="00134DB8"/>
    <w:rsid w:val="0015734C"/>
    <w:rsid w:val="00160162"/>
    <w:rsid w:val="00163663"/>
    <w:rsid w:val="00163BD2"/>
    <w:rsid w:val="00163CA2"/>
    <w:rsid w:val="00165BDF"/>
    <w:rsid w:val="0016682B"/>
    <w:rsid w:val="00166DB2"/>
    <w:rsid w:val="00166FAE"/>
    <w:rsid w:val="00171C93"/>
    <w:rsid w:val="00177C86"/>
    <w:rsid w:val="00180193"/>
    <w:rsid w:val="0018268F"/>
    <w:rsid w:val="0018499D"/>
    <w:rsid w:val="00192170"/>
    <w:rsid w:val="001A7CEE"/>
    <w:rsid w:val="001B20E2"/>
    <w:rsid w:val="001B6E41"/>
    <w:rsid w:val="001C6D16"/>
    <w:rsid w:val="001D003E"/>
    <w:rsid w:val="001D27C3"/>
    <w:rsid w:val="001D2AA8"/>
    <w:rsid w:val="001D3477"/>
    <w:rsid w:val="001D6C7D"/>
    <w:rsid w:val="001E5DAB"/>
    <w:rsid w:val="001E5F8D"/>
    <w:rsid w:val="001E65E0"/>
    <w:rsid w:val="001E75EB"/>
    <w:rsid w:val="001E7803"/>
    <w:rsid w:val="00206BA9"/>
    <w:rsid w:val="00206BCC"/>
    <w:rsid w:val="00207282"/>
    <w:rsid w:val="00210AF0"/>
    <w:rsid w:val="00210C14"/>
    <w:rsid w:val="002129C3"/>
    <w:rsid w:val="00226925"/>
    <w:rsid w:val="00227C1A"/>
    <w:rsid w:val="0023196C"/>
    <w:rsid w:val="002375CD"/>
    <w:rsid w:val="00245B3B"/>
    <w:rsid w:val="00250EF8"/>
    <w:rsid w:val="002514B2"/>
    <w:rsid w:val="0027029B"/>
    <w:rsid w:val="002708BC"/>
    <w:rsid w:val="00271391"/>
    <w:rsid w:val="00272C91"/>
    <w:rsid w:val="002818CF"/>
    <w:rsid w:val="00284B97"/>
    <w:rsid w:val="002879BA"/>
    <w:rsid w:val="002A00B6"/>
    <w:rsid w:val="002A18AC"/>
    <w:rsid w:val="002A6AE0"/>
    <w:rsid w:val="002B17C1"/>
    <w:rsid w:val="002B1C01"/>
    <w:rsid w:val="002B5BC0"/>
    <w:rsid w:val="002C1C9D"/>
    <w:rsid w:val="002C4FDE"/>
    <w:rsid w:val="002C53D4"/>
    <w:rsid w:val="002D4EC1"/>
    <w:rsid w:val="002E22D8"/>
    <w:rsid w:val="002E5217"/>
    <w:rsid w:val="002E5342"/>
    <w:rsid w:val="002F0BFA"/>
    <w:rsid w:val="002F0F81"/>
    <w:rsid w:val="002F1360"/>
    <w:rsid w:val="002F44D7"/>
    <w:rsid w:val="002F72B2"/>
    <w:rsid w:val="00300594"/>
    <w:rsid w:val="00313FEB"/>
    <w:rsid w:val="00316FED"/>
    <w:rsid w:val="00323258"/>
    <w:rsid w:val="0032457A"/>
    <w:rsid w:val="003253EC"/>
    <w:rsid w:val="00326BF4"/>
    <w:rsid w:val="003338EF"/>
    <w:rsid w:val="00335C2C"/>
    <w:rsid w:val="00336DE5"/>
    <w:rsid w:val="00354C80"/>
    <w:rsid w:val="003741DB"/>
    <w:rsid w:val="003761D5"/>
    <w:rsid w:val="003871FA"/>
    <w:rsid w:val="003879BF"/>
    <w:rsid w:val="00390E1A"/>
    <w:rsid w:val="00394644"/>
    <w:rsid w:val="00395459"/>
    <w:rsid w:val="003A1D6F"/>
    <w:rsid w:val="003A5E60"/>
    <w:rsid w:val="003A707D"/>
    <w:rsid w:val="003B0490"/>
    <w:rsid w:val="003B0F02"/>
    <w:rsid w:val="003C02D6"/>
    <w:rsid w:val="003C0900"/>
    <w:rsid w:val="003C1D12"/>
    <w:rsid w:val="003C1DDE"/>
    <w:rsid w:val="003C315D"/>
    <w:rsid w:val="003C5274"/>
    <w:rsid w:val="003C73ED"/>
    <w:rsid w:val="003D1654"/>
    <w:rsid w:val="003D286C"/>
    <w:rsid w:val="003E3300"/>
    <w:rsid w:val="003F3BFB"/>
    <w:rsid w:val="003F6C52"/>
    <w:rsid w:val="004111E4"/>
    <w:rsid w:val="004302D4"/>
    <w:rsid w:val="00434782"/>
    <w:rsid w:val="004360DA"/>
    <w:rsid w:val="00437DCC"/>
    <w:rsid w:val="004409DC"/>
    <w:rsid w:val="00444073"/>
    <w:rsid w:val="004444B2"/>
    <w:rsid w:val="00445F10"/>
    <w:rsid w:val="00446740"/>
    <w:rsid w:val="00453828"/>
    <w:rsid w:val="00456DC5"/>
    <w:rsid w:val="0046040B"/>
    <w:rsid w:val="004659C5"/>
    <w:rsid w:val="00466CC3"/>
    <w:rsid w:val="00467781"/>
    <w:rsid w:val="0047257D"/>
    <w:rsid w:val="004762D9"/>
    <w:rsid w:val="00484E53"/>
    <w:rsid w:val="004919A8"/>
    <w:rsid w:val="004A34F3"/>
    <w:rsid w:val="004A61F9"/>
    <w:rsid w:val="004B03F7"/>
    <w:rsid w:val="004B2EA7"/>
    <w:rsid w:val="004B64B6"/>
    <w:rsid w:val="004C4863"/>
    <w:rsid w:val="004C68E9"/>
    <w:rsid w:val="004D08BA"/>
    <w:rsid w:val="004D3E6B"/>
    <w:rsid w:val="005008DA"/>
    <w:rsid w:val="0051505D"/>
    <w:rsid w:val="005264BB"/>
    <w:rsid w:val="0053614C"/>
    <w:rsid w:val="00543DF3"/>
    <w:rsid w:val="005563FB"/>
    <w:rsid w:val="00556C7C"/>
    <w:rsid w:val="005575AF"/>
    <w:rsid w:val="00560C88"/>
    <w:rsid w:val="00562376"/>
    <w:rsid w:val="00570F42"/>
    <w:rsid w:val="00577D61"/>
    <w:rsid w:val="005844FC"/>
    <w:rsid w:val="00586E6A"/>
    <w:rsid w:val="00593042"/>
    <w:rsid w:val="00594490"/>
    <w:rsid w:val="005A5BEE"/>
    <w:rsid w:val="005B4F54"/>
    <w:rsid w:val="005B690E"/>
    <w:rsid w:val="005B6F09"/>
    <w:rsid w:val="005C4137"/>
    <w:rsid w:val="005C4FE7"/>
    <w:rsid w:val="005C589C"/>
    <w:rsid w:val="005C7BDF"/>
    <w:rsid w:val="005D480A"/>
    <w:rsid w:val="005E30FB"/>
    <w:rsid w:val="005F2561"/>
    <w:rsid w:val="00601A24"/>
    <w:rsid w:val="00602172"/>
    <w:rsid w:val="00606BDB"/>
    <w:rsid w:val="00611F27"/>
    <w:rsid w:val="006122C7"/>
    <w:rsid w:val="0061469F"/>
    <w:rsid w:val="006165C0"/>
    <w:rsid w:val="00622D89"/>
    <w:rsid w:val="00625BC5"/>
    <w:rsid w:val="006275CE"/>
    <w:rsid w:val="00634FF2"/>
    <w:rsid w:val="00642133"/>
    <w:rsid w:val="006621F5"/>
    <w:rsid w:val="00695BC5"/>
    <w:rsid w:val="006A4E51"/>
    <w:rsid w:val="006A556D"/>
    <w:rsid w:val="006A63CF"/>
    <w:rsid w:val="006A71B4"/>
    <w:rsid w:val="006B0593"/>
    <w:rsid w:val="006B1FC9"/>
    <w:rsid w:val="006B3EA2"/>
    <w:rsid w:val="006B636F"/>
    <w:rsid w:val="006C5F4D"/>
    <w:rsid w:val="006E24C1"/>
    <w:rsid w:val="006E2F6F"/>
    <w:rsid w:val="006E4147"/>
    <w:rsid w:val="0071063A"/>
    <w:rsid w:val="00722A1F"/>
    <w:rsid w:val="00740141"/>
    <w:rsid w:val="00741279"/>
    <w:rsid w:val="007423A4"/>
    <w:rsid w:val="00743BD6"/>
    <w:rsid w:val="00750FF5"/>
    <w:rsid w:val="00754406"/>
    <w:rsid w:val="007672D4"/>
    <w:rsid w:val="007730BD"/>
    <w:rsid w:val="007753A5"/>
    <w:rsid w:val="007772DE"/>
    <w:rsid w:val="007778E8"/>
    <w:rsid w:val="00782A22"/>
    <w:rsid w:val="00783D8D"/>
    <w:rsid w:val="00786BE8"/>
    <w:rsid w:val="007923FA"/>
    <w:rsid w:val="00795D1C"/>
    <w:rsid w:val="007A49E2"/>
    <w:rsid w:val="007B2FBB"/>
    <w:rsid w:val="007B3982"/>
    <w:rsid w:val="007B55AB"/>
    <w:rsid w:val="007B5FEE"/>
    <w:rsid w:val="007B693D"/>
    <w:rsid w:val="007B7E56"/>
    <w:rsid w:val="007C0B1C"/>
    <w:rsid w:val="007C7AA3"/>
    <w:rsid w:val="007C7E59"/>
    <w:rsid w:val="007D41D7"/>
    <w:rsid w:val="007D615C"/>
    <w:rsid w:val="007F1457"/>
    <w:rsid w:val="00812130"/>
    <w:rsid w:val="00812ED0"/>
    <w:rsid w:val="008145F7"/>
    <w:rsid w:val="00823405"/>
    <w:rsid w:val="00826B50"/>
    <w:rsid w:val="00827E39"/>
    <w:rsid w:val="008314BC"/>
    <w:rsid w:val="0083170B"/>
    <w:rsid w:val="00834586"/>
    <w:rsid w:val="00840996"/>
    <w:rsid w:val="008449E7"/>
    <w:rsid w:val="00850A44"/>
    <w:rsid w:val="0085646E"/>
    <w:rsid w:val="00857DB5"/>
    <w:rsid w:val="00861306"/>
    <w:rsid w:val="008614BA"/>
    <w:rsid w:val="0086197B"/>
    <w:rsid w:val="00865639"/>
    <w:rsid w:val="008733C7"/>
    <w:rsid w:val="00874F8F"/>
    <w:rsid w:val="00876904"/>
    <w:rsid w:val="00883A33"/>
    <w:rsid w:val="00883DB7"/>
    <w:rsid w:val="00884874"/>
    <w:rsid w:val="00894A6E"/>
    <w:rsid w:val="008951F1"/>
    <w:rsid w:val="008965B8"/>
    <w:rsid w:val="008B13A1"/>
    <w:rsid w:val="008C1413"/>
    <w:rsid w:val="008C49F1"/>
    <w:rsid w:val="008C5C1D"/>
    <w:rsid w:val="008C69A3"/>
    <w:rsid w:val="008D30EF"/>
    <w:rsid w:val="008D608F"/>
    <w:rsid w:val="008E2D8C"/>
    <w:rsid w:val="008F011F"/>
    <w:rsid w:val="008F33BD"/>
    <w:rsid w:val="008F46CF"/>
    <w:rsid w:val="00907CDE"/>
    <w:rsid w:val="00911A3B"/>
    <w:rsid w:val="00912A61"/>
    <w:rsid w:val="0092563B"/>
    <w:rsid w:val="009321FD"/>
    <w:rsid w:val="00933721"/>
    <w:rsid w:val="009528E0"/>
    <w:rsid w:val="009573EB"/>
    <w:rsid w:val="009600FB"/>
    <w:rsid w:val="00960998"/>
    <w:rsid w:val="00970CEC"/>
    <w:rsid w:val="00974AFE"/>
    <w:rsid w:val="00985FEB"/>
    <w:rsid w:val="00986036"/>
    <w:rsid w:val="009879E9"/>
    <w:rsid w:val="00990069"/>
    <w:rsid w:val="009A239C"/>
    <w:rsid w:val="009A5CE3"/>
    <w:rsid w:val="009B7572"/>
    <w:rsid w:val="009C0AB8"/>
    <w:rsid w:val="009C35E1"/>
    <w:rsid w:val="009C5B92"/>
    <w:rsid w:val="009D2C3C"/>
    <w:rsid w:val="009D3BEF"/>
    <w:rsid w:val="009E1BF7"/>
    <w:rsid w:val="009E52D0"/>
    <w:rsid w:val="009F0864"/>
    <w:rsid w:val="00A04925"/>
    <w:rsid w:val="00A05B94"/>
    <w:rsid w:val="00A1142F"/>
    <w:rsid w:val="00A131DF"/>
    <w:rsid w:val="00A1417E"/>
    <w:rsid w:val="00A24F1B"/>
    <w:rsid w:val="00A26EEC"/>
    <w:rsid w:val="00A33CB0"/>
    <w:rsid w:val="00A35B22"/>
    <w:rsid w:val="00A438E8"/>
    <w:rsid w:val="00A43F26"/>
    <w:rsid w:val="00A5282A"/>
    <w:rsid w:val="00A57247"/>
    <w:rsid w:val="00A72442"/>
    <w:rsid w:val="00A725E5"/>
    <w:rsid w:val="00A75A7D"/>
    <w:rsid w:val="00A8216D"/>
    <w:rsid w:val="00A85907"/>
    <w:rsid w:val="00A905BC"/>
    <w:rsid w:val="00A92534"/>
    <w:rsid w:val="00AA15D0"/>
    <w:rsid w:val="00AA1C39"/>
    <w:rsid w:val="00AA2B6D"/>
    <w:rsid w:val="00AA550B"/>
    <w:rsid w:val="00AA6411"/>
    <w:rsid w:val="00AA73A8"/>
    <w:rsid w:val="00AB02D9"/>
    <w:rsid w:val="00AB5EEA"/>
    <w:rsid w:val="00AB74F0"/>
    <w:rsid w:val="00AC0F68"/>
    <w:rsid w:val="00AC5D5F"/>
    <w:rsid w:val="00AC621C"/>
    <w:rsid w:val="00AD37DA"/>
    <w:rsid w:val="00AE07BA"/>
    <w:rsid w:val="00AE254B"/>
    <w:rsid w:val="00AE5D01"/>
    <w:rsid w:val="00B01915"/>
    <w:rsid w:val="00B3185B"/>
    <w:rsid w:val="00B3290A"/>
    <w:rsid w:val="00B33B08"/>
    <w:rsid w:val="00B42B8A"/>
    <w:rsid w:val="00B47A0B"/>
    <w:rsid w:val="00B52B50"/>
    <w:rsid w:val="00B546FE"/>
    <w:rsid w:val="00B55650"/>
    <w:rsid w:val="00B5772D"/>
    <w:rsid w:val="00B61C2F"/>
    <w:rsid w:val="00B64662"/>
    <w:rsid w:val="00B656A9"/>
    <w:rsid w:val="00B673DE"/>
    <w:rsid w:val="00B71D93"/>
    <w:rsid w:val="00B80653"/>
    <w:rsid w:val="00B90A71"/>
    <w:rsid w:val="00B9408F"/>
    <w:rsid w:val="00BA4242"/>
    <w:rsid w:val="00BB6CED"/>
    <w:rsid w:val="00BC0C80"/>
    <w:rsid w:val="00BC43B1"/>
    <w:rsid w:val="00BD1C21"/>
    <w:rsid w:val="00BD426F"/>
    <w:rsid w:val="00BE16B4"/>
    <w:rsid w:val="00BE3E7D"/>
    <w:rsid w:val="00BF49BE"/>
    <w:rsid w:val="00C01F6C"/>
    <w:rsid w:val="00C02D27"/>
    <w:rsid w:val="00C057A1"/>
    <w:rsid w:val="00C07B1F"/>
    <w:rsid w:val="00C125CA"/>
    <w:rsid w:val="00C14010"/>
    <w:rsid w:val="00C15598"/>
    <w:rsid w:val="00C27132"/>
    <w:rsid w:val="00C3081C"/>
    <w:rsid w:val="00C36639"/>
    <w:rsid w:val="00C37E6E"/>
    <w:rsid w:val="00C472A1"/>
    <w:rsid w:val="00C4780B"/>
    <w:rsid w:val="00C50825"/>
    <w:rsid w:val="00C5111D"/>
    <w:rsid w:val="00C5610A"/>
    <w:rsid w:val="00C56723"/>
    <w:rsid w:val="00C56ED0"/>
    <w:rsid w:val="00C61879"/>
    <w:rsid w:val="00C6288E"/>
    <w:rsid w:val="00C64E82"/>
    <w:rsid w:val="00C65C4F"/>
    <w:rsid w:val="00C66D30"/>
    <w:rsid w:val="00C675C5"/>
    <w:rsid w:val="00C73650"/>
    <w:rsid w:val="00C82C6C"/>
    <w:rsid w:val="00C8323D"/>
    <w:rsid w:val="00C85EA8"/>
    <w:rsid w:val="00C90408"/>
    <w:rsid w:val="00C91412"/>
    <w:rsid w:val="00C975CD"/>
    <w:rsid w:val="00CA6D36"/>
    <w:rsid w:val="00CA7F57"/>
    <w:rsid w:val="00CB18CF"/>
    <w:rsid w:val="00CC10ED"/>
    <w:rsid w:val="00CC769C"/>
    <w:rsid w:val="00CC78C2"/>
    <w:rsid w:val="00CD1E89"/>
    <w:rsid w:val="00CD2DDB"/>
    <w:rsid w:val="00CD3DFD"/>
    <w:rsid w:val="00CD6076"/>
    <w:rsid w:val="00CE4643"/>
    <w:rsid w:val="00CE4E6D"/>
    <w:rsid w:val="00CE64F2"/>
    <w:rsid w:val="00CE6F80"/>
    <w:rsid w:val="00D033E1"/>
    <w:rsid w:val="00D0605E"/>
    <w:rsid w:val="00D14B96"/>
    <w:rsid w:val="00D22752"/>
    <w:rsid w:val="00D25542"/>
    <w:rsid w:val="00D255DB"/>
    <w:rsid w:val="00D25EF1"/>
    <w:rsid w:val="00D32468"/>
    <w:rsid w:val="00D370A0"/>
    <w:rsid w:val="00D37594"/>
    <w:rsid w:val="00D44CB6"/>
    <w:rsid w:val="00D465FC"/>
    <w:rsid w:val="00D53707"/>
    <w:rsid w:val="00D6021D"/>
    <w:rsid w:val="00D63787"/>
    <w:rsid w:val="00D643C2"/>
    <w:rsid w:val="00D6456E"/>
    <w:rsid w:val="00D7373D"/>
    <w:rsid w:val="00D840F7"/>
    <w:rsid w:val="00D859C6"/>
    <w:rsid w:val="00D9495C"/>
    <w:rsid w:val="00D94E0F"/>
    <w:rsid w:val="00D975A7"/>
    <w:rsid w:val="00DA49D7"/>
    <w:rsid w:val="00DB40F6"/>
    <w:rsid w:val="00DB7C62"/>
    <w:rsid w:val="00DC681D"/>
    <w:rsid w:val="00DE103F"/>
    <w:rsid w:val="00DE2937"/>
    <w:rsid w:val="00DE2C6B"/>
    <w:rsid w:val="00DE5DC5"/>
    <w:rsid w:val="00DF11CE"/>
    <w:rsid w:val="00DF5ADE"/>
    <w:rsid w:val="00E0246F"/>
    <w:rsid w:val="00E0384F"/>
    <w:rsid w:val="00E038A5"/>
    <w:rsid w:val="00E04A07"/>
    <w:rsid w:val="00E04EFB"/>
    <w:rsid w:val="00E052C3"/>
    <w:rsid w:val="00E06EED"/>
    <w:rsid w:val="00E2039E"/>
    <w:rsid w:val="00E21C50"/>
    <w:rsid w:val="00E23CD6"/>
    <w:rsid w:val="00E244C5"/>
    <w:rsid w:val="00E2472B"/>
    <w:rsid w:val="00E265AE"/>
    <w:rsid w:val="00E31C16"/>
    <w:rsid w:val="00E3257B"/>
    <w:rsid w:val="00E35AA3"/>
    <w:rsid w:val="00E36024"/>
    <w:rsid w:val="00E50B54"/>
    <w:rsid w:val="00E554E9"/>
    <w:rsid w:val="00E56F68"/>
    <w:rsid w:val="00E62CC1"/>
    <w:rsid w:val="00E63375"/>
    <w:rsid w:val="00E636A6"/>
    <w:rsid w:val="00E91D37"/>
    <w:rsid w:val="00EA22CD"/>
    <w:rsid w:val="00EA40FF"/>
    <w:rsid w:val="00EA7128"/>
    <w:rsid w:val="00EB047B"/>
    <w:rsid w:val="00EB20B5"/>
    <w:rsid w:val="00EB225B"/>
    <w:rsid w:val="00EB4199"/>
    <w:rsid w:val="00EB490C"/>
    <w:rsid w:val="00EB7E5F"/>
    <w:rsid w:val="00EC0441"/>
    <w:rsid w:val="00EC140F"/>
    <w:rsid w:val="00EC17AD"/>
    <w:rsid w:val="00ED072D"/>
    <w:rsid w:val="00EE25A0"/>
    <w:rsid w:val="00EE3427"/>
    <w:rsid w:val="00EE4354"/>
    <w:rsid w:val="00EE4F4F"/>
    <w:rsid w:val="00EF059C"/>
    <w:rsid w:val="00EF6469"/>
    <w:rsid w:val="00F01CFD"/>
    <w:rsid w:val="00F04A13"/>
    <w:rsid w:val="00F04A21"/>
    <w:rsid w:val="00F1069F"/>
    <w:rsid w:val="00F10D71"/>
    <w:rsid w:val="00F12997"/>
    <w:rsid w:val="00F20ED9"/>
    <w:rsid w:val="00F23631"/>
    <w:rsid w:val="00F24CFE"/>
    <w:rsid w:val="00F31570"/>
    <w:rsid w:val="00F33793"/>
    <w:rsid w:val="00F3632F"/>
    <w:rsid w:val="00F406C2"/>
    <w:rsid w:val="00F4393D"/>
    <w:rsid w:val="00F43B5F"/>
    <w:rsid w:val="00F45AC8"/>
    <w:rsid w:val="00F463A2"/>
    <w:rsid w:val="00F54D21"/>
    <w:rsid w:val="00F5613A"/>
    <w:rsid w:val="00F5766C"/>
    <w:rsid w:val="00F57E11"/>
    <w:rsid w:val="00F62143"/>
    <w:rsid w:val="00F667E8"/>
    <w:rsid w:val="00F701B6"/>
    <w:rsid w:val="00F73C4F"/>
    <w:rsid w:val="00F82EE1"/>
    <w:rsid w:val="00F86492"/>
    <w:rsid w:val="00F872B7"/>
    <w:rsid w:val="00F919D9"/>
    <w:rsid w:val="00FB1BC2"/>
    <w:rsid w:val="00FB7528"/>
    <w:rsid w:val="00FC0137"/>
    <w:rsid w:val="00FC5D57"/>
    <w:rsid w:val="00FC73F1"/>
    <w:rsid w:val="00FD430C"/>
    <w:rsid w:val="00FD4BB2"/>
    <w:rsid w:val="00FD7A0B"/>
    <w:rsid w:val="00FE1E78"/>
    <w:rsid w:val="00FE3EE4"/>
    <w:rsid w:val="00FE504C"/>
    <w:rsid w:val="00FE5C29"/>
    <w:rsid w:val="00FF1BA7"/>
    <w:rsid w:val="00FF2E05"/>
    <w:rsid w:val="00FF6A1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0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EED"/>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457A"/>
    <w:pPr>
      <w:spacing w:after="0" w:line="240" w:lineRule="auto"/>
      <w:jc w:val="left"/>
    </w:pPr>
    <w:rPr>
      <w:rFonts w:eastAsia="Times New Roman" w:cs="Times New Roman"/>
      <w:szCs w:val="24"/>
      <w:lang w:eastAsia="lv-LV"/>
    </w:rPr>
  </w:style>
  <w:style w:type="character" w:styleId="Emphasis">
    <w:name w:val="Emphasis"/>
    <w:basedOn w:val="DefaultParagraphFont"/>
    <w:uiPriority w:val="20"/>
    <w:qFormat/>
    <w:rsid w:val="0032457A"/>
    <w:rPr>
      <w:i/>
      <w:iCs/>
    </w:rPr>
  </w:style>
  <w:style w:type="character" w:styleId="Hyperlink">
    <w:name w:val="Hyperlink"/>
    <w:basedOn w:val="DefaultParagraphFont"/>
    <w:uiPriority w:val="99"/>
    <w:unhideWhenUsed/>
    <w:rsid w:val="0032457A"/>
    <w:rPr>
      <w:color w:val="0000FF"/>
      <w:u w:val="single"/>
    </w:rPr>
  </w:style>
  <w:style w:type="paragraph" w:customStyle="1" w:styleId="Style1">
    <w:name w:val="Style1"/>
    <w:basedOn w:val="Normal"/>
    <w:next w:val="Normal"/>
    <w:link w:val="Style1Char"/>
    <w:qFormat/>
    <w:rsid w:val="00AA550B"/>
    <w:pPr>
      <w:widowControl w:val="0"/>
      <w:numPr>
        <w:numId w:val="1"/>
      </w:numPr>
      <w:tabs>
        <w:tab w:val="left" w:pos="1134"/>
      </w:tabs>
      <w:spacing w:after="0" w:line="300" w:lineRule="auto"/>
      <w:ind w:firstLine="720"/>
    </w:pPr>
    <w:rPr>
      <w:rFonts w:eastAsia="Times New Roman" w:cs="Times New Roman"/>
      <w:color w:val="000000"/>
      <w:szCs w:val="20"/>
      <w:lang w:val="ru-RU" w:eastAsia="lv-LV"/>
    </w:rPr>
  </w:style>
  <w:style w:type="character" w:customStyle="1" w:styleId="Style1Char">
    <w:name w:val="Style1 Char"/>
    <w:basedOn w:val="DefaultParagraphFont"/>
    <w:link w:val="Style1"/>
    <w:rsid w:val="00AA550B"/>
    <w:rPr>
      <w:rFonts w:ascii="Times New Roman" w:eastAsia="Times New Roman" w:hAnsi="Times New Roman" w:cs="Times New Roman"/>
      <w:color w:val="000000"/>
      <w:sz w:val="24"/>
      <w:szCs w:val="20"/>
      <w:lang w:val="ru-RU" w:eastAsia="lv-LV"/>
    </w:rPr>
  </w:style>
  <w:style w:type="paragraph" w:customStyle="1" w:styleId="Style2">
    <w:name w:val="Style2"/>
    <w:basedOn w:val="Style1"/>
    <w:next w:val="Normal"/>
    <w:qFormat/>
    <w:rsid w:val="00AA550B"/>
    <w:pPr>
      <w:numPr>
        <w:ilvl w:val="1"/>
      </w:numPr>
      <w:tabs>
        <w:tab w:val="num" w:pos="360"/>
      </w:tabs>
    </w:pPr>
  </w:style>
  <w:style w:type="paragraph" w:styleId="BalloonText">
    <w:name w:val="Balloon Text"/>
    <w:basedOn w:val="Normal"/>
    <w:link w:val="BalloonTextChar"/>
    <w:uiPriority w:val="99"/>
    <w:semiHidden/>
    <w:unhideWhenUsed/>
    <w:rsid w:val="00AA55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50B"/>
    <w:rPr>
      <w:rFonts w:ascii="Tahoma" w:hAnsi="Tahoma" w:cs="Tahoma"/>
      <w:sz w:val="16"/>
      <w:szCs w:val="16"/>
    </w:rPr>
  </w:style>
  <w:style w:type="paragraph" w:styleId="Header">
    <w:name w:val="header"/>
    <w:basedOn w:val="Normal"/>
    <w:link w:val="HeaderChar"/>
    <w:uiPriority w:val="99"/>
    <w:unhideWhenUsed/>
    <w:rsid w:val="00AA55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550B"/>
    <w:rPr>
      <w:rFonts w:ascii="Times New Roman" w:hAnsi="Times New Roman"/>
      <w:sz w:val="24"/>
    </w:rPr>
  </w:style>
  <w:style w:type="paragraph" w:styleId="Footer">
    <w:name w:val="footer"/>
    <w:basedOn w:val="Normal"/>
    <w:link w:val="FooterChar"/>
    <w:uiPriority w:val="99"/>
    <w:unhideWhenUsed/>
    <w:rsid w:val="00AA550B"/>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AA550B"/>
    <w:rPr>
      <w:rFonts w:ascii="Times New Roman" w:hAnsi="Times New Roman"/>
      <w:sz w:val="24"/>
    </w:rPr>
  </w:style>
  <w:style w:type="paragraph" w:styleId="BodyText2">
    <w:name w:val="Body Text 2"/>
    <w:basedOn w:val="Normal"/>
    <w:link w:val="BodyText2Char"/>
    <w:rsid w:val="007772DE"/>
    <w:pPr>
      <w:spacing w:after="120" w:line="480" w:lineRule="auto"/>
      <w:jc w:val="left"/>
    </w:pPr>
    <w:rPr>
      <w:rFonts w:eastAsia="Times New Roman" w:cs="Times New Roman"/>
      <w:szCs w:val="24"/>
      <w:lang w:val="x-none" w:eastAsia="ru-RU"/>
    </w:rPr>
  </w:style>
  <w:style w:type="character" w:customStyle="1" w:styleId="BodyText2Char">
    <w:name w:val="Body Text 2 Char"/>
    <w:basedOn w:val="DefaultParagraphFont"/>
    <w:link w:val="BodyText2"/>
    <w:rsid w:val="007772DE"/>
    <w:rPr>
      <w:rFonts w:ascii="Times New Roman" w:eastAsia="Times New Roman" w:hAnsi="Times New Roman" w:cs="Times New Roman"/>
      <w:sz w:val="24"/>
      <w:szCs w:val="24"/>
      <w:lang w:val="x-none" w:eastAsia="ru-RU"/>
    </w:rPr>
  </w:style>
  <w:style w:type="character" w:styleId="CommentReference">
    <w:name w:val="annotation reference"/>
    <w:basedOn w:val="DefaultParagraphFont"/>
    <w:uiPriority w:val="99"/>
    <w:semiHidden/>
    <w:unhideWhenUsed/>
    <w:rsid w:val="00021EAA"/>
    <w:rPr>
      <w:sz w:val="16"/>
      <w:szCs w:val="16"/>
    </w:rPr>
  </w:style>
  <w:style w:type="paragraph" w:styleId="CommentText">
    <w:name w:val="annotation text"/>
    <w:basedOn w:val="Normal"/>
    <w:link w:val="CommentTextChar"/>
    <w:uiPriority w:val="99"/>
    <w:semiHidden/>
    <w:unhideWhenUsed/>
    <w:rsid w:val="00021EAA"/>
    <w:pPr>
      <w:spacing w:line="240" w:lineRule="auto"/>
    </w:pPr>
    <w:rPr>
      <w:sz w:val="20"/>
      <w:szCs w:val="20"/>
    </w:rPr>
  </w:style>
  <w:style w:type="character" w:customStyle="1" w:styleId="CommentTextChar">
    <w:name w:val="Comment Text Char"/>
    <w:basedOn w:val="DefaultParagraphFont"/>
    <w:link w:val="CommentText"/>
    <w:uiPriority w:val="99"/>
    <w:semiHidden/>
    <w:rsid w:val="00021EA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21EAA"/>
    <w:rPr>
      <w:b/>
      <w:bCs/>
    </w:rPr>
  </w:style>
  <w:style w:type="character" w:customStyle="1" w:styleId="CommentSubjectChar">
    <w:name w:val="Comment Subject Char"/>
    <w:basedOn w:val="CommentTextChar"/>
    <w:link w:val="CommentSubject"/>
    <w:uiPriority w:val="99"/>
    <w:semiHidden/>
    <w:rsid w:val="00021EAA"/>
    <w:rPr>
      <w:rFonts w:ascii="Times New Roman" w:hAnsi="Times New Roman"/>
      <w:b/>
      <w:bCs/>
      <w:sz w:val="20"/>
      <w:szCs w:val="20"/>
    </w:rPr>
  </w:style>
  <w:style w:type="paragraph" w:customStyle="1" w:styleId="tv213">
    <w:name w:val="tv213"/>
    <w:basedOn w:val="Normal"/>
    <w:rsid w:val="00B80653"/>
    <w:pPr>
      <w:spacing w:before="100" w:beforeAutospacing="1" w:after="100" w:afterAutospacing="1" w:line="240" w:lineRule="auto"/>
      <w:jc w:val="left"/>
    </w:pPr>
    <w:rPr>
      <w:rFonts w:eastAsia="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5796">
      <w:bodyDiv w:val="1"/>
      <w:marLeft w:val="0"/>
      <w:marRight w:val="0"/>
      <w:marTop w:val="0"/>
      <w:marBottom w:val="0"/>
      <w:divBdr>
        <w:top w:val="none" w:sz="0" w:space="0" w:color="auto"/>
        <w:left w:val="none" w:sz="0" w:space="0" w:color="auto"/>
        <w:bottom w:val="none" w:sz="0" w:space="0" w:color="auto"/>
        <w:right w:val="none" w:sz="0" w:space="0" w:color="auto"/>
      </w:divBdr>
    </w:div>
    <w:div w:id="282813478">
      <w:bodyDiv w:val="1"/>
      <w:marLeft w:val="0"/>
      <w:marRight w:val="0"/>
      <w:marTop w:val="0"/>
      <w:marBottom w:val="0"/>
      <w:divBdr>
        <w:top w:val="none" w:sz="0" w:space="0" w:color="auto"/>
        <w:left w:val="none" w:sz="0" w:space="0" w:color="auto"/>
        <w:bottom w:val="none" w:sz="0" w:space="0" w:color="auto"/>
        <w:right w:val="none" w:sz="0" w:space="0" w:color="auto"/>
      </w:divBdr>
    </w:div>
    <w:div w:id="349989284">
      <w:bodyDiv w:val="1"/>
      <w:marLeft w:val="0"/>
      <w:marRight w:val="0"/>
      <w:marTop w:val="0"/>
      <w:marBottom w:val="0"/>
      <w:divBdr>
        <w:top w:val="none" w:sz="0" w:space="0" w:color="auto"/>
        <w:left w:val="none" w:sz="0" w:space="0" w:color="auto"/>
        <w:bottom w:val="none" w:sz="0" w:space="0" w:color="auto"/>
        <w:right w:val="none" w:sz="0" w:space="0" w:color="auto"/>
      </w:divBdr>
    </w:div>
    <w:div w:id="575361366">
      <w:bodyDiv w:val="1"/>
      <w:marLeft w:val="0"/>
      <w:marRight w:val="0"/>
      <w:marTop w:val="0"/>
      <w:marBottom w:val="0"/>
      <w:divBdr>
        <w:top w:val="none" w:sz="0" w:space="0" w:color="auto"/>
        <w:left w:val="none" w:sz="0" w:space="0" w:color="auto"/>
        <w:bottom w:val="none" w:sz="0" w:space="0" w:color="auto"/>
        <w:right w:val="none" w:sz="0" w:space="0" w:color="auto"/>
      </w:divBdr>
    </w:div>
    <w:div w:id="617494252">
      <w:bodyDiv w:val="1"/>
      <w:marLeft w:val="0"/>
      <w:marRight w:val="0"/>
      <w:marTop w:val="0"/>
      <w:marBottom w:val="0"/>
      <w:divBdr>
        <w:top w:val="none" w:sz="0" w:space="0" w:color="auto"/>
        <w:left w:val="none" w:sz="0" w:space="0" w:color="auto"/>
        <w:bottom w:val="none" w:sz="0" w:space="0" w:color="auto"/>
        <w:right w:val="none" w:sz="0" w:space="0" w:color="auto"/>
      </w:divBdr>
    </w:div>
    <w:div w:id="667444331">
      <w:bodyDiv w:val="1"/>
      <w:marLeft w:val="0"/>
      <w:marRight w:val="0"/>
      <w:marTop w:val="0"/>
      <w:marBottom w:val="0"/>
      <w:divBdr>
        <w:top w:val="none" w:sz="0" w:space="0" w:color="auto"/>
        <w:left w:val="none" w:sz="0" w:space="0" w:color="auto"/>
        <w:bottom w:val="none" w:sz="0" w:space="0" w:color="auto"/>
        <w:right w:val="none" w:sz="0" w:space="0" w:color="auto"/>
      </w:divBdr>
    </w:div>
    <w:div w:id="952594524">
      <w:bodyDiv w:val="1"/>
      <w:marLeft w:val="0"/>
      <w:marRight w:val="0"/>
      <w:marTop w:val="0"/>
      <w:marBottom w:val="0"/>
      <w:divBdr>
        <w:top w:val="none" w:sz="0" w:space="0" w:color="auto"/>
        <w:left w:val="none" w:sz="0" w:space="0" w:color="auto"/>
        <w:bottom w:val="none" w:sz="0" w:space="0" w:color="auto"/>
        <w:right w:val="none" w:sz="0" w:space="0" w:color="auto"/>
      </w:divBdr>
    </w:div>
    <w:div w:id="1504314715">
      <w:bodyDiv w:val="1"/>
      <w:marLeft w:val="0"/>
      <w:marRight w:val="0"/>
      <w:marTop w:val="0"/>
      <w:marBottom w:val="0"/>
      <w:divBdr>
        <w:top w:val="none" w:sz="0" w:space="0" w:color="auto"/>
        <w:left w:val="none" w:sz="0" w:space="0" w:color="auto"/>
        <w:bottom w:val="none" w:sz="0" w:space="0" w:color="auto"/>
        <w:right w:val="none" w:sz="0" w:space="0" w:color="auto"/>
      </w:divBdr>
    </w:div>
    <w:div w:id="1514875895">
      <w:bodyDiv w:val="1"/>
      <w:marLeft w:val="0"/>
      <w:marRight w:val="0"/>
      <w:marTop w:val="0"/>
      <w:marBottom w:val="0"/>
      <w:divBdr>
        <w:top w:val="none" w:sz="0" w:space="0" w:color="auto"/>
        <w:left w:val="none" w:sz="0" w:space="0" w:color="auto"/>
        <w:bottom w:val="none" w:sz="0" w:space="0" w:color="auto"/>
        <w:right w:val="none" w:sz="0" w:space="0" w:color="auto"/>
      </w:divBdr>
    </w:div>
    <w:div w:id="185016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359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8D444-3C42-45BF-9357-54696F68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1744</Words>
  <Characters>9945</Characters>
  <Application>Microsoft Office Word</Application>
  <DocSecurity>0</DocSecurity>
  <Lines>82</Lines>
  <Paragraphs>23</Paragraphs>
  <ScaleCrop>false</ScaleCrop>
  <Company/>
  <LinksUpToDate>false</LinksUpToDate>
  <CharactersWithSpaces>11666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2023-06-07T13:31:00Z</dcterms:created>
  <dcterms:modified xsi:type="dcterms:W3CDTF">2023-06-07T13:31:00Z</dcterms:modified>
</cp:coreProperties>
</file>