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E2F8" w14:textId="6E647196" w:rsidR="00770294" w:rsidRDefault="0076084E" w:rsidP="0076084E">
      <w:pPr>
        <w:ind w:firstLine="0"/>
        <w:jc w:val="both"/>
        <w:rPr>
          <w:b/>
          <w:bCs/>
        </w:rPr>
      </w:pPr>
      <w:r>
        <w:rPr>
          <w:b/>
          <w:bCs/>
        </w:rPr>
        <w:t>Atbildību mīkstinošā apstākļa – vainīgais sekmējis citas personas nozieguma atklāšanu – konstatēšana</w:t>
      </w:r>
    </w:p>
    <w:p w14:paraId="3525214E" w14:textId="4BD6D7EC" w:rsidR="0076084E" w:rsidRDefault="0076084E" w:rsidP="0076084E">
      <w:pPr>
        <w:ind w:firstLine="0"/>
        <w:jc w:val="both"/>
      </w:pPr>
      <w:r>
        <w:t>Lai konstatētu Krimināllikuma 47. panta pirmās daļas 4. punktā norādīto atbildību mīkstinošo apstākli, lietā jābūt pierādītam, ka apsūdzētās personas sniegtā informācija ir palīdzējusi atklāt citas personas noziegumu un šī cita persona par šo noziegumu ir vismaz saukta pie kriminālatbildības.</w:t>
      </w:r>
    </w:p>
    <w:p w14:paraId="769EE7F4" w14:textId="32FE42D9" w:rsidR="009C282C" w:rsidRPr="00265EE9" w:rsidRDefault="00770BA7" w:rsidP="0076084E">
      <w:pPr>
        <w:jc w:val="right"/>
      </w:pPr>
      <w:r>
        <w:t xml:space="preserve"> </w:t>
      </w:r>
    </w:p>
    <w:p w14:paraId="6D22A234" w14:textId="77777777" w:rsidR="0076084E" w:rsidRPr="0076084E" w:rsidRDefault="009C282C" w:rsidP="002577EC">
      <w:pPr>
        <w:ind w:firstLine="0"/>
        <w:jc w:val="center"/>
        <w:rPr>
          <w:rFonts w:cs="Times New Roman"/>
          <w:b/>
          <w:bCs/>
          <w:szCs w:val="24"/>
        </w:rPr>
      </w:pPr>
      <w:r w:rsidRPr="0076084E">
        <w:rPr>
          <w:rFonts w:cs="Times New Roman"/>
          <w:b/>
          <w:bCs/>
          <w:szCs w:val="24"/>
        </w:rPr>
        <w:t>Latvijas Republikas Senāt</w:t>
      </w:r>
      <w:r w:rsidR="0076084E" w:rsidRPr="0076084E">
        <w:rPr>
          <w:rFonts w:cs="Times New Roman"/>
          <w:b/>
          <w:bCs/>
          <w:szCs w:val="24"/>
        </w:rPr>
        <w:t xml:space="preserve">a </w:t>
      </w:r>
    </w:p>
    <w:p w14:paraId="4FC2B635" w14:textId="77777777" w:rsidR="0076084E" w:rsidRPr="0076084E" w:rsidRDefault="0076084E" w:rsidP="002577EC">
      <w:pPr>
        <w:ind w:firstLine="0"/>
        <w:jc w:val="center"/>
        <w:rPr>
          <w:rFonts w:cs="Times New Roman"/>
          <w:b/>
          <w:bCs/>
          <w:szCs w:val="24"/>
        </w:rPr>
      </w:pPr>
      <w:r w:rsidRPr="0076084E">
        <w:rPr>
          <w:rFonts w:cs="Times New Roman"/>
          <w:b/>
          <w:bCs/>
          <w:szCs w:val="24"/>
        </w:rPr>
        <w:t>Krimināllietu departamenta</w:t>
      </w:r>
    </w:p>
    <w:p w14:paraId="246BB4BE" w14:textId="480054D1" w:rsidR="009C282C" w:rsidRPr="0076084E" w:rsidRDefault="0076084E" w:rsidP="002577EC">
      <w:pPr>
        <w:ind w:firstLine="0"/>
        <w:jc w:val="center"/>
        <w:rPr>
          <w:rFonts w:cs="Times New Roman"/>
          <w:b/>
          <w:bCs/>
          <w:szCs w:val="24"/>
        </w:rPr>
      </w:pPr>
      <w:r w:rsidRPr="0076084E">
        <w:rPr>
          <w:rFonts w:cs="Times New Roman"/>
          <w:b/>
          <w:bCs/>
          <w:szCs w:val="24"/>
        </w:rPr>
        <w:t>2023. gada 26. maija</w:t>
      </w:r>
    </w:p>
    <w:p w14:paraId="3AF1D7F3" w14:textId="0A663ED8" w:rsidR="009C282C" w:rsidRPr="0076084E" w:rsidRDefault="009C282C" w:rsidP="002577EC">
      <w:pPr>
        <w:ind w:firstLine="0"/>
        <w:jc w:val="center"/>
        <w:rPr>
          <w:rFonts w:cs="Times New Roman"/>
          <w:b/>
          <w:bCs/>
          <w:szCs w:val="24"/>
        </w:rPr>
      </w:pPr>
      <w:r w:rsidRPr="0076084E">
        <w:rPr>
          <w:rFonts w:cs="Times New Roman"/>
          <w:b/>
          <w:bCs/>
          <w:szCs w:val="24"/>
        </w:rPr>
        <w:t>LĒMUMS</w:t>
      </w:r>
    </w:p>
    <w:p w14:paraId="0F85A091" w14:textId="733BBA0E" w:rsidR="009C282C" w:rsidRPr="0076084E" w:rsidRDefault="0076084E" w:rsidP="002577EC">
      <w:pPr>
        <w:ind w:firstLine="0"/>
        <w:jc w:val="center"/>
        <w:rPr>
          <w:rFonts w:cs="Times New Roman"/>
          <w:b/>
          <w:bCs/>
          <w:szCs w:val="24"/>
        </w:rPr>
      </w:pPr>
      <w:r w:rsidRPr="0076084E">
        <w:rPr>
          <w:rFonts w:cs="Times New Roman"/>
          <w:b/>
          <w:bCs/>
          <w:szCs w:val="24"/>
        </w:rPr>
        <w:t>Lieta Nr. 11089008615, SKK</w:t>
      </w:r>
      <w:r w:rsidRPr="0076084E">
        <w:rPr>
          <w:rFonts w:cs="Times New Roman"/>
          <w:b/>
          <w:bCs/>
          <w:szCs w:val="24"/>
        </w:rPr>
        <w:noBreakHyphen/>
        <w:t>177/2023</w:t>
      </w:r>
    </w:p>
    <w:p w14:paraId="01A9F3DD" w14:textId="7FD54E66" w:rsidR="0076084E" w:rsidRPr="0076084E" w:rsidRDefault="00CC0957" w:rsidP="002577EC">
      <w:pPr>
        <w:ind w:firstLine="0"/>
        <w:jc w:val="center"/>
        <w:rPr>
          <w:rFonts w:cs="Times New Roman"/>
          <w:szCs w:val="24"/>
        </w:rPr>
      </w:pPr>
      <w:hyperlink r:id="rId7" w:history="1">
        <w:r w:rsidR="0076084E" w:rsidRPr="00CC0957">
          <w:rPr>
            <w:rStyle w:val="Hyperlink"/>
            <w:rFonts w:cs="Times New Roman"/>
            <w:szCs w:val="24"/>
            <w:shd w:val="clear" w:color="auto" w:fill="FFFFFF"/>
          </w:rPr>
          <w:t>ECLI:LV:AT:2023:0526.11089008615.9.L</w:t>
        </w:r>
      </w:hyperlink>
    </w:p>
    <w:p w14:paraId="5DA29A94" w14:textId="42111AA6" w:rsidR="009C282C" w:rsidRPr="0076084E" w:rsidRDefault="009C282C" w:rsidP="002577EC">
      <w:pPr>
        <w:ind w:firstLine="0"/>
        <w:jc w:val="center"/>
        <w:rPr>
          <w:rFonts w:cs="Times New Roman"/>
          <w:szCs w:val="24"/>
        </w:rPr>
      </w:pPr>
    </w:p>
    <w:p w14:paraId="253827F3" w14:textId="6E72B2E8" w:rsidR="009C282C" w:rsidRPr="00265EE9" w:rsidRDefault="00D56D83" w:rsidP="002577EC">
      <w:pPr>
        <w:jc w:val="both"/>
      </w:pPr>
      <w:r>
        <w:t>Senāts</w:t>
      </w:r>
      <w:r w:rsidR="009C282C" w:rsidRPr="00265EE9">
        <w:t xml:space="preserve"> šādā sastāvā: senator</w:t>
      </w:r>
      <w:r>
        <w:t>s referents</w:t>
      </w:r>
      <w:r w:rsidR="00765FEB">
        <w:t xml:space="preserve"> Artūrs Freibergs, </w:t>
      </w:r>
      <w:r>
        <w:t>sena</w:t>
      </w:r>
      <w:r w:rsidR="00765FEB">
        <w:t>tori Ivars Bičkovičs un Aivars Uminskis</w:t>
      </w:r>
    </w:p>
    <w:p w14:paraId="01E61E0F" w14:textId="741BD986" w:rsidR="009C282C" w:rsidRPr="00265EE9" w:rsidRDefault="009C282C" w:rsidP="002577EC">
      <w:pPr>
        <w:jc w:val="both"/>
      </w:pPr>
    </w:p>
    <w:p w14:paraId="55A53738" w14:textId="661EEFE0" w:rsidR="00D56D83" w:rsidRDefault="009C282C" w:rsidP="002577EC">
      <w:pPr>
        <w:jc w:val="both"/>
      </w:pPr>
      <w:r w:rsidRPr="00265EE9">
        <w:t>rakstveida procesā</w:t>
      </w:r>
      <w:r w:rsidR="00D56D83">
        <w:t xml:space="preserve"> izskatīja</w:t>
      </w:r>
      <w:r w:rsidRPr="00265EE9">
        <w:t xml:space="preserve"> krimināllietu sakarā a</w:t>
      </w:r>
      <w:r w:rsidR="009447FD" w:rsidRPr="00265EE9">
        <w:t xml:space="preserve">r </w:t>
      </w:r>
      <w:r w:rsidR="00D56D83">
        <w:t>apsūdzētā</w:t>
      </w:r>
      <w:r w:rsidR="00765FEB">
        <w:t>s</w:t>
      </w:r>
      <w:r w:rsidR="00D56D83">
        <w:t xml:space="preserve"> </w:t>
      </w:r>
      <w:r w:rsidR="00541B7A">
        <w:t>[pers. A]</w:t>
      </w:r>
      <w:r w:rsidR="00D56D83">
        <w:t xml:space="preserve"> kasācijas sūdzību par </w:t>
      </w:r>
      <w:r w:rsidR="002577EC">
        <w:t>Rīgas apgabaltiesas 2022. </w:t>
      </w:r>
      <w:r w:rsidR="00765FEB">
        <w:t>gada 2</w:t>
      </w:r>
      <w:r w:rsidR="002577EC">
        <w:t>. </w:t>
      </w:r>
      <w:r w:rsidR="00765FEB">
        <w:t>novembra</w:t>
      </w:r>
      <w:r w:rsidR="00D56D83">
        <w:t xml:space="preserve"> lēmumu. </w:t>
      </w:r>
    </w:p>
    <w:p w14:paraId="6272F4CB" w14:textId="6F25F8A5" w:rsidR="00036205" w:rsidRPr="00265EE9" w:rsidRDefault="00036205" w:rsidP="002577EC">
      <w:pPr>
        <w:jc w:val="both"/>
      </w:pPr>
    </w:p>
    <w:p w14:paraId="1EC0B72C" w14:textId="35999A93" w:rsidR="00036205" w:rsidRPr="00626FDD" w:rsidRDefault="00036205" w:rsidP="002577EC">
      <w:pPr>
        <w:ind w:firstLine="0"/>
        <w:jc w:val="center"/>
        <w:rPr>
          <w:b/>
          <w:bCs/>
        </w:rPr>
      </w:pPr>
      <w:r w:rsidRPr="00626FDD">
        <w:rPr>
          <w:b/>
          <w:bCs/>
        </w:rPr>
        <w:t>Aprakstošā daļa</w:t>
      </w:r>
    </w:p>
    <w:p w14:paraId="60CBBF29" w14:textId="3D213A8A" w:rsidR="00036205" w:rsidRPr="00265EE9" w:rsidRDefault="00036205" w:rsidP="002577EC">
      <w:pPr>
        <w:jc w:val="both"/>
      </w:pPr>
    </w:p>
    <w:p w14:paraId="3872748D" w14:textId="741CE8B0" w:rsidR="00765FEB" w:rsidRPr="00265EE9" w:rsidRDefault="009E6939" w:rsidP="002577EC">
      <w:pPr>
        <w:jc w:val="both"/>
      </w:pPr>
      <w:r>
        <w:t>[1]</w:t>
      </w:r>
      <w:r w:rsidR="000F53CA">
        <w:t> </w:t>
      </w:r>
      <w:r w:rsidR="00C74097">
        <w:t xml:space="preserve">Ar </w:t>
      </w:r>
      <w:r w:rsidR="00765FEB">
        <w:t xml:space="preserve">Rīgas pilsētas Latgales priekšpilsētas tiesas 2020. gada 5. jūnija spriedumu </w:t>
      </w:r>
    </w:p>
    <w:p w14:paraId="174297DD" w14:textId="2D99B1E7" w:rsidR="00036205" w:rsidRDefault="000F53CA" w:rsidP="002577EC">
      <w:pPr>
        <w:jc w:val="both"/>
      </w:pPr>
      <w:bookmarkStart w:id="0" w:name="_Hlk132288189"/>
      <w:r>
        <w:t>[1.1] </w:t>
      </w:r>
      <w:r w:rsidR="00541B7A">
        <w:t>[pers. A]</w:t>
      </w:r>
      <w:r>
        <w:t xml:space="preserve">, personas kods </w:t>
      </w:r>
      <w:r w:rsidR="00541B7A">
        <w:t>[..]</w:t>
      </w:r>
      <w:r w:rsidR="00765FEB">
        <w:t>,</w:t>
      </w:r>
    </w:p>
    <w:p w14:paraId="1622D740" w14:textId="2011F984" w:rsidR="00765FEB" w:rsidRDefault="00765FEB" w:rsidP="002577EC">
      <w:pPr>
        <w:jc w:val="both"/>
      </w:pPr>
      <w:r>
        <w:t>atzīta par vainīgu Krimināllikuma 253.</w:t>
      </w:r>
      <w:r>
        <w:rPr>
          <w:vertAlign w:val="superscript"/>
        </w:rPr>
        <w:t>1</w:t>
      </w:r>
      <w:r w:rsidR="000F53CA">
        <w:t xml:space="preserve"> panta </w:t>
      </w:r>
      <w:r>
        <w:t>pirmajā daļā paredzētajā noziedzīgajā nodarījumā un sodīta, piemērojot 49.</w:t>
      </w:r>
      <w:r>
        <w:rPr>
          <w:vertAlign w:val="superscript"/>
        </w:rPr>
        <w:t>1</w:t>
      </w:r>
      <w:r>
        <w:t> pant</w:t>
      </w:r>
      <w:r w:rsidR="000F53CA">
        <w:t>a pirmās daļas 1. </w:t>
      </w:r>
      <w:r>
        <w:t>punktu, ar b</w:t>
      </w:r>
      <w:r w:rsidR="001B39A7">
        <w:t>rīvības atņemšanu uz 2 gadiem un ar</w:t>
      </w:r>
      <w:r>
        <w:t xml:space="preserve"> probācijas uzraudzību uz 1 gadu. </w:t>
      </w:r>
    </w:p>
    <w:p w14:paraId="0014D4DB" w14:textId="1B9D71D9" w:rsidR="00765FEB" w:rsidRDefault="00765FEB" w:rsidP="002577EC">
      <w:pPr>
        <w:jc w:val="both"/>
      </w:pPr>
      <w:r>
        <w:t xml:space="preserve">Saskaņā ar Krimināllikuma 50. panta piekto daļu galīgais sods </w:t>
      </w:r>
      <w:r w:rsidR="001A55EB">
        <w:t>[pers. A]</w:t>
      </w:r>
      <w:r w:rsidR="00AE552F">
        <w:t xml:space="preserve"> </w:t>
      </w:r>
      <w:proofErr w:type="gramStart"/>
      <w:r w:rsidR="00AE552F">
        <w:t>noteikts brīvības atņemšana uz 2 gadiem</w:t>
      </w:r>
      <w:proofErr w:type="gramEnd"/>
      <w:r w:rsidR="00AE552F">
        <w:t xml:space="preserve">, </w:t>
      </w:r>
      <w:r w:rsidR="000C4B32">
        <w:t>sabiedriskais darbs</w:t>
      </w:r>
      <w:r w:rsidR="00AE552F">
        <w:t xml:space="preserve"> </w:t>
      </w:r>
      <w:r w:rsidR="000C4B32">
        <w:t>150 stund</w:t>
      </w:r>
      <w:r w:rsidR="00CD09E6">
        <w:t>as</w:t>
      </w:r>
      <w:r w:rsidR="00AE552F">
        <w:t xml:space="preserve"> un probācijas uzraudzība uz 1 gadu un 6 mēnešiem. </w:t>
      </w:r>
    </w:p>
    <w:p w14:paraId="0E6B62E5" w14:textId="58E52A13" w:rsidR="00AE552F" w:rsidRDefault="00AE552F" w:rsidP="002577EC">
      <w:pPr>
        <w:jc w:val="both"/>
      </w:pPr>
      <w:r>
        <w:t>[1.2] </w:t>
      </w:r>
      <w:r w:rsidR="007D3342">
        <w:t>Krimināllietā</w:t>
      </w:r>
      <w:r w:rsidR="007D3342" w:rsidRPr="007D3342">
        <w:t xml:space="preserve"> </w:t>
      </w:r>
      <w:r w:rsidR="007D3342">
        <w:t xml:space="preserve">atzīts par vainīgu Krimināllikuma 253. panta pirmajā daļā paredzētajā noziedzīgajā nodarījumā un sodīts </w:t>
      </w:r>
      <w:r w:rsidR="001A55EB">
        <w:t>[pers. B]</w:t>
      </w:r>
      <w:r>
        <w:t xml:space="preserve">, personas kods </w:t>
      </w:r>
      <w:r w:rsidR="001A55EB">
        <w:t>[..]</w:t>
      </w:r>
      <w:r>
        <w:t>,</w:t>
      </w:r>
      <w:r w:rsidR="007D3342">
        <w:t xml:space="preserve"> par kuru tiesas lēmums kasācijas kārtībā nav pārsūdzēts.</w:t>
      </w:r>
    </w:p>
    <w:p w14:paraId="6AC0C744" w14:textId="77777777" w:rsidR="00242CE5" w:rsidRDefault="00242CE5" w:rsidP="002577EC">
      <w:pPr>
        <w:jc w:val="both"/>
      </w:pPr>
    </w:p>
    <w:p w14:paraId="36852693" w14:textId="5B819A07" w:rsidR="00242CE5" w:rsidRDefault="00100697" w:rsidP="002577EC">
      <w:pPr>
        <w:jc w:val="both"/>
      </w:pPr>
      <w:r>
        <w:t>[2] </w:t>
      </w:r>
      <w:r w:rsidR="00496309">
        <w:t>[Pers. A]</w:t>
      </w:r>
      <w:r w:rsidR="00242CE5">
        <w:t xml:space="preserve"> atzīta par vainīgu un sodīta par to, ka</w:t>
      </w:r>
      <w:proofErr w:type="gramStart"/>
      <w:r w:rsidR="00242CE5">
        <w:t xml:space="preserve"> viņa realizācijas nolūkā neatļauti</w:t>
      </w:r>
      <w:proofErr w:type="gramEnd"/>
      <w:r w:rsidR="00242CE5">
        <w:t xml:space="preserve"> iegādājās un glabāja narkotiskās un psihotropās vielas un realizēja narkotisko vielu. </w:t>
      </w:r>
    </w:p>
    <w:p w14:paraId="7F5D3486" w14:textId="77777777" w:rsidR="00EF62E0" w:rsidRDefault="00EF62E0" w:rsidP="002577EC">
      <w:pPr>
        <w:jc w:val="both"/>
      </w:pPr>
    </w:p>
    <w:p w14:paraId="35B506AB" w14:textId="63D930DE" w:rsidR="00EF62E0" w:rsidRDefault="00EF62E0" w:rsidP="002577EC">
      <w:pPr>
        <w:jc w:val="both"/>
      </w:pPr>
      <w:r>
        <w:t xml:space="preserve">[3] Ar Rīgas apgabaltiesas 2020. gada 16. decembra lēmumu Rīgas pilsētas Latgales priekšpilsētas tiesas 2020. gada 5. jūnija spriedums atstāts negrozīts. </w:t>
      </w:r>
    </w:p>
    <w:p w14:paraId="2C112646" w14:textId="77777777" w:rsidR="00EF62E0" w:rsidRDefault="00EF62E0" w:rsidP="002577EC">
      <w:pPr>
        <w:jc w:val="both"/>
      </w:pPr>
    </w:p>
    <w:p w14:paraId="28F6123D" w14:textId="4D0378F4" w:rsidR="00EF62E0" w:rsidRDefault="00EF62E0" w:rsidP="002577EC">
      <w:pPr>
        <w:jc w:val="both"/>
      </w:pPr>
      <w:r>
        <w:t>[4]</w:t>
      </w:r>
      <w:r w:rsidR="00DB2438">
        <w:t> Ar</w:t>
      </w:r>
      <w:r w:rsidR="00A05226">
        <w:t xml:space="preserve"> </w:t>
      </w:r>
      <w:r w:rsidR="001B39A7">
        <w:t>Senāta</w:t>
      </w:r>
      <w:r w:rsidR="00A05226">
        <w:t xml:space="preserve"> 2021. gada 29. septembra</w:t>
      </w:r>
      <w:r w:rsidR="001B39A7">
        <w:t xml:space="preserve"> lēmumu</w:t>
      </w:r>
      <w:r w:rsidR="00A05226">
        <w:t xml:space="preserve"> Rīgas apgabaltiesas 2020. gada 16. decembra lēmums atcelts pilnībā un lieta nosūtīta jaunai izskatīšanai Rīgas apgabaltiesā. </w:t>
      </w:r>
    </w:p>
    <w:p w14:paraId="187E5C7D" w14:textId="77777777" w:rsidR="00603435" w:rsidRDefault="00603435" w:rsidP="002577EC">
      <w:pPr>
        <w:jc w:val="both"/>
      </w:pPr>
    </w:p>
    <w:p w14:paraId="6C9941BA" w14:textId="7B06E2AA" w:rsidR="00975B2C" w:rsidRDefault="00603435" w:rsidP="007F6D2C">
      <w:pPr>
        <w:jc w:val="both"/>
      </w:pPr>
      <w:r>
        <w:t>[</w:t>
      </w:r>
      <w:r w:rsidR="00C64064">
        <w:t xml:space="preserve">5] Ar Rīgas apgabaltiesas 2022. gada 2. novembra </w:t>
      </w:r>
      <w:r w:rsidR="007A032A">
        <w:t>lēmumu Rīgas pilsētas Latgales priekšpilsētas tiesas 2020. gada 5. jūnija spr</w:t>
      </w:r>
      <w:r w:rsidR="00100697">
        <w:t>iedums atstāts negrozīts.</w:t>
      </w:r>
    </w:p>
    <w:bookmarkEnd w:id="0"/>
    <w:p w14:paraId="67F550E8" w14:textId="734F2649" w:rsidR="00E0378D" w:rsidRPr="0084782F" w:rsidRDefault="00E0378D" w:rsidP="002577EC">
      <w:pPr>
        <w:ind w:firstLine="709"/>
        <w:jc w:val="both"/>
        <w:rPr>
          <w:rFonts w:cs="Times New Roman"/>
        </w:rPr>
      </w:pPr>
      <w:r w:rsidRPr="0084782F">
        <w:rPr>
          <w:rFonts w:cs="Times New Roman"/>
        </w:rPr>
        <w:lastRenderedPageBreak/>
        <w:t>[</w:t>
      </w:r>
      <w:r w:rsidR="001B39A7">
        <w:rPr>
          <w:rFonts w:cs="Times New Roman"/>
        </w:rPr>
        <w:t>6</w:t>
      </w:r>
      <w:r w:rsidR="00100697">
        <w:rPr>
          <w:rFonts w:cs="Times New Roman"/>
        </w:rPr>
        <w:t>] </w:t>
      </w:r>
      <w:r w:rsidR="007D3342">
        <w:rPr>
          <w:rFonts w:cs="Times New Roman"/>
        </w:rPr>
        <w:t>A</w:t>
      </w:r>
      <w:r w:rsidR="007D3342" w:rsidRPr="0084782F">
        <w:rPr>
          <w:rFonts w:cs="Times New Roman"/>
        </w:rPr>
        <w:t xml:space="preserve">psūdzētā </w:t>
      </w:r>
      <w:r w:rsidR="00496309">
        <w:rPr>
          <w:rFonts w:cs="Times New Roman"/>
        </w:rPr>
        <w:t>[pers. A]</w:t>
      </w:r>
      <w:r w:rsidR="007D3342" w:rsidRPr="0084782F">
        <w:rPr>
          <w:rFonts w:cs="Times New Roman"/>
        </w:rPr>
        <w:t xml:space="preserve"> </w:t>
      </w:r>
      <w:r w:rsidR="007D3342">
        <w:rPr>
          <w:rFonts w:cs="Times New Roman"/>
        </w:rPr>
        <w:t>p</w:t>
      </w:r>
      <w:r w:rsidRPr="0084782F">
        <w:rPr>
          <w:rFonts w:cs="Times New Roman"/>
        </w:rPr>
        <w:t>ar Rīgas apgabaltiesas 2022.</w:t>
      </w:r>
      <w:r w:rsidR="00100697">
        <w:rPr>
          <w:rFonts w:cs="Times New Roman"/>
        </w:rPr>
        <w:t> </w:t>
      </w:r>
      <w:r w:rsidRPr="0084782F">
        <w:rPr>
          <w:rFonts w:cs="Times New Roman"/>
        </w:rPr>
        <w:t>gada 2.</w:t>
      </w:r>
      <w:r w:rsidR="00100697">
        <w:rPr>
          <w:rFonts w:cs="Times New Roman"/>
        </w:rPr>
        <w:t> </w:t>
      </w:r>
      <w:r w:rsidRPr="0084782F">
        <w:rPr>
          <w:rFonts w:cs="Times New Roman"/>
        </w:rPr>
        <w:t>novembra lēmumu iesnie</w:t>
      </w:r>
      <w:r w:rsidR="007D3342">
        <w:rPr>
          <w:rFonts w:cs="Times New Roman"/>
        </w:rPr>
        <w:t>gusi</w:t>
      </w:r>
      <w:r w:rsidRPr="0084782F">
        <w:rPr>
          <w:rFonts w:cs="Times New Roman"/>
        </w:rPr>
        <w:t xml:space="preserve"> kasācijas sūdzību, kurā lūdz atcelt lēmumu daļā par </w:t>
      </w:r>
      <w:r w:rsidR="004A4C81">
        <w:rPr>
          <w:rFonts w:cs="Times New Roman"/>
        </w:rPr>
        <w:t xml:space="preserve">viņai </w:t>
      </w:r>
      <w:r w:rsidRPr="0084782F">
        <w:rPr>
          <w:rFonts w:cs="Times New Roman"/>
        </w:rPr>
        <w:t xml:space="preserve">noteikto sodu un atceltajā daļā nosūtīt lietu jaunai izskatīšanai apelācijas </w:t>
      </w:r>
      <w:r w:rsidR="00100697">
        <w:rPr>
          <w:rFonts w:cs="Times New Roman"/>
        </w:rPr>
        <w:t>instances tiesā.</w:t>
      </w:r>
      <w:r w:rsidRPr="0084782F">
        <w:rPr>
          <w:rFonts w:cs="Times New Roman"/>
        </w:rPr>
        <w:t xml:space="preserve"> </w:t>
      </w:r>
    </w:p>
    <w:p w14:paraId="492DB7F0" w14:textId="4378AD61" w:rsidR="00E0378D" w:rsidRPr="0084782F" w:rsidRDefault="009B0238" w:rsidP="002577EC">
      <w:pPr>
        <w:ind w:firstLine="709"/>
        <w:jc w:val="both"/>
        <w:rPr>
          <w:rFonts w:cs="Times New Roman"/>
        </w:rPr>
      </w:pPr>
      <w:r>
        <w:rPr>
          <w:rFonts w:cs="Times New Roman"/>
        </w:rPr>
        <w:t>Apsūdzētā k</w:t>
      </w:r>
      <w:r w:rsidR="00E0378D" w:rsidRPr="0084782F">
        <w:rPr>
          <w:rFonts w:cs="Times New Roman"/>
        </w:rPr>
        <w:t xml:space="preserve">asācijas sūdzību pamatojusi ar šādiem argumentiem. </w:t>
      </w:r>
    </w:p>
    <w:p w14:paraId="79F63BFD" w14:textId="11C1A9FA" w:rsidR="00E0378D" w:rsidRPr="0084782F" w:rsidRDefault="00E0378D" w:rsidP="002577EC">
      <w:pPr>
        <w:ind w:firstLine="709"/>
        <w:jc w:val="both"/>
        <w:rPr>
          <w:rFonts w:cs="Times New Roman"/>
        </w:rPr>
      </w:pPr>
      <w:r w:rsidRPr="0084782F">
        <w:rPr>
          <w:rFonts w:cs="Times New Roman"/>
        </w:rPr>
        <w:t>[</w:t>
      </w:r>
      <w:r w:rsidR="0095188C">
        <w:rPr>
          <w:rFonts w:cs="Times New Roman"/>
        </w:rPr>
        <w:t>6.1</w:t>
      </w:r>
      <w:r w:rsidR="00100697">
        <w:rPr>
          <w:rFonts w:cs="Times New Roman"/>
        </w:rPr>
        <w:t>] </w:t>
      </w:r>
      <w:r w:rsidRPr="0084782F">
        <w:rPr>
          <w:rFonts w:cs="Times New Roman"/>
        </w:rPr>
        <w:t>Apelācijas instances tiesa nav ievērojusi Kriminālprocesa likuma 511.</w:t>
      </w:r>
      <w:r w:rsidR="00100697">
        <w:rPr>
          <w:rFonts w:cs="Times New Roman"/>
        </w:rPr>
        <w:t> </w:t>
      </w:r>
      <w:r w:rsidRPr="0084782F">
        <w:rPr>
          <w:rFonts w:cs="Times New Roman"/>
        </w:rPr>
        <w:t>panta otro daļu un 512.</w:t>
      </w:r>
      <w:r w:rsidR="00100697">
        <w:rPr>
          <w:rFonts w:cs="Times New Roman"/>
        </w:rPr>
        <w:t> </w:t>
      </w:r>
      <w:r w:rsidRPr="0084782F">
        <w:rPr>
          <w:rFonts w:cs="Times New Roman"/>
        </w:rPr>
        <w:t>panta pirmo daļu</w:t>
      </w:r>
      <w:r w:rsidR="00694EA3">
        <w:rPr>
          <w:rFonts w:cs="Times New Roman"/>
        </w:rPr>
        <w:t>.</w:t>
      </w:r>
      <w:r w:rsidR="00B46583">
        <w:rPr>
          <w:rFonts w:cs="Times New Roman"/>
        </w:rPr>
        <w:t xml:space="preserve"> Tiesa</w:t>
      </w:r>
      <w:r w:rsidRPr="0084782F">
        <w:rPr>
          <w:rFonts w:cs="Times New Roman"/>
        </w:rPr>
        <w:t xml:space="preserve"> pieļāvusi</w:t>
      </w:r>
      <w:r w:rsidR="004A4C81" w:rsidRPr="004A4C81">
        <w:rPr>
          <w:rFonts w:cs="Times New Roman"/>
        </w:rPr>
        <w:t xml:space="preserve"> </w:t>
      </w:r>
      <w:r w:rsidR="004A4C81" w:rsidRPr="0084782F">
        <w:rPr>
          <w:rFonts w:cs="Times New Roman"/>
        </w:rPr>
        <w:t>Kriminālprocesa likuma 574.</w:t>
      </w:r>
      <w:r w:rsidR="004A4C81">
        <w:rPr>
          <w:rFonts w:cs="Times New Roman"/>
        </w:rPr>
        <w:t> </w:t>
      </w:r>
      <w:r w:rsidR="004A4C81" w:rsidRPr="0084782F">
        <w:rPr>
          <w:rFonts w:cs="Times New Roman"/>
        </w:rPr>
        <w:t xml:space="preserve">panta </w:t>
      </w:r>
      <w:r w:rsidR="004A4C81">
        <w:rPr>
          <w:rFonts w:cs="Times New Roman"/>
        </w:rPr>
        <w:t>1.</w:t>
      </w:r>
      <w:r w:rsidR="00032F4A">
        <w:rPr>
          <w:rFonts w:cs="Times New Roman"/>
        </w:rPr>
        <w:t> </w:t>
      </w:r>
      <w:r w:rsidR="004A4C81" w:rsidRPr="0084782F">
        <w:rPr>
          <w:rFonts w:cs="Times New Roman"/>
        </w:rPr>
        <w:t>punkt</w:t>
      </w:r>
      <w:r w:rsidR="004A4C81">
        <w:rPr>
          <w:rFonts w:cs="Times New Roman"/>
        </w:rPr>
        <w:t>ā norādītos</w:t>
      </w:r>
      <w:r w:rsidRPr="0084782F">
        <w:rPr>
          <w:rFonts w:cs="Times New Roman"/>
        </w:rPr>
        <w:t xml:space="preserve"> Krimināllikuma</w:t>
      </w:r>
      <w:r w:rsidR="007D3342">
        <w:rPr>
          <w:rFonts w:cs="Times New Roman"/>
        </w:rPr>
        <w:t xml:space="preserve"> pārkāpumus</w:t>
      </w:r>
      <w:r w:rsidRPr="0084782F">
        <w:rPr>
          <w:rFonts w:cs="Times New Roman"/>
        </w:rPr>
        <w:t xml:space="preserve"> un Kriminālprocesa likuma būtiskus pārkāpumus </w:t>
      </w:r>
      <w:r w:rsidR="004A4C81">
        <w:rPr>
          <w:rFonts w:cs="Times New Roman"/>
        </w:rPr>
        <w:t>šā likuma</w:t>
      </w:r>
      <w:r w:rsidRPr="0084782F">
        <w:rPr>
          <w:rFonts w:cs="Times New Roman"/>
        </w:rPr>
        <w:t xml:space="preserve"> 575.</w:t>
      </w:r>
      <w:r w:rsidR="00100697">
        <w:rPr>
          <w:rFonts w:cs="Times New Roman"/>
        </w:rPr>
        <w:t> </w:t>
      </w:r>
      <w:r w:rsidRPr="0084782F">
        <w:rPr>
          <w:rFonts w:cs="Times New Roman"/>
        </w:rPr>
        <w:t xml:space="preserve">panta trešās daļas izpratnē. Minēto pārkāpumu dēļ </w:t>
      </w:r>
      <w:r w:rsidR="007D3342">
        <w:rPr>
          <w:rFonts w:cs="Times New Roman"/>
        </w:rPr>
        <w:t>nav ievērotas</w:t>
      </w:r>
      <w:r w:rsidRPr="0084782F">
        <w:rPr>
          <w:rFonts w:cs="Times New Roman"/>
        </w:rPr>
        <w:t xml:space="preserve"> Eiropas Cilvēktiesību un pamatbrīvību aizsardzības konvencijas 6.</w:t>
      </w:r>
      <w:r w:rsidR="00100697">
        <w:rPr>
          <w:rFonts w:cs="Times New Roman"/>
        </w:rPr>
        <w:t> </w:t>
      </w:r>
      <w:r w:rsidRPr="0084782F">
        <w:rPr>
          <w:rFonts w:cs="Times New Roman"/>
        </w:rPr>
        <w:t xml:space="preserve">panta </w:t>
      </w:r>
      <w:r w:rsidR="007D3342">
        <w:rPr>
          <w:rFonts w:cs="Times New Roman"/>
        </w:rPr>
        <w:t>1.</w:t>
      </w:r>
      <w:r w:rsidR="00032F4A">
        <w:rPr>
          <w:rFonts w:cs="Times New Roman"/>
        </w:rPr>
        <w:t> </w:t>
      </w:r>
      <w:r w:rsidRPr="0084782F">
        <w:rPr>
          <w:rFonts w:cs="Times New Roman"/>
        </w:rPr>
        <w:t xml:space="preserve">punktā, </w:t>
      </w:r>
      <w:r w:rsidR="00F32F86">
        <w:rPr>
          <w:rFonts w:cs="Times New Roman"/>
        </w:rPr>
        <w:t xml:space="preserve">Latvijas Republikas </w:t>
      </w:r>
      <w:r w:rsidRPr="0084782F">
        <w:rPr>
          <w:rFonts w:cs="Times New Roman"/>
        </w:rPr>
        <w:t>Satversmes 92.</w:t>
      </w:r>
      <w:r w:rsidR="00100697">
        <w:rPr>
          <w:rFonts w:cs="Times New Roman"/>
        </w:rPr>
        <w:t> </w:t>
      </w:r>
      <w:r w:rsidRPr="0084782F">
        <w:rPr>
          <w:rFonts w:cs="Times New Roman"/>
        </w:rPr>
        <w:t>pantā un Kriminālprocesa likuma 15.</w:t>
      </w:r>
      <w:r w:rsidR="00100697">
        <w:rPr>
          <w:rFonts w:cs="Times New Roman"/>
        </w:rPr>
        <w:t> </w:t>
      </w:r>
      <w:r w:rsidRPr="0084782F">
        <w:rPr>
          <w:rFonts w:cs="Times New Roman"/>
        </w:rPr>
        <w:t>pantā ietvertās tiesības uz taisnīgu un objektīvu tiesu.</w:t>
      </w:r>
    </w:p>
    <w:p w14:paraId="59AFCA45" w14:textId="4662CAC0" w:rsidR="00694EA3" w:rsidRPr="0084782F" w:rsidRDefault="00E0378D" w:rsidP="00694EA3">
      <w:pPr>
        <w:ind w:firstLine="709"/>
        <w:jc w:val="both"/>
        <w:rPr>
          <w:rFonts w:cs="Times New Roman"/>
        </w:rPr>
      </w:pPr>
      <w:r w:rsidRPr="0084782F">
        <w:rPr>
          <w:rFonts w:cs="Times New Roman"/>
        </w:rPr>
        <w:t>[</w:t>
      </w:r>
      <w:r w:rsidR="0095188C">
        <w:rPr>
          <w:rFonts w:cs="Times New Roman"/>
        </w:rPr>
        <w:t>6.2</w:t>
      </w:r>
      <w:r w:rsidR="00100697">
        <w:rPr>
          <w:rFonts w:cs="Times New Roman"/>
        </w:rPr>
        <w:t>] </w:t>
      </w:r>
      <w:r w:rsidRPr="0084782F">
        <w:rPr>
          <w:rFonts w:cs="Times New Roman"/>
        </w:rPr>
        <w:t>Apelācijas instances tiesa, nosakot sodu,</w:t>
      </w:r>
      <w:r w:rsidR="00E418C1" w:rsidRPr="00E418C1">
        <w:rPr>
          <w:rFonts w:cs="Times New Roman"/>
        </w:rPr>
        <w:t xml:space="preserve"> </w:t>
      </w:r>
      <w:r w:rsidR="00E418C1" w:rsidRPr="0084782F">
        <w:rPr>
          <w:rFonts w:cs="Times New Roman"/>
        </w:rPr>
        <w:t>nav ievērojusi Krimināllikuma 46.</w:t>
      </w:r>
      <w:r w:rsidR="00E418C1">
        <w:rPr>
          <w:rFonts w:cs="Times New Roman"/>
        </w:rPr>
        <w:t> </w:t>
      </w:r>
      <w:r w:rsidR="00E418C1" w:rsidRPr="0084782F">
        <w:rPr>
          <w:rFonts w:cs="Times New Roman"/>
        </w:rPr>
        <w:t>pantā paredzētos soda noteikšanas vispārīgos principus</w:t>
      </w:r>
      <w:r w:rsidR="00E418C1">
        <w:rPr>
          <w:rFonts w:cs="Times New Roman"/>
        </w:rPr>
        <w:t>.</w:t>
      </w:r>
      <w:r w:rsidR="00694EA3" w:rsidRPr="00694EA3">
        <w:rPr>
          <w:rFonts w:cs="Times New Roman"/>
        </w:rPr>
        <w:t xml:space="preserve"> </w:t>
      </w:r>
      <w:r w:rsidR="00694EA3">
        <w:rPr>
          <w:rFonts w:cs="Times New Roman"/>
        </w:rPr>
        <w:t>Tiesa nepamatoti nav atzinusi</w:t>
      </w:r>
      <w:r w:rsidR="00694EA3" w:rsidRPr="0084782F">
        <w:rPr>
          <w:rFonts w:cs="Times New Roman"/>
        </w:rPr>
        <w:t xml:space="preserve"> Krimināllikuma 47.</w:t>
      </w:r>
      <w:r w:rsidR="00694EA3">
        <w:rPr>
          <w:rFonts w:cs="Times New Roman"/>
        </w:rPr>
        <w:t> </w:t>
      </w:r>
      <w:r w:rsidR="00694EA3" w:rsidRPr="0084782F">
        <w:rPr>
          <w:rFonts w:cs="Times New Roman"/>
        </w:rPr>
        <w:t>panta pirmās daļas 2. un 4.</w:t>
      </w:r>
      <w:r w:rsidR="00694EA3">
        <w:rPr>
          <w:rFonts w:cs="Times New Roman"/>
        </w:rPr>
        <w:t> </w:t>
      </w:r>
      <w:r w:rsidR="00694EA3" w:rsidRPr="0084782F">
        <w:rPr>
          <w:rFonts w:cs="Times New Roman"/>
        </w:rPr>
        <w:t>punktā minēt</w:t>
      </w:r>
      <w:r w:rsidR="00694EA3">
        <w:rPr>
          <w:rFonts w:cs="Times New Roman"/>
        </w:rPr>
        <w:t>os</w:t>
      </w:r>
      <w:r w:rsidR="00694EA3" w:rsidRPr="0084782F">
        <w:rPr>
          <w:rFonts w:cs="Times New Roman"/>
        </w:rPr>
        <w:t xml:space="preserve"> atbildību mīkstinoš</w:t>
      </w:r>
      <w:r w:rsidR="00694EA3">
        <w:rPr>
          <w:rFonts w:cs="Times New Roman"/>
        </w:rPr>
        <w:t>os</w:t>
      </w:r>
      <w:r w:rsidR="00694EA3" w:rsidRPr="0084782F">
        <w:rPr>
          <w:rFonts w:cs="Times New Roman"/>
        </w:rPr>
        <w:t xml:space="preserve"> apstāk</w:t>
      </w:r>
      <w:r w:rsidR="00694EA3">
        <w:rPr>
          <w:rFonts w:cs="Times New Roman"/>
        </w:rPr>
        <w:t>ļus</w:t>
      </w:r>
      <w:r w:rsidR="00694EA3" w:rsidRPr="0084782F">
        <w:rPr>
          <w:rFonts w:cs="Times New Roman"/>
        </w:rPr>
        <w:t>.</w:t>
      </w:r>
    </w:p>
    <w:p w14:paraId="1BB3E4C5" w14:textId="1F243374" w:rsidR="00E0378D" w:rsidRPr="0084782F" w:rsidRDefault="00E418C1" w:rsidP="00E418C1">
      <w:pPr>
        <w:ind w:firstLine="709"/>
        <w:jc w:val="both"/>
        <w:rPr>
          <w:rFonts w:cs="Times New Roman"/>
        </w:rPr>
      </w:pPr>
      <w:r>
        <w:rPr>
          <w:rFonts w:cs="Times New Roman"/>
        </w:rPr>
        <w:t>Tiesa,</w:t>
      </w:r>
      <w:r w:rsidRPr="00E418C1">
        <w:rPr>
          <w:rFonts w:cs="Times New Roman"/>
        </w:rPr>
        <w:t xml:space="preserve"> </w:t>
      </w:r>
      <w:r w:rsidRPr="0084782F">
        <w:rPr>
          <w:rFonts w:cs="Times New Roman"/>
        </w:rPr>
        <w:t>neatzīstot par atbildību mīkstinošu apstākli to, ka apsūdzētā ir aktīvi veicinājusi noziedzīgā nodarījuma atklāšanu un izmeklēšanu, kā arī sekmējusi citu personu izdarīto noziegumu atklāšanu</w:t>
      </w:r>
      <w:r>
        <w:rPr>
          <w:rFonts w:cs="Times New Roman"/>
        </w:rPr>
        <w:t xml:space="preserve">, </w:t>
      </w:r>
      <w:r w:rsidR="00E0378D" w:rsidRPr="0084782F">
        <w:rPr>
          <w:rFonts w:cs="Times New Roman"/>
        </w:rPr>
        <w:t>nav</w:t>
      </w:r>
      <w:r>
        <w:rPr>
          <w:rFonts w:cs="Times New Roman"/>
        </w:rPr>
        <w:t xml:space="preserve"> pareizi piemērojusi</w:t>
      </w:r>
      <w:r w:rsidR="00E0378D" w:rsidRPr="0084782F">
        <w:rPr>
          <w:rFonts w:cs="Times New Roman"/>
        </w:rPr>
        <w:t xml:space="preserve"> Krimināllikum</w:t>
      </w:r>
      <w:r>
        <w:rPr>
          <w:rFonts w:cs="Times New Roman"/>
        </w:rPr>
        <w:t>u</w:t>
      </w:r>
      <w:r w:rsidR="00E0378D" w:rsidRPr="0084782F">
        <w:rPr>
          <w:rFonts w:cs="Times New Roman"/>
        </w:rPr>
        <w:t>.</w:t>
      </w:r>
      <w:r>
        <w:rPr>
          <w:rFonts w:cs="Times New Roman"/>
        </w:rPr>
        <w:t xml:space="preserve"> </w:t>
      </w:r>
      <w:r w:rsidR="00E0378D" w:rsidRPr="0084782F">
        <w:rPr>
          <w:rFonts w:cs="Times New Roman"/>
        </w:rPr>
        <w:t>Tiesa nav ņēmusi vērā</w:t>
      </w:r>
      <w:r w:rsidR="004A4C81">
        <w:rPr>
          <w:rFonts w:cs="Times New Roman"/>
        </w:rPr>
        <w:t>, ka</w:t>
      </w:r>
      <w:r w:rsidR="00E0378D" w:rsidRPr="0084782F">
        <w:rPr>
          <w:rFonts w:cs="Times New Roman"/>
        </w:rPr>
        <w:t xml:space="preserve"> apsūdzētā</w:t>
      </w:r>
      <w:r w:rsidR="00CD09E6" w:rsidRPr="00CD09E6">
        <w:rPr>
          <w:rFonts w:cs="Times New Roman"/>
        </w:rPr>
        <w:t xml:space="preserve"> </w:t>
      </w:r>
      <w:r w:rsidR="00CD09E6" w:rsidRPr="0084782F">
        <w:rPr>
          <w:rFonts w:cs="Times New Roman"/>
        </w:rPr>
        <w:t>policijas darbiniekiem</w:t>
      </w:r>
      <w:r w:rsidR="00E0378D" w:rsidRPr="0084782F">
        <w:rPr>
          <w:rFonts w:cs="Times New Roman"/>
        </w:rPr>
        <w:t xml:space="preserve"> mutiski un rakstiski snieg</w:t>
      </w:r>
      <w:r w:rsidR="004A4C81">
        <w:rPr>
          <w:rFonts w:cs="Times New Roman"/>
        </w:rPr>
        <w:t>usi</w:t>
      </w:r>
      <w:r w:rsidR="00E0378D" w:rsidRPr="0084782F">
        <w:rPr>
          <w:rFonts w:cs="Times New Roman"/>
        </w:rPr>
        <w:t xml:space="preserve"> liecības, kurās pēc savas iniciatīvas atklāj</w:t>
      </w:r>
      <w:r w:rsidR="004A4C81">
        <w:rPr>
          <w:rFonts w:cs="Times New Roman"/>
        </w:rPr>
        <w:t>usi</w:t>
      </w:r>
      <w:r w:rsidR="00E0378D" w:rsidRPr="0084782F">
        <w:rPr>
          <w:rFonts w:cs="Times New Roman"/>
        </w:rPr>
        <w:t xml:space="preserve"> laiku un vietu, kur </w:t>
      </w:r>
      <w:r w:rsidR="004A4C81">
        <w:rPr>
          <w:rFonts w:cs="Times New Roman"/>
        </w:rPr>
        <w:t>viņa</w:t>
      </w:r>
      <w:r w:rsidR="00E0378D" w:rsidRPr="0084782F">
        <w:rPr>
          <w:rFonts w:cs="Times New Roman"/>
        </w:rPr>
        <w:t xml:space="preserve"> un viņas vīrs</w:t>
      </w:r>
      <w:r w:rsidR="009B0238">
        <w:rPr>
          <w:rFonts w:cs="Times New Roman"/>
        </w:rPr>
        <w:t xml:space="preserve"> </w:t>
      </w:r>
      <w:r w:rsidR="00496309">
        <w:rPr>
          <w:rFonts w:cs="Times New Roman"/>
        </w:rPr>
        <w:t>[pers. B]</w:t>
      </w:r>
      <w:r w:rsidR="00E0378D" w:rsidRPr="0084782F">
        <w:rPr>
          <w:rFonts w:cs="Times New Roman"/>
        </w:rPr>
        <w:t xml:space="preserve"> iegādāj</w:t>
      </w:r>
      <w:r w:rsidR="00E213BA">
        <w:rPr>
          <w:rFonts w:cs="Times New Roman"/>
        </w:rPr>
        <w:t>ušies</w:t>
      </w:r>
      <w:r w:rsidR="00E0378D" w:rsidRPr="0084782F">
        <w:rPr>
          <w:rFonts w:cs="Times New Roman"/>
        </w:rPr>
        <w:t xml:space="preserve"> narkotiskās vielas</w:t>
      </w:r>
      <w:r>
        <w:rPr>
          <w:rFonts w:cs="Times New Roman"/>
        </w:rPr>
        <w:t xml:space="preserve">, kā arī </w:t>
      </w:r>
      <w:r w:rsidR="00E0378D" w:rsidRPr="0084782F">
        <w:rPr>
          <w:rFonts w:cs="Times New Roman"/>
        </w:rPr>
        <w:t xml:space="preserve">norādījusi uz personām, no kurām narkotiskās vielas tika iegādātas. </w:t>
      </w:r>
    </w:p>
    <w:p w14:paraId="5F5C246B" w14:textId="78BF7E96" w:rsidR="00E0378D" w:rsidRPr="0084782F" w:rsidRDefault="00E0378D" w:rsidP="002577EC">
      <w:pPr>
        <w:ind w:firstLine="709"/>
        <w:jc w:val="both"/>
        <w:rPr>
          <w:rFonts w:cs="Times New Roman"/>
        </w:rPr>
      </w:pPr>
      <w:r w:rsidRPr="0084782F">
        <w:rPr>
          <w:rFonts w:cs="Times New Roman"/>
        </w:rPr>
        <w:t xml:space="preserve">Tiesa nepamatoti </w:t>
      </w:r>
      <w:r w:rsidR="00E213BA">
        <w:rPr>
          <w:rFonts w:cs="Times New Roman"/>
        </w:rPr>
        <w:t>atzinusi</w:t>
      </w:r>
      <w:r w:rsidRPr="0084782F">
        <w:rPr>
          <w:rFonts w:cs="Times New Roman"/>
        </w:rPr>
        <w:t xml:space="preserve">, ka lietas materiālos nav pierādījumu tam, ka apsūdzētā sekmējusi citu personu noziegumu atklāšanu. </w:t>
      </w:r>
      <w:r w:rsidR="00E213BA">
        <w:rPr>
          <w:rFonts w:cs="Times New Roman"/>
        </w:rPr>
        <w:t>L</w:t>
      </w:r>
      <w:r w:rsidRPr="0084782F">
        <w:rPr>
          <w:rFonts w:cs="Times New Roman"/>
        </w:rPr>
        <w:t>iet</w:t>
      </w:r>
      <w:r w:rsidR="007C5B04">
        <w:rPr>
          <w:rFonts w:cs="Times New Roman"/>
        </w:rPr>
        <w:t>ā</w:t>
      </w:r>
      <w:r w:rsidRPr="0084782F">
        <w:rPr>
          <w:rFonts w:cs="Times New Roman"/>
        </w:rPr>
        <w:t xml:space="preserve"> </w:t>
      </w:r>
      <w:r w:rsidR="00E213BA">
        <w:rPr>
          <w:rFonts w:cs="Times New Roman"/>
        </w:rPr>
        <w:t>ir</w:t>
      </w:r>
      <w:r w:rsidRPr="0084782F">
        <w:rPr>
          <w:rFonts w:cs="Times New Roman"/>
        </w:rPr>
        <w:t xml:space="preserve"> 2015.</w:t>
      </w:r>
      <w:r w:rsidR="00100697">
        <w:rPr>
          <w:rFonts w:cs="Times New Roman"/>
        </w:rPr>
        <w:t> </w:t>
      </w:r>
      <w:r w:rsidRPr="0084782F">
        <w:rPr>
          <w:rFonts w:cs="Times New Roman"/>
        </w:rPr>
        <w:t>gada 30.</w:t>
      </w:r>
      <w:r w:rsidR="00100697">
        <w:rPr>
          <w:rFonts w:cs="Times New Roman"/>
        </w:rPr>
        <w:t> </w:t>
      </w:r>
      <w:r w:rsidRPr="0084782F">
        <w:rPr>
          <w:rFonts w:cs="Times New Roman"/>
        </w:rPr>
        <w:t>marta iesniegums, kas adresēts Valsts policijas Rīgas reģiona pārvaldes Rīgas Ķengaraga</w:t>
      </w:r>
      <w:r w:rsidR="0011742C">
        <w:rPr>
          <w:rFonts w:cs="Times New Roman"/>
        </w:rPr>
        <w:t xml:space="preserve"> iecirkņa K</w:t>
      </w:r>
      <w:r w:rsidRPr="0084782F">
        <w:rPr>
          <w:rFonts w:cs="Times New Roman"/>
        </w:rPr>
        <w:t>riminālpolicijas n</w:t>
      </w:r>
      <w:r w:rsidR="009B0238">
        <w:rPr>
          <w:rFonts w:cs="Times New Roman"/>
        </w:rPr>
        <w:t xml:space="preserve">odaļas galvenajai inspektorei </w:t>
      </w:r>
      <w:r w:rsidR="00496309">
        <w:rPr>
          <w:rFonts w:cs="Times New Roman"/>
        </w:rPr>
        <w:t>[pers. C]</w:t>
      </w:r>
      <w:r w:rsidRPr="0084782F">
        <w:rPr>
          <w:rFonts w:cs="Times New Roman"/>
        </w:rPr>
        <w:t>, kurā apsūdzētā</w:t>
      </w:r>
      <w:r w:rsidR="00E213BA" w:rsidRPr="00E213BA">
        <w:rPr>
          <w:rFonts w:cs="Times New Roman"/>
        </w:rPr>
        <w:t xml:space="preserve"> </w:t>
      </w:r>
      <w:r w:rsidR="00496309">
        <w:rPr>
          <w:rFonts w:cs="Times New Roman"/>
        </w:rPr>
        <w:t>[pers. A]</w:t>
      </w:r>
      <w:r w:rsidRPr="0084782F">
        <w:rPr>
          <w:rFonts w:cs="Times New Roman"/>
        </w:rPr>
        <w:t xml:space="preserve"> lūdz pievienot lietas materiāliem operatīvo darbinieku ziņojumus par to, ka </w:t>
      </w:r>
      <w:r w:rsidR="00E213BA">
        <w:rPr>
          <w:rFonts w:cs="Times New Roman"/>
        </w:rPr>
        <w:t>viņ</w:t>
      </w:r>
      <w:r w:rsidRPr="0084782F">
        <w:rPr>
          <w:rFonts w:cs="Times New Roman"/>
        </w:rPr>
        <w:t xml:space="preserve">a </w:t>
      </w:r>
      <w:r w:rsidR="007C5B04">
        <w:rPr>
          <w:rFonts w:cs="Times New Roman"/>
        </w:rPr>
        <w:t xml:space="preserve">ir </w:t>
      </w:r>
      <w:r w:rsidRPr="0084782F">
        <w:rPr>
          <w:rFonts w:cs="Times New Roman"/>
        </w:rPr>
        <w:t xml:space="preserve">sniegusi </w:t>
      </w:r>
      <w:r w:rsidR="00E213BA">
        <w:rPr>
          <w:rFonts w:cs="Times New Roman"/>
        </w:rPr>
        <w:t xml:space="preserve">šādas </w:t>
      </w:r>
      <w:r w:rsidR="004A1001">
        <w:rPr>
          <w:rFonts w:cs="Times New Roman"/>
        </w:rPr>
        <w:t>ziņas</w:t>
      </w:r>
      <w:r w:rsidRPr="0084782F">
        <w:rPr>
          <w:rFonts w:cs="Times New Roman"/>
        </w:rPr>
        <w:t xml:space="preserve">. </w:t>
      </w:r>
      <w:r w:rsidR="0011742C" w:rsidRPr="0084782F">
        <w:rPr>
          <w:rFonts w:cs="Times New Roman"/>
        </w:rPr>
        <w:t>Ķengaraga</w:t>
      </w:r>
      <w:r w:rsidR="0011742C">
        <w:rPr>
          <w:rFonts w:cs="Times New Roman"/>
        </w:rPr>
        <w:t xml:space="preserve"> iecirkņa K</w:t>
      </w:r>
      <w:r w:rsidR="0011742C" w:rsidRPr="0084782F">
        <w:rPr>
          <w:rFonts w:cs="Times New Roman"/>
        </w:rPr>
        <w:t>riminālpolicijas n</w:t>
      </w:r>
      <w:r w:rsidR="0011742C">
        <w:rPr>
          <w:rFonts w:cs="Times New Roman"/>
        </w:rPr>
        <w:t>odaļas</w:t>
      </w:r>
      <w:r w:rsidR="0011742C" w:rsidRPr="0084782F">
        <w:rPr>
          <w:rFonts w:cs="Times New Roman"/>
        </w:rPr>
        <w:t xml:space="preserve"> </w:t>
      </w:r>
      <w:r w:rsidR="0011742C">
        <w:rPr>
          <w:rFonts w:cs="Times New Roman"/>
        </w:rPr>
        <w:t xml:space="preserve">priekšnieka vietnieces pienākumu izpildītāja </w:t>
      </w:r>
      <w:r w:rsidR="00496309">
        <w:rPr>
          <w:rFonts w:cs="Times New Roman"/>
        </w:rPr>
        <w:t>[pers. D]</w:t>
      </w:r>
      <w:r w:rsidR="00E213BA">
        <w:rPr>
          <w:rFonts w:cs="Times New Roman"/>
        </w:rPr>
        <w:t xml:space="preserve"> uz iesniegumu</w:t>
      </w:r>
      <w:r w:rsidRPr="0084782F">
        <w:rPr>
          <w:rFonts w:cs="Times New Roman"/>
        </w:rPr>
        <w:t xml:space="preserve"> atbildēja, ka apsūdzētās lūgums tiks apmierināts, taču</w:t>
      </w:r>
      <w:r w:rsidR="00694EA3">
        <w:rPr>
          <w:rFonts w:cs="Times New Roman"/>
        </w:rPr>
        <w:t xml:space="preserve"> </w:t>
      </w:r>
      <w:r w:rsidRPr="0084782F">
        <w:rPr>
          <w:rFonts w:cs="Times New Roman"/>
        </w:rPr>
        <w:t xml:space="preserve"> ziņojums lietas materiāliem netika pievienots.  </w:t>
      </w:r>
    </w:p>
    <w:p w14:paraId="663CD427" w14:textId="0AAD573F" w:rsidR="00E0378D" w:rsidRPr="0084782F" w:rsidRDefault="00E0378D" w:rsidP="00413040">
      <w:pPr>
        <w:ind w:firstLine="709"/>
        <w:jc w:val="both"/>
        <w:rPr>
          <w:rFonts w:cs="Times New Roman"/>
        </w:rPr>
      </w:pPr>
      <w:r w:rsidRPr="0084782F">
        <w:rPr>
          <w:rFonts w:cs="Times New Roman"/>
        </w:rPr>
        <w:t>[</w:t>
      </w:r>
      <w:r w:rsidR="0095188C">
        <w:rPr>
          <w:rFonts w:cs="Times New Roman"/>
        </w:rPr>
        <w:t>6.</w:t>
      </w:r>
      <w:r w:rsidR="00E418C1">
        <w:rPr>
          <w:rFonts w:cs="Times New Roman"/>
        </w:rPr>
        <w:t>3</w:t>
      </w:r>
      <w:r w:rsidR="00100697">
        <w:rPr>
          <w:rFonts w:cs="Times New Roman"/>
        </w:rPr>
        <w:t>] </w:t>
      </w:r>
      <w:r w:rsidRPr="0084782F">
        <w:rPr>
          <w:rFonts w:cs="Times New Roman"/>
        </w:rPr>
        <w:t>Tiesa nepamatoti konstatējusi Krimināllikuma 48.</w:t>
      </w:r>
      <w:r w:rsidR="00100697">
        <w:rPr>
          <w:rFonts w:cs="Times New Roman"/>
        </w:rPr>
        <w:t> </w:t>
      </w:r>
      <w:r w:rsidRPr="0084782F">
        <w:rPr>
          <w:rFonts w:cs="Times New Roman"/>
        </w:rPr>
        <w:t>panta pirmās daļas 12.</w:t>
      </w:r>
      <w:r w:rsidR="00100697">
        <w:rPr>
          <w:rFonts w:cs="Times New Roman"/>
        </w:rPr>
        <w:t> </w:t>
      </w:r>
      <w:r w:rsidRPr="0084782F">
        <w:rPr>
          <w:rFonts w:cs="Times New Roman"/>
        </w:rPr>
        <w:t>punktā norādīto atbildību pastiprinošo apstākli – noziedzīgais nodarījums izdar</w:t>
      </w:r>
      <w:r w:rsidR="003C7BE7">
        <w:rPr>
          <w:rFonts w:cs="Times New Roman"/>
        </w:rPr>
        <w:t xml:space="preserve">īts </w:t>
      </w:r>
      <w:r w:rsidR="00C77ED6">
        <w:rPr>
          <w:rFonts w:cs="Times New Roman"/>
        </w:rPr>
        <w:t xml:space="preserve">alkohola, </w:t>
      </w:r>
      <w:r w:rsidR="003C7BE7">
        <w:rPr>
          <w:rFonts w:cs="Times New Roman"/>
        </w:rPr>
        <w:t>narkotisko</w:t>
      </w:r>
      <w:r w:rsidR="00C77ED6">
        <w:rPr>
          <w:rFonts w:cs="Times New Roman"/>
        </w:rPr>
        <w:t>, psihotropo, toksisko vai citu apreibinošu</w:t>
      </w:r>
      <w:r w:rsidR="003C7BE7">
        <w:rPr>
          <w:rFonts w:cs="Times New Roman"/>
        </w:rPr>
        <w:t xml:space="preserve"> vielu ietekmē</w:t>
      </w:r>
      <w:r w:rsidR="004D26D7">
        <w:rPr>
          <w:rFonts w:cs="Times New Roman"/>
        </w:rPr>
        <w:t xml:space="preserve">. </w:t>
      </w:r>
      <w:r w:rsidRPr="0084782F">
        <w:rPr>
          <w:rFonts w:cs="Times New Roman"/>
        </w:rPr>
        <w:t>Apsūdzētā kopš 2012.</w:t>
      </w:r>
      <w:r w:rsidR="00100697">
        <w:rPr>
          <w:rFonts w:cs="Times New Roman"/>
        </w:rPr>
        <w:t> </w:t>
      </w:r>
      <w:r w:rsidRPr="0084782F">
        <w:rPr>
          <w:rFonts w:cs="Times New Roman"/>
        </w:rPr>
        <w:t>gada 13.</w:t>
      </w:r>
      <w:r w:rsidR="00100697">
        <w:rPr>
          <w:rFonts w:cs="Times New Roman"/>
        </w:rPr>
        <w:t> </w:t>
      </w:r>
      <w:r w:rsidRPr="0084782F">
        <w:rPr>
          <w:rFonts w:cs="Times New Roman"/>
        </w:rPr>
        <w:t>februāra ir Rīgas psihiatrijas un narkoloģija</w:t>
      </w:r>
      <w:r w:rsidR="00100697">
        <w:rPr>
          <w:rFonts w:cs="Times New Roman"/>
        </w:rPr>
        <w:t>s centra uzskaitē ar diagnozi –</w:t>
      </w:r>
      <w:r w:rsidR="00413040">
        <w:rPr>
          <w:rFonts w:cs="Times New Roman"/>
        </w:rPr>
        <w:t xml:space="preserve"> </w:t>
      </w:r>
      <w:r w:rsidRPr="0084782F">
        <w:rPr>
          <w:rFonts w:cs="Times New Roman"/>
        </w:rPr>
        <w:t xml:space="preserve">epizodiska ļaunprātīga amfetamīna un </w:t>
      </w:r>
      <w:proofErr w:type="spellStart"/>
      <w:r w:rsidRPr="0084782F">
        <w:rPr>
          <w:rFonts w:cs="Times New Roman"/>
        </w:rPr>
        <w:t>k</w:t>
      </w:r>
      <w:r w:rsidR="00C77ED6">
        <w:rPr>
          <w:rFonts w:cs="Times New Roman"/>
        </w:rPr>
        <w:t>anabinoīdu</w:t>
      </w:r>
      <w:proofErr w:type="spellEnd"/>
      <w:r w:rsidR="00C77ED6">
        <w:rPr>
          <w:rFonts w:cs="Times New Roman"/>
        </w:rPr>
        <w:t xml:space="preserve"> lietošana</w:t>
      </w:r>
      <w:r w:rsidRPr="0084782F">
        <w:rPr>
          <w:rFonts w:cs="Times New Roman"/>
        </w:rPr>
        <w:t>. Uz noziedzīga nodarījuma izdarīšanas brīdi apsūdzētā bija atkarīga no narkotiskajām vielām, tāpēc tā</w:t>
      </w:r>
      <w:r w:rsidR="00413040">
        <w:rPr>
          <w:rFonts w:cs="Times New Roman"/>
        </w:rPr>
        <w:t xml:space="preserve"> ir</w:t>
      </w:r>
      <w:r w:rsidRPr="0084782F">
        <w:rPr>
          <w:rFonts w:cs="Times New Roman"/>
        </w:rPr>
        <w:t xml:space="preserve"> uzskatāma par slimību. Tiesa nav ņēmusi vērā Krimināllikuma 48.</w:t>
      </w:r>
      <w:r w:rsidR="00100697">
        <w:rPr>
          <w:rFonts w:cs="Times New Roman"/>
        </w:rPr>
        <w:t> </w:t>
      </w:r>
      <w:r w:rsidRPr="0084782F">
        <w:rPr>
          <w:rFonts w:cs="Times New Roman"/>
        </w:rPr>
        <w:t>panta otro daļu, jo atbilstoši minētajai tiesību normai, ievērojot noziedzīgā nodarījuma raksturu, tiesa var neatzīt par atbildību pastiprinošu jebkuru no Krimināllikuma 48.</w:t>
      </w:r>
      <w:r w:rsidR="00100697">
        <w:rPr>
          <w:rFonts w:cs="Times New Roman"/>
        </w:rPr>
        <w:t> </w:t>
      </w:r>
      <w:r w:rsidRPr="0084782F">
        <w:rPr>
          <w:rFonts w:cs="Times New Roman"/>
        </w:rPr>
        <w:t xml:space="preserve">panta pirmajā daļā minētajiem apstākļiem. </w:t>
      </w:r>
    </w:p>
    <w:p w14:paraId="46A3BCAE" w14:textId="6B705BCC" w:rsidR="00E0378D" w:rsidRPr="0084782F" w:rsidRDefault="00E0378D" w:rsidP="002577EC">
      <w:pPr>
        <w:ind w:firstLine="709"/>
        <w:jc w:val="both"/>
        <w:rPr>
          <w:rFonts w:cs="Times New Roman"/>
        </w:rPr>
      </w:pPr>
      <w:r w:rsidRPr="0084782F">
        <w:rPr>
          <w:rFonts w:cs="Times New Roman"/>
        </w:rPr>
        <w:t>[</w:t>
      </w:r>
      <w:r w:rsidR="0095188C">
        <w:rPr>
          <w:rFonts w:cs="Times New Roman"/>
        </w:rPr>
        <w:t>6.</w:t>
      </w:r>
      <w:r w:rsidR="00413040">
        <w:rPr>
          <w:rFonts w:cs="Times New Roman"/>
        </w:rPr>
        <w:t>4</w:t>
      </w:r>
      <w:r w:rsidR="00100697">
        <w:rPr>
          <w:rFonts w:cs="Times New Roman"/>
        </w:rPr>
        <w:t>] </w:t>
      </w:r>
      <w:r w:rsidRPr="0084782F">
        <w:rPr>
          <w:rFonts w:cs="Times New Roman"/>
        </w:rPr>
        <w:t xml:space="preserve">Tiesa nepamatoti </w:t>
      </w:r>
      <w:r w:rsidR="00E418C1">
        <w:rPr>
          <w:rFonts w:cs="Times New Roman"/>
        </w:rPr>
        <w:t>noraidījusi</w:t>
      </w:r>
      <w:r w:rsidRPr="0084782F">
        <w:rPr>
          <w:rFonts w:cs="Times New Roman"/>
        </w:rPr>
        <w:t xml:space="preserve"> </w:t>
      </w:r>
      <w:r w:rsidR="005C7F1C">
        <w:rPr>
          <w:rFonts w:cs="Times New Roman"/>
        </w:rPr>
        <w:t xml:space="preserve">apsūdzētās </w:t>
      </w:r>
      <w:r w:rsidRPr="0084782F">
        <w:rPr>
          <w:rFonts w:cs="Times New Roman"/>
        </w:rPr>
        <w:t>lūgumu</w:t>
      </w:r>
      <w:r w:rsidR="00413040">
        <w:rPr>
          <w:rFonts w:cs="Times New Roman"/>
        </w:rPr>
        <w:t xml:space="preserve"> noteikt vieglāku soda veidu</w:t>
      </w:r>
      <w:r w:rsidRPr="0084782F">
        <w:rPr>
          <w:rFonts w:cs="Times New Roman"/>
        </w:rPr>
        <w:t xml:space="preserve"> saskaņā ar Krimināllikuma 49.</w:t>
      </w:r>
      <w:r w:rsidR="00100697">
        <w:rPr>
          <w:rFonts w:cs="Times New Roman"/>
          <w:vertAlign w:val="superscript"/>
        </w:rPr>
        <w:t>1 </w:t>
      </w:r>
      <w:r w:rsidRPr="0084782F">
        <w:rPr>
          <w:rFonts w:cs="Times New Roman"/>
        </w:rPr>
        <w:t>panta pirmās daļas 3.</w:t>
      </w:r>
      <w:r w:rsidR="00100697">
        <w:rPr>
          <w:rFonts w:cs="Times New Roman"/>
        </w:rPr>
        <w:t> </w:t>
      </w:r>
      <w:r w:rsidRPr="0084782F">
        <w:rPr>
          <w:rFonts w:cs="Times New Roman"/>
        </w:rPr>
        <w:t xml:space="preserve">punktu. </w:t>
      </w:r>
    </w:p>
    <w:p w14:paraId="128A27E5" w14:textId="4F402338" w:rsidR="00E0378D" w:rsidRPr="0084782F" w:rsidRDefault="00413040" w:rsidP="002577EC">
      <w:pPr>
        <w:ind w:firstLine="709"/>
        <w:jc w:val="both"/>
        <w:rPr>
          <w:rFonts w:cs="Times New Roman"/>
        </w:rPr>
      </w:pPr>
      <w:r>
        <w:rPr>
          <w:rFonts w:cs="Times New Roman"/>
        </w:rPr>
        <w:t>Turklāt tiesa nav ņēmusi vērā apsūdzētās personību raksturojošās ziņas un</w:t>
      </w:r>
      <w:r w:rsidR="00100697">
        <w:rPr>
          <w:rFonts w:cs="Times New Roman"/>
        </w:rPr>
        <w:t> veselības problēmas</w:t>
      </w:r>
      <w:r>
        <w:rPr>
          <w:rFonts w:cs="Times New Roman"/>
        </w:rPr>
        <w:t xml:space="preserve">, </w:t>
      </w:r>
      <w:r w:rsidR="007C5B04">
        <w:rPr>
          <w:rFonts w:cs="Times New Roman"/>
        </w:rPr>
        <w:t xml:space="preserve">kā arī to, </w:t>
      </w:r>
      <w:r>
        <w:rPr>
          <w:rFonts w:cs="Times New Roman"/>
        </w:rPr>
        <w:t>ka k</w:t>
      </w:r>
      <w:r w:rsidR="00E0378D" w:rsidRPr="0084782F">
        <w:rPr>
          <w:rFonts w:cs="Times New Roman"/>
        </w:rPr>
        <w:t xml:space="preserve">opš noziedzīga nodarījuma izdarīšanas brīža ir pagājuši gandrīz </w:t>
      </w:r>
      <w:r w:rsidR="00CD09E6">
        <w:rPr>
          <w:rFonts w:cs="Times New Roman"/>
        </w:rPr>
        <w:t xml:space="preserve">astoņi </w:t>
      </w:r>
      <w:r w:rsidR="00E0378D" w:rsidRPr="0084782F">
        <w:rPr>
          <w:rFonts w:cs="Times New Roman"/>
        </w:rPr>
        <w:t xml:space="preserve">gadi, kuru laikā apsūdzētā ir atbrīvojusies no narkotisko vielu </w:t>
      </w:r>
      <w:r w:rsidR="00E0378D" w:rsidRPr="0084782F">
        <w:rPr>
          <w:rFonts w:cs="Times New Roman"/>
        </w:rPr>
        <w:lastRenderedPageBreak/>
        <w:t xml:space="preserve">atkarības, ir uzsākusi darbu uzņēmumā. Ņemot vērā iepriekš minēto, ir pamats noteikt vieglāku soda veidu, kas nav saistīts ar brīvības atņemšanu – sabiedrisko darbu. </w:t>
      </w:r>
    </w:p>
    <w:p w14:paraId="59293702" w14:textId="77777777" w:rsidR="00E0378D" w:rsidRPr="0084782F" w:rsidRDefault="00E0378D" w:rsidP="002577EC">
      <w:pPr>
        <w:ind w:firstLine="709"/>
        <w:jc w:val="both"/>
        <w:rPr>
          <w:rFonts w:cs="Times New Roman"/>
        </w:rPr>
      </w:pPr>
    </w:p>
    <w:p w14:paraId="1D30381F" w14:textId="77777777" w:rsidR="00E0378D" w:rsidRPr="0084782F" w:rsidRDefault="00E0378D" w:rsidP="002577EC">
      <w:pPr>
        <w:ind w:firstLine="0"/>
        <w:jc w:val="center"/>
        <w:rPr>
          <w:rFonts w:cs="Times New Roman"/>
          <w:b/>
        </w:rPr>
      </w:pPr>
      <w:r w:rsidRPr="0084782F">
        <w:rPr>
          <w:rFonts w:cs="Times New Roman"/>
          <w:b/>
        </w:rPr>
        <w:t>Motīvu daļa</w:t>
      </w:r>
    </w:p>
    <w:p w14:paraId="5DE5C26B" w14:textId="77777777" w:rsidR="00E0378D" w:rsidRPr="0084782F" w:rsidRDefault="00E0378D" w:rsidP="002577EC">
      <w:pPr>
        <w:ind w:firstLine="709"/>
        <w:jc w:val="both"/>
        <w:rPr>
          <w:rFonts w:cs="Times New Roman"/>
          <w:b/>
        </w:rPr>
      </w:pPr>
    </w:p>
    <w:p w14:paraId="33FA3AE7" w14:textId="02917940" w:rsidR="001863B5" w:rsidRDefault="00E0378D" w:rsidP="002577EC">
      <w:pPr>
        <w:ind w:firstLine="709"/>
        <w:jc w:val="both"/>
        <w:rPr>
          <w:rFonts w:eastAsia="Times New Roman" w:cs="Times New Roman"/>
          <w:szCs w:val="24"/>
          <w:lang w:eastAsia="ru-RU"/>
        </w:rPr>
      </w:pPr>
      <w:r>
        <w:rPr>
          <w:rFonts w:cs="Times New Roman"/>
        </w:rPr>
        <w:t>[</w:t>
      </w:r>
      <w:r w:rsidR="00751F94">
        <w:rPr>
          <w:rFonts w:cs="Times New Roman"/>
        </w:rPr>
        <w:t>7</w:t>
      </w:r>
      <w:r>
        <w:rPr>
          <w:rFonts w:cs="Times New Roman"/>
        </w:rPr>
        <w:t>] </w:t>
      </w:r>
      <w:r w:rsidR="001863B5" w:rsidRPr="00A731E5">
        <w:rPr>
          <w:rFonts w:cs="Times New Roman"/>
          <w:szCs w:val="24"/>
        </w:rPr>
        <w:t>Senāts</w:t>
      </w:r>
      <w:r w:rsidR="001863B5" w:rsidRPr="00A731E5">
        <w:rPr>
          <w:rFonts w:cs="Times New Roman"/>
          <w:bCs/>
          <w:szCs w:val="24"/>
        </w:rPr>
        <w:t xml:space="preserve"> konstatē, ka kasācijas instances tiesas kompetencē izskatāmajā lietā ir atbildēt</w:t>
      </w:r>
      <w:r w:rsidR="001863B5">
        <w:rPr>
          <w:rFonts w:cs="Times New Roman"/>
          <w:bCs/>
          <w:szCs w:val="24"/>
        </w:rPr>
        <w:t xml:space="preserve">, </w:t>
      </w:r>
      <w:r w:rsidR="001863B5" w:rsidRPr="00A731E5">
        <w:rPr>
          <w:rFonts w:cs="Times New Roman"/>
          <w:bCs/>
          <w:szCs w:val="24"/>
        </w:rPr>
        <w:t>vai</w:t>
      </w:r>
      <w:r w:rsidR="001863B5" w:rsidRPr="007F6614">
        <w:rPr>
          <w:rFonts w:eastAsia="Times New Roman" w:cs="Times New Roman"/>
          <w:color w:val="000000"/>
          <w:szCs w:val="24"/>
          <w:lang w:eastAsia="lv-LV" w:bidi="lv-LV"/>
        </w:rPr>
        <w:t xml:space="preserve"> </w:t>
      </w:r>
      <w:r w:rsidR="001863B5">
        <w:rPr>
          <w:rFonts w:eastAsia="Times New Roman" w:cs="Times New Roman"/>
          <w:color w:val="000000"/>
          <w:szCs w:val="24"/>
          <w:lang w:eastAsia="lv-LV" w:bidi="lv-LV"/>
        </w:rPr>
        <w:t>a</w:t>
      </w:r>
      <w:r w:rsidR="001863B5" w:rsidRPr="00A731E5">
        <w:rPr>
          <w:rFonts w:eastAsia="Times New Roman" w:cs="Times New Roman"/>
          <w:color w:val="000000"/>
          <w:szCs w:val="24"/>
          <w:lang w:eastAsia="lv-LV" w:bidi="lv-LV"/>
        </w:rPr>
        <w:t>pelācijas instances tiesa</w:t>
      </w:r>
      <w:r w:rsidR="001863B5">
        <w:rPr>
          <w:rFonts w:eastAsia="Times New Roman" w:cs="Times New Roman"/>
          <w:color w:val="000000"/>
          <w:szCs w:val="24"/>
          <w:lang w:eastAsia="lv-LV" w:bidi="lv-LV"/>
        </w:rPr>
        <w:t xml:space="preserve">, </w:t>
      </w:r>
      <w:r w:rsidR="001863B5">
        <w:rPr>
          <w:rFonts w:cs="Times New Roman"/>
          <w:szCs w:val="24"/>
          <w:lang w:eastAsia="lv-LV" w:bidi="lv-LV"/>
        </w:rPr>
        <w:t>atstājot negrozītu pirmās instances tiesas spriedumu par apsūdzētajai</w:t>
      </w:r>
      <w:r w:rsidR="001863B5" w:rsidRPr="001863B5">
        <w:rPr>
          <w:rFonts w:cs="Times New Roman"/>
        </w:rPr>
        <w:t xml:space="preserve"> </w:t>
      </w:r>
      <w:r w:rsidR="00496309">
        <w:rPr>
          <w:rFonts w:cs="Times New Roman"/>
        </w:rPr>
        <w:t>[pers. A]</w:t>
      </w:r>
      <w:r w:rsidR="001863B5">
        <w:rPr>
          <w:rFonts w:cs="Times New Roman"/>
        </w:rPr>
        <w:t xml:space="preserve"> noteikto sodu</w:t>
      </w:r>
      <w:r w:rsidR="001863B5">
        <w:rPr>
          <w:rFonts w:eastAsia="Times New Roman" w:cs="Times New Roman"/>
          <w:color w:val="000000"/>
          <w:szCs w:val="24"/>
          <w:lang w:eastAsia="lv-LV" w:bidi="lv-LV"/>
        </w:rPr>
        <w:t>, nav</w:t>
      </w:r>
      <w:r w:rsidR="001863B5" w:rsidRPr="00A731E5">
        <w:rPr>
          <w:rFonts w:eastAsia="Times New Roman" w:cs="Times New Roman"/>
          <w:color w:val="000000"/>
          <w:szCs w:val="24"/>
          <w:lang w:eastAsia="lv-LV" w:bidi="lv-LV"/>
        </w:rPr>
        <w:t xml:space="preserve"> pieļ</w:t>
      </w:r>
      <w:r w:rsidR="001863B5">
        <w:rPr>
          <w:rFonts w:eastAsia="Times New Roman" w:cs="Times New Roman"/>
          <w:color w:val="000000"/>
          <w:szCs w:val="24"/>
          <w:lang w:eastAsia="lv-LV" w:bidi="lv-LV"/>
        </w:rPr>
        <w:t>āvusi</w:t>
      </w:r>
      <w:r w:rsidR="001863B5" w:rsidRPr="00A731E5">
        <w:rPr>
          <w:rFonts w:eastAsia="Times New Roman" w:cs="Times New Roman"/>
          <w:color w:val="000000"/>
          <w:szCs w:val="24"/>
          <w:lang w:eastAsia="lv-LV" w:bidi="lv-LV"/>
        </w:rPr>
        <w:t xml:space="preserve"> Kriminālprocesa likuma 574. panta </w:t>
      </w:r>
      <w:r w:rsidR="001863B5">
        <w:rPr>
          <w:rFonts w:eastAsia="Times New Roman" w:cs="Times New Roman"/>
          <w:color w:val="000000"/>
          <w:szCs w:val="24"/>
          <w:lang w:eastAsia="lv-LV" w:bidi="lv-LV"/>
        </w:rPr>
        <w:t>1</w:t>
      </w:r>
      <w:r w:rsidR="001863B5" w:rsidRPr="00A731E5">
        <w:rPr>
          <w:rFonts w:eastAsia="Times New Roman" w:cs="Times New Roman"/>
          <w:color w:val="000000"/>
          <w:szCs w:val="24"/>
          <w:lang w:eastAsia="lv-LV" w:bidi="lv-LV"/>
        </w:rPr>
        <w:t>. punktā norādīt</w:t>
      </w:r>
      <w:r w:rsidR="001863B5">
        <w:rPr>
          <w:rFonts w:eastAsia="Times New Roman" w:cs="Times New Roman"/>
          <w:color w:val="000000"/>
          <w:szCs w:val="24"/>
          <w:lang w:eastAsia="lv-LV" w:bidi="lv-LV"/>
        </w:rPr>
        <w:t>o</w:t>
      </w:r>
      <w:r w:rsidR="001863B5" w:rsidRPr="00A731E5">
        <w:rPr>
          <w:rFonts w:eastAsia="Times New Roman" w:cs="Times New Roman"/>
          <w:color w:val="000000"/>
          <w:szCs w:val="24"/>
          <w:lang w:eastAsia="lv-LV" w:bidi="lv-LV"/>
        </w:rPr>
        <w:t xml:space="preserve"> pārkāpum</w:t>
      </w:r>
      <w:r w:rsidR="001863B5">
        <w:rPr>
          <w:rFonts w:eastAsia="Times New Roman" w:cs="Times New Roman"/>
          <w:color w:val="000000"/>
          <w:szCs w:val="24"/>
          <w:lang w:eastAsia="lv-LV" w:bidi="lv-LV"/>
        </w:rPr>
        <w:t>u</w:t>
      </w:r>
      <w:r w:rsidR="007C5B04">
        <w:rPr>
          <w:rFonts w:eastAsia="Times New Roman" w:cs="Times New Roman"/>
          <w:color w:val="000000"/>
          <w:szCs w:val="24"/>
          <w:lang w:eastAsia="lv-LV" w:bidi="lv-LV"/>
        </w:rPr>
        <w:t xml:space="preserve"> vai Kriminālprocesa likuma būtisku pārkāpumu</w:t>
      </w:r>
      <w:r w:rsidR="001863B5">
        <w:rPr>
          <w:rFonts w:eastAsia="Times New Roman" w:cs="Times New Roman"/>
          <w:szCs w:val="24"/>
          <w:lang w:eastAsia="ru-RU"/>
        </w:rPr>
        <w:t>.</w:t>
      </w:r>
    </w:p>
    <w:p w14:paraId="7D2AC87D" w14:textId="50DEE454" w:rsidR="00D4449D" w:rsidRPr="0084782F" w:rsidRDefault="00E0378D" w:rsidP="00D4449D">
      <w:pPr>
        <w:ind w:firstLine="709"/>
        <w:jc w:val="both"/>
        <w:rPr>
          <w:rFonts w:cs="Times New Roman"/>
        </w:rPr>
      </w:pPr>
      <w:r>
        <w:rPr>
          <w:rFonts w:cs="Times New Roman"/>
        </w:rPr>
        <w:t>[</w:t>
      </w:r>
      <w:r w:rsidR="00751F94">
        <w:rPr>
          <w:rFonts w:cs="Times New Roman"/>
        </w:rPr>
        <w:t>7.1</w:t>
      </w:r>
      <w:r w:rsidR="00100697">
        <w:rPr>
          <w:rFonts w:cs="Times New Roman"/>
        </w:rPr>
        <w:t>] </w:t>
      </w:r>
      <w:r w:rsidRPr="0084782F">
        <w:rPr>
          <w:rFonts w:cs="Times New Roman"/>
        </w:rPr>
        <w:t>Senāts konstatē, ka apelācijas instances tiesa, izskatot lie</w:t>
      </w:r>
      <w:r w:rsidR="00100697">
        <w:rPr>
          <w:rFonts w:cs="Times New Roman"/>
        </w:rPr>
        <w:t xml:space="preserve">tu, nav pieļāvusi apsūdzētās </w:t>
      </w:r>
      <w:r w:rsidR="00496309">
        <w:rPr>
          <w:rFonts w:cs="Times New Roman"/>
        </w:rPr>
        <w:t>[pers. A]</w:t>
      </w:r>
      <w:r w:rsidRPr="0084782F">
        <w:rPr>
          <w:rFonts w:cs="Times New Roman"/>
        </w:rPr>
        <w:t xml:space="preserve"> kasācijas sūdzībā norādītos Latvijas Republikas Satversmes, Eiropas Cilvēktiesību un pamatbrīvību </w:t>
      </w:r>
      <w:r w:rsidR="00EE403F">
        <w:rPr>
          <w:rFonts w:cs="Times New Roman"/>
        </w:rPr>
        <w:t xml:space="preserve">aizsardzības </w:t>
      </w:r>
      <w:r w:rsidRPr="0084782F">
        <w:rPr>
          <w:rFonts w:cs="Times New Roman"/>
        </w:rPr>
        <w:t>konvencijas, Krimināllikuma un Kriminālprocesa likuma normu pārkāpumus</w:t>
      </w:r>
      <w:r w:rsidR="00D4449D">
        <w:rPr>
          <w:rFonts w:cs="Times New Roman"/>
        </w:rPr>
        <w:t>.</w:t>
      </w:r>
      <w:r w:rsidR="00D4449D" w:rsidRPr="00D4449D">
        <w:rPr>
          <w:rFonts w:cs="Times New Roman"/>
        </w:rPr>
        <w:t xml:space="preserve"> </w:t>
      </w:r>
      <w:r w:rsidR="00D4449D">
        <w:rPr>
          <w:rFonts w:cs="Times New Roman"/>
        </w:rPr>
        <w:t>Kasācijas sūdzībā atkārtoti apelācijas sūdzības argumenti, kurus izvērtējusi un motivēti noraidījusi apelācijas instances tiesa.</w:t>
      </w:r>
    </w:p>
    <w:p w14:paraId="7D5C2F14" w14:textId="72D99618" w:rsidR="00E0378D" w:rsidRPr="0084782F" w:rsidRDefault="00D4449D" w:rsidP="002577EC">
      <w:pPr>
        <w:ind w:firstLine="709"/>
        <w:jc w:val="both"/>
        <w:rPr>
          <w:rFonts w:cs="Times New Roman"/>
        </w:rPr>
      </w:pPr>
      <w:r>
        <w:rPr>
          <w:rFonts w:cs="Times New Roman"/>
        </w:rPr>
        <w:t>K</w:t>
      </w:r>
      <w:r w:rsidR="00E0378D" w:rsidRPr="0084782F">
        <w:rPr>
          <w:rFonts w:cs="Times New Roman"/>
        </w:rPr>
        <w:t>asācijas sūdzībā nav izklāstīti tādi argumenti, kuri varētu būt par pamatu</w:t>
      </w:r>
      <w:r w:rsidR="007C5B04">
        <w:rPr>
          <w:rFonts w:cs="Times New Roman"/>
        </w:rPr>
        <w:t xml:space="preserve"> apelācijas instances</w:t>
      </w:r>
      <w:r w:rsidR="00E0378D" w:rsidRPr="0084782F">
        <w:rPr>
          <w:rFonts w:cs="Times New Roman"/>
        </w:rPr>
        <w:t xml:space="preserve"> tiesas lēmuma atcelšanai</w:t>
      </w:r>
      <w:r w:rsidR="00EE403F">
        <w:rPr>
          <w:rFonts w:cs="Times New Roman"/>
        </w:rPr>
        <w:t xml:space="preserve"> vai grozīšanai</w:t>
      </w:r>
      <w:r w:rsidR="00E0378D" w:rsidRPr="0084782F">
        <w:rPr>
          <w:rFonts w:cs="Times New Roman"/>
        </w:rPr>
        <w:t>.</w:t>
      </w:r>
    </w:p>
    <w:p w14:paraId="72829859" w14:textId="0CA2A165" w:rsidR="007C5B04" w:rsidRDefault="00E0378D" w:rsidP="002577EC">
      <w:pPr>
        <w:ind w:firstLine="709"/>
        <w:jc w:val="both"/>
        <w:rPr>
          <w:rFonts w:cs="Times New Roman"/>
        </w:rPr>
      </w:pPr>
      <w:r>
        <w:rPr>
          <w:rFonts w:cs="Times New Roman"/>
        </w:rPr>
        <w:t>[</w:t>
      </w:r>
      <w:r w:rsidR="00C52E2C">
        <w:rPr>
          <w:rFonts w:cs="Times New Roman"/>
        </w:rPr>
        <w:t>7.2</w:t>
      </w:r>
      <w:r>
        <w:rPr>
          <w:rFonts w:cs="Times New Roman"/>
        </w:rPr>
        <w:t>] </w:t>
      </w:r>
      <w:r w:rsidRPr="0084782F">
        <w:rPr>
          <w:rFonts w:cs="Times New Roman"/>
        </w:rPr>
        <w:t>Senāts atzīst par nepamatotiem apsūdzētās</w:t>
      </w:r>
      <w:r w:rsidR="007C5B04">
        <w:rPr>
          <w:rFonts w:cs="Times New Roman"/>
        </w:rPr>
        <w:t xml:space="preserve"> </w:t>
      </w:r>
      <w:r w:rsidR="00496309">
        <w:rPr>
          <w:rFonts w:cs="Times New Roman"/>
        </w:rPr>
        <w:t>[pers. A]</w:t>
      </w:r>
      <w:r w:rsidRPr="0084782F">
        <w:rPr>
          <w:rFonts w:cs="Times New Roman"/>
        </w:rPr>
        <w:t xml:space="preserve"> kasācijas sūdzībā norādītos argumentus, ka tiesa nav ievērojusi Krimināllikuma 46.</w:t>
      </w:r>
      <w:r>
        <w:rPr>
          <w:rFonts w:cs="Times New Roman"/>
        </w:rPr>
        <w:t> </w:t>
      </w:r>
      <w:r w:rsidRPr="0084782F">
        <w:rPr>
          <w:rFonts w:cs="Times New Roman"/>
        </w:rPr>
        <w:t>pantā paredzētos soda noteikšanas vispārīgos principus</w:t>
      </w:r>
      <w:r w:rsidR="00D4449D">
        <w:rPr>
          <w:rFonts w:cs="Times New Roman"/>
        </w:rPr>
        <w:t>.</w:t>
      </w:r>
    </w:p>
    <w:p w14:paraId="54870DE5" w14:textId="7E7F78AB" w:rsidR="00E0378D" w:rsidRPr="0084782F" w:rsidRDefault="007C5B04" w:rsidP="007C5B04">
      <w:pPr>
        <w:ind w:firstLine="709"/>
        <w:jc w:val="both"/>
        <w:rPr>
          <w:rFonts w:cs="Times New Roman"/>
        </w:rPr>
      </w:pPr>
      <w:r>
        <w:rPr>
          <w:rFonts w:cs="Times New Roman"/>
        </w:rPr>
        <w:t xml:space="preserve">Apelācijas instances tiesa atzinusi, ka pirmās instances tiesa, nosakot </w:t>
      </w:r>
      <w:r w:rsidR="00496309">
        <w:rPr>
          <w:rFonts w:cs="Times New Roman"/>
        </w:rPr>
        <w:t>[pers. A]</w:t>
      </w:r>
      <w:r>
        <w:rPr>
          <w:rFonts w:cs="Times New Roman"/>
        </w:rPr>
        <w:t xml:space="preserve"> sodu, pilnībā ievērojusi Krimināllikuma 35. un 46.</w:t>
      </w:r>
      <w:r w:rsidR="007F6D2C">
        <w:rPr>
          <w:rFonts w:cs="Times New Roman"/>
        </w:rPr>
        <w:t> </w:t>
      </w:r>
      <w:r>
        <w:t>panta prasības. Tiesa sa</w:t>
      </w:r>
      <w:r w:rsidR="00A2340E">
        <w:t>v</w:t>
      </w:r>
      <w:r>
        <w:t>u</w:t>
      </w:r>
      <w:r w:rsidR="00A2340E">
        <w:t>s</w:t>
      </w:r>
      <w:r>
        <w:t xml:space="preserve"> atzinumu</w:t>
      </w:r>
      <w:r w:rsidR="00A2340E">
        <w:t>s motivējusi.</w:t>
      </w:r>
    </w:p>
    <w:p w14:paraId="7E49B3D8" w14:textId="7F0E26E2" w:rsidR="00D4449D" w:rsidRDefault="00E9780A" w:rsidP="002577EC">
      <w:pPr>
        <w:ind w:firstLine="709"/>
        <w:jc w:val="both"/>
        <w:rPr>
          <w:rFonts w:cs="Times New Roman"/>
        </w:rPr>
      </w:pPr>
      <w:r>
        <w:rPr>
          <w:rFonts w:cs="Times New Roman"/>
        </w:rPr>
        <w:t>[7.2.1]</w:t>
      </w:r>
      <w:r w:rsidR="007F6D2C">
        <w:rPr>
          <w:rFonts w:cs="Times New Roman"/>
        </w:rPr>
        <w:t> </w:t>
      </w:r>
      <w:r w:rsidR="00E0378D" w:rsidRPr="0084782F">
        <w:rPr>
          <w:rFonts w:cs="Times New Roman"/>
        </w:rPr>
        <w:t>Par atbildību mīkstinošu apstākli Krimināllikuma 47.</w:t>
      </w:r>
      <w:r w:rsidR="00E0378D">
        <w:rPr>
          <w:rFonts w:cs="Times New Roman"/>
        </w:rPr>
        <w:t> </w:t>
      </w:r>
      <w:r w:rsidR="00E0378D" w:rsidRPr="0084782F">
        <w:rPr>
          <w:rFonts w:cs="Times New Roman"/>
        </w:rPr>
        <w:t>panta pirmās daļas 2.</w:t>
      </w:r>
      <w:r w:rsidR="00100697">
        <w:rPr>
          <w:rFonts w:cs="Times New Roman"/>
        </w:rPr>
        <w:t> </w:t>
      </w:r>
      <w:r w:rsidR="00E0378D" w:rsidRPr="0084782F">
        <w:rPr>
          <w:rFonts w:cs="Times New Roman"/>
        </w:rPr>
        <w:t xml:space="preserve">punkta izpratnē atzīstama vainīgā aktīva rīcība, veicinot noziedzīga nodarījuma atklāšanu un izmeklēšanu, kas var izpausties tādējādi, ka vainīgais sniedz pirmstiesas izmeklēšanas iestādēm patiesu informāciju, kura tām nebija zināma </w:t>
      </w:r>
      <w:r w:rsidR="003803B3" w:rsidRPr="00C50D58">
        <w:t>(</w:t>
      </w:r>
      <w:proofErr w:type="spellStart"/>
      <w:r w:rsidR="00266A9D">
        <w:rPr>
          <w:i/>
          <w:iCs/>
        </w:rPr>
        <w:t>Liholaja</w:t>
      </w:r>
      <w:proofErr w:type="spellEnd"/>
      <w:r w:rsidR="00266A9D">
        <w:rPr>
          <w:i/>
          <w:iCs/>
        </w:rPr>
        <w:t> </w:t>
      </w:r>
      <w:r w:rsidR="003803B3">
        <w:rPr>
          <w:i/>
          <w:iCs/>
        </w:rPr>
        <w:t>V</w:t>
      </w:r>
      <w:r w:rsidR="003803B3" w:rsidRPr="00FB2109">
        <w:rPr>
          <w:i/>
          <w:iCs/>
        </w:rPr>
        <w:t xml:space="preserve">. </w:t>
      </w:r>
      <w:r w:rsidR="003803B3">
        <w:rPr>
          <w:i/>
          <w:iCs/>
        </w:rPr>
        <w:t>47</w:t>
      </w:r>
      <w:r w:rsidR="003803B3" w:rsidRPr="00FB2109">
        <w:rPr>
          <w:i/>
          <w:iCs/>
        </w:rPr>
        <w:t xml:space="preserve">. panta komentārs. </w:t>
      </w:r>
      <w:proofErr w:type="spellStart"/>
      <w:r w:rsidR="003803B3" w:rsidRPr="00FB2109">
        <w:rPr>
          <w:i/>
          <w:iCs/>
        </w:rPr>
        <w:t>Grām</w:t>
      </w:r>
      <w:proofErr w:type="spellEnd"/>
      <w:r w:rsidR="003803B3" w:rsidRPr="00FB2109">
        <w:rPr>
          <w:i/>
          <w:iCs/>
        </w:rPr>
        <w:t xml:space="preserve">.: Krastiņš U., </w:t>
      </w:r>
      <w:proofErr w:type="spellStart"/>
      <w:r w:rsidR="003803B3" w:rsidRPr="00FB2109">
        <w:rPr>
          <w:i/>
          <w:iCs/>
        </w:rPr>
        <w:t>Liholaja</w:t>
      </w:r>
      <w:proofErr w:type="spellEnd"/>
      <w:r w:rsidR="003803B3" w:rsidRPr="00FB2109">
        <w:rPr>
          <w:i/>
          <w:iCs/>
        </w:rPr>
        <w:t> V. Krimināllikuma komentāri. Pirmā daļa (I</w:t>
      </w:r>
      <w:r w:rsidR="003803B3" w:rsidRPr="00FB2109">
        <w:rPr>
          <w:i/>
          <w:iCs/>
        </w:rPr>
        <w:noBreakHyphen/>
        <w:t>VIII</w:t>
      </w:r>
      <w:r w:rsidR="003803B3" w:rsidRPr="00FB2109">
        <w:rPr>
          <w:i/>
          <w:iCs/>
          <w:vertAlign w:val="superscript"/>
        </w:rPr>
        <w:t>2</w:t>
      </w:r>
      <w:r w:rsidR="003803B3" w:rsidRPr="00FB2109">
        <w:rPr>
          <w:i/>
          <w:iCs/>
        </w:rPr>
        <w:t xml:space="preserve">nodaļa). Trešais papildinātais izdevums. Rīga: Tiesu namu aģentūra, 2021, </w:t>
      </w:r>
      <w:r w:rsidR="003803B3">
        <w:rPr>
          <w:i/>
          <w:iCs/>
        </w:rPr>
        <w:t>208</w:t>
      </w:r>
      <w:r w:rsidR="003803B3" w:rsidRPr="00FB2109">
        <w:rPr>
          <w:i/>
          <w:iCs/>
        </w:rPr>
        <w:t>. lpp.</w:t>
      </w:r>
      <w:r w:rsidR="003803B3">
        <w:t>)</w:t>
      </w:r>
      <w:r w:rsidR="00E0378D">
        <w:rPr>
          <w:rFonts w:cs="Times New Roman"/>
        </w:rPr>
        <w:t>.</w:t>
      </w:r>
    </w:p>
    <w:p w14:paraId="789413C4" w14:textId="3F8EA2BF" w:rsidR="00E9780A" w:rsidRDefault="00D4449D" w:rsidP="002577EC">
      <w:pPr>
        <w:ind w:firstLine="709"/>
        <w:jc w:val="both"/>
        <w:rPr>
          <w:rFonts w:cs="Times New Roman"/>
        </w:rPr>
      </w:pPr>
      <w:r>
        <w:rPr>
          <w:rFonts w:cs="Times New Roman"/>
        </w:rPr>
        <w:t xml:space="preserve">Apelācijas instances tiesa </w:t>
      </w:r>
      <w:r w:rsidR="00E9780A">
        <w:rPr>
          <w:rFonts w:cs="Times New Roman"/>
        </w:rPr>
        <w:t>secinājusi</w:t>
      </w:r>
      <w:r>
        <w:rPr>
          <w:rFonts w:cs="Times New Roman"/>
        </w:rPr>
        <w:t xml:space="preserve">, ka </w:t>
      </w:r>
      <w:r w:rsidR="00496309">
        <w:rPr>
          <w:rFonts w:cs="Times New Roman"/>
        </w:rPr>
        <w:t>[pers. A]</w:t>
      </w:r>
      <w:r>
        <w:rPr>
          <w:rFonts w:cs="Times New Roman"/>
        </w:rPr>
        <w:t xml:space="preserve"> nav veicinājusi sava izdarītā noziedzīgā nodarījuma atklāšanu</w:t>
      </w:r>
      <w:r w:rsidR="00E9780A">
        <w:rPr>
          <w:rFonts w:cs="Times New Roman"/>
        </w:rPr>
        <w:t xml:space="preserve"> un izmeklēšanu, jo šādi apstākļi lietā nav konstatēti. Tiesa atzinusi, ka nav pamata </w:t>
      </w:r>
      <w:r w:rsidR="00496309">
        <w:rPr>
          <w:rFonts w:cs="Times New Roman"/>
        </w:rPr>
        <w:t>[pers. A]</w:t>
      </w:r>
      <w:r w:rsidR="00E9780A">
        <w:rPr>
          <w:rFonts w:cs="Times New Roman"/>
        </w:rPr>
        <w:t xml:space="preserve"> konstatēt </w:t>
      </w:r>
      <w:r w:rsidR="00E9780A" w:rsidRPr="0084782F">
        <w:rPr>
          <w:rFonts w:cs="Times New Roman"/>
        </w:rPr>
        <w:t>Krimināllikuma 47.</w:t>
      </w:r>
      <w:r w:rsidR="00E9780A">
        <w:rPr>
          <w:rFonts w:cs="Times New Roman"/>
        </w:rPr>
        <w:t> </w:t>
      </w:r>
      <w:r w:rsidR="00E9780A" w:rsidRPr="0084782F">
        <w:rPr>
          <w:rFonts w:cs="Times New Roman"/>
        </w:rPr>
        <w:t>panta pirmās daļas 2.</w:t>
      </w:r>
      <w:r w:rsidR="00E9780A">
        <w:rPr>
          <w:rFonts w:cs="Times New Roman"/>
        </w:rPr>
        <w:t> </w:t>
      </w:r>
      <w:r w:rsidR="00E9780A" w:rsidRPr="0084782F">
        <w:rPr>
          <w:rFonts w:cs="Times New Roman"/>
        </w:rPr>
        <w:t>punkt</w:t>
      </w:r>
      <w:r w:rsidR="00E9780A">
        <w:rPr>
          <w:rFonts w:cs="Times New Roman"/>
        </w:rPr>
        <w:t xml:space="preserve">ā paredzēto atbildību mīkstinošo apstākli.  </w:t>
      </w:r>
    </w:p>
    <w:p w14:paraId="7B800B6D" w14:textId="740D1F2C" w:rsidR="00A305F4" w:rsidRDefault="00E9780A" w:rsidP="002577EC">
      <w:pPr>
        <w:ind w:firstLine="709"/>
        <w:jc w:val="both"/>
        <w:rPr>
          <w:rFonts w:cs="Times New Roman"/>
        </w:rPr>
      </w:pPr>
      <w:r>
        <w:rPr>
          <w:rFonts w:cs="Times New Roman"/>
        </w:rPr>
        <w:t>[7.2.2]</w:t>
      </w:r>
      <w:r w:rsidR="00764532">
        <w:rPr>
          <w:rFonts w:cs="Times New Roman"/>
        </w:rPr>
        <w:t> </w:t>
      </w:r>
      <w:r w:rsidR="00077964" w:rsidRPr="0084782F">
        <w:rPr>
          <w:rFonts w:cs="Times New Roman"/>
        </w:rPr>
        <w:t xml:space="preserve">Krimināllikuma </w:t>
      </w:r>
      <w:r w:rsidR="00077964">
        <w:rPr>
          <w:rFonts w:cs="Times New Roman"/>
        </w:rPr>
        <w:t>47. panta pirmās daļas 4. punktā noteikts, ka par atbildību mīkstinošu apstākli atzīstams tas, ka vainīgais sekmējis citas personas nozieguma atklāšanu. Savukārt Krimināllikuma 60.</w:t>
      </w:r>
      <w:r w:rsidR="007F6D2C">
        <w:rPr>
          <w:rFonts w:cs="Times New Roman"/>
        </w:rPr>
        <w:t> </w:t>
      </w:r>
      <w:r w:rsidR="00077964">
        <w:rPr>
          <w:rFonts w:cs="Times New Roman"/>
        </w:rPr>
        <w:t>pants noteic, ja notiesātais palīdzējis atklāt citas personas izdarītu noziegumu,</w:t>
      </w:r>
      <w:r w:rsidR="00077964" w:rsidRPr="00077964">
        <w:rPr>
          <w:rFonts w:cs="Times New Roman"/>
        </w:rPr>
        <w:t xml:space="preserve"> </w:t>
      </w:r>
      <w:r w:rsidR="00077964">
        <w:rPr>
          <w:rFonts w:cs="Times New Roman"/>
        </w:rPr>
        <w:t xml:space="preserve">kas ir tikpat smags, smagāks vai bīstamāks par viņa paša izdarīto noziedzīgo nodarījumu, un šī cita persona par šo noziegumu saukta pie kriminālatbildības, tiesa var samazināt spriedumā noteikto sodu </w:t>
      </w:r>
      <w:proofErr w:type="gramStart"/>
      <w:r w:rsidR="00077964">
        <w:rPr>
          <w:rFonts w:cs="Times New Roman"/>
        </w:rPr>
        <w:t>[</w:t>
      </w:r>
      <w:proofErr w:type="gramEnd"/>
      <w:r w:rsidR="00077964">
        <w:rPr>
          <w:rFonts w:cs="Times New Roman"/>
        </w:rPr>
        <w:t>..].</w:t>
      </w:r>
    </w:p>
    <w:p w14:paraId="49C4648E" w14:textId="1C07D9FE" w:rsidR="00A305F4" w:rsidRDefault="00A305F4" w:rsidP="002577EC">
      <w:pPr>
        <w:ind w:firstLine="709"/>
        <w:jc w:val="both"/>
        <w:rPr>
          <w:rFonts w:cs="Times New Roman"/>
        </w:rPr>
      </w:pPr>
      <w:r w:rsidRPr="0084782F">
        <w:rPr>
          <w:rFonts w:cs="Times New Roman"/>
        </w:rPr>
        <w:t>Apelācijas instances tiesa</w:t>
      </w:r>
      <w:r>
        <w:rPr>
          <w:rFonts w:cs="Times New Roman"/>
        </w:rPr>
        <w:t xml:space="preserve"> </w:t>
      </w:r>
      <w:r w:rsidR="00A2340E">
        <w:rPr>
          <w:rFonts w:cs="Times New Roman"/>
        </w:rPr>
        <w:t>secinājusi</w:t>
      </w:r>
      <w:r w:rsidRPr="0084782F">
        <w:rPr>
          <w:rFonts w:cs="Times New Roman"/>
        </w:rPr>
        <w:t xml:space="preserve">, ka lietā </w:t>
      </w:r>
      <w:r>
        <w:rPr>
          <w:rFonts w:cs="Times New Roman"/>
        </w:rPr>
        <w:t>nav</w:t>
      </w:r>
      <w:r w:rsidR="00A2340E">
        <w:rPr>
          <w:rFonts w:cs="Times New Roman"/>
        </w:rPr>
        <w:t xml:space="preserve"> </w:t>
      </w:r>
      <w:r>
        <w:rPr>
          <w:rFonts w:cs="Times New Roman"/>
        </w:rPr>
        <w:t>pierādījum</w:t>
      </w:r>
      <w:r w:rsidR="00CD09E6">
        <w:rPr>
          <w:rFonts w:cs="Times New Roman"/>
        </w:rPr>
        <w:t>u</w:t>
      </w:r>
      <w:r>
        <w:rPr>
          <w:rFonts w:cs="Times New Roman"/>
        </w:rPr>
        <w:t xml:space="preserve">, </w:t>
      </w:r>
      <w:r w:rsidR="00555F8D">
        <w:rPr>
          <w:rFonts w:cs="Times New Roman"/>
        </w:rPr>
        <w:t>lai</w:t>
      </w:r>
      <w:r w:rsidRPr="0084782F">
        <w:rPr>
          <w:rFonts w:cs="Times New Roman"/>
        </w:rPr>
        <w:t xml:space="preserve"> </w:t>
      </w:r>
      <w:r w:rsidR="00A2340E">
        <w:rPr>
          <w:rFonts w:cs="Times New Roman"/>
        </w:rPr>
        <w:t>konstatēt</w:t>
      </w:r>
      <w:r w:rsidR="00555F8D">
        <w:rPr>
          <w:rFonts w:cs="Times New Roman"/>
        </w:rPr>
        <w:t>u</w:t>
      </w:r>
      <w:r w:rsidR="00A2340E" w:rsidRPr="00A2340E">
        <w:rPr>
          <w:rFonts w:cs="Times New Roman"/>
        </w:rPr>
        <w:t xml:space="preserve"> </w:t>
      </w:r>
      <w:r w:rsidR="00A2340E" w:rsidRPr="0084782F">
        <w:rPr>
          <w:rFonts w:cs="Times New Roman"/>
        </w:rPr>
        <w:t>apsūdzēt</w:t>
      </w:r>
      <w:r w:rsidR="00A2340E">
        <w:rPr>
          <w:rFonts w:cs="Times New Roman"/>
        </w:rPr>
        <w:t>ās</w:t>
      </w:r>
      <w:r w:rsidR="00A2340E" w:rsidRPr="0084782F">
        <w:rPr>
          <w:rFonts w:cs="Times New Roman"/>
        </w:rPr>
        <w:t xml:space="preserve"> </w:t>
      </w:r>
      <w:r w:rsidR="00496309">
        <w:rPr>
          <w:rFonts w:cs="Times New Roman"/>
        </w:rPr>
        <w:t>[pers. A]</w:t>
      </w:r>
      <w:r w:rsidRPr="0084782F">
        <w:rPr>
          <w:rFonts w:cs="Times New Roman"/>
        </w:rPr>
        <w:t xml:space="preserve"> atbildību mīkstinošu apstākli saskaņā ar Krimināllikuma </w:t>
      </w:r>
      <w:r>
        <w:rPr>
          <w:rFonts w:cs="Times New Roman"/>
        </w:rPr>
        <w:t>47. panta pirmās daļas 4. punktu.</w:t>
      </w:r>
    </w:p>
    <w:p w14:paraId="19FA9241" w14:textId="4E981A2A" w:rsidR="00D4449D" w:rsidRDefault="00A305F4" w:rsidP="002577EC">
      <w:pPr>
        <w:ind w:firstLine="709"/>
        <w:jc w:val="both"/>
        <w:rPr>
          <w:rFonts w:cs="Times New Roman"/>
        </w:rPr>
      </w:pPr>
      <w:r>
        <w:rPr>
          <w:rFonts w:cs="Times New Roman"/>
        </w:rPr>
        <w:t>L</w:t>
      </w:r>
      <w:r w:rsidR="003C7BE7">
        <w:rPr>
          <w:rFonts w:cs="Times New Roman"/>
        </w:rPr>
        <w:t>iet</w:t>
      </w:r>
      <w:r>
        <w:rPr>
          <w:rFonts w:cs="Times New Roman"/>
        </w:rPr>
        <w:t>ā atrodas</w:t>
      </w:r>
      <w:r w:rsidR="004A1001">
        <w:rPr>
          <w:rFonts w:cs="Times New Roman"/>
        </w:rPr>
        <w:t xml:space="preserve"> </w:t>
      </w:r>
      <w:r w:rsidR="00496309">
        <w:rPr>
          <w:rFonts w:cs="Times New Roman"/>
        </w:rPr>
        <w:t>[pers. </w:t>
      </w:r>
      <w:r w:rsidR="00496309">
        <w:t>A]</w:t>
      </w:r>
      <w:r w:rsidR="004A1001">
        <w:rPr>
          <w:rFonts w:cs="Times New Roman"/>
        </w:rPr>
        <w:t xml:space="preserve"> 2015. gada 30</w:t>
      </w:r>
      <w:r w:rsidR="003C7BE7">
        <w:rPr>
          <w:rFonts w:cs="Times New Roman"/>
        </w:rPr>
        <w:t>. </w:t>
      </w:r>
      <w:r w:rsidR="004A1001">
        <w:rPr>
          <w:rFonts w:cs="Times New Roman"/>
        </w:rPr>
        <w:t>marta</w:t>
      </w:r>
      <w:r w:rsidR="003C7BE7">
        <w:rPr>
          <w:rFonts w:cs="Times New Roman"/>
        </w:rPr>
        <w:t xml:space="preserve"> iesniegums, </w:t>
      </w:r>
      <w:r w:rsidR="00C52E2C">
        <w:rPr>
          <w:rFonts w:cs="Times New Roman"/>
        </w:rPr>
        <w:t xml:space="preserve">kurā lūgts </w:t>
      </w:r>
      <w:r w:rsidR="003C7BE7">
        <w:rPr>
          <w:rFonts w:cs="Times New Roman"/>
        </w:rPr>
        <w:t xml:space="preserve">pievienot lietas materiāliem ziņojumu no kriminālpolicijas darbiniekiem par to, ka </w:t>
      </w:r>
      <w:r w:rsidR="00496309">
        <w:rPr>
          <w:rFonts w:cs="Times New Roman"/>
        </w:rPr>
        <w:t>[pers. A]</w:t>
      </w:r>
      <w:r w:rsidR="003C7BE7">
        <w:rPr>
          <w:rFonts w:cs="Times New Roman"/>
        </w:rPr>
        <w:t xml:space="preserve"> norādīj</w:t>
      </w:r>
      <w:r w:rsidR="00D4449D">
        <w:rPr>
          <w:rFonts w:cs="Times New Roman"/>
        </w:rPr>
        <w:t>usi</w:t>
      </w:r>
      <w:r w:rsidR="003C7BE7">
        <w:rPr>
          <w:rFonts w:cs="Times New Roman"/>
        </w:rPr>
        <w:t xml:space="preserve"> uz adresēm, kurās</w:t>
      </w:r>
      <w:r w:rsidR="009F4128">
        <w:rPr>
          <w:rFonts w:cs="Times New Roman"/>
        </w:rPr>
        <w:t xml:space="preserve"> viņa</w:t>
      </w:r>
      <w:r w:rsidR="003C7BE7">
        <w:rPr>
          <w:rFonts w:cs="Times New Roman"/>
        </w:rPr>
        <w:t xml:space="preserve"> iegādāj</w:t>
      </w:r>
      <w:r w:rsidR="00D4449D">
        <w:rPr>
          <w:rFonts w:cs="Times New Roman"/>
        </w:rPr>
        <w:t>usies</w:t>
      </w:r>
      <w:r w:rsidR="003C7BE7">
        <w:rPr>
          <w:rFonts w:cs="Times New Roman"/>
        </w:rPr>
        <w:t xml:space="preserve"> aizliegtās vielas (</w:t>
      </w:r>
      <w:r w:rsidR="003C7BE7" w:rsidRPr="003C7BE7">
        <w:rPr>
          <w:rFonts w:cs="Times New Roman"/>
          <w:i/>
        </w:rPr>
        <w:t>lietas 2. s</w:t>
      </w:r>
      <w:r w:rsidR="00AC15A9">
        <w:rPr>
          <w:rFonts w:cs="Times New Roman"/>
          <w:i/>
        </w:rPr>
        <w:t>ējuma 95</w:t>
      </w:r>
      <w:r w:rsidR="003C7BE7" w:rsidRPr="003C7BE7">
        <w:rPr>
          <w:rFonts w:cs="Times New Roman"/>
          <w:i/>
        </w:rPr>
        <w:t>. lapa</w:t>
      </w:r>
      <w:r w:rsidR="003C7BE7">
        <w:rPr>
          <w:rFonts w:cs="Times New Roman"/>
        </w:rPr>
        <w:t>)</w:t>
      </w:r>
      <w:r>
        <w:rPr>
          <w:rFonts w:cs="Times New Roman"/>
        </w:rPr>
        <w:t xml:space="preserve"> un</w:t>
      </w:r>
      <w:r w:rsidR="00AC15A9">
        <w:rPr>
          <w:rFonts w:cs="Times New Roman"/>
        </w:rPr>
        <w:t xml:space="preserve"> </w:t>
      </w:r>
      <w:r>
        <w:rPr>
          <w:rFonts w:cs="Times New Roman"/>
        </w:rPr>
        <w:t xml:space="preserve">policijas darbinieces </w:t>
      </w:r>
      <w:proofErr w:type="gramStart"/>
      <w:r w:rsidR="00496309">
        <w:rPr>
          <w:rFonts w:cs="Times New Roman"/>
        </w:rPr>
        <w:t>[</w:t>
      </w:r>
      <w:proofErr w:type="gramEnd"/>
      <w:r w:rsidR="00496309">
        <w:rPr>
          <w:rFonts w:cs="Times New Roman"/>
        </w:rPr>
        <w:t>pers. D]</w:t>
      </w:r>
      <w:r>
        <w:rPr>
          <w:rFonts w:cs="Times New Roman"/>
        </w:rPr>
        <w:t xml:space="preserve"> </w:t>
      </w:r>
      <w:r w:rsidR="00AC15A9">
        <w:rPr>
          <w:rFonts w:cs="Times New Roman"/>
        </w:rPr>
        <w:t>2015. gada 14. aprī</w:t>
      </w:r>
      <w:r>
        <w:rPr>
          <w:rFonts w:cs="Times New Roman"/>
        </w:rPr>
        <w:t>ļa</w:t>
      </w:r>
      <w:r w:rsidR="00AC15A9">
        <w:rPr>
          <w:rFonts w:cs="Times New Roman"/>
        </w:rPr>
        <w:t xml:space="preserve"> atbild</w:t>
      </w:r>
      <w:r>
        <w:rPr>
          <w:rFonts w:cs="Times New Roman"/>
        </w:rPr>
        <w:t>e</w:t>
      </w:r>
      <w:r w:rsidR="00AC15A9">
        <w:rPr>
          <w:rFonts w:cs="Times New Roman"/>
        </w:rPr>
        <w:t xml:space="preserve">, ka lūgums tiks apmierināts un ziņojums tiks pievienots </w:t>
      </w:r>
      <w:r w:rsidR="009F4128">
        <w:rPr>
          <w:rFonts w:cs="Times New Roman"/>
        </w:rPr>
        <w:t>krimināl</w:t>
      </w:r>
      <w:r w:rsidR="00AC15A9">
        <w:rPr>
          <w:rFonts w:cs="Times New Roman"/>
        </w:rPr>
        <w:t>lietas materiāliem (</w:t>
      </w:r>
      <w:r w:rsidR="00AC15A9" w:rsidRPr="009F4128">
        <w:rPr>
          <w:rFonts w:cs="Times New Roman"/>
          <w:i/>
        </w:rPr>
        <w:t>lietas 2. sējuma 97. lapa</w:t>
      </w:r>
      <w:r w:rsidR="00AC15A9">
        <w:rPr>
          <w:rFonts w:cs="Times New Roman"/>
        </w:rPr>
        <w:t>)</w:t>
      </w:r>
      <w:r>
        <w:rPr>
          <w:rFonts w:cs="Times New Roman"/>
        </w:rPr>
        <w:t>. Lietai šāds</w:t>
      </w:r>
      <w:r w:rsidR="00AC15A9">
        <w:rPr>
          <w:rFonts w:cs="Times New Roman"/>
        </w:rPr>
        <w:t xml:space="preserve"> ziņojums n</w:t>
      </w:r>
      <w:r>
        <w:rPr>
          <w:rFonts w:cs="Times New Roman"/>
        </w:rPr>
        <w:t>av</w:t>
      </w:r>
      <w:r w:rsidR="00AC15A9">
        <w:rPr>
          <w:rFonts w:cs="Times New Roman"/>
        </w:rPr>
        <w:t xml:space="preserve"> pievienots.</w:t>
      </w:r>
    </w:p>
    <w:p w14:paraId="1BA420C9" w14:textId="34B2C085" w:rsidR="00197BBD" w:rsidRDefault="00197BBD" w:rsidP="002577EC">
      <w:pPr>
        <w:ind w:firstLine="709"/>
        <w:jc w:val="both"/>
        <w:rPr>
          <w:rFonts w:cs="Times New Roman"/>
        </w:rPr>
      </w:pPr>
      <w:r>
        <w:rPr>
          <w:rFonts w:cs="Times New Roman"/>
        </w:rPr>
        <w:t>Atkārtoti iztiesājot krimināllietu apelācijas instances tiesā tika nopratināta</w:t>
      </w:r>
      <w:r w:rsidR="00A2340E">
        <w:rPr>
          <w:rFonts w:cs="Times New Roman"/>
        </w:rPr>
        <w:t xml:space="preserve"> policijas darbiniece</w:t>
      </w:r>
      <w:r>
        <w:rPr>
          <w:rFonts w:cs="Times New Roman"/>
        </w:rPr>
        <w:t xml:space="preserve"> </w:t>
      </w:r>
      <w:r w:rsidR="00496309">
        <w:rPr>
          <w:rFonts w:cs="Times New Roman"/>
        </w:rPr>
        <w:t>[pers. C]</w:t>
      </w:r>
      <w:r>
        <w:rPr>
          <w:rFonts w:cs="Times New Roman"/>
        </w:rPr>
        <w:t>, kura nevarēja izskaidrot, kāpēc lietas materiāliem netika pievienots kriminālpolicijas darbinieku ziņojums</w:t>
      </w:r>
      <w:r w:rsidR="00A305F4">
        <w:rPr>
          <w:rFonts w:cs="Times New Roman"/>
        </w:rPr>
        <w:t>. Lieciniece paskaidroja, ka</w:t>
      </w:r>
      <w:r w:rsidR="005C7F1C">
        <w:rPr>
          <w:rFonts w:cs="Times New Roman"/>
        </w:rPr>
        <w:t>,</w:t>
      </w:r>
      <w:r>
        <w:rPr>
          <w:rFonts w:cs="Times New Roman"/>
        </w:rPr>
        <w:t xml:space="preserve"> visticamāk</w:t>
      </w:r>
      <w:r w:rsidR="005C7F1C">
        <w:rPr>
          <w:rFonts w:cs="Times New Roman"/>
        </w:rPr>
        <w:t>,</w:t>
      </w:r>
      <w:r>
        <w:rPr>
          <w:rFonts w:cs="Times New Roman"/>
        </w:rPr>
        <w:t xml:space="preserve"> apsūdzētās</w:t>
      </w:r>
      <w:r w:rsidR="00CD09E6" w:rsidRPr="00CD09E6">
        <w:rPr>
          <w:rFonts w:cs="Times New Roman"/>
        </w:rPr>
        <w:t xml:space="preserve"> </w:t>
      </w:r>
      <w:r w:rsidR="00496309">
        <w:rPr>
          <w:rFonts w:cs="Times New Roman"/>
        </w:rPr>
        <w:t>[pers. </w:t>
      </w:r>
      <w:r w:rsidR="00496309">
        <w:t>A]</w:t>
      </w:r>
      <w:r>
        <w:rPr>
          <w:rFonts w:cs="Times New Roman"/>
        </w:rPr>
        <w:t xml:space="preserve"> </w:t>
      </w:r>
      <w:r w:rsidR="00A305F4">
        <w:rPr>
          <w:rFonts w:cs="Times New Roman"/>
        </w:rPr>
        <w:t xml:space="preserve">sniegtās </w:t>
      </w:r>
      <w:r>
        <w:rPr>
          <w:rFonts w:cs="Times New Roman"/>
        </w:rPr>
        <w:t xml:space="preserve">ziņas nav guvušas apstiprinājumu tam, lai </w:t>
      </w:r>
      <w:r w:rsidR="009F4128">
        <w:rPr>
          <w:rFonts w:cs="Times New Roman"/>
        </w:rPr>
        <w:t>uzsāktu</w:t>
      </w:r>
      <w:r>
        <w:rPr>
          <w:rFonts w:cs="Times New Roman"/>
        </w:rPr>
        <w:t xml:space="preserve"> krimin</w:t>
      </w:r>
      <w:r w:rsidR="009F4128">
        <w:rPr>
          <w:rFonts w:cs="Times New Roman"/>
        </w:rPr>
        <w:t xml:space="preserve">ālprocesu. </w:t>
      </w:r>
    </w:p>
    <w:p w14:paraId="2BAF6FF3" w14:textId="3819085F" w:rsidR="00555F8D" w:rsidRDefault="00A2340E" w:rsidP="002577EC">
      <w:pPr>
        <w:ind w:firstLine="709"/>
        <w:jc w:val="both"/>
        <w:rPr>
          <w:rFonts w:cs="Times New Roman"/>
        </w:rPr>
      </w:pPr>
      <w:r>
        <w:rPr>
          <w:rFonts w:cs="Times New Roman"/>
        </w:rPr>
        <w:t>[7.2.3]</w:t>
      </w:r>
      <w:r w:rsidR="00764532">
        <w:rPr>
          <w:rFonts w:cs="Times New Roman"/>
        </w:rPr>
        <w:t> </w:t>
      </w:r>
      <w:r w:rsidR="00A305F4">
        <w:rPr>
          <w:rFonts w:cs="Times New Roman"/>
        </w:rPr>
        <w:t>Senāts, izvērtējot kasācijas sūdzības argumentus, atzīst, ka</w:t>
      </w:r>
      <w:r w:rsidR="00A305F4" w:rsidRPr="00A305F4">
        <w:rPr>
          <w:rFonts w:cs="Times New Roman"/>
        </w:rPr>
        <w:t xml:space="preserve"> </w:t>
      </w:r>
      <w:r w:rsidR="00A305F4" w:rsidRPr="0084782F">
        <w:rPr>
          <w:rFonts w:cs="Times New Roman"/>
        </w:rPr>
        <w:t>Krimināllikuma 47.</w:t>
      </w:r>
      <w:r w:rsidR="00A305F4">
        <w:rPr>
          <w:rFonts w:cs="Times New Roman"/>
        </w:rPr>
        <w:t> </w:t>
      </w:r>
      <w:r w:rsidR="00A305F4" w:rsidRPr="0084782F">
        <w:rPr>
          <w:rFonts w:cs="Times New Roman"/>
        </w:rPr>
        <w:t>panta pirmās daļas 2. un 4.</w:t>
      </w:r>
      <w:r w:rsidR="00E819CF">
        <w:rPr>
          <w:rFonts w:cs="Times New Roman"/>
        </w:rPr>
        <w:t> </w:t>
      </w:r>
      <w:r w:rsidR="00A305F4" w:rsidRPr="0084782F">
        <w:rPr>
          <w:rFonts w:cs="Times New Roman"/>
        </w:rPr>
        <w:t>punktā</w:t>
      </w:r>
      <w:r w:rsidR="00E819CF">
        <w:rPr>
          <w:rFonts w:cs="Times New Roman"/>
        </w:rPr>
        <w:t xml:space="preserve"> paredzēto</w:t>
      </w:r>
      <w:r w:rsidR="00E819CF" w:rsidRPr="00E819CF">
        <w:rPr>
          <w:rFonts w:cs="Times New Roman"/>
        </w:rPr>
        <w:t xml:space="preserve"> </w:t>
      </w:r>
      <w:r w:rsidR="00E819CF" w:rsidRPr="0084782F">
        <w:rPr>
          <w:rFonts w:cs="Times New Roman"/>
        </w:rPr>
        <w:t>atbildību mīkstinoš</w:t>
      </w:r>
      <w:r w:rsidR="00694EA3">
        <w:rPr>
          <w:rFonts w:cs="Times New Roman"/>
        </w:rPr>
        <w:t>o</w:t>
      </w:r>
      <w:r w:rsidR="00E819CF" w:rsidRPr="0084782F">
        <w:rPr>
          <w:rFonts w:cs="Times New Roman"/>
        </w:rPr>
        <w:t xml:space="preserve"> apstākļ</w:t>
      </w:r>
      <w:r w:rsidR="00E819CF">
        <w:rPr>
          <w:rFonts w:cs="Times New Roman"/>
        </w:rPr>
        <w:t>u</w:t>
      </w:r>
      <w:r w:rsidR="00A305F4">
        <w:rPr>
          <w:rFonts w:cs="Times New Roman"/>
        </w:rPr>
        <w:t xml:space="preserve"> konstatēšana</w:t>
      </w:r>
      <w:r w:rsidR="00A305F4" w:rsidRPr="0084782F">
        <w:rPr>
          <w:rFonts w:cs="Times New Roman"/>
        </w:rPr>
        <w:t xml:space="preserve"> ir saistīt</w:t>
      </w:r>
      <w:r w:rsidR="00A305F4">
        <w:rPr>
          <w:rFonts w:cs="Times New Roman"/>
        </w:rPr>
        <w:t>a</w:t>
      </w:r>
      <w:r w:rsidR="00A305F4" w:rsidRPr="0084782F">
        <w:rPr>
          <w:rFonts w:cs="Times New Roman"/>
        </w:rPr>
        <w:t xml:space="preserve"> ar liet</w:t>
      </w:r>
      <w:r w:rsidR="00A305F4">
        <w:rPr>
          <w:rFonts w:cs="Times New Roman"/>
        </w:rPr>
        <w:t>as</w:t>
      </w:r>
      <w:r w:rsidR="00A305F4" w:rsidRPr="0084782F">
        <w:rPr>
          <w:rFonts w:cs="Times New Roman"/>
        </w:rPr>
        <w:t xml:space="preserve"> faktisko apstākļu</w:t>
      </w:r>
      <w:r w:rsidR="00E819CF">
        <w:rPr>
          <w:rFonts w:cs="Times New Roman"/>
        </w:rPr>
        <w:t xml:space="preserve"> noskaidrošanu</w:t>
      </w:r>
      <w:r w:rsidR="00A305F4" w:rsidRPr="0084782F">
        <w:rPr>
          <w:rFonts w:cs="Times New Roman"/>
        </w:rPr>
        <w:t xml:space="preserve"> un pierādījumu vērtēšanu, kas ietilpst tās tiesas kompetencē, kas izskata lietu pēc būtības.</w:t>
      </w:r>
    </w:p>
    <w:p w14:paraId="22278CF3" w14:textId="79697F61" w:rsidR="00E819CF" w:rsidRDefault="00AC15A9" w:rsidP="002577EC">
      <w:pPr>
        <w:ind w:firstLine="709"/>
        <w:jc w:val="both"/>
        <w:rPr>
          <w:rFonts w:cs="Times New Roman"/>
        </w:rPr>
      </w:pPr>
      <w:r w:rsidRPr="0084782F">
        <w:rPr>
          <w:rFonts w:cs="Times New Roman"/>
        </w:rPr>
        <w:t>Apelācijas instances tiesa</w:t>
      </w:r>
      <w:r w:rsidR="00D4449D">
        <w:rPr>
          <w:rFonts w:cs="Times New Roman"/>
        </w:rPr>
        <w:t xml:space="preserve"> </w:t>
      </w:r>
      <w:r w:rsidR="00E819CF">
        <w:rPr>
          <w:rFonts w:cs="Times New Roman"/>
        </w:rPr>
        <w:t>atzinusi, ka</w:t>
      </w:r>
      <w:r w:rsidRPr="0084782F">
        <w:rPr>
          <w:rFonts w:cs="Times New Roman"/>
        </w:rPr>
        <w:t xml:space="preserve"> lietā </w:t>
      </w:r>
      <w:r w:rsidR="00E819CF">
        <w:rPr>
          <w:rFonts w:cs="Times New Roman"/>
        </w:rPr>
        <w:t>nav</w:t>
      </w:r>
      <w:r w:rsidR="00D4449D">
        <w:rPr>
          <w:rFonts w:cs="Times New Roman"/>
        </w:rPr>
        <w:t xml:space="preserve"> pierādījum</w:t>
      </w:r>
      <w:r w:rsidR="00CD09E6">
        <w:rPr>
          <w:rFonts w:cs="Times New Roman"/>
        </w:rPr>
        <w:t>u</w:t>
      </w:r>
      <w:r w:rsidR="00E819CF">
        <w:rPr>
          <w:rFonts w:cs="Times New Roman"/>
        </w:rPr>
        <w:t xml:space="preserve"> par šādiem</w:t>
      </w:r>
      <w:r w:rsidR="00E819CF" w:rsidRPr="00E819CF">
        <w:rPr>
          <w:rFonts w:cs="Times New Roman"/>
        </w:rPr>
        <w:t xml:space="preserve"> </w:t>
      </w:r>
      <w:r w:rsidR="00496309">
        <w:rPr>
          <w:rFonts w:cs="Times New Roman"/>
        </w:rPr>
        <w:t>[pers. A]</w:t>
      </w:r>
      <w:r w:rsidR="00E819CF">
        <w:rPr>
          <w:rFonts w:cs="Times New Roman"/>
        </w:rPr>
        <w:t xml:space="preserve"> atbildību mīkstinošiem</w:t>
      </w:r>
      <w:r w:rsidRPr="0084782F">
        <w:rPr>
          <w:rFonts w:cs="Times New Roman"/>
        </w:rPr>
        <w:t xml:space="preserve"> apstākļ</w:t>
      </w:r>
      <w:r w:rsidR="00E819CF">
        <w:rPr>
          <w:rFonts w:cs="Times New Roman"/>
        </w:rPr>
        <w:t>iem.</w:t>
      </w:r>
    </w:p>
    <w:p w14:paraId="23B3B6F4" w14:textId="6091D104" w:rsidR="00A2340E" w:rsidRDefault="00E819CF" w:rsidP="00E819CF">
      <w:pPr>
        <w:ind w:firstLine="709"/>
        <w:jc w:val="both"/>
        <w:rPr>
          <w:rFonts w:cs="Times New Roman"/>
        </w:rPr>
      </w:pPr>
      <w:r>
        <w:rPr>
          <w:rFonts w:cs="Times New Roman"/>
        </w:rPr>
        <w:t xml:space="preserve">Senātam nav pamata apšaubīt </w:t>
      </w:r>
      <w:r w:rsidR="00AF7803">
        <w:rPr>
          <w:rFonts w:cs="Times New Roman"/>
        </w:rPr>
        <w:t>norādīto</w:t>
      </w:r>
      <w:r>
        <w:rPr>
          <w:rFonts w:cs="Times New Roman"/>
        </w:rPr>
        <w:t xml:space="preserve"> apelācijas instances tiesas atzinumu.</w:t>
      </w:r>
    </w:p>
    <w:p w14:paraId="0C76291B" w14:textId="043E0152" w:rsidR="00A2340E" w:rsidRDefault="00A2340E" w:rsidP="00E819CF">
      <w:pPr>
        <w:ind w:firstLine="709"/>
        <w:jc w:val="both"/>
        <w:rPr>
          <w:rFonts w:cs="Times New Roman"/>
        </w:rPr>
      </w:pPr>
      <w:r>
        <w:rPr>
          <w:rFonts w:cs="Times New Roman"/>
        </w:rPr>
        <w:t>Turklāt, interpretējot</w:t>
      </w:r>
      <w:r w:rsidRPr="00A2340E">
        <w:rPr>
          <w:rFonts w:cs="Times New Roman"/>
        </w:rPr>
        <w:t xml:space="preserve"> </w:t>
      </w:r>
      <w:r w:rsidRPr="0084782F">
        <w:rPr>
          <w:rFonts w:cs="Times New Roman"/>
        </w:rPr>
        <w:t xml:space="preserve">Krimināllikuma </w:t>
      </w:r>
      <w:r>
        <w:rPr>
          <w:rFonts w:cs="Times New Roman"/>
        </w:rPr>
        <w:t>47. panta pirmās daļas 4. punktā un Krimināllikuma 60.</w:t>
      </w:r>
      <w:r w:rsidR="000634E2">
        <w:rPr>
          <w:rFonts w:cs="Times New Roman"/>
        </w:rPr>
        <w:t> </w:t>
      </w:r>
      <w:r>
        <w:rPr>
          <w:rFonts w:cs="Times New Roman"/>
        </w:rPr>
        <w:t>pant</w:t>
      </w:r>
      <w:r w:rsidR="00AF7803">
        <w:rPr>
          <w:rFonts w:cs="Times New Roman"/>
        </w:rPr>
        <w:t>ā</w:t>
      </w:r>
      <w:r>
        <w:rPr>
          <w:rFonts w:cs="Times New Roman"/>
        </w:rPr>
        <w:t xml:space="preserve"> noteikto, izdarāms secinājums, ka</w:t>
      </w:r>
      <w:r w:rsidR="00AF7803">
        <w:rPr>
          <w:rFonts w:cs="Times New Roman"/>
        </w:rPr>
        <w:t>, lai konstatētu</w:t>
      </w:r>
      <w:r w:rsidR="00AF7803" w:rsidRPr="00AF7803">
        <w:rPr>
          <w:rFonts w:cs="Times New Roman"/>
        </w:rPr>
        <w:t xml:space="preserve"> </w:t>
      </w:r>
      <w:r w:rsidR="00AF7803" w:rsidRPr="0084782F">
        <w:rPr>
          <w:rFonts w:cs="Times New Roman"/>
        </w:rPr>
        <w:t xml:space="preserve">Krimināllikuma </w:t>
      </w:r>
      <w:r w:rsidR="00AF7803">
        <w:rPr>
          <w:rFonts w:cs="Times New Roman"/>
        </w:rPr>
        <w:t>47. panta pirmās daļas 4. punktā norādīto atbildību mīkstinošo apstākli,</w:t>
      </w:r>
      <w:r w:rsidR="00F55BF8">
        <w:rPr>
          <w:rFonts w:cs="Times New Roman"/>
        </w:rPr>
        <w:t xml:space="preserve"> lietā jābūt pierādī</w:t>
      </w:r>
      <w:r w:rsidR="00AF7803">
        <w:rPr>
          <w:rFonts w:cs="Times New Roman"/>
        </w:rPr>
        <w:t>tam</w:t>
      </w:r>
      <w:r w:rsidR="00F55BF8">
        <w:rPr>
          <w:rFonts w:cs="Times New Roman"/>
        </w:rPr>
        <w:t>, ka apsūdzētā</w:t>
      </w:r>
      <w:r w:rsidR="00CD09E6">
        <w:rPr>
          <w:rFonts w:cs="Times New Roman"/>
        </w:rPr>
        <w:t>s personas</w:t>
      </w:r>
      <w:r w:rsidR="00F55BF8">
        <w:rPr>
          <w:rFonts w:cs="Times New Roman"/>
        </w:rPr>
        <w:t xml:space="preserve"> sniegtā informācija </w:t>
      </w:r>
      <w:r w:rsidR="00AF7803">
        <w:rPr>
          <w:rFonts w:cs="Times New Roman"/>
        </w:rPr>
        <w:t xml:space="preserve">ir </w:t>
      </w:r>
      <w:r w:rsidR="00F55BF8">
        <w:rPr>
          <w:rFonts w:cs="Times New Roman"/>
        </w:rPr>
        <w:t>palīdzējusi atklāt</w:t>
      </w:r>
      <w:r w:rsidR="00F55BF8" w:rsidRPr="00F55BF8">
        <w:rPr>
          <w:rFonts w:cs="Times New Roman"/>
        </w:rPr>
        <w:t xml:space="preserve"> </w:t>
      </w:r>
      <w:r w:rsidR="00F55BF8">
        <w:rPr>
          <w:rFonts w:cs="Times New Roman"/>
        </w:rPr>
        <w:t>citas personas</w:t>
      </w:r>
      <w:r w:rsidR="00555F8D">
        <w:rPr>
          <w:rFonts w:cs="Times New Roman"/>
        </w:rPr>
        <w:t xml:space="preserve"> </w:t>
      </w:r>
      <w:r w:rsidR="00F55BF8">
        <w:rPr>
          <w:rFonts w:cs="Times New Roman"/>
        </w:rPr>
        <w:t>noziegumu</w:t>
      </w:r>
      <w:r>
        <w:rPr>
          <w:rFonts w:cs="Times New Roman"/>
        </w:rPr>
        <w:t xml:space="preserve"> </w:t>
      </w:r>
      <w:r w:rsidR="00F55BF8">
        <w:rPr>
          <w:rFonts w:cs="Times New Roman"/>
        </w:rPr>
        <w:t xml:space="preserve">un šī cita </w:t>
      </w:r>
      <w:r>
        <w:rPr>
          <w:rFonts w:cs="Times New Roman"/>
        </w:rPr>
        <w:t xml:space="preserve">persona par šo noziegumu </w:t>
      </w:r>
      <w:r w:rsidR="00F55BF8">
        <w:rPr>
          <w:rFonts w:cs="Times New Roman"/>
        </w:rPr>
        <w:t xml:space="preserve">ir vismaz </w:t>
      </w:r>
      <w:r>
        <w:rPr>
          <w:rFonts w:cs="Times New Roman"/>
        </w:rPr>
        <w:t>saukta pie kriminālatbildības</w:t>
      </w:r>
      <w:r w:rsidR="00F55BF8">
        <w:rPr>
          <w:rFonts w:cs="Times New Roman"/>
        </w:rPr>
        <w:t>.</w:t>
      </w:r>
      <w:r>
        <w:rPr>
          <w:rFonts w:cs="Times New Roman"/>
        </w:rPr>
        <w:t xml:space="preserve">  </w:t>
      </w:r>
    </w:p>
    <w:p w14:paraId="6F840F5B" w14:textId="03D12C9F" w:rsidR="00E0378D" w:rsidRDefault="00E819CF" w:rsidP="00E819CF">
      <w:pPr>
        <w:ind w:firstLine="709"/>
        <w:jc w:val="both"/>
        <w:rPr>
          <w:rFonts w:cs="Times New Roman"/>
        </w:rPr>
      </w:pPr>
      <w:r>
        <w:rPr>
          <w:rFonts w:cs="Times New Roman"/>
        </w:rPr>
        <w:t>Atbilstoši Kriminālprocesa likuma 569.</w:t>
      </w:r>
      <w:r w:rsidR="000634E2">
        <w:rPr>
          <w:rFonts w:cs="Times New Roman"/>
        </w:rPr>
        <w:t> </w:t>
      </w:r>
      <w:r>
        <w:rPr>
          <w:rFonts w:cs="Times New Roman"/>
        </w:rPr>
        <w:t>panta pirmās un trešās daļas nosacījumiem k</w:t>
      </w:r>
      <w:r w:rsidR="00E0378D" w:rsidRPr="0084782F">
        <w:rPr>
          <w:rFonts w:cs="Times New Roman"/>
        </w:rPr>
        <w:t xml:space="preserve">asācijas instances tiesas kompetencē </w:t>
      </w:r>
      <w:r>
        <w:rPr>
          <w:rFonts w:cs="Times New Roman"/>
        </w:rPr>
        <w:t>neietilpst</w:t>
      </w:r>
      <w:r w:rsidR="00E0378D" w:rsidRPr="0084782F">
        <w:rPr>
          <w:rFonts w:cs="Times New Roman"/>
        </w:rPr>
        <w:t xml:space="preserve"> lietas faktisko apstākļu noskaidrošana</w:t>
      </w:r>
      <w:r>
        <w:rPr>
          <w:rFonts w:cs="Times New Roman"/>
        </w:rPr>
        <w:t xml:space="preserve"> un</w:t>
      </w:r>
      <w:r w:rsidR="00E0378D" w:rsidRPr="0084782F">
        <w:rPr>
          <w:rFonts w:cs="Times New Roman"/>
        </w:rPr>
        <w:t xml:space="preserve"> pierādījumu vērtēšana</w:t>
      </w:r>
      <w:r>
        <w:rPr>
          <w:rFonts w:cs="Times New Roman"/>
        </w:rPr>
        <w:t xml:space="preserve"> no jauna</w:t>
      </w:r>
      <w:r w:rsidR="00E0378D" w:rsidRPr="0084782F">
        <w:rPr>
          <w:rFonts w:cs="Times New Roman"/>
        </w:rPr>
        <w:t xml:space="preserve">. </w:t>
      </w:r>
    </w:p>
    <w:p w14:paraId="384DF990" w14:textId="2A8B2C91" w:rsidR="00E0378D" w:rsidRDefault="00E0378D" w:rsidP="002577EC">
      <w:pPr>
        <w:ind w:firstLine="709"/>
        <w:jc w:val="both"/>
        <w:rPr>
          <w:rFonts w:cs="Times New Roman"/>
        </w:rPr>
      </w:pPr>
      <w:r>
        <w:rPr>
          <w:rFonts w:cs="Times New Roman"/>
        </w:rPr>
        <w:t>[</w:t>
      </w:r>
      <w:r w:rsidR="00C52E2C">
        <w:rPr>
          <w:rFonts w:cs="Times New Roman"/>
        </w:rPr>
        <w:t>7.3</w:t>
      </w:r>
      <w:r>
        <w:rPr>
          <w:rFonts w:cs="Times New Roman"/>
        </w:rPr>
        <w:t>] Senāts konstatē, ka apsūdzētā</w:t>
      </w:r>
      <w:r w:rsidR="00E819CF">
        <w:rPr>
          <w:rFonts w:cs="Times New Roman"/>
        </w:rPr>
        <w:t>s</w:t>
      </w:r>
      <w:r>
        <w:rPr>
          <w:rFonts w:cs="Times New Roman"/>
        </w:rPr>
        <w:t xml:space="preserve"> </w:t>
      </w:r>
      <w:r w:rsidR="00496309">
        <w:rPr>
          <w:rFonts w:cs="Times New Roman"/>
        </w:rPr>
        <w:t>[pers. </w:t>
      </w:r>
      <w:r w:rsidR="00496309">
        <w:t>A]</w:t>
      </w:r>
      <w:r>
        <w:rPr>
          <w:rFonts w:cs="Times New Roman"/>
        </w:rPr>
        <w:t xml:space="preserve"> kasācijas sūdzībā atkārtoti aizstāves</w:t>
      </w:r>
      <w:r w:rsidR="00AF7803">
        <w:rPr>
          <w:rFonts w:cs="Times New Roman"/>
        </w:rPr>
        <w:t xml:space="preserve"> zvērinātas advokātes</w:t>
      </w:r>
      <w:r>
        <w:rPr>
          <w:rFonts w:cs="Times New Roman"/>
        </w:rPr>
        <w:t xml:space="preserve"> I</w:t>
      </w:r>
      <w:r w:rsidR="001863B5">
        <w:rPr>
          <w:rFonts w:cs="Times New Roman"/>
        </w:rPr>
        <w:t>vetas</w:t>
      </w:r>
      <w:r w:rsidR="00266A9D">
        <w:rPr>
          <w:rFonts w:cs="Times New Roman"/>
        </w:rPr>
        <w:t> </w:t>
      </w:r>
      <w:r>
        <w:rPr>
          <w:rFonts w:cs="Times New Roman"/>
        </w:rPr>
        <w:t>Vietnieces apelācijas sūdzībā minēt</w:t>
      </w:r>
      <w:r w:rsidR="00E819CF">
        <w:rPr>
          <w:rFonts w:cs="Times New Roman"/>
        </w:rPr>
        <w:t>ie</w:t>
      </w:r>
      <w:r>
        <w:rPr>
          <w:rFonts w:cs="Times New Roman"/>
        </w:rPr>
        <w:t xml:space="preserve"> argument</w:t>
      </w:r>
      <w:r w:rsidR="002C7429">
        <w:rPr>
          <w:rFonts w:cs="Times New Roman"/>
        </w:rPr>
        <w:t>i,</w:t>
      </w:r>
      <w:r>
        <w:rPr>
          <w:rFonts w:cs="Times New Roman"/>
        </w:rPr>
        <w:t xml:space="preserve"> ka tiesa nepamatoti atzinusi par atbildību pastiprinošu apstākli noziedzīg</w:t>
      </w:r>
      <w:r w:rsidR="002C7429">
        <w:rPr>
          <w:rFonts w:cs="Times New Roman"/>
        </w:rPr>
        <w:t>a</w:t>
      </w:r>
      <w:r>
        <w:rPr>
          <w:rFonts w:cs="Times New Roman"/>
        </w:rPr>
        <w:t xml:space="preserve"> nodarījum</w:t>
      </w:r>
      <w:r w:rsidR="002C7429">
        <w:rPr>
          <w:rFonts w:cs="Times New Roman"/>
        </w:rPr>
        <w:t>a</w:t>
      </w:r>
      <w:r>
        <w:rPr>
          <w:rFonts w:cs="Times New Roman"/>
        </w:rPr>
        <w:t xml:space="preserve"> izdarī</w:t>
      </w:r>
      <w:r w:rsidR="002C7429">
        <w:rPr>
          <w:rFonts w:cs="Times New Roman"/>
        </w:rPr>
        <w:t>šanu</w:t>
      </w:r>
      <w:r>
        <w:rPr>
          <w:rFonts w:cs="Times New Roman"/>
        </w:rPr>
        <w:t xml:space="preserve"> narkotisko vielu ietekmē.</w:t>
      </w:r>
      <w:r w:rsidR="002C7429">
        <w:rPr>
          <w:rFonts w:cs="Times New Roman"/>
        </w:rPr>
        <w:t xml:space="preserve"> Norādīto argumentu apelācijas instances tiesa izvērtējusi un motivēti noraidījusi.</w:t>
      </w:r>
    </w:p>
    <w:p w14:paraId="2ADC7F11" w14:textId="77777777" w:rsidR="00CD09E6" w:rsidRDefault="00E0378D" w:rsidP="002C7429">
      <w:pPr>
        <w:ind w:firstLine="709"/>
        <w:jc w:val="both"/>
        <w:rPr>
          <w:rFonts w:cs="Times New Roman"/>
        </w:rPr>
      </w:pPr>
      <w:r>
        <w:rPr>
          <w:rFonts w:cs="Times New Roman"/>
        </w:rPr>
        <w:t>Tiesa norādīj</w:t>
      </w:r>
      <w:r w:rsidR="002C7429">
        <w:rPr>
          <w:rFonts w:cs="Times New Roman"/>
        </w:rPr>
        <w:t>usi</w:t>
      </w:r>
      <w:r>
        <w:rPr>
          <w:rFonts w:cs="Times New Roman"/>
        </w:rPr>
        <w:t xml:space="preserve">, ka </w:t>
      </w:r>
      <w:r w:rsidR="002C7429">
        <w:rPr>
          <w:rFonts w:cs="Times New Roman"/>
        </w:rPr>
        <w:t>pirmās instances tiesa pamatoti atzinusi</w:t>
      </w:r>
      <w:r w:rsidR="002C7429" w:rsidRPr="002C7429">
        <w:rPr>
          <w:rFonts w:cs="Times New Roman"/>
        </w:rPr>
        <w:t xml:space="preserve"> </w:t>
      </w:r>
      <w:r w:rsidR="002C7429">
        <w:rPr>
          <w:rFonts w:cs="Times New Roman"/>
        </w:rPr>
        <w:t xml:space="preserve">Krimināllikuma 48. panta pirmās daļas 12. punktā paredzēto apstākli par apsūdzētās atbildību pastiprinošu. Tiesa </w:t>
      </w:r>
      <w:r w:rsidR="00AF7803">
        <w:rPr>
          <w:rFonts w:cs="Times New Roman"/>
        </w:rPr>
        <w:t>norādījusi, ka minētais fakts apstiprinās ar</w:t>
      </w:r>
      <w:r w:rsidR="002C7429">
        <w:rPr>
          <w:rFonts w:cs="Times New Roman"/>
        </w:rPr>
        <w:t xml:space="preserve"> </w:t>
      </w:r>
      <w:r>
        <w:rPr>
          <w:rFonts w:cs="Times New Roman"/>
        </w:rPr>
        <w:t>2015. gada 13. janvāra Medicīniskās pārbaudes protokol</w:t>
      </w:r>
      <w:r w:rsidR="002C7429">
        <w:rPr>
          <w:rFonts w:cs="Times New Roman"/>
        </w:rPr>
        <w:t>ā</w:t>
      </w:r>
      <w:r>
        <w:rPr>
          <w:rFonts w:cs="Times New Roman"/>
        </w:rPr>
        <w:t xml:space="preserve"> narkotisko, psihotropo vai toksisko vielu ietekmes (iespaida) noteikšanai Nr. 188 un Ķīmiski toksikoloģiskās izmeklēšanas rezultāt</w:t>
      </w:r>
      <w:r w:rsidR="002C7429">
        <w:rPr>
          <w:rFonts w:cs="Times New Roman"/>
        </w:rPr>
        <w:t>os</w:t>
      </w:r>
      <w:r>
        <w:rPr>
          <w:rFonts w:cs="Times New Roman"/>
        </w:rPr>
        <w:t xml:space="preserve"> Nr. 254</w:t>
      </w:r>
      <w:r w:rsidR="002C7429">
        <w:rPr>
          <w:rFonts w:cs="Times New Roman"/>
        </w:rPr>
        <w:t xml:space="preserve"> konstatēt</w:t>
      </w:r>
      <w:r w:rsidR="00AF7803">
        <w:rPr>
          <w:rFonts w:cs="Times New Roman"/>
        </w:rPr>
        <w:t>o</w:t>
      </w:r>
      <w:r w:rsidR="002C7429">
        <w:rPr>
          <w:rFonts w:cs="Times New Roman"/>
        </w:rPr>
        <w:t>.</w:t>
      </w:r>
    </w:p>
    <w:p w14:paraId="226BEB8C" w14:textId="262D171D" w:rsidR="00E0378D" w:rsidRDefault="00CD09E6" w:rsidP="002C7429">
      <w:pPr>
        <w:ind w:firstLine="709"/>
        <w:jc w:val="both"/>
        <w:rPr>
          <w:rFonts w:cs="Times New Roman"/>
        </w:rPr>
      </w:pPr>
      <w:r>
        <w:rPr>
          <w:rFonts w:cs="Times New Roman"/>
        </w:rPr>
        <w:t>Senātam nav pamata apšaubīt šo apelācijas instances tiesas secinājumu.</w:t>
      </w:r>
      <w:r w:rsidR="00E0378D">
        <w:rPr>
          <w:rFonts w:cs="Times New Roman"/>
        </w:rPr>
        <w:t xml:space="preserve"> </w:t>
      </w:r>
    </w:p>
    <w:p w14:paraId="4594FF3A" w14:textId="5EED8D40" w:rsidR="00CD09E6" w:rsidRDefault="00F55BF8" w:rsidP="000A1460">
      <w:pPr>
        <w:ind w:firstLine="709"/>
        <w:jc w:val="both"/>
        <w:rPr>
          <w:rFonts w:cs="Times New Roman"/>
        </w:rPr>
      </w:pPr>
      <w:r>
        <w:rPr>
          <w:rFonts w:cs="Times New Roman"/>
        </w:rPr>
        <w:t xml:space="preserve">Senāts </w:t>
      </w:r>
      <w:r w:rsidR="00CD09E6">
        <w:rPr>
          <w:rFonts w:cs="Times New Roman"/>
        </w:rPr>
        <w:t>konstatē</w:t>
      </w:r>
      <w:r>
        <w:rPr>
          <w:rFonts w:cs="Times New Roman"/>
        </w:rPr>
        <w:t>, ka a</w:t>
      </w:r>
      <w:r w:rsidR="00E0378D">
        <w:rPr>
          <w:rFonts w:cs="Times New Roman"/>
        </w:rPr>
        <w:t>psūdzētā</w:t>
      </w:r>
      <w:r w:rsidRPr="00F55BF8">
        <w:rPr>
          <w:rFonts w:cs="Times New Roman"/>
        </w:rPr>
        <w:t xml:space="preserve"> </w:t>
      </w:r>
      <w:r w:rsidR="00496309">
        <w:rPr>
          <w:rFonts w:cs="Times New Roman"/>
        </w:rPr>
        <w:t>[pers. </w:t>
      </w:r>
      <w:r w:rsidR="00496309">
        <w:t>A]</w:t>
      </w:r>
      <w:r w:rsidR="002C7429">
        <w:rPr>
          <w:rFonts w:cs="Times New Roman"/>
        </w:rPr>
        <w:t xml:space="preserve"> kasācijas sūdzībā </w:t>
      </w:r>
      <w:r>
        <w:rPr>
          <w:rFonts w:cs="Times New Roman"/>
        </w:rPr>
        <w:t xml:space="preserve">nepamatoti </w:t>
      </w:r>
      <w:r w:rsidR="002C7429">
        <w:rPr>
          <w:rFonts w:cs="Times New Roman"/>
        </w:rPr>
        <w:t>norādī</w:t>
      </w:r>
      <w:r>
        <w:rPr>
          <w:rFonts w:cs="Times New Roman"/>
        </w:rPr>
        <w:t>jusi</w:t>
      </w:r>
      <w:r w:rsidR="00E0378D">
        <w:rPr>
          <w:rFonts w:cs="Times New Roman"/>
        </w:rPr>
        <w:t>, ka tiesa nav ņēmusi vērā Krimināllikuma 48. panta otro daļu</w:t>
      </w:r>
      <w:r w:rsidR="00AF7803">
        <w:rPr>
          <w:rFonts w:cs="Times New Roman"/>
        </w:rPr>
        <w:t>.</w:t>
      </w:r>
    </w:p>
    <w:p w14:paraId="41EDC8B2" w14:textId="3AB5D89E" w:rsidR="00F55BF8" w:rsidRDefault="00AF7803" w:rsidP="000A1460">
      <w:pPr>
        <w:ind w:firstLine="709"/>
        <w:jc w:val="both"/>
        <w:rPr>
          <w:rFonts w:cs="Times New Roman"/>
        </w:rPr>
      </w:pPr>
      <w:r>
        <w:rPr>
          <w:rFonts w:cs="Times New Roman"/>
        </w:rPr>
        <w:t>S</w:t>
      </w:r>
      <w:r w:rsidR="000A1460">
        <w:rPr>
          <w:rFonts w:cs="Times New Roman"/>
        </w:rPr>
        <w:t xml:space="preserve">askaņā ar minēto </w:t>
      </w:r>
      <w:r w:rsidR="00B13355">
        <w:rPr>
          <w:rFonts w:cs="Times New Roman"/>
        </w:rPr>
        <w:t xml:space="preserve">tiesību </w:t>
      </w:r>
      <w:r w:rsidR="000A1460">
        <w:rPr>
          <w:rFonts w:cs="Times New Roman"/>
        </w:rPr>
        <w:t xml:space="preserve">normu tiesai, kura izskata lietu pēc būtības, </w:t>
      </w:r>
      <w:r w:rsidR="00D5487E">
        <w:rPr>
          <w:rFonts w:cs="Times New Roman"/>
        </w:rPr>
        <w:t xml:space="preserve">ievērojot noziedzīgā nodarījuma raksturu, </w:t>
      </w:r>
      <w:r w:rsidR="000A1460">
        <w:rPr>
          <w:rFonts w:cs="Times New Roman"/>
        </w:rPr>
        <w:t xml:space="preserve">ir tiesības neatzīt par apsūdzētā atbildību pastiprinošu apstākli kādu no Krimināllikuma 48. panta pirmajā daļā minētajiem apstākļiem. </w:t>
      </w:r>
      <w:r w:rsidR="00F55BF8">
        <w:rPr>
          <w:rFonts w:cs="Times New Roman"/>
        </w:rPr>
        <w:t>Minētais</w:t>
      </w:r>
      <w:r w:rsidR="00D5487E">
        <w:rPr>
          <w:rFonts w:cs="Times New Roman"/>
        </w:rPr>
        <w:t xml:space="preserve"> jautājums izlemts abu instanču tiesās. Turklāt</w:t>
      </w:r>
      <w:r w:rsidR="00F55BF8">
        <w:rPr>
          <w:rFonts w:cs="Times New Roman"/>
        </w:rPr>
        <w:t xml:space="preserve"> jau no</w:t>
      </w:r>
      <w:r w:rsidR="00F55BF8" w:rsidRPr="00F55BF8">
        <w:rPr>
          <w:rFonts w:cs="Times New Roman"/>
        </w:rPr>
        <w:t xml:space="preserve"> </w:t>
      </w:r>
      <w:r w:rsidR="00F55BF8">
        <w:rPr>
          <w:rFonts w:cs="Times New Roman"/>
        </w:rPr>
        <w:t>Krimināllikuma 48. panta otrās daļas iztulkošanas</w:t>
      </w:r>
      <w:r w:rsidR="00D5487E">
        <w:rPr>
          <w:rFonts w:cs="Times New Roman"/>
        </w:rPr>
        <w:t xml:space="preserve"> secināms, ka šo jautājumu izlemj tiesa, kas</w:t>
      </w:r>
      <w:r w:rsidR="00D5487E" w:rsidRPr="00D5487E">
        <w:rPr>
          <w:rFonts w:cs="Times New Roman"/>
        </w:rPr>
        <w:t xml:space="preserve"> </w:t>
      </w:r>
      <w:r w:rsidR="00D5487E">
        <w:rPr>
          <w:rFonts w:cs="Times New Roman"/>
        </w:rPr>
        <w:t>izskata lietu pēc būtības, un neatzīt kādu no Krimināllikuma 48. panta pirmajā daļā minētajiem apstākļiem par atbildību pastiprinošu, ir tiesas tiesības, nevis pienākums</w:t>
      </w:r>
      <w:r w:rsidR="00F55BF8">
        <w:rPr>
          <w:rFonts w:cs="Times New Roman"/>
        </w:rPr>
        <w:t>.</w:t>
      </w:r>
    </w:p>
    <w:p w14:paraId="440A7231" w14:textId="239D181B" w:rsidR="000A1460" w:rsidRDefault="000A1460" w:rsidP="00CD09E6">
      <w:pPr>
        <w:ind w:firstLine="709"/>
        <w:jc w:val="both"/>
        <w:rPr>
          <w:rFonts w:cs="Times New Roman"/>
        </w:rPr>
      </w:pPr>
      <w:r>
        <w:rPr>
          <w:rFonts w:cs="Times New Roman"/>
        </w:rPr>
        <w:t xml:space="preserve"> </w:t>
      </w:r>
      <w:r w:rsidR="00F55BF8">
        <w:rPr>
          <w:rFonts w:cs="Times New Roman"/>
        </w:rPr>
        <w:t>Apelācijas instances tiesa,</w:t>
      </w:r>
      <w:r w:rsidR="003C456F">
        <w:rPr>
          <w:rFonts w:cs="Times New Roman"/>
        </w:rPr>
        <w:t xml:space="preserve"> atzīstot</w:t>
      </w:r>
      <w:r w:rsidR="003C456F" w:rsidRPr="003C456F">
        <w:rPr>
          <w:rFonts w:cs="Times New Roman"/>
        </w:rPr>
        <w:t xml:space="preserve"> </w:t>
      </w:r>
      <w:r w:rsidR="003C456F">
        <w:rPr>
          <w:rFonts w:cs="Times New Roman"/>
        </w:rPr>
        <w:t>Krimināllikuma 48. panta pirmās daļas 12. punktā paredzēto apstākli par apsūdzētās</w:t>
      </w:r>
      <w:r w:rsidR="003C456F" w:rsidRPr="003C456F">
        <w:rPr>
          <w:rFonts w:cs="Times New Roman"/>
        </w:rPr>
        <w:t xml:space="preserve"> </w:t>
      </w:r>
      <w:r w:rsidR="00496309">
        <w:rPr>
          <w:rFonts w:cs="Times New Roman"/>
        </w:rPr>
        <w:t>[pers. A]</w:t>
      </w:r>
      <w:r w:rsidR="003C456F">
        <w:rPr>
          <w:rFonts w:cs="Times New Roman"/>
        </w:rPr>
        <w:t xml:space="preserve"> atbildību pastiprinošu,</w:t>
      </w:r>
      <w:r w:rsidR="00F55BF8">
        <w:rPr>
          <w:rFonts w:cs="Times New Roman"/>
        </w:rPr>
        <w:t xml:space="preserve"> nav pieļāvusi</w:t>
      </w:r>
      <w:r w:rsidRPr="000A1460">
        <w:rPr>
          <w:rFonts w:cs="Times New Roman"/>
        </w:rPr>
        <w:t xml:space="preserve"> </w:t>
      </w:r>
      <w:r>
        <w:rPr>
          <w:rFonts w:cs="Times New Roman"/>
        </w:rPr>
        <w:t xml:space="preserve">Kriminālprocesa likuma 574. panta 1. punktā norādīto Krimināllikuma pārkāpumu. </w:t>
      </w:r>
    </w:p>
    <w:p w14:paraId="4BDD6BA2" w14:textId="77777777" w:rsidR="003B1E09" w:rsidRDefault="00E0378D" w:rsidP="002577EC">
      <w:pPr>
        <w:ind w:firstLine="709"/>
        <w:jc w:val="both"/>
        <w:rPr>
          <w:rFonts w:cs="Times New Roman"/>
        </w:rPr>
      </w:pPr>
      <w:r>
        <w:rPr>
          <w:rFonts w:cs="Times New Roman"/>
        </w:rPr>
        <w:t>[</w:t>
      </w:r>
      <w:r w:rsidR="00C52E2C">
        <w:rPr>
          <w:rFonts w:cs="Times New Roman"/>
        </w:rPr>
        <w:t>7.4</w:t>
      </w:r>
      <w:r w:rsidR="00266A9D">
        <w:rPr>
          <w:rFonts w:cs="Times New Roman"/>
        </w:rPr>
        <w:t>] </w:t>
      </w:r>
      <w:r w:rsidR="003515E9">
        <w:rPr>
          <w:rFonts w:cs="Times New Roman"/>
        </w:rPr>
        <w:t>Saskaņā ar Kriminālprocesa likuma 14. panta pirmo daļu ikvienam ir tiesības uz kriminālprocesa pabeigšanu saprātīgā termiņā, tas ir, bez neattaisnotas novilcināšanas, savukārt Krimināllikuma 49.</w:t>
      </w:r>
      <w:r w:rsidR="003515E9">
        <w:rPr>
          <w:rFonts w:cs="Times New Roman"/>
          <w:vertAlign w:val="superscript"/>
        </w:rPr>
        <w:t>1</w:t>
      </w:r>
      <w:r w:rsidR="003515E9">
        <w:rPr>
          <w:rFonts w:cs="Times New Roman"/>
        </w:rPr>
        <w:t> pants paredz soda noteikšanu, ja nav ievērotas tiesības uz kriminālprocesa pabeigšanu saprātīgā termiņā.</w:t>
      </w:r>
    </w:p>
    <w:p w14:paraId="38C9320F" w14:textId="0876F2CE" w:rsidR="003515E9" w:rsidRDefault="003515E9" w:rsidP="002577EC">
      <w:pPr>
        <w:ind w:firstLine="709"/>
        <w:jc w:val="both"/>
        <w:rPr>
          <w:rFonts w:cs="Times New Roman"/>
        </w:rPr>
      </w:pPr>
      <w:r>
        <w:rPr>
          <w:rFonts w:cs="Times New Roman"/>
        </w:rPr>
        <w:t>Krimināllikuma 49.</w:t>
      </w:r>
      <w:r>
        <w:rPr>
          <w:rFonts w:cs="Times New Roman"/>
          <w:vertAlign w:val="superscript"/>
        </w:rPr>
        <w:t>1 </w:t>
      </w:r>
      <w:r>
        <w:rPr>
          <w:rFonts w:cs="Times New Roman"/>
        </w:rPr>
        <w:t>pantā ir norādītas sekas, ja tiesa konstatē, ka nav ievērotas personas tiesības uz kriminālprocesa pabeigšanu saprātīgā termiņā, tā pirmajā daļā</w:t>
      </w:r>
      <w:proofErr w:type="gramStart"/>
      <w:r>
        <w:rPr>
          <w:rFonts w:cs="Times New Roman"/>
        </w:rPr>
        <w:t xml:space="preserve"> nosakot, ka tā var</w:t>
      </w:r>
      <w:proofErr w:type="gramEnd"/>
      <w:r>
        <w:rPr>
          <w:rFonts w:cs="Times New Roman"/>
        </w:rPr>
        <w:t xml:space="preserve">: 1) šo apstākli ņemt vērā pie soda noteikšanas un sodu mīkstināt; 2) noteikt sodu, kas ir zemāks par minimālo robežu, kāda par attiecīgo noziedzīgo nodarījumu paredzēta likumā; 3) noteikt citu, vieglāku soda veidu, nekā par attiecīgo noziedzīgo nodarījumu paredzēts likumā </w:t>
      </w:r>
      <w:r w:rsidRPr="00C50D58">
        <w:t>(</w:t>
      </w:r>
      <w:proofErr w:type="spellStart"/>
      <w:r>
        <w:rPr>
          <w:i/>
          <w:iCs/>
        </w:rPr>
        <w:t>Liholaja</w:t>
      </w:r>
      <w:proofErr w:type="spellEnd"/>
      <w:r>
        <w:rPr>
          <w:i/>
          <w:iCs/>
        </w:rPr>
        <w:t> V</w:t>
      </w:r>
      <w:r w:rsidRPr="00FB2109">
        <w:rPr>
          <w:i/>
          <w:iCs/>
        </w:rPr>
        <w:t xml:space="preserve">. </w:t>
      </w:r>
      <w:r>
        <w:rPr>
          <w:i/>
          <w:iCs/>
        </w:rPr>
        <w:t>49</w:t>
      </w:r>
      <w:r w:rsidRPr="00FB2109">
        <w:rPr>
          <w:i/>
          <w:iCs/>
        </w:rPr>
        <w:t>.</w:t>
      </w:r>
      <w:r>
        <w:rPr>
          <w:i/>
          <w:iCs/>
          <w:vertAlign w:val="superscript"/>
        </w:rPr>
        <w:t>1</w:t>
      </w:r>
      <w:r>
        <w:rPr>
          <w:i/>
          <w:iCs/>
        </w:rPr>
        <w:t> </w:t>
      </w:r>
      <w:r w:rsidRPr="00FB2109">
        <w:rPr>
          <w:i/>
          <w:iCs/>
        </w:rPr>
        <w:t xml:space="preserve">panta komentārs. </w:t>
      </w:r>
      <w:proofErr w:type="spellStart"/>
      <w:r w:rsidRPr="00FB2109">
        <w:rPr>
          <w:i/>
          <w:iCs/>
        </w:rPr>
        <w:t>Grām</w:t>
      </w:r>
      <w:proofErr w:type="spellEnd"/>
      <w:r w:rsidRPr="00FB2109">
        <w:rPr>
          <w:i/>
          <w:iCs/>
        </w:rPr>
        <w:t xml:space="preserve">.: Krastiņš U., </w:t>
      </w:r>
      <w:proofErr w:type="spellStart"/>
      <w:r w:rsidRPr="00FB2109">
        <w:rPr>
          <w:i/>
          <w:iCs/>
        </w:rPr>
        <w:t>Liholaja</w:t>
      </w:r>
      <w:proofErr w:type="spellEnd"/>
      <w:r w:rsidRPr="00FB2109">
        <w:rPr>
          <w:i/>
          <w:iCs/>
        </w:rPr>
        <w:t> V. Krimināllikuma komentāri. Pirmā daļa (I</w:t>
      </w:r>
      <w:r w:rsidRPr="00FB2109">
        <w:rPr>
          <w:i/>
          <w:iCs/>
        </w:rPr>
        <w:noBreakHyphen/>
        <w:t>VIII</w:t>
      </w:r>
      <w:r w:rsidRPr="00FB2109">
        <w:rPr>
          <w:i/>
          <w:iCs/>
          <w:vertAlign w:val="superscript"/>
        </w:rPr>
        <w:t>2</w:t>
      </w:r>
      <w:r w:rsidRPr="00FB2109">
        <w:rPr>
          <w:i/>
          <w:iCs/>
        </w:rPr>
        <w:t xml:space="preserve">nodaļa). Trešais papildinātais izdevums. Rīga: Tiesu namu aģentūra, 2021, </w:t>
      </w:r>
      <w:r>
        <w:rPr>
          <w:i/>
          <w:iCs/>
        </w:rPr>
        <w:t>226</w:t>
      </w:r>
      <w:r w:rsidRPr="00FB2109">
        <w:rPr>
          <w:i/>
          <w:iCs/>
        </w:rPr>
        <w:t>. lpp.</w:t>
      </w:r>
      <w:r>
        <w:t>)</w:t>
      </w:r>
      <w:r>
        <w:rPr>
          <w:rFonts w:cs="Times New Roman"/>
        </w:rPr>
        <w:t>.</w:t>
      </w:r>
    </w:p>
    <w:p w14:paraId="74A58005" w14:textId="34417880" w:rsidR="000A1460" w:rsidRDefault="000A1460" w:rsidP="002577EC">
      <w:pPr>
        <w:ind w:firstLine="709"/>
        <w:jc w:val="both"/>
        <w:rPr>
          <w:rFonts w:cs="Times New Roman"/>
        </w:rPr>
      </w:pPr>
      <w:r>
        <w:rPr>
          <w:rFonts w:cs="Times New Roman"/>
        </w:rPr>
        <w:t xml:space="preserve">Pirmās instances tiesa atzinusi, ka apsūdzētās </w:t>
      </w:r>
      <w:r w:rsidR="00496309">
        <w:rPr>
          <w:rFonts w:cs="Times New Roman"/>
        </w:rPr>
        <w:t>[pers. A]</w:t>
      </w:r>
      <w:r>
        <w:rPr>
          <w:rFonts w:cs="Times New Roman"/>
        </w:rPr>
        <w:t xml:space="preserve"> tiesības uz kriminālprocesa pabeigšanu saprātīgā termiņā ir aizskartas, līdz ar to, nosakot sodu, piemērojusi Krimināllikuma 49.</w:t>
      </w:r>
      <w:r>
        <w:rPr>
          <w:rFonts w:cs="Times New Roman"/>
          <w:vertAlign w:val="superscript"/>
        </w:rPr>
        <w:t>1 </w:t>
      </w:r>
      <w:r>
        <w:rPr>
          <w:rFonts w:cs="Times New Roman"/>
        </w:rPr>
        <w:t>panta pirmās daļas 1. punktu un brīvības atņemšanas sodu mīkstinājusi par sešiem mēnešiem, nosakot sodu – brīvības atņemšan</w:t>
      </w:r>
      <w:r w:rsidR="00F32F86">
        <w:rPr>
          <w:rFonts w:cs="Times New Roman"/>
        </w:rPr>
        <w:t>u</w:t>
      </w:r>
      <w:r>
        <w:rPr>
          <w:rFonts w:cs="Times New Roman"/>
        </w:rPr>
        <w:t xml:space="preserve"> uz </w:t>
      </w:r>
      <w:r w:rsidR="003B1E09">
        <w:rPr>
          <w:rFonts w:cs="Times New Roman"/>
        </w:rPr>
        <w:t>diviem</w:t>
      </w:r>
      <w:r>
        <w:rPr>
          <w:rFonts w:cs="Times New Roman"/>
        </w:rPr>
        <w:t xml:space="preserve"> gadiem.</w:t>
      </w:r>
    </w:p>
    <w:p w14:paraId="772122A9" w14:textId="0B08BFA7" w:rsidR="000A1460" w:rsidRDefault="000A1460" w:rsidP="002577EC">
      <w:pPr>
        <w:ind w:firstLine="709"/>
        <w:jc w:val="both"/>
        <w:rPr>
          <w:rFonts w:cs="Times New Roman"/>
        </w:rPr>
      </w:pPr>
      <w:r>
        <w:rPr>
          <w:rFonts w:cs="Times New Roman"/>
        </w:rPr>
        <w:t xml:space="preserve">Apelācijas instances tiesa atzinusi, ka nav likumīga pamata apsūdzētajai </w:t>
      </w:r>
      <w:r w:rsidR="00496309">
        <w:rPr>
          <w:rFonts w:cs="Times New Roman"/>
        </w:rPr>
        <w:t>[pers. A]</w:t>
      </w:r>
      <w:r>
        <w:rPr>
          <w:rFonts w:cs="Times New Roman"/>
        </w:rPr>
        <w:t xml:space="preserve"> piemērot</w:t>
      </w:r>
      <w:r w:rsidRPr="000A1460">
        <w:rPr>
          <w:rFonts w:cs="Times New Roman"/>
        </w:rPr>
        <w:t xml:space="preserve"> </w:t>
      </w:r>
      <w:r>
        <w:rPr>
          <w:rFonts w:cs="Times New Roman"/>
        </w:rPr>
        <w:t>Krimināllikuma 49.</w:t>
      </w:r>
      <w:r>
        <w:rPr>
          <w:rFonts w:cs="Times New Roman"/>
          <w:vertAlign w:val="superscript"/>
        </w:rPr>
        <w:t>1 </w:t>
      </w:r>
      <w:r>
        <w:rPr>
          <w:rFonts w:cs="Times New Roman"/>
        </w:rPr>
        <w:t xml:space="preserve">panta pirmās daļas 3. punktu un noteikt vieglāku soda veidu. </w:t>
      </w:r>
      <w:r w:rsidR="003B1E09">
        <w:rPr>
          <w:rFonts w:cs="Times New Roman"/>
        </w:rPr>
        <w:t>Senāts konstatē, ka tiesas atzinums ir motivēts.</w:t>
      </w:r>
      <w:r>
        <w:rPr>
          <w:rFonts w:cs="Times New Roman"/>
        </w:rPr>
        <w:t xml:space="preserve"> </w:t>
      </w:r>
    </w:p>
    <w:p w14:paraId="5E3694F2" w14:textId="0AB7E456" w:rsidR="000A1460" w:rsidRDefault="000A1460" w:rsidP="002577EC">
      <w:pPr>
        <w:ind w:firstLine="709"/>
        <w:jc w:val="both"/>
        <w:rPr>
          <w:rFonts w:cs="Times New Roman"/>
        </w:rPr>
      </w:pPr>
      <w:r>
        <w:rPr>
          <w:rFonts w:cs="Times New Roman"/>
        </w:rPr>
        <w:t>Apsūdzētā kasācijas sūdzībā atkārtoti lūdz saskaņā ar Krimināllikuma 49.</w:t>
      </w:r>
      <w:r>
        <w:rPr>
          <w:rFonts w:cs="Times New Roman"/>
          <w:vertAlign w:val="superscript"/>
        </w:rPr>
        <w:t>1</w:t>
      </w:r>
      <w:r>
        <w:rPr>
          <w:rFonts w:cs="Times New Roman"/>
        </w:rPr>
        <w:t> panta pirmās daļas 3. punktu noteikt viņai sabiedrisko darbu.</w:t>
      </w:r>
    </w:p>
    <w:p w14:paraId="4A473A12" w14:textId="4FF294BA" w:rsidR="00E0378D" w:rsidRDefault="000A1460" w:rsidP="002577EC">
      <w:pPr>
        <w:ind w:firstLine="709"/>
        <w:jc w:val="both"/>
        <w:rPr>
          <w:rFonts w:cs="Times New Roman"/>
        </w:rPr>
      </w:pPr>
      <w:r>
        <w:rPr>
          <w:rFonts w:cs="Times New Roman"/>
        </w:rPr>
        <w:t xml:space="preserve">Likumdevējs nav norādījis konkrētus kritērijus, pēc kuriem vadīties, lai </w:t>
      </w:r>
      <w:r w:rsidR="003C456F">
        <w:rPr>
          <w:rFonts w:cs="Times New Roman"/>
        </w:rPr>
        <w:t>kompensētu apsūdzētajam Kriminālprocesa likuma 14.</w:t>
      </w:r>
      <w:r w:rsidR="004436FA">
        <w:rPr>
          <w:rFonts w:cs="Times New Roman"/>
        </w:rPr>
        <w:t> </w:t>
      </w:r>
      <w:r w:rsidR="003C456F">
        <w:rPr>
          <w:rFonts w:cs="Times New Roman"/>
        </w:rPr>
        <w:t xml:space="preserve">panta pirmajā daļā nosaukto pārkāpumu, proti, </w:t>
      </w:r>
      <w:r>
        <w:rPr>
          <w:rFonts w:cs="Times New Roman"/>
        </w:rPr>
        <w:t>izvēlētos</w:t>
      </w:r>
      <w:r w:rsidR="003C456F">
        <w:rPr>
          <w:rFonts w:cs="Times New Roman"/>
        </w:rPr>
        <w:t xml:space="preserve"> piemērot</w:t>
      </w:r>
      <w:r>
        <w:rPr>
          <w:rFonts w:cs="Times New Roman"/>
        </w:rPr>
        <w:t xml:space="preserve"> </w:t>
      </w:r>
      <w:r w:rsidR="003515E9">
        <w:rPr>
          <w:rFonts w:cs="Times New Roman"/>
        </w:rPr>
        <w:t>Krimināllikuma 49.</w:t>
      </w:r>
      <w:r w:rsidR="003515E9">
        <w:rPr>
          <w:rFonts w:cs="Times New Roman"/>
          <w:vertAlign w:val="superscript"/>
        </w:rPr>
        <w:t>1</w:t>
      </w:r>
      <w:r w:rsidR="003515E9">
        <w:rPr>
          <w:rFonts w:cs="Times New Roman"/>
        </w:rPr>
        <w:t xml:space="preserve"> panta </w:t>
      </w:r>
      <w:r>
        <w:rPr>
          <w:rFonts w:cs="Times New Roman"/>
        </w:rPr>
        <w:t>pirmajā daļā minētās sekas. Fakts, ka tiesa, konstatējot šo tiesību pārkāpumu, nav piemērojusi Krimināllikuma 49.</w:t>
      </w:r>
      <w:r>
        <w:rPr>
          <w:rFonts w:cs="Times New Roman"/>
          <w:vertAlign w:val="superscript"/>
        </w:rPr>
        <w:t>1</w:t>
      </w:r>
      <w:r>
        <w:rPr>
          <w:rFonts w:cs="Times New Roman"/>
        </w:rPr>
        <w:t> panta pirmās daļas 3. punkta nosacījumu</w:t>
      </w:r>
      <w:r w:rsidR="003515E9">
        <w:rPr>
          <w:rFonts w:cs="Times New Roman"/>
        </w:rPr>
        <w:t>s, bet ir piemērojusi</w:t>
      </w:r>
      <w:r w:rsidR="003515E9" w:rsidRPr="003515E9">
        <w:rPr>
          <w:rFonts w:cs="Times New Roman"/>
        </w:rPr>
        <w:t xml:space="preserve"> </w:t>
      </w:r>
      <w:r w:rsidR="003515E9">
        <w:rPr>
          <w:rFonts w:cs="Times New Roman"/>
        </w:rPr>
        <w:t>Krimināllikuma 49.</w:t>
      </w:r>
      <w:r w:rsidR="003515E9">
        <w:rPr>
          <w:rFonts w:cs="Times New Roman"/>
          <w:vertAlign w:val="superscript"/>
        </w:rPr>
        <w:t>1</w:t>
      </w:r>
      <w:r w:rsidR="003515E9">
        <w:rPr>
          <w:rFonts w:cs="Times New Roman"/>
        </w:rPr>
        <w:t> panta pirmās daļas 1. punktu</w:t>
      </w:r>
      <w:r>
        <w:rPr>
          <w:rFonts w:cs="Times New Roman"/>
        </w:rPr>
        <w:t>, nav atzīstams par apsūdzētās</w:t>
      </w:r>
      <w:r w:rsidR="003515E9" w:rsidRPr="003515E9">
        <w:rPr>
          <w:rFonts w:cs="Times New Roman"/>
        </w:rPr>
        <w:t xml:space="preserve"> </w:t>
      </w:r>
      <w:r w:rsidR="00496309">
        <w:rPr>
          <w:rFonts w:cs="Times New Roman"/>
        </w:rPr>
        <w:t>[pers. A]</w:t>
      </w:r>
      <w:r>
        <w:rPr>
          <w:rFonts w:cs="Times New Roman"/>
        </w:rPr>
        <w:t xml:space="preserve"> tiesību </w:t>
      </w:r>
      <w:r w:rsidR="003515E9">
        <w:rPr>
          <w:rFonts w:cs="Times New Roman"/>
        </w:rPr>
        <w:t>uz taisnīgu</w:t>
      </w:r>
      <w:r w:rsidR="003C456F">
        <w:rPr>
          <w:rFonts w:cs="Times New Roman"/>
        </w:rPr>
        <w:t xml:space="preserve"> un objektīvu</w:t>
      </w:r>
      <w:r w:rsidR="003515E9">
        <w:rPr>
          <w:rFonts w:cs="Times New Roman"/>
        </w:rPr>
        <w:t xml:space="preserve"> tiesu </w:t>
      </w:r>
      <w:r>
        <w:rPr>
          <w:rFonts w:cs="Times New Roman"/>
        </w:rPr>
        <w:t>pārkāpumu.</w:t>
      </w:r>
      <w:r w:rsidR="003515E9">
        <w:rPr>
          <w:rFonts w:cs="Times New Roman"/>
        </w:rPr>
        <w:t xml:space="preserve"> </w:t>
      </w:r>
      <w:r w:rsidR="00E0378D">
        <w:rPr>
          <w:rFonts w:cs="Times New Roman"/>
        </w:rPr>
        <w:t xml:space="preserve">Senāts nekonstatē Kriminālprocesa likuma 574. panta </w:t>
      </w:r>
      <w:r w:rsidR="009F4128">
        <w:rPr>
          <w:rFonts w:cs="Times New Roman"/>
        </w:rPr>
        <w:t xml:space="preserve">1. punktā </w:t>
      </w:r>
      <w:r>
        <w:rPr>
          <w:rFonts w:cs="Times New Roman"/>
        </w:rPr>
        <w:t>norādīto</w:t>
      </w:r>
      <w:r w:rsidR="009F4128">
        <w:rPr>
          <w:rFonts w:cs="Times New Roman"/>
        </w:rPr>
        <w:t xml:space="preserve"> Krimināllikuma</w:t>
      </w:r>
      <w:r w:rsidR="00E0378D">
        <w:rPr>
          <w:rFonts w:cs="Times New Roman"/>
        </w:rPr>
        <w:t xml:space="preserve"> pārkāpumu </w:t>
      </w:r>
      <w:r w:rsidR="003515E9">
        <w:rPr>
          <w:rFonts w:cs="Times New Roman"/>
        </w:rPr>
        <w:t>iepriekš izklāstīto iemeslu dēļ</w:t>
      </w:r>
      <w:r w:rsidR="00E0378D">
        <w:rPr>
          <w:rFonts w:cs="Times New Roman"/>
        </w:rPr>
        <w:t xml:space="preserve">. </w:t>
      </w:r>
    </w:p>
    <w:p w14:paraId="6E4D29A1" w14:textId="3F8FCE58" w:rsidR="00E0378D" w:rsidRDefault="00E0378D" w:rsidP="002577EC">
      <w:pPr>
        <w:ind w:firstLine="709"/>
        <w:jc w:val="both"/>
        <w:rPr>
          <w:rFonts w:cs="Times New Roman"/>
        </w:rPr>
      </w:pPr>
    </w:p>
    <w:p w14:paraId="6D562C36" w14:textId="306247D3" w:rsidR="004436FA" w:rsidRDefault="003515E9" w:rsidP="003515E9">
      <w:pPr>
        <w:ind w:firstLine="709"/>
        <w:jc w:val="both"/>
        <w:rPr>
          <w:rFonts w:cs="Times New Roman"/>
        </w:rPr>
      </w:pPr>
      <w:r>
        <w:rPr>
          <w:rFonts w:cs="Times New Roman"/>
        </w:rPr>
        <w:t>[8]</w:t>
      </w:r>
      <w:r w:rsidR="004436FA">
        <w:rPr>
          <w:rFonts w:cs="Times New Roman"/>
        </w:rPr>
        <w:t> </w:t>
      </w:r>
      <w:r w:rsidRPr="0084782F">
        <w:rPr>
          <w:rFonts w:cs="Times New Roman"/>
        </w:rPr>
        <w:t>Senāts</w:t>
      </w:r>
      <w:r w:rsidR="003C456F">
        <w:rPr>
          <w:rFonts w:cs="Times New Roman"/>
        </w:rPr>
        <w:t xml:space="preserve"> nekonstatē lietas izskatīšanā apelācijas instances tiesā </w:t>
      </w:r>
      <w:r w:rsidR="003B1E09">
        <w:rPr>
          <w:rFonts w:cs="Times New Roman"/>
        </w:rPr>
        <w:t xml:space="preserve">pieļautus </w:t>
      </w:r>
      <w:r w:rsidR="003C456F">
        <w:rPr>
          <w:rFonts w:cs="Times New Roman"/>
        </w:rPr>
        <w:t>Kriminālprocesa likuma 574. un 575. pantā norādītos pārkāpumus, kas varētu būt par pamatu apelācijas instances tiesas lēmuma atcelšanai vai grozīšanai. Senāts</w:t>
      </w:r>
      <w:r w:rsidRPr="0084782F">
        <w:rPr>
          <w:rFonts w:cs="Times New Roman"/>
        </w:rPr>
        <w:t xml:space="preserve"> </w:t>
      </w:r>
      <w:r>
        <w:rPr>
          <w:rFonts w:cs="Times New Roman"/>
        </w:rPr>
        <w:t>atzīst, ka Rīgas apgabaltiesas 2022. gada 2. </w:t>
      </w:r>
      <w:r w:rsidRPr="0084782F">
        <w:rPr>
          <w:rFonts w:cs="Times New Roman"/>
        </w:rPr>
        <w:t xml:space="preserve">novembra lēmums atstājams negrozīts, bet apsūdzētās </w:t>
      </w:r>
      <w:r w:rsidR="00496309">
        <w:rPr>
          <w:rFonts w:cs="Times New Roman"/>
        </w:rPr>
        <w:t>[pers. </w:t>
      </w:r>
      <w:r w:rsidR="00496309">
        <w:t>A]</w:t>
      </w:r>
      <w:r w:rsidRPr="0084782F">
        <w:rPr>
          <w:rFonts w:cs="Times New Roman"/>
        </w:rPr>
        <w:t xml:space="preserve"> kasācijas sūdzība noraidāma.</w:t>
      </w:r>
    </w:p>
    <w:p w14:paraId="5AB27BA8" w14:textId="77777777" w:rsidR="004436FA" w:rsidRDefault="004436FA" w:rsidP="003515E9">
      <w:pPr>
        <w:ind w:firstLine="709"/>
        <w:jc w:val="both"/>
        <w:rPr>
          <w:rFonts w:cs="Times New Roman"/>
        </w:rPr>
      </w:pPr>
    </w:p>
    <w:p w14:paraId="5085DCBC" w14:textId="1DEAFB2C" w:rsidR="003515E9" w:rsidRDefault="003515E9" w:rsidP="003515E9">
      <w:pPr>
        <w:ind w:firstLine="709"/>
        <w:jc w:val="both"/>
        <w:rPr>
          <w:rFonts w:cs="Times New Roman"/>
        </w:rPr>
      </w:pPr>
      <w:r w:rsidRPr="0084782F">
        <w:rPr>
          <w:rFonts w:cs="Times New Roman"/>
        </w:rPr>
        <w:t xml:space="preserve"> </w:t>
      </w:r>
    </w:p>
    <w:p w14:paraId="1A181CFF" w14:textId="77777777" w:rsidR="002E47AE" w:rsidRDefault="002E47AE" w:rsidP="002577EC">
      <w:pPr>
        <w:ind w:firstLine="709"/>
        <w:jc w:val="both"/>
        <w:rPr>
          <w:rFonts w:cs="Times New Roman"/>
        </w:rPr>
      </w:pPr>
    </w:p>
    <w:p w14:paraId="2A1D295F" w14:textId="2D1A71AD" w:rsidR="002E47AE" w:rsidRDefault="002E47AE" w:rsidP="002577EC">
      <w:pPr>
        <w:ind w:firstLine="0"/>
        <w:jc w:val="center"/>
        <w:rPr>
          <w:rFonts w:cs="Times New Roman"/>
          <w:b/>
        </w:rPr>
      </w:pPr>
      <w:r w:rsidRPr="002E47AE">
        <w:rPr>
          <w:rFonts w:cs="Times New Roman"/>
          <w:b/>
        </w:rPr>
        <w:t>Rezolutīvā daļa</w:t>
      </w:r>
    </w:p>
    <w:p w14:paraId="6A87B903" w14:textId="77777777" w:rsidR="002E47AE" w:rsidRDefault="002E47AE" w:rsidP="002577EC">
      <w:pPr>
        <w:ind w:firstLine="0"/>
        <w:jc w:val="center"/>
        <w:rPr>
          <w:rFonts w:cs="Times New Roman"/>
          <w:b/>
        </w:rPr>
      </w:pPr>
    </w:p>
    <w:p w14:paraId="73D186A6" w14:textId="4B94767D" w:rsidR="002E47AE" w:rsidRDefault="002E47AE" w:rsidP="009160A1">
      <w:pPr>
        <w:ind w:firstLine="709"/>
        <w:jc w:val="both"/>
        <w:rPr>
          <w:rFonts w:cs="Times New Roman"/>
        </w:rPr>
      </w:pPr>
      <w:r>
        <w:rPr>
          <w:rFonts w:cs="Times New Roman"/>
        </w:rPr>
        <w:t xml:space="preserve">Pamatojoties uz Kriminālprocesa likuma 585., 587. pantu, Senāts </w:t>
      </w:r>
    </w:p>
    <w:p w14:paraId="00EE2880" w14:textId="77777777" w:rsidR="002E47AE" w:rsidRDefault="002E47AE" w:rsidP="002577EC">
      <w:pPr>
        <w:ind w:firstLine="567"/>
        <w:jc w:val="both"/>
        <w:rPr>
          <w:rFonts w:cs="Times New Roman"/>
        </w:rPr>
      </w:pPr>
    </w:p>
    <w:p w14:paraId="199277E6" w14:textId="3B621644" w:rsidR="002E47AE" w:rsidRDefault="002E47AE" w:rsidP="002577EC">
      <w:pPr>
        <w:ind w:firstLine="0"/>
        <w:jc w:val="center"/>
        <w:rPr>
          <w:rFonts w:cs="Times New Roman"/>
          <w:b/>
        </w:rPr>
      </w:pPr>
      <w:r w:rsidRPr="002E47AE">
        <w:rPr>
          <w:rFonts w:cs="Times New Roman"/>
          <w:b/>
        </w:rPr>
        <w:t>nolēma</w:t>
      </w:r>
    </w:p>
    <w:p w14:paraId="3CFD0C4A" w14:textId="77777777" w:rsidR="002E47AE" w:rsidRDefault="002E47AE" w:rsidP="002577EC">
      <w:pPr>
        <w:ind w:firstLine="0"/>
        <w:jc w:val="center"/>
        <w:rPr>
          <w:rFonts w:cs="Times New Roman"/>
          <w:b/>
        </w:rPr>
      </w:pPr>
    </w:p>
    <w:p w14:paraId="52CD47B3" w14:textId="62A89761" w:rsidR="002E47AE" w:rsidRPr="002E47AE" w:rsidRDefault="002E47AE" w:rsidP="0084694A">
      <w:pPr>
        <w:ind w:firstLine="709"/>
        <w:jc w:val="both"/>
        <w:rPr>
          <w:rFonts w:cs="Times New Roman"/>
        </w:rPr>
      </w:pPr>
      <w:r w:rsidRPr="002E47AE">
        <w:rPr>
          <w:rFonts w:cs="Times New Roman"/>
        </w:rPr>
        <w:t>atstāt</w:t>
      </w:r>
      <w:r>
        <w:rPr>
          <w:rFonts w:cs="Times New Roman"/>
        </w:rPr>
        <w:t xml:space="preserve"> negr</w:t>
      </w:r>
      <w:r w:rsidR="00266A9D">
        <w:rPr>
          <w:rFonts w:cs="Times New Roman"/>
        </w:rPr>
        <w:t>ozītu Rīgas apgabaltiesas 2022. </w:t>
      </w:r>
      <w:r>
        <w:rPr>
          <w:rFonts w:cs="Times New Roman"/>
        </w:rPr>
        <w:t xml:space="preserve">gada 2. novembra lēmumu, bet apsūdzētās </w:t>
      </w:r>
      <w:r w:rsidR="00496309">
        <w:rPr>
          <w:rFonts w:cs="Times New Roman"/>
        </w:rPr>
        <w:t>[pers. </w:t>
      </w:r>
      <w:r w:rsidR="00496309">
        <w:t>A]</w:t>
      </w:r>
      <w:r>
        <w:rPr>
          <w:rFonts w:cs="Times New Roman"/>
        </w:rPr>
        <w:t xml:space="preserve"> kasācijas sūdzību noraidīt.</w:t>
      </w:r>
    </w:p>
    <w:p w14:paraId="3A9490C9" w14:textId="77777777" w:rsidR="00681C5C" w:rsidRPr="00AF1FC2" w:rsidRDefault="00681C5C" w:rsidP="002577EC">
      <w:pPr>
        <w:ind w:firstLine="0"/>
        <w:jc w:val="both"/>
        <w:rPr>
          <w:color w:val="000000" w:themeColor="text1"/>
        </w:rPr>
      </w:pPr>
    </w:p>
    <w:p w14:paraId="7E099ECA" w14:textId="1D4A8959" w:rsidR="00AF1FC2" w:rsidRPr="00F9695F" w:rsidRDefault="00681C5C" w:rsidP="00F9695F">
      <w:pPr>
        <w:tabs>
          <w:tab w:val="left" w:pos="5610"/>
        </w:tabs>
        <w:jc w:val="both"/>
        <w:rPr>
          <w:color w:val="000000" w:themeColor="text1"/>
        </w:rPr>
      </w:pPr>
      <w:r>
        <w:rPr>
          <w:color w:val="000000" w:themeColor="text1"/>
        </w:rPr>
        <w:t>Lēmums nav pārsūdzams.</w:t>
      </w:r>
    </w:p>
    <w:p w14:paraId="299F5039" w14:textId="77777777" w:rsidR="004C138E" w:rsidRPr="000E12B6" w:rsidRDefault="004C138E" w:rsidP="002577EC">
      <w:pPr>
        <w:ind w:firstLine="0"/>
        <w:jc w:val="both"/>
        <w:rPr>
          <w:color w:val="767171" w:themeColor="background2" w:themeShade="80"/>
        </w:rPr>
      </w:pPr>
    </w:p>
    <w:sectPr w:rsidR="004C138E" w:rsidRPr="000E12B6" w:rsidSect="00100697">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5A15" w14:textId="77777777" w:rsidR="00DC5B42" w:rsidRDefault="00DC5B42" w:rsidP="00EE430D">
      <w:pPr>
        <w:spacing w:line="240" w:lineRule="auto"/>
      </w:pPr>
      <w:r>
        <w:separator/>
      </w:r>
    </w:p>
  </w:endnote>
  <w:endnote w:type="continuationSeparator" w:id="0">
    <w:p w14:paraId="237C1D5F" w14:textId="77777777" w:rsidR="00DC5B42" w:rsidRDefault="00DC5B42" w:rsidP="00EE4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489491"/>
      <w:docPartObj>
        <w:docPartGallery w:val="Page Numbers (Bottom of Page)"/>
        <w:docPartUnique/>
      </w:docPartObj>
    </w:sdtPr>
    <w:sdtEndPr>
      <w:rPr>
        <w:color w:val="000000" w:themeColor="text1"/>
        <w:sz w:val="20"/>
        <w:szCs w:val="20"/>
      </w:rPr>
    </w:sdtEndPr>
    <w:sdtContent>
      <w:sdt>
        <w:sdtPr>
          <w:id w:val="1728636285"/>
          <w:docPartObj>
            <w:docPartGallery w:val="Page Numbers (Top of Page)"/>
            <w:docPartUnique/>
          </w:docPartObj>
        </w:sdtPr>
        <w:sdtEndPr>
          <w:rPr>
            <w:color w:val="000000" w:themeColor="text1"/>
            <w:sz w:val="20"/>
            <w:szCs w:val="20"/>
          </w:rPr>
        </w:sdtEndPr>
        <w:sdtContent>
          <w:p w14:paraId="087FFC9A" w14:textId="5751761B" w:rsidR="00EE430D" w:rsidRPr="00AF1FC2" w:rsidRDefault="00EE430D" w:rsidP="00EE430D">
            <w:pPr>
              <w:pStyle w:val="Footer"/>
              <w:ind w:firstLine="0"/>
              <w:jc w:val="center"/>
              <w:rPr>
                <w:color w:val="000000" w:themeColor="text1"/>
                <w:sz w:val="20"/>
                <w:szCs w:val="20"/>
              </w:rPr>
            </w:pPr>
            <w:r w:rsidRPr="00AF1FC2">
              <w:rPr>
                <w:color w:val="000000" w:themeColor="text1"/>
                <w:sz w:val="20"/>
                <w:szCs w:val="20"/>
              </w:rPr>
              <w:fldChar w:fldCharType="begin"/>
            </w:r>
            <w:r w:rsidRPr="00AF1FC2">
              <w:rPr>
                <w:color w:val="000000" w:themeColor="text1"/>
                <w:sz w:val="20"/>
                <w:szCs w:val="20"/>
              </w:rPr>
              <w:instrText xml:space="preserve"> PAGE </w:instrText>
            </w:r>
            <w:r w:rsidRPr="00AF1FC2">
              <w:rPr>
                <w:color w:val="000000" w:themeColor="text1"/>
                <w:sz w:val="20"/>
                <w:szCs w:val="20"/>
              </w:rPr>
              <w:fldChar w:fldCharType="separate"/>
            </w:r>
            <w:r w:rsidR="0084694A">
              <w:rPr>
                <w:noProof/>
                <w:color w:val="000000" w:themeColor="text1"/>
                <w:sz w:val="20"/>
                <w:szCs w:val="20"/>
              </w:rPr>
              <w:t>6</w:t>
            </w:r>
            <w:r w:rsidRPr="00AF1FC2">
              <w:rPr>
                <w:color w:val="000000" w:themeColor="text1"/>
                <w:sz w:val="20"/>
                <w:szCs w:val="20"/>
              </w:rPr>
              <w:fldChar w:fldCharType="end"/>
            </w:r>
            <w:r w:rsidRPr="00AF1FC2">
              <w:rPr>
                <w:color w:val="000000" w:themeColor="text1"/>
                <w:sz w:val="20"/>
                <w:szCs w:val="20"/>
              </w:rPr>
              <w:t xml:space="preserve"> no </w:t>
            </w:r>
            <w:r w:rsidR="007239AA" w:rsidRPr="00AF1FC2">
              <w:rPr>
                <w:noProof/>
                <w:color w:val="000000" w:themeColor="text1"/>
                <w:sz w:val="20"/>
                <w:szCs w:val="20"/>
              </w:rPr>
              <w:fldChar w:fldCharType="begin"/>
            </w:r>
            <w:r w:rsidR="007239AA" w:rsidRPr="00AF1FC2">
              <w:rPr>
                <w:noProof/>
                <w:color w:val="000000" w:themeColor="text1"/>
                <w:sz w:val="20"/>
                <w:szCs w:val="20"/>
              </w:rPr>
              <w:instrText xml:space="preserve"> NUMPAGES  </w:instrText>
            </w:r>
            <w:r w:rsidR="007239AA" w:rsidRPr="00AF1FC2">
              <w:rPr>
                <w:noProof/>
                <w:color w:val="000000" w:themeColor="text1"/>
                <w:sz w:val="20"/>
                <w:szCs w:val="20"/>
              </w:rPr>
              <w:fldChar w:fldCharType="separate"/>
            </w:r>
            <w:r w:rsidR="0084694A">
              <w:rPr>
                <w:noProof/>
                <w:color w:val="000000" w:themeColor="text1"/>
                <w:sz w:val="20"/>
                <w:szCs w:val="20"/>
              </w:rPr>
              <w:t>6</w:t>
            </w:r>
            <w:r w:rsidR="007239AA" w:rsidRPr="00AF1FC2">
              <w:rPr>
                <w:noProof/>
                <w:color w:val="000000" w:themeColor="text1"/>
                <w:sz w:val="20"/>
                <w:szCs w:val="20"/>
              </w:rPr>
              <w:fldChar w:fldCharType="end"/>
            </w:r>
          </w:p>
        </w:sdtContent>
      </w:sdt>
    </w:sdtContent>
  </w:sdt>
  <w:p w14:paraId="48E2DACD" w14:textId="77777777" w:rsidR="00EE430D" w:rsidRDefault="00EE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BACA" w14:textId="77777777" w:rsidR="00DC5B42" w:rsidRDefault="00DC5B42" w:rsidP="00EE430D">
      <w:pPr>
        <w:spacing w:line="240" w:lineRule="auto"/>
      </w:pPr>
      <w:r>
        <w:separator/>
      </w:r>
    </w:p>
  </w:footnote>
  <w:footnote w:type="continuationSeparator" w:id="0">
    <w:p w14:paraId="1C743D8E" w14:textId="77777777" w:rsidR="00DC5B42" w:rsidRDefault="00DC5B42" w:rsidP="00EE43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06"/>
    <w:rsid w:val="00012CCC"/>
    <w:rsid w:val="00015DC2"/>
    <w:rsid w:val="00020443"/>
    <w:rsid w:val="000205F0"/>
    <w:rsid w:val="00021253"/>
    <w:rsid w:val="000213E3"/>
    <w:rsid w:val="000254F3"/>
    <w:rsid w:val="0002704D"/>
    <w:rsid w:val="00027E25"/>
    <w:rsid w:val="00032F4A"/>
    <w:rsid w:val="00036205"/>
    <w:rsid w:val="00036CCF"/>
    <w:rsid w:val="00037170"/>
    <w:rsid w:val="0004527D"/>
    <w:rsid w:val="00052FBC"/>
    <w:rsid w:val="00062DE5"/>
    <w:rsid w:val="000634E2"/>
    <w:rsid w:val="00064006"/>
    <w:rsid w:val="0007557A"/>
    <w:rsid w:val="00077964"/>
    <w:rsid w:val="00081AFD"/>
    <w:rsid w:val="000834D4"/>
    <w:rsid w:val="0008707D"/>
    <w:rsid w:val="00092A78"/>
    <w:rsid w:val="00092AEC"/>
    <w:rsid w:val="00094299"/>
    <w:rsid w:val="000948E3"/>
    <w:rsid w:val="000A1460"/>
    <w:rsid w:val="000A6EEF"/>
    <w:rsid w:val="000B26C6"/>
    <w:rsid w:val="000B796A"/>
    <w:rsid w:val="000C4B32"/>
    <w:rsid w:val="000C5796"/>
    <w:rsid w:val="000D43AC"/>
    <w:rsid w:val="000E12B6"/>
    <w:rsid w:val="000E61C1"/>
    <w:rsid w:val="000F53CA"/>
    <w:rsid w:val="00100697"/>
    <w:rsid w:val="001067F1"/>
    <w:rsid w:val="00110647"/>
    <w:rsid w:val="0011077C"/>
    <w:rsid w:val="00116CB4"/>
    <w:rsid w:val="00116DD7"/>
    <w:rsid w:val="0011742C"/>
    <w:rsid w:val="00120BB0"/>
    <w:rsid w:val="001240CA"/>
    <w:rsid w:val="00125026"/>
    <w:rsid w:val="00136F38"/>
    <w:rsid w:val="00145149"/>
    <w:rsid w:val="001514B4"/>
    <w:rsid w:val="00165221"/>
    <w:rsid w:val="001815E0"/>
    <w:rsid w:val="001830A7"/>
    <w:rsid w:val="001863B5"/>
    <w:rsid w:val="00186B9A"/>
    <w:rsid w:val="00186F83"/>
    <w:rsid w:val="001917C1"/>
    <w:rsid w:val="00193C58"/>
    <w:rsid w:val="0019626C"/>
    <w:rsid w:val="00196B71"/>
    <w:rsid w:val="00197BBD"/>
    <w:rsid w:val="001A058C"/>
    <w:rsid w:val="001A4C58"/>
    <w:rsid w:val="001A55EB"/>
    <w:rsid w:val="001B39A7"/>
    <w:rsid w:val="001B758B"/>
    <w:rsid w:val="001B7711"/>
    <w:rsid w:val="001C23DE"/>
    <w:rsid w:val="001C5558"/>
    <w:rsid w:val="001C6D11"/>
    <w:rsid w:val="001D2838"/>
    <w:rsid w:val="001D68EB"/>
    <w:rsid w:val="001E04DE"/>
    <w:rsid w:val="001E2129"/>
    <w:rsid w:val="001E28B1"/>
    <w:rsid w:val="001E3047"/>
    <w:rsid w:val="001E55E6"/>
    <w:rsid w:val="001F3545"/>
    <w:rsid w:val="0020615D"/>
    <w:rsid w:val="00217295"/>
    <w:rsid w:val="002216BA"/>
    <w:rsid w:val="002330CC"/>
    <w:rsid w:val="00235B49"/>
    <w:rsid w:val="00242CE5"/>
    <w:rsid w:val="00245BEB"/>
    <w:rsid w:val="00252212"/>
    <w:rsid w:val="00252702"/>
    <w:rsid w:val="00256103"/>
    <w:rsid w:val="002577EC"/>
    <w:rsid w:val="00260BEA"/>
    <w:rsid w:val="00262E42"/>
    <w:rsid w:val="00264849"/>
    <w:rsid w:val="00264DE9"/>
    <w:rsid w:val="00265EE9"/>
    <w:rsid w:val="00266A9D"/>
    <w:rsid w:val="0028050A"/>
    <w:rsid w:val="00286EA8"/>
    <w:rsid w:val="002872F2"/>
    <w:rsid w:val="002922D4"/>
    <w:rsid w:val="00293B3A"/>
    <w:rsid w:val="0029491E"/>
    <w:rsid w:val="00296280"/>
    <w:rsid w:val="00296E60"/>
    <w:rsid w:val="002A2180"/>
    <w:rsid w:val="002A238D"/>
    <w:rsid w:val="002A5274"/>
    <w:rsid w:val="002A6106"/>
    <w:rsid w:val="002B659E"/>
    <w:rsid w:val="002C6E9D"/>
    <w:rsid w:val="002C7429"/>
    <w:rsid w:val="002D0DF4"/>
    <w:rsid w:val="002D309B"/>
    <w:rsid w:val="002E2783"/>
    <w:rsid w:val="002E3529"/>
    <w:rsid w:val="002E47AE"/>
    <w:rsid w:val="002E6875"/>
    <w:rsid w:val="002F5243"/>
    <w:rsid w:val="002F78E0"/>
    <w:rsid w:val="00300B4C"/>
    <w:rsid w:val="00300C80"/>
    <w:rsid w:val="003048A3"/>
    <w:rsid w:val="00306214"/>
    <w:rsid w:val="00311D9B"/>
    <w:rsid w:val="00324CDA"/>
    <w:rsid w:val="00327FBE"/>
    <w:rsid w:val="0033579B"/>
    <w:rsid w:val="00337F16"/>
    <w:rsid w:val="00343451"/>
    <w:rsid w:val="00347074"/>
    <w:rsid w:val="00350912"/>
    <w:rsid w:val="003515E9"/>
    <w:rsid w:val="0035631A"/>
    <w:rsid w:val="00356348"/>
    <w:rsid w:val="00361D23"/>
    <w:rsid w:val="003626F3"/>
    <w:rsid w:val="00370B2F"/>
    <w:rsid w:val="00376C34"/>
    <w:rsid w:val="00376CCD"/>
    <w:rsid w:val="00376F68"/>
    <w:rsid w:val="003803B3"/>
    <w:rsid w:val="00381F62"/>
    <w:rsid w:val="00383887"/>
    <w:rsid w:val="0038392D"/>
    <w:rsid w:val="00384482"/>
    <w:rsid w:val="00386D2D"/>
    <w:rsid w:val="00390276"/>
    <w:rsid w:val="00391D6E"/>
    <w:rsid w:val="00391D72"/>
    <w:rsid w:val="003934F2"/>
    <w:rsid w:val="00396D3B"/>
    <w:rsid w:val="003B179E"/>
    <w:rsid w:val="003B1E09"/>
    <w:rsid w:val="003B3FC6"/>
    <w:rsid w:val="003B4423"/>
    <w:rsid w:val="003C0A77"/>
    <w:rsid w:val="003C456F"/>
    <w:rsid w:val="003C6688"/>
    <w:rsid w:val="003C6834"/>
    <w:rsid w:val="003C7BE7"/>
    <w:rsid w:val="003E0C7C"/>
    <w:rsid w:val="003E24B3"/>
    <w:rsid w:val="003E3880"/>
    <w:rsid w:val="00410A56"/>
    <w:rsid w:val="00413040"/>
    <w:rsid w:val="00422015"/>
    <w:rsid w:val="00425C3A"/>
    <w:rsid w:val="00426693"/>
    <w:rsid w:val="00435E4B"/>
    <w:rsid w:val="00441194"/>
    <w:rsid w:val="00442B68"/>
    <w:rsid w:val="004436FA"/>
    <w:rsid w:val="0045229F"/>
    <w:rsid w:val="00461C00"/>
    <w:rsid w:val="00465637"/>
    <w:rsid w:val="00467B1B"/>
    <w:rsid w:val="00472C96"/>
    <w:rsid w:val="00475BA0"/>
    <w:rsid w:val="00481B66"/>
    <w:rsid w:val="00484C94"/>
    <w:rsid w:val="00486576"/>
    <w:rsid w:val="004866A4"/>
    <w:rsid w:val="0048721E"/>
    <w:rsid w:val="00490505"/>
    <w:rsid w:val="004962B9"/>
    <w:rsid w:val="00496309"/>
    <w:rsid w:val="0049681C"/>
    <w:rsid w:val="004A1001"/>
    <w:rsid w:val="004A23A9"/>
    <w:rsid w:val="004A4068"/>
    <w:rsid w:val="004A4C81"/>
    <w:rsid w:val="004A55A0"/>
    <w:rsid w:val="004B3452"/>
    <w:rsid w:val="004C138E"/>
    <w:rsid w:val="004C3506"/>
    <w:rsid w:val="004C6378"/>
    <w:rsid w:val="004D26D7"/>
    <w:rsid w:val="004D3217"/>
    <w:rsid w:val="004F3531"/>
    <w:rsid w:val="004F3E79"/>
    <w:rsid w:val="004F53B0"/>
    <w:rsid w:val="00504590"/>
    <w:rsid w:val="00505816"/>
    <w:rsid w:val="00506460"/>
    <w:rsid w:val="0050701D"/>
    <w:rsid w:val="00507248"/>
    <w:rsid w:val="0051039A"/>
    <w:rsid w:val="00522301"/>
    <w:rsid w:val="00527F0B"/>
    <w:rsid w:val="00536227"/>
    <w:rsid w:val="005366E1"/>
    <w:rsid w:val="00537CCC"/>
    <w:rsid w:val="00537EC0"/>
    <w:rsid w:val="00541B7A"/>
    <w:rsid w:val="0054229B"/>
    <w:rsid w:val="00546852"/>
    <w:rsid w:val="00551BD8"/>
    <w:rsid w:val="00552832"/>
    <w:rsid w:val="00555F8D"/>
    <w:rsid w:val="005738EE"/>
    <w:rsid w:val="00574036"/>
    <w:rsid w:val="0057790B"/>
    <w:rsid w:val="0058039B"/>
    <w:rsid w:val="0058137B"/>
    <w:rsid w:val="00586990"/>
    <w:rsid w:val="005871AB"/>
    <w:rsid w:val="005A1186"/>
    <w:rsid w:val="005A3824"/>
    <w:rsid w:val="005B073D"/>
    <w:rsid w:val="005B3AE1"/>
    <w:rsid w:val="005C7F1C"/>
    <w:rsid w:val="005D2127"/>
    <w:rsid w:val="005D3352"/>
    <w:rsid w:val="005D6169"/>
    <w:rsid w:val="005D6CF2"/>
    <w:rsid w:val="005D730B"/>
    <w:rsid w:val="005E1A27"/>
    <w:rsid w:val="005E3BD8"/>
    <w:rsid w:val="005E4950"/>
    <w:rsid w:val="005E66E8"/>
    <w:rsid w:val="005F13EA"/>
    <w:rsid w:val="005F7DBC"/>
    <w:rsid w:val="00603435"/>
    <w:rsid w:val="0060499D"/>
    <w:rsid w:val="00611D58"/>
    <w:rsid w:val="00611F8A"/>
    <w:rsid w:val="00612726"/>
    <w:rsid w:val="00612C58"/>
    <w:rsid w:val="006224F9"/>
    <w:rsid w:val="00626FDD"/>
    <w:rsid w:val="006414EA"/>
    <w:rsid w:val="006609C0"/>
    <w:rsid w:val="006652EC"/>
    <w:rsid w:val="0067030F"/>
    <w:rsid w:val="006738FF"/>
    <w:rsid w:val="00681777"/>
    <w:rsid w:val="00681C5C"/>
    <w:rsid w:val="00690641"/>
    <w:rsid w:val="006909E2"/>
    <w:rsid w:val="00694EA3"/>
    <w:rsid w:val="00697176"/>
    <w:rsid w:val="006A04FD"/>
    <w:rsid w:val="006C57D0"/>
    <w:rsid w:val="006D226B"/>
    <w:rsid w:val="006D238D"/>
    <w:rsid w:val="006D26F5"/>
    <w:rsid w:val="006D6AE7"/>
    <w:rsid w:val="006E1642"/>
    <w:rsid w:val="006F5286"/>
    <w:rsid w:val="00700F78"/>
    <w:rsid w:val="00704417"/>
    <w:rsid w:val="0070668B"/>
    <w:rsid w:val="00713632"/>
    <w:rsid w:val="00713C4C"/>
    <w:rsid w:val="00714F32"/>
    <w:rsid w:val="007239AA"/>
    <w:rsid w:val="00727B75"/>
    <w:rsid w:val="007339A0"/>
    <w:rsid w:val="007344E6"/>
    <w:rsid w:val="00735B90"/>
    <w:rsid w:val="00735FA2"/>
    <w:rsid w:val="00736AFC"/>
    <w:rsid w:val="007429B3"/>
    <w:rsid w:val="00743E45"/>
    <w:rsid w:val="007455C3"/>
    <w:rsid w:val="007478DC"/>
    <w:rsid w:val="00751F94"/>
    <w:rsid w:val="0075201B"/>
    <w:rsid w:val="007547BA"/>
    <w:rsid w:val="00756B83"/>
    <w:rsid w:val="0076084E"/>
    <w:rsid w:val="00763269"/>
    <w:rsid w:val="00764532"/>
    <w:rsid w:val="007651B7"/>
    <w:rsid w:val="00765FEB"/>
    <w:rsid w:val="00770143"/>
    <w:rsid w:val="00770294"/>
    <w:rsid w:val="00770745"/>
    <w:rsid w:val="00770BA7"/>
    <w:rsid w:val="00774C1B"/>
    <w:rsid w:val="00783773"/>
    <w:rsid w:val="0078512E"/>
    <w:rsid w:val="00794481"/>
    <w:rsid w:val="00794F29"/>
    <w:rsid w:val="00796BDC"/>
    <w:rsid w:val="007A032A"/>
    <w:rsid w:val="007A1F10"/>
    <w:rsid w:val="007A3608"/>
    <w:rsid w:val="007A67A7"/>
    <w:rsid w:val="007A73A0"/>
    <w:rsid w:val="007C0C9E"/>
    <w:rsid w:val="007C2CBC"/>
    <w:rsid w:val="007C543E"/>
    <w:rsid w:val="007C5B04"/>
    <w:rsid w:val="007C6321"/>
    <w:rsid w:val="007D08A9"/>
    <w:rsid w:val="007D2D9D"/>
    <w:rsid w:val="007D3342"/>
    <w:rsid w:val="007D3774"/>
    <w:rsid w:val="007E3349"/>
    <w:rsid w:val="007F6D2C"/>
    <w:rsid w:val="00807786"/>
    <w:rsid w:val="00807B9C"/>
    <w:rsid w:val="0081717C"/>
    <w:rsid w:val="00817647"/>
    <w:rsid w:val="008330F3"/>
    <w:rsid w:val="0083737B"/>
    <w:rsid w:val="00842017"/>
    <w:rsid w:val="00842C54"/>
    <w:rsid w:val="0084694A"/>
    <w:rsid w:val="00847BC4"/>
    <w:rsid w:val="00852B2C"/>
    <w:rsid w:val="00857F3C"/>
    <w:rsid w:val="0086155A"/>
    <w:rsid w:val="00865887"/>
    <w:rsid w:val="00871E0A"/>
    <w:rsid w:val="00874A4D"/>
    <w:rsid w:val="00877528"/>
    <w:rsid w:val="0088517A"/>
    <w:rsid w:val="008908A8"/>
    <w:rsid w:val="008919E7"/>
    <w:rsid w:val="00895A84"/>
    <w:rsid w:val="008A323D"/>
    <w:rsid w:val="008B1367"/>
    <w:rsid w:val="008C2D0D"/>
    <w:rsid w:val="008D3EA1"/>
    <w:rsid w:val="008D5D03"/>
    <w:rsid w:val="008E0686"/>
    <w:rsid w:val="008E0CF0"/>
    <w:rsid w:val="008E0F82"/>
    <w:rsid w:val="008E7740"/>
    <w:rsid w:val="008F464A"/>
    <w:rsid w:val="008F568F"/>
    <w:rsid w:val="008F68A5"/>
    <w:rsid w:val="00907E02"/>
    <w:rsid w:val="00914EAD"/>
    <w:rsid w:val="009160A1"/>
    <w:rsid w:val="0091782F"/>
    <w:rsid w:val="009226C1"/>
    <w:rsid w:val="00924098"/>
    <w:rsid w:val="00926B1A"/>
    <w:rsid w:val="009271F7"/>
    <w:rsid w:val="0093294A"/>
    <w:rsid w:val="009447FD"/>
    <w:rsid w:val="0095188C"/>
    <w:rsid w:val="00952997"/>
    <w:rsid w:val="00961A1D"/>
    <w:rsid w:val="00965FFE"/>
    <w:rsid w:val="00966ECC"/>
    <w:rsid w:val="00970205"/>
    <w:rsid w:val="00974180"/>
    <w:rsid w:val="00975B2C"/>
    <w:rsid w:val="00982B5F"/>
    <w:rsid w:val="0098519E"/>
    <w:rsid w:val="00987C41"/>
    <w:rsid w:val="00991338"/>
    <w:rsid w:val="00992CD4"/>
    <w:rsid w:val="009A4250"/>
    <w:rsid w:val="009A7114"/>
    <w:rsid w:val="009B0238"/>
    <w:rsid w:val="009B72CA"/>
    <w:rsid w:val="009B7FB0"/>
    <w:rsid w:val="009C282C"/>
    <w:rsid w:val="009C3D35"/>
    <w:rsid w:val="009C5B44"/>
    <w:rsid w:val="009D0BC6"/>
    <w:rsid w:val="009E0419"/>
    <w:rsid w:val="009E5513"/>
    <w:rsid w:val="009E6939"/>
    <w:rsid w:val="009F12A2"/>
    <w:rsid w:val="009F4128"/>
    <w:rsid w:val="00A05226"/>
    <w:rsid w:val="00A13B4D"/>
    <w:rsid w:val="00A158A6"/>
    <w:rsid w:val="00A22A18"/>
    <w:rsid w:val="00A2340E"/>
    <w:rsid w:val="00A23680"/>
    <w:rsid w:val="00A24218"/>
    <w:rsid w:val="00A25010"/>
    <w:rsid w:val="00A305F4"/>
    <w:rsid w:val="00A33A66"/>
    <w:rsid w:val="00A37406"/>
    <w:rsid w:val="00A409AA"/>
    <w:rsid w:val="00A42586"/>
    <w:rsid w:val="00A44F16"/>
    <w:rsid w:val="00A618F2"/>
    <w:rsid w:val="00A63573"/>
    <w:rsid w:val="00A66553"/>
    <w:rsid w:val="00A8306C"/>
    <w:rsid w:val="00A83D9C"/>
    <w:rsid w:val="00A864CC"/>
    <w:rsid w:val="00A87E05"/>
    <w:rsid w:val="00A96360"/>
    <w:rsid w:val="00AA6EDC"/>
    <w:rsid w:val="00AB322D"/>
    <w:rsid w:val="00AB70D7"/>
    <w:rsid w:val="00AB7B47"/>
    <w:rsid w:val="00AC15A9"/>
    <w:rsid w:val="00AC3768"/>
    <w:rsid w:val="00AC3AFE"/>
    <w:rsid w:val="00AC40B6"/>
    <w:rsid w:val="00AD0B34"/>
    <w:rsid w:val="00AD243D"/>
    <w:rsid w:val="00AD5D21"/>
    <w:rsid w:val="00AD7E6A"/>
    <w:rsid w:val="00AE04CE"/>
    <w:rsid w:val="00AE552F"/>
    <w:rsid w:val="00AF1FC2"/>
    <w:rsid w:val="00AF2293"/>
    <w:rsid w:val="00AF4D47"/>
    <w:rsid w:val="00AF7803"/>
    <w:rsid w:val="00B04028"/>
    <w:rsid w:val="00B13355"/>
    <w:rsid w:val="00B156B8"/>
    <w:rsid w:val="00B213CB"/>
    <w:rsid w:val="00B2304C"/>
    <w:rsid w:val="00B24046"/>
    <w:rsid w:val="00B249B7"/>
    <w:rsid w:val="00B32BE1"/>
    <w:rsid w:val="00B34041"/>
    <w:rsid w:val="00B36AE1"/>
    <w:rsid w:val="00B37563"/>
    <w:rsid w:val="00B42885"/>
    <w:rsid w:val="00B46583"/>
    <w:rsid w:val="00B46D86"/>
    <w:rsid w:val="00B50D91"/>
    <w:rsid w:val="00B530B1"/>
    <w:rsid w:val="00B64117"/>
    <w:rsid w:val="00B75028"/>
    <w:rsid w:val="00B754C0"/>
    <w:rsid w:val="00B87FC2"/>
    <w:rsid w:val="00B938E9"/>
    <w:rsid w:val="00BA6AE4"/>
    <w:rsid w:val="00BA73AB"/>
    <w:rsid w:val="00BB1E6E"/>
    <w:rsid w:val="00BC3F24"/>
    <w:rsid w:val="00BC441A"/>
    <w:rsid w:val="00BE0265"/>
    <w:rsid w:val="00BE0E82"/>
    <w:rsid w:val="00BE0E97"/>
    <w:rsid w:val="00BE5770"/>
    <w:rsid w:val="00BF29A6"/>
    <w:rsid w:val="00BF2AA9"/>
    <w:rsid w:val="00BF7D37"/>
    <w:rsid w:val="00C031DE"/>
    <w:rsid w:val="00C063AF"/>
    <w:rsid w:val="00C1318E"/>
    <w:rsid w:val="00C135FC"/>
    <w:rsid w:val="00C13888"/>
    <w:rsid w:val="00C210B6"/>
    <w:rsid w:val="00C212D7"/>
    <w:rsid w:val="00C22506"/>
    <w:rsid w:val="00C25429"/>
    <w:rsid w:val="00C30216"/>
    <w:rsid w:val="00C34086"/>
    <w:rsid w:val="00C50D58"/>
    <w:rsid w:val="00C52E2C"/>
    <w:rsid w:val="00C5769A"/>
    <w:rsid w:val="00C579BC"/>
    <w:rsid w:val="00C64064"/>
    <w:rsid w:val="00C715D3"/>
    <w:rsid w:val="00C74097"/>
    <w:rsid w:val="00C7460A"/>
    <w:rsid w:val="00C7502B"/>
    <w:rsid w:val="00C753E5"/>
    <w:rsid w:val="00C77ED6"/>
    <w:rsid w:val="00C77F11"/>
    <w:rsid w:val="00C82180"/>
    <w:rsid w:val="00C84533"/>
    <w:rsid w:val="00C95C52"/>
    <w:rsid w:val="00C95D38"/>
    <w:rsid w:val="00C978E1"/>
    <w:rsid w:val="00CA00D4"/>
    <w:rsid w:val="00CA7D7F"/>
    <w:rsid w:val="00CB279B"/>
    <w:rsid w:val="00CB574D"/>
    <w:rsid w:val="00CB6ACB"/>
    <w:rsid w:val="00CC0957"/>
    <w:rsid w:val="00CC1DB9"/>
    <w:rsid w:val="00CC39B1"/>
    <w:rsid w:val="00CD09E6"/>
    <w:rsid w:val="00CD360C"/>
    <w:rsid w:val="00CD3A51"/>
    <w:rsid w:val="00CD3BEE"/>
    <w:rsid w:val="00CD4980"/>
    <w:rsid w:val="00CD7A45"/>
    <w:rsid w:val="00CE0853"/>
    <w:rsid w:val="00CE2940"/>
    <w:rsid w:val="00CE32D9"/>
    <w:rsid w:val="00CE5305"/>
    <w:rsid w:val="00D173ED"/>
    <w:rsid w:val="00D20533"/>
    <w:rsid w:val="00D219C3"/>
    <w:rsid w:val="00D246C1"/>
    <w:rsid w:val="00D27587"/>
    <w:rsid w:val="00D30D2D"/>
    <w:rsid w:val="00D33672"/>
    <w:rsid w:val="00D378FC"/>
    <w:rsid w:val="00D4449D"/>
    <w:rsid w:val="00D459EF"/>
    <w:rsid w:val="00D51119"/>
    <w:rsid w:val="00D5487E"/>
    <w:rsid w:val="00D54B09"/>
    <w:rsid w:val="00D56D83"/>
    <w:rsid w:val="00D6149E"/>
    <w:rsid w:val="00D62285"/>
    <w:rsid w:val="00D63BF1"/>
    <w:rsid w:val="00D72CC2"/>
    <w:rsid w:val="00D74C92"/>
    <w:rsid w:val="00D806D8"/>
    <w:rsid w:val="00D83018"/>
    <w:rsid w:val="00D907F3"/>
    <w:rsid w:val="00D91012"/>
    <w:rsid w:val="00D928F5"/>
    <w:rsid w:val="00D92AC3"/>
    <w:rsid w:val="00DA0B35"/>
    <w:rsid w:val="00DB2438"/>
    <w:rsid w:val="00DB4628"/>
    <w:rsid w:val="00DB59CC"/>
    <w:rsid w:val="00DC3057"/>
    <w:rsid w:val="00DC5B42"/>
    <w:rsid w:val="00DC62B7"/>
    <w:rsid w:val="00DD1607"/>
    <w:rsid w:val="00DD3F24"/>
    <w:rsid w:val="00DD64CC"/>
    <w:rsid w:val="00DE1EA9"/>
    <w:rsid w:val="00DF036D"/>
    <w:rsid w:val="00DF093A"/>
    <w:rsid w:val="00DF39C1"/>
    <w:rsid w:val="00DF43FD"/>
    <w:rsid w:val="00DF5CC8"/>
    <w:rsid w:val="00E004A9"/>
    <w:rsid w:val="00E00C71"/>
    <w:rsid w:val="00E0378D"/>
    <w:rsid w:val="00E057C5"/>
    <w:rsid w:val="00E1543D"/>
    <w:rsid w:val="00E1727C"/>
    <w:rsid w:val="00E212F1"/>
    <w:rsid w:val="00E213BA"/>
    <w:rsid w:val="00E36DC8"/>
    <w:rsid w:val="00E418C1"/>
    <w:rsid w:val="00E43F39"/>
    <w:rsid w:val="00E568F8"/>
    <w:rsid w:val="00E63B88"/>
    <w:rsid w:val="00E66317"/>
    <w:rsid w:val="00E66CEE"/>
    <w:rsid w:val="00E7029B"/>
    <w:rsid w:val="00E728F2"/>
    <w:rsid w:val="00E77736"/>
    <w:rsid w:val="00E81988"/>
    <w:rsid w:val="00E819CF"/>
    <w:rsid w:val="00E82944"/>
    <w:rsid w:val="00E85062"/>
    <w:rsid w:val="00E90729"/>
    <w:rsid w:val="00E90E18"/>
    <w:rsid w:val="00E91AD2"/>
    <w:rsid w:val="00E956F0"/>
    <w:rsid w:val="00E9780A"/>
    <w:rsid w:val="00E97E0B"/>
    <w:rsid w:val="00EA0E6D"/>
    <w:rsid w:val="00EA51D4"/>
    <w:rsid w:val="00EA7183"/>
    <w:rsid w:val="00EA79FE"/>
    <w:rsid w:val="00EB2AB1"/>
    <w:rsid w:val="00EB4CDB"/>
    <w:rsid w:val="00EC30AA"/>
    <w:rsid w:val="00EC4732"/>
    <w:rsid w:val="00EC5676"/>
    <w:rsid w:val="00ED3E41"/>
    <w:rsid w:val="00EE2D87"/>
    <w:rsid w:val="00EE403F"/>
    <w:rsid w:val="00EE430D"/>
    <w:rsid w:val="00EE68F6"/>
    <w:rsid w:val="00EE72DF"/>
    <w:rsid w:val="00EF18B2"/>
    <w:rsid w:val="00EF62E0"/>
    <w:rsid w:val="00F03448"/>
    <w:rsid w:val="00F04362"/>
    <w:rsid w:val="00F05805"/>
    <w:rsid w:val="00F0689A"/>
    <w:rsid w:val="00F204A6"/>
    <w:rsid w:val="00F3134B"/>
    <w:rsid w:val="00F32F86"/>
    <w:rsid w:val="00F40077"/>
    <w:rsid w:val="00F4080E"/>
    <w:rsid w:val="00F409CF"/>
    <w:rsid w:val="00F4426B"/>
    <w:rsid w:val="00F53BB9"/>
    <w:rsid w:val="00F55BF8"/>
    <w:rsid w:val="00F72AAF"/>
    <w:rsid w:val="00F76C96"/>
    <w:rsid w:val="00F777B6"/>
    <w:rsid w:val="00F80471"/>
    <w:rsid w:val="00F8302D"/>
    <w:rsid w:val="00F84007"/>
    <w:rsid w:val="00F87E07"/>
    <w:rsid w:val="00F9695F"/>
    <w:rsid w:val="00F96D93"/>
    <w:rsid w:val="00FA41B0"/>
    <w:rsid w:val="00FA4750"/>
    <w:rsid w:val="00FA690B"/>
    <w:rsid w:val="00FB0908"/>
    <w:rsid w:val="00FB1F30"/>
    <w:rsid w:val="00FB5640"/>
    <w:rsid w:val="00FC1EE3"/>
    <w:rsid w:val="00FC3A27"/>
    <w:rsid w:val="00FC4734"/>
    <w:rsid w:val="00FD0823"/>
    <w:rsid w:val="00FD60A0"/>
    <w:rsid w:val="00FE4E1E"/>
    <w:rsid w:val="00FF036E"/>
    <w:rsid w:val="00FF1EE4"/>
    <w:rsid w:val="00FF4A9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4A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30D"/>
    <w:pPr>
      <w:tabs>
        <w:tab w:val="center" w:pos="4513"/>
        <w:tab w:val="right" w:pos="9026"/>
      </w:tabs>
      <w:spacing w:line="240" w:lineRule="auto"/>
    </w:pPr>
  </w:style>
  <w:style w:type="character" w:customStyle="1" w:styleId="HeaderChar">
    <w:name w:val="Header Char"/>
    <w:basedOn w:val="DefaultParagraphFont"/>
    <w:link w:val="Header"/>
    <w:uiPriority w:val="99"/>
    <w:rsid w:val="00EE430D"/>
  </w:style>
  <w:style w:type="paragraph" w:styleId="Footer">
    <w:name w:val="footer"/>
    <w:basedOn w:val="Normal"/>
    <w:link w:val="FooterChar"/>
    <w:uiPriority w:val="99"/>
    <w:unhideWhenUsed/>
    <w:rsid w:val="00EE430D"/>
    <w:pPr>
      <w:tabs>
        <w:tab w:val="center" w:pos="4513"/>
        <w:tab w:val="right" w:pos="9026"/>
      </w:tabs>
      <w:spacing w:line="240" w:lineRule="auto"/>
    </w:pPr>
  </w:style>
  <w:style w:type="character" w:customStyle="1" w:styleId="FooterChar">
    <w:name w:val="Footer Char"/>
    <w:basedOn w:val="DefaultParagraphFont"/>
    <w:link w:val="Footer"/>
    <w:uiPriority w:val="99"/>
    <w:rsid w:val="00EE430D"/>
  </w:style>
  <w:style w:type="character" w:styleId="Hyperlink">
    <w:name w:val="Hyperlink"/>
    <w:basedOn w:val="DefaultParagraphFont"/>
    <w:uiPriority w:val="99"/>
    <w:unhideWhenUsed/>
    <w:rsid w:val="008E0686"/>
    <w:rPr>
      <w:color w:val="0563C1" w:themeColor="hyperlink"/>
      <w:u w:val="single"/>
    </w:rPr>
  </w:style>
  <w:style w:type="character" w:customStyle="1" w:styleId="UnresolvedMention1">
    <w:name w:val="Unresolved Mention1"/>
    <w:basedOn w:val="DefaultParagraphFont"/>
    <w:uiPriority w:val="99"/>
    <w:semiHidden/>
    <w:unhideWhenUsed/>
    <w:rsid w:val="008E0686"/>
    <w:rPr>
      <w:color w:val="605E5C"/>
      <w:shd w:val="clear" w:color="auto" w:fill="E1DFDD"/>
    </w:rPr>
  </w:style>
  <w:style w:type="table" w:styleId="TableGrid">
    <w:name w:val="Table Grid"/>
    <w:basedOn w:val="TableNormal"/>
    <w:uiPriority w:val="39"/>
    <w:rsid w:val="00E77736"/>
    <w:pPr>
      <w:spacing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2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B6"/>
    <w:rPr>
      <w:rFonts w:ascii="Segoe UI" w:hAnsi="Segoe UI" w:cs="Segoe UI"/>
      <w:sz w:val="18"/>
      <w:szCs w:val="18"/>
    </w:rPr>
  </w:style>
  <w:style w:type="character" w:styleId="FollowedHyperlink">
    <w:name w:val="FollowedHyperlink"/>
    <w:basedOn w:val="DefaultParagraphFont"/>
    <w:uiPriority w:val="99"/>
    <w:semiHidden/>
    <w:unhideWhenUsed/>
    <w:rsid w:val="00612C58"/>
    <w:rPr>
      <w:color w:val="954F72" w:themeColor="followedHyperlink"/>
      <w:u w:val="single"/>
    </w:rPr>
  </w:style>
  <w:style w:type="table" w:customStyle="1" w:styleId="TableGrid1">
    <w:name w:val="Table Grid1"/>
    <w:basedOn w:val="TableNormal"/>
    <w:next w:val="TableGrid"/>
    <w:uiPriority w:val="39"/>
    <w:rsid w:val="003E0C7C"/>
    <w:pPr>
      <w:spacing w:line="240" w:lineRule="auto"/>
      <w:ind w:firstLine="0"/>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0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0733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B769-434E-4E85-93C7-5DE842CE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9877</Words>
  <Characters>5630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2023-06-14T13:05:00Z</dcterms:created>
  <dcterms:modified xsi:type="dcterms:W3CDTF">2023-06-14T13:05:00Z</dcterms:modified>
</cp:coreProperties>
</file>