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B5396" w14:textId="0C321738" w:rsidR="00D5431C" w:rsidRPr="005C4FB4" w:rsidRDefault="00D5431C" w:rsidP="005E11B2">
      <w:pPr>
        <w:spacing w:line="276" w:lineRule="auto"/>
        <w:rPr>
          <w:b/>
          <w:bCs/>
        </w:rPr>
      </w:pPr>
      <w:r>
        <w:rPr>
          <w:b/>
          <w:bCs/>
        </w:rPr>
        <w:t>Rīcības ar mantu nozīme piesavināšanās kvalifikācijā</w:t>
      </w:r>
    </w:p>
    <w:p w14:paraId="001120A9" w14:textId="1FB267DA" w:rsidR="001F1E71" w:rsidRDefault="00D5431C" w:rsidP="005E11B2">
      <w:pPr>
        <w:spacing w:line="276" w:lineRule="auto"/>
        <w:ind w:right="-1"/>
        <w:jc w:val="both"/>
      </w:pPr>
      <w:r>
        <w:t>Krimināllikuma 179. pantā paredzētā noziedzīgā nodarījuma sastāva konstatēšanai nav izšķirošas nozīmes tam, ka nav pierādīta šī noziedzīgā nodarījuma rezultātā iegūtās mantas izmantošana. Tomēr rīcība ar prettiesiski iegūto mantu pēc tam, kad nodarījums juridiski ir pabeigts, var būt to apstākļu lokā, kas ļauj secināt, vai personai ir bijis nolūks prettiesiski iegūt svešu matu, kura viņai bija uzticēta vai kura atradās viņas pārziņā.</w:t>
      </w:r>
    </w:p>
    <w:p w14:paraId="4B2CCCD9" w14:textId="77777777" w:rsidR="00D5431C" w:rsidRDefault="00D5431C" w:rsidP="005E11B2">
      <w:pPr>
        <w:spacing w:line="276" w:lineRule="auto"/>
        <w:ind w:right="-1"/>
        <w:jc w:val="both"/>
      </w:pPr>
    </w:p>
    <w:p w14:paraId="03D6A4BB" w14:textId="19A1FE9F" w:rsidR="00D5431C" w:rsidRDefault="00D5431C" w:rsidP="005E11B2">
      <w:pPr>
        <w:spacing w:line="276" w:lineRule="auto"/>
        <w:ind w:right="-1"/>
        <w:jc w:val="both"/>
      </w:pPr>
      <w:r>
        <w:rPr>
          <w:b/>
          <w:bCs/>
        </w:rPr>
        <w:t>Maksātnespējīgās juridiskās personas mantas piesavināšanās, ko izdarījis maksātnespējas procesa administrators</w:t>
      </w:r>
    </w:p>
    <w:p w14:paraId="35E327E4" w14:textId="75F1624A" w:rsidR="001F1E71" w:rsidRDefault="001F1E71" w:rsidP="005E11B2">
      <w:pPr>
        <w:spacing w:line="276" w:lineRule="auto"/>
        <w:ind w:right="-1"/>
      </w:pPr>
    </w:p>
    <w:p w14:paraId="08EFF341" w14:textId="77777777" w:rsidR="00C84827" w:rsidRPr="00D5431C" w:rsidRDefault="001F1E71" w:rsidP="005E11B2">
      <w:pPr>
        <w:spacing w:line="276" w:lineRule="auto"/>
        <w:ind w:right="-1"/>
        <w:jc w:val="center"/>
        <w:rPr>
          <w:b/>
        </w:rPr>
      </w:pPr>
      <w:r w:rsidRPr="00D5431C">
        <w:rPr>
          <w:b/>
        </w:rPr>
        <w:t>Latvijas Republikas Senāt</w:t>
      </w:r>
      <w:r w:rsidR="00C84827" w:rsidRPr="00D5431C">
        <w:rPr>
          <w:b/>
        </w:rPr>
        <w:t xml:space="preserve">a </w:t>
      </w:r>
    </w:p>
    <w:p w14:paraId="1EEFB113" w14:textId="77777777" w:rsidR="00C84827" w:rsidRPr="00D5431C" w:rsidRDefault="00C84827" w:rsidP="005E11B2">
      <w:pPr>
        <w:spacing w:line="276" w:lineRule="auto"/>
        <w:ind w:right="-1"/>
        <w:jc w:val="center"/>
        <w:rPr>
          <w:b/>
        </w:rPr>
      </w:pPr>
      <w:r w:rsidRPr="00D5431C">
        <w:rPr>
          <w:b/>
        </w:rPr>
        <w:t>Krimināllietu departamenta</w:t>
      </w:r>
    </w:p>
    <w:p w14:paraId="667E233A" w14:textId="7DAFD164" w:rsidR="001F1E71" w:rsidRPr="00D5431C" w:rsidRDefault="00C84827" w:rsidP="005E11B2">
      <w:pPr>
        <w:spacing w:line="276" w:lineRule="auto"/>
        <w:ind w:right="-1"/>
        <w:jc w:val="center"/>
        <w:rPr>
          <w:b/>
        </w:rPr>
      </w:pPr>
      <w:r w:rsidRPr="00D5431C">
        <w:rPr>
          <w:b/>
        </w:rPr>
        <w:t xml:space="preserve">2023. gada </w:t>
      </w:r>
      <w:r w:rsidR="009B309E">
        <w:rPr>
          <w:b/>
        </w:rPr>
        <w:t>[..]</w:t>
      </w:r>
    </w:p>
    <w:p w14:paraId="101A5A44" w14:textId="368B105E" w:rsidR="001F1E71" w:rsidRPr="00D5431C" w:rsidRDefault="001F1E71" w:rsidP="005E11B2">
      <w:pPr>
        <w:spacing w:line="276" w:lineRule="auto"/>
        <w:ind w:right="-1"/>
        <w:jc w:val="center"/>
        <w:rPr>
          <w:b/>
        </w:rPr>
      </w:pPr>
      <w:r w:rsidRPr="00D5431C">
        <w:rPr>
          <w:b/>
        </w:rPr>
        <w:t>LĒMUMS</w:t>
      </w:r>
      <w:r w:rsidR="00C84827" w:rsidRPr="00D5431C">
        <w:rPr>
          <w:rStyle w:val="FootnoteReference"/>
          <w:b/>
        </w:rPr>
        <w:footnoteReference w:id="1"/>
      </w:r>
    </w:p>
    <w:p w14:paraId="5E058F49" w14:textId="4AD7465A" w:rsidR="001F1E71" w:rsidRDefault="00C84827" w:rsidP="005E11B2">
      <w:pPr>
        <w:spacing w:line="276" w:lineRule="auto"/>
        <w:ind w:right="-1"/>
        <w:jc w:val="center"/>
        <w:rPr>
          <w:b/>
        </w:rPr>
      </w:pPr>
      <w:r w:rsidRPr="00D5431C">
        <w:rPr>
          <w:b/>
        </w:rPr>
        <w:t>Lieta Nr. </w:t>
      </w:r>
      <w:r w:rsidR="009B309E">
        <w:rPr>
          <w:b/>
          <w:lang w:eastAsia="lv-LV"/>
        </w:rPr>
        <w:t>[..]</w:t>
      </w:r>
      <w:r w:rsidRPr="00D5431C">
        <w:rPr>
          <w:b/>
          <w:lang w:eastAsia="lv-LV"/>
        </w:rPr>
        <w:t xml:space="preserve">, </w:t>
      </w:r>
      <w:bookmarkStart w:id="0" w:name="_Hlk115964088"/>
      <w:r w:rsidRPr="00D5431C">
        <w:rPr>
          <w:b/>
        </w:rPr>
        <w:t>SKK-</w:t>
      </w:r>
      <w:r w:rsidR="009B309E">
        <w:rPr>
          <w:b/>
        </w:rPr>
        <w:t>[F]/</w:t>
      </w:r>
      <w:r w:rsidRPr="00D5431C">
        <w:rPr>
          <w:b/>
        </w:rPr>
        <w:t>202</w:t>
      </w:r>
      <w:bookmarkEnd w:id="0"/>
      <w:r w:rsidRPr="00D5431C">
        <w:rPr>
          <w:b/>
        </w:rPr>
        <w:t>3</w:t>
      </w:r>
    </w:p>
    <w:p w14:paraId="0A89616F" w14:textId="0E04C95E" w:rsidR="00D5431C" w:rsidRPr="00D5431C" w:rsidRDefault="00D5431C" w:rsidP="005E11B2">
      <w:pPr>
        <w:spacing w:line="276" w:lineRule="auto"/>
        <w:ind w:right="-1"/>
        <w:jc w:val="center"/>
        <w:rPr>
          <w:b/>
        </w:rPr>
      </w:pPr>
      <w:r w:rsidRPr="00D5431C">
        <w:rPr>
          <w:color w:val="000000"/>
          <w:shd w:val="clear" w:color="auto" w:fill="FFFFFF"/>
        </w:rPr>
        <w:t>ECLI:LV:AT:2023:</w:t>
      </w:r>
      <w:r w:rsidR="009B309E">
        <w:rPr>
          <w:color w:val="000000"/>
          <w:shd w:val="clear" w:color="auto" w:fill="FFFFFF"/>
        </w:rPr>
        <w:t>[..]</w:t>
      </w:r>
    </w:p>
    <w:p w14:paraId="1656C049" w14:textId="77777777" w:rsidR="001F1E71" w:rsidRDefault="001F1E71" w:rsidP="005E11B2">
      <w:pPr>
        <w:spacing w:line="276" w:lineRule="auto"/>
        <w:ind w:right="-1" w:firstLine="720"/>
        <w:jc w:val="both"/>
      </w:pPr>
    </w:p>
    <w:p w14:paraId="191B5F0D" w14:textId="2779B694" w:rsidR="001F1E71" w:rsidRPr="005C069A" w:rsidRDefault="001F1E71" w:rsidP="005E11B2">
      <w:pPr>
        <w:spacing w:line="276" w:lineRule="auto"/>
        <w:ind w:right="-1" w:firstLine="720"/>
        <w:jc w:val="both"/>
      </w:pPr>
      <w:r>
        <w:t>Senāts šādā sastāvā: senatore referente Sandra Kaija, senatori Ivars Bičkovičs</w:t>
      </w:r>
      <w:r w:rsidR="00890FA1">
        <w:t xml:space="preserve"> un </w:t>
      </w:r>
      <w:r>
        <w:t>Artūrs Freibergs</w:t>
      </w:r>
    </w:p>
    <w:p w14:paraId="4A1A47D8" w14:textId="77777777" w:rsidR="001F1E71" w:rsidRDefault="001F1E71" w:rsidP="00347470">
      <w:pPr>
        <w:spacing w:line="276" w:lineRule="auto"/>
        <w:ind w:right="-1" w:firstLine="720"/>
        <w:jc w:val="both"/>
      </w:pPr>
    </w:p>
    <w:p w14:paraId="520780C0" w14:textId="74A18E8B" w:rsidR="001F1E71" w:rsidRDefault="001F1E71" w:rsidP="00347470">
      <w:pPr>
        <w:spacing w:line="276" w:lineRule="auto"/>
        <w:ind w:firstLine="720"/>
        <w:jc w:val="both"/>
      </w:pPr>
      <w:r>
        <w:t xml:space="preserve">rakstveida procesā izskatīja krimināllietu sakarā ar </w:t>
      </w:r>
      <w:bookmarkStart w:id="1" w:name="_Hlk108533050"/>
      <w:bookmarkStart w:id="2" w:name="_Hlk45528273"/>
      <w:r w:rsidR="0089726F">
        <w:t xml:space="preserve">apsūdzētā </w:t>
      </w:r>
      <w:r w:rsidR="00D5431C">
        <w:t>[pers. A]</w:t>
      </w:r>
      <w:r w:rsidR="0089726F">
        <w:t xml:space="preserve"> un viņa aizstāvju zvērinātu advokātu Aigara </w:t>
      </w:r>
      <w:proofErr w:type="spellStart"/>
      <w:r w:rsidR="0089726F">
        <w:t>Kriķa</w:t>
      </w:r>
      <w:proofErr w:type="spellEnd"/>
      <w:r w:rsidR="0089726F">
        <w:t xml:space="preserve"> un Ineses </w:t>
      </w:r>
      <w:proofErr w:type="spellStart"/>
      <w:r w:rsidR="0089726F">
        <w:t>Greķes</w:t>
      </w:r>
      <w:proofErr w:type="spellEnd"/>
      <w:r w:rsidR="0089726F">
        <w:t xml:space="preserve"> kasācijas sūdzībām par </w:t>
      </w:r>
      <w:r w:rsidR="00D5431C">
        <w:t>[..]</w:t>
      </w:r>
      <w:r w:rsidR="0089726F">
        <w:t xml:space="preserve"> apgabaltiesas </w:t>
      </w:r>
      <w:bookmarkStart w:id="3" w:name="_Hlk127815225"/>
      <w:r w:rsidR="0089726F">
        <w:t xml:space="preserve">2022. gada </w:t>
      </w:r>
      <w:r w:rsidR="00D5431C">
        <w:t>[..]</w:t>
      </w:r>
      <w:r w:rsidR="0089726F">
        <w:t xml:space="preserve"> spriedumu</w:t>
      </w:r>
      <w:bookmarkEnd w:id="3"/>
      <w:r w:rsidR="0089726F">
        <w:t>.</w:t>
      </w:r>
    </w:p>
    <w:bookmarkEnd w:id="1"/>
    <w:bookmarkEnd w:id="2"/>
    <w:p w14:paraId="3F55BA33" w14:textId="77777777" w:rsidR="001F1E71" w:rsidRDefault="001F1E71" w:rsidP="00347470">
      <w:pPr>
        <w:spacing w:line="276" w:lineRule="auto"/>
        <w:ind w:right="-1" w:firstLine="720"/>
        <w:jc w:val="both"/>
      </w:pPr>
    </w:p>
    <w:p w14:paraId="56D504AD" w14:textId="77777777" w:rsidR="001F1E71" w:rsidRDefault="001F1E71" w:rsidP="00347470">
      <w:pPr>
        <w:spacing w:line="276" w:lineRule="auto"/>
        <w:ind w:right="-1"/>
        <w:jc w:val="center"/>
        <w:rPr>
          <w:b/>
        </w:rPr>
      </w:pPr>
      <w:r>
        <w:rPr>
          <w:b/>
        </w:rPr>
        <w:t>Aprakstošā daļa</w:t>
      </w:r>
    </w:p>
    <w:p w14:paraId="45214BFF" w14:textId="77777777" w:rsidR="001F1E71" w:rsidRDefault="001F1E71" w:rsidP="00347470">
      <w:pPr>
        <w:spacing w:line="276" w:lineRule="auto"/>
        <w:ind w:right="-1" w:firstLine="720"/>
        <w:jc w:val="both"/>
      </w:pPr>
    </w:p>
    <w:p w14:paraId="7B290F88" w14:textId="08E39A57" w:rsidR="00F52E00" w:rsidRDefault="001F1E71" w:rsidP="00347470">
      <w:pPr>
        <w:spacing w:line="276" w:lineRule="auto"/>
        <w:ind w:right="-1" w:firstLine="720"/>
        <w:jc w:val="both"/>
      </w:pPr>
      <w:r>
        <w:t xml:space="preserve">[1] Ar </w:t>
      </w:r>
      <w:r w:rsidR="00D5431C">
        <w:t>[rajona (pilsētas)]</w:t>
      </w:r>
      <w:r w:rsidR="00555228">
        <w:t xml:space="preserve"> tiesas 2020. gada </w:t>
      </w:r>
      <w:r w:rsidR="00B45C27">
        <w:t>[..]</w:t>
      </w:r>
      <w:r w:rsidR="00555228">
        <w:t xml:space="preserve"> spriedumu</w:t>
      </w:r>
    </w:p>
    <w:p w14:paraId="20D48102" w14:textId="05DD5A0F" w:rsidR="00F52E00" w:rsidRDefault="00B45C27" w:rsidP="00347470">
      <w:pPr>
        <w:spacing w:line="276" w:lineRule="auto"/>
        <w:ind w:right="-1" w:firstLine="720"/>
        <w:jc w:val="both"/>
      </w:pPr>
      <w:r>
        <w:t>[pers. A]</w:t>
      </w:r>
      <w:r w:rsidR="00F52E00">
        <w:t xml:space="preserve">, personas kods </w:t>
      </w:r>
      <w:r>
        <w:t>[..]</w:t>
      </w:r>
      <w:r w:rsidR="00F52E00">
        <w:t>,</w:t>
      </w:r>
    </w:p>
    <w:p w14:paraId="441CE9E3" w14:textId="6589B471" w:rsidR="00F52E00" w:rsidRDefault="00F52E00" w:rsidP="00347470">
      <w:pPr>
        <w:spacing w:line="276" w:lineRule="auto"/>
        <w:ind w:right="-1" w:firstLine="720"/>
        <w:jc w:val="both"/>
      </w:pPr>
      <w:r>
        <w:t>atzīts par vainīgu Krimināllikuma 179.</w:t>
      </w:r>
      <w:r w:rsidR="008D49A4">
        <w:t> </w:t>
      </w:r>
      <w:r>
        <w:t xml:space="preserve">panta trešajā daļā paredzētajā noziedzīgajā nodarījumā un sodīts ar </w:t>
      </w:r>
      <w:r w:rsidR="008D49A4">
        <w:t>brīvības atņemšanu uz 1 gadu;</w:t>
      </w:r>
    </w:p>
    <w:p w14:paraId="384C061B" w14:textId="6EDC44B7" w:rsidR="008D49A4" w:rsidRDefault="008D49A4" w:rsidP="00347470">
      <w:pPr>
        <w:spacing w:line="276" w:lineRule="auto"/>
        <w:ind w:right="-1" w:firstLine="720"/>
        <w:jc w:val="both"/>
      </w:pPr>
      <w:r>
        <w:t>atzīts par vainīgu Krimināllikuma 179. panta trešajā daļā paredzētajā noziedzīgajā nodarījumā un sodīts ar brīvības atņemšanu uz 2 gadiem;</w:t>
      </w:r>
    </w:p>
    <w:p w14:paraId="333C9F09" w14:textId="13450F61" w:rsidR="008D49A4" w:rsidRPr="00F52E00" w:rsidRDefault="008D49A4" w:rsidP="00347470">
      <w:pPr>
        <w:spacing w:line="276" w:lineRule="auto"/>
        <w:ind w:right="-1" w:firstLine="720"/>
        <w:jc w:val="both"/>
      </w:pPr>
      <w:r>
        <w:t>atzīts par vainīgu Krimināllikuma 179. panta trešajā daļā paredzētajā noziedzīgajā nodarījumā un sodīts ar brīvības atņemšanu uz 1 gadu 6 mēnešiem.</w:t>
      </w:r>
    </w:p>
    <w:p w14:paraId="476AD3F9" w14:textId="008CFF06" w:rsidR="00F52E00" w:rsidRDefault="008D49A4" w:rsidP="00347470">
      <w:pPr>
        <w:spacing w:line="276" w:lineRule="auto"/>
        <w:ind w:right="-1" w:firstLine="720"/>
        <w:jc w:val="both"/>
      </w:pPr>
      <w:bookmarkStart w:id="4" w:name="_Hlk127986113"/>
      <w:r>
        <w:t xml:space="preserve">Saskaņā ar Krimināllikuma 50. panta pirmo daļu </w:t>
      </w:r>
      <w:bookmarkEnd w:id="4"/>
      <w:r w:rsidR="00B45C27">
        <w:t>[pers. A]</w:t>
      </w:r>
      <w:r>
        <w:t xml:space="preserve"> galīgais sods</w:t>
      </w:r>
      <w:r w:rsidR="00F02EE5">
        <w:t>, piemērojot Krimināllikuma 49.</w:t>
      </w:r>
      <w:r w:rsidR="00F02EE5">
        <w:rPr>
          <w:vertAlign w:val="superscript"/>
        </w:rPr>
        <w:t>1 </w:t>
      </w:r>
      <w:r w:rsidR="00F02EE5">
        <w:t xml:space="preserve">panta pirmās daļas 1. punktu, </w:t>
      </w:r>
      <w:proofErr w:type="gramStart"/>
      <w:r>
        <w:t>noteikts brīvības atņemšana uz 2 gadiem 6 mēnešiem</w:t>
      </w:r>
      <w:proofErr w:type="gramEnd"/>
      <w:r>
        <w:t>.</w:t>
      </w:r>
    </w:p>
    <w:p w14:paraId="6EF22E9A" w14:textId="40C6C886" w:rsidR="008B0898" w:rsidRDefault="008B0898" w:rsidP="007B082C">
      <w:pPr>
        <w:spacing w:line="276" w:lineRule="auto"/>
        <w:ind w:right="-1" w:firstLine="720"/>
        <w:jc w:val="both"/>
      </w:pPr>
      <w:r>
        <w:t xml:space="preserve">No </w:t>
      </w:r>
      <w:r w:rsidR="00B45C27">
        <w:t>[pers. A]</w:t>
      </w:r>
      <w:r>
        <w:t xml:space="preserve"> </w:t>
      </w:r>
      <w:r w:rsidR="007B082C">
        <w:t xml:space="preserve">maksātnespējīgajai (turpmāk – MSIA) </w:t>
      </w:r>
      <w:r>
        <w:t>„</w:t>
      </w:r>
      <w:r w:rsidR="00B45C27">
        <w:t>[Nosaukums A]</w:t>
      </w:r>
      <w:r>
        <w:t xml:space="preserve">” </w:t>
      </w:r>
      <w:proofErr w:type="gramStart"/>
      <w:r>
        <w:t>labā piedzīta kaitējuma</w:t>
      </w:r>
      <w:proofErr w:type="gramEnd"/>
      <w:r>
        <w:t xml:space="preserve"> kompensācija 115 009,02 </w:t>
      </w:r>
      <w:proofErr w:type="spellStart"/>
      <w:r w:rsidRPr="008B0898">
        <w:rPr>
          <w:i/>
          <w:iCs/>
        </w:rPr>
        <w:t>euro</w:t>
      </w:r>
      <w:proofErr w:type="spellEnd"/>
      <w:r>
        <w:t>. Pārējā daļā pieteiktā kaitējuma kompensācija noraidīta.</w:t>
      </w:r>
    </w:p>
    <w:p w14:paraId="7B227750" w14:textId="60455247" w:rsidR="00176F75" w:rsidRDefault="008B0898" w:rsidP="00F3300E">
      <w:pPr>
        <w:spacing w:line="276" w:lineRule="auto"/>
        <w:ind w:right="-1" w:firstLine="720"/>
        <w:jc w:val="both"/>
      </w:pPr>
      <w:r>
        <w:t xml:space="preserve">Atstāts negrozīts </w:t>
      </w:r>
      <w:r w:rsidR="00B45C27">
        <w:t>[pers. A]</w:t>
      </w:r>
      <w:r w:rsidR="00176F75">
        <w:t xml:space="preserve"> piemērotais drošības līdzeklis – noteiktas nodarbošanās aizliegums, </w:t>
      </w:r>
      <w:proofErr w:type="gramStart"/>
      <w:r w:rsidR="00176F75">
        <w:t>aizliedzot veikt</w:t>
      </w:r>
      <w:proofErr w:type="gramEnd"/>
      <w:r w:rsidR="00176F75">
        <w:t xml:space="preserve"> sertificēta maksātnespējas procesa administratora pienākumus</w:t>
      </w:r>
      <w:r w:rsidR="00F3300E">
        <w:t>. G</w:t>
      </w:r>
      <w:r w:rsidR="00176F75">
        <w:t>rozīts papildu drošības līdzeklis – uzturēšanās noteiktā vietā – uz papildu drošības līdzekli – aizliegumu izbraukt no valsts.</w:t>
      </w:r>
    </w:p>
    <w:p w14:paraId="3FADB588" w14:textId="781B7B37" w:rsidR="008C0A95" w:rsidRDefault="00555228" w:rsidP="001046AE">
      <w:pPr>
        <w:spacing w:line="276" w:lineRule="auto"/>
        <w:ind w:right="-1" w:firstLine="720"/>
        <w:jc w:val="both"/>
      </w:pPr>
      <w:r>
        <w:lastRenderedPageBreak/>
        <w:t xml:space="preserve"> </w:t>
      </w:r>
    </w:p>
    <w:p w14:paraId="4D85B734" w14:textId="7BE52199" w:rsidR="00176F75" w:rsidRDefault="00AB092F" w:rsidP="00347470">
      <w:pPr>
        <w:spacing w:line="276" w:lineRule="auto"/>
        <w:ind w:right="-1" w:firstLine="720"/>
        <w:jc w:val="both"/>
      </w:pPr>
      <w:r>
        <w:t>[</w:t>
      </w:r>
      <w:r w:rsidR="001046AE">
        <w:t>2</w:t>
      </w:r>
      <w:r>
        <w:t xml:space="preserve">] Ar </w:t>
      </w:r>
      <w:r w:rsidR="00B45C27">
        <w:t>[..]</w:t>
      </w:r>
      <w:r>
        <w:t xml:space="preserve"> apgabaltiesas 2022. gada </w:t>
      </w:r>
      <w:r w:rsidR="00B45C27">
        <w:t>[..]</w:t>
      </w:r>
      <w:r>
        <w:t xml:space="preserve"> spriedumu, izskatot krimināllietu apelācijas kārtībā sakarā ar </w:t>
      </w:r>
      <w:r w:rsidR="00B45C27">
        <w:t>[pers. A]</w:t>
      </w:r>
      <w:r>
        <w:t xml:space="preserve"> un viņa aizstāves I</w:t>
      </w:r>
      <w:r w:rsidR="008C3C9B">
        <w:t>. </w:t>
      </w:r>
      <w:proofErr w:type="spellStart"/>
      <w:r>
        <w:t>Greķes</w:t>
      </w:r>
      <w:proofErr w:type="spellEnd"/>
      <w:r>
        <w:t xml:space="preserve"> apelācijas sūdzībām, </w:t>
      </w:r>
      <w:r w:rsidR="00B45C27">
        <w:t>[rajona (pilsētas)]</w:t>
      </w:r>
      <w:r>
        <w:t xml:space="preserve"> tiesas 2020. gada </w:t>
      </w:r>
      <w:r w:rsidR="00B45C27">
        <w:t>[..]</w:t>
      </w:r>
      <w:r>
        <w:t xml:space="preserve"> spriedums atcelts daļā par </w:t>
      </w:r>
      <w:r w:rsidR="00B45C27">
        <w:t>[pers. A]</w:t>
      </w:r>
      <w:r>
        <w:t xml:space="preserve"> noteikt</w:t>
      </w:r>
      <w:r w:rsidR="00CD5A16">
        <w:t>ajiem</w:t>
      </w:r>
      <w:r>
        <w:t xml:space="preserve"> sod</w:t>
      </w:r>
      <w:r w:rsidR="00CD5A16">
        <w:t xml:space="preserve">iem </w:t>
      </w:r>
      <w:r w:rsidR="0053053F">
        <w:t>Krimināllikuma 179. panta trešajā daļā paredzēt</w:t>
      </w:r>
      <w:r w:rsidR="00CD5A16">
        <w:t xml:space="preserve">ajos </w:t>
      </w:r>
      <w:r>
        <w:t>noziedzīg</w:t>
      </w:r>
      <w:r w:rsidR="00CD5A16">
        <w:t>ajos</w:t>
      </w:r>
      <w:r>
        <w:t xml:space="preserve"> nodarījum</w:t>
      </w:r>
      <w:r w:rsidR="00CD5A16">
        <w:t>os</w:t>
      </w:r>
      <w:r>
        <w:t xml:space="preserve"> un daļā par galīgo sodu. </w:t>
      </w:r>
    </w:p>
    <w:p w14:paraId="385D7988" w14:textId="5E281788" w:rsidR="0053053F" w:rsidRDefault="00B45C27" w:rsidP="00347470">
      <w:pPr>
        <w:spacing w:line="276" w:lineRule="auto"/>
        <w:ind w:right="-1" w:firstLine="720"/>
        <w:jc w:val="both"/>
      </w:pPr>
      <w:r>
        <w:t>[Pers. A]</w:t>
      </w:r>
      <w:r w:rsidR="00AB092F">
        <w:t xml:space="preserve"> par Krimināllikuma 179. panta trešajā daļā paredzēto noziedzīgo nodarījumu</w:t>
      </w:r>
      <w:r w:rsidR="0023617A">
        <w:t xml:space="preserve"> (pirmais noziedzīgais nodarījums) sodīts, piemērojot Krimināllikuma 49.</w:t>
      </w:r>
      <w:r w:rsidR="0023617A" w:rsidRPr="0023617A">
        <w:rPr>
          <w:vertAlign w:val="superscript"/>
        </w:rPr>
        <w:t>1</w:t>
      </w:r>
      <w:r w:rsidR="0023617A">
        <w:rPr>
          <w:vertAlign w:val="superscript"/>
        </w:rPr>
        <w:t> </w:t>
      </w:r>
      <w:r w:rsidR="0023617A">
        <w:t>panta pirmās daļas 1. punktu, ar brīvības atņemšanu uz 10 mēnešiem</w:t>
      </w:r>
      <w:r w:rsidR="0053053F">
        <w:t>;</w:t>
      </w:r>
    </w:p>
    <w:p w14:paraId="3564F9B0" w14:textId="5D5F2AC5" w:rsidR="0053053F" w:rsidRDefault="0053053F" w:rsidP="00347470">
      <w:pPr>
        <w:spacing w:line="276" w:lineRule="auto"/>
        <w:ind w:right="-1" w:firstLine="720"/>
        <w:jc w:val="both"/>
      </w:pPr>
      <w:r>
        <w:t>par Krimināllikuma 179. panta trešajā daļā paredzēto noziedzīgo nodarījumu (otrais noziedzīgais nodarījum</w:t>
      </w:r>
      <w:r w:rsidR="00D4457E">
        <w:t>s</w:t>
      </w:r>
      <w:r>
        <w:t>) sodīts, piemērojot Krimināllikuma 49.</w:t>
      </w:r>
      <w:r w:rsidRPr="0023617A">
        <w:rPr>
          <w:vertAlign w:val="superscript"/>
        </w:rPr>
        <w:t>1</w:t>
      </w:r>
      <w:r>
        <w:rPr>
          <w:vertAlign w:val="superscript"/>
        </w:rPr>
        <w:t> </w:t>
      </w:r>
      <w:r>
        <w:t>panta pirmās daļas 1. punktu, ar brīvības atņemšanu uz 1 gadu 10 mēnešiem;</w:t>
      </w:r>
    </w:p>
    <w:p w14:paraId="1A40CEFB" w14:textId="2EE13B96" w:rsidR="0053053F" w:rsidRDefault="0053053F" w:rsidP="00347470">
      <w:pPr>
        <w:spacing w:line="276" w:lineRule="auto"/>
        <w:ind w:right="-1" w:firstLine="720"/>
        <w:jc w:val="both"/>
      </w:pPr>
      <w:r>
        <w:t>par Krimināllikuma 179. panta trešajā daļā paredzēto noziedzīgo nodarījumu (trešais noziedzīgais nodarījum</w:t>
      </w:r>
      <w:r w:rsidR="00D4457E">
        <w:t>s</w:t>
      </w:r>
      <w:r>
        <w:t>) sodīts, piemērojot Krimināllikuma 49.</w:t>
      </w:r>
      <w:r w:rsidRPr="0023617A">
        <w:rPr>
          <w:vertAlign w:val="superscript"/>
        </w:rPr>
        <w:t>1</w:t>
      </w:r>
      <w:r>
        <w:rPr>
          <w:vertAlign w:val="superscript"/>
        </w:rPr>
        <w:t> </w:t>
      </w:r>
      <w:r>
        <w:t>panta pirmās daļas 1. punktu, ar brīvības atņemšanu uz 1 gadu 4 mēnešiem.</w:t>
      </w:r>
    </w:p>
    <w:p w14:paraId="4C35D477" w14:textId="78D5C0FE" w:rsidR="0053053F" w:rsidRDefault="0053053F" w:rsidP="00347470">
      <w:pPr>
        <w:spacing w:line="276" w:lineRule="auto"/>
        <w:ind w:right="-1" w:firstLine="720"/>
        <w:jc w:val="both"/>
      </w:pPr>
      <w:r>
        <w:t xml:space="preserve">Saskaņā ar Krimināllikuma 50. panta pirmo daļu </w:t>
      </w:r>
      <w:r w:rsidR="00B45C27">
        <w:t>[pers. A]</w:t>
      </w:r>
      <w:r>
        <w:t xml:space="preserve"> galīgais sods </w:t>
      </w:r>
      <w:proofErr w:type="gramStart"/>
      <w:r>
        <w:t>noteikts brīvības atņemšana uz 2 gadiem</w:t>
      </w:r>
      <w:proofErr w:type="gramEnd"/>
      <w:r>
        <w:t>.</w:t>
      </w:r>
    </w:p>
    <w:p w14:paraId="2C634614" w14:textId="4EDA0F07" w:rsidR="0053053F" w:rsidRDefault="0053053F" w:rsidP="00347470">
      <w:pPr>
        <w:spacing w:line="276" w:lineRule="auto"/>
        <w:ind w:right="-1" w:firstLine="720"/>
        <w:jc w:val="both"/>
      </w:pPr>
      <w:r>
        <w:t xml:space="preserve">Pārējā daļā pirmās instances tiesas spriedums atstāts negrozīts. </w:t>
      </w:r>
    </w:p>
    <w:p w14:paraId="1E7F4F92" w14:textId="151C4738" w:rsidR="0053053F" w:rsidRDefault="0053053F" w:rsidP="00347470">
      <w:pPr>
        <w:spacing w:line="276" w:lineRule="auto"/>
        <w:ind w:right="-1" w:firstLine="720"/>
        <w:jc w:val="both"/>
      </w:pPr>
    </w:p>
    <w:p w14:paraId="1B49B46B" w14:textId="7CB95C28" w:rsidR="008403A0" w:rsidRDefault="0053053F" w:rsidP="00347470">
      <w:pPr>
        <w:spacing w:line="276" w:lineRule="auto"/>
        <w:ind w:right="-1" w:firstLine="720"/>
        <w:jc w:val="both"/>
      </w:pPr>
      <w:r>
        <w:t>[</w:t>
      </w:r>
      <w:r w:rsidR="001046AE">
        <w:t>3</w:t>
      </w:r>
      <w:r>
        <w:t>] </w:t>
      </w:r>
      <w:r w:rsidR="008403A0" w:rsidRPr="008403A0">
        <w:t xml:space="preserve">Par </w:t>
      </w:r>
      <w:r w:rsidR="00B45C27">
        <w:t>[..]</w:t>
      </w:r>
      <w:r w:rsidR="008403A0" w:rsidRPr="008403A0">
        <w:t xml:space="preserve"> apgabaltiesas 2022.</w:t>
      </w:r>
      <w:r w:rsidR="006440DE">
        <w:t> </w:t>
      </w:r>
      <w:r w:rsidR="008403A0" w:rsidRPr="008403A0">
        <w:t xml:space="preserve">gada </w:t>
      </w:r>
      <w:r w:rsidR="00B45C27">
        <w:t>[..]</w:t>
      </w:r>
      <w:r w:rsidR="008403A0" w:rsidRPr="008403A0">
        <w:t xml:space="preserve"> spriedumu </w:t>
      </w:r>
      <w:r w:rsidR="00B45C27">
        <w:t>[pers. A]</w:t>
      </w:r>
      <w:r w:rsidR="008403A0">
        <w:t xml:space="preserve"> un viņa aizstāvji</w:t>
      </w:r>
      <w:r w:rsidR="008403A0" w:rsidRPr="008403A0">
        <w:t xml:space="preserve"> </w:t>
      </w:r>
      <w:r w:rsidR="008403A0">
        <w:t>I. </w:t>
      </w:r>
      <w:proofErr w:type="spellStart"/>
      <w:r w:rsidR="008403A0">
        <w:t>Greķe</w:t>
      </w:r>
      <w:proofErr w:type="spellEnd"/>
      <w:r w:rsidR="008403A0">
        <w:t xml:space="preserve"> un </w:t>
      </w:r>
      <w:r w:rsidR="008403A0" w:rsidRPr="008403A0">
        <w:t>A.</w:t>
      </w:r>
      <w:r w:rsidR="006440DE">
        <w:t> </w:t>
      </w:r>
      <w:proofErr w:type="spellStart"/>
      <w:r w:rsidR="008403A0" w:rsidRPr="008403A0">
        <w:t>Kriķis</w:t>
      </w:r>
      <w:proofErr w:type="spellEnd"/>
      <w:r w:rsidR="008403A0" w:rsidRPr="008403A0">
        <w:t xml:space="preserve"> iesnie</w:t>
      </w:r>
      <w:r w:rsidR="008403A0">
        <w:t xml:space="preserve">guši </w:t>
      </w:r>
      <w:r w:rsidR="008403A0" w:rsidRPr="008403A0">
        <w:t>kasācijas sūdzīb</w:t>
      </w:r>
      <w:r w:rsidR="008403A0">
        <w:t>as.</w:t>
      </w:r>
    </w:p>
    <w:p w14:paraId="5B03EA33" w14:textId="77777777" w:rsidR="008403A0" w:rsidRDefault="008403A0" w:rsidP="00347470">
      <w:pPr>
        <w:spacing w:line="276" w:lineRule="auto"/>
        <w:ind w:right="-1" w:firstLine="720"/>
        <w:jc w:val="both"/>
      </w:pPr>
    </w:p>
    <w:p w14:paraId="78E4E524" w14:textId="65E63AEF" w:rsidR="0053053F" w:rsidRDefault="008403A0" w:rsidP="00347470">
      <w:pPr>
        <w:spacing w:line="276" w:lineRule="auto"/>
        <w:ind w:right="-1" w:firstLine="720"/>
        <w:jc w:val="both"/>
      </w:pPr>
      <w:r w:rsidRPr="001046AE">
        <w:t>[</w:t>
      </w:r>
      <w:r w:rsidR="001046AE">
        <w:t>4</w:t>
      </w:r>
      <w:r w:rsidRPr="001046AE">
        <w:t>] </w:t>
      </w:r>
      <w:r w:rsidR="00B45C27">
        <w:t>[Pers. A]</w:t>
      </w:r>
      <w:r w:rsidR="00400DF4">
        <w:t xml:space="preserve"> aizstāve I. </w:t>
      </w:r>
      <w:proofErr w:type="spellStart"/>
      <w:r w:rsidR="00400DF4">
        <w:t>Greķe</w:t>
      </w:r>
      <w:proofErr w:type="spellEnd"/>
      <w:r w:rsidR="00400DF4">
        <w:t xml:space="preserve"> kasācijas sūdzīb</w:t>
      </w:r>
      <w:r>
        <w:t>ā</w:t>
      </w:r>
      <w:r w:rsidR="00400DF4">
        <w:t xml:space="preserve"> lūdz </w:t>
      </w:r>
      <w:r w:rsidR="008C3C9B">
        <w:t xml:space="preserve">atcelt </w:t>
      </w:r>
      <w:r w:rsidR="00400DF4">
        <w:t xml:space="preserve">apelācijas instances tiesas spriedumu un </w:t>
      </w:r>
      <w:r w:rsidR="00B45C27">
        <w:t>[pers. A]</w:t>
      </w:r>
      <w:r w:rsidR="00400DF4">
        <w:t xml:space="preserve"> attaisnot. Savukārt notiesājoša sprieduma gadījumā lūdz </w:t>
      </w:r>
      <w:r w:rsidR="00B45C27">
        <w:t>[pers. A]</w:t>
      </w:r>
      <w:r w:rsidR="00400DF4">
        <w:t xml:space="preserve"> noteikt brīvības atņemšanas sodu</w:t>
      </w:r>
      <w:r w:rsidR="00400DF4" w:rsidRPr="00400DF4">
        <w:t xml:space="preserve"> </w:t>
      </w:r>
      <w:r w:rsidR="00400DF4">
        <w:t>nosacīti.</w:t>
      </w:r>
    </w:p>
    <w:p w14:paraId="22442F3A" w14:textId="72BE9057" w:rsidR="001D6B37" w:rsidRPr="00042E98" w:rsidRDefault="003B0C91" w:rsidP="00347470">
      <w:pPr>
        <w:spacing w:line="276" w:lineRule="auto"/>
        <w:ind w:right="-1" w:firstLine="720"/>
        <w:jc w:val="both"/>
      </w:pPr>
      <w:r>
        <w:t>A</w:t>
      </w:r>
      <w:r w:rsidR="005C475C">
        <w:t>pelācijas instances tiesa</w:t>
      </w:r>
      <w:r w:rsidR="00665ACF">
        <w:t xml:space="preserve"> </w:t>
      </w:r>
      <w:r w:rsidR="005C475C">
        <w:t>n</w:t>
      </w:r>
      <w:r w:rsidR="00A11331">
        <w:t xml:space="preserve">av </w:t>
      </w:r>
      <w:r w:rsidR="005C475C">
        <w:t>pareizi piemēroju</w:t>
      </w:r>
      <w:r>
        <w:t>si</w:t>
      </w:r>
      <w:r w:rsidR="005C475C">
        <w:t xml:space="preserve"> Krimināllikuma 179. panta trešo daļu</w:t>
      </w:r>
      <w:r w:rsidR="004752C1">
        <w:t xml:space="preserve"> un</w:t>
      </w:r>
      <w:r w:rsidR="001D6B37">
        <w:t xml:space="preserve"> </w:t>
      </w:r>
      <w:r w:rsidR="004752C1">
        <w:t xml:space="preserve">pieļāvusi Kriminālprocesa likuma 15., 20., 23. panta, 124. panta piektās daļas, 128. panta otrās daļas, 511. panta otrās daļas, 512. panta, 564. panta ceturtās daļas, </w:t>
      </w:r>
      <w:r w:rsidR="004752C1" w:rsidRPr="003D77A2">
        <w:t xml:space="preserve">kā arī Eiropas Cilvēka tiesību un pamatbrīvību aizsardzības konvencijas (turpmāk – </w:t>
      </w:r>
      <w:r w:rsidR="004752C1" w:rsidRPr="00042E98">
        <w:t>Eiropas Cilvēktiesību konvencija) 6. panta trešās daļas d. apakšpunkta pārkāpumu.</w:t>
      </w:r>
    </w:p>
    <w:p w14:paraId="3444CF5F" w14:textId="2F8DA08F" w:rsidR="004752C1" w:rsidRPr="00042E98" w:rsidRDefault="001D6B37" w:rsidP="00347470">
      <w:pPr>
        <w:spacing w:line="276" w:lineRule="auto"/>
        <w:ind w:right="-1" w:firstLine="720"/>
        <w:jc w:val="both"/>
      </w:pPr>
      <w:r w:rsidRPr="00042E98">
        <w:t>[</w:t>
      </w:r>
      <w:r w:rsidR="001046AE" w:rsidRPr="00042E98">
        <w:t>4</w:t>
      </w:r>
      <w:r w:rsidRPr="00042E98">
        <w:t>.1] Tiesa nav nošķīrusi piesavināšanos kā noziedzīgu nodarījumu no svešas mantas patvaļīgas lietošanas, kas var būt civiltiesisks delikts.</w:t>
      </w:r>
      <w:r w:rsidR="00CA082B" w:rsidRPr="00042E98">
        <w:t xml:space="preserve"> Krimināllikuma 179.</w:t>
      </w:r>
      <w:r w:rsidR="00FD5C4B" w:rsidRPr="00042E98">
        <w:t> </w:t>
      </w:r>
      <w:r w:rsidR="00CA082B" w:rsidRPr="00042E98">
        <w:t xml:space="preserve">panta sastāvu neveido nesaimniecisku darījumu noslēgšana. </w:t>
      </w:r>
    </w:p>
    <w:p w14:paraId="0E4C7EC2" w14:textId="550E5DC1" w:rsidR="00E93468" w:rsidRPr="00042E98" w:rsidRDefault="00B45C27" w:rsidP="00347470">
      <w:pPr>
        <w:spacing w:line="276" w:lineRule="auto"/>
        <w:ind w:right="-1" w:firstLine="720"/>
        <w:jc w:val="both"/>
      </w:pPr>
      <w:r>
        <w:t>[Pers. A]</w:t>
      </w:r>
      <w:r w:rsidR="00E93468" w:rsidRPr="00042E98">
        <w:t xml:space="preserve"> nepamatoti saukts pie kriminālatbildības par piesavināšanos lielā apmērā, neņemot vērā, ka kreditoru kopumam, kur</w:t>
      </w:r>
      <w:r w:rsidR="00A11331">
        <w:t>u</w:t>
      </w:r>
      <w:r w:rsidR="00E93468" w:rsidRPr="00042E98">
        <w:t xml:space="preserve"> interesēs notiek maksātnespējas process, nav mantiska rakstura pretenziju pret </w:t>
      </w:r>
      <w:r>
        <w:t>[pers. A]</w:t>
      </w:r>
      <w:r w:rsidR="005C069A">
        <w:t>,</w:t>
      </w:r>
      <w:r w:rsidR="00E93468" w:rsidRPr="00042E98">
        <w:t xml:space="preserve"> un viņš nav nodarījis reālus zaudējumus lielā apmērā. </w:t>
      </w:r>
    </w:p>
    <w:p w14:paraId="18230396" w14:textId="7C49AF92" w:rsidR="00E93468" w:rsidRPr="00042E98" w:rsidRDefault="00E93468" w:rsidP="00347470">
      <w:pPr>
        <w:spacing w:line="276" w:lineRule="auto"/>
        <w:ind w:right="-1" w:firstLine="720"/>
        <w:jc w:val="both"/>
      </w:pPr>
      <w:r w:rsidRPr="00042E98">
        <w:t>Prasība par zaudējumu piedziņu ir ceļama, pamatojoties uz Civillikuma noteikumiem par zaudējumu atlīdzināšanas pienākumu, nevis risināma kriminālproces</w:t>
      </w:r>
      <w:r w:rsidR="00A11331">
        <w:t>uālā kārtībā</w:t>
      </w:r>
      <w:r w:rsidRPr="00042E98">
        <w:t>. Tāpat strīds par to, kuram no administratoriem atlīdzība pienākas, risināms civiltiesiski.</w:t>
      </w:r>
    </w:p>
    <w:p w14:paraId="0EA9751C" w14:textId="7E8816CA" w:rsidR="00C86BED" w:rsidRPr="00042E98" w:rsidRDefault="001046AE" w:rsidP="00347470">
      <w:pPr>
        <w:spacing w:line="276" w:lineRule="auto"/>
        <w:ind w:right="-1" w:firstLine="720"/>
        <w:jc w:val="both"/>
      </w:pPr>
      <w:r w:rsidRPr="00042E98">
        <w:t>[4</w:t>
      </w:r>
      <w:r w:rsidR="008311B5" w:rsidRPr="00042E98">
        <w:t>.</w:t>
      </w:r>
      <w:r w:rsidR="005D3688" w:rsidRPr="00042E98">
        <w:t>2</w:t>
      </w:r>
      <w:r w:rsidR="008311B5" w:rsidRPr="00042E98">
        <w:t>] </w:t>
      </w:r>
      <w:r w:rsidR="00C86BED" w:rsidRPr="00042E98">
        <w:t>Mantas neatdošanas īpašais nolūks – iegūt svešu mantu savā valdījumā, atstumjot tās īpašnieku, – ir patstāvīga noziedzīgā nodarījuma subjektīvās puses pazīme, kuru tiesa saistībā ar otro un trešo noziedzīgo nodarījumu vispār nav vērtējusi.</w:t>
      </w:r>
    </w:p>
    <w:p w14:paraId="22025E40" w14:textId="4868897A" w:rsidR="00A3206C" w:rsidRPr="00042E98" w:rsidRDefault="00A3206C" w:rsidP="00347470">
      <w:pPr>
        <w:spacing w:line="276" w:lineRule="auto"/>
        <w:ind w:right="-1" w:firstLine="720"/>
        <w:jc w:val="both"/>
      </w:pPr>
      <w:r w:rsidRPr="00042E98">
        <w:lastRenderedPageBreak/>
        <w:t xml:space="preserve">Pirmajā un trešajā noziedzīgajā nodarījumā </w:t>
      </w:r>
      <w:r w:rsidR="00FE1876" w:rsidRPr="00042E98">
        <w:t>nav</w:t>
      </w:r>
      <w:r w:rsidRPr="00042E98">
        <w:t xml:space="preserve"> noziedzīgā nodarījuma objektīvā</w:t>
      </w:r>
      <w:r w:rsidR="00FE1876" w:rsidRPr="00042E98">
        <w:t>s</w:t>
      </w:r>
      <w:r w:rsidRPr="00042E98">
        <w:t xml:space="preserve"> puse</w:t>
      </w:r>
      <w:r w:rsidR="00FE1876" w:rsidRPr="00042E98">
        <w:t>s</w:t>
      </w:r>
      <w:r w:rsidRPr="00042E98">
        <w:t>, proti, nav konstatē</w:t>
      </w:r>
      <w:r w:rsidR="00DF6D31" w:rsidRPr="00042E98">
        <w:t>ta</w:t>
      </w:r>
      <w:r w:rsidRPr="00042E98">
        <w:t xml:space="preserve"> naudas līdzekļu piesavināšanās un nonākšana </w:t>
      </w:r>
      <w:r w:rsidR="00B45C27">
        <w:t>[pers. A]</w:t>
      </w:r>
      <w:r w:rsidRPr="00042E98">
        <w:t xml:space="preserve"> valdījumā</w:t>
      </w:r>
      <w:r w:rsidR="00DF6D31" w:rsidRPr="00042E98">
        <w:t xml:space="preserve">, kā arī nav pierādīts, ka </w:t>
      </w:r>
      <w:r w:rsidR="00B45C27">
        <w:t>[pers. A]</w:t>
      </w:r>
      <w:r w:rsidR="00DF6D31" w:rsidRPr="00042E98">
        <w:t xml:space="preserve"> </w:t>
      </w:r>
      <w:r w:rsidR="008311B5" w:rsidRPr="00042E98">
        <w:t>naudas līdzekļus būtu izmantojis (pirmajā noziedzīgajā nodarījumā) vai no aizdevuma guvis</w:t>
      </w:r>
      <w:r w:rsidRPr="00042E98">
        <w:t xml:space="preserve"> </w:t>
      </w:r>
      <w:r w:rsidR="008311B5" w:rsidRPr="00042E98">
        <w:t xml:space="preserve">kādu labumu </w:t>
      </w:r>
      <w:proofErr w:type="gramStart"/>
      <w:r w:rsidR="008311B5" w:rsidRPr="00042E98">
        <w:t>(</w:t>
      </w:r>
      <w:proofErr w:type="gramEnd"/>
      <w:r w:rsidR="008311B5" w:rsidRPr="00042E98">
        <w:t>trešajā noziedzīgajā nodarījumā).</w:t>
      </w:r>
    </w:p>
    <w:p w14:paraId="3466C0D4" w14:textId="31153DA3" w:rsidR="008311B5" w:rsidRPr="00042E98" w:rsidRDefault="008311B5" w:rsidP="00347470">
      <w:pPr>
        <w:spacing w:line="276" w:lineRule="auto"/>
        <w:ind w:right="-1" w:firstLine="720"/>
        <w:jc w:val="both"/>
      </w:pPr>
      <w:r w:rsidRPr="00042E98">
        <w:t xml:space="preserve">Tiesas atzinums, ka </w:t>
      </w:r>
      <w:r w:rsidR="00B45C27">
        <w:t>[pers. A]</w:t>
      </w:r>
      <w:r w:rsidRPr="00042E98">
        <w:t xml:space="preserve"> </w:t>
      </w:r>
      <w:r w:rsidR="00F17CC9" w:rsidRPr="00365124">
        <w:rPr>
          <w:color w:val="000000" w:themeColor="text1"/>
        </w:rPr>
        <w:t xml:space="preserve">kompānijas </w:t>
      </w:r>
      <w:r w:rsidRPr="00042E98">
        <w:t>„</w:t>
      </w:r>
      <w:r w:rsidR="00B45C27">
        <w:t>[Nosaukums B]</w:t>
      </w:r>
      <w:r w:rsidRPr="00042E98">
        <w:t xml:space="preserve">” vārdā atvēra bankas kontu Latvijā un saņēma bankas norēķinu karti un citus pakalpojumus, nepierāda to, ka </w:t>
      </w:r>
      <w:r w:rsidR="00B45C27">
        <w:t>[pers. A]</w:t>
      </w:r>
      <w:r w:rsidRPr="00042E98">
        <w:t xml:space="preserve"> būtu piesavinājies naudas līdzekļus vai tos lietojis.</w:t>
      </w:r>
    </w:p>
    <w:p w14:paraId="5F84A616" w14:textId="6C9D79FD" w:rsidR="005D3688" w:rsidRPr="00042E98" w:rsidRDefault="00195DCB" w:rsidP="00347470">
      <w:pPr>
        <w:spacing w:line="276" w:lineRule="auto"/>
        <w:ind w:right="-1" w:firstLine="720"/>
        <w:jc w:val="both"/>
      </w:pPr>
      <w:r w:rsidRPr="00042E98">
        <w:t>[4.3] </w:t>
      </w:r>
      <w:r w:rsidR="005D3688" w:rsidRPr="00042E98">
        <w:t xml:space="preserve">Liecinieku </w:t>
      </w:r>
      <w:r w:rsidR="00B45C27">
        <w:rPr>
          <w:color w:val="000000" w:themeColor="text1"/>
        </w:rPr>
        <w:t>[pers. B]</w:t>
      </w:r>
      <w:r w:rsidR="005D3688" w:rsidRPr="00042E98">
        <w:t xml:space="preserve"> un </w:t>
      </w:r>
      <w:r w:rsidR="00B45C27">
        <w:t>[pers. C]</w:t>
      </w:r>
      <w:r w:rsidR="005D3688" w:rsidRPr="00042E98">
        <w:t xml:space="preserve"> liecības ir apšaubāmas, jo tās ir pārāk vispārīgas un nekonkretizētas.</w:t>
      </w:r>
    </w:p>
    <w:p w14:paraId="2D751521" w14:textId="3449AC27" w:rsidR="005D3688" w:rsidRPr="00042E98" w:rsidRDefault="00AB2AB0" w:rsidP="00347470">
      <w:pPr>
        <w:spacing w:line="276" w:lineRule="auto"/>
        <w:ind w:right="-1" w:firstLine="720"/>
        <w:jc w:val="both"/>
      </w:pPr>
      <w:r w:rsidRPr="00042E98">
        <w:t xml:space="preserve">Apelācijas instances tiesa </w:t>
      </w:r>
      <w:r w:rsidR="00961128" w:rsidRPr="00042E98">
        <w:t xml:space="preserve">vērtējusi tikai lietā ieinteresēto personu iesniegumus un liecības, bet nav sniegusi atbildes uz apelācijas sūdzībās norādītajiem </w:t>
      </w:r>
      <w:r w:rsidR="00C9167E" w:rsidRPr="00042E98">
        <w:t xml:space="preserve">aizstāvības </w:t>
      </w:r>
      <w:r w:rsidR="00961128" w:rsidRPr="00042E98">
        <w:t xml:space="preserve">argumentiem. </w:t>
      </w:r>
    </w:p>
    <w:p w14:paraId="33BFDFA6" w14:textId="1D7A85E8" w:rsidR="00E93468" w:rsidRPr="00042E98" w:rsidRDefault="00195DCB" w:rsidP="00347470">
      <w:pPr>
        <w:spacing w:line="276" w:lineRule="auto"/>
        <w:ind w:right="-1" w:firstLine="720"/>
        <w:jc w:val="both"/>
      </w:pPr>
      <w:r w:rsidRPr="00042E98">
        <w:t>[4.4] </w:t>
      </w:r>
      <w:r w:rsidR="00E93468" w:rsidRPr="00042E98">
        <w:t xml:space="preserve">Apelācijas instances tiesa nav pamatojusi subjektīvo pusi </w:t>
      </w:r>
      <w:r w:rsidR="00B45C27">
        <w:t>[pers. A]</w:t>
      </w:r>
      <w:r w:rsidR="00E93468" w:rsidRPr="00042E98">
        <w:t xml:space="preserve"> rīcībā, 2012. gada </w:t>
      </w:r>
      <w:r w:rsidR="00B45C27">
        <w:t>[..]</w:t>
      </w:r>
      <w:r w:rsidR="00E93468" w:rsidRPr="00042E98">
        <w:t xml:space="preserve"> izņemot no MSIA </w:t>
      </w:r>
      <w:r w:rsidR="00963772">
        <w:t>,,</w:t>
      </w:r>
      <w:r w:rsidR="00B45C27">
        <w:t>[Nosaukums A]</w:t>
      </w:r>
      <w:r w:rsidR="00E93468" w:rsidRPr="00042E98">
        <w:t>” valdījuma naudas līdzekļus. Naudas līdzekļi tikuši izņemti kā amata atlīdzība, nevis ļaunprātīgā nolūkā.</w:t>
      </w:r>
    </w:p>
    <w:p w14:paraId="3C26B809" w14:textId="39682444" w:rsidR="00A533EF" w:rsidRPr="00042E98" w:rsidRDefault="00A47F77" w:rsidP="00347470">
      <w:pPr>
        <w:spacing w:line="276" w:lineRule="auto"/>
        <w:ind w:right="-1" w:firstLine="720"/>
        <w:jc w:val="both"/>
      </w:pPr>
      <w:r w:rsidRPr="00042E98">
        <w:t xml:space="preserve">Apelācijas instances tiesa, atzīstot, ka </w:t>
      </w:r>
      <w:r w:rsidR="00B45C27">
        <w:t>[pers. A]</w:t>
      </w:r>
      <w:r w:rsidRPr="00042E98">
        <w:t xml:space="preserve"> </w:t>
      </w:r>
      <w:proofErr w:type="gramStart"/>
      <w:r w:rsidRPr="00042E98">
        <w:t>kā administratoram vispirms bija</w:t>
      </w:r>
      <w:proofErr w:type="gramEnd"/>
      <w:r w:rsidRPr="00042E98">
        <w:t xml:space="preserve"> jāpārliecinās par izsoles apstiprināšanu un sprieduma spēkā stāšanos, kļūdaini interpretējusi Maksātnespējas </w:t>
      </w:r>
      <w:r w:rsidRPr="00631991">
        <w:t xml:space="preserve">administrācijas 2013. gada </w:t>
      </w:r>
      <w:r w:rsidR="00631991" w:rsidRPr="00631991">
        <w:t>[..]</w:t>
      </w:r>
      <w:r w:rsidRPr="00042E98">
        <w:t xml:space="preserve"> skaidrojum</w:t>
      </w:r>
      <w:r w:rsidR="00A533EF" w:rsidRPr="00042E98">
        <w:t>u</w:t>
      </w:r>
      <w:r w:rsidR="005C069A">
        <w:t>,</w:t>
      </w:r>
      <w:r w:rsidR="00A533EF" w:rsidRPr="00042E98">
        <w:t xml:space="preserve"> un šādu secinājumu nav pamatojusi ar tiesību normām. </w:t>
      </w:r>
      <w:r w:rsidR="00F75C65" w:rsidRPr="00042E98">
        <w:t>Apelācijas instances tiesa nepamatoti nav piemērojusi Maksātnespējas likuma 182. panta pirmo, otro un trešo daļu.</w:t>
      </w:r>
    </w:p>
    <w:p w14:paraId="446EFE21" w14:textId="4709618A" w:rsidR="003F6129" w:rsidRPr="00042E98" w:rsidRDefault="003F6129" w:rsidP="00347470">
      <w:pPr>
        <w:spacing w:line="276" w:lineRule="auto"/>
        <w:ind w:right="-1" w:firstLine="720"/>
        <w:jc w:val="both"/>
      </w:pPr>
      <w:r w:rsidRPr="00042E98">
        <w:t>[</w:t>
      </w:r>
      <w:r w:rsidR="001046AE" w:rsidRPr="00042E98">
        <w:t>4</w:t>
      </w:r>
      <w:r w:rsidRPr="00042E98">
        <w:t>.</w:t>
      </w:r>
      <w:r w:rsidR="00195DCB" w:rsidRPr="00042E98">
        <w:t>5</w:t>
      </w:r>
      <w:r w:rsidRPr="00042E98">
        <w:t>] </w:t>
      </w:r>
      <w:r w:rsidR="00B45C27">
        <w:t>[Pers. A]</w:t>
      </w:r>
      <w:r w:rsidRPr="00042E98">
        <w:t xml:space="preserve"> par pirmo Krimināllikuma 179. panta trešajā daļā paredzēto noziedzīgo nodarījumu </w:t>
      </w:r>
      <w:r w:rsidR="00365124">
        <w:t xml:space="preserve">apsūdzēts, </w:t>
      </w:r>
      <w:r w:rsidRPr="00042E98">
        <w:t>galvenokārt</w:t>
      </w:r>
      <w:r w:rsidR="00365124">
        <w:t>,</w:t>
      </w:r>
      <w:r w:rsidRPr="00042E98">
        <w:t xml:space="preserve"> pamatojoties uz </w:t>
      </w:r>
      <w:bookmarkStart w:id="5" w:name="_Hlk125120596"/>
      <w:r w:rsidR="00B45C27">
        <w:t>[pers. B]</w:t>
      </w:r>
      <w:r w:rsidRPr="00042E98">
        <w:t xml:space="preserve"> un </w:t>
      </w:r>
      <w:r w:rsidR="00B45C27">
        <w:t>[pers. C]</w:t>
      </w:r>
      <w:r w:rsidRPr="00042E98">
        <w:t xml:space="preserve"> </w:t>
      </w:r>
      <w:bookmarkEnd w:id="5"/>
      <w:r w:rsidRPr="00042E98">
        <w:t>liecībām</w:t>
      </w:r>
      <w:r w:rsidR="00311E4F" w:rsidRPr="00042E98">
        <w:t xml:space="preserve">, </w:t>
      </w:r>
      <w:r w:rsidRPr="00042E98">
        <w:t xml:space="preserve">nesniedzot iespēju aizstāvībai iztaujāt minētos lieciniekus. </w:t>
      </w:r>
    </w:p>
    <w:p w14:paraId="3385B8F4" w14:textId="549E0B98" w:rsidR="004C3128" w:rsidRPr="004B62DF" w:rsidRDefault="004C3128" w:rsidP="004C3128">
      <w:pPr>
        <w:spacing w:line="276" w:lineRule="auto"/>
        <w:ind w:right="-1" w:firstLine="720"/>
        <w:jc w:val="both"/>
      </w:pPr>
      <w:r w:rsidRPr="004B62DF">
        <w:t>[</w:t>
      </w:r>
      <w:r w:rsidR="001046AE" w:rsidRPr="004B62DF">
        <w:t>4</w:t>
      </w:r>
      <w:r w:rsidRPr="004B62DF">
        <w:t>.</w:t>
      </w:r>
      <w:r w:rsidR="00195DCB" w:rsidRPr="004B62DF">
        <w:t>6</w:t>
      </w:r>
      <w:r w:rsidRPr="004B62DF">
        <w:t xml:space="preserve">] Lietā atrodas virkne neapliecinātu </w:t>
      </w:r>
      <w:r w:rsidR="00365124">
        <w:t xml:space="preserve">dokumentu </w:t>
      </w:r>
      <w:r w:rsidRPr="004B62DF">
        <w:t>kopiju, kuras ir atzīstamas par nepieļaujamiem pierādījumiem. Tāpat par nepieļaujamiem pierādījumiem atzīstams dokuments krievu valodā, kas atrodas</w:t>
      </w:r>
      <w:r w:rsidR="009C7F3A" w:rsidRPr="004B62DF">
        <w:t xml:space="preserve"> lietas</w:t>
      </w:r>
      <w:r w:rsidRPr="004B62DF">
        <w:t xml:space="preserve"> 2. sējuma 115.–126. lpp., un dokumenta oriģināls, kas atrodas</w:t>
      </w:r>
      <w:r w:rsidR="007964D3" w:rsidRPr="004B62DF">
        <w:t xml:space="preserve"> lietas</w:t>
      </w:r>
      <w:r w:rsidRPr="004B62DF">
        <w:t xml:space="preserve"> 2. sējuma 92. lpp., jo tajā ir dzēsumi, kā arī pieraksti ar zīmuli. </w:t>
      </w:r>
    </w:p>
    <w:p w14:paraId="3904CC95" w14:textId="16C6674E" w:rsidR="00D76746" w:rsidRPr="004B62DF" w:rsidRDefault="00D76746" w:rsidP="00D76746">
      <w:pPr>
        <w:spacing w:line="276" w:lineRule="auto"/>
        <w:ind w:right="-1" w:firstLine="720"/>
        <w:jc w:val="both"/>
      </w:pPr>
      <w:r w:rsidRPr="004B62DF">
        <w:t xml:space="preserve">[4.7] Apelācijas instances tiesa atstājusi bez ievērības faktu, ka </w:t>
      </w:r>
      <w:r w:rsidR="00B45C27">
        <w:t>[pers. B]</w:t>
      </w:r>
      <w:r w:rsidR="005C069A" w:rsidRPr="004B62DF">
        <w:t xml:space="preserve"> </w:t>
      </w:r>
      <w:r w:rsidRPr="004B62DF">
        <w:t xml:space="preserve">konkurējis ar </w:t>
      </w:r>
      <w:r w:rsidR="00B45C27">
        <w:t>[pers. A]</w:t>
      </w:r>
      <w:r w:rsidRPr="004B62DF">
        <w:t xml:space="preserve"> par administratora atlīdzību, bet minētā iemesla dēļ nav atstatījis sevi no cietušā pārstāvības kriminālprocesā.</w:t>
      </w:r>
    </w:p>
    <w:p w14:paraId="0A5CF78F" w14:textId="1399E3B2" w:rsidR="00436690" w:rsidRPr="00042E98" w:rsidRDefault="00436690" w:rsidP="00347470">
      <w:pPr>
        <w:spacing w:line="276" w:lineRule="auto"/>
        <w:ind w:right="-1" w:firstLine="720"/>
        <w:jc w:val="both"/>
      </w:pPr>
      <w:r w:rsidRPr="004B62DF">
        <w:t>[</w:t>
      </w:r>
      <w:r w:rsidR="001046AE" w:rsidRPr="004B62DF">
        <w:t>4</w:t>
      </w:r>
      <w:r w:rsidRPr="004B62DF">
        <w:t>.</w:t>
      </w:r>
      <w:r w:rsidR="00D76746" w:rsidRPr="004B62DF">
        <w:t>8</w:t>
      </w:r>
      <w:r w:rsidRPr="004B62DF">
        <w:t>] Lietā nav pierādījumu, ka lieciniek</w:t>
      </w:r>
      <w:r w:rsidR="005C069A" w:rsidRPr="004B62DF">
        <w:t>i</w:t>
      </w:r>
      <w:r w:rsidRPr="004B62DF">
        <w:t xml:space="preserve"> </w:t>
      </w:r>
      <w:r w:rsidR="00B45C27">
        <w:t>[pers. C]</w:t>
      </w:r>
      <w:r w:rsidRPr="004B62DF">
        <w:t xml:space="preserve">, </w:t>
      </w:r>
      <w:r w:rsidR="00B45C27">
        <w:t>[pers. B]</w:t>
      </w:r>
      <w:r w:rsidRPr="004B62DF">
        <w:t xml:space="preserve"> un </w:t>
      </w:r>
      <w:r w:rsidR="00B45C27">
        <w:t>[pers. D]</w:t>
      </w:r>
      <w:r w:rsidRPr="004B62DF">
        <w:t xml:space="preserve"> būtu tikuši brīdināti par kriminālatbildību</w:t>
      </w:r>
      <w:r w:rsidR="005C069A" w:rsidRPr="004B62DF">
        <w:t xml:space="preserve">, </w:t>
      </w:r>
      <w:r w:rsidRPr="004B62DF">
        <w:t>k</w:t>
      </w:r>
      <w:r w:rsidR="00B8706A" w:rsidRPr="004B62DF">
        <w:t>ā</w:t>
      </w:r>
      <w:r w:rsidRPr="004B62DF">
        <w:t xml:space="preserve"> tikusi noskaidrota liecinieku personība, vai izskaidrotas viņu tiesības un pienākumi atbilstoši Kriminālprocesa likumā noteiktaj</w:t>
      </w:r>
      <w:r w:rsidR="00365124">
        <w:t>ai kārtībai.</w:t>
      </w:r>
    </w:p>
    <w:p w14:paraId="5AFDFBF4" w14:textId="7C30FB58" w:rsidR="00F001F6" w:rsidRPr="00042E98" w:rsidRDefault="00A42831" w:rsidP="00347470">
      <w:pPr>
        <w:spacing w:line="276" w:lineRule="auto"/>
        <w:ind w:right="-1" w:firstLine="720"/>
        <w:jc w:val="both"/>
      </w:pPr>
      <w:r w:rsidRPr="00042E98">
        <w:t>[</w:t>
      </w:r>
      <w:r w:rsidR="001046AE" w:rsidRPr="00042E98">
        <w:t>4</w:t>
      </w:r>
      <w:r w:rsidRPr="00042E98">
        <w:t>.</w:t>
      </w:r>
      <w:r w:rsidR="00195DCB" w:rsidRPr="00042E98">
        <w:t>9</w:t>
      </w:r>
      <w:r w:rsidRPr="00042E98">
        <w:t>] Apelācijas instances tiesa nav pamatojusi, kā ar brīvības atņemšan</w:t>
      </w:r>
      <w:r w:rsidR="009244C0">
        <w:t>u</w:t>
      </w:r>
      <w:r w:rsidRPr="00042E98">
        <w:t xml:space="preserve"> tiks sasniegts soda mērķis situācijā, kad nodarījumi izdarīti pirms 10 gadiem un visu šo laiku </w:t>
      </w:r>
      <w:r w:rsidR="00626F5E">
        <w:t>[pers. A]</w:t>
      </w:r>
      <w:r w:rsidRPr="00042E98">
        <w:t xml:space="preserve"> nav strādājis par maksātnespējas</w:t>
      </w:r>
      <w:r w:rsidR="00B74C54">
        <w:t xml:space="preserve"> procesa</w:t>
      </w:r>
      <w:r w:rsidRPr="00042E98">
        <w:t xml:space="preserve"> administratoru. Turklāt </w:t>
      </w:r>
      <w:r w:rsidR="00626F5E">
        <w:t>[pers. A]</w:t>
      </w:r>
      <w:r w:rsidRPr="00042E98">
        <w:t xml:space="preserve"> uztur septiņus bērnus un 10 gadu laikā nav izdarījis noziedzīgus nodarījumus vai administratīvus pārkāpumus.</w:t>
      </w:r>
    </w:p>
    <w:p w14:paraId="1A2F5624" w14:textId="1EF3B85B" w:rsidR="00A42831" w:rsidRPr="00042E98" w:rsidRDefault="00F001F6" w:rsidP="00347470">
      <w:pPr>
        <w:spacing w:line="276" w:lineRule="auto"/>
        <w:ind w:right="-1" w:firstLine="720"/>
        <w:jc w:val="both"/>
      </w:pPr>
      <w:r w:rsidRPr="00D15A31">
        <w:t xml:space="preserve">Apelācijas instances tiesa nepamatoti kā atbildību mīkstinošu apstākli nav ņēmusi vērā </w:t>
      </w:r>
      <w:r w:rsidR="00626F5E">
        <w:t>[pers. A]</w:t>
      </w:r>
      <w:r w:rsidRPr="00D15A31">
        <w:t xml:space="preserve"> personības raksturojumu un ģimenes stāvokli. Pirmās instances tiesa pareizi konstatējusi, ka lietā ir </w:t>
      </w:r>
      <w:r w:rsidR="00626F5E">
        <w:t>[pers. A]</w:t>
      </w:r>
      <w:r w:rsidRPr="00D15A31">
        <w:t xml:space="preserve"> personību pozitīvi raksturojošas ziņas</w:t>
      </w:r>
      <w:r w:rsidR="00C9167E">
        <w:t>. T</w:t>
      </w:r>
      <w:r w:rsidRPr="00D15A31">
        <w:t xml:space="preserve">ās nav tikušas ņemtas vērā, nosakot sodu. </w:t>
      </w:r>
      <w:r w:rsidR="00953B9E" w:rsidRPr="00D15A31">
        <w:t xml:space="preserve">Tāpat apelācijas instances tiesa vispār nav ņēmusi vērā ziņas par </w:t>
      </w:r>
      <w:r w:rsidR="00626F5E">
        <w:t>[pers. A]</w:t>
      </w:r>
      <w:r w:rsidR="00953B9E" w:rsidRPr="00D15A31">
        <w:t xml:space="preserve"> veselības stāvokli un nepieciešamo ārstēšanos.</w:t>
      </w:r>
      <w:r w:rsidR="00953B9E" w:rsidRPr="00042E98">
        <w:t xml:space="preserve"> </w:t>
      </w:r>
    </w:p>
    <w:p w14:paraId="22A91A81" w14:textId="296E0293" w:rsidR="00F001F6" w:rsidRPr="00042E98" w:rsidRDefault="002A2BED" w:rsidP="00347470">
      <w:pPr>
        <w:spacing w:line="276" w:lineRule="auto"/>
        <w:ind w:right="-1" w:firstLine="720"/>
        <w:jc w:val="both"/>
      </w:pPr>
      <w:r w:rsidRPr="00042E98">
        <w:t>S</w:t>
      </w:r>
      <w:r w:rsidR="00F001F6" w:rsidRPr="00042E98">
        <w:t>priedumā nav vērtēts</w:t>
      </w:r>
      <w:r w:rsidRPr="00042E98">
        <w:t xml:space="preserve">, kādas vispārējās drošības un sabiedriskās kārtības intereses </w:t>
      </w:r>
      <w:r w:rsidR="00626F5E">
        <w:t>[pers. A]</w:t>
      </w:r>
      <w:r w:rsidRPr="00042E98">
        <w:t xml:space="preserve"> apdraud un kāds ir brīvības atņemšanas soda preventīvais mērķis.</w:t>
      </w:r>
      <w:r w:rsidR="00953B9E" w:rsidRPr="00042E98">
        <w:t xml:space="preserve"> Tāpat spriedumā nav norādīts, kādēļ tiesa atzinusi, ka tai nav pārliecības, ka </w:t>
      </w:r>
      <w:r w:rsidR="00626F5E">
        <w:t>[pers. A]</w:t>
      </w:r>
      <w:r w:rsidR="00953B9E" w:rsidRPr="00042E98">
        <w:t xml:space="preserve">, sodu neizciešot, neizdarīs jaunus noziedzīgus nodarījumus. </w:t>
      </w:r>
    </w:p>
    <w:p w14:paraId="6E604C46" w14:textId="75F14ED4" w:rsidR="00AB092F" w:rsidRPr="00042E98" w:rsidRDefault="00AB092F" w:rsidP="00347470">
      <w:pPr>
        <w:spacing w:line="276" w:lineRule="auto"/>
        <w:ind w:right="-1" w:firstLine="720"/>
        <w:jc w:val="both"/>
      </w:pPr>
    </w:p>
    <w:p w14:paraId="61C89211" w14:textId="790AC5C3" w:rsidR="00AB092F" w:rsidRPr="00042E98" w:rsidRDefault="002A4A9C" w:rsidP="00347470">
      <w:pPr>
        <w:spacing w:line="276" w:lineRule="auto"/>
        <w:ind w:right="-1" w:firstLine="720"/>
        <w:jc w:val="both"/>
      </w:pPr>
      <w:r w:rsidRPr="00042E98">
        <w:t>[</w:t>
      </w:r>
      <w:r w:rsidR="001046AE" w:rsidRPr="00042E98">
        <w:t>5</w:t>
      </w:r>
      <w:r w:rsidRPr="00042E98">
        <w:t>] </w:t>
      </w:r>
      <w:r w:rsidR="00626F5E">
        <w:t>[Pers. A]</w:t>
      </w:r>
      <w:r w:rsidRPr="00042E98">
        <w:t xml:space="preserve"> aizstāv</w:t>
      </w:r>
      <w:r w:rsidR="005F5830" w:rsidRPr="00042E98">
        <w:t>is</w:t>
      </w:r>
      <w:r w:rsidRPr="00042E98">
        <w:t xml:space="preserve"> </w:t>
      </w:r>
      <w:r w:rsidR="005F5830" w:rsidRPr="00042E98">
        <w:t>A. </w:t>
      </w:r>
      <w:proofErr w:type="spellStart"/>
      <w:r w:rsidR="005F5830" w:rsidRPr="00042E98">
        <w:t>Kriķis</w:t>
      </w:r>
      <w:proofErr w:type="spellEnd"/>
      <w:r w:rsidR="005F5830" w:rsidRPr="00042E98">
        <w:t xml:space="preserve"> </w:t>
      </w:r>
      <w:r w:rsidRPr="00042E98">
        <w:t>kasācijas sūdzīb</w:t>
      </w:r>
      <w:r w:rsidR="008403A0" w:rsidRPr="00042E98">
        <w:t xml:space="preserve">ā </w:t>
      </w:r>
      <w:r w:rsidRPr="00042E98">
        <w:t>lūdz</w:t>
      </w:r>
      <w:r w:rsidR="00BA18F6" w:rsidRPr="00042E98">
        <w:t xml:space="preserve"> atcelt </w:t>
      </w:r>
      <w:r w:rsidR="00BB3D51">
        <w:t>abu instanču tiesu spriedumus</w:t>
      </w:r>
      <w:proofErr w:type="gramStart"/>
      <w:r w:rsidR="00BB3D51">
        <w:t xml:space="preserve"> </w:t>
      </w:r>
      <w:r w:rsidR="00BA18F6" w:rsidRPr="00042E98">
        <w:t>un</w:t>
      </w:r>
      <w:proofErr w:type="gramEnd"/>
      <w:r w:rsidR="00BA18F6" w:rsidRPr="00042E98">
        <w:t xml:space="preserve"> nosūtīt lietu jaunai izskatīšanai pirmās instances tiesā.</w:t>
      </w:r>
    </w:p>
    <w:p w14:paraId="64944137" w14:textId="579676B7" w:rsidR="00BA18F6" w:rsidRPr="00042E98" w:rsidRDefault="00F34797" w:rsidP="00347470">
      <w:pPr>
        <w:spacing w:line="276" w:lineRule="auto"/>
        <w:ind w:right="-1" w:firstLine="720"/>
        <w:jc w:val="both"/>
      </w:pPr>
      <w:bookmarkStart w:id="6" w:name="_Hlk126151632"/>
      <w:r w:rsidRPr="00042E98">
        <w:t>[</w:t>
      </w:r>
      <w:r w:rsidR="001046AE" w:rsidRPr="00042E98">
        <w:t>5</w:t>
      </w:r>
      <w:r w:rsidRPr="00042E98">
        <w:t>.1] </w:t>
      </w:r>
      <w:r w:rsidR="00626F5E">
        <w:t>[Pers. A]</w:t>
      </w:r>
      <w:r w:rsidRPr="00042E98">
        <w:t xml:space="preserve"> ir izdarījis vienu atsevišķu turpinātu noziedzīgu nodarījumu (kura pamatpazīmes noteiktas Krimināllikuma 23.</w:t>
      </w:r>
      <w:r w:rsidR="009D1F0B" w:rsidRPr="00042E98">
        <w:t> </w:t>
      </w:r>
      <w:r w:rsidRPr="00042E98">
        <w:t xml:space="preserve">panta trešajā daļā), nevis trīs </w:t>
      </w:r>
      <w:r w:rsidR="00BB3D51">
        <w:t xml:space="preserve">atsevišķus </w:t>
      </w:r>
      <w:r w:rsidRPr="00042E98">
        <w:t xml:space="preserve">noziedzīgus nodarījumus. Turklāt </w:t>
      </w:r>
      <w:r w:rsidR="00626F5E">
        <w:t>[pers. A]</w:t>
      </w:r>
      <w:r w:rsidRPr="00042E98">
        <w:t xml:space="preserve"> faktiski kopumā ir inkriminētas piecas atsevišķas darbības.</w:t>
      </w:r>
    </w:p>
    <w:p w14:paraId="03BA3C59" w14:textId="7691B89D" w:rsidR="00AB092F" w:rsidRPr="00042E98" w:rsidRDefault="00CB7AF8" w:rsidP="00347470">
      <w:pPr>
        <w:spacing w:line="276" w:lineRule="auto"/>
        <w:ind w:right="-1" w:firstLine="720"/>
        <w:jc w:val="both"/>
      </w:pPr>
      <w:r w:rsidRPr="00042E98">
        <w:t xml:space="preserve">Nepareizi kvalificējot </w:t>
      </w:r>
      <w:r w:rsidR="00626F5E">
        <w:t>[pers. A]</w:t>
      </w:r>
      <w:r w:rsidRPr="00042E98">
        <w:t xml:space="preserve"> inkriminētos noziedzīgos nodarījumus, apelācijas instances tiesa spriedumā nav ievērojusi Senāta judikatūrā, proti, 2020. gada 28. maija lēmumā lietā Nr. SKK</w:t>
      </w:r>
      <w:r w:rsidR="00A40BE6" w:rsidRPr="00042E98">
        <w:t>-14/202</w:t>
      </w:r>
      <w:r w:rsidR="008454DA" w:rsidRPr="00042E98">
        <w:t xml:space="preserve"> (domājams – Nr. SKK-14/2021</w:t>
      </w:r>
      <w:r w:rsidR="00611792">
        <w:t>, lietas Nr. </w:t>
      </w:r>
      <w:r w:rsidRPr="00042E98">
        <w:t>11270000219</w:t>
      </w:r>
      <w:r w:rsidR="00A40BE6" w:rsidRPr="00042E98">
        <w:t xml:space="preserve">) pausto atziņu. Minētajā lietā Senāts analoģiskā situācijā atzinis, ka gadījumos, </w:t>
      </w:r>
      <w:proofErr w:type="gramStart"/>
      <w:r w:rsidR="00A40BE6" w:rsidRPr="00042E98">
        <w:t>kad veiktas savstarpēji saistītas uz vienota mērķa sasni</w:t>
      </w:r>
      <w:r w:rsidR="00F56490" w:rsidRPr="00042E98">
        <w:t>e</w:t>
      </w:r>
      <w:r w:rsidR="00A40BE6" w:rsidRPr="00042E98">
        <w:t>gšanu</w:t>
      </w:r>
      <w:proofErr w:type="gramEnd"/>
      <w:r w:rsidR="00A40BE6" w:rsidRPr="00042E98">
        <w:t xml:space="preserve"> vērstas vairākas atšķirīgas viena noziedzīga nodarījuma sastāvā paredzētas objektīvās puses darbības, tās kvalificējamas kā viens</w:t>
      </w:r>
      <w:r w:rsidR="008454DA" w:rsidRPr="00042E98">
        <w:t xml:space="preserve"> vienots</w:t>
      </w:r>
      <w:r w:rsidR="00A40BE6" w:rsidRPr="00042E98">
        <w:t xml:space="preserve"> noziedzīgs nodarījums.</w:t>
      </w:r>
    </w:p>
    <w:p w14:paraId="17D8F6DD" w14:textId="450B2688" w:rsidR="00E20D2E" w:rsidRPr="00042E98" w:rsidRDefault="00E20D2E" w:rsidP="00347470">
      <w:pPr>
        <w:spacing w:line="276" w:lineRule="auto"/>
        <w:ind w:right="-1" w:firstLine="720"/>
        <w:jc w:val="both"/>
      </w:pPr>
      <w:r w:rsidRPr="00042E98">
        <w:t>Konstatējot nepareizu noziedzīgo nodarījumu kvalifikāciju, lieta nosūtāma jaunai izskatīšanai pirmās instances tiesā.</w:t>
      </w:r>
    </w:p>
    <w:bookmarkEnd w:id="6"/>
    <w:p w14:paraId="57D2098B" w14:textId="57BA2CAD" w:rsidR="00E20D2E" w:rsidRPr="00042E98" w:rsidRDefault="00E20D2E" w:rsidP="00347470">
      <w:pPr>
        <w:spacing w:line="276" w:lineRule="auto"/>
        <w:ind w:right="-1" w:firstLine="720"/>
        <w:jc w:val="both"/>
      </w:pPr>
      <w:r w:rsidRPr="00042E98">
        <w:t>[</w:t>
      </w:r>
      <w:r w:rsidR="001046AE" w:rsidRPr="00042E98">
        <w:t>5</w:t>
      </w:r>
      <w:r w:rsidRPr="00042E98">
        <w:t>.2] </w:t>
      </w:r>
      <w:bookmarkStart w:id="7" w:name="_Hlk128989819"/>
      <w:r w:rsidR="00626F5E">
        <w:t>[Pers. A]</w:t>
      </w:r>
      <w:r w:rsidR="00F56490" w:rsidRPr="00042E98">
        <w:t xml:space="preserve"> piespriestais sods neatbilst Krimināllikuma 35. panta pirmajā daļā noteiktajam soda mērķim, proti, sods </w:t>
      </w:r>
      <w:r w:rsidR="00BB3D51">
        <w:t>īsteno</w:t>
      </w:r>
      <w:r w:rsidR="00F56490" w:rsidRPr="00042E98">
        <w:t xml:space="preserve"> vienīgi tā sodošo funkciju.</w:t>
      </w:r>
      <w:bookmarkEnd w:id="7"/>
    </w:p>
    <w:p w14:paraId="48519262" w14:textId="7C6988A6" w:rsidR="00F56490" w:rsidRPr="00042E98" w:rsidRDefault="00F56490" w:rsidP="00347470">
      <w:pPr>
        <w:spacing w:line="276" w:lineRule="auto"/>
        <w:ind w:right="-1" w:firstLine="720"/>
        <w:jc w:val="both"/>
      </w:pPr>
    </w:p>
    <w:p w14:paraId="77AC3A58" w14:textId="708CA890" w:rsidR="00F56490" w:rsidRPr="00042E98" w:rsidRDefault="00F56490" w:rsidP="00347470">
      <w:pPr>
        <w:spacing w:line="276" w:lineRule="auto"/>
        <w:ind w:right="-1" w:firstLine="720"/>
        <w:jc w:val="both"/>
      </w:pPr>
      <w:r w:rsidRPr="00042E98">
        <w:t>[</w:t>
      </w:r>
      <w:r w:rsidR="001046AE" w:rsidRPr="00042E98">
        <w:t>6</w:t>
      </w:r>
      <w:r w:rsidRPr="00042E98">
        <w:t>] </w:t>
      </w:r>
      <w:r w:rsidR="00626F5E">
        <w:t>[Pers. A]</w:t>
      </w:r>
      <w:r w:rsidR="00C754C9" w:rsidRPr="00042E98">
        <w:t xml:space="preserve"> kasācijas sūdzībā lūdz atcelt pirmās un apelācijas instances tiesu spriedumus, attaisnot viņu un no</w:t>
      </w:r>
      <w:r w:rsidR="001B46DC">
        <w:t>sūtīt</w:t>
      </w:r>
      <w:r w:rsidR="00C754C9" w:rsidRPr="00042E98">
        <w:t xml:space="preserve"> lietu jaunai izskatīšanai apelācijas instances tiesā vai pirmās instances tiesā. </w:t>
      </w:r>
      <w:r w:rsidR="00450B10" w:rsidRPr="00042E98">
        <w:t xml:space="preserve">Ja attaisnošana nav iespējama, lūdz nosūtīt lietu jaunai izskatīšanai, lai brīvības atņemšanas soda vietā </w:t>
      </w:r>
      <w:r w:rsidR="0042124D">
        <w:t xml:space="preserve">notiesātu </w:t>
      </w:r>
      <w:proofErr w:type="gramStart"/>
      <w:r w:rsidR="0042124D">
        <w:t xml:space="preserve">nosacīti vai </w:t>
      </w:r>
      <w:r w:rsidR="00450B10" w:rsidRPr="00042E98">
        <w:t>noteiktu</w:t>
      </w:r>
      <w:proofErr w:type="gramEnd"/>
      <w:r w:rsidR="00450B10" w:rsidRPr="00042E98">
        <w:t xml:space="preserve"> sabiedrisko darbu vai naudas sodu. Tāpat lūdz atcelt drošības līdzekli – aizliegumu izbraukt no valsts.</w:t>
      </w:r>
    </w:p>
    <w:p w14:paraId="5446708C" w14:textId="5C8A2FE9" w:rsidR="009E6736" w:rsidRPr="00042E98" w:rsidRDefault="009E6736" w:rsidP="00B33005">
      <w:pPr>
        <w:spacing w:line="276" w:lineRule="auto"/>
        <w:ind w:right="-1" w:firstLine="720"/>
        <w:jc w:val="both"/>
      </w:pPr>
      <w:r w:rsidRPr="00042E98">
        <w:t>[</w:t>
      </w:r>
      <w:r w:rsidR="001046AE" w:rsidRPr="00042E98">
        <w:t>6</w:t>
      </w:r>
      <w:r w:rsidRPr="00042E98">
        <w:t>.</w:t>
      </w:r>
      <w:r w:rsidR="00300C9F" w:rsidRPr="00042E98">
        <w:t>1</w:t>
      </w:r>
      <w:r w:rsidRPr="00042E98">
        <w:t>] </w:t>
      </w:r>
      <w:bookmarkStart w:id="8" w:name="_Hlk128989831"/>
      <w:r w:rsidRPr="00042E98">
        <w:t xml:space="preserve">Abu instanču tiesas bez pamatojuma pārtraukušas </w:t>
      </w:r>
      <w:r w:rsidR="00626F5E">
        <w:t>[pers. A]</w:t>
      </w:r>
      <w:r w:rsidRPr="00042E98">
        <w:t xml:space="preserve"> pēdēj</w:t>
      </w:r>
      <w:r w:rsidR="00B33005">
        <w:t>ā</w:t>
      </w:r>
      <w:r w:rsidRPr="00042E98">
        <w:t xml:space="preserve"> vārd</w:t>
      </w:r>
      <w:r w:rsidR="00B33005">
        <w:t>ā.</w:t>
      </w:r>
    </w:p>
    <w:bookmarkEnd w:id="8"/>
    <w:p w14:paraId="7D96F735" w14:textId="02DF46FF" w:rsidR="00A3016E" w:rsidRPr="00042E98" w:rsidRDefault="00195DCB" w:rsidP="00347470">
      <w:pPr>
        <w:spacing w:line="276" w:lineRule="auto"/>
        <w:ind w:right="-1" w:firstLine="720"/>
        <w:jc w:val="both"/>
      </w:pPr>
      <w:r w:rsidRPr="00042E98">
        <w:t>[6.2] </w:t>
      </w:r>
      <w:r w:rsidR="00A3016E" w:rsidRPr="00042E98">
        <w:t xml:space="preserve">Tiesa nav ņēmusi vērā, ka saistībā ar administratora atlīdzību 2018. gada </w:t>
      </w:r>
      <w:r w:rsidR="00626F5E">
        <w:t>[..]</w:t>
      </w:r>
      <w:r w:rsidR="00A3016E" w:rsidRPr="00042E98">
        <w:t xml:space="preserve"> ir bijusi kreditoru sapulce un </w:t>
      </w:r>
      <w:r w:rsidR="00626F5E">
        <w:t>[pers. A]</w:t>
      </w:r>
      <w:r w:rsidR="00A3016E" w:rsidRPr="00042E98">
        <w:t xml:space="preserve"> vienošanās par administratora atlīdzību 50 400 </w:t>
      </w:r>
      <w:proofErr w:type="spellStart"/>
      <w:r w:rsidR="00A3016E" w:rsidRPr="00042E98">
        <w:rPr>
          <w:i/>
          <w:iCs/>
        </w:rPr>
        <w:t>euro</w:t>
      </w:r>
      <w:proofErr w:type="spellEnd"/>
      <w:r w:rsidR="00A3016E" w:rsidRPr="00042E98">
        <w:t xml:space="preserve">. </w:t>
      </w:r>
    </w:p>
    <w:p w14:paraId="63FF518B" w14:textId="38926026" w:rsidR="00195DCB" w:rsidRPr="00042E98" w:rsidRDefault="00195DCB" w:rsidP="002C662E">
      <w:pPr>
        <w:spacing w:line="276" w:lineRule="auto"/>
        <w:ind w:right="-1" w:firstLine="720"/>
        <w:jc w:val="both"/>
      </w:pPr>
      <w:r w:rsidRPr="00042E98">
        <w:t>[6.3] </w:t>
      </w:r>
      <w:r w:rsidRPr="00B143A2">
        <w:t>Noziedzīgajā nodarījumā, kas</w:t>
      </w:r>
      <w:r w:rsidRPr="00042E98">
        <w:t xml:space="preserve"> inkriminēts saistībā ar aizdevumu, nav konstatējama cēloņsakarība starp </w:t>
      </w:r>
      <w:r w:rsidR="00626F5E">
        <w:t>[pers. A]</w:t>
      </w:r>
      <w:r w:rsidRPr="00042E98">
        <w:t xml:space="preserve"> darbībām un nodarīto kaitējumu</w:t>
      </w:r>
      <w:r w:rsidR="00B2785F" w:rsidRPr="00042E98">
        <w:t xml:space="preserve">, kā arī </w:t>
      </w:r>
      <w:r w:rsidRPr="00042E98">
        <w:t xml:space="preserve">subjektīvā puse </w:t>
      </w:r>
      <w:r w:rsidR="00626F5E">
        <w:t>[pers. A]</w:t>
      </w:r>
      <w:r w:rsidRPr="00042E98">
        <w:t xml:space="preserve"> darbībās. </w:t>
      </w:r>
      <w:r w:rsidR="002C662E" w:rsidRPr="00042E98">
        <w:t>T</w:t>
      </w:r>
      <w:r w:rsidRPr="00042E98">
        <w:t>iesa nav ņēmusi vērā apelācijas sūdzībā norādīto argumentu, ka aizdevum</w:t>
      </w:r>
      <w:r w:rsidR="00E62069" w:rsidRPr="00042E98">
        <w:t>s</w:t>
      </w:r>
      <w:proofErr w:type="gramStart"/>
      <w:r w:rsidR="00105E0A" w:rsidRPr="00042E98">
        <w:t xml:space="preserve"> </w:t>
      </w:r>
      <w:r w:rsidRPr="00042E98">
        <w:t>izsnieg</w:t>
      </w:r>
      <w:r w:rsidR="00E62069" w:rsidRPr="00042E98">
        <w:t>ts</w:t>
      </w:r>
      <w:r w:rsidRPr="00042E98">
        <w:t xml:space="preserve"> aiz neuzmanības</w:t>
      </w:r>
      <w:proofErr w:type="gramEnd"/>
      <w:r w:rsidR="0042124D" w:rsidRPr="00042E98">
        <w:t>, nevis</w:t>
      </w:r>
      <w:r w:rsidRPr="00042E98">
        <w:t xml:space="preserve"> tīši.  </w:t>
      </w:r>
    </w:p>
    <w:p w14:paraId="5BE6F480" w14:textId="0BA67FEC" w:rsidR="00423DC1" w:rsidRPr="00042E98" w:rsidRDefault="00423DC1" w:rsidP="00347470">
      <w:pPr>
        <w:spacing w:line="276" w:lineRule="auto"/>
        <w:ind w:right="-1" w:firstLine="720"/>
        <w:jc w:val="both"/>
      </w:pPr>
      <w:r w:rsidRPr="00042E98">
        <w:t xml:space="preserve">Ar </w:t>
      </w:r>
      <w:r w:rsidR="00626F5E">
        <w:t>[pers. A]</w:t>
      </w:r>
      <w:r w:rsidRPr="00042E98">
        <w:t xml:space="preserve"> darbībām nav aizskartas MSIA „</w:t>
      </w:r>
      <w:r w:rsidR="00626F5E">
        <w:t>[Nosaukums A]</w:t>
      </w:r>
      <w:r w:rsidRPr="00042E98">
        <w:t>” intereses. Jautājumi par aizdevuma izsniegšanu un priekšlaicīgu administratora atlīdzības izmaksu ir risināmi</w:t>
      </w:r>
      <w:r w:rsidR="001B46DC">
        <w:t xml:space="preserve"> civiltiesiski</w:t>
      </w:r>
      <w:r w:rsidRPr="00042E98">
        <w:t>.</w:t>
      </w:r>
    </w:p>
    <w:p w14:paraId="31DD7735" w14:textId="44A8F3A8" w:rsidR="00F40542" w:rsidRPr="00042E98" w:rsidRDefault="00F40542" w:rsidP="002C662E">
      <w:pPr>
        <w:spacing w:line="276" w:lineRule="auto"/>
        <w:ind w:right="-1" w:firstLine="720"/>
        <w:jc w:val="both"/>
      </w:pPr>
      <w:r w:rsidRPr="00042E98">
        <w:t>[</w:t>
      </w:r>
      <w:r w:rsidR="001046AE" w:rsidRPr="00042E98">
        <w:t>6</w:t>
      </w:r>
      <w:r w:rsidRPr="00042E98">
        <w:t>.</w:t>
      </w:r>
      <w:r w:rsidR="002C662E" w:rsidRPr="00042E98">
        <w:t>4</w:t>
      </w:r>
      <w:r w:rsidRPr="00042E98">
        <w:t>] Tiesa</w:t>
      </w:r>
      <w:r w:rsidR="00C9167E">
        <w:t xml:space="preserve"> </w:t>
      </w:r>
      <w:r w:rsidRPr="00042E98">
        <w:t>nepareizi kvalificējusi pirmo noziedzīgo nodarījumu par grāmatvedības pakalpojumu apmaksu.</w:t>
      </w:r>
      <w:r w:rsidR="002C662E" w:rsidRPr="00042E98">
        <w:t xml:space="preserve"> </w:t>
      </w:r>
      <w:r w:rsidR="00875F3D" w:rsidRPr="00042E98">
        <w:t xml:space="preserve">Spriedumā tiesa nav ņēmusi vērā </w:t>
      </w:r>
      <w:r w:rsidR="00626F5E">
        <w:t>[pers. E]</w:t>
      </w:r>
      <w:r w:rsidR="00875F3D" w:rsidRPr="00042E98">
        <w:t xml:space="preserve"> vienošan</w:t>
      </w:r>
      <w:r w:rsidR="00B33005">
        <w:t xml:space="preserve">os </w:t>
      </w:r>
      <w:r w:rsidR="00875F3D" w:rsidRPr="00042E98">
        <w:t>un</w:t>
      </w:r>
      <w:r w:rsidR="00423DC1" w:rsidRPr="00042E98">
        <w:t xml:space="preserve"> viņa</w:t>
      </w:r>
      <w:r w:rsidR="00875F3D" w:rsidRPr="00042E98">
        <w:t xml:space="preserve"> tiesā sniegtā</w:t>
      </w:r>
      <w:r w:rsidR="00423DC1" w:rsidRPr="00042E98">
        <w:t>s</w:t>
      </w:r>
      <w:r w:rsidR="00875F3D" w:rsidRPr="00042E98">
        <w:t xml:space="preserve"> liecības, kas pamato naudas izmaksu </w:t>
      </w:r>
      <w:r w:rsidR="00626F5E">
        <w:t>[pers. A]</w:t>
      </w:r>
      <w:r w:rsidR="00875F3D" w:rsidRPr="00042E98">
        <w:t>.</w:t>
      </w:r>
    </w:p>
    <w:p w14:paraId="5A727E66" w14:textId="5D30A0E4" w:rsidR="007132E0" w:rsidRPr="00042E98" w:rsidRDefault="00195DCB" w:rsidP="00347470">
      <w:pPr>
        <w:spacing w:line="276" w:lineRule="auto"/>
        <w:ind w:right="-1" w:firstLine="720"/>
        <w:jc w:val="both"/>
      </w:pPr>
      <w:r w:rsidRPr="00042E98">
        <w:t>[6.</w:t>
      </w:r>
      <w:r w:rsidR="002C662E" w:rsidRPr="00042E98">
        <w:t>5</w:t>
      </w:r>
      <w:r w:rsidRPr="00042E98">
        <w:t>] </w:t>
      </w:r>
      <w:r w:rsidR="007132E0" w:rsidRPr="00042E98">
        <w:t xml:space="preserve">Pirmās instances tiesa pierādīšanā nepamatoti </w:t>
      </w:r>
      <w:r w:rsidR="000746AE" w:rsidRPr="00042E98">
        <w:t>i</w:t>
      </w:r>
      <w:r w:rsidR="007132E0" w:rsidRPr="00042E98">
        <w:t xml:space="preserve">zmantojusi </w:t>
      </w:r>
      <w:r w:rsidR="00626F5E">
        <w:t>[pers. B]</w:t>
      </w:r>
      <w:r w:rsidR="007132E0" w:rsidRPr="00042E98">
        <w:t xml:space="preserve"> liecības, kuru ticamību neapstiprina neviens cits pierādījums</w:t>
      </w:r>
      <w:r w:rsidR="00274A3A" w:rsidRPr="00042E98">
        <w:t>.</w:t>
      </w:r>
    </w:p>
    <w:p w14:paraId="73CCF333" w14:textId="192756D2" w:rsidR="00274A3A" w:rsidRPr="00042E98" w:rsidRDefault="00626F5E" w:rsidP="00347470">
      <w:pPr>
        <w:spacing w:line="276" w:lineRule="auto"/>
        <w:ind w:right="-1" w:firstLine="720"/>
        <w:jc w:val="both"/>
      </w:pPr>
      <w:r>
        <w:t>[Pers. B]</w:t>
      </w:r>
      <w:r w:rsidR="00274A3A" w:rsidRPr="00042E98">
        <w:t xml:space="preserve"> un </w:t>
      </w:r>
      <w:r>
        <w:t>[pers. C]</w:t>
      </w:r>
      <w:r w:rsidR="00274A3A" w:rsidRPr="00042E98">
        <w:t xml:space="preserve"> liecības atzīstamas par nepieļaujamām, jo tās nav pārbaudītas tiesā. Tādējādi tiesas spriedums ir pamatots ar nepārbaudītiem pierādījumiem.</w:t>
      </w:r>
    </w:p>
    <w:p w14:paraId="5340A3B3" w14:textId="7EB660BD" w:rsidR="004079B9" w:rsidRPr="004B62DF" w:rsidRDefault="00423DC1" w:rsidP="00347470">
      <w:pPr>
        <w:spacing w:line="276" w:lineRule="auto"/>
        <w:ind w:right="-1" w:firstLine="720"/>
        <w:jc w:val="both"/>
      </w:pPr>
      <w:r w:rsidRPr="004B62DF">
        <w:t>[</w:t>
      </w:r>
      <w:r w:rsidR="001046AE" w:rsidRPr="004B62DF">
        <w:t>6</w:t>
      </w:r>
      <w:r w:rsidRPr="004B62DF">
        <w:t>.</w:t>
      </w:r>
      <w:r w:rsidR="002C662E" w:rsidRPr="004B62DF">
        <w:t>6</w:t>
      </w:r>
      <w:r w:rsidRPr="004B62DF">
        <w:t>] MSIA „</w:t>
      </w:r>
      <w:r w:rsidR="00626F5E">
        <w:t>[Nosaukums A]</w:t>
      </w:r>
      <w:r w:rsidRPr="004B62DF">
        <w:t xml:space="preserve">” </w:t>
      </w:r>
      <w:r w:rsidR="00892330" w:rsidRPr="004B62DF">
        <w:t xml:space="preserve">par cietušo </w:t>
      </w:r>
      <w:r w:rsidRPr="004B62DF">
        <w:t>ir atzīta</w:t>
      </w:r>
      <w:r w:rsidR="00892330" w:rsidRPr="004B62DF">
        <w:t xml:space="preserve"> nepamatoti</w:t>
      </w:r>
      <w:r w:rsidRPr="004B62DF">
        <w:t xml:space="preserve">. Lietā ir aizskartas </w:t>
      </w:r>
      <w:r w:rsidRPr="00E64BED">
        <w:t>AS „Rietumu banka”</w:t>
      </w:r>
      <w:r w:rsidRPr="004B62DF">
        <w:t xml:space="preserve"> un administratores </w:t>
      </w:r>
      <w:r w:rsidR="00626F5E">
        <w:t>[pers. F]</w:t>
      </w:r>
      <w:r w:rsidRPr="004B62DF">
        <w:t xml:space="preserve"> mantiskās intereses, nevis MSIA „</w:t>
      </w:r>
      <w:r w:rsidR="00626F5E">
        <w:t>[Nosaukums A]</w:t>
      </w:r>
      <w:r w:rsidRPr="004B62DF">
        <w:t>” mantiskās intereses.</w:t>
      </w:r>
    </w:p>
    <w:p w14:paraId="7A8A631F" w14:textId="11DB12CD" w:rsidR="002C662E" w:rsidRPr="004B62DF" w:rsidRDefault="002C662E" w:rsidP="002C662E">
      <w:pPr>
        <w:spacing w:line="276" w:lineRule="auto"/>
        <w:ind w:right="-1" w:firstLine="720"/>
        <w:jc w:val="both"/>
      </w:pPr>
      <w:r w:rsidRPr="004B62DF">
        <w:t xml:space="preserve">[6.7] Tiesa nav pamatojusi, kādēļ </w:t>
      </w:r>
      <w:r w:rsidR="00626F5E">
        <w:t>[pers. A]</w:t>
      </w:r>
      <w:r w:rsidRPr="004B62DF">
        <w:t xml:space="preserve"> tiek inkriminēti trīs patstāvīgi noziedzīgi nodarījumi, nevis viens ar vienotu nodomu izdarīts noziedzīgs nodarījums. </w:t>
      </w:r>
      <w:bookmarkStart w:id="9" w:name="_Hlk128989222"/>
      <w:r w:rsidRPr="001B46DC">
        <w:t>Tiesa formāli palielinājusi noziedzīgo nodarījumu skaitu</w:t>
      </w:r>
      <w:bookmarkEnd w:id="9"/>
      <w:r w:rsidRPr="001B46DC">
        <w:t>,</w:t>
      </w:r>
      <w:r w:rsidRPr="004B62DF">
        <w:t xml:space="preserve"> kas būtiski ietekmē nosakāmo sodu.  </w:t>
      </w:r>
    </w:p>
    <w:p w14:paraId="208605C5" w14:textId="124780F2" w:rsidR="00437CB7" w:rsidRPr="00042E98" w:rsidRDefault="004C3128" w:rsidP="004C3128">
      <w:pPr>
        <w:spacing w:line="276" w:lineRule="auto"/>
        <w:ind w:right="-1" w:firstLine="720"/>
        <w:jc w:val="both"/>
      </w:pPr>
      <w:r w:rsidRPr="004B62DF">
        <w:t>[</w:t>
      </w:r>
      <w:r w:rsidR="001046AE" w:rsidRPr="004B62DF">
        <w:t>6</w:t>
      </w:r>
      <w:r w:rsidRPr="004B62DF">
        <w:t>.</w:t>
      </w:r>
      <w:r w:rsidR="00157271" w:rsidRPr="004B62DF">
        <w:t>8</w:t>
      </w:r>
      <w:r w:rsidRPr="004B62DF">
        <w:t>] Krimināllietas materiāliem ir pievienoti dokumenti krievu valodā bez to tulkojuma latviešu valodā, nepārliecinoties par lietas dalībnieku prasmi lietot šo valodu.</w:t>
      </w:r>
      <w:r w:rsidRPr="00042E98">
        <w:t xml:space="preserve"> </w:t>
      </w:r>
    </w:p>
    <w:p w14:paraId="223E6E8E" w14:textId="644A8A19" w:rsidR="003F6129" w:rsidRPr="00042E98" w:rsidRDefault="003F6129" w:rsidP="00347470">
      <w:pPr>
        <w:spacing w:line="276" w:lineRule="auto"/>
        <w:ind w:right="-1" w:firstLine="720"/>
        <w:jc w:val="both"/>
      </w:pPr>
      <w:r w:rsidRPr="00042E98">
        <w:t>[</w:t>
      </w:r>
      <w:r w:rsidR="001046AE" w:rsidRPr="00042E98">
        <w:t>6</w:t>
      </w:r>
      <w:r w:rsidRPr="00042E98">
        <w:t>.</w:t>
      </w:r>
      <w:r w:rsidR="003A23F6" w:rsidRPr="00042E98">
        <w:t>9</w:t>
      </w:r>
      <w:r w:rsidRPr="00181757">
        <w:t xml:space="preserve">] Prokurore Jolanta Krauze konkrētajā lietā atradusies interešu konfliktā ar </w:t>
      </w:r>
      <w:r w:rsidR="00626F5E">
        <w:t>[pers. A]</w:t>
      </w:r>
      <w:r w:rsidRPr="00181757">
        <w:t xml:space="preserve">, jo bijusi uzraugošā prokurore citā kriminālprocesā pret </w:t>
      </w:r>
      <w:r w:rsidR="00626F5E">
        <w:t>[pers. A]</w:t>
      </w:r>
      <w:r w:rsidRPr="00181757">
        <w:t>, kas ticis izbeigts uz reabilitējoša pamata.</w:t>
      </w:r>
      <w:r w:rsidRPr="00042E98">
        <w:t xml:space="preserve"> </w:t>
      </w:r>
    </w:p>
    <w:p w14:paraId="3DA5BF29" w14:textId="25AE73BB" w:rsidR="00051633" w:rsidRPr="00042E98" w:rsidRDefault="00051633" w:rsidP="00051633">
      <w:pPr>
        <w:spacing w:line="276" w:lineRule="auto"/>
        <w:ind w:right="-1" w:firstLine="720"/>
        <w:jc w:val="both"/>
      </w:pPr>
      <w:r w:rsidRPr="00042E98">
        <w:t>[</w:t>
      </w:r>
      <w:r w:rsidR="001046AE" w:rsidRPr="00042E98">
        <w:t>6</w:t>
      </w:r>
      <w:r w:rsidRPr="00042E98">
        <w:t>.1</w:t>
      </w:r>
      <w:r w:rsidR="003A23F6" w:rsidRPr="00042E98">
        <w:t>0</w:t>
      </w:r>
      <w:r w:rsidRPr="00042E98">
        <w:t xml:space="preserve">] Abu instanču tiesas nepamatoti nav pieņēmušas blakus lēmumus saistībā ar pienākumu </w:t>
      </w:r>
      <w:r w:rsidR="00626F5E">
        <w:t>[pers. G]</w:t>
      </w:r>
      <w:r w:rsidRPr="00BF0B2F">
        <w:t xml:space="preserve"> un</w:t>
      </w:r>
      <w:r w:rsidRPr="00042E98">
        <w:t xml:space="preserve"> </w:t>
      </w:r>
      <w:r w:rsidR="00626F5E">
        <w:t>[pers. F]</w:t>
      </w:r>
      <w:r w:rsidR="00334062" w:rsidRPr="00042E98">
        <w:t xml:space="preserve"> </w:t>
      </w:r>
      <w:r w:rsidRPr="00042E98">
        <w:t>iesniegt apdrošināšanas atlīdzības pieteikumus</w:t>
      </w:r>
      <w:r w:rsidR="00334062" w:rsidRPr="00042E98">
        <w:t>.</w:t>
      </w:r>
      <w:r w:rsidRPr="00042E98">
        <w:t xml:space="preserve"> </w:t>
      </w:r>
    </w:p>
    <w:p w14:paraId="6A755D48" w14:textId="56FFBD40" w:rsidR="003A23F6" w:rsidRPr="00042E98" w:rsidRDefault="003A23F6" w:rsidP="003A23F6">
      <w:pPr>
        <w:spacing w:line="276" w:lineRule="auto"/>
        <w:ind w:right="-1" w:firstLine="720"/>
        <w:jc w:val="both"/>
      </w:pPr>
      <w:r w:rsidRPr="00042E98">
        <w:t xml:space="preserve">[6.11] Pirmās instances tiesas tiesnesis ierobežojis </w:t>
      </w:r>
      <w:r w:rsidR="00626F5E">
        <w:t>[pers. A]</w:t>
      </w:r>
      <w:r w:rsidRPr="00042E98">
        <w:t xml:space="preserve"> tiesības iepazīties ar visiem lietas materiāliem.</w:t>
      </w:r>
    </w:p>
    <w:p w14:paraId="615A90E4" w14:textId="327BE789" w:rsidR="003A23F6" w:rsidRPr="00042E98" w:rsidRDefault="003A23F6" w:rsidP="003A23F6">
      <w:pPr>
        <w:spacing w:line="276" w:lineRule="auto"/>
        <w:ind w:right="-1" w:firstLine="720"/>
        <w:jc w:val="both"/>
      </w:pPr>
      <w:r w:rsidRPr="00042E98">
        <w:t xml:space="preserve">[6.12] Spriedumā </w:t>
      </w:r>
      <w:proofErr w:type="gramStart"/>
      <w:r w:rsidRPr="00042E98">
        <w:t xml:space="preserve">nav </w:t>
      </w:r>
      <w:r w:rsidR="00B33005">
        <w:t>izvērtēta</w:t>
      </w:r>
      <w:r w:rsidRPr="00042E98">
        <w:t xml:space="preserve"> faktisko līdzdalībnieku</w:t>
      </w:r>
      <w:proofErr w:type="gramEnd"/>
      <w:r w:rsidRPr="00042E98">
        <w:t xml:space="preserve"> </w:t>
      </w:r>
      <w:r w:rsidR="00626F5E">
        <w:t>[pers. B]</w:t>
      </w:r>
      <w:r w:rsidRPr="00042E98">
        <w:t xml:space="preserve">, </w:t>
      </w:r>
      <w:r w:rsidR="00626F5E">
        <w:t>[pers. C]</w:t>
      </w:r>
      <w:r w:rsidRPr="00042E98">
        <w:t xml:space="preserve">, </w:t>
      </w:r>
      <w:r w:rsidR="00626F5E">
        <w:t>[pers. D]</w:t>
      </w:r>
      <w:r w:rsidRPr="00042E98">
        <w:t xml:space="preserve">, </w:t>
      </w:r>
      <w:r w:rsidR="00626F5E">
        <w:t>[pers. H]</w:t>
      </w:r>
      <w:r w:rsidRPr="00042E98">
        <w:t xml:space="preserve"> un </w:t>
      </w:r>
      <w:r w:rsidR="00626F5E">
        <w:t>[pers. E]</w:t>
      </w:r>
      <w:r w:rsidRPr="00042E98">
        <w:t xml:space="preserve"> atbildība</w:t>
      </w:r>
      <w:r w:rsidR="00297C51">
        <w:t xml:space="preserve"> </w:t>
      </w:r>
      <w:r w:rsidR="00626F5E">
        <w:t>[pers. A]</w:t>
      </w:r>
      <w:r w:rsidRPr="00042E98">
        <w:t xml:space="preserve"> inkriminētajos noziedzīgajos nodarījumos. </w:t>
      </w:r>
    </w:p>
    <w:p w14:paraId="3C626D8F" w14:textId="4E654B78" w:rsidR="003F6129" w:rsidRPr="00042E98" w:rsidRDefault="003F6129" w:rsidP="00347470">
      <w:pPr>
        <w:spacing w:line="276" w:lineRule="auto"/>
        <w:ind w:right="-1" w:firstLine="720"/>
        <w:jc w:val="both"/>
      </w:pPr>
      <w:r w:rsidRPr="00042E98">
        <w:t>[</w:t>
      </w:r>
      <w:r w:rsidR="001046AE" w:rsidRPr="00042E98">
        <w:t>6</w:t>
      </w:r>
      <w:r w:rsidRPr="00042E98">
        <w:t>.</w:t>
      </w:r>
      <w:r w:rsidR="004C3128" w:rsidRPr="00042E98">
        <w:t>1</w:t>
      </w:r>
      <w:r w:rsidR="00157271" w:rsidRPr="00042E98">
        <w:t>3</w:t>
      </w:r>
      <w:r w:rsidRPr="00042E98">
        <w:t xml:space="preserve">] Spriedumā nav norādīta informācija par soda izpildes iestādi un ierašanās termiņu. </w:t>
      </w:r>
    </w:p>
    <w:p w14:paraId="4808BE5A" w14:textId="194236CF" w:rsidR="009C7155" w:rsidRPr="00042E98" w:rsidRDefault="009C7155" w:rsidP="00347470">
      <w:pPr>
        <w:spacing w:line="276" w:lineRule="auto"/>
        <w:ind w:right="-1" w:firstLine="720"/>
        <w:jc w:val="both"/>
      </w:pPr>
      <w:r w:rsidRPr="00042E98">
        <w:t>[</w:t>
      </w:r>
      <w:r w:rsidR="001046AE" w:rsidRPr="00042E98">
        <w:t>6</w:t>
      </w:r>
      <w:r w:rsidRPr="00042E98">
        <w:t>.</w:t>
      </w:r>
      <w:r w:rsidR="003F6129" w:rsidRPr="00042E98">
        <w:t>1</w:t>
      </w:r>
      <w:r w:rsidR="002C662E" w:rsidRPr="00042E98">
        <w:t>4</w:t>
      </w:r>
      <w:r w:rsidRPr="00042E98">
        <w:t>] Tiesa spriedumā tikai formāli atsaukusies uz soda noteikšanu atbilstoši soda mērķim, bet nav pamatojusi, kā, nosakot brīvības atņemšanas sodu, tiks sasniegts soda mērķis</w:t>
      </w:r>
      <w:r w:rsidR="00F14F48" w:rsidRPr="00042E98">
        <w:t>. T</w:t>
      </w:r>
      <w:r w:rsidRPr="00042E98">
        <w:t>āpat tiesa nav analizējusi noziedzīgo nodarījumu raksturu un nav pamatojusi noteikto soda mēr</w:t>
      </w:r>
      <w:r w:rsidR="006259BA" w:rsidRPr="00042E98">
        <w:t>u</w:t>
      </w:r>
      <w:r w:rsidR="007631BA" w:rsidRPr="00042E98">
        <w:t xml:space="preserve"> un piemēroto soda mēr</w:t>
      </w:r>
      <w:r w:rsidR="001B46DC">
        <w:t>u</w:t>
      </w:r>
      <w:r w:rsidR="007631BA" w:rsidRPr="00042E98">
        <w:t xml:space="preserve"> samazinājusi saistībā ar tiesību uz kriminālprocesa pabeigšanu saprātīgā termiņā pārkāpumu</w:t>
      </w:r>
      <w:r w:rsidRPr="00042E98">
        <w:t xml:space="preserve">. Spriedumā nav vērtēta iespēja </w:t>
      </w:r>
      <w:r w:rsidR="001B46DC">
        <w:t xml:space="preserve">apsūdzēto </w:t>
      </w:r>
      <w:r w:rsidRPr="00042E98">
        <w:t>no</w:t>
      </w:r>
      <w:r w:rsidR="00817267">
        <w:t>tiesāt no</w:t>
      </w:r>
      <w:r w:rsidRPr="00042E98">
        <w:t>sacīt</w:t>
      </w:r>
      <w:r w:rsidR="00817267">
        <w:t xml:space="preserve">i, </w:t>
      </w:r>
      <w:r w:rsidR="00366D10" w:rsidRPr="00817267">
        <w:t>piemēro</w:t>
      </w:r>
      <w:r w:rsidR="00817267">
        <w:t>jot</w:t>
      </w:r>
      <w:r w:rsidRPr="00817267">
        <w:t xml:space="preserve"> papildsodu</w:t>
      </w:r>
      <w:r w:rsidR="00817267">
        <w:t>,</w:t>
      </w:r>
      <w:r w:rsidR="00817267" w:rsidRPr="00817267">
        <w:t xml:space="preserve"> vai atbrīvot no kriminālatbildības vai soda</w:t>
      </w:r>
      <w:r w:rsidRPr="00042E98">
        <w:t xml:space="preserve">. </w:t>
      </w:r>
    </w:p>
    <w:p w14:paraId="638A6E6C" w14:textId="4687E608" w:rsidR="00423DC1" w:rsidRPr="00042E98" w:rsidRDefault="00423DC1" w:rsidP="00347470">
      <w:pPr>
        <w:spacing w:line="276" w:lineRule="auto"/>
        <w:ind w:right="-1" w:firstLine="720"/>
        <w:jc w:val="both"/>
      </w:pPr>
      <w:r w:rsidRPr="00042E98">
        <w:t>Tāpat tiesa nepamatoti nav ņēmusi vērā apelācijas sūdzībā norādīt</w:t>
      </w:r>
      <w:r w:rsidR="0042124D">
        <w:t>o</w:t>
      </w:r>
      <w:r w:rsidRPr="00042E98">
        <w:t>s septiņus atbildību mīkstinoš</w:t>
      </w:r>
      <w:r w:rsidR="00D019D5" w:rsidRPr="00042E98">
        <w:t>u</w:t>
      </w:r>
      <w:r w:rsidRPr="00042E98">
        <w:t xml:space="preserve">s apstākļus.  </w:t>
      </w:r>
    </w:p>
    <w:p w14:paraId="20C25FB0" w14:textId="1116DC75" w:rsidR="009C7155" w:rsidRPr="00042E98" w:rsidRDefault="009C7155" w:rsidP="00347470">
      <w:pPr>
        <w:spacing w:line="276" w:lineRule="auto"/>
        <w:ind w:right="-1" w:firstLine="720"/>
        <w:jc w:val="both"/>
      </w:pPr>
      <w:r w:rsidRPr="00042E98">
        <w:t xml:space="preserve">Turklāt tiesa nav norādījusi, kā </w:t>
      </w:r>
      <w:r w:rsidR="00626F5E">
        <w:t>[pers. A]</w:t>
      </w:r>
      <w:r w:rsidRPr="00042E98">
        <w:t xml:space="preserve"> personību pozitīvi raksturojošās ziņas ir ietekmējušas soda veida izvēli. </w:t>
      </w:r>
      <w:r w:rsidR="00366D10">
        <w:t>S</w:t>
      </w:r>
      <w:r w:rsidR="00AB568B" w:rsidRPr="00042E98">
        <w:t>priedumā norādī</w:t>
      </w:r>
      <w:r w:rsidR="00366D10">
        <w:t>ts</w:t>
      </w:r>
      <w:r w:rsidR="00AB568B" w:rsidRPr="00042E98">
        <w:t xml:space="preserve"> nepareiz</w:t>
      </w:r>
      <w:r w:rsidR="00366D10">
        <w:t>s</w:t>
      </w:r>
      <w:r w:rsidR="00AB568B" w:rsidRPr="00042E98">
        <w:t xml:space="preserve"> </w:t>
      </w:r>
      <w:r w:rsidR="00626F5E">
        <w:t>[pers. A]</w:t>
      </w:r>
      <w:r w:rsidR="00AB568B" w:rsidRPr="00042E98">
        <w:t xml:space="preserve"> nepilngadīgo bērnu skait</w:t>
      </w:r>
      <w:r w:rsidR="00366D10">
        <w:t>s</w:t>
      </w:r>
      <w:r w:rsidR="00AB568B" w:rsidRPr="00042E98">
        <w:t xml:space="preserve">. </w:t>
      </w:r>
    </w:p>
    <w:p w14:paraId="214C28EF" w14:textId="2BF93BFB" w:rsidR="009C7155" w:rsidRDefault="00CE6AA1" w:rsidP="00347470">
      <w:pPr>
        <w:spacing w:line="276" w:lineRule="auto"/>
        <w:ind w:right="-1" w:firstLine="720"/>
        <w:jc w:val="both"/>
      </w:pPr>
      <w:r w:rsidRPr="00042E98">
        <w:t>N</w:t>
      </w:r>
      <w:r w:rsidR="009C7155" w:rsidRPr="00042E98">
        <w:t xml:space="preserve">osakot sodu, </w:t>
      </w:r>
      <w:r w:rsidRPr="00042E98">
        <w:t xml:space="preserve">tiesa </w:t>
      </w:r>
      <w:r w:rsidR="009C7155" w:rsidRPr="00042E98">
        <w:t xml:space="preserve">nav ņēmusi vērā, ka 2018. gada </w:t>
      </w:r>
      <w:r w:rsidR="00626F5E">
        <w:t>[..]</w:t>
      </w:r>
      <w:r w:rsidR="009C7155" w:rsidRPr="00042E98">
        <w:t xml:space="preserve"> </w:t>
      </w:r>
      <w:r w:rsidR="00626F5E">
        <w:t>[pers. A]</w:t>
      </w:r>
      <w:r w:rsidR="009C7155" w:rsidRPr="00042E98">
        <w:t xml:space="preserve"> cietušajam atlīdzinājis kaitējumu 385 </w:t>
      </w:r>
      <w:proofErr w:type="spellStart"/>
      <w:r w:rsidR="009C7155" w:rsidRPr="00042E98">
        <w:rPr>
          <w:i/>
          <w:iCs/>
        </w:rPr>
        <w:t>euro</w:t>
      </w:r>
      <w:proofErr w:type="spellEnd"/>
      <w:r w:rsidR="009C7155" w:rsidRPr="00042E98">
        <w:t xml:space="preserve">, kā arī ar savu iesniegumu prokurorei </w:t>
      </w:r>
      <w:r w:rsidR="00DE1EB5" w:rsidRPr="00042E98">
        <w:t>sniedzis liecības, veicinot citas personas nozieguma atklāšanu.</w:t>
      </w:r>
      <w:r w:rsidR="007631BA" w:rsidRPr="00042E98">
        <w:t xml:space="preserve"> Tāpat, nosakot sodu, tiesa nav ņēmusi vērā lietai pievienotos medicīniskos dokumentus.</w:t>
      </w:r>
      <w:r w:rsidR="007631BA">
        <w:t xml:space="preserve"> </w:t>
      </w:r>
    </w:p>
    <w:p w14:paraId="2BC2F9BD" w14:textId="6C895D41" w:rsidR="00A671FF" w:rsidRDefault="00A671FF" w:rsidP="00347470">
      <w:pPr>
        <w:spacing w:line="276" w:lineRule="auto"/>
        <w:ind w:right="-1" w:firstLine="720"/>
        <w:jc w:val="both"/>
      </w:pPr>
      <w:r>
        <w:t>[</w:t>
      </w:r>
      <w:r w:rsidR="001046AE">
        <w:t>6</w:t>
      </w:r>
      <w:r>
        <w:t>.</w:t>
      </w:r>
      <w:r w:rsidR="00E672D9">
        <w:t>1</w:t>
      </w:r>
      <w:r w:rsidR="002C662E">
        <w:t>5</w:t>
      </w:r>
      <w:r>
        <w:t>] Tiesa nepamatoti ilgstoši piemērojusi drošības līdzek</w:t>
      </w:r>
      <w:r w:rsidR="00AB568B">
        <w:t>ļus</w:t>
      </w:r>
      <w:r>
        <w:t xml:space="preserve"> – nodarbošanās aizliegumu un aizliegumu izbraukt no valsts</w:t>
      </w:r>
      <w:r w:rsidR="00AB568B">
        <w:t>.</w:t>
      </w:r>
    </w:p>
    <w:p w14:paraId="0F749EAF" w14:textId="77777777" w:rsidR="00457106" w:rsidRDefault="00457106" w:rsidP="00347470">
      <w:pPr>
        <w:spacing w:line="276" w:lineRule="auto"/>
        <w:ind w:right="-1"/>
        <w:jc w:val="center"/>
        <w:rPr>
          <w:b/>
        </w:rPr>
      </w:pPr>
    </w:p>
    <w:p w14:paraId="2DF6B7CD" w14:textId="77777777" w:rsidR="00457106" w:rsidRDefault="00457106" w:rsidP="00347470">
      <w:pPr>
        <w:spacing w:line="276" w:lineRule="auto"/>
        <w:ind w:right="-1"/>
        <w:jc w:val="center"/>
        <w:rPr>
          <w:b/>
        </w:rPr>
      </w:pPr>
      <w:r>
        <w:rPr>
          <w:b/>
        </w:rPr>
        <w:t>Motīvu daļa</w:t>
      </w:r>
    </w:p>
    <w:p w14:paraId="3666A7DD" w14:textId="77777777" w:rsidR="00457106" w:rsidRDefault="00457106" w:rsidP="00347470">
      <w:pPr>
        <w:spacing w:line="276" w:lineRule="auto"/>
        <w:ind w:right="-1" w:firstLine="720"/>
        <w:jc w:val="both"/>
      </w:pPr>
    </w:p>
    <w:p w14:paraId="6EB9FBE3" w14:textId="21103E55" w:rsidR="00415314" w:rsidRDefault="00457106" w:rsidP="00CE6AA1">
      <w:pPr>
        <w:spacing w:line="276" w:lineRule="auto"/>
        <w:ind w:right="-1" w:firstLine="720"/>
        <w:jc w:val="both"/>
      </w:pPr>
      <w:r>
        <w:t>[</w:t>
      </w:r>
      <w:r w:rsidR="001046AE">
        <w:t>7</w:t>
      </w:r>
      <w:r>
        <w:t>] </w:t>
      </w:r>
      <w:r w:rsidR="00546589" w:rsidRPr="00546589">
        <w:t>Senāts konstatē, ka kasācijas instances tiesas kompetencē</w:t>
      </w:r>
      <w:r w:rsidR="00546589">
        <w:t xml:space="preserve"> šajā lietā</w:t>
      </w:r>
      <w:r w:rsidR="00546589" w:rsidRPr="00546589">
        <w:t xml:space="preserve"> ir pārbaudīt</w:t>
      </w:r>
      <w:r w:rsidR="00546589">
        <w:t>: 1) vai apelācijas instances tiesa</w:t>
      </w:r>
      <w:r w:rsidR="0005726F">
        <w:t xml:space="preserve">, nosakot </w:t>
      </w:r>
      <w:r w:rsidR="003172E0">
        <w:t>apsūdzētajam sodu</w:t>
      </w:r>
      <w:r w:rsidR="0005726F">
        <w:t xml:space="preserve">, ir ievērojusi Kriminālprocesa likuma </w:t>
      </w:r>
      <w:r w:rsidR="00074C00">
        <w:t xml:space="preserve">564. panta ceturtās </w:t>
      </w:r>
      <w:r w:rsidR="0005726F">
        <w:t>daļas prasības</w:t>
      </w:r>
      <w:r w:rsidR="00546589">
        <w:t xml:space="preserve">; </w:t>
      </w:r>
      <w:r w:rsidR="0005726F">
        <w:t>2) </w:t>
      </w:r>
      <w:proofErr w:type="gramStart"/>
      <w:r w:rsidR="00022461">
        <w:t>v</w:t>
      </w:r>
      <w:r w:rsidR="0005726F" w:rsidRPr="0005726F">
        <w:t xml:space="preserve">ai </w:t>
      </w:r>
      <w:r w:rsidR="0005726F">
        <w:t xml:space="preserve">pirmās un apelācijas instances </w:t>
      </w:r>
      <w:r w:rsidR="0005726F" w:rsidRPr="0005726F">
        <w:t>tiesa</w:t>
      </w:r>
      <w:r w:rsidR="0005726F">
        <w:t>s</w:t>
      </w:r>
      <w:r w:rsidR="0005726F" w:rsidRPr="0005726F">
        <w:t xml:space="preserve"> ir nepamatoti</w:t>
      </w:r>
      <w:proofErr w:type="gramEnd"/>
      <w:r w:rsidR="0005726F" w:rsidRPr="0005726F">
        <w:t xml:space="preserve"> ierobežoj</w:t>
      </w:r>
      <w:r w:rsidR="0005726F">
        <w:t>ušas</w:t>
      </w:r>
      <w:r w:rsidR="0005726F" w:rsidRPr="0005726F">
        <w:t xml:space="preserve"> apsūdzētā tiesības teikt pēdējo vārdu;</w:t>
      </w:r>
      <w:r w:rsidR="0005726F">
        <w:t xml:space="preserve"> 3</w:t>
      </w:r>
      <w:r w:rsidR="00546589">
        <w:t>) vai</w:t>
      </w:r>
      <w:r w:rsidR="00E576C1">
        <w:t>, atstājot negrozītu pirmās instances tiesas spriedumu daļā, ar kuru</w:t>
      </w:r>
      <w:r w:rsidR="00415314">
        <w:t xml:space="preserve"> </w:t>
      </w:r>
      <w:r w:rsidR="00626F5E">
        <w:t>[pers. A]</w:t>
      </w:r>
      <w:r w:rsidR="00E576C1">
        <w:t xml:space="preserve"> atzīts</w:t>
      </w:r>
      <w:r w:rsidR="00415314">
        <w:t xml:space="preserve"> par vainīgu trīs Krimināllikuma 179. panta trešajā daļā paredzētajos noziedzīgajos nodarījums, apelācijas instances tiesa ir </w:t>
      </w:r>
      <w:r w:rsidR="00415314" w:rsidRPr="00D15A31">
        <w:t>pieļāvusi Kriminālprocesa likuma būtisku pārkāpumu, kas novedi</w:t>
      </w:r>
      <w:r w:rsidR="00817267" w:rsidRPr="00D15A31">
        <w:t>s</w:t>
      </w:r>
      <w:r w:rsidR="00415314" w:rsidRPr="00D15A31">
        <w:t xml:space="preserve"> pie nelikumīga nolēmuma.</w:t>
      </w:r>
    </w:p>
    <w:p w14:paraId="6265B5C1" w14:textId="77777777" w:rsidR="00266F2B" w:rsidRDefault="00266F2B" w:rsidP="00CE6AA1">
      <w:pPr>
        <w:spacing w:line="276" w:lineRule="auto"/>
        <w:ind w:right="-1" w:firstLine="720"/>
        <w:jc w:val="both"/>
      </w:pPr>
    </w:p>
    <w:p w14:paraId="7E8561B8" w14:textId="613302A8" w:rsidR="00266F2B" w:rsidRDefault="00054C37" w:rsidP="00CE6AA1">
      <w:pPr>
        <w:spacing w:line="276" w:lineRule="auto"/>
        <w:ind w:firstLine="720"/>
        <w:jc w:val="both"/>
      </w:pPr>
      <w:r>
        <w:t>[8] </w:t>
      </w:r>
      <w:r w:rsidR="00266F2B">
        <w:t xml:space="preserve">Senāts atzīst par pamatotām apsūdzētā </w:t>
      </w:r>
      <w:r w:rsidR="00626F5E">
        <w:t>[pers. A]</w:t>
      </w:r>
      <w:r w:rsidR="00266F2B">
        <w:t xml:space="preserve"> un viņa aizstāves I. </w:t>
      </w:r>
      <w:proofErr w:type="spellStart"/>
      <w:r w:rsidR="00266F2B">
        <w:t>Greķes</w:t>
      </w:r>
      <w:proofErr w:type="spellEnd"/>
      <w:r w:rsidR="00266F2B">
        <w:t xml:space="preserve"> kasācijas sūdzībās paustās norādes, ka apelācijas instances tiesa, nosakot </w:t>
      </w:r>
      <w:r w:rsidR="00626F5E">
        <w:t>[pers. A]</w:t>
      </w:r>
      <w:r w:rsidR="00266F2B">
        <w:t xml:space="preserve"> sodu, nav ņēmusi vērā ziņas par </w:t>
      </w:r>
      <w:r w:rsidR="00626F5E">
        <w:t>[pers. A]</w:t>
      </w:r>
      <w:r w:rsidR="00266F2B">
        <w:t xml:space="preserve"> veselības stāvokli. </w:t>
      </w:r>
    </w:p>
    <w:p w14:paraId="170651FB" w14:textId="5E73D2E1" w:rsidR="00074C00" w:rsidRDefault="00266F2B" w:rsidP="00074C00">
      <w:pPr>
        <w:spacing w:line="276" w:lineRule="auto"/>
        <w:ind w:firstLine="720"/>
        <w:jc w:val="both"/>
      </w:pPr>
      <w:r>
        <w:t>[8.1] </w:t>
      </w:r>
      <w:r w:rsidR="00054C37" w:rsidRPr="00054C37">
        <w:t xml:space="preserve">Kriminālprocesa likuma </w:t>
      </w:r>
      <w:r w:rsidR="00074C00">
        <w:t xml:space="preserve">564.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14:paraId="179A2418" w14:textId="1C12C46D" w:rsidR="00074C00" w:rsidRDefault="00074C00" w:rsidP="00074C00">
      <w:pPr>
        <w:spacing w:line="276" w:lineRule="auto"/>
        <w:ind w:firstLine="720"/>
        <w:jc w:val="both"/>
      </w:pPr>
      <w:r>
        <w:t>Arī Satversmes tiesa ir atzinusi, ka taisnīga tiesa kā pienācīgs, tiesiskai valstij atbilstošs tiesas process ietver arī tiesības uz motivētu tiesas nolēmumu (</w:t>
      </w:r>
      <w:bookmarkStart w:id="10" w:name="_Hlk138066883"/>
      <w:r w:rsidRPr="004A7B71">
        <w:rPr>
          <w:i/>
          <w:iCs/>
        </w:rPr>
        <w:t>Satversmes tiesas 2010.</w:t>
      </w:r>
      <w:r>
        <w:rPr>
          <w:i/>
          <w:iCs/>
        </w:rPr>
        <w:t> </w:t>
      </w:r>
      <w:r w:rsidRPr="004A7B71">
        <w:rPr>
          <w:i/>
          <w:iCs/>
        </w:rPr>
        <w:t>gada 17.</w:t>
      </w:r>
      <w:r>
        <w:rPr>
          <w:i/>
          <w:iCs/>
        </w:rPr>
        <w:t> </w:t>
      </w:r>
      <w:r w:rsidRPr="004A7B71">
        <w:rPr>
          <w:i/>
          <w:iCs/>
        </w:rPr>
        <w:t xml:space="preserve">maija sprieduma lietā Nr. </w:t>
      </w:r>
      <w:hyperlink r:id="rId8" w:anchor="search=2009-93-01" w:history="1">
        <w:r w:rsidRPr="007A7A90">
          <w:rPr>
            <w:rStyle w:val="Hyperlink"/>
            <w:i/>
            <w:iCs/>
          </w:rPr>
          <w:t>2009-93-01</w:t>
        </w:r>
      </w:hyperlink>
      <w:r w:rsidRPr="004A7B71">
        <w:rPr>
          <w:i/>
          <w:iCs/>
        </w:rPr>
        <w:t xml:space="preserve"> </w:t>
      </w:r>
      <w:r w:rsidRPr="00887B50">
        <w:rPr>
          <w:i/>
          <w:iCs/>
        </w:rPr>
        <w:t>8.3. punkt</w:t>
      </w:r>
      <w:bookmarkEnd w:id="10"/>
      <w:r w:rsidRPr="00887B50">
        <w:rPr>
          <w:i/>
          <w:iCs/>
        </w:rPr>
        <w:t>s</w:t>
      </w:r>
      <w:r>
        <w:t>).</w:t>
      </w:r>
    </w:p>
    <w:p w14:paraId="71D28A7A" w14:textId="2E5AF3C1" w:rsidR="00054C37" w:rsidRDefault="00054C37" w:rsidP="00074C00">
      <w:pPr>
        <w:spacing w:line="276" w:lineRule="auto"/>
        <w:ind w:firstLine="720"/>
        <w:jc w:val="both"/>
      </w:pPr>
      <w:r>
        <w:t>Krimināllikuma 46. panta otrā daļa noteic, ka, n</w:t>
      </w:r>
      <w:r w:rsidRPr="00054C37">
        <w:t xml:space="preserve">osakot soda veidu, ņem vērā izdarītā noziedzīgā nodarījuma raksturu un radīto kaitējumu, kā arī </w:t>
      </w:r>
      <w:r w:rsidRPr="005D3BB3">
        <w:t>vainīgā personību.</w:t>
      </w:r>
    </w:p>
    <w:p w14:paraId="30E68E95" w14:textId="09F6A534" w:rsidR="00374D9B" w:rsidRDefault="00374D9B" w:rsidP="00CE6AA1">
      <w:pPr>
        <w:spacing w:line="276" w:lineRule="auto"/>
        <w:ind w:firstLine="720"/>
        <w:jc w:val="both"/>
        <w:rPr>
          <w:color w:val="000000" w:themeColor="text1"/>
        </w:rPr>
      </w:pPr>
      <w:r w:rsidRPr="00B14CA7">
        <w:rPr>
          <w:color w:val="000000" w:themeColor="text1"/>
        </w:rPr>
        <w:t>Juridiskajā literatūrā norādīts, ka ziņas, k</w:t>
      </w:r>
      <w:r w:rsidR="008063BC">
        <w:rPr>
          <w:color w:val="000000" w:themeColor="text1"/>
        </w:rPr>
        <w:t>uras</w:t>
      </w:r>
      <w:r w:rsidRPr="00B14CA7">
        <w:rPr>
          <w:color w:val="000000" w:themeColor="text1"/>
        </w:rPr>
        <w:t xml:space="preserve"> raksturo personību un kurām ir krimināltiesiska nozīme, skar četrus cilvēka dzīves un darbības aspektus: 1) fizisko stāvokli, 2)</w:t>
      </w:r>
      <w:r w:rsidR="00C539B6">
        <w:rPr>
          <w:color w:val="000000" w:themeColor="text1"/>
        </w:rPr>
        <w:t xml:space="preserve"> </w:t>
      </w:r>
      <w:r w:rsidRPr="00B14CA7">
        <w:rPr>
          <w:color w:val="000000" w:themeColor="text1"/>
        </w:rPr>
        <w:t>psihisko stāvokli, 3) sociālo statusu un 4) tiesisko statusu</w:t>
      </w:r>
      <w:proofErr w:type="gramStart"/>
      <w:r w:rsidRPr="00B14CA7">
        <w:rPr>
          <w:color w:val="000000" w:themeColor="text1"/>
        </w:rPr>
        <w:t>, un to</w:t>
      </w:r>
      <w:proofErr w:type="gramEnd"/>
      <w:r w:rsidRPr="00B14CA7">
        <w:rPr>
          <w:color w:val="000000" w:themeColor="text1"/>
        </w:rPr>
        <w:t xml:space="preserve"> izvērtēšana ļauj, no vienas puses, noskaidrot personas noziedzīgās uzvedības cēloņus, tās noziedzīgo tieksmju stabilitāti, bet, no otras puses, noteikt </w:t>
      </w:r>
      <w:r w:rsidRPr="008063BC">
        <w:rPr>
          <w:color w:val="000000" w:themeColor="text1"/>
        </w:rPr>
        <w:t>maksimāli lietderīgo soda veidu,</w:t>
      </w:r>
      <w:r w:rsidRPr="00B14CA7">
        <w:rPr>
          <w:color w:val="000000" w:themeColor="text1"/>
        </w:rPr>
        <w:t xml:space="preserve"> lai sasniegtu tā mērķi</w:t>
      </w:r>
      <w:r w:rsidR="00B9337E">
        <w:rPr>
          <w:color w:val="000000" w:themeColor="text1"/>
        </w:rPr>
        <w:t>.</w:t>
      </w:r>
      <w:r w:rsidR="00FE0F50">
        <w:rPr>
          <w:color w:val="000000" w:themeColor="text1"/>
        </w:rPr>
        <w:t xml:space="preserve"> P</w:t>
      </w:r>
      <w:r w:rsidR="00B9337E" w:rsidRPr="00B9337E">
        <w:rPr>
          <w:color w:val="000000" w:themeColor="text1"/>
        </w:rPr>
        <w:t>ersonas fizisko stāvokli raksturo vecums, dzimums, veselības stāvoklis</w:t>
      </w:r>
      <w:r w:rsidR="00B9337E" w:rsidRPr="008063BC">
        <w:t xml:space="preserve">, invaliditāte, grūtniecība, kam var būt izšķiroša nozīme, izvēloties soda veidu </w:t>
      </w:r>
      <w:r w:rsidRPr="008063BC">
        <w:t>(</w:t>
      </w:r>
      <w:proofErr w:type="spellStart"/>
      <w:r w:rsidR="007A7A90" w:rsidRPr="007A7A90">
        <w:rPr>
          <w:i/>
          <w:iCs/>
        </w:rPr>
        <w:t>Liholaja</w:t>
      </w:r>
      <w:proofErr w:type="spellEnd"/>
      <w:r w:rsidR="007A7A90" w:rsidRPr="007A7A90">
        <w:rPr>
          <w:i/>
          <w:iCs/>
        </w:rPr>
        <w:t xml:space="preserve"> V. 46. panta komentārs. </w:t>
      </w:r>
      <w:proofErr w:type="spellStart"/>
      <w:r w:rsidR="007A7A90" w:rsidRPr="007A7A90">
        <w:rPr>
          <w:i/>
          <w:iCs/>
        </w:rPr>
        <w:t>Grām</w:t>
      </w:r>
      <w:proofErr w:type="spellEnd"/>
      <w:r w:rsidR="007A7A90" w:rsidRPr="007A7A90">
        <w:rPr>
          <w:i/>
          <w:iCs/>
        </w:rPr>
        <w:t>.: Krimināllikuma komentāri. Pirmā daļa (I-VIII</w:t>
      </w:r>
      <w:r w:rsidR="007A7A90" w:rsidRPr="007A7A90">
        <w:rPr>
          <w:i/>
          <w:iCs/>
          <w:vertAlign w:val="superscript"/>
        </w:rPr>
        <w:t>2</w:t>
      </w:r>
      <w:r w:rsidR="007A7A90" w:rsidRPr="007A7A90">
        <w:rPr>
          <w:i/>
          <w:iCs/>
        </w:rPr>
        <w:t xml:space="preserve"> nodaļa). Trešais papildinātais izdevums. </w:t>
      </w:r>
      <w:r w:rsidRPr="007A7A90">
        <w:rPr>
          <w:i/>
          <w:iCs/>
        </w:rPr>
        <w:t xml:space="preserve">Krastiņš U., </w:t>
      </w:r>
      <w:proofErr w:type="spellStart"/>
      <w:r w:rsidRPr="007A7A90">
        <w:rPr>
          <w:i/>
          <w:iCs/>
        </w:rPr>
        <w:t>Liholaja</w:t>
      </w:r>
      <w:proofErr w:type="spellEnd"/>
      <w:r w:rsidR="00C539B6">
        <w:rPr>
          <w:i/>
          <w:iCs/>
        </w:rPr>
        <w:t xml:space="preserve"> </w:t>
      </w:r>
      <w:r w:rsidRPr="007A7A90">
        <w:rPr>
          <w:i/>
          <w:iCs/>
        </w:rPr>
        <w:t>V.</w:t>
      </w:r>
      <w:r w:rsidR="00C539B6">
        <w:rPr>
          <w:i/>
          <w:iCs/>
        </w:rPr>
        <w:t xml:space="preserve"> </w:t>
      </w:r>
      <w:r w:rsidRPr="007A7A90">
        <w:rPr>
          <w:i/>
          <w:iCs/>
        </w:rPr>
        <w:t>Rīga: Tiesu namu aģentūra, 20</w:t>
      </w:r>
      <w:r w:rsidR="008063BC" w:rsidRPr="007A7A90">
        <w:rPr>
          <w:i/>
          <w:iCs/>
        </w:rPr>
        <w:t>21</w:t>
      </w:r>
      <w:r w:rsidRPr="007A7A90">
        <w:rPr>
          <w:i/>
          <w:iCs/>
        </w:rPr>
        <w:t xml:space="preserve">, </w:t>
      </w:r>
      <w:r w:rsidR="008063BC" w:rsidRPr="007A7A90">
        <w:rPr>
          <w:i/>
          <w:iCs/>
        </w:rPr>
        <w:t>20</w:t>
      </w:r>
      <w:r w:rsidR="00E576C1" w:rsidRPr="007A7A90">
        <w:rPr>
          <w:i/>
          <w:iCs/>
        </w:rPr>
        <w:t>3</w:t>
      </w:r>
      <w:r w:rsidRPr="007A7A90">
        <w:rPr>
          <w:i/>
          <w:iCs/>
        </w:rPr>
        <w:t>.</w:t>
      </w:r>
      <w:r w:rsidR="00E576C1" w:rsidRPr="007A7A90">
        <w:rPr>
          <w:i/>
          <w:iCs/>
        </w:rPr>
        <w:t> </w:t>
      </w:r>
      <w:r w:rsidRPr="007A7A90">
        <w:rPr>
          <w:i/>
          <w:iCs/>
        </w:rPr>
        <w:t>l</w:t>
      </w:r>
      <w:r w:rsidR="00E576C1" w:rsidRPr="007A7A90">
        <w:rPr>
          <w:i/>
          <w:iCs/>
        </w:rPr>
        <w:t>pp</w:t>
      </w:r>
      <w:r w:rsidR="00E576C1">
        <w:rPr>
          <w:i/>
        </w:rPr>
        <w:t>.</w:t>
      </w:r>
      <w:r w:rsidRPr="008063BC">
        <w:t>).</w:t>
      </w:r>
    </w:p>
    <w:p w14:paraId="005779CF" w14:textId="72803744" w:rsidR="00A54FD9" w:rsidRDefault="00A54FD9" w:rsidP="00CE6AA1">
      <w:pPr>
        <w:spacing w:line="276" w:lineRule="auto"/>
        <w:ind w:firstLine="720"/>
        <w:jc w:val="both"/>
        <w:rPr>
          <w:color w:val="000000" w:themeColor="text1"/>
        </w:rPr>
      </w:pPr>
      <w:r w:rsidRPr="00BF0B2F">
        <w:rPr>
          <w:color w:val="000000" w:themeColor="text1"/>
        </w:rPr>
        <w:t xml:space="preserve">No minētā izriet, ka </w:t>
      </w:r>
      <w:r w:rsidR="005D3BB3" w:rsidRPr="00BF0B2F">
        <w:rPr>
          <w:color w:val="000000" w:themeColor="text1"/>
        </w:rPr>
        <w:t>vainīgā personības izvērtējumā ietilpst arī viņa veselības stāvokļa vērtēšana.</w:t>
      </w:r>
      <w:r w:rsidR="005D3BB3" w:rsidRPr="005D3BB3">
        <w:rPr>
          <w:color w:val="000000" w:themeColor="text1"/>
        </w:rPr>
        <w:t xml:space="preserve"> </w:t>
      </w:r>
      <w:r w:rsidR="005D3BB3">
        <w:rPr>
          <w:color w:val="000000" w:themeColor="text1"/>
        </w:rPr>
        <w:t>V</w:t>
      </w:r>
      <w:r w:rsidR="0033051D" w:rsidRPr="0033051D">
        <w:rPr>
          <w:color w:val="000000" w:themeColor="text1"/>
        </w:rPr>
        <w:t>eselības stāvokli raksturojošās ziņas</w:t>
      </w:r>
      <w:r w:rsidR="005D3BB3">
        <w:rPr>
          <w:color w:val="000000" w:themeColor="text1"/>
        </w:rPr>
        <w:t xml:space="preserve"> ir</w:t>
      </w:r>
      <w:r w:rsidR="0033051D" w:rsidRPr="0033051D">
        <w:rPr>
          <w:color w:val="000000" w:themeColor="text1"/>
        </w:rPr>
        <w:t xml:space="preserve"> to apstākļu lokā, kuru izvērtējumam ir nozīme individualizēta un taisnīga soda noteikšanā</w:t>
      </w:r>
      <w:r w:rsidR="005D3BB3">
        <w:rPr>
          <w:color w:val="000000" w:themeColor="text1"/>
        </w:rPr>
        <w:t xml:space="preserve">. </w:t>
      </w:r>
    </w:p>
    <w:p w14:paraId="069728F8" w14:textId="4FCB819A" w:rsidR="003D1477" w:rsidRPr="003D1477" w:rsidRDefault="00F354E6" w:rsidP="003D1477">
      <w:pPr>
        <w:spacing w:line="276" w:lineRule="auto"/>
        <w:ind w:firstLine="720"/>
        <w:jc w:val="both"/>
      </w:pPr>
      <w:r>
        <w:t xml:space="preserve">[8.2] Pretēji aizstāves kasācijas sūdzībā norādītajam Senāts jau iepriekš ir atzinis, </w:t>
      </w:r>
      <w:proofErr w:type="gramStart"/>
      <w:r>
        <w:t xml:space="preserve">ka </w:t>
      </w:r>
      <w:r w:rsidRPr="00875920">
        <w:t>apsūdzētā personība un viņa atbildību mīkstinošie apstākļi ir patstāvīgi</w:t>
      </w:r>
      <w:proofErr w:type="gramEnd"/>
      <w:r w:rsidRPr="00875920">
        <w:t xml:space="preserve"> izvērtējami sodu ietekmējošie apstākļi, līdz ar to ziņas, kas pamato šos apstākļus, ir nošķiramas, un vienas un tās pašas ziņas nevar būt par pamatu gan apsūdzētā personības pozitīvam raksturojumam, gan viņa atbildību mīkstinoša apstākļa konstatēšanai</w:t>
      </w:r>
      <w:r w:rsidR="003D1477">
        <w:t xml:space="preserve"> </w:t>
      </w:r>
      <w:bookmarkStart w:id="11" w:name="_Hlk128992031"/>
      <w:r w:rsidR="00BA0A4F">
        <w:t>(</w:t>
      </w:r>
      <w:bookmarkStart w:id="12" w:name="_Hlk138066917"/>
      <w:r w:rsidR="00BA0A4F" w:rsidRPr="003D1477">
        <w:rPr>
          <w:i/>
          <w:iCs/>
        </w:rPr>
        <w:t>Senāta 2021.</w:t>
      </w:r>
      <w:r w:rsidR="003D1477">
        <w:rPr>
          <w:i/>
          <w:iCs/>
        </w:rPr>
        <w:t> </w:t>
      </w:r>
      <w:r w:rsidR="00BA0A4F" w:rsidRPr="003D1477">
        <w:rPr>
          <w:i/>
          <w:iCs/>
        </w:rPr>
        <w:t>gada 1.</w:t>
      </w:r>
      <w:r w:rsidR="003D1477">
        <w:rPr>
          <w:i/>
          <w:iCs/>
        </w:rPr>
        <w:t> </w:t>
      </w:r>
      <w:r w:rsidR="00BA0A4F" w:rsidRPr="003D1477">
        <w:rPr>
          <w:i/>
          <w:iCs/>
        </w:rPr>
        <w:t xml:space="preserve">decembra lēmuma lietā Nr. SKK-155/2021, </w:t>
      </w:r>
      <w:hyperlink r:id="rId9" w:history="1">
        <w:r w:rsidR="00BA0A4F" w:rsidRPr="003D1477">
          <w:rPr>
            <w:rStyle w:val="Hyperlink"/>
            <w:i/>
            <w:iCs/>
            <w:shd w:val="clear" w:color="auto" w:fill="FFFFFF"/>
          </w:rPr>
          <w:t>ECLI:LV:AT:2021:1201.11815000218.5.L</w:t>
        </w:r>
      </w:hyperlink>
      <w:r w:rsidR="003D1477">
        <w:rPr>
          <w:i/>
          <w:iCs/>
          <w:shd w:val="clear" w:color="auto" w:fill="FFFFFF"/>
        </w:rPr>
        <w:t>,</w:t>
      </w:r>
      <w:r w:rsidR="003D1477">
        <w:rPr>
          <w:rFonts w:eastAsia="Calibri"/>
        </w:rPr>
        <w:t xml:space="preserve"> </w:t>
      </w:r>
      <w:r w:rsidR="00BA0A4F" w:rsidRPr="003D1477">
        <w:t>6</w:t>
      </w:r>
      <w:r w:rsidR="00BA0A4F" w:rsidRPr="003D1477">
        <w:rPr>
          <w:i/>
          <w:iCs/>
        </w:rPr>
        <w:t>.4.2.</w:t>
      </w:r>
      <w:r w:rsidR="003D1477" w:rsidRPr="003D1477">
        <w:rPr>
          <w:i/>
          <w:iCs/>
        </w:rPr>
        <w:t> punkts</w:t>
      </w:r>
      <w:r w:rsidR="003D1477">
        <w:t>)</w:t>
      </w:r>
      <w:bookmarkEnd w:id="12"/>
      <w:r w:rsidR="003D1477">
        <w:t>.</w:t>
      </w:r>
      <w:bookmarkEnd w:id="11"/>
    </w:p>
    <w:p w14:paraId="5456148C" w14:textId="5900EC5C" w:rsidR="0021509D" w:rsidRDefault="00FE0F50" w:rsidP="00074C00">
      <w:pPr>
        <w:spacing w:line="276" w:lineRule="auto"/>
        <w:ind w:firstLine="720"/>
        <w:jc w:val="both"/>
      </w:pPr>
      <w:r>
        <w:t>[8.</w:t>
      </w:r>
      <w:r w:rsidR="00F354E6">
        <w:t>3</w:t>
      </w:r>
      <w:r>
        <w:t>]</w:t>
      </w:r>
      <w:r w:rsidR="00FA0B91">
        <w:t> </w:t>
      </w:r>
      <w:r w:rsidR="00074C00">
        <w:t xml:space="preserve"> </w:t>
      </w:r>
      <w:r w:rsidR="007A527E">
        <w:t xml:space="preserve">No apelācijas instances </w:t>
      </w:r>
      <w:r w:rsidR="0021509D">
        <w:t xml:space="preserve">tiesas </w:t>
      </w:r>
      <w:r w:rsidR="007A527E">
        <w:t xml:space="preserve">2022. gada </w:t>
      </w:r>
      <w:r w:rsidR="00626F5E">
        <w:t>[..]</w:t>
      </w:r>
      <w:r w:rsidR="007A527E">
        <w:t xml:space="preserve"> </w:t>
      </w:r>
      <w:r w:rsidR="003D1477" w:rsidRPr="00B33005">
        <w:rPr>
          <w:color w:val="000000" w:themeColor="text1"/>
        </w:rPr>
        <w:t>tiesas</w:t>
      </w:r>
      <w:r w:rsidR="00B33005">
        <w:rPr>
          <w:color w:val="000000" w:themeColor="text1"/>
        </w:rPr>
        <w:t xml:space="preserve"> </w:t>
      </w:r>
      <w:r w:rsidR="007A527E" w:rsidRPr="00B33005">
        <w:rPr>
          <w:color w:val="000000" w:themeColor="text1"/>
        </w:rPr>
        <w:t>sēdes</w:t>
      </w:r>
      <w:r w:rsidR="007A527E">
        <w:t xml:space="preserve"> protokola </w:t>
      </w:r>
      <w:r w:rsidR="00B33005">
        <w:t>konstatējams</w:t>
      </w:r>
      <w:r w:rsidR="007A527E">
        <w:t>, ka tiesa</w:t>
      </w:r>
      <w:r w:rsidR="00957856">
        <w:t xml:space="preserve">, uzklausot procesa dalībnieku viedokļus, </w:t>
      </w:r>
      <w:r w:rsidR="007A527E">
        <w:t xml:space="preserve">nolēmusi krimināllietas materiāliem pievienot apsūdzētā </w:t>
      </w:r>
      <w:r w:rsidR="00626F5E">
        <w:t>[pers. A]</w:t>
      </w:r>
      <w:r w:rsidR="004B4C5A">
        <w:t xml:space="preserve"> 2022. gada </w:t>
      </w:r>
      <w:r w:rsidR="00626F5E">
        <w:t>[..]</w:t>
      </w:r>
      <w:r w:rsidR="004B4C5A">
        <w:t xml:space="preserve"> </w:t>
      </w:r>
      <w:r w:rsidR="00626F5E">
        <w:t>[..]</w:t>
      </w:r>
      <w:r w:rsidR="004B4C5A">
        <w:t xml:space="preserve"> apgabaltiesā</w:t>
      </w:r>
      <w:r w:rsidR="007A527E">
        <w:t xml:space="preserve"> iesniegtos dokumentus</w:t>
      </w:r>
      <w:r w:rsidR="00957856">
        <w:t>, tajā skaitā dokumentus</w:t>
      </w:r>
      <w:r w:rsidR="004B4C5A">
        <w:t xml:space="preserve"> par </w:t>
      </w:r>
      <w:r w:rsidR="00626F5E">
        <w:t>[pers. A]</w:t>
      </w:r>
      <w:r w:rsidR="004B4C5A">
        <w:t xml:space="preserve"> </w:t>
      </w:r>
      <w:r w:rsidR="00957856">
        <w:t xml:space="preserve">veselības stāvokli – 2021. gada </w:t>
      </w:r>
      <w:r w:rsidR="00626F5E">
        <w:t>[..]</w:t>
      </w:r>
      <w:r w:rsidR="00957856">
        <w:t xml:space="preserve"> konsultanta</w:t>
      </w:r>
      <w:r w:rsidR="004E5CF1">
        <w:t xml:space="preserve">, speciālista </w:t>
      </w:r>
      <w:r w:rsidR="00957856">
        <w:t>slēdzienu ar norādītu diagnozi, izrakstu-</w:t>
      </w:r>
      <w:proofErr w:type="spellStart"/>
      <w:r w:rsidR="00957856">
        <w:t>epikrīzi</w:t>
      </w:r>
      <w:proofErr w:type="spellEnd"/>
      <w:r w:rsidR="004E5CF1">
        <w:t xml:space="preserve"> no </w:t>
      </w:r>
      <w:r w:rsidR="00626F5E">
        <w:t>[pers. A]</w:t>
      </w:r>
      <w:r w:rsidR="008063BC">
        <w:t xml:space="preserve"> </w:t>
      </w:r>
      <w:r w:rsidR="004E5CF1">
        <w:t>pacienta</w:t>
      </w:r>
      <w:r w:rsidR="004E5CF1" w:rsidRPr="004E5CF1">
        <w:t xml:space="preserve"> </w:t>
      </w:r>
      <w:r w:rsidR="004E5CF1">
        <w:t>stacionārās kartes</w:t>
      </w:r>
      <w:r w:rsidR="00957856">
        <w:t>, medicīniskās diagnostikas informācijas sistēmas izdruk</w:t>
      </w:r>
      <w:r w:rsidR="004E5CF1">
        <w:t>u</w:t>
      </w:r>
      <w:r w:rsidR="00957856">
        <w:t xml:space="preserve"> </w:t>
      </w:r>
      <w:proofErr w:type="gramStart"/>
      <w:r w:rsidR="0021509D">
        <w:t>(</w:t>
      </w:r>
      <w:proofErr w:type="gramEnd"/>
      <w:r w:rsidR="00EA4992" w:rsidRPr="00EA4992">
        <w:rPr>
          <w:i/>
          <w:iCs/>
        </w:rPr>
        <w:t xml:space="preserve">lietas </w:t>
      </w:r>
      <w:r w:rsidR="004E5CF1" w:rsidRPr="004E5CF1">
        <w:rPr>
          <w:i/>
          <w:iCs/>
        </w:rPr>
        <w:t>8. sējuma 207.–21</w:t>
      </w:r>
      <w:r w:rsidR="004E5CF1">
        <w:rPr>
          <w:i/>
          <w:iCs/>
        </w:rPr>
        <w:t>3</w:t>
      </w:r>
      <w:r w:rsidR="004E5CF1" w:rsidRPr="004E5CF1">
        <w:rPr>
          <w:i/>
          <w:iCs/>
        </w:rPr>
        <w:t>.</w:t>
      </w:r>
      <w:r w:rsidR="00EA4992">
        <w:rPr>
          <w:i/>
          <w:iCs/>
        </w:rPr>
        <w:t> </w:t>
      </w:r>
      <w:r w:rsidR="004E5CF1" w:rsidRPr="004E5CF1">
        <w:rPr>
          <w:i/>
          <w:iCs/>
        </w:rPr>
        <w:t>l</w:t>
      </w:r>
      <w:r w:rsidR="00EA4992">
        <w:rPr>
          <w:i/>
          <w:iCs/>
        </w:rPr>
        <w:t>apa</w:t>
      </w:r>
      <w:r w:rsidR="004E5CF1">
        <w:rPr>
          <w:i/>
          <w:iCs/>
        </w:rPr>
        <w:t>, 230.–231.</w:t>
      </w:r>
      <w:r w:rsidR="00EA4992">
        <w:rPr>
          <w:i/>
          <w:iCs/>
        </w:rPr>
        <w:t> </w:t>
      </w:r>
      <w:r w:rsidR="004E5CF1">
        <w:rPr>
          <w:i/>
          <w:iCs/>
        </w:rPr>
        <w:t>l</w:t>
      </w:r>
      <w:r w:rsidR="00EA4992">
        <w:rPr>
          <w:i/>
          <w:iCs/>
        </w:rPr>
        <w:t>apa;</w:t>
      </w:r>
      <w:r w:rsidR="004E5CF1">
        <w:t xml:space="preserve"> </w:t>
      </w:r>
      <w:r w:rsidR="0021509D" w:rsidRPr="0021509D">
        <w:rPr>
          <w:i/>
          <w:iCs/>
        </w:rPr>
        <w:t xml:space="preserve">apelācijas instances tiesas 2022. gada </w:t>
      </w:r>
      <w:r w:rsidR="00C21A48">
        <w:rPr>
          <w:i/>
          <w:iCs/>
        </w:rPr>
        <w:t>[..]</w:t>
      </w:r>
      <w:r w:rsidR="0021509D" w:rsidRPr="0021509D">
        <w:rPr>
          <w:i/>
          <w:iCs/>
        </w:rPr>
        <w:t xml:space="preserve"> sēdes </w:t>
      </w:r>
      <w:proofErr w:type="spellStart"/>
      <w:r w:rsidR="0021509D" w:rsidRPr="0021509D">
        <w:rPr>
          <w:i/>
          <w:iCs/>
        </w:rPr>
        <w:t>audioprotokols</w:t>
      </w:r>
      <w:proofErr w:type="spellEnd"/>
      <w:r w:rsidR="0021509D" w:rsidRPr="0021509D">
        <w:rPr>
          <w:i/>
          <w:iCs/>
        </w:rPr>
        <w:t>, 00:04:22–00:06:54</w:t>
      </w:r>
      <w:r w:rsidR="0021509D">
        <w:t>).</w:t>
      </w:r>
      <w:r w:rsidR="00C95D8E">
        <w:t xml:space="preserve"> </w:t>
      </w:r>
    </w:p>
    <w:p w14:paraId="46F9FB77" w14:textId="133F4984" w:rsidR="00F354E6" w:rsidRDefault="00C33DBE" w:rsidP="00F354E6">
      <w:pPr>
        <w:spacing w:line="276" w:lineRule="auto"/>
        <w:ind w:firstLine="720"/>
        <w:jc w:val="both"/>
      </w:pPr>
      <w:r w:rsidRPr="00B33005">
        <w:rPr>
          <w:color w:val="000000" w:themeColor="text1"/>
        </w:rPr>
        <w:t>Lai</w:t>
      </w:r>
      <w:r w:rsidR="00C95D8E" w:rsidRPr="00B33005">
        <w:rPr>
          <w:color w:val="000000" w:themeColor="text1"/>
        </w:rPr>
        <w:t xml:space="preserve"> arī apelācijas instances tiesa </w:t>
      </w:r>
      <w:r w:rsidR="00887B50" w:rsidRPr="00B33005">
        <w:rPr>
          <w:color w:val="000000" w:themeColor="text1"/>
        </w:rPr>
        <w:t xml:space="preserve">sēdē </w:t>
      </w:r>
      <w:r w:rsidR="00687217" w:rsidRPr="00B33005">
        <w:rPr>
          <w:color w:val="000000" w:themeColor="text1"/>
        </w:rPr>
        <w:t xml:space="preserve">iepriekš </w:t>
      </w:r>
      <w:r w:rsidR="00C95D8E" w:rsidRPr="00B33005">
        <w:rPr>
          <w:color w:val="000000" w:themeColor="text1"/>
        </w:rPr>
        <w:t xml:space="preserve">minētos dokumentus atzinusi par personību raksturojošām ziņām un pievienojusi krimināllietas materiāliem, tā spriedumā nav sniegusi </w:t>
      </w:r>
      <w:r w:rsidR="00887B50" w:rsidRPr="00B33005">
        <w:rPr>
          <w:color w:val="000000" w:themeColor="text1"/>
        </w:rPr>
        <w:t>šo pierādījumu</w:t>
      </w:r>
      <w:r w:rsidR="00C95D8E" w:rsidRPr="00B33005">
        <w:rPr>
          <w:color w:val="000000" w:themeColor="text1"/>
        </w:rPr>
        <w:t xml:space="preserve"> izvērtējumu</w:t>
      </w:r>
      <w:r w:rsidR="00887B50" w:rsidRPr="00B33005">
        <w:rPr>
          <w:color w:val="000000" w:themeColor="text1"/>
        </w:rPr>
        <w:t>. L</w:t>
      </w:r>
      <w:r w:rsidR="00C95D8E" w:rsidRPr="00B33005">
        <w:rPr>
          <w:color w:val="000000" w:themeColor="text1"/>
        </w:rPr>
        <w:t xml:space="preserve">emjot par </w:t>
      </w:r>
      <w:r w:rsidR="00C21A48">
        <w:rPr>
          <w:color w:val="000000" w:themeColor="text1"/>
        </w:rPr>
        <w:t>[pers. A]</w:t>
      </w:r>
      <w:r w:rsidR="00C95D8E" w:rsidRPr="00B33005">
        <w:rPr>
          <w:color w:val="000000" w:themeColor="text1"/>
        </w:rPr>
        <w:t xml:space="preserve"> nosakām</w:t>
      </w:r>
      <w:r w:rsidR="00687217" w:rsidRPr="00B33005">
        <w:rPr>
          <w:color w:val="000000" w:themeColor="text1"/>
        </w:rPr>
        <w:t>o</w:t>
      </w:r>
      <w:r w:rsidR="00C95D8E" w:rsidRPr="00B33005">
        <w:rPr>
          <w:color w:val="000000" w:themeColor="text1"/>
        </w:rPr>
        <w:t xml:space="preserve"> soda veidu, šīs ziņas nav ņ</w:t>
      </w:r>
      <w:r w:rsidR="00687217" w:rsidRPr="00B33005">
        <w:rPr>
          <w:color w:val="000000" w:themeColor="text1"/>
        </w:rPr>
        <w:t>ēmusi</w:t>
      </w:r>
      <w:r w:rsidR="00C95D8E" w:rsidRPr="00B33005">
        <w:rPr>
          <w:color w:val="000000" w:themeColor="text1"/>
        </w:rPr>
        <w:t xml:space="preserve"> vērā. </w:t>
      </w:r>
      <w:r w:rsidR="0021509D" w:rsidRPr="00B33005">
        <w:rPr>
          <w:color w:val="000000" w:themeColor="text1"/>
        </w:rPr>
        <w:t>S</w:t>
      </w:r>
      <w:r w:rsidR="00C95D8E" w:rsidRPr="00B33005">
        <w:rPr>
          <w:color w:val="000000" w:themeColor="text1"/>
        </w:rPr>
        <w:t>priedum</w:t>
      </w:r>
      <w:r w:rsidR="0021509D" w:rsidRPr="00B33005">
        <w:rPr>
          <w:color w:val="000000" w:themeColor="text1"/>
        </w:rPr>
        <w:t>s</w:t>
      </w:r>
      <w:r w:rsidR="00C95D8E" w:rsidRPr="00B33005">
        <w:rPr>
          <w:color w:val="000000" w:themeColor="text1"/>
        </w:rPr>
        <w:t xml:space="preserve">, kurā apsūdzētajam noteiktais sods nav motivēts ar lietas taisnīgai izspriešanai nozīmīgu apstākļu izvērtējumu, nevar </w:t>
      </w:r>
      <w:r w:rsidR="0021509D" w:rsidRPr="00B33005">
        <w:rPr>
          <w:color w:val="000000" w:themeColor="text1"/>
        </w:rPr>
        <w:t xml:space="preserve">tikt </w:t>
      </w:r>
      <w:r w:rsidR="00C95D8E" w:rsidRPr="00B33005">
        <w:rPr>
          <w:color w:val="000000" w:themeColor="text1"/>
        </w:rPr>
        <w:t>atzīt</w:t>
      </w:r>
      <w:r w:rsidR="0021509D" w:rsidRPr="00B33005">
        <w:rPr>
          <w:color w:val="000000" w:themeColor="text1"/>
        </w:rPr>
        <w:t>s</w:t>
      </w:r>
      <w:r w:rsidR="00C95D8E" w:rsidRPr="00B33005">
        <w:rPr>
          <w:color w:val="000000" w:themeColor="text1"/>
        </w:rPr>
        <w:t xml:space="preserve"> </w:t>
      </w:r>
      <w:r w:rsidR="00C95D8E" w:rsidRPr="00C95D8E">
        <w:t xml:space="preserve">par </w:t>
      </w:r>
      <w:r w:rsidR="00074C00">
        <w:t xml:space="preserve">atbilstošu </w:t>
      </w:r>
      <w:r w:rsidR="00074C00" w:rsidRPr="00054C37">
        <w:t xml:space="preserve">Kriminālprocesa likuma </w:t>
      </w:r>
      <w:r w:rsidR="00074C00">
        <w:t>564. panta ceturtajai daļai</w:t>
      </w:r>
      <w:r w:rsidR="00C95D8E" w:rsidRPr="00C95D8E">
        <w:t>.</w:t>
      </w:r>
      <w:r w:rsidR="00925632" w:rsidRPr="00925632">
        <w:t xml:space="preserve"> </w:t>
      </w:r>
      <w:r w:rsidR="00925632">
        <w:t>Minēt</w:t>
      </w:r>
      <w:r w:rsidR="00074C00">
        <w:t>ais</w:t>
      </w:r>
      <w:r w:rsidR="00925632">
        <w:t xml:space="preserve"> tiesību normu </w:t>
      </w:r>
      <w:r w:rsidR="00925632" w:rsidRPr="00925632">
        <w:t>pārkāpum</w:t>
      </w:r>
      <w:r w:rsidR="00074C00">
        <w:t>s</w:t>
      </w:r>
      <w:r w:rsidR="00925632" w:rsidRPr="00925632">
        <w:t xml:space="preserve"> atzīstam</w:t>
      </w:r>
      <w:r w:rsidR="00074C00">
        <w:t>s</w:t>
      </w:r>
      <w:r w:rsidR="00925632" w:rsidRPr="00925632">
        <w:t xml:space="preserve"> par Kriminālprocesa likuma būtisk</w:t>
      </w:r>
      <w:r w:rsidR="00925632">
        <w:t>u</w:t>
      </w:r>
      <w:r w:rsidR="00925632" w:rsidRPr="00925632">
        <w:t xml:space="preserve"> pārkāpum</w:t>
      </w:r>
      <w:r w:rsidR="00925632">
        <w:t>u</w:t>
      </w:r>
      <w:r w:rsidR="00925632" w:rsidRPr="00925632">
        <w:t xml:space="preserve"> šā likuma 575.</w:t>
      </w:r>
      <w:r w:rsidR="00925632">
        <w:t> </w:t>
      </w:r>
      <w:r w:rsidR="00925632" w:rsidRPr="00925632">
        <w:t xml:space="preserve">panta trešās daļas izpratnē, </w:t>
      </w:r>
      <w:bookmarkStart w:id="13" w:name="_Hlk128989627"/>
      <w:r w:rsidR="00925632" w:rsidRPr="00925632">
        <w:t>kas noved</w:t>
      </w:r>
      <w:r w:rsidR="00925632">
        <w:t>is</w:t>
      </w:r>
      <w:r w:rsidR="00925632" w:rsidRPr="00925632">
        <w:t xml:space="preserve"> pie nelikumīga nolēmuma daļā par apsūdzētaj</w:t>
      </w:r>
      <w:r w:rsidR="001720ED">
        <w:t>a</w:t>
      </w:r>
      <w:r w:rsidR="00925632" w:rsidRPr="00925632">
        <w:t>m noteikt</w:t>
      </w:r>
      <w:r w:rsidR="00B33005">
        <w:t>ajiem</w:t>
      </w:r>
      <w:r w:rsidR="00925632" w:rsidRPr="00925632">
        <w:t xml:space="preserve"> sod</w:t>
      </w:r>
      <w:r w:rsidR="00B33005">
        <w:t>iem</w:t>
      </w:r>
      <w:r w:rsidR="00266F2B">
        <w:t xml:space="preserve"> p</w:t>
      </w:r>
      <w:r w:rsidR="00B33005">
        <w:t>ēc K</w:t>
      </w:r>
      <w:r w:rsidR="00266F2B">
        <w:t xml:space="preserve">rimināllikuma 179. panta </w:t>
      </w:r>
      <w:bookmarkEnd w:id="13"/>
      <w:r w:rsidR="00B33005">
        <w:t xml:space="preserve">trešās daļas </w:t>
      </w:r>
      <w:r w:rsidR="00266F2B">
        <w:t xml:space="preserve">un ir pamats sprieduma atcelšanai šajā daļā. Līdz ar to </w:t>
      </w:r>
      <w:r w:rsidR="00C21A48">
        <w:t>[..]</w:t>
      </w:r>
      <w:r w:rsidR="00266F2B">
        <w:t xml:space="preserve"> apgabaltiesas spriedums atceļams arī </w:t>
      </w:r>
      <w:r w:rsidR="00266F2B" w:rsidRPr="00266F2B">
        <w:t xml:space="preserve">daļā par </w:t>
      </w:r>
      <w:r w:rsidR="00C21A48">
        <w:t>[pers. A]</w:t>
      </w:r>
      <w:r w:rsidR="00266F2B" w:rsidRPr="00266F2B">
        <w:t xml:space="preserve"> noteikto galīgo </w:t>
      </w:r>
      <w:r w:rsidR="00266F2B">
        <w:t>sodu. Pārējā daļā apelācijas instances tiesas spriedums atstājams negrozīts.</w:t>
      </w:r>
    </w:p>
    <w:p w14:paraId="42521D2D" w14:textId="67565B67" w:rsidR="0005726F" w:rsidRDefault="00097D8A" w:rsidP="00B33005">
      <w:pPr>
        <w:spacing w:line="276" w:lineRule="auto"/>
        <w:ind w:firstLine="720"/>
        <w:jc w:val="both"/>
      </w:pPr>
      <w:r>
        <w:t>[8.</w:t>
      </w:r>
      <w:r w:rsidR="00F354E6">
        <w:t>4</w:t>
      </w:r>
      <w:r>
        <w:t>] </w:t>
      </w:r>
      <w:r w:rsidR="0005726F">
        <w:t xml:space="preserve">Turklāt Senāts norāda, ka apelācijas instances tiesa, atceļot pirmās instances tiesas spriedumu daļā par </w:t>
      </w:r>
      <w:r w:rsidR="00C21A48">
        <w:t>[pers. A]</w:t>
      </w:r>
      <w:r w:rsidR="0005726F">
        <w:t xml:space="preserve"> noteikt</w:t>
      </w:r>
      <w:r w:rsidR="00B33005">
        <w:t>ajiem</w:t>
      </w:r>
      <w:r w:rsidR="0005726F">
        <w:t xml:space="preserve"> sod</w:t>
      </w:r>
      <w:r w:rsidR="00B33005">
        <w:t>iem pēc Krimināllikuma 179.</w:t>
      </w:r>
      <w:r w:rsidR="001F43A6">
        <w:t> </w:t>
      </w:r>
      <w:r w:rsidR="00B33005">
        <w:t xml:space="preserve">panta trešās daļas, daļā </w:t>
      </w:r>
      <w:r w:rsidR="0005726F">
        <w:t xml:space="preserve">par galīgo sodu </w:t>
      </w:r>
      <w:proofErr w:type="gramStart"/>
      <w:r w:rsidR="0005726F">
        <w:t>un</w:t>
      </w:r>
      <w:proofErr w:type="gramEnd"/>
      <w:r w:rsidR="0005726F">
        <w:t xml:space="preserve"> taisot šajā daļā jaunu spriedumu, nepamatoti atsaukusies uz pirmās instances tiesas sniegto apsūdzētā personību raksturojošo ziņu izvērtējumu, nolemjot to neatkārtot. Atbilstoši </w:t>
      </w:r>
      <w:r w:rsidR="0005726F" w:rsidRPr="00925632">
        <w:t>Kriminālprocesa likuma 564.</w:t>
      </w:r>
      <w:r w:rsidR="0005726F">
        <w:t> </w:t>
      </w:r>
      <w:r w:rsidR="0005726F" w:rsidRPr="00925632">
        <w:t>panta sestajai daļai apelācijas instances tiesa var neatkārtot pirmās instances tiesas spriedumā minētos pierādījumus un atzinumus tikai tajā gadījumā, ja tā atstāj pirmās instances tiesas spriedumu bez grozījumiem.</w:t>
      </w:r>
    </w:p>
    <w:p w14:paraId="47937AC2" w14:textId="6630648A" w:rsidR="00124082" w:rsidRDefault="00097D8A" w:rsidP="00CE6AA1">
      <w:pPr>
        <w:spacing w:line="276" w:lineRule="auto"/>
        <w:ind w:firstLine="720"/>
        <w:jc w:val="both"/>
      </w:pPr>
      <w:r>
        <w:t>[8.</w:t>
      </w:r>
      <w:r w:rsidR="00F354E6">
        <w:t>5</w:t>
      </w:r>
      <w:r>
        <w:t>] </w:t>
      </w:r>
      <w:r w:rsidR="000544BB">
        <w:t xml:space="preserve">Pārējie kasācijas sūdzību argumenti, kas ir saistīti ar </w:t>
      </w:r>
      <w:r w:rsidR="00C21A48">
        <w:t>[pers. A]</w:t>
      </w:r>
      <w:r w:rsidR="000544BB">
        <w:t xml:space="preserve"> noteikto sodu, šajā lēmumā netiek vērtēti, jo apelācijas instances tiesas spriedums tiek atcelts daļā par sodu, un lieta atceltajā daļā apelācijas instances tiesā jāizskata no jauna</w:t>
      </w:r>
      <w:r w:rsidR="00887B50">
        <w:t>.</w:t>
      </w:r>
    </w:p>
    <w:p w14:paraId="72DF4132" w14:textId="77777777" w:rsidR="00887B50" w:rsidRDefault="00887B50" w:rsidP="00CE6AA1">
      <w:pPr>
        <w:spacing w:line="276" w:lineRule="auto"/>
        <w:ind w:firstLine="720"/>
        <w:jc w:val="both"/>
      </w:pPr>
    </w:p>
    <w:p w14:paraId="5C7C6E6A" w14:textId="0E70089F" w:rsidR="00AE37AF" w:rsidRDefault="00AE37AF" w:rsidP="00CE6AA1">
      <w:pPr>
        <w:spacing w:line="276" w:lineRule="auto"/>
        <w:ind w:right="-1" w:firstLine="720"/>
        <w:jc w:val="both"/>
      </w:pPr>
      <w:r>
        <w:t>[9] </w:t>
      </w:r>
      <w:r w:rsidR="00AC5F21">
        <w:t>Kriminālprocesa likuma 71. panta 11. punktā noteikts, ka p</w:t>
      </w:r>
      <w:r w:rsidR="00AC5F21" w:rsidRPr="00AC5F21">
        <w:t xml:space="preserve">irmās instances tiesā apsūdzētajam ir </w:t>
      </w:r>
      <w:r w:rsidR="00231AAF">
        <w:t>[..]</w:t>
      </w:r>
      <w:r w:rsidR="00AC5F21" w:rsidRPr="00AC5F21">
        <w:t xml:space="preserve"> tiesības</w:t>
      </w:r>
      <w:r w:rsidR="00AC5F21">
        <w:t xml:space="preserve"> </w:t>
      </w:r>
      <w:r w:rsidR="00AC5F21" w:rsidRPr="00AC5F21">
        <w:t>teikt pēdējo vārdu</w:t>
      </w:r>
      <w:r w:rsidR="00AC5F21">
        <w:t>.</w:t>
      </w:r>
      <w:r w:rsidR="00454A32">
        <w:t xml:space="preserve"> Savukārt atbilstoši Kriminālprocesa likuma 72. panta otrajā daļā norādītajam a</w:t>
      </w:r>
      <w:r w:rsidR="00454A32" w:rsidRPr="00454A32">
        <w:t>pelācijas instances tiesas sēdē apsūdzētajam ir tādas pašas tiesības kā pirmās instances tiesā</w:t>
      </w:r>
      <w:r w:rsidR="00454A32">
        <w:t>.</w:t>
      </w:r>
    </w:p>
    <w:p w14:paraId="48245C54" w14:textId="4F88ED24" w:rsidR="002170A3" w:rsidRDefault="00A229BF" w:rsidP="00CE6AA1">
      <w:pPr>
        <w:spacing w:line="276" w:lineRule="auto"/>
        <w:ind w:right="-1" w:firstLine="720"/>
        <w:jc w:val="both"/>
      </w:pPr>
      <w:r>
        <w:t>Apsūdzētā pēdējais vārds reglamentēts Kriminālprocesa likuma 508. pantā. Minētā panta trešās daļas otrajā teikumā noteikts, ka t</w:t>
      </w:r>
      <w:r w:rsidRPr="00A229BF">
        <w:t>iesas sēdes priekšsēdētājs var pārtraukt apsūdzētā pēdējo vārdu, ja viņš runā par apstākļiem, kam nav sakara ar lietu, atkārto vienus un tos pašus argumentus par vieniem un tiem pašiem faktiem, novilcina lietas iztiesāšanu vai izrāda necieņu tiesai vai lietas dalībniekiem.</w:t>
      </w:r>
    </w:p>
    <w:p w14:paraId="52FE7045" w14:textId="446EDD94" w:rsidR="00A229BF" w:rsidRPr="00B33005" w:rsidRDefault="00A229BF" w:rsidP="00CE6AA1">
      <w:pPr>
        <w:spacing w:line="276" w:lineRule="auto"/>
        <w:ind w:right="-1" w:firstLine="720"/>
        <w:jc w:val="both"/>
        <w:rPr>
          <w:color w:val="000000" w:themeColor="text1"/>
        </w:rPr>
      </w:pPr>
      <w:r>
        <w:t xml:space="preserve">No pirmās instances </w:t>
      </w:r>
      <w:r w:rsidR="00A05E17">
        <w:t xml:space="preserve">tiesas </w:t>
      </w:r>
      <w:r>
        <w:t xml:space="preserve">2020. gada </w:t>
      </w:r>
      <w:r w:rsidR="00C21A48">
        <w:t>[..]</w:t>
      </w:r>
      <w:r>
        <w:t xml:space="preserve"> sēdes protokola </w:t>
      </w:r>
      <w:r w:rsidR="00B33005">
        <w:t>konstatējams</w:t>
      </w:r>
      <w:r>
        <w:t xml:space="preserve">, ka apsūdzētais </w:t>
      </w:r>
      <w:r w:rsidR="00C21A48">
        <w:t>[pers. A]</w:t>
      </w:r>
      <w:r>
        <w:t xml:space="preserve"> </w:t>
      </w:r>
      <w:r w:rsidR="00AA6588">
        <w:t>š</w:t>
      </w:r>
      <w:r w:rsidR="00C842ED">
        <w:t>a</w:t>
      </w:r>
      <w:r>
        <w:t>jā tiesas sēdē izmantojis tiesības teikt pēdējo vārdu.</w:t>
      </w:r>
      <w:r w:rsidR="00D2444D">
        <w:t xml:space="preserve"> </w:t>
      </w:r>
      <w:r w:rsidR="00F703DB">
        <w:t>T</w:t>
      </w:r>
      <w:r w:rsidR="00D2444D">
        <w:t xml:space="preserve">iesa, atsaucoties uz Kriminālprocesa likuma 508. panta trešo daļu, apsūdzēto pārtraukusi un </w:t>
      </w:r>
      <w:r w:rsidR="00D2444D" w:rsidRPr="00B33005">
        <w:rPr>
          <w:color w:val="000000" w:themeColor="text1"/>
        </w:rPr>
        <w:t xml:space="preserve">norādījusi, ka viņš runā par apstākļiem, </w:t>
      </w:r>
      <w:r w:rsidR="00F703DB" w:rsidRPr="00B33005">
        <w:rPr>
          <w:rFonts w:asciiTheme="majorBidi" w:hAnsiTheme="majorBidi" w:cstheme="majorBidi"/>
          <w:color w:val="000000" w:themeColor="text1"/>
          <w:shd w:val="clear" w:color="auto" w:fill="FFFFFF"/>
        </w:rPr>
        <w:t>kam nav sakara ar lietu</w:t>
      </w:r>
      <w:r w:rsidR="004514B6" w:rsidRPr="00B33005">
        <w:rPr>
          <w:color w:val="000000" w:themeColor="text1"/>
        </w:rPr>
        <w:t xml:space="preserve">, proti, </w:t>
      </w:r>
      <w:r w:rsidR="00C21A48">
        <w:rPr>
          <w:color w:val="000000" w:themeColor="text1"/>
        </w:rPr>
        <w:t>[pers. F]</w:t>
      </w:r>
      <w:r w:rsidR="004514B6" w:rsidRPr="00B33005">
        <w:rPr>
          <w:color w:val="000000" w:themeColor="text1"/>
        </w:rPr>
        <w:t xml:space="preserve"> darbībām administratores amatā</w:t>
      </w:r>
      <w:r w:rsidR="006A4CC9" w:rsidRPr="00B33005">
        <w:rPr>
          <w:color w:val="000000" w:themeColor="text1"/>
        </w:rPr>
        <w:t>. Pēc</w:t>
      </w:r>
      <w:r w:rsidR="00897584" w:rsidRPr="00B33005">
        <w:rPr>
          <w:color w:val="000000" w:themeColor="text1"/>
        </w:rPr>
        <w:t xml:space="preserve"> </w:t>
      </w:r>
      <w:r w:rsidR="001A2BAE" w:rsidRPr="00B33005">
        <w:rPr>
          <w:color w:val="000000" w:themeColor="text1"/>
        </w:rPr>
        <w:t>pārtraukšanas</w:t>
      </w:r>
      <w:r w:rsidR="006A4CC9" w:rsidRPr="00B33005">
        <w:rPr>
          <w:color w:val="000000" w:themeColor="text1"/>
        </w:rPr>
        <w:t xml:space="preserve"> </w:t>
      </w:r>
      <w:r w:rsidR="00C21A48">
        <w:rPr>
          <w:color w:val="000000" w:themeColor="text1"/>
        </w:rPr>
        <w:t>[pers. </w:t>
      </w:r>
      <w:r w:rsidR="00C21A48">
        <w:t>A]</w:t>
      </w:r>
      <w:r w:rsidR="006A4CC9" w:rsidRPr="00B33005">
        <w:rPr>
          <w:color w:val="000000" w:themeColor="text1"/>
        </w:rPr>
        <w:t xml:space="preserve"> turpinājis teikt pēdējo vārdu (</w:t>
      </w:r>
      <w:r w:rsidR="006A4CC9" w:rsidRPr="00B33005">
        <w:rPr>
          <w:i/>
          <w:iCs/>
          <w:color w:val="000000" w:themeColor="text1"/>
        </w:rPr>
        <w:t xml:space="preserve">pirmās instances tiesas 2020. gada </w:t>
      </w:r>
      <w:r w:rsidR="00C21A48">
        <w:rPr>
          <w:i/>
          <w:iCs/>
          <w:color w:val="000000" w:themeColor="text1"/>
        </w:rPr>
        <w:t>[..]</w:t>
      </w:r>
      <w:r w:rsidR="006A4CC9" w:rsidRPr="00B33005">
        <w:rPr>
          <w:i/>
          <w:iCs/>
          <w:color w:val="000000" w:themeColor="text1"/>
        </w:rPr>
        <w:t xml:space="preserve"> sēdes </w:t>
      </w:r>
      <w:proofErr w:type="spellStart"/>
      <w:r w:rsidR="006A4CC9" w:rsidRPr="00B33005">
        <w:rPr>
          <w:i/>
          <w:iCs/>
          <w:color w:val="000000" w:themeColor="text1"/>
        </w:rPr>
        <w:t>audioprotokols</w:t>
      </w:r>
      <w:proofErr w:type="spellEnd"/>
      <w:r w:rsidR="006A4CC9" w:rsidRPr="00B33005">
        <w:rPr>
          <w:i/>
          <w:iCs/>
          <w:color w:val="000000" w:themeColor="text1"/>
        </w:rPr>
        <w:t>, 02:55:23–05:49:42</w:t>
      </w:r>
      <w:r w:rsidR="006A4CC9" w:rsidRPr="00B33005">
        <w:rPr>
          <w:color w:val="000000" w:themeColor="text1"/>
        </w:rPr>
        <w:t>).</w:t>
      </w:r>
    </w:p>
    <w:p w14:paraId="3BBE0BBD" w14:textId="0F3D7301" w:rsidR="00EC6F33" w:rsidRDefault="00EC6F33" w:rsidP="00CE6AA1">
      <w:pPr>
        <w:spacing w:line="276" w:lineRule="auto"/>
        <w:ind w:right="-1" w:firstLine="720"/>
        <w:jc w:val="both"/>
      </w:pPr>
      <w:r>
        <w:t xml:space="preserve">Tāpat no apelācijas instances tiesas 2022. gada </w:t>
      </w:r>
      <w:r w:rsidR="00C21A48">
        <w:t>[..]</w:t>
      </w:r>
      <w:r w:rsidR="00D76D49">
        <w:t xml:space="preserve"> sēdes protokola </w:t>
      </w:r>
      <w:r w:rsidR="00180D31">
        <w:t>konstatējams</w:t>
      </w:r>
      <w:r w:rsidR="00D76D49">
        <w:t xml:space="preserve">, ka </w:t>
      </w:r>
      <w:r w:rsidR="00C21A48">
        <w:t>[pers. A]</w:t>
      </w:r>
      <w:r w:rsidR="00D76D49">
        <w:t xml:space="preserve"> </w:t>
      </w:r>
      <w:r w:rsidR="00DF60E6">
        <w:t>teicis pēdējo vārdu</w:t>
      </w:r>
      <w:r w:rsidR="00D76D49">
        <w:t>, bet tiesa viņu pārtraukusi</w:t>
      </w:r>
      <w:r w:rsidR="00231AAF">
        <w:t>,</w:t>
      </w:r>
      <w:r w:rsidR="00D76D49">
        <w:t xml:space="preserve"> norādot, ka apsūdzētais runā par to, kas neattiecas uz lietu </w:t>
      </w:r>
      <w:proofErr w:type="gramStart"/>
      <w:r w:rsidR="00D76D49">
        <w:t>(</w:t>
      </w:r>
      <w:proofErr w:type="gramEnd"/>
      <w:r w:rsidR="00D76D49">
        <w:rPr>
          <w:i/>
          <w:iCs/>
        </w:rPr>
        <w:t>apelācijas</w:t>
      </w:r>
      <w:r w:rsidR="00D76D49" w:rsidRPr="006A4CC9">
        <w:rPr>
          <w:i/>
          <w:iCs/>
        </w:rPr>
        <w:t xml:space="preserve"> instances tiesas 202</w:t>
      </w:r>
      <w:r w:rsidR="00D76D49">
        <w:rPr>
          <w:i/>
          <w:iCs/>
        </w:rPr>
        <w:t>2</w:t>
      </w:r>
      <w:r w:rsidR="00D76D49" w:rsidRPr="006A4CC9">
        <w:rPr>
          <w:i/>
          <w:iCs/>
        </w:rPr>
        <w:t xml:space="preserve">. gada </w:t>
      </w:r>
      <w:r w:rsidR="00C21A48">
        <w:rPr>
          <w:i/>
          <w:iCs/>
        </w:rPr>
        <w:t>[..]</w:t>
      </w:r>
      <w:r w:rsidR="00D76D49" w:rsidRPr="006A4CC9">
        <w:rPr>
          <w:i/>
          <w:iCs/>
        </w:rPr>
        <w:t xml:space="preserve"> sēdes </w:t>
      </w:r>
      <w:proofErr w:type="spellStart"/>
      <w:r w:rsidR="00D76D49" w:rsidRPr="006A4CC9">
        <w:rPr>
          <w:i/>
          <w:iCs/>
        </w:rPr>
        <w:t>audioprotokols</w:t>
      </w:r>
      <w:proofErr w:type="spellEnd"/>
      <w:r w:rsidR="00D76D49" w:rsidRPr="006A4CC9">
        <w:rPr>
          <w:i/>
          <w:iCs/>
        </w:rPr>
        <w:t>,</w:t>
      </w:r>
      <w:r w:rsidR="00D76D49">
        <w:rPr>
          <w:i/>
          <w:iCs/>
        </w:rPr>
        <w:t xml:space="preserve"> </w:t>
      </w:r>
      <w:r w:rsidR="00D76D49" w:rsidRPr="00D76D49">
        <w:rPr>
          <w:i/>
          <w:iCs/>
        </w:rPr>
        <w:t>00:54:51</w:t>
      </w:r>
      <w:r w:rsidR="00D76D49" w:rsidRPr="006A4CC9">
        <w:rPr>
          <w:i/>
          <w:iCs/>
        </w:rPr>
        <w:t>–</w:t>
      </w:r>
      <w:r w:rsidR="00D76D49" w:rsidRPr="00D76D49">
        <w:t xml:space="preserve"> </w:t>
      </w:r>
      <w:r w:rsidR="00D76D49" w:rsidRPr="00D76D49">
        <w:rPr>
          <w:i/>
          <w:iCs/>
        </w:rPr>
        <w:t>01:57:21</w:t>
      </w:r>
      <w:r w:rsidR="00D76D49">
        <w:t>).</w:t>
      </w:r>
      <w:r w:rsidR="00300C9F">
        <w:t xml:space="preserve"> Pēc tam apsūdzētajam tikusi dota iespēja turpināt izteikties pēdējā vārdā. </w:t>
      </w:r>
    </w:p>
    <w:p w14:paraId="50C997E1" w14:textId="0F08526D" w:rsidR="00D76D49" w:rsidRDefault="00CC1020" w:rsidP="00347470">
      <w:pPr>
        <w:spacing w:line="276" w:lineRule="auto"/>
        <w:ind w:right="-1" w:firstLine="720"/>
        <w:jc w:val="both"/>
      </w:pPr>
      <w:r>
        <w:t xml:space="preserve">Ievērojot minēto, Senāts atzīst par nepamatotu </w:t>
      </w:r>
      <w:r w:rsidR="00C21A48">
        <w:t>[pers. A]</w:t>
      </w:r>
      <w:r>
        <w:t xml:space="preserve"> kasācijas sūdzības argumentu, </w:t>
      </w:r>
      <w:r w:rsidRPr="000E22F9">
        <w:t xml:space="preserve">kas norādīts </w:t>
      </w:r>
      <w:r w:rsidRPr="00042E98">
        <w:t xml:space="preserve">lēmuma </w:t>
      </w:r>
      <w:r w:rsidR="00231AAF" w:rsidRPr="00042E98">
        <w:t>6</w:t>
      </w:r>
      <w:r w:rsidRPr="00042E98">
        <w:t>.1. punktā.</w:t>
      </w:r>
      <w:r>
        <w:t xml:space="preserve"> Pirmās un apelācijas instances tiesas pamatojušas </w:t>
      </w:r>
      <w:r w:rsidR="00C21A48">
        <w:t>[pers. A]</w:t>
      </w:r>
      <w:r>
        <w:t xml:space="preserve"> pēdējā vārda pārtraukšanu ar Kriminālprocesa likuma 508. panta trešajā daļā norādītu gadījumu, kad tiesas sēdes priekšsēdētājs var pārtraukt apsūdzētā pēdējo vārdu. </w:t>
      </w:r>
      <w:r w:rsidR="00953508">
        <w:t>Turklāt</w:t>
      </w:r>
      <w:r>
        <w:t xml:space="preserve"> </w:t>
      </w:r>
      <w:r w:rsidR="00C21A48">
        <w:t>[pers. A]</w:t>
      </w:r>
      <w:r>
        <w:t xml:space="preserve"> kasācijas sūdzībā nav norādījis, kādus lietai nozīmīgus apstākļus </w:t>
      </w:r>
      <w:r w:rsidR="00300C9F">
        <w:t>viņš</w:t>
      </w:r>
      <w:r>
        <w:t xml:space="preserve"> vēlējies teikt pēdējā vārdā</w:t>
      </w:r>
      <w:r w:rsidR="00300C9F">
        <w:t xml:space="preserve">, bet </w:t>
      </w:r>
      <w:r w:rsidR="00C9167E">
        <w:t xml:space="preserve">nav varējis izklāstīt, jo </w:t>
      </w:r>
      <w:r>
        <w:t xml:space="preserve">ticis pārtraukts. </w:t>
      </w:r>
    </w:p>
    <w:p w14:paraId="491E3A2A" w14:textId="77777777" w:rsidR="009D4770" w:rsidRDefault="009D4770" w:rsidP="00F3693B">
      <w:pPr>
        <w:autoSpaceDE w:val="0"/>
        <w:autoSpaceDN w:val="0"/>
        <w:adjustRightInd w:val="0"/>
        <w:spacing w:line="276" w:lineRule="auto"/>
        <w:jc w:val="both"/>
        <w:rPr>
          <w:rFonts w:ascii="TimesNewRomanPSMT" w:eastAsiaTheme="minorHAnsi" w:hAnsi="TimesNewRomanPSMT" w:cs="TimesNewRomanPSMT"/>
          <w:lang w:eastAsia="en-US"/>
        </w:rPr>
      </w:pPr>
    </w:p>
    <w:p w14:paraId="79CE5D1B" w14:textId="716EC90A" w:rsidR="00592BE9" w:rsidRPr="00CB6B18" w:rsidRDefault="00592BE9" w:rsidP="007C014F">
      <w:pPr>
        <w:autoSpaceDE w:val="0"/>
        <w:autoSpaceDN w:val="0"/>
        <w:adjustRightInd w:val="0"/>
        <w:spacing w:line="276" w:lineRule="auto"/>
        <w:ind w:firstLine="720"/>
        <w:jc w:val="both"/>
      </w:pPr>
      <w:r>
        <w:rPr>
          <w:rFonts w:ascii="TimesNewRomanPSMT" w:eastAsiaTheme="minorHAnsi" w:hAnsi="TimesNewRomanPSMT" w:cs="TimesNewRomanPSMT"/>
          <w:lang w:eastAsia="en-US"/>
        </w:rPr>
        <w:t>[</w:t>
      </w:r>
      <w:r w:rsidR="009D4770">
        <w:rPr>
          <w:rFonts w:ascii="TimesNewRomanPSMT" w:eastAsiaTheme="minorHAnsi" w:hAnsi="TimesNewRomanPSMT" w:cs="TimesNewRomanPSMT"/>
          <w:lang w:eastAsia="en-US"/>
        </w:rPr>
        <w:t>1</w:t>
      </w:r>
      <w:r w:rsidR="00F3693B">
        <w:rPr>
          <w:rFonts w:ascii="TimesNewRomanPSMT" w:eastAsiaTheme="minorHAnsi" w:hAnsi="TimesNewRomanPSMT" w:cs="TimesNewRomanPSMT"/>
          <w:lang w:eastAsia="en-US"/>
        </w:rPr>
        <w:t>0</w:t>
      </w:r>
      <w:r>
        <w:rPr>
          <w:rFonts w:ascii="TimesNewRomanPSMT" w:eastAsiaTheme="minorHAnsi" w:hAnsi="TimesNewRomanPSMT" w:cs="TimesNewRomanPSMT"/>
          <w:lang w:eastAsia="en-US"/>
        </w:rPr>
        <w:t>]</w:t>
      </w:r>
      <w:r w:rsidR="00CB6B18">
        <w:t> </w:t>
      </w:r>
      <w:r>
        <w:t xml:space="preserve">Apelācijas instances tiesa atzinusi, ka apsūdzētais </w:t>
      </w:r>
      <w:r w:rsidR="00C21A48">
        <w:t>[pers. A]</w:t>
      </w:r>
      <w:r>
        <w:t xml:space="preserve"> ir izdarījis viņam inkriminētos trīs Krimināllikuma 179. panta trešajā daļā paredzētos noziedzīgos nodarījumus</w:t>
      </w:r>
      <w:proofErr w:type="gramStart"/>
      <w:r>
        <w:t xml:space="preserve"> un</w:t>
      </w:r>
      <w:proofErr w:type="gramEnd"/>
      <w:r>
        <w:t xml:space="preserve"> viņa vainīgums ir pierādīts ar </w:t>
      </w:r>
      <w:r w:rsidR="00B75930">
        <w:t xml:space="preserve">pirmās instances tiesā vispusīgi pārbaudītiem un novērtētiem </w:t>
      </w:r>
      <w:r>
        <w:t>pierādījumiem</w:t>
      </w:r>
      <w:r w:rsidR="007C014F">
        <w:t xml:space="preserve">, tajā skaitā rakstveida pierādījumiem, liecinieku </w:t>
      </w:r>
      <w:r w:rsidR="00C21A48">
        <w:t>[pers. C]</w:t>
      </w:r>
      <w:r w:rsidR="007C014F">
        <w:t xml:space="preserve">, </w:t>
      </w:r>
      <w:r w:rsidR="00C21A48">
        <w:t>[pers. D]</w:t>
      </w:r>
      <w:r w:rsidR="00432A2D">
        <w:t xml:space="preserve">, </w:t>
      </w:r>
      <w:r w:rsidR="00C21A48">
        <w:t>[pers. B]</w:t>
      </w:r>
      <w:r w:rsidR="007C014F">
        <w:t xml:space="preserve">, </w:t>
      </w:r>
      <w:r w:rsidR="00C21A48">
        <w:t>[pers. I]</w:t>
      </w:r>
      <w:r w:rsidR="007C014F" w:rsidRPr="00BF0B2F">
        <w:t xml:space="preserve">, cietušā pārstāvja </w:t>
      </w:r>
      <w:r w:rsidR="00C21A48">
        <w:t>[pers. I]</w:t>
      </w:r>
      <w:r w:rsidR="007C014F" w:rsidRPr="00BF0B2F">
        <w:t xml:space="preserve"> liecībām un citiem pierādījumiem.</w:t>
      </w:r>
      <w:r w:rsidR="007C014F">
        <w:t xml:space="preserve"> </w:t>
      </w:r>
      <w:r>
        <w:t xml:space="preserve"> </w:t>
      </w:r>
    </w:p>
    <w:p w14:paraId="13472AAA" w14:textId="73D9D17B" w:rsidR="00DE611B" w:rsidRDefault="00B75930" w:rsidP="00414A54">
      <w:pPr>
        <w:pStyle w:val="tv213"/>
        <w:spacing w:before="0" w:beforeAutospacing="0" w:line="276" w:lineRule="auto"/>
        <w:ind w:firstLine="720"/>
        <w:contextualSpacing/>
        <w:jc w:val="both"/>
      </w:pPr>
      <w:r>
        <w:rPr>
          <w:rFonts w:eastAsiaTheme="minorHAnsi"/>
          <w:lang w:eastAsia="en-US"/>
        </w:rPr>
        <w:t>[1</w:t>
      </w:r>
      <w:r w:rsidR="00F3693B">
        <w:rPr>
          <w:rFonts w:eastAsiaTheme="minorHAnsi"/>
          <w:lang w:eastAsia="en-US"/>
        </w:rPr>
        <w:t>0</w:t>
      </w:r>
      <w:r>
        <w:rPr>
          <w:rFonts w:eastAsiaTheme="minorHAnsi"/>
          <w:lang w:eastAsia="en-US"/>
        </w:rPr>
        <w:t>.1] </w:t>
      </w:r>
      <w:r w:rsidR="00DE611B">
        <w:t xml:space="preserve">Krimināllikuma 179. panta pirmajā daļā paredzēta atbildība par </w:t>
      </w:r>
      <w:r w:rsidR="00DE611B" w:rsidRPr="00592BE9">
        <w:t>svešas mantas prettiesisku iegūšanu vai izšķērdēšanu, ja to izdarījusi persona, kurai šī manta uzticēta vai kuras pārziņā tā atradusies (piesavināšanās)</w:t>
      </w:r>
      <w:r w:rsidR="00DE611B">
        <w:t>. Savukārt minētā panta trešajā daļā paredzēta atbildība par piesavināšanos lielā apmērā [..].</w:t>
      </w:r>
    </w:p>
    <w:p w14:paraId="46C6028E" w14:textId="7190CB6C" w:rsidR="003B2D79" w:rsidRDefault="00414A54" w:rsidP="00586263">
      <w:pPr>
        <w:pStyle w:val="tv213"/>
        <w:spacing w:before="0" w:beforeAutospacing="0" w:line="276" w:lineRule="auto"/>
        <w:ind w:firstLine="720"/>
        <w:contextualSpacing/>
        <w:jc w:val="both"/>
        <w:rPr>
          <w:rFonts w:eastAsiaTheme="minorHAnsi"/>
          <w:lang w:eastAsia="en-US"/>
        </w:rPr>
      </w:pPr>
      <w:r>
        <w:rPr>
          <w:rFonts w:eastAsiaTheme="minorHAnsi"/>
          <w:lang w:eastAsia="en-US"/>
        </w:rPr>
        <w:t>M</w:t>
      </w:r>
      <w:r w:rsidRPr="00414A54">
        <w:rPr>
          <w:rFonts w:eastAsiaTheme="minorHAnsi"/>
          <w:lang w:eastAsia="en-US"/>
        </w:rPr>
        <w:t>antas nolaupīšana ir tīša, prettiesiska un</w:t>
      </w:r>
      <w:r>
        <w:rPr>
          <w:rFonts w:eastAsiaTheme="minorHAnsi"/>
          <w:lang w:eastAsia="en-US"/>
        </w:rPr>
        <w:t xml:space="preserve"> </w:t>
      </w:r>
      <w:r w:rsidRPr="00414A54">
        <w:rPr>
          <w:rFonts w:eastAsiaTheme="minorHAnsi"/>
          <w:lang w:eastAsia="en-US"/>
        </w:rPr>
        <w:t>bezatlīdzības svešas mantas paņemšana aiz mantkārības no uzņēmumu, iestāžu, organizāciju vai</w:t>
      </w:r>
      <w:r>
        <w:rPr>
          <w:rFonts w:eastAsiaTheme="minorHAnsi"/>
          <w:lang w:eastAsia="en-US"/>
        </w:rPr>
        <w:t xml:space="preserve"> </w:t>
      </w:r>
      <w:r w:rsidRPr="00414A54">
        <w:rPr>
          <w:rFonts w:eastAsiaTheme="minorHAnsi"/>
          <w:lang w:eastAsia="en-US"/>
        </w:rPr>
        <w:t>atsevišķu personu īpašuma vai valdījuma slepenas vai atklātas zādzības, laupīšanas, krāpšanas vai</w:t>
      </w:r>
      <w:r>
        <w:rPr>
          <w:rFonts w:eastAsiaTheme="minorHAnsi"/>
          <w:lang w:eastAsia="en-US"/>
        </w:rPr>
        <w:t xml:space="preserve"> </w:t>
      </w:r>
      <w:r w:rsidRPr="00414A54">
        <w:rPr>
          <w:rFonts w:eastAsiaTheme="minorHAnsi"/>
          <w:lang w:eastAsia="en-US"/>
        </w:rPr>
        <w:t>piesavināšanās veidā, lai nelikumīgi to paturētu vai izmantotu to savā vai citas personas labā, vai</w:t>
      </w:r>
      <w:r>
        <w:rPr>
          <w:rFonts w:eastAsiaTheme="minorHAnsi"/>
          <w:lang w:eastAsia="en-US"/>
        </w:rPr>
        <w:t xml:space="preserve"> </w:t>
      </w:r>
      <w:r w:rsidRPr="00414A54">
        <w:rPr>
          <w:rFonts w:eastAsiaTheme="minorHAnsi"/>
          <w:lang w:eastAsia="en-US"/>
        </w:rPr>
        <w:t xml:space="preserve">citādi rīkotos </w:t>
      </w:r>
      <w:r w:rsidR="00042E98">
        <w:rPr>
          <w:rFonts w:eastAsiaTheme="minorHAnsi"/>
          <w:lang w:eastAsia="en-US"/>
        </w:rPr>
        <w:t xml:space="preserve">ar to </w:t>
      </w:r>
      <w:r w:rsidRPr="00414A54">
        <w:rPr>
          <w:rFonts w:eastAsiaTheme="minorHAnsi"/>
          <w:lang w:eastAsia="en-US"/>
        </w:rPr>
        <w:t>kā ar savu</w:t>
      </w:r>
      <w:r>
        <w:rPr>
          <w:rFonts w:eastAsiaTheme="minorHAnsi"/>
          <w:lang w:eastAsia="en-US"/>
        </w:rPr>
        <w:t xml:space="preserve"> </w:t>
      </w:r>
      <w:proofErr w:type="gramStart"/>
      <w:r>
        <w:rPr>
          <w:rFonts w:eastAsiaTheme="minorHAnsi"/>
          <w:lang w:eastAsia="en-US"/>
        </w:rPr>
        <w:t>(</w:t>
      </w:r>
      <w:proofErr w:type="gramEnd"/>
      <w:r w:rsidR="00586263" w:rsidRPr="00586263">
        <w:rPr>
          <w:i/>
          <w:iCs/>
        </w:rPr>
        <w:t xml:space="preserve">Krastiņš U. 175. panta komentārs. </w:t>
      </w:r>
      <w:proofErr w:type="spellStart"/>
      <w:r w:rsidR="00586263" w:rsidRPr="00586263">
        <w:rPr>
          <w:i/>
          <w:iCs/>
        </w:rPr>
        <w:t>Grām</w:t>
      </w:r>
      <w:proofErr w:type="spellEnd"/>
      <w:r w:rsidR="00586263" w:rsidRPr="00586263">
        <w:rPr>
          <w:i/>
          <w:iCs/>
        </w:rPr>
        <w:t>.: Krimināllikuma komentāri. Trešā daļa (XVIII-XXV nodaļa). Otrais papildinātais izdevums.</w:t>
      </w:r>
      <w:r w:rsidR="00586263" w:rsidRPr="00586263">
        <w:rPr>
          <w:rFonts w:eastAsiaTheme="minorHAnsi"/>
          <w:lang w:eastAsia="en-US"/>
        </w:rPr>
        <w:t xml:space="preserve"> </w:t>
      </w:r>
      <w:r w:rsidR="00042E98" w:rsidRPr="00586263">
        <w:rPr>
          <w:i/>
          <w:iCs/>
        </w:rPr>
        <w:t xml:space="preserve">Krastiņš U., </w:t>
      </w:r>
      <w:proofErr w:type="spellStart"/>
      <w:r w:rsidR="00042E98" w:rsidRPr="00586263">
        <w:rPr>
          <w:i/>
          <w:iCs/>
        </w:rPr>
        <w:t>Liholaja</w:t>
      </w:r>
      <w:proofErr w:type="spellEnd"/>
      <w:r w:rsidR="00042E98" w:rsidRPr="00586263">
        <w:rPr>
          <w:i/>
          <w:iCs/>
        </w:rPr>
        <w:t xml:space="preserve"> </w:t>
      </w:r>
      <w:r w:rsidR="00042E98" w:rsidRPr="00C4673B">
        <w:rPr>
          <w:i/>
          <w:iCs/>
        </w:rPr>
        <w:t xml:space="preserve">V., </w:t>
      </w:r>
      <w:proofErr w:type="spellStart"/>
      <w:r w:rsidR="00042E98" w:rsidRPr="00C4673B">
        <w:rPr>
          <w:i/>
          <w:iCs/>
        </w:rPr>
        <w:t>Hamkova</w:t>
      </w:r>
      <w:proofErr w:type="spellEnd"/>
      <w:r w:rsidR="00042E98" w:rsidRPr="00C4673B">
        <w:rPr>
          <w:i/>
          <w:iCs/>
        </w:rPr>
        <w:t xml:space="preserve"> D. Rīga: Tiesu namu aģentūra, 2019, </w:t>
      </w:r>
      <w:r w:rsidR="00042E98">
        <w:rPr>
          <w:i/>
          <w:iCs/>
        </w:rPr>
        <w:t>24</w:t>
      </w:r>
      <w:r w:rsidR="00042E98" w:rsidRPr="00C4673B">
        <w:rPr>
          <w:i/>
          <w:iCs/>
        </w:rPr>
        <w:t>.</w:t>
      </w:r>
      <w:r w:rsidR="00586263">
        <w:rPr>
          <w:i/>
          <w:iCs/>
        </w:rPr>
        <w:t> </w:t>
      </w:r>
      <w:r w:rsidR="00042E98" w:rsidRPr="00C4673B">
        <w:rPr>
          <w:i/>
          <w:iCs/>
        </w:rPr>
        <w:t>lpp</w:t>
      </w:r>
      <w:r>
        <w:rPr>
          <w:rFonts w:eastAsiaTheme="minorHAnsi"/>
          <w:lang w:eastAsia="en-US"/>
        </w:rPr>
        <w:t>).</w:t>
      </w:r>
    </w:p>
    <w:p w14:paraId="0EAE24F0" w14:textId="430156C2" w:rsidR="00523AE0" w:rsidRDefault="00523AE0" w:rsidP="00523AE0">
      <w:pPr>
        <w:pStyle w:val="tv213"/>
        <w:spacing w:before="0" w:beforeAutospacing="0" w:after="0" w:afterAutospacing="0" w:line="276" w:lineRule="auto"/>
        <w:ind w:firstLine="720"/>
        <w:contextualSpacing/>
        <w:jc w:val="both"/>
        <w:rPr>
          <w:rFonts w:eastAsiaTheme="minorHAnsi"/>
          <w:lang w:eastAsia="en-US"/>
        </w:rPr>
      </w:pPr>
      <w:r>
        <w:rPr>
          <w:rFonts w:eastAsiaTheme="minorHAnsi"/>
          <w:lang w:eastAsia="en-US"/>
        </w:rPr>
        <w:t xml:space="preserve">Senāts norāda, ka lietā faktiski tiek izvirzīts jautājums, vai laikā, kad </w:t>
      </w:r>
      <w:r w:rsidR="00C21A48">
        <w:rPr>
          <w:rFonts w:eastAsiaTheme="minorHAnsi"/>
          <w:lang w:eastAsia="en-US"/>
        </w:rPr>
        <w:t>[pers. A]</w:t>
      </w:r>
      <w:r>
        <w:rPr>
          <w:rFonts w:eastAsiaTheme="minorHAnsi"/>
          <w:lang w:eastAsia="en-US"/>
        </w:rPr>
        <w:t xml:space="preserve"> izņēma naudas līdzekļus no </w:t>
      </w:r>
      <w:r w:rsidRPr="00FE0397">
        <w:rPr>
          <w:rFonts w:eastAsiaTheme="minorHAnsi"/>
          <w:lang w:eastAsia="en-US"/>
        </w:rPr>
        <w:t>MSIA „</w:t>
      </w:r>
      <w:r w:rsidR="00C21A48">
        <w:rPr>
          <w:rFonts w:eastAsiaTheme="minorHAnsi"/>
          <w:lang w:eastAsia="en-US"/>
        </w:rPr>
        <w:t>[Nosaukums A]</w:t>
      </w:r>
      <w:r w:rsidRPr="00FE0397">
        <w:rPr>
          <w:rFonts w:eastAsiaTheme="minorHAnsi"/>
          <w:lang w:eastAsia="en-US"/>
        </w:rPr>
        <w:t>”</w:t>
      </w:r>
      <w:r>
        <w:rPr>
          <w:rFonts w:eastAsiaTheme="minorHAnsi"/>
          <w:lang w:eastAsia="en-US"/>
        </w:rPr>
        <w:t xml:space="preserve"> bankas konta, viņš varēja paļauties, ka šie naudas līdzekļi viņam pienākas tiesiski kā maksātnespējas</w:t>
      </w:r>
      <w:r w:rsidR="00B74C54">
        <w:rPr>
          <w:rFonts w:eastAsiaTheme="minorHAnsi"/>
          <w:lang w:eastAsia="en-US"/>
        </w:rPr>
        <w:t xml:space="preserve"> procesa</w:t>
      </w:r>
      <w:r>
        <w:rPr>
          <w:rFonts w:eastAsiaTheme="minorHAnsi"/>
          <w:lang w:eastAsia="en-US"/>
        </w:rPr>
        <w:t xml:space="preserve"> administratora atlīdzība. </w:t>
      </w:r>
    </w:p>
    <w:p w14:paraId="49CBB8BE" w14:textId="744D3C53" w:rsidR="00523AE0" w:rsidRPr="00C9167E" w:rsidRDefault="00523AE0" w:rsidP="00523AE0">
      <w:pPr>
        <w:pStyle w:val="tv213"/>
        <w:spacing w:before="0" w:beforeAutospacing="0" w:after="0" w:afterAutospacing="0" w:line="276" w:lineRule="auto"/>
        <w:ind w:firstLine="720"/>
        <w:contextualSpacing/>
        <w:jc w:val="both"/>
        <w:rPr>
          <w:rFonts w:ascii="TimesNewRomanPSMT" w:eastAsiaTheme="minorHAnsi" w:hAnsi="TimesNewRomanPSMT" w:cs="TimesNewRomanPSMT"/>
          <w:lang w:eastAsia="en-US"/>
        </w:rPr>
      </w:pPr>
      <w:bookmarkStart w:id="14" w:name="_Hlk127889695"/>
      <w:r>
        <w:rPr>
          <w:rFonts w:ascii="TimesNewRomanPSMT" w:eastAsiaTheme="minorHAnsi" w:hAnsi="TimesNewRomanPSMT" w:cs="TimesNewRomanPSMT"/>
          <w:lang w:eastAsia="en-US"/>
        </w:rPr>
        <w:t xml:space="preserve">Latvijas </w:t>
      </w:r>
      <w:r w:rsidRPr="00C9167E">
        <w:rPr>
          <w:rFonts w:ascii="TimesNewRomanPSMT" w:eastAsiaTheme="minorHAnsi" w:hAnsi="TimesNewRomanPSMT" w:cs="TimesNewRomanPSMT"/>
          <w:lang w:eastAsia="en-US"/>
        </w:rPr>
        <w:t>Republikas Satversmes 105. pantā noteikts, ka ikvienam ir tiesības uz īpašumu. [..].</w:t>
      </w:r>
      <w:r w:rsidR="00822890" w:rsidRPr="00C9167E">
        <w:rPr>
          <w:rFonts w:ascii="TimesNewRomanPSMT" w:eastAsiaTheme="minorHAnsi" w:hAnsi="TimesNewRomanPSMT" w:cs="TimesNewRomanPSMT"/>
          <w:lang w:eastAsia="en-US"/>
        </w:rPr>
        <w:t xml:space="preserve"> </w:t>
      </w:r>
      <w:r w:rsidRPr="00C9167E">
        <w:rPr>
          <w:rFonts w:ascii="TimesNewRomanPSMT" w:eastAsiaTheme="minorHAnsi" w:hAnsi="TimesNewRomanPSMT" w:cs="TimesNewRomanPSMT"/>
          <w:lang w:eastAsia="en-US"/>
        </w:rPr>
        <w:t>Tāpat Eiropas Cilvēktiesību konvencijas Pirmā protokola 1. pantā ir noteikts, ka jebkurai fiziskai vai juridiskai personai ir tiesības uz īpašumu. [..].</w:t>
      </w:r>
    </w:p>
    <w:p w14:paraId="277B3BA6" w14:textId="2808364D" w:rsidR="00523AE0" w:rsidRPr="00C9167E" w:rsidRDefault="00523AE0" w:rsidP="00523AE0">
      <w:pPr>
        <w:pStyle w:val="tv213"/>
        <w:spacing w:before="0" w:beforeAutospacing="0" w:after="0" w:afterAutospacing="0" w:line="276" w:lineRule="auto"/>
        <w:ind w:firstLine="720"/>
        <w:contextualSpacing/>
        <w:jc w:val="both"/>
      </w:pPr>
      <w:r w:rsidRPr="00C9167E">
        <w:rPr>
          <w:rFonts w:ascii="TimesNewRomanPSMT" w:eastAsiaTheme="minorHAnsi" w:hAnsi="TimesNewRomanPSMT" w:cs="TimesNewRomanPSMT"/>
          <w:lang w:eastAsia="en-US"/>
        </w:rPr>
        <w:t xml:space="preserve">Satversmes tiesa ir norādījusi, ka Satversmes 105. pants interpretējams kopsakarā ar Eiropas Cilvēktiesību konvencijas Pirmā protokola 1. pantu. [..]. Atsaucoties uz Eiropas Cilvēktiesību tiesas spriedumiem, Satversmes tiesa atzinusi, ka nav tiesību paļauties uz īpašuma iegūšanu, ja nav iespējams konstatēt, ka eksistē pietiekami dibināta prasība, kuras izpildi varētu pieprasīt. Nākotnes ienākumi uzskatāmi par īpašumu vienīgi tad, ja tie jau ir nopelnīti vai pastāv prasība, kuru var apmierināt. Par īpašumu Eiropas Cilvēktiesību konvencijas Pirmā protokola 1. panta izpratnē nevar uzskatīt ar nosacījumiem saistītu prasību, ja šai prasībai nav izredžu sakarā ar to, ka nosacījumi nav izpildīti </w:t>
      </w:r>
      <w:proofErr w:type="gramStart"/>
      <w:r w:rsidRPr="00C9167E">
        <w:rPr>
          <w:rFonts w:ascii="TimesNewRomanPSMT" w:eastAsiaTheme="minorHAnsi" w:hAnsi="TimesNewRomanPSMT" w:cs="TimesNewRomanPSMT"/>
          <w:lang w:eastAsia="en-US"/>
        </w:rPr>
        <w:t>(</w:t>
      </w:r>
      <w:bookmarkStart w:id="15" w:name="_Hlk138067137"/>
      <w:proofErr w:type="gramEnd"/>
      <w:r w:rsidRPr="00C9167E">
        <w:rPr>
          <w:rFonts w:ascii="TimesNewRomanPSMT" w:eastAsiaTheme="minorHAnsi" w:hAnsi="TimesNewRomanPSMT" w:cs="TimesNewRomanPSMT"/>
          <w:i/>
          <w:iCs/>
          <w:lang w:eastAsia="en-US"/>
        </w:rPr>
        <w:t>Satversmes tiesas 2010. gada 20. aprīļa sprieduma lietā Nr. </w:t>
      </w:r>
      <w:hyperlink r:id="rId10" w:anchor="search=" w:history="1">
        <w:r w:rsidRPr="00C9167E">
          <w:rPr>
            <w:rStyle w:val="Hyperlink"/>
            <w:rFonts w:ascii="TimesNewRomanPSMT" w:eastAsiaTheme="minorHAnsi" w:hAnsi="TimesNewRomanPSMT" w:cs="TimesNewRomanPSMT"/>
            <w:i/>
            <w:iCs/>
            <w:color w:val="auto"/>
            <w:lang w:eastAsia="en-US"/>
          </w:rPr>
          <w:t>2009-100-03</w:t>
        </w:r>
      </w:hyperlink>
      <w:r w:rsidRPr="00C9167E">
        <w:rPr>
          <w:rFonts w:ascii="TimesNewRomanPSMT" w:eastAsiaTheme="minorHAnsi" w:hAnsi="TimesNewRomanPSMT" w:cs="TimesNewRomanPSMT"/>
          <w:i/>
          <w:iCs/>
          <w:lang w:eastAsia="en-US"/>
        </w:rPr>
        <w:t xml:space="preserve"> 8.1.</w:t>
      </w:r>
      <w:r w:rsidRPr="00C9167E">
        <w:rPr>
          <w:rFonts w:ascii="TimesNewRomanPSMT" w:eastAsiaTheme="minorHAnsi" w:hAnsi="TimesNewRomanPSMT" w:cs="TimesNewRomanPSMT"/>
          <w:lang w:eastAsia="en-US"/>
        </w:rPr>
        <w:t>–</w:t>
      </w:r>
      <w:r w:rsidRPr="00C9167E">
        <w:rPr>
          <w:rFonts w:ascii="TimesNewRomanPSMT" w:eastAsiaTheme="minorHAnsi" w:hAnsi="TimesNewRomanPSMT" w:cs="TimesNewRomanPSMT"/>
          <w:i/>
          <w:iCs/>
          <w:lang w:eastAsia="en-US"/>
        </w:rPr>
        <w:t>8.2. punkts</w:t>
      </w:r>
      <w:bookmarkEnd w:id="15"/>
      <w:r w:rsidRPr="00C9167E">
        <w:rPr>
          <w:rFonts w:ascii="TimesNewRomanPSMT" w:eastAsiaTheme="minorHAnsi" w:hAnsi="TimesNewRomanPSMT" w:cs="TimesNewRomanPSMT"/>
          <w:lang w:eastAsia="en-US"/>
        </w:rPr>
        <w:t>).</w:t>
      </w:r>
    </w:p>
    <w:p w14:paraId="5AD8ED76" w14:textId="2190FAC0" w:rsidR="00523AE0" w:rsidRPr="00C9167E" w:rsidRDefault="00523AE0" w:rsidP="00CA7697">
      <w:pPr>
        <w:pStyle w:val="tv213"/>
        <w:spacing w:before="0" w:beforeAutospacing="0" w:after="0" w:afterAutospacing="0" w:line="276" w:lineRule="auto"/>
        <w:ind w:firstLine="720"/>
        <w:contextualSpacing/>
        <w:jc w:val="both"/>
      </w:pPr>
      <w:r w:rsidRPr="00C9167E">
        <w:t xml:space="preserve">Tādējādi Senāts norāda, ka personai nav tiesību paļauties uz īpašuma iegūšanu, tajā skaitā uzskatīt, ka tai pienākas atlīdzība, ja tā vēl nav nopelnīta </w:t>
      </w:r>
      <w:r w:rsidR="00CA7697" w:rsidRPr="00C9167E">
        <w:t>vai</w:t>
      </w:r>
      <w:r w:rsidRPr="00C9167E">
        <w:t xml:space="preserve"> nepastāv </w:t>
      </w:r>
      <w:r w:rsidR="00CF7F04" w:rsidRPr="00C9167E">
        <w:rPr>
          <w:rFonts w:ascii="TimesNewRomanPSMT" w:eastAsiaTheme="minorHAnsi" w:hAnsi="TimesNewRomanPSMT" w:cs="TimesNewRomanPSMT"/>
          <w:lang w:eastAsia="en-US"/>
        </w:rPr>
        <w:t>prasība, kuru var apmierināt</w:t>
      </w:r>
      <w:r w:rsidRPr="00C9167E">
        <w:t>.</w:t>
      </w:r>
      <w:bookmarkEnd w:id="14"/>
    </w:p>
    <w:p w14:paraId="1FBBDCA3" w14:textId="45031B5D" w:rsidR="00893621" w:rsidRPr="00C9167E" w:rsidRDefault="00FE0397" w:rsidP="00B75930">
      <w:pPr>
        <w:pStyle w:val="tv213"/>
        <w:spacing w:before="0" w:beforeAutospacing="0" w:after="0" w:afterAutospacing="0" w:line="276" w:lineRule="auto"/>
        <w:ind w:firstLine="720"/>
        <w:contextualSpacing/>
        <w:jc w:val="both"/>
        <w:rPr>
          <w:rFonts w:eastAsiaTheme="minorHAnsi"/>
          <w:lang w:eastAsia="en-US"/>
        </w:rPr>
      </w:pPr>
      <w:r w:rsidRPr="00C9167E">
        <w:rPr>
          <w:rFonts w:eastAsiaTheme="minorHAnsi"/>
          <w:lang w:eastAsia="en-US"/>
        </w:rPr>
        <w:t xml:space="preserve">Apelācijas instances tiesa ir izvērtējusi </w:t>
      </w:r>
      <w:r w:rsidR="00C21A48">
        <w:rPr>
          <w:rFonts w:eastAsiaTheme="minorHAnsi"/>
          <w:lang w:eastAsia="en-US"/>
        </w:rPr>
        <w:t>[pers. </w:t>
      </w:r>
      <w:r w:rsidR="00C21A48">
        <w:rPr>
          <w:rFonts w:eastAsiaTheme="minorHAnsi"/>
        </w:rPr>
        <w:t>A]</w:t>
      </w:r>
      <w:r w:rsidRPr="00C9167E">
        <w:rPr>
          <w:rFonts w:eastAsiaTheme="minorHAnsi"/>
          <w:lang w:eastAsia="en-US"/>
        </w:rPr>
        <w:t xml:space="preserve"> jau agrāk pausto argumentu, </w:t>
      </w:r>
      <w:r w:rsidR="00B2785F" w:rsidRPr="00C9167E">
        <w:rPr>
          <w:rFonts w:eastAsiaTheme="minorHAnsi"/>
          <w:lang w:eastAsia="en-US"/>
        </w:rPr>
        <w:t xml:space="preserve">kas atkārtots kasācijas sūdzībās (lēmuma 4.4., 6.2. punkts), </w:t>
      </w:r>
      <w:r w:rsidRPr="00C9167E">
        <w:rPr>
          <w:rFonts w:eastAsiaTheme="minorHAnsi"/>
          <w:lang w:eastAsia="en-US"/>
        </w:rPr>
        <w:t xml:space="preserve">ka </w:t>
      </w:r>
      <w:r w:rsidR="00C21A48">
        <w:rPr>
          <w:rFonts w:eastAsiaTheme="minorHAnsi"/>
          <w:lang w:eastAsia="en-US"/>
        </w:rPr>
        <w:t>[pers. A]</w:t>
      </w:r>
      <w:r w:rsidRPr="00C9167E">
        <w:rPr>
          <w:rFonts w:eastAsiaTheme="minorHAnsi"/>
          <w:lang w:eastAsia="en-US"/>
        </w:rPr>
        <w:t xml:space="preserve"> 2012. gada </w:t>
      </w:r>
      <w:r w:rsidR="00C21A48">
        <w:rPr>
          <w:rFonts w:eastAsiaTheme="minorHAnsi"/>
          <w:lang w:eastAsia="en-US"/>
        </w:rPr>
        <w:t>[..]</w:t>
      </w:r>
      <w:r w:rsidR="00064036">
        <w:rPr>
          <w:rFonts w:eastAsiaTheme="minorHAnsi"/>
          <w:lang w:eastAsia="en-US"/>
        </w:rPr>
        <w:t>. jūlijā</w:t>
      </w:r>
      <w:r w:rsidRPr="00C9167E">
        <w:rPr>
          <w:rFonts w:eastAsiaTheme="minorHAnsi"/>
          <w:lang w:eastAsia="en-US"/>
        </w:rPr>
        <w:t xml:space="preserve"> bija tiesīgs sev izmaksāt atlīdzību, pamatojoties uz 2012. gada </w:t>
      </w:r>
      <w:r w:rsidR="00C21A48">
        <w:rPr>
          <w:rFonts w:eastAsiaTheme="minorHAnsi"/>
          <w:lang w:eastAsia="en-US"/>
        </w:rPr>
        <w:t>[..]</w:t>
      </w:r>
      <w:r w:rsidR="00064036">
        <w:rPr>
          <w:rFonts w:eastAsiaTheme="minorHAnsi"/>
          <w:lang w:eastAsia="en-US"/>
        </w:rPr>
        <w:t>. oktobrī</w:t>
      </w:r>
      <w:r w:rsidR="00B2785F" w:rsidRPr="00C9167E">
        <w:rPr>
          <w:rFonts w:eastAsiaTheme="minorHAnsi"/>
          <w:lang w:eastAsia="en-US"/>
        </w:rPr>
        <w:t xml:space="preserve"> grāmatvedībā iesniegtajos</w:t>
      </w:r>
      <w:r w:rsidRPr="00C9167E">
        <w:rPr>
          <w:rFonts w:eastAsiaTheme="minorHAnsi"/>
          <w:lang w:eastAsia="en-US"/>
        </w:rPr>
        <w:t xml:space="preserve"> rēķinos norādītajām ziņām</w:t>
      </w:r>
      <w:r w:rsidR="003C6994" w:rsidRPr="00C9167E">
        <w:rPr>
          <w:rFonts w:eastAsiaTheme="minorHAnsi"/>
          <w:lang w:eastAsia="en-US"/>
        </w:rPr>
        <w:t>,</w:t>
      </w:r>
      <w:r w:rsidRPr="00C9167E">
        <w:rPr>
          <w:rFonts w:eastAsiaTheme="minorHAnsi"/>
          <w:lang w:eastAsia="en-US"/>
        </w:rPr>
        <w:t xml:space="preserve"> un motivēti to noraidījusi</w:t>
      </w:r>
      <w:r w:rsidR="00B2785F" w:rsidRPr="00C9167E">
        <w:rPr>
          <w:rFonts w:eastAsiaTheme="minorHAnsi"/>
          <w:lang w:eastAsia="en-US"/>
        </w:rPr>
        <w:t>. Tiesa atzinusi,</w:t>
      </w:r>
      <w:r w:rsidRPr="00C9167E">
        <w:rPr>
          <w:rFonts w:eastAsiaTheme="minorHAnsi"/>
          <w:lang w:eastAsia="en-US"/>
        </w:rPr>
        <w:t xml:space="preserve"> ka nauda no MSIA „</w:t>
      </w:r>
      <w:r w:rsidR="00C21A48">
        <w:rPr>
          <w:rFonts w:eastAsiaTheme="minorHAnsi"/>
          <w:lang w:eastAsia="en-US"/>
        </w:rPr>
        <w:t>[Nosaukums </w:t>
      </w:r>
      <w:r w:rsidR="00C21A48">
        <w:rPr>
          <w:rFonts w:eastAsiaTheme="minorHAnsi"/>
        </w:rPr>
        <w:t>A]</w:t>
      </w:r>
      <w:r w:rsidRPr="00C9167E">
        <w:rPr>
          <w:rFonts w:eastAsiaTheme="minorHAnsi"/>
          <w:lang w:eastAsia="en-US"/>
        </w:rPr>
        <w:t xml:space="preserve">” bankas konta </w:t>
      </w:r>
      <w:r w:rsidR="003C6994" w:rsidRPr="00C9167E">
        <w:rPr>
          <w:rFonts w:eastAsiaTheme="minorHAnsi"/>
          <w:lang w:eastAsia="en-US"/>
        </w:rPr>
        <w:t>izmaksāta prettiesiski, ar tiešu nodomu</w:t>
      </w:r>
      <w:r w:rsidR="003A6624" w:rsidRPr="00C9167E">
        <w:rPr>
          <w:rFonts w:eastAsiaTheme="minorHAnsi"/>
          <w:lang w:eastAsia="en-US"/>
        </w:rPr>
        <w:t xml:space="preserve"> pievienot to savai mantai, atstumjot īpašnieku. </w:t>
      </w:r>
      <w:r w:rsidR="00751363" w:rsidRPr="00C9167E">
        <w:rPr>
          <w:rFonts w:eastAsiaTheme="minorHAnsi"/>
          <w:lang w:eastAsia="en-US"/>
        </w:rPr>
        <w:t xml:space="preserve">Naudas izņemšanas brīdī </w:t>
      </w:r>
      <w:r w:rsidR="00C21A48">
        <w:rPr>
          <w:rFonts w:eastAsiaTheme="minorHAnsi"/>
          <w:lang w:eastAsia="en-US"/>
        </w:rPr>
        <w:t>[pers. </w:t>
      </w:r>
      <w:r w:rsidR="00C21A48">
        <w:rPr>
          <w:rFonts w:eastAsiaTheme="minorHAnsi"/>
        </w:rPr>
        <w:t>A]</w:t>
      </w:r>
      <w:r w:rsidR="00751363" w:rsidRPr="00C9167E">
        <w:rPr>
          <w:rFonts w:eastAsiaTheme="minorHAnsi"/>
          <w:lang w:eastAsia="en-US"/>
        </w:rPr>
        <w:t xml:space="preserve"> nebija tiesību brīvi rīkoties ar MSIA „</w:t>
      </w:r>
      <w:r w:rsidR="00C21A48">
        <w:rPr>
          <w:rFonts w:eastAsiaTheme="minorHAnsi"/>
          <w:lang w:eastAsia="en-US"/>
        </w:rPr>
        <w:t>[Nosaukums A]</w:t>
      </w:r>
      <w:r w:rsidR="00751363" w:rsidRPr="00C9167E">
        <w:rPr>
          <w:rFonts w:eastAsiaTheme="minorHAnsi"/>
          <w:lang w:eastAsia="en-US"/>
        </w:rPr>
        <w:t>” naudas līdzekļiem, pamatojoties uz vēlāk grāmatvedībā iesniegtajos rēķinos</w:t>
      </w:r>
      <w:r w:rsidR="00B2785F" w:rsidRPr="00C9167E">
        <w:rPr>
          <w:rFonts w:eastAsiaTheme="minorHAnsi"/>
          <w:lang w:eastAsia="en-US"/>
        </w:rPr>
        <w:t xml:space="preserve"> </w:t>
      </w:r>
      <w:r w:rsidR="00751363" w:rsidRPr="00C9167E">
        <w:rPr>
          <w:rFonts w:eastAsiaTheme="minorHAnsi"/>
          <w:lang w:eastAsia="en-US"/>
        </w:rPr>
        <w:t>norādītajām ziņām</w:t>
      </w:r>
      <w:r w:rsidR="006D370A" w:rsidRPr="00C9167E">
        <w:rPr>
          <w:rFonts w:eastAsiaTheme="minorHAnsi"/>
          <w:lang w:eastAsia="en-US"/>
        </w:rPr>
        <w:t xml:space="preserve">. </w:t>
      </w:r>
      <w:r w:rsidR="00C21A48">
        <w:rPr>
          <w:rFonts w:eastAsiaTheme="minorHAnsi"/>
          <w:lang w:eastAsia="en-US"/>
        </w:rPr>
        <w:t>[Pers. A]</w:t>
      </w:r>
      <w:r w:rsidR="00893621" w:rsidRPr="00C9167E">
        <w:rPr>
          <w:rFonts w:eastAsiaTheme="minorHAnsi"/>
          <w:lang w:eastAsia="en-US"/>
        </w:rPr>
        <w:t>, lai slēptu 50</w:t>
      </w:r>
      <w:r w:rsidR="003B2D79" w:rsidRPr="00C9167E">
        <w:rPr>
          <w:rFonts w:eastAsiaTheme="minorHAnsi"/>
          <w:lang w:eastAsia="en-US"/>
        </w:rPr>
        <w:t> </w:t>
      </w:r>
      <w:r w:rsidR="00893621" w:rsidRPr="00C9167E">
        <w:rPr>
          <w:rFonts w:eastAsiaTheme="minorHAnsi"/>
          <w:lang w:eastAsia="en-US"/>
        </w:rPr>
        <w:t>400</w:t>
      </w:r>
      <w:r w:rsidR="003B2D79" w:rsidRPr="00C9167E">
        <w:rPr>
          <w:rFonts w:eastAsiaTheme="minorHAnsi"/>
          <w:lang w:eastAsia="en-US"/>
        </w:rPr>
        <w:t> </w:t>
      </w:r>
      <w:proofErr w:type="spellStart"/>
      <w:r w:rsidR="00893621" w:rsidRPr="00C9167E">
        <w:rPr>
          <w:rFonts w:eastAsiaTheme="minorHAnsi"/>
          <w:i/>
          <w:iCs/>
          <w:lang w:eastAsia="en-US"/>
        </w:rPr>
        <w:t>euro</w:t>
      </w:r>
      <w:proofErr w:type="spellEnd"/>
      <w:r w:rsidR="00893621" w:rsidRPr="00C9167E">
        <w:rPr>
          <w:rFonts w:eastAsiaTheme="minorHAnsi"/>
          <w:lang w:eastAsia="en-US"/>
        </w:rPr>
        <w:t xml:space="preserve"> naudas līdzekļu piesavināšanās faktu,</w:t>
      </w:r>
      <w:r w:rsidR="006D370A" w:rsidRPr="00C9167E">
        <w:rPr>
          <w:rFonts w:eastAsiaTheme="minorHAnsi"/>
          <w:lang w:eastAsia="en-US"/>
        </w:rPr>
        <w:t xml:space="preserve"> 2012. gada </w:t>
      </w:r>
      <w:r w:rsidR="00C21A48">
        <w:rPr>
          <w:rFonts w:eastAsiaTheme="minorHAnsi"/>
          <w:lang w:eastAsia="en-US"/>
        </w:rPr>
        <w:t>[..]</w:t>
      </w:r>
      <w:r w:rsidR="006D370A" w:rsidRPr="00C9167E">
        <w:rPr>
          <w:rFonts w:eastAsiaTheme="minorHAnsi"/>
          <w:lang w:eastAsia="en-US"/>
        </w:rPr>
        <w:t xml:space="preserve"> MSIA „</w:t>
      </w:r>
      <w:r w:rsidR="00C21A48">
        <w:rPr>
          <w:rFonts w:eastAsiaTheme="minorHAnsi"/>
          <w:lang w:eastAsia="en-US"/>
        </w:rPr>
        <w:t>[Nosaukums A]</w:t>
      </w:r>
      <w:r w:rsidR="006D370A" w:rsidRPr="00C9167E">
        <w:rPr>
          <w:rFonts w:eastAsiaTheme="minorHAnsi"/>
          <w:lang w:eastAsia="en-US"/>
        </w:rPr>
        <w:t>” grāmatvedī</w:t>
      </w:r>
      <w:r w:rsidR="000A6D5E" w:rsidRPr="00C9167E">
        <w:rPr>
          <w:rFonts w:eastAsiaTheme="minorHAnsi"/>
          <w:lang w:eastAsia="en-US"/>
        </w:rPr>
        <w:t>bā</w:t>
      </w:r>
      <w:r w:rsidR="006D370A" w:rsidRPr="00C9167E">
        <w:rPr>
          <w:rFonts w:eastAsiaTheme="minorHAnsi"/>
          <w:lang w:eastAsia="en-US"/>
        </w:rPr>
        <w:t xml:space="preserve"> iesniedzi</w:t>
      </w:r>
      <w:r w:rsidR="00893621" w:rsidRPr="00C9167E">
        <w:rPr>
          <w:rFonts w:eastAsiaTheme="minorHAnsi"/>
          <w:lang w:eastAsia="en-US"/>
        </w:rPr>
        <w:t>s</w:t>
      </w:r>
      <w:r w:rsidR="006D370A" w:rsidRPr="00C9167E">
        <w:rPr>
          <w:rFonts w:eastAsiaTheme="minorHAnsi"/>
          <w:lang w:eastAsia="en-US"/>
        </w:rPr>
        <w:t xml:space="preserve"> rēķinu </w:t>
      </w:r>
      <w:r w:rsidR="00893621" w:rsidRPr="00C9167E">
        <w:rPr>
          <w:rFonts w:eastAsiaTheme="minorHAnsi"/>
          <w:lang w:eastAsia="en-US"/>
        </w:rPr>
        <w:t>Nr. A02-10/2012 par kopējo summu 26 789,88 lati</w:t>
      </w:r>
      <w:r w:rsidR="008F753C" w:rsidRPr="00C9167E">
        <w:rPr>
          <w:rFonts w:eastAsiaTheme="minorHAnsi"/>
          <w:lang w:eastAsia="en-US"/>
        </w:rPr>
        <w:t xml:space="preserve"> (38 118,57 </w:t>
      </w:r>
      <w:proofErr w:type="spellStart"/>
      <w:r w:rsidR="008F753C" w:rsidRPr="00C9167E">
        <w:rPr>
          <w:rFonts w:eastAsiaTheme="minorHAnsi"/>
          <w:i/>
          <w:iCs/>
          <w:lang w:eastAsia="en-US"/>
        </w:rPr>
        <w:t>euro</w:t>
      </w:r>
      <w:proofErr w:type="spellEnd"/>
      <w:r w:rsidR="008F753C" w:rsidRPr="00C9167E">
        <w:rPr>
          <w:rFonts w:eastAsiaTheme="minorHAnsi"/>
          <w:lang w:eastAsia="en-US"/>
        </w:rPr>
        <w:t>)</w:t>
      </w:r>
      <w:r w:rsidR="00893621" w:rsidRPr="00C9167E">
        <w:rPr>
          <w:rFonts w:eastAsiaTheme="minorHAnsi"/>
          <w:lang w:eastAsia="en-US"/>
        </w:rPr>
        <w:t xml:space="preserve">, atsaucoties uz Administratīvās apgabaltiesas </w:t>
      </w:r>
      <w:r w:rsidR="00893621" w:rsidRPr="003227C6">
        <w:rPr>
          <w:rFonts w:eastAsiaTheme="minorHAnsi"/>
          <w:lang w:eastAsia="en-US"/>
        </w:rPr>
        <w:t xml:space="preserve">2012. gada </w:t>
      </w:r>
      <w:r w:rsidR="003227C6">
        <w:rPr>
          <w:rFonts w:eastAsiaTheme="minorHAnsi"/>
          <w:lang w:eastAsia="en-US"/>
        </w:rPr>
        <w:t>[..]</w:t>
      </w:r>
      <w:r w:rsidR="00893621" w:rsidRPr="00C9167E">
        <w:rPr>
          <w:rFonts w:eastAsiaTheme="minorHAnsi"/>
          <w:lang w:eastAsia="en-US"/>
        </w:rPr>
        <w:t xml:space="preserve"> spriedumu, apzinoties, ka spriedums nav stājies spēkā. Tāpat </w:t>
      </w:r>
      <w:r w:rsidR="00C21A48">
        <w:rPr>
          <w:rFonts w:eastAsiaTheme="minorHAnsi"/>
          <w:lang w:eastAsia="en-US"/>
        </w:rPr>
        <w:t>[pers. </w:t>
      </w:r>
      <w:r w:rsidR="00C21A48">
        <w:rPr>
          <w:rFonts w:eastAsiaTheme="minorHAnsi"/>
        </w:rPr>
        <w:t>A]</w:t>
      </w:r>
      <w:r w:rsidR="00893621" w:rsidRPr="00C9167E">
        <w:rPr>
          <w:rFonts w:eastAsiaTheme="minorHAnsi"/>
          <w:lang w:eastAsia="en-US"/>
        </w:rPr>
        <w:t xml:space="preserve"> 2012. gada </w:t>
      </w:r>
      <w:r w:rsidR="00DA2882">
        <w:rPr>
          <w:rFonts w:eastAsiaTheme="minorHAnsi"/>
          <w:lang w:eastAsia="en-US"/>
        </w:rPr>
        <w:t>[..]</w:t>
      </w:r>
      <w:r w:rsidR="00893621" w:rsidRPr="00C9167E">
        <w:rPr>
          <w:rFonts w:eastAsiaTheme="minorHAnsi"/>
          <w:lang w:eastAsia="en-US"/>
        </w:rPr>
        <w:t xml:space="preserve"> iesniedzis rēķinu Nr. A03-10/2012 par kopējo summu 871,20 lati</w:t>
      </w:r>
      <w:r w:rsidR="008F753C" w:rsidRPr="00C9167E">
        <w:rPr>
          <w:rFonts w:eastAsiaTheme="minorHAnsi"/>
          <w:lang w:eastAsia="en-US"/>
        </w:rPr>
        <w:t xml:space="preserve"> (1239,61 </w:t>
      </w:r>
      <w:proofErr w:type="spellStart"/>
      <w:r w:rsidR="008F753C" w:rsidRPr="00C9167E">
        <w:rPr>
          <w:rFonts w:eastAsiaTheme="minorHAnsi"/>
          <w:i/>
          <w:iCs/>
          <w:lang w:eastAsia="en-US"/>
        </w:rPr>
        <w:t>euro</w:t>
      </w:r>
      <w:proofErr w:type="spellEnd"/>
      <w:r w:rsidR="008F753C" w:rsidRPr="00C9167E">
        <w:rPr>
          <w:rFonts w:eastAsiaTheme="minorHAnsi"/>
          <w:lang w:eastAsia="en-US"/>
        </w:rPr>
        <w:t>)</w:t>
      </w:r>
      <w:r w:rsidR="00893621" w:rsidRPr="00C9167E">
        <w:rPr>
          <w:rFonts w:eastAsiaTheme="minorHAnsi"/>
          <w:lang w:eastAsia="en-US"/>
        </w:rPr>
        <w:t xml:space="preserve">, kā pamatojumu norādot atlīdzību par izsoles veikšanu, apzinoties, ka ar </w:t>
      </w:r>
      <w:r w:rsidR="00A86441">
        <w:rPr>
          <w:rFonts w:eastAsiaTheme="minorHAnsi"/>
          <w:lang w:eastAsia="en-US"/>
        </w:rPr>
        <w:t>[rajona (pilsētas)]</w:t>
      </w:r>
      <w:r w:rsidR="00893621" w:rsidRPr="00A86441">
        <w:rPr>
          <w:rFonts w:eastAsiaTheme="minorHAnsi"/>
          <w:lang w:eastAsia="en-US"/>
        </w:rPr>
        <w:t xml:space="preserve"> tiesas 2012. gada </w:t>
      </w:r>
      <w:r w:rsidR="00A86441" w:rsidRPr="00A86441">
        <w:rPr>
          <w:rFonts w:eastAsiaTheme="minorHAnsi"/>
          <w:lang w:eastAsia="en-US"/>
        </w:rPr>
        <w:t>[..]</w:t>
      </w:r>
      <w:r w:rsidR="00893621" w:rsidRPr="00A86441">
        <w:rPr>
          <w:rFonts w:eastAsiaTheme="minorHAnsi"/>
          <w:lang w:eastAsia="en-US"/>
        </w:rPr>
        <w:t xml:space="preserve"> lēmumu iz</w:t>
      </w:r>
      <w:r w:rsidR="00893621" w:rsidRPr="00C9167E">
        <w:rPr>
          <w:rFonts w:eastAsiaTheme="minorHAnsi"/>
          <w:lang w:eastAsia="en-US"/>
        </w:rPr>
        <w:t xml:space="preserve">sole atzīta par spēkā neesošu. </w:t>
      </w:r>
    </w:p>
    <w:p w14:paraId="37935642" w14:textId="0C159771" w:rsidR="003B2D79" w:rsidRPr="00C9167E" w:rsidRDefault="00893621" w:rsidP="00B75930">
      <w:pPr>
        <w:pStyle w:val="tv213"/>
        <w:spacing w:before="0" w:beforeAutospacing="0" w:after="0" w:afterAutospacing="0" w:line="276" w:lineRule="auto"/>
        <w:ind w:firstLine="720"/>
        <w:contextualSpacing/>
        <w:jc w:val="both"/>
        <w:rPr>
          <w:rFonts w:eastAsiaTheme="minorHAnsi"/>
          <w:lang w:eastAsia="en-US"/>
        </w:rPr>
      </w:pPr>
      <w:r w:rsidRPr="00C9167E">
        <w:rPr>
          <w:rFonts w:eastAsiaTheme="minorHAnsi"/>
          <w:lang w:eastAsia="en-US"/>
        </w:rPr>
        <w:t xml:space="preserve">Tādējādi apelācijas instances tiesa ir konstatējusi, ka </w:t>
      </w:r>
      <w:r w:rsidR="003227C6">
        <w:rPr>
          <w:rFonts w:eastAsiaTheme="minorHAnsi"/>
          <w:lang w:eastAsia="en-US"/>
        </w:rPr>
        <w:t>[pers. </w:t>
      </w:r>
      <w:r w:rsidR="003227C6">
        <w:rPr>
          <w:rFonts w:eastAsiaTheme="minorHAnsi"/>
        </w:rPr>
        <w:t>A]</w:t>
      </w:r>
      <w:r w:rsidR="003B2D79" w:rsidRPr="00C9167E">
        <w:rPr>
          <w:rFonts w:eastAsiaTheme="minorHAnsi"/>
          <w:lang w:eastAsia="en-US"/>
        </w:rPr>
        <w:t xml:space="preserve"> 2012.</w:t>
      </w:r>
      <w:r w:rsidR="008F753C" w:rsidRPr="00C9167E">
        <w:rPr>
          <w:rFonts w:eastAsiaTheme="minorHAnsi"/>
          <w:lang w:eastAsia="en-US"/>
        </w:rPr>
        <w:t> </w:t>
      </w:r>
      <w:r w:rsidR="003B2D79" w:rsidRPr="00C9167E">
        <w:rPr>
          <w:rFonts w:eastAsiaTheme="minorHAnsi"/>
          <w:lang w:eastAsia="en-US"/>
        </w:rPr>
        <w:t xml:space="preserve">gada </w:t>
      </w:r>
      <w:r w:rsidR="003227C6">
        <w:rPr>
          <w:rFonts w:eastAsiaTheme="minorHAnsi"/>
          <w:lang w:eastAsia="en-US"/>
        </w:rPr>
        <w:t>[..]</w:t>
      </w:r>
      <w:r w:rsidR="003B2D79" w:rsidRPr="00C9167E">
        <w:rPr>
          <w:rFonts w:eastAsiaTheme="minorHAnsi"/>
          <w:lang w:eastAsia="en-US"/>
        </w:rPr>
        <w:t xml:space="preserve"> nepastāvēja tiesisks pamats izņemt no MSIA „</w:t>
      </w:r>
      <w:r w:rsidR="003227C6">
        <w:rPr>
          <w:rFonts w:eastAsiaTheme="minorHAnsi"/>
          <w:lang w:eastAsia="en-US"/>
        </w:rPr>
        <w:t>[Nosaukums A]</w:t>
      </w:r>
      <w:r w:rsidR="003B2D79" w:rsidRPr="00C9167E">
        <w:rPr>
          <w:rFonts w:eastAsiaTheme="minorHAnsi"/>
          <w:lang w:eastAsia="en-US"/>
        </w:rPr>
        <w:t>” norēķinu konta skaidru naudu 50 400 </w:t>
      </w:r>
      <w:proofErr w:type="spellStart"/>
      <w:r w:rsidR="003B2D79" w:rsidRPr="00C9167E">
        <w:rPr>
          <w:rFonts w:eastAsiaTheme="minorHAnsi"/>
          <w:i/>
          <w:iCs/>
          <w:lang w:eastAsia="en-US"/>
        </w:rPr>
        <w:t>euro</w:t>
      </w:r>
      <w:proofErr w:type="spellEnd"/>
      <w:r w:rsidR="003B2D79" w:rsidRPr="00C9167E">
        <w:rPr>
          <w:rFonts w:eastAsiaTheme="minorHAnsi"/>
          <w:lang w:eastAsia="en-US"/>
        </w:rPr>
        <w:t xml:space="preserve"> un rīkoties ar to kā ar savu</w:t>
      </w:r>
      <w:r w:rsidR="00E62069" w:rsidRPr="00C9167E">
        <w:rPr>
          <w:rFonts w:eastAsiaTheme="minorHAnsi"/>
          <w:lang w:eastAsia="en-US"/>
        </w:rPr>
        <w:t>.</w:t>
      </w:r>
      <w:r w:rsidR="003B2D79" w:rsidRPr="00C9167E">
        <w:rPr>
          <w:rFonts w:eastAsiaTheme="minorHAnsi"/>
          <w:lang w:eastAsia="en-US"/>
        </w:rPr>
        <w:t xml:space="preserve"> </w:t>
      </w:r>
      <w:r w:rsidR="00E62069" w:rsidRPr="00C9167E">
        <w:rPr>
          <w:rFonts w:eastAsiaTheme="minorHAnsi"/>
          <w:lang w:eastAsia="en-US"/>
        </w:rPr>
        <w:t>Savukārt</w:t>
      </w:r>
      <w:r w:rsidR="003B2D79" w:rsidRPr="00C9167E">
        <w:rPr>
          <w:rFonts w:eastAsiaTheme="minorHAnsi"/>
          <w:lang w:eastAsia="en-US"/>
        </w:rPr>
        <w:t xml:space="preserve"> 500 </w:t>
      </w:r>
      <w:proofErr w:type="spellStart"/>
      <w:r w:rsidR="003B2D79" w:rsidRPr="00C9167E">
        <w:rPr>
          <w:rFonts w:eastAsiaTheme="minorHAnsi"/>
          <w:i/>
          <w:iCs/>
          <w:lang w:eastAsia="en-US"/>
        </w:rPr>
        <w:t>euro</w:t>
      </w:r>
      <w:proofErr w:type="spellEnd"/>
      <w:r w:rsidR="003B2D79" w:rsidRPr="00C9167E">
        <w:rPr>
          <w:rFonts w:eastAsiaTheme="minorHAnsi"/>
          <w:lang w:eastAsia="en-US"/>
        </w:rPr>
        <w:t xml:space="preserve"> </w:t>
      </w:r>
      <w:r w:rsidR="00E62069" w:rsidRPr="00C9167E">
        <w:rPr>
          <w:rFonts w:eastAsiaTheme="minorHAnsi"/>
          <w:lang w:eastAsia="en-US"/>
        </w:rPr>
        <w:t xml:space="preserve">izšķērdēti, </w:t>
      </w:r>
      <w:r w:rsidR="003B2D79" w:rsidRPr="00C9167E">
        <w:rPr>
          <w:rFonts w:eastAsiaTheme="minorHAnsi"/>
          <w:lang w:eastAsia="en-US"/>
        </w:rPr>
        <w:t>samaksājot tos kā bankas komisiju par skaidr</w:t>
      </w:r>
      <w:r w:rsidR="00C9167E">
        <w:rPr>
          <w:rFonts w:eastAsiaTheme="minorHAnsi"/>
          <w:lang w:eastAsia="en-US"/>
        </w:rPr>
        <w:t>a</w:t>
      </w:r>
      <w:r w:rsidR="003B2D79" w:rsidRPr="00C9167E">
        <w:rPr>
          <w:rFonts w:eastAsiaTheme="minorHAnsi"/>
          <w:lang w:eastAsia="en-US"/>
        </w:rPr>
        <w:t>s naudas izņemšanu.</w:t>
      </w:r>
    </w:p>
    <w:p w14:paraId="5B14F2A2" w14:textId="0C07C786" w:rsidR="000A6D5E" w:rsidRPr="00C9167E" w:rsidRDefault="00E62069" w:rsidP="00B75930">
      <w:pPr>
        <w:pStyle w:val="tv213"/>
        <w:spacing w:before="0" w:beforeAutospacing="0" w:after="0" w:afterAutospacing="0" w:line="276" w:lineRule="auto"/>
        <w:ind w:firstLine="720"/>
        <w:contextualSpacing/>
        <w:jc w:val="both"/>
        <w:rPr>
          <w:rFonts w:eastAsiaTheme="minorHAnsi"/>
          <w:lang w:eastAsia="en-US"/>
        </w:rPr>
      </w:pPr>
      <w:r w:rsidRPr="00C9167E">
        <w:rPr>
          <w:rFonts w:eastAsiaTheme="minorHAnsi"/>
          <w:lang w:eastAsia="en-US"/>
        </w:rPr>
        <w:t>[1</w:t>
      </w:r>
      <w:r w:rsidR="00F3693B" w:rsidRPr="00C9167E">
        <w:rPr>
          <w:rFonts w:eastAsiaTheme="minorHAnsi"/>
          <w:lang w:eastAsia="en-US"/>
        </w:rPr>
        <w:t>0</w:t>
      </w:r>
      <w:r w:rsidRPr="00C9167E">
        <w:rPr>
          <w:rFonts w:eastAsiaTheme="minorHAnsi"/>
          <w:lang w:eastAsia="en-US"/>
        </w:rPr>
        <w:t>.2] </w:t>
      </w:r>
      <w:r w:rsidRPr="00C9167E">
        <w:rPr>
          <w:rFonts w:eastAsiaTheme="minorHAnsi" w:cstheme="minorBidi"/>
          <w:szCs w:val="22"/>
          <w:lang w:eastAsia="en-US"/>
        </w:rPr>
        <w:t xml:space="preserve">Kriminālatbildība ir smagākais juridiskās atbildības veids. Nodarījumam jāsasniedz noteikta kaitīguma pakāpe, lai iestātos kriminālatbildība. Kaitīguma pakāpi izvērtē tiesa, iztiesājot lietu pēc būtības. Civiltiesisks darījums var izraisīt civiltiesisko atbildību, bet civiltiesiskam deliktam, sasniedzot noteiktu kaitīguma pakāpi, var iestāties arī kriminālatbildība </w:t>
      </w:r>
      <w:proofErr w:type="gramStart"/>
      <w:r w:rsidRPr="00C9167E">
        <w:rPr>
          <w:rFonts w:eastAsiaTheme="minorHAnsi" w:cstheme="minorBidi"/>
          <w:szCs w:val="22"/>
          <w:lang w:eastAsia="en-US"/>
        </w:rPr>
        <w:t>(</w:t>
      </w:r>
      <w:bookmarkStart w:id="16" w:name="_Hlk138067176"/>
      <w:proofErr w:type="gramEnd"/>
      <w:r w:rsidR="00652563" w:rsidRPr="00C9167E">
        <w:rPr>
          <w:rFonts w:eastAsiaTheme="minorHAnsi" w:cstheme="minorBidi"/>
          <w:i/>
          <w:iCs/>
          <w:szCs w:val="22"/>
          <w:lang w:eastAsia="en-US"/>
        </w:rPr>
        <w:t>2014. gada 28. oktobra lēmums lietā Nr. </w:t>
      </w:r>
      <w:hyperlink r:id="rId11" w:history="1">
        <w:r w:rsidR="00652563" w:rsidRPr="00C9167E">
          <w:rPr>
            <w:rStyle w:val="Hyperlink"/>
            <w:rFonts w:eastAsiaTheme="minorHAnsi" w:cstheme="minorBidi"/>
            <w:i/>
            <w:iCs/>
            <w:color w:val="auto"/>
            <w:szCs w:val="22"/>
            <w:lang w:eastAsia="en-US"/>
          </w:rPr>
          <w:t>SKK-611/2014</w:t>
        </w:r>
      </w:hyperlink>
      <w:r w:rsidR="00652563" w:rsidRPr="00C9167E">
        <w:rPr>
          <w:rFonts w:eastAsiaTheme="minorHAnsi" w:cstheme="minorBidi"/>
          <w:i/>
          <w:iCs/>
          <w:szCs w:val="22"/>
          <w:lang w:eastAsia="en-US"/>
        </w:rPr>
        <w:t>, 11260090608</w:t>
      </w:r>
      <w:r w:rsidR="00652563">
        <w:rPr>
          <w:rFonts w:eastAsiaTheme="minorHAnsi" w:cstheme="minorBidi"/>
          <w:i/>
          <w:iCs/>
          <w:szCs w:val="22"/>
          <w:lang w:eastAsia="en-US"/>
        </w:rPr>
        <w:t xml:space="preserve">, </w:t>
      </w:r>
      <w:r w:rsidRPr="00C9167E">
        <w:rPr>
          <w:rFonts w:eastAsiaTheme="minorHAnsi" w:cstheme="minorBidi"/>
          <w:i/>
          <w:iCs/>
          <w:szCs w:val="22"/>
          <w:lang w:eastAsia="en-US"/>
        </w:rPr>
        <w:t>Senāta 2019. gada 7. oktobra lēmum</w:t>
      </w:r>
      <w:r w:rsidR="008F753C" w:rsidRPr="00C9167E">
        <w:rPr>
          <w:rFonts w:eastAsiaTheme="minorHAnsi" w:cstheme="minorBidi"/>
          <w:i/>
          <w:iCs/>
          <w:szCs w:val="22"/>
          <w:lang w:eastAsia="en-US"/>
        </w:rPr>
        <w:t>a</w:t>
      </w:r>
      <w:r w:rsidRPr="00C9167E">
        <w:rPr>
          <w:rFonts w:eastAsiaTheme="minorHAnsi" w:cstheme="minorBidi"/>
          <w:i/>
          <w:iCs/>
          <w:szCs w:val="22"/>
          <w:lang w:eastAsia="en-US"/>
        </w:rPr>
        <w:t xml:space="preserve"> lietā Nr. SKK-169/2019</w:t>
      </w:r>
      <w:r w:rsidR="00112BD7" w:rsidRPr="00C9167E">
        <w:rPr>
          <w:rFonts w:eastAsiaTheme="minorHAnsi" w:cstheme="minorBidi"/>
          <w:i/>
          <w:iCs/>
          <w:szCs w:val="22"/>
          <w:lang w:eastAsia="en-US"/>
        </w:rPr>
        <w:t>,</w:t>
      </w:r>
      <w:r w:rsidRPr="00C9167E">
        <w:rPr>
          <w:rFonts w:eastAsiaTheme="minorHAnsi" w:cstheme="minorBidi"/>
          <w:i/>
          <w:iCs/>
          <w:szCs w:val="22"/>
          <w:lang w:eastAsia="en-US"/>
        </w:rPr>
        <w:t xml:space="preserve"> </w:t>
      </w:r>
      <w:hyperlink r:id="rId12" w:history="1">
        <w:r w:rsidRPr="00C9167E">
          <w:rPr>
            <w:rStyle w:val="Hyperlink"/>
            <w:rFonts w:eastAsiaTheme="minorHAnsi" w:cstheme="minorBidi"/>
            <w:i/>
            <w:iCs/>
            <w:color w:val="auto"/>
            <w:szCs w:val="22"/>
            <w:lang w:eastAsia="en-US"/>
          </w:rPr>
          <w:t>ECLI:LV:AT:2019:1007.11310030210.5.L</w:t>
        </w:r>
      </w:hyperlink>
      <w:r w:rsidRPr="00C9167E">
        <w:rPr>
          <w:rFonts w:eastAsiaTheme="minorHAnsi" w:cstheme="minorBidi"/>
          <w:i/>
          <w:iCs/>
          <w:szCs w:val="22"/>
          <w:lang w:eastAsia="en-US"/>
        </w:rPr>
        <w:t>;</w:t>
      </w:r>
      <w:r w:rsidR="008F753C" w:rsidRPr="00C9167E">
        <w:rPr>
          <w:rFonts w:eastAsiaTheme="minorHAnsi" w:cstheme="minorBidi"/>
          <w:i/>
          <w:iCs/>
          <w:szCs w:val="22"/>
          <w:lang w:eastAsia="en-US"/>
        </w:rPr>
        <w:t>6.1. punkts</w:t>
      </w:r>
      <w:bookmarkEnd w:id="16"/>
      <w:r w:rsidRPr="00C9167E">
        <w:rPr>
          <w:rFonts w:eastAsiaTheme="minorHAnsi" w:cstheme="minorBidi"/>
          <w:szCs w:val="22"/>
          <w:lang w:eastAsia="en-US"/>
        </w:rPr>
        <w:t>).</w:t>
      </w:r>
    </w:p>
    <w:p w14:paraId="5FBB7242" w14:textId="502781F6" w:rsidR="00320E31" w:rsidRPr="00C9167E" w:rsidRDefault="00B35AE8" w:rsidP="00320E31">
      <w:pPr>
        <w:pStyle w:val="tv213"/>
        <w:spacing w:line="276" w:lineRule="auto"/>
        <w:ind w:firstLine="720"/>
        <w:contextualSpacing/>
        <w:jc w:val="both"/>
      </w:pPr>
      <w:r w:rsidRPr="00C9167E">
        <w:t>N</w:t>
      </w:r>
      <w:r w:rsidR="00E62069" w:rsidRPr="00C9167E">
        <w:t>orobežojot piesavināšanos no mantas patvaļīgas lietošanas, kas var būt civiltiesisks delikts, juridiskajā literatūrā atzīts, ka iebrukumam svešā valdīšanas sfērā pie paņemšanas, piesavināšanās vai krāpšanas galvenokārt ir nolūks noziedzīgi vērst lietu savā labā, bet aizskārums minētajos gadījumos vispirms vēršas uz lietas izņemšanu no saimnieka valdīšanas vai kundzības. Šo mantisko aizskārumu atšķirīgā īpatnība ir paša objekta galīga pārņemšana no vienas mantiskās sfēras otrā un tā nostiprināšana vainīgajam vai tam, kura interesēs viņš darbojas. Savukārt patvaļīgas lietošanas gadījumā pirmajā vietā ir tieši nodotās lietas kāda nebūt labuma iegūšana</w:t>
      </w:r>
      <w:r w:rsidR="00567A70" w:rsidRPr="00C9167E">
        <w:t xml:space="preserve"> </w:t>
      </w:r>
      <w:r w:rsidR="00E62069" w:rsidRPr="00C9167E">
        <w:t>(</w:t>
      </w:r>
      <w:proofErr w:type="spellStart"/>
      <w:r w:rsidR="00E62069" w:rsidRPr="00C9167E">
        <w:rPr>
          <w:i/>
          <w:iCs/>
        </w:rPr>
        <w:t>Mincs</w:t>
      </w:r>
      <w:proofErr w:type="spellEnd"/>
      <w:r w:rsidR="00E62069" w:rsidRPr="00C9167E">
        <w:rPr>
          <w:i/>
          <w:iCs/>
        </w:rPr>
        <w:t xml:space="preserve"> P. Krimināltiesības. Sevišķā daļa. Ar V.</w:t>
      </w:r>
      <w:r w:rsidR="00320E31" w:rsidRPr="00C9167E">
        <w:rPr>
          <w:i/>
          <w:iCs/>
        </w:rPr>
        <w:t> </w:t>
      </w:r>
      <w:proofErr w:type="spellStart"/>
      <w:r w:rsidR="00E62069" w:rsidRPr="00C9167E">
        <w:rPr>
          <w:i/>
          <w:iCs/>
        </w:rPr>
        <w:t>Liholajas</w:t>
      </w:r>
      <w:proofErr w:type="spellEnd"/>
      <w:r w:rsidR="00E62069" w:rsidRPr="00C9167E">
        <w:rPr>
          <w:i/>
          <w:iCs/>
        </w:rPr>
        <w:t xml:space="preserve"> komentāriem.</w:t>
      </w:r>
      <w:r w:rsidR="00567A70" w:rsidRPr="00C9167E">
        <w:rPr>
          <w:i/>
          <w:iCs/>
        </w:rPr>
        <w:t xml:space="preserve"> </w:t>
      </w:r>
      <w:r w:rsidR="00E62069" w:rsidRPr="00C9167E">
        <w:rPr>
          <w:i/>
          <w:iCs/>
        </w:rPr>
        <w:t>Rīga: Tiesu namu aģentūra, 2005, 395. lpp</w:t>
      </w:r>
      <w:r w:rsidR="00E62069" w:rsidRPr="00C9167E">
        <w:t>.).</w:t>
      </w:r>
    </w:p>
    <w:p w14:paraId="587F55E8" w14:textId="180998F2" w:rsidR="00320E31" w:rsidRPr="00180D31" w:rsidRDefault="00320E31" w:rsidP="00320E31">
      <w:pPr>
        <w:pStyle w:val="tv213"/>
        <w:spacing w:line="276" w:lineRule="auto"/>
        <w:ind w:firstLine="720"/>
        <w:contextualSpacing/>
        <w:jc w:val="both"/>
        <w:rPr>
          <w:color w:val="000000" w:themeColor="text1"/>
        </w:rPr>
      </w:pPr>
      <w:r w:rsidRPr="00C9167E">
        <w:t xml:space="preserve">Apelācijas instances tiesa, vērtējot spriedumā minētos pierādījumus, atzinusi, </w:t>
      </w:r>
      <w:r w:rsidR="00CA7697" w:rsidRPr="00C9167E">
        <w:t xml:space="preserve">ka </w:t>
      </w:r>
      <w:r w:rsidR="003227C6">
        <w:t>[pers. A]</w:t>
      </w:r>
      <w:r w:rsidRPr="00C9167E">
        <w:t>, izsniedzot</w:t>
      </w:r>
      <w:r w:rsidR="00DF60E6" w:rsidRPr="00C9167E">
        <w:t xml:space="preserve"> 31 000 latu</w:t>
      </w:r>
      <w:r w:rsidR="00007544" w:rsidRPr="00C9167E">
        <w:t xml:space="preserve"> (44 109,03 </w:t>
      </w:r>
      <w:proofErr w:type="spellStart"/>
      <w:r w:rsidR="00007544" w:rsidRPr="00C9167E">
        <w:rPr>
          <w:i/>
          <w:iCs/>
        </w:rPr>
        <w:t>euro</w:t>
      </w:r>
      <w:proofErr w:type="spellEnd"/>
      <w:r w:rsidR="00007544" w:rsidRPr="00C9167E">
        <w:t>)</w:t>
      </w:r>
      <w:r w:rsidRPr="00C9167E">
        <w:t xml:space="preserve"> aizdevumu, izšķērdējis MSIA „</w:t>
      </w:r>
      <w:r w:rsidR="003227C6">
        <w:t>[Nosaukums A]</w:t>
      </w:r>
      <w:r w:rsidRPr="00C9167E">
        <w:t xml:space="preserve">” naudas līdzekļus. Tiesa norādījusi, ka par </w:t>
      </w:r>
      <w:r w:rsidR="003227C6">
        <w:t>[pers. A]</w:t>
      </w:r>
      <w:r w:rsidRPr="00C9167E">
        <w:t xml:space="preserve"> tiešu nodomu izšķērdēt </w:t>
      </w:r>
      <w:r w:rsidRPr="00C9167E">
        <w:rPr>
          <w:rFonts w:ascii="TimesNewRomanPSMT" w:eastAsiaTheme="minorHAnsi" w:hAnsi="TimesNewRomanPSMT" w:cs="TimesNewRomanPSMT"/>
          <w:lang w:eastAsia="en-US"/>
        </w:rPr>
        <w:t>SIA „</w:t>
      </w:r>
      <w:r w:rsidR="003227C6">
        <w:rPr>
          <w:rFonts w:ascii="TimesNewRomanPSMT" w:eastAsiaTheme="minorHAnsi" w:hAnsi="TimesNewRomanPSMT" w:cs="TimesNewRomanPSMT"/>
          <w:lang w:eastAsia="en-US"/>
        </w:rPr>
        <w:t>[Nosaukums </w:t>
      </w:r>
      <w:r w:rsidR="003227C6">
        <w:rPr>
          <w:rFonts w:eastAsiaTheme="minorHAnsi"/>
        </w:rPr>
        <w:t>C]</w:t>
      </w:r>
      <w:r w:rsidRPr="00C9167E">
        <w:rPr>
          <w:rFonts w:ascii="TimesNewRomanPSMT" w:eastAsiaTheme="minorHAnsi" w:hAnsi="TimesNewRomanPSMT" w:cs="TimesNewRomanPSMT"/>
          <w:lang w:eastAsia="en-US"/>
        </w:rPr>
        <w:t>” naudas līdzekļus, liecina viņa faktiskās darbības</w:t>
      </w:r>
      <w:r w:rsidRPr="00C9167E">
        <w:t>, atsavinot MSIA „</w:t>
      </w:r>
      <w:r w:rsidR="003227C6">
        <w:t>[Nosaukums A]</w:t>
      </w:r>
      <w:r w:rsidRPr="00C9167E">
        <w:t xml:space="preserve">” </w:t>
      </w:r>
      <w:r w:rsidRPr="00180D31">
        <w:rPr>
          <w:color w:val="000000" w:themeColor="text1"/>
        </w:rPr>
        <w:t>naudas līdzekļus 31 000 latu</w:t>
      </w:r>
      <w:r w:rsidR="00007544" w:rsidRPr="00180D31">
        <w:rPr>
          <w:color w:val="000000" w:themeColor="text1"/>
        </w:rPr>
        <w:t xml:space="preserve"> </w:t>
      </w:r>
      <w:bookmarkStart w:id="17" w:name="_Hlk128996878"/>
      <w:r w:rsidR="00007544" w:rsidRPr="00180D31">
        <w:rPr>
          <w:color w:val="000000" w:themeColor="text1"/>
        </w:rPr>
        <w:t>(44 109,03 </w:t>
      </w:r>
      <w:proofErr w:type="spellStart"/>
      <w:r w:rsidR="00007544" w:rsidRPr="00180D31">
        <w:rPr>
          <w:i/>
          <w:iCs/>
          <w:color w:val="000000" w:themeColor="text1"/>
        </w:rPr>
        <w:t>euro</w:t>
      </w:r>
      <w:proofErr w:type="spellEnd"/>
      <w:r w:rsidR="00007544" w:rsidRPr="00180D31">
        <w:rPr>
          <w:color w:val="000000" w:themeColor="text1"/>
        </w:rPr>
        <w:t>)</w:t>
      </w:r>
      <w:bookmarkEnd w:id="17"/>
      <w:r w:rsidRPr="00180D31">
        <w:rPr>
          <w:color w:val="000000" w:themeColor="text1"/>
        </w:rPr>
        <w:t xml:space="preserve">, nevis rūpējoties par kreditoru prasījumu apmierināšanu. </w:t>
      </w:r>
      <w:r w:rsidR="003227C6">
        <w:rPr>
          <w:color w:val="000000" w:themeColor="text1"/>
        </w:rPr>
        <w:t>[Pers. </w:t>
      </w:r>
      <w:r w:rsidR="003227C6">
        <w:t>A]</w:t>
      </w:r>
      <w:r w:rsidRPr="00180D31">
        <w:rPr>
          <w:color w:val="000000" w:themeColor="text1"/>
        </w:rPr>
        <w:t xml:space="preserve"> aizdevumu izsniedzis, neizvērtējot aizdevuma atgūšanas risku un neparedzot nekādu aizdevuma nodrošinājumu</w:t>
      </w:r>
      <w:r w:rsidRPr="00180D31">
        <w:rPr>
          <w:rFonts w:ascii="TimesNewRomanPSMT" w:eastAsiaTheme="minorHAnsi" w:hAnsi="TimesNewRomanPSMT" w:cs="TimesNewRomanPSMT"/>
          <w:color w:val="000000" w:themeColor="text1"/>
          <w:lang w:eastAsia="en-US"/>
        </w:rPr>
        <w:t xml:space="preserve">, turklāt pastāvot apstākļiem, kas liecina par risku naudu atgūt. </w:t>
      </w:r>
      <w:r w:rsidR="003227C6">
        <w:rPr>
          <w:rFonts w:ascii="TimesNewRomanPSMT" w:eastAsiaTheme="minorHAnsi" w:hAnsi="TimesNewRomanPSMT" w:cs="TimesNewRomanPSMT"/>
          <w:color w:val="000000" w:themeColor="text1"/>
          <w:lang w:eastAsia="en-US"/>
        </w:rPr>
        <w:t>[Pers. </w:t>
      </w:r>
      <w:r w:rsidR="003227C6">
        <w:rPr>
          <w:rFonts w:eastAsiaTheme="minorHAnsi"/>
        </w:rPr>
        <w:t>A]</w:t>
      </w:r>
      <w:r w:rsidRPr="00180D31">
        <w:rPr>
          <w:rFonts w:ascii="TimesNewRomanPSMT" w:eastAsiaTheme="minorHAnsi" w:hAnsi="TimesNewRomanPSMT" w:cs="TimesNewRomanPSMT"/>
          <w:color w:val="000000" w:themeColor="text1"/>
          <w:lang w:eastAsia="en-US"/>
        </w:rPr>
        <w:t xml:space="preserve">, izsniedzot aizdevumu, ir rīkojies pretēji uzņēmuma un kreditoru interesēm, kā arī pretēji maksātnespējas procesa stāvokļa risinājuma mērķim. </w:t>
      </w:r>
    </w:p>
    <w:p w14:paraId="3EB96126" w14:textId="49556EA2" w:rsidR="00893621" w:rsidRPr="00C02B34" w:rsidRDefault="007164B2" w:rsidP="00C02B34">
      <w:pPr>
        <w:pStyle w:val="tv213"/>
        <w:spacing w:before="0" w:beforeAutospacing="0" w:after="0" w:afterAutospacing="0" w:line="276" w:lineRule="auto"/>
        <w:ind w:firstLine="720"/>
        <w:contextualSpacing/>
        <w:jc w:val="both"/>
      </w:pPr>
      <w:r>
        <w:t>Tādējādi p</w:t>
      </w:r>
      <w:r w:rsidR="00BF17A4">
        <w:t xml:space="preserve">retēji </w:t>
      </w:r>
      <w:r w:rsidR="003227C6">
        <w:t>[pers. A]</w:t>
      </w:r>
      <w:r w:rsidR="00BF17A4">
        <w:t xml:space="preserve"> kasācijas sūdzībā norādītajam (</w:t>
      </w:r>
      <w:r w:rsidR="00BF17A4" w:rsidRPr="00042E98">
        <w:t>lēmuma 6.3. pun</w:t>
      </w:r>
      <w:r w:rsidR="00C02B34" w:rsidRPr="00042E98">
        <w:t>kt</w:t>
      </w:r>
      <w:r w:rsidR="00007544">
        <w:t>s</w:t>
      </w:r>
      <w:r w:rsidR="00BF17A4">
        <w:t>) a</w:t>
      </w:r>
      <w:r w:rsidR="00320E31" w:rsidRPr="005C5201">
        <w:t>pelācijas instances tiesa</w:t>
      </w:r>
      <w:r>
        <w:t xml:space="preserve">, </w:t>
      </w:r>
      <w:r w:rsidRPr="00DD0A9E">
        <w:t xml:space="preserve">izvērtējot lietā iegūtos pierādījumus, tajā skaitā liecinieka </w:t>
      </w:r>
      <w:r w:rsidR="003227C6">
        <w:t>[pers. D]</w:t>
      </w:r>
      <w:r w:rsidR="00DD0A9E" w:rsidRPr="00DD0A9E">
        <w:t xml:space="preserve"> liecības un aizdevuma līgumu</w:t>
      </w:r>
      <w:r w:rsidR="00DD0A9E">
        <w:t>,</w:t>
      </w:r>
      <w:r w:rsidRPr="00DD0A9E">
        <w:t xml:space="preserve"> </w:t>
      </w:r>
      <w:r>
        <w:t>konstatējusi</w:t>
      </w:r>
      <w:r w:rsidR="00320E31" w:rsidRPr="005C5201">
        <w:t xml:space="preserve"> apsūdzētā </w:t>
      </w:r>
      <w:r w:rsidR="003227C6">
        <w:t>[pers. A]</w:t>
      </w:r>
      <w:r w:rsidR="00320E31" w:rsidRPr="005C5201">
        <w:t xml:space="preserve"> darbībās</w:t>
      </w:r>
      <w:r w:rsidR="00320E31">
        <w:t xml:space="preserve"> </w:t>
      </w:r>
      <w:r w:rsidR="00320E31" w:rsidRPr="005C5201">
        <w:t>nodarījum</w:t>
      </w:r>
      <w:r w:rsidR="00320E31">
        <w:t>u</w:t>
      </w:r>
      <w:r w:rsidR="00320E31" w:rsidRPr="005C5201">
        <w:t>, par kur</w:t>
      </w:r>
      <w:r w:rsidR="00320E31">
        <w:t>u</w:t>
      </w:r>
      <w:r w:rsidR="00320E31" w:rsidRPr="005C5201">
        <w:t xml:space="preserve"> iestājas smagākais no atbildības veidiem – kriminālatbildība</w:t>
      </w:r>
      <w:r w:rsidR="00320E31">
        <w:t>.</w:t>
      </w:r>
    </w:p>
    <w:p w14:paraId="37A95D94" w14:textId="15F25D08" w:rsidR="00DD2FB3" w:rsidRDefault="00C02B34" w:rsidP="00DD2FB3">
      <w:pPr>
        <w:pStyle w:val="tv213"/>
        <w:spacing w:before="0" w:beforeAutospacing="0" w:after="0" w:afterAutospacing="0" w:line="276" w:lineRule="auto"/>
        <w:ind w:firstLine="720"/>
        <w:contextualSpacing/>
        <w:jc w:val="both"/>
      </w:pPr>
      <w:r>
        <w:rPr>
          <w:rFonts w:eastAsiaTheme="minorHAnsi"/>
          <w:lang w:eastAsia="en-US"/>
        </w:rPr>
        <w:t>[1</w:t>
      </w:r>
      <w:r w:rsidR="00F3693B">
        <w:rPr>
          <w:rFonts w:eastAsiaTheme="minorHAnsi"/>
          <w:lang w:eastAsia="en-US"/>
        </w:rPr>
        <w:t>0</w:t>
      </w:r>
      <w:r>
        <w:rPr>
          <w:rFonts w:eastAsiaTheme="minorHAnsi"/>
          <w:lang w:eastAsia="en-US"/>
        </w:rPr>
        <w:t>.3] </w:t>
      </w:r>
      <w:r w:rsidR="00421157">
        <w:t>Krimināllikuma 179. pantā paredzētais noziedzīgais nodarījums ir materiāla sastāva, un tas ir pabeigts ar prettiesiskā valdījuma rašanās brīdi, lai rīkotos ar piesavināto mantu pēc saviem ieskatiem (</w:t>
      </w:r>
      <w:bookmarkStart w:id="18" w:name="_Hlk127973519"/>
      <w:r w:rsidR="00DD2FB3" w:rsidRPr="00DD2FB3">
        <w:rPr>
          <w:i/>
          <w:iCs/>
        </w:rPr>
        <w:t xml:space="preserve">Krastiņš U. 179. panta komentārs. </w:t>
      </w:r>
      <w:proofErr w:type="spellStart"/>
      <w:r w:rsidR="00DD2FB3" w:rsidRPr="00586263">
        <w:rPr>
          <w:i/>
          <w:iCs/>
        </w:rPr>
        <w:t>Grām</w:t>
      </w:r>
      <w:proofErr w:type="spellEnd"/>
      <w:r w:rsidR="00DD2FB3" w:rsidRPr="00586263">
        <w:rPr>
          <w:i/>
          <w:iCs/>
        </w:rPr>
        <w:t>.: Krimināllikuma komentāri. Trešā daļa (XVIII-XXV nodaļa). Otrais papildinātais izdevums.</w:t>
      </w:r>
      <w:r w:rsidR="00DD2FB3" w:rsidRPr="00586263">
        <w:rPr>
          <w:rFonts w:eastAsiaTheme="minorHAnsi"/>
          <w:lang w:eastAsia="en-US"/>
        </w:rPr>
        <w:t xml:space="preserve"> </w:t>
      </w:r>
      <w:r w:rsidR="00DD2FB3" w:rsidRPr="00586263">
        <w:rPr>
          <w:i/>
          <w:iCs/>
        </w:rPr>
        <w:t xml:space="preserve">Krastiņš U., </w:t>
      </w:r>
      <w:proofErr w:type="spellStart"/>
      <w:r w:rsidR="00DD2FB3" w:rsidRPr="00586263">
        <w:rPr>
          <w:i/>
          <w:iCs/>
        </w:rPr>
        <w:t>Liholaja</w:t>
      </w:r>
      <w:proofErr w:type="spellEnd"/>
      <w:r w:rsidR="00DD2FB3" w:rsidRPr="00586263">
        <w:rPr>
          <w:i/>
          <w:iCs/>
        </w:rPr>
        <w:t xml:space="preserve"> </w:t>
      </w:r>
      <w:r w:rsidR="00DD2FB3" w:rsidRPr="00C4673B">
        <w:rPr>
          <w:i/>
          <w:iCs/>
        </w:rPr>
        <w:t xml:space="preserve">V., </w:t>
      </w:r>
      <w:proofErr w:type="spellStart"/>
      <w:r w:rsidR="00DD2FB3" w:rsidRPr="00C4673B">
        <w:rPr>
          <w:i/>
          <w:iCs/>
        </w:rPr>
        <w:t>Hamkova</w:t>
      </w:r>
      <w:proofErr w:type="spellEnd"/>
      <w:r w:rsidR="00DD2FB3" w:rsidRPr="00C4673B">
        <w:rPr>
          <w:i/>
          <w:iCs/>
        </w:rPr>
        <w:t xml:space="preserve"> D. Rīga: Tiesu namu aģentūra, 2019, </w:t>
      </w:r>
      <w:r w:rsidR="00DD2FB3">
        <w:rPr>
          <w:i/>
          <w:iCs/>
        </w:rPr>
        <w:t>56</w:t>
      </w:r>
      <w:r w:rsidR="00DD2FB3" w:rsidRPr="00C4673B">
        <w:rPr>
          <w:i/>
          <w:iCs/>
        </w:rPr>
        <w:t>.</w:t>
      </w:r>
      <w:r w:rsidR="00DD2FB3">
        <w:rPr>
          <w:i/>
          <w:iCs/>
        </w:rPr>
        <w:t> </w:t>
      </w:r>
      <w:r w:rsidR="00DD2FB3" w:rsidRPr="00C4673B">
        <w:rPr>
          <w:i/>
          <w:iCs/>
        </w:rPr>
        <w:t>lpp</w:t>
      </w:r>
      <w:r w:rsidR="00DD2FB3">
        <w:rPr>
          <w:i/>
          <w:iCs/>
        </w:rPr>
        <w:t>).</w:t>
      </w:r>
    </w:p>
    <w:bookmarkEnd w:id="18"/>
    <w:p w14:paraId="25DE1CCE" w14:textId="1FD463AF" w:rsidR="00C4673B" w:rsidRDefault="005737BB" w:rsidP="005737BB">
      <w:pPr>
        <w:pStyle w:val="tv213"/>
        <w:spacing w:line="276" w:lineRule="auto"/>
        <w:ind w:firstLine="720"/>
        <w:contextualSpacing/>
        <w:jc w:val="both"/>
        <w:rPr>
          <w:rFonts w:eastAsiaTheme="minorHAnsi"/>
          <w:lang w:eastAsia="en-US"/>
        </w:rPr>
      </w:pPr>
      <w:r>
        <w:rPr>
          <w:rFonts w:eastAsiaTheme="minorHAnsi"/>
          <w:lang w:eastAsia="en-US"/>
        </w:rPr>
        <w:t>Tādējādi Krimināllikuma 179. pant</w:t>
      </w:r>
      <w:r w:rsidR="00D20AE7">
        <w:rPr>
          <w:rFonts w:eastAsiaTheme="minorHAnsi"/>
          <w:lang w:eastAsia="en-US"/>
        </w:rPr>
        <w:t xml:space="preserve">ā </w:t>
      </w:r>
      <w:r>
        <w:rPr>
          <w:rFonts w:eastAsiaTheme="minorHAnsi"/>
          <w:lang w:eastAsia="en-US"/>
        </w:rPr>
        <w:t>paredzēt</w:t>
      </w:r>
      <w:r w:rsidR="009A2717">
        <w:rPr>
          <w:rFonts w:eastAsiaTheme="minorHAnsi"/>
          <w:lang w:eastAsia="en-US"/>
        </w:rPr>
        <w:t>ā</w:t>
      </w:r>
      <w:r>
        <w:rPr>
          <w:rFonts w:eastAsiaTheme="minorHAnsi"/>
          <w:lang w:eastAsia="en-US"/>
        </w:rPr>
        <w:t xml:space="preserve"> noziedzīg</w:t>
      </w:r>
      <w:r w:rsidR="009A2717">
        <w:rPr>
          <w:rFonts w:eastAsiaTheme="minorHAnsi"/>
          <w:lang w:eastAsia="en-US"/>
        </w:rPr>
        <w:t>ā</w:t>
      </w:r>
      <w:r>
        <w:rPr>
          <w:rFonts w:eastAsiaTheme="minorHAnsi"/>
          <w:lang w:eastAsia="en-US"/>
        </w:rPr>
        <w:t xml:space="preserve"> nodarījum</w:t>
      </w:r>
      <w:r w:rsidR="00D20AE7">
        <w:rPr>
          <w:rFonts w:eastAsiaTheme="minorHAnsi"/>
          <w:lang w:eastAsia="en-US"/>
        </w:rPr>
        <w:t>a</w:t>
      </w:r>
      <w:r>
        <w:rPr>
          <w:rFonts w:eastAsiaTheme="minorHAnsi"/>
          <w:lang w:eastAsia="en-US"/>
        </w:rPr>
        <w:t xml:space="preserve"> konstatēšan</w:t>
      </w:r>
      <w:r w:rsidR="009A2717">
        <w:rPr>
          <w:rFonts w:eastAsiaTheme="minorHAnsi"/>
          <w:lang w:eastAsia="en-US"/>
        </w:rPr>
        <w:t>ai</w:t>
      </w:r>
      <w:r>
        <w:rPr>
          <w:rFonts w:eastAsiaTheme="minorHAnsi"/>
          <w:lang w:eastAsia="en-US"/>
        </w:rPr>
        <w:t xml:space="preserve"> nav izšķirošas nozīmes aizstāves I. </w:t>
      </w:r>
      <w:proofErr w:type="spellStart"/>
      <w:r>
        <w:rPr>
          <w:rFonts w:eastAsiaTheme="minorHAnsi"/>
          <w:lang w:eastAsia="en-US"/>
        </w:rPr>
        <w:t>Greķes</w:t>
      </w:r>
      <w:proofErr w:type="spellEnd"/>
      <w:r>
        <w:rPr>
          <w:rFonts w:eastAsiaTheme="minorHAnsi"/>
          <w:lang w:eastAsia="en-US"/>
        </w:rPr>
        <w:t xml:space="preserve"> kasācijas sūdzībā </w:t>
      </w:r>
      <w:r w:rsidR="00D86441">
        <w:rPr>
          <w:rFonts w:eastAsiaTheme="minorHAnsi"/>
          <w:lang w:eastAsia="en-US"/>
        </w:rPr>
        <w:t>norādītajam</w:t>
      </w:r>
      <w:r w:rsidR="00174FB4">
        <w:rPr>
          <w:rFonts w:eastAsiaTheme="minorHAnsi"/>
          <w:lang w:eastAsia="en-US"/>
        </w:rPr>
        <w:t xml:space="preserve"> (</w:t>
      </w:r>
      <w:r w:rsidR="00174FB4" w:rsidRPr="00042E98">
        <w:rPr>
          <w:rFonts w:eastAsiaTheme="minorHAnsi"/>
          <w:lang w:eastAsia="en-US"/>
        </w:rPr>
        <w:t>lēmuma 4.2. punkts)</w:t>
      </w:r>
      <w:r w:rsidRPr="00042E98">
        <w:rPr>
          <w:rFonts w:eastAsiaTheme="minorHAnsi"/>
          <w:lang w:eastAsia="en-US"/>
        </w:rPr>
        <w:t>,</w:t>
      </w:r>
      <w:r>
        <w:rPr>
          <w:rFonts w:eastAsiaTheme="minorHAnsi"/>
          <w:lang w:eastAsia="en-US"/>
        </w:rPr>
        <w:t xml:space="preserve"> ka nav pierādīta naudas līdzekļu izmantošana</w:t>
      </w:r>
      <w:r w:rsidR="00CA7697">
        <w:rPr>
          <w:rFonts w:eastAsiaTheme="minorHAnsi"/>
          <w:lang w:eastAsia="en-US"/>
        </w:rPr>
        <w:t>.</w:t>
      </w:r>
    </w:p>
    <w:p w14:paraId="768149EE" w14:textId="77777777" w:rsidR="00CA7697" w:rsidRDefault="00F039D3" w:rsidP="001D5E42">
      <w:pPr>
        <w:pStyle w:val="tv213"/>
        <w:spacing w:line="276" w:lineRule="auto"/>
        <w:ind w:firstLine="720"/>
        <w:contextualSpacing/>
        <w:jc w:val="both"/>
        <w:rPr>
          <w:rFonts w:eastAsiaTheme="minorHAnsi"/>
          <w:lang w:eastAsia="en-US"/>
        </w:rPr>
      </w:pPr>
      <w:r>
        <w:rPr>
          <w:rFonts w:eastAsiaTheme="minorHAnsi"/>
          <w:lang w:eastAsia="en-US"/>
        </w:rPr>
        <w:t xml:space="preserve">Vienlaikus Senāts norāda, ka </w:t>
      </w:r>
      <w:r w:rsidR="001D5E42">
        <w:rPr>
          <w:rFonts w:eastAsiaTheme="minorHAnsi"/>
          <w:lang w:eastAsia="en-US"/>
        </w:rPr>
        <w:t xml:space="preserve">rīcība ar mantu pēc </w:t>
      </w:r>
      <w:r>
        <w:rPr>
          <w:rFonts w:eastAsiaTheme="minorHAnsi"/>
          <w:lang w:eastAsia="en-US"/>
        </w:rPr>
        <w:t>prettiesiskā valdījuma rašanās</w:t>
      </w:r>
      <w:r w:rsidR="001D5E42">
        <w:rPr>
          <w:rFonts w:eastAsiaTheme="minorHAnsi"/>
          <w:lang w:eastAsia="en-US"/>
        </w:rPr>
        <w:t xml:space="preserve">, </w:t>
      </w:r>
      <w:r w:rsidR="00166B04">
        <w:rPr>
          <w:rFonts w:eastAsiaTheme="minorHAnsi"/>
          <w:lang w:eastAsia="en-US"/>
        </w:rPr>
        <w:t xml:space="preserve">proti, pēc tam, kad nodarījums ir bijis juridiski pabeigts, </w:t>
      </w:r>
      <w:r>
        <w:rPr>
          <w:rFonts w:eastAsiaTheme="minorHAnsi"/>
          <w:lang w:eastAsia="en-US"/>
        </w:rPr>
        <w:t xml:space="preserve">var būt </w:t>
      </w:r>
      <w:r w:rsidR="008E701D">
        <w:rPr>
          <w:rFonts w:eastAsiaTheme="minorHAnsi"/>
          <w:lang w:eastAsia="en-US"/>
        </w:rPr>
        <w:t>to apstākļu lokā</w:t>
      </w:r>
      <w:r>
        <w:rPr>
          <w:rFonts w:eastAsiaTheme="minorHAnsi"/>
          <w:lang w:eastAsia="en-US"/>
        </w:rPr>
        <w:t xml:space="preserve">, kas ļauj </w:t>
      </w:r>
      <w:r w:rsidR="008E701D">
        <w:rPr>
          <w:rFonts w:eastAsiaTheme="minorHAnsi"/>
          <w:lang w:eastAsia="en-US"/>
        </w:rPr>
        <w:t>secināt</w:t>
      </w:r>
      <w:r>
        <w:rPr>
          <w:rFonts w:eastAsiaTheme="minorHAnsi"/>
          <w:lang w:eastAsia="en-US"/>
        </w:rPr>
        <w:t>, vai personai ir pastāvējis nolūks iegūt svešu mantu, atstumjot tās īpašnieku.</w:t>
      </w:r>
    </w:p>
    <w:p w14:paraId="4AA204A8" w14:textId="3AA56786" w:rsidR="00F039D3" w:rsidRDefault="00DD7415" w:rsidP="001D5E42">
      <w:pPr>
        <w:pStyle w:val="tv213"/>
        <w:spacing w:line="276" w:lineRule="auto"/>
        <w:ind w:firstLine="720"/>
        <w:contextualSpacing/>
        <w:jc w:val="both"/>
        <w:rPr>
          <w:rFonts w:eastAsiaTheme="minorHAnsi"/>
          <w:lang w:eastAsia="en-US"/>
        </w:rPr>
      </w:pPr>
      <w:r>
        <w:rPr>
          <w:rFonts w:eastAsiaTheme="minorHAnsi"/>
          <w:lang w:eastAsia="en-US"/>
        </w:rPr>
        <w:t xml:space="preserve">Senāts jau agrāk ir norādījis, ka </w:t>
      </w:r>
      <w:r w:rsidR="009C4F5D">
        <w:rPr>
          <w:rFonts w:eastAsiaTheme="minorHAnsi"/>
          <w:lang w:eastAsia="en-US"/>
        </w:rPr>
        <w:t>a</w:t>
      </w:r>
      <w:r w:rsidR="009C4F5D" w:rsidRPr="009C4F5D">
        <w:rPr>
          <w:rFonts w:eastAsiaTheme="minorHAnsi"/>
          <w:lang w:eastAsia="en-US"/>
        </w:rPr>
        <w:t>psūdzētās personas nodoma patieso saturu atklāj arī viņa faktiskās darbības (</w:t>
      </w:r>
      <w:bookmarkStart w:id="19" w:name="_Hlk138067478"/>
      <w:r w:rsidR="00112BD7">
        <w:rPr>
          <w:rFonts w:eastAsiaTheme="minorHAnsi"/>
          <w:i/>
          <w:iCs/>
          <w:lang w:eastAsia="en-US"/>
        </w:rPr>
        <w:t>Senāta</w:t>
      </w:r>
      <w:r w:rsidR="009C4F5D" w:rsidRPr="008E701D">
        <w:rPr>
          <w:rFonts w:eastAsiaTheme="minorHAnsi"/>
          <w:i/>
          <w:iCs/>
          <w:lang w:eastAsia="en-US"/>
        </w:rPr>
        <w:t xml:space="preserve"> 2006. gada 28. decembra lēmums lietā Nr. </w:t>
      </w:r>
      <w:hyperlink r:id="rId13" w:history="1">
        <w:r w:rsidR="009C4F5D" w:rsidRPr="00112BD7">
          <w:rPr>
            <w:rStyle w:val="Hyperlink"/>
            <w:rFonts w:eastAsiaTheme="minorHAnsi"/>
            <w:i/>
            <w:iCs/>
            <w:lang w:eastAsia="en-US"/>
          </w:rPr>
          <w:t>SKK-770/2006</w:t>
        </w:r>
      </w:hyperlink>
      <w:r w:rsidR="00112BD7">
        <w:rPr>
          <w:rFonts w:eastAsiaTheme="minorHAnsi"/>
          <w:i/>
          <w:iCs/>
          <w:lang w:eastAsia="en-US"/>
        </w:rPr>
        <w:t>,</w:t>
      </w:r>
      <w:r w:rsidR="009C4F5D" w:rsidRPr="008E701D">
        <w:rPr>
          <w:rFonts w:eastAsiaTheme="minorHAnsi"/>
          <w:i/>
          <w:iCs/>
          <w:lang w:eastAsia="en-US"/>
        </w:rPr>
        <w:t xml:space="preserve"> </w:t>
      </w:r>
      <w:r w:rsidR="00112BD7" w:rsidRPr="00112BD7">
        <w:rPr>
          <w:rFonts w:eastAsiaTheme="minorHAnsi"/>
          <w:i/>
          <w:iCs/>
          <w:lang w:eastAsia="en-US"/>
        </w:rPr>
        <w:t>1130025500</w:t>
      </w:r>
      <w:r w:rsidR="009C4F5D" w:rsidRPr="009C4F5D">
        <w:rPr>
          <w:rFonts w:eastAsiaTheme="minorHAnsi"/>
          <w:lang w:eastAsia="en-US"/>
        </w:rPr>
        <w:t>)</w:t>
      </w:r>
      <w:bookmarkEnd w:id="19"/>
      <w:r w:rsidR="009C4F5D">
        <w:rPr>
          <w:rFonts w:eastAsiaTheme="minorHAnsi"/>
          <w:lang w:eastAsia="en-US"/>
        </w:rPr>
        <w:t>.</w:t>
      </w:r>
    </w:p>
    <w:p w14:paraId="0D1B2D40" w14:textId="67DA7B67" w:rsidR="00DD2FB3" w:rsidRDefault="00697BED" w:rsidP="00DD2FB3">
      <w:pPr>
        <w:pStyle w:val="tv213"/>
        <w:spacing w:line="276" w:lineRule="auto"/>
        <w:ind w:firstLine="720"/>
        <w:contextualSpacing/>
        <w:jc w:val="both"/>
      </w:pPr>
      <w:r>
        <w:rPr>
          <w:rFonts w:eastAsiaTheme="minorHAnsi"/>
          <w:lang w:eastAsia="en-US"/>
        </w:rPr>
        <w:t>Tāpat</w:t>
      </w:r>
      <w:r w:rsidR="00174FB4">
        <w:rPr>
          <w:rFonts w:eastAsiaTheme="minorHAnsi"/>
          <w:lang w:eastAsia="en-US"/>
        </w:rPr>
        <w:t xml:space="preserve"> t</w:t>
      </w:r>
      <w:r w:rsidR="00D86441" w:rsidRPr="00BF17A4">
        <w:rPr>
          <w:rFonts w:eastAsiaTheme="minorHAnsi"/>
          <w:lang w:eastAsia="en-US"/>
        </w:rPr>
        <w:t xml:space="preserve">iesību teorijā pausta atziņa, kam piekrīt arī </w:t>
      </w:r>
      <w:r w:rsidR="00B80BF1">
        <w:rPr>
          <w:rFonts w:eastAsiaTheme="minorHAnsi"/>
          <w:lang w:eastAsia="en-US"/>
        </w:rPr>
        <w:t>Senāts</w:t>
      </w:r>
      <w:r w:rsidR="00D86441" w:rsidRPr="00BF17A4">
        <w:rPr>
          <w:rFonts w:eastAsiaTheme="minorHAnsi"/>
          <w:lang w:eastAsia="en-US"/>
        </w:rPr>
        <w:t>, ka mantkārīgs nolūks</w:t>
      </w:r>
      <w:r w:rsidR="00D86441">
        <w:rPr>
          <w:rFonts w:eastAsiaTheme="minorHAnsi"/>
          <w:lang w:eastAsia="en-US"/>
        </w:rPr>
        <w:t xml:space="preserve"> </w:t>
      </w:r>
      <w:r w:rsidR="00D86441">
        <w:t>raksturojas ar to, ka persona noziedzīgo nodarījumu izdarījusi ar mērķi nelikumīgi panākt sava vai citas personas materiālā stāvokļa uzlabošanu, kas var izpausties materiālu labumu iegūšanā sev vai citām personām, kā arī</w:t>
      </w:r>
      <w:r w:rsidR="00174FB4">
        <w:t xml:space="preserve"> kā</w:t>
      </w:r>
      <w:r w:rsidR="00D86441">
        <w:t xml:space="preserve"> izvairīšanās no mantiska rakstura saistību izpildes </w:t>
      </w:r>
      <w:proofErr w:type="gramStart"/>
      <w:r w:rsidR="00D86441">
        <w:t>(</w:t>
      </w:r>
      <w:proofErr w:type="spellStart"/>
      <w:proofErr w:type="gramEnd"/>
      <w:r w:rsidR="00DD2FB3" w:rsidRPr="00DD2FB3">
        <w:rPr>
          <w:i/>
          <w:iCs/>
        </w:rPr>
        <w:t>Hamkova</w:t>
      </w:r>
      <w:proofErr w:type="spellEnd"/>
      <w:r w:rsidR="00DD2FB3" w:rsidRPr="00DD2FB3">
        <w:rPr>
          <w:i/>
          <w:iCs/>
        </w:rPr>
        <w:t xml:space="preserve"> D. </w:t>
      </w:r>
      <w:r w:rsidR="00DD2FB3">
        <w:rPr>
          <w:i/>
          <w:iCs/>
        </w:rPr>
        <w:t>317</w:t>
      </w:r>
      <w:r w:rsidR="00DD2FB3" w:rsidRPr="00DD2FB3">
        <w:rPr>
          <w:i/>
          <w:iCs/>
        </w:rPr>
        <w:t xml:space="preserve">. panta komentārs. </w:t>
      </w:r>
      <w:proofErr w:type="spellStart"/>
      <w:r w:rsidR="00DD2FB3" w:rsidRPr="00586263">
        <w:rPr>
          <w:i/>
          <w:iCs/>
        </w:rPr>
        <w:t>Grām</w:t>
      </w:r>
      <w:proofErr w:type="spellEnd"/>
      <w:r w:rsidR="00DD2FB3" w:rsidRPr="00586263">
        <w:rPr>
          <w:i/>
          <w:iCs/>
        </w:rPr>
        <w:t>.: Krimināllikuma komentāri. Trešā daļa (XVIII-XXV nodaļa). Otrais papildinātais izdevums.</w:t>
      </w:r>
      <w:r w:rsidR="00DD2FB3" w:rsidRPr="00586263">
        <w:rPr>
          <w:rFonts w:eastAsiaTheme="minorHAnsi"/>
          <w:lang w:eastAsia="en-US"/>
        </w:rPr>
        <w:t xml:space="preserve"> </w:t>
      </w:r>
      <w:r w:rsidR="00DD2FB3" w:rsidRPr="00586263">
        <w:rPr>
          <w:i/>
          <w:iCs/>
        </w:rPr>
        <w:t xml:space="preserve">Krastiņš U., </w:t>
      </w:r>
      <w:proofErr w:type="spellStart"/>
      <w:r w:rsidR="00DD2FB3" w:rsidRPr="00586263">
        <w:rPr>
          <w:i/>
          <w:iCs/>
        </w:rPr>
        <w:t>Liholaja</w:t>
      </w:r>
      <w:proofErr w:type="spellEnd"/>
      <w:r w:rsidR="00DD2FB3" w:rsidRPr="00586263">
        <w:rPr>
          <w:i/>
          <w:iCs/>
        </w:rPr>
        <w:t xml:space="preserve"> </w:t>
      </w:r>
      <w:r w:rsidR="00DD2FB3" w:rsidRPr="00C4673B">
        <w:rPr>
          <w:i/>
          <w:iCs/>
        </w:rPr>
        <w:t xml:space="preserve">V., </w:t>
      </w:r>
      <w:proofErr w:type="spellStart"/>
      <w:r w:rsidR="00DD2FB3" w:rsidRPr="00C4673B">
        <w:rPr>
          <w:i/>
          <w:iCs/>
        </w:rPr>
        <w:t>Hamkova</w:t>
      </w:r>
      <w:proofErr w:type="spellEnd"/>
      <w:r w:rsidR="00DD2FB3" w:rsidRPr="00C4673B">
        <w:rPr>
          <w:i/>
          <w:iCs/>
        </w:rPr>
        <w:t xml:space="preserve"> D. Rīga: Tiesu namu aģentūra, 2019, </w:t>
      </w:r>
      <w:r w:rsidR="00DD2FB3">
        <w:rPr>
          <w:i/>
          <w:iCs/>
        </w:rPr>
        <w:t>617</w:t>
      </w:r>
      <w:r w:rsidR="00DD2FB3" w:rsidRPr="00C4673B">
        <w:rPr>
          <w:i/>
          <w:iCs/>
        </w:rPr>
        <w:t>.</w:t>
      </w:r>
      <w:r w:rsidR="00DD2FB3">
        <w:rPr>
          <w:i/>
          <w:iCs/>
        </w:rPr>
        <w:t> </w:t>
      </w:r>
      <w:r w:rsidR="00DD2FB3" w:rsidRPr="00C4673B">
        <w:rPr>
          <w:i/>
          <w:iCs/>
        </w:rPr>
        <w:t>lpp</w:t>
      </w:r>
      <w:r w:rsidR="00DD2FB3" w:rsidRPr="00592992">
        <w:t>)</w:t>
      </w:r>
      <w:r w:rsidR="00DD2FB3">
        <w:rPr>
          <w:i/>
          <w:iCs/>
        </w:rPr>
        <w:t>.</w:t>
      </w:r>
    </w:p>
    <w:p w14:paraId="34496F37" w14:textId="2917E90F" w:rsidR="00C4673B" w:rsidRPr="00174FB4" w:rsidRDefault="00697BED" w:rsidP="00174FB4">
      <w:pPr>
        <w:pStyle w:val="tv213"/>
        <w:spacing w:line="276" w:lineRule="auto"/>
        <w:ind w:firstLine="720"/>
        <w:contextualSpacing/>
        <w:jc w:val="both"/>
        <w:rPr>
          <w:rFonts w:eastAsiaTheme="minorHAnsi"/>
          <w:lang w:eastAsia="en-US"/>
        </w:rPr>
      </w:pPr>
      <w:r>
        <w:t xml:space="preserve">Tādējādi nodarījums var tikt izdarīts arī ar mērķi </w:t>
      </w:r>
      <w:r w:rsidRPr="00697BED">
        <w:t xml:space="preserve">nelikumīgi panākt citas personas </w:t>
      </w:r>
      <w:r w:rsidRPr="009A2717">
        <w:t>materiālā stāvokļa uzlabošanu</w:t>
      </w:r>
      <w:r w:rsidR="00166B04">
        <w:t>. Līdz ar to p</w:t>
      </w:r>
      <w:r w:rsidR="009A2717" w:rsidRPr="009A2717">
        <w:rPr>
          <w:rFonts w:eastAsiaTheme="minorHAnsi"/>
          <w:lang w:eastAsia="en-US"/>
        </w:rPr>
        <w:t>ar nepamatotu atzīstams</w:t>
      </w:r>
      <w:r w:rsidR="00166B04">
        <w:rPr>
          <w:rFonts w:eastAsiaTheme="minorHAnsi"/>
          <w:lang w:eastAsia="en-US"/>
        </w:rPr>
        <w:t xml:space="preserve"> aizstāves</w:t>
      </w:r>
      <w:r w:rsidR="009A2717" w:rsidRPr="009A2717">
        <w:rPr>
          <w:rFonts w:eastAsiaTheme="minorHAnsi"/>
          <w:lang w:eastAsia="en-US"/>
        </w:rPr>
        <w:t xml:space="preserve"> I. </w:t>
      </w:r>
      <w:proofErr w:type="spellStart"/>
      <w:r w:rsidR="009A2717" w:rsidRPr="009A2717">
        <w:rPr>
          <w:rFonts w:eastAsiaTheme="minorHAnsi"/>
          <w:lang w:eastAsia="en-US"/>
        </w:rPr>
        <w:t>Greķes</w:t>
      </w:r>
      <w:proofErr w:type="spellEnd"/>
      <w:r w:rsidR="009A2717" w:rsidRPr="009A2717">
        <w:rPr>
          <w:rFonts w:eastAsiaTheme="minorHAnsi"/>
          <w:lang w:eastAsia="en-US"/>
        </w:rPr>
        <w:t xml:space="preserve"> kasācijas sūdzības arguments (lēmuma 4.2. punkts), ka saistībā ar noziedzīgā nodarījuma objektīvo pusi būtu jākonstatē, ka </w:t>
      </w:r>
      <w:r w:rsidR="003227C6">
        <w:rPr>
          <w:rFonts w:eastAsiaTheme="minorHAnsi"/>
          <w:lang w:eastAsia="en-US"/>
        </w:rPr>
        <w:t>[pers. A]</w:t>
      </w:r>
      <w:r w:rsidR="009A2717" w:rsidRPr="009A2717">
        <w:rPr>
          <w:rFonts w:eastAsiaTheme="minorHAnsi"/>
          <w:lang w:eastAsia="en-US"/>
        </w:rPr>
        <w:t xml:space="preserve"> </w:t>
      </w:r>
      <w:r w:rsidR="00B72FA5" w:rsidRPr="009A2717">
        <w:rPr>
          <w:rFonts w:eastAsiaTheme="minorHAnsi"/>
          <w:lang w:eastAsia="en-US"/>
        </w:rPr>
        <w:t xml:space="preserve">guvis labumu </w:t>
      </w:r>
      <w:r w:rsidR="009A2717" w:rsidRPr="009A2717">
        <w:rPr>
          <w:rFonts w:eastAsiaTheme="minorHAnsi"/>
          <w:lang w:eastAsia="en-US"/>
        </w:rPr>
        <w:t xml:space="preserve">no aizdevuma </w:t>
      </w:r>
      <w:r w:rsidR="00B72FA5">
        <w:rPr>
          <w:rFonts w:eastAsiaTheme="minorHAnsi"/>
          <w:lang w:eastAsia="en-US"/>
        </w:rPr>
        <w:t>citai personai.</w:t>
      </w:r>
    </w:p>
    <w:p w14:paraId="5B3BDD0E" w14:textId="5C959049" w:rsidR="004B43F9" w:rsidRDefault="004B43F9" w:rsidP="004B43F9">
      <w:pPr>
        <w:pStyle w:val="tv213"/>
        <w:spacing w:line="276" w:lineRule="auto"/>
        <w:ind w:firstLine="720"/>
        <w:contextualSpacing/>
        <w:jc w:val="both"/>
        <w:rPr>
          <w:rFonts w:eastAsiaTheme="minorHAnsi"/>
          <w:lang w:eastAsia="en-US"/>
        </w:rPr>
      </w:pPr>
      <w:r>
        <w:rPr>
          <w:rFonts w:eastAsiaTheme="minorHAnsi"/>
          <w:lang w:eastAsia="en-US"/>
        </w:rPr>
        <w:t>[1</w:t>
      </w:r>
      <w:r w:rsidR="00F3693B">
        <w:rPr>
          <w:rFonts w:eastAsiaTheme="minorHAnsi"/>
          <w:lang w:eastAsia="en-US"/>
        </w:rPr>
        <w:t>0</w:t>
      </w:r>
      <w:r>
        <w:rPr>
          <w:rFonts w:eastAsiaTheme="minorHAnsi"/>
          <w:lang w:eastAsia="en-US"/>
        </w:rPr>
        <w:t>.4] </w:t>
      </w:r>
      <w:r w:rsidRPr="00311E4F">
        <w:rPr>
          <w:rFonts w:eastAsiaTheme="minorHAnsi"/>
          <w:lang w:eastAsia="en-US"/>
        </w:rPr>
        <w:t xml:space="preserve">Pirmās un apelācijas instances tiesas pierādīšanā izmantojušas </w:t>
      </w:r>
      <w:r w:rsidR="003227C6">
        <w:rPr>
          <w:rFonts w:eastAsiaTheme="minorHAnsi"/>
          <w:lang w:eastAsia="en-US"/>
        </w:rPr>
        <w:t>[pers. </w:t>
      </w:r>
      <w:r w:rsidR="003227C6">
        <w:rPr>
          <w:rFonts w:eastAsiaTheme="minorHAnsi"/>
        </w:rPr>
        <w:t>B]</w:t>
      </w:r>
      <w:r w:rsidRPr="00311E4F">
        <w:rPr>
          <w:rFonts w:eastAsiaTheme="minorHAnsi"/>
          <w:lang w:eastAsia="en-US"/>
        </w:rPr>
        <w:t xml:space="preserve"> </w:t>
      </w:r>
      <w:r w:rsidRPr="00A66872">
        <w:rPr>
          <w:rFonts w:eastAsiaTheme="minorHAnsi"/>
          <w:lang w:eastAsia="en-US"/>
        </w:rPr>
        <w:t xml:space="preserve">un </w:t>
      </w:r>
      <w:r w:rsidR="003227C6">
        <w:rPr>
          <w:rFonts w:eastAsiaTheme="minorHAnsi"/>
          <w:lang w:eastAsia="en-US"/>
        </w:rPr>
        <w:t>[pers. C]</w:t>
      </w:r>
      <w:r w:rsidRPr="00A66872">
        <w:rPr>
          <w:rFonts w:eastAsiaTheme="minorHAnsi"/>
          <w:lang w:eastAsia="en-US"/>
        </w:rPr>
        <w:t xml:space="preserve"> pirmstiesas procesā sniegtās liecības, kuras aizstāvība uzskata par pierādīšanā nepieļaujamām, </w:t>
      </w:r>
      <w:proofErr w:type="gramStart"/>
      <w:r w:rsidRPr="00A66872">
        <w:rPr>
          <w:rFonts w:eastAsiaTheme="minorHAnsi"/>
          <w:lang w:eastAsia="en-US"/>
        </w:rPr>
        <w:t>jo apsūdzētajam nav bijusi</w:t>
      </w:r>
      <w:proofErr w:type="gramEnd"/>
      <w:r w:rsidRPr="00A66872">
        <w:rPr>
          <w:rFonts w:eastAsiaTheme="minorHAnsi"/>
          <w:lang w:eastAsia="en-US"/>
        </w:rPr>
        <w:t xml:space="preserve"> iespēja iztaujāt minētos lieciniekus (lēmuma </w:t>
      </w:r>
      <w:r w:rsidR="00274A3A" w:rsidRPr="00A66872">
        <w:rPr>
          <w:rFonts w:eastAsiaTheme="minorHAnsi"/>
          <w:lang w:eastAsia="en-US"/>
        </w:rPr>
        <w:t>4.5. un 6.</w:t>
      </w:r>
      <w:r w:rsidR="00697BED" w:rsidRPr="00A66872">
        <w:rPr>
          <w:rFonts w:eastAsiaTheme="minorHAnsi"/>
          <w:lang w:eastAsia="en-US"/>
        </w:rPr>
        <w:t>5</w:t>
      </w:r>
      <w:r w:rsidR="00274A3A" w:rsidRPr="00A66872">
        <w:rPr>
          <w:rFonts w:eastAsiaTheme="minorHAnsi"/>
          <w:lang w:eastAsia="en-US"/>
        </w:rPr>
        <w:t>. punkts</w:t>
      </w:r>
      <w:r w:rsidRPr="00A66872">
        <w:rPr>
          <w:rFonts w:eastAsiaTheme="minorHAnsi"/>
          <w:lang w:eastAsia="en-US"/>
        </w:rPr>
        <w:t>).</w:t>
      </w:r>
    </w:p>
    <w:p w14:paraId="229C4CB6" w14:textId="1660DF01" w:rsidR="004B43F9" w:rsidRDefault="004B43F9" w:rsidP="004B43F9">
      <w:pPr>
        <w:pStyle w:val="tv213"/>
        <w:spacing w:line="276" w:lineRule="auto"/>
        <w:ind w:firstLine="720"/>
        <w:contextualSpacing/>
        <w:jc w:val="both"/>
        <w:rPr>
          <w:rFonts w:eastAsiaTheme="minorHAnsi"/>
          <w:lang w:eastAsia="en-US"/>
        </w:rPr>
      </w:pPr>
      <w:r>
        <w:rPr>
          <w:rFonts w:eastAsiaTheme="minorHAnsi"/>
          <w:lang w:eastAsia="en-US"/>
        </w:rPr>
        <w:t>Apelācijas instances tiesa ir izvērtējusi aizstāvības argumentu</w:t>
      </w:r>
      <w:r w:rsidR="00166B04">
        <w:rPr>
          <w:rFonts w:eastAsiaTheme="minorHAnsi"/>
          <w:lang w:eastAsia="en-US"/>
        </w:rPr>
        <w:t>s</w:t>
      </w:r>
      <w:r>
        <w:rPr>
          <w:rFonts w:eastAsiaTheme="minorHAnsi"/>
          <w:lang w:eastAsia="en-US"/>
        </w:rPr>
        <w:t xml:space="preserve"> un </w:t>
      </w:r>
      <w:r w:rsidRPr="00C62A55">
        <w:rPr>
          <w:rFonts w:eastAsiaTheme="minorHAnsi"/>
          <w:lang w:eastAsia="en-US"/>
        </w:rPr>
        <w:t>motivēt</w:t>
      </w:r>
      <w:r>
        <w:rPr>
          <w:rFonts w:eastAsiaTheme="minorHAnsi"/>
          <w:lang w:eastAsia="en-US"/>
        </w:rPr>
        <w:t>i to</w:t>
      </w:r>
      <w:r w:rsidR="00166B04">
        <w:rPr>
          <w:rFonts w:eastAsiaTheme="minorHAnsi"/>
          <w:lang w:eastAsia="en-US"/>
        </w:rPr>
        <w:t>s</w:t>
      </w:r>
      <w:r>
        <w:rPr>
          <w:rFonts w:eastAsiaTheme="minorHAnsi"/>
          <w:lang w:eastAsia="en-US"/>
        </w:rPr>
        <w:t xml:space="preserve"> noraidījusi, atzīstot, ka konkrētajā situācijā, </w:t>
      </w:r>
      <w:r w:rsidR="00BC50A1">
        <w:rPr>
          <w:rFonts w:eastAsiaTheme="minorHAnsi"/>
          <w:lang w:eastAsia="en-US"/>
        </w:rPr>
        <w:t xml:space="preserve">lai arī </w:t>
      </w:r>
      <w:r w:rsidRPr="00C62A55">
        <w:rPr>
          <w:rFonts w:eastAsiaTheme="minorHAnsi"/>
          <w:lang w:eastAsia="en-US"/>
        </w:rPr>
        <w:t xml:space="preserve">apsūdzētajam nebija iespēja tiesā nopratināt minētos lieciniekus, </w:t>
      </w:r>
      <w:r w:rsidR="00BC50A1">
        <w:rPr>
          <w:rFonts w:eastAsiaTheme="minorHAnsi"/>
          <w:lang w:eastAsia="en-US"/>
        </w:rPr>
        <w:t xml:space="preserve">tomēr </w:t>
      </w:r>
      <w:r w:rsidR="00BC50A1" w:rsidRPr="00BC50A1">
        <w:rPr>
          <w:rFonts w:eastAsiaTheme="minorHAnsi"/>
          <w:lang w:eastAsia="en-US"/>
        </w:rPr>
        <w:t>viņa</w:t>
      </w:r>
      <w:r w:rsidRPr="00BC50A1">
        <w:rPr>
          <w:rFonts w:eastAsiaTheme="minorHAnsi"/>
          <w:lang w:eastAsia="en-US"/>
        </w:rPr>
        <w:t xml:space="preserve"> tiesības uz aizstāvību </w:t>
      </w:r>
      <w:r w:rsidR="00BC50A1" w:rsidRPr="00BC50A1">
        <w:rPr>
          <w:rFonts w:eastAsiaTheme="minorHAnsi"/>
          <w:lang w:eastAsia="en-US"/>
        </w:rPr>
        <w:t xml:space="preserve">nav ierobežotas </w:t>
      </w:r>
      <w:r w:rsidRPr="00BC50A1">
        <w:rPr>
          <w:rFonts w:eastAsiaTheme="minorHAnsi"/>
          <w:lang w:eastAsia="en-US"/>
        </w:rPr>
        <w:t>tādā mērā, ka</w:t>
      </w:r>
      <w:r w:rsidR="00BC50A1">
        <w:rPr>
          <w:rFonts w:eastAsiaTheme="minorHAnsi"/>
          <w:lang w:eastAsia="en-US"/>
        </w:rPr>
        <w:t xml:space="preserve"> tas pārkāptu</w:t>
      </w:r>
      <w:r w:rsidRPr="00BC50A1">
        <w:rPr>
          <w:rFonts w:eastAsiaTheme="minorHAnsi"/>
          <w:lang w:eastAsia="en-US"/>
        </w:rPr>
        <w:t xml:space="preserve"> Kriminālprocesa likuma 15. pantā, Eiropas Cilvēktiesību konvencijas 6. pantā ietvert</w:t>
      </w:r>
      <w:r w:rsidR="00BC50A1">
        <w:rPr>
          <w:rFonts w:eastAsiaTheme="minorHAnsi"/>
          <w:lang w:eastAsia="en-US"/>
        </w:rPr>
        <w:t>ās</w:t>
      </w:r>
      <w:r w:rsidRPr="00BC50A1">
        <w:rPr>
          <w:rFonts w:eastAsiaTheme="minorHAnsi"/>
          <w:lang w:eastAsia="en-US"/>
        </w:rPr>
        <w:t xml:space="preserve"> garantij</w:t>
      </w:r>
      <w:r w:rsidR="00BC50A1">
        <w:rPr>
          <w:rFonts w:eastAsiaTheme="minorHAnsi"/>
          <w:lang w:eastAsia="en-US"/>
        </w:rPr>
        <w:t>as</w:t>
      </w:r>
      <w:r>
        <w:rPr>
          <w:rFonts w:eastAsiaTheme="minorHAnsi"/>
          <w:lang w:eastAsia="en-US"/>
        </w:rPr>
        <w:t xml:space="preserve">. Apelācijas instances tiesa atzinusi, ka pirmās instances tiesa izmantojusi visas Kriminālprocesa likumā paredzētās iespējas, lai nodrošinātu liecinieku ierašanos un, ievērojot, ka liecinieki izvairījušies no ierašanās tiesā, pamatoti nolasījusi minēto liecinieku liecības saskaņā ar Kriminālprocesa likuma 501. panta 4. punktā norādīto. </w:t>
      </w:r>
    </w:p>
    <w:p w14:paraId="6137A7CC" w14:textId="3420D1FF" w:rsidR="004B43F9" w:rsidRDefault="004B43F9" w:rsidP="004B43F9">
      <w:pPr>
        <w:pStyle w:val="tv213"/>
        <w:spacing w:line="276" w:lineRule="auto"/>
        <w:ind w:firstLine="720"/>
        <w:contextualSpacing/>
        <w:jc w:val="both"/>
        <w:rPr>
          <w:rFonts w:eastAsiaTheme="minorHAnsi"/>
          <w:lang w:eastAsia="en-US"/>
        </w:rPr>
      </w:pPr>
      <w:r>
        <w:rPr>
          <w:rFonts w:eastAsiaTheme="minorHAnsi"/>
          <w:lang w:eastAsia="en-US"/>
        </w:rPr>
        <w:t>T</w:t>
      </w:r>
      <w:r w:rsidR="00BC50A1">
        <w:rPr>
          <w:rFonts w:eastAsiaTheme="minorHAnsi"/>
          <w:lang w:eastAsia="en-US"/>
        </w:rPr>
        <w:t>urklāt t</w:t>
      </w:r>
      <w:r>
        <w:rPr>
          <w:rFonts w:eastAsiaTheme="minorHAnsi"/>
          <w:lang w:eastAsia="en-US"/>
        </w:rPr>
        <w:t xml:space="preserve">iesa konstatējusi, ka </w:t>
      </w:r>
      <w:r w:rsidR="003227C6">
        <w:rPr>
          <w:rFonts w:eastAsiaTheme="minorHAnsi"/>
          <w:lang w:eastAsia="en-US"/>
        </w:rPr>
        <w:t>[pers. </w:t>
      </w:r>
      <w:r w:rsidR="003227C6">
        <w:rPr>
          <w:rFonts w:eastAsiaTheme="minorHAnsi"/>
        </w:rPr>
        <w:t>A]</w:t>
      </w:r>
      <w:r w:rsidRPr="00C62A55">
        <w:rPr>
          <w:rFonts w:eastAsiaTheme="minorHAnsi"/>
          <w:lang w:eastAsia="en-US"/>
        </w:rPr>
        <w:t xml:space="preserve"> notiesāšana nav </w:t>
      </w:r>
      <w:r>
        <w:rPr>
          <w:rFonts w:eastAsiaTheme="minorHAnsi"/>
          <w:lang w:eastAsia="en-US"/>
        </w:rPr>
        <w:t xml:space="preserve">pamatota </w:t>
      </w:r>
      <w:r w:rsidRPr="00180D31">
        <w:rPr>
          <w:rFonts w:eastAsiaTheme="minorHAnsi"/>
          <w:lang w:eastAsia="en-US"/>
        </w:rPr>
        <w:t>vienīgi un izšķirošā mērā</w:t>
      </w:r>
      <w:r w:rsidRPr="00C62A55">
        <w:rPr>
          <w:rFonts w:eastAsiaTheme="minorHAnsi"/>
          <w:lang w:eastAsia="en-US"/>
        </w:rPr>
        <w:t xml:space="preserve"> ar minēto liecinieku liecībām</w:t>
      </w:r>
      <w:r>
        <w:rPr>
          <w:rFonts w:eastAsiaTheme="minorHAnsi"/>
          <w:lang w:eastAsia="en-US"/>
        </w:rPr>
        <w:t xml:space="preserve">. Pirmās un apelācijas instances tiesas atzinušas, ka </w:t>
      </w:r>
      <w:r w:rsidR="003227C6">
        <w:rPr>
          <w:rFonts w:eastAsiaTheme="minorHAnsi"/>
          <w:lang w:eastAsia="en-US"/>
        </w:rPr>
        <w:t>[pers. </w:t>
      </w:r>
      <w:r w:rsidR="003227C6">
        <w:rPr>
          <w:rFonts w:eastAsiaTheme="minorHAnsi"/>
        </w:rPr>
        <w:t>A]</w:t>
      </w:r>
      <w:r>
        <w:rPr>
          <w:rFonts w:eastAsiaTheme="minorHAnsi"/>
          <w:lang w:eastAsia="en-US"/>
        </w:rPr>
        <w:t xml:space="preserve"> vainīgums pirmajā noziedzīgajā nodarījumā ir pierādīts arī ar rakstveida pierādījumiem par naudas tālāko</w:t>
      </w:r>
      <w:r w:rsidR="00B80BF1">
        <w:rPr>
          <w:rFonts w:eastAsiaTheme="minorHAnsi"/>
          <w:lang w:eastAsia="en-US"/>
        </w:rPr>
        <w:t xml:space="preserve"> virzību</w:t>
      </w:r>
      <w:r>
        <w:rPr>
          <w:rFonts w:eastAsiaTheme="minorHAnsi"/>
          <w:lang w:eastAsia="en-US"/>
        </w:rPr>
        <w:t xml:space="preserve"> no</w:t>
      </w:r>
      <w:r w:rsidRPr="00347470">
        <w:t xml:space="preserve"> </w:t>
      </w:r>
      <w:r w:rsidR="00007544" w:rsidRPr="00B52FA1">
        <w:rPr>
          <w:color w:val="000000" w:themeColor="text1"/>
        </w:rPr>
        <w:t xml:space="preserve">kompānijas </w:t>
      </w:r>
      <w:r>
        <w:t>UAB „</w:t>
      </w:r>
      <w:r w:rsidR="003227C6">
        <w:t>[Nosaukums D]</w:t>
      </w:r>
      <w:r>
        <w:t xml:space="preserve">” konta uz </w:t>
      </w:r>
      <w:r w:rsidR="00B52FA1">
        <w:t>kompānijas</w:t>
      </w:r>
      <w:r>
        <w:t xml:space="preserve"> </w:t>
      </w:r>
      <w:r w:rsidRPr="00E53082">
        <w:rPr>
          <w:rFonts w:ascii="TimesNewRomanPSMT" w:hAnsi="TimesNewRomanPSMT" w:cs="TimesNewRomanPSMT"/>
        </w:rPr>
        <w:t>„</w:t>
      </w:r>
      <w:r w:rsidR="003227C6">
        <w:rPr>
          <w:rFonts w:ascii="TimesNewRomanPSMT" w:hAnsi="TimesNewRomanPSMT" w:cs="TimesNewRomanPSMT"/>
        </w:rPr>
        <w:t>[Nosaukums </w:t>
      </w:r>
      <w:r w:rsidR="003227C6">
        <w:t>B]</w:t>
      </w:r>
      <w:r w:rsidRPr="00347470">
        <w:rPr>
          <w:rFonts w:ascii="TimesNewRomanPSMT" w:hAnsi="TimesNewRomanPSMT" w:cs="TimesNewRomanPSMT"/>
        </w:rPr>
        <w:t>”</w:t>
      </w:r>
      <w:r>
        <w:rPr>
          <w:rFonts w:ascii="TimesNewRomanPSMT" w:hAnsi="TimesNewRomanPSMT" w:cs="TimesNewRomanPSMT"/>
        </w:rPr>
        <w:t xml:space="preserve"> kontu, kā arī</w:t>
      </w:r>
      <w:r>
        <w:rPr>
          <w:rFonts w:eastAsiaTheme="minorHAnsi"/>
          <w:lang w:eastAsia="en-US"/>
        </w:rPr>
        <w:t xml:space="preserve"> citu liecinieku un cietušā pārstāvja liecībām. </w:t>
      </w:r>
    </w:p>
    <w:p w14:paraId="2F2D3A77" w14:textId="346DEF88" w:rsidR="004B43F9" w:rsidRPr="00E672D9" w:rsidRDefault="004B43F9" w:rsidP="004B43F9">
      <w:pPr>
        <w:pStyle w:val="tv213"/>
        <w:spacing w:line="276" w:lineRule="auto"/>
        <w:ind w:firstLine="720"/>
        <w:contextualSpacing/>
        <w:jc w:val="both"/>
        <w:rPr>
          <w:rFonts w:eastAsiaTheme="minorHAnsi"/>
          <w:lang w:eastAsia="en-US"/>
        </w:rPr>
      </w:pPr>
      <w:r>
        <w:rPr>
          <w:rFonts w:eastAsiaTheme="minorHAnsi"/>
          <w:lang w:eastAsia="en-US"/>
        </w:rPr>
        <w:t xml:space="preserve">Senāts atzīst, ka </w:t>
      </w:r>
      <w:r w:rsidRPr="00A33A42">
        <w:rPr>
          <w:rFonts w:eastAsiaTheme="minorHAnsi"/>
          <w:lang w:eastAsia="en-US"/>
        </w:rPr>
        <w:t>apelācijas instances tiesa liecinieku pirmstiesas kriminālprocesa laikā sniegtās liecības apsūdzētā vainīguma pamatošanā</w:t>
      </w:r>
      <w:r>
        <w:rPr>
          <w:rFonts w:eastAsiaTheme="minorHAnsi"/>
          <w:lang w:eastAsia="en-US"/>
        </w:rPr>
        <w:t xml:space="preserve"> izmantojusi, ievērojot Senāta judikatūru par prasībām, kas jāizvērtē, izmantojot pierādīšanā tiesas sēdē klāt neesoša liecinieka liecības </w:t>
      </w:r>
      <w:proofErr w:type="gramStart"/>
      <w:r>
        <w:rPr>
          <w:rFonts w:eastAsiaTheme="minorHAnsi"/>
          <w:lang w:eastAsia="en-US"/>
        </w:rPr>
        <w:t>(</w:t>
      </w:r>
      <w:bookmarkStart w:id="20" w:name="_Hlk138067590"/>
      <w:proofErr w:type="gramEnd"/>
      <w:r w:rsidRPr="0033288B">
        <w:rPr>
          <w:rFonts w:eastAsiaTheme="minorHAnsi"/>
          <w:i/>
          <w:iCs/>
          <w:lang w:eastAsia="en-US"/>
        </w:rPr>
        <w:t>Senāta 2017. gada 21. septembra lēmum</w:t>
      </w:r>
      <w:r w:rsidR="00D32136">
        <w:rPr>
          <w:rFonts w:eastAsiaTheme="minorHAnsi"/>
          <w:i/>
          <w:iCs/>
          <w:lang w:eastAsia="en-US"/>
        </w:rPr>
        <w:t>s</w:t>
      </w:r>
      <w:r w:rsidRPr="0033288B">
        <w:rPr>
          <w:rFonts w:eastAsiaTheme="minorHAnsi"/>
          <w:i/>
          <w:iCs/>
          <w:lang w:eastAsia="en-US"/>
        </w:rPr>
        <w:t xml:space="preserve"> lietā Nr. </w:t>
      </w:r>
      <w:r w:rsidRPr="00A21D09">
        <w:rPr>
          <w:rFonts w:eastAsiaTheme="minorHAnsi"/>
          <w:i/>
          <w:iCs/>
          <w:lang w:eastAsia="en-US"/>
        </w:rPr>
        <w:t>SKK</w:t>
      </w:r>
      <w:r w:rsidR="00112BD7">
        <w:rPr>
          <w:rFonts w:eastAsiaTheme="minorHAnsi"/>
          <w:i/>
          <w:iCs/>
          <w:lang w:eastAsia="en-US"/>
        </w:rPr>
        <w:t>-</w:t>
      </w:r>
      <w:r w:rsidRPr="00A21D09">
        <w:rPr>
          <w:rFonts w:eastAsiaTheme="minorHAnsi"/>
          <w:i/>
          <w:iCs/>
          <w:lang w:eastAsia="en-US"/>
        </w:rPr>
        <w:t>343/2017</w:t>
      </w:r>
      <w:r>
        <w:rPr>
          <w:rFonts w:eastAsiaTheme="minorHAnsi"/>
          <w:i/>
          <w:iCs/>
          <w:lang w:eastAsia="en-US"/>
        </w:rPr>
        <w:t xml:space="preserve">, </w:t>
      </w:r>
      <w:hyperlink r:id="rId14" w:history="1">
        <w:r w:rsidRPr="00A21D09">
          <w:rPr>
            <w:rStyle w:val="Hyperlink"/>
            <w:rFonts w:eastAsiaTheme="minorHAnsi"/>
            <w:i/>
            <w:iCs/>
            <w:lang w:eastAsia="en-US"/>
          </w:rPr>
          <w:t>ECLI:LV:AT:2017:0921.11092086113.1.L</w:t>
        </w:r>
      </w:hyperlink>
      <w:r>
        <w:rPr>
          <w:rFonts w:eastAsiaTheme="minorHAnsi"/>
          <w:lang w:eastAsia="en-US"/>
        </w:rPr>
        <w:t>)</w:t>
      </w:r>
      <w:bookmarkEnd w:id="20"/>
      <w:r>
        <w:rPr>
          <w:rFonts w:eastAsiaTheme="minorHAnsi"/>
          <w:lang w:eastAsia="en-US"/>
        </w:rPr>
        <w:t>.</w:t>
      </w:r>
    </w:p>
    <w:p w14:paraId="72738E73" w14:textId="7759A6C1" w:rsidR="008162EE" w:rsidRDefault="008162EE" w:rsidP="008162EE">
      <w:pPr>
        <w:pStyle w:val="tv213"/>
        <w:spacing w:line="276" w:lineRule="auto"/>
        <w:ind w:firstLine="720"/>
        <w:contextualSpacing/>
        <w:jc w:val="both"/>
        <w:rPr>
          <w:rFonts w:eastAsiaTheme="minorHAnsi"/>
          <w:lang w:eastAsia="en-US"/>
        </w:rPr>
      </w:pPr>
      <w:r>
        <w:rPr>
          <w:rFonts w:eastAsiaTheme="minorHAnsi"/>
          <w:lang w:eastAsia="en-US"/>
        </w:rPr>
        <w:t>[1</w:t>
      </w:r>
      <w:r w:rsidR="00F3693B">
        <w:rPr>
          <w:rFonts w:eastAsiaTheme="minorHAnsi"/>
          <w:lang w:eastAsia="en-US"/>
        </w:rPr>
        <w:t>0</w:t>
      </w:r>
      <w:r>
        <w:rPr>
          <w:rFonts w:eastAsiaTheme="minorHAnsi"/>
          <w:lang w:eastAsia="en-US"/>
        </w:rPr>
        <w:t>.5] </w:t>
      </w:r>
      <w:r w:rsidRPr="008162EE">
        <w:rPr>
          <w:rFonts w:eastAsiaTheme="minorHAnsi"/>
          <w:lang w:eastAsia="en-US"/>
        </w:rPr>
        <w:t xml:space="preserve">Senāts atzīst par </w:t>
      </w:r>
      <w:r>
        <w:rPr>
          <w:rFonts w:eastAsiaTheme="minorHAnsi"/>
          <w:lang w:eastAsia="en-US"/>
        </w:rPr>
        <w:t>nepamatotu</w:t>
      </w:r>
      <w:r w:rsidRPr="008162EE">
        <w:rPr>
          <w:rFonts w:eastAsiaTheme="minorHAnsi"/>
          <w:lang w:eastAsia="en-US"/>
        </w:rPr>
        <w:t xml:space="preserve"> kasācijas sūdzībā</w:t>
      </w:r>
      <w:r>
        <w:rPr>
          <w:rFonts w:eastAsiaTheme="minorHAnsi"/>
          <w:lang w:eastAsia="en-US"/>
        </w:rPr>
        <w:t>s</w:t>
      </w:r>
      <w:r w:rsidRPr="008162EE">
        <w:rPr>
          <w:rFonts w:eastAsiaTheme="minorHAnsi"/>
          <w:lang w:eastAsia="en-US"/>
        </w:rPr>
        <w:t xml:space="preserve"> izteikto viedokli, ka </w:t>
      </w:r>
      <w:r w:rsidR="003227C6">
        <w:rPr>
          <w:rFonts w:eastAsiaTheme="minorHAnsi"/>
          <w:lang w:eastAsia="en-US"/>
        </w:rPr>
        <w:t>[pers. A]</w:t>
      </w:r>
      <w:r>
        <w:rPr>
          <w:rFonts w:eastAsiaTheme="minorHAnsi"/>
          <w:lang w:eastAsia="en-US"/>
        </w:rPr>
        <w:t xml:space="preserve"> inkriminētie trīs </w:t>
      </w:r>
      <w:r w:rsidRPr="008162EE">
        <w:rPr>
          <w:rFonts w:eastAsiaTheme="minorHAnsi"/>
          <w:lang w:eastAsia="en-US"/>
        </w:rPr>
        <w:t>Krimināllikuma</w:t>
      </w:r>
      <w:r>
        <w:rPr>
          <w:rFonts w:eastAsiaTheme="minorHAnsi"/>
          <w:lang w:eastAsia="en-US"/>
        </w:rPr>
        <w:t xml:space="preserve"> </w:t>
      </w:r>
      <w:r w:rsidRPr="008162EE">
        <w:rPr>
          <w:rFonts w:eastAsiaTheme="minorHAnsi"/>
          <w:lang w:eastAsia="en-US"/>
        </w:rPr>
        <w:t>179.</w:t>
      </w:r>
      <w:r>
        <w:rPr>
          <w:rFonts w:eastAsiaTheme="minorHAnsi"/>
          <w:lang w:eastAsia="en-US"/>
        </w:rPr>
        <w:t> </w:t>
      </w:r>
      <w:r w:rsidRPr="008162EE">
        <w:rPr>
          <w:rFonts w:eastAsiaTheme="minorHAnsi"/>
          <w:lang w:eastAsia="en-US"/>
        </w:rPr>
        <w:t>panta trešajā daļā paredzēt</w:t>
      </w:r>
      <w:r>
        <w:rPr>
          <w:rFonts w:eastAsiaTheme="minorHAnsi"/>
          <w:lang w:eastAsia="en-US"/>
        </w:rPr>
        <w:t xml:space="preserve">ie </w:t>
      </w:r>
      <w:r w:rsidRPr="008162EE">
        <w:rPr>
          <w:rFonts w:eastAsiaTheme="minorHAnsi"/>
          <w:lang w:eastAsia="en-US"/>
        </w:rPr>
        <w:t>noziedzīg</w:t>
      </w:r>
      <w:r>
        <w:rPr>
          <w:rFonts w:eastAsiaTheme="minorHAnsi"/>
          <w:lang w:eastAsia="en-US"/>
        </w:rPr>
        <w:t>ie</w:t>
      </w:r>
      <w:r w:rsidRPr="008162EE">
        <w:rPr>
          <w:rFonts w:eastAsiaTheme="minorHAnsi"/>
          <w:lang w:eastAsia="en-US"/>
        </w:rPr>
        <w:t xml:space="preserve"> nodarījum</w:t>
      </w:r>
      <w:r>
        <w:rPr>
          <w:rFonts w:eastAsiaTheme="minorHAnsi"/>
          <w:lang w:eastAsia="en-US"/>
        </w:rPr>
        <w:t>i</w:t>
      </w:r>
      <w:r w:rsidRPr="008162EE">
        <w:rPr>
          <w:rFonts w:eastAsiaTheme="minorHAnsi"/>
          <w:lang w:eastAsia="en-US"/>
        </w:rPr>
        <w:t xml:space="preserve"> nepamatoti kvalificēt</w:t>
      </w:r>
      <w:r>
        <w:rPr>
          <w:rFonts w:eastAsiaTheme="minorHAnsi"/>
          <w:lang w:eastAsia="en-US"/>
        </w:rPr>
        <w:t>i</w:t>
      </w:r>
      <w:r w:rsidRPr="008162EE">
        <w:rPr>
          <w:rFonts w:eastAsiaTheme="minorHAnsi"/>
          <w:lang w:eastAsia="en-US"/>
        </w:rPr>
        <w:t xml:space="preserve"> </w:t>
      </w:r>
      <w:r>
        <w:rPr>
          <w:rFonts w:eastAsiaTheme="minorHAnsi"/>
          <w:lang w:eastAsia="en-US"/>
        </w:rPr>
        <w:t>kā atsevišķi patstāvīgi noziedzīgi nodarījumi (</w:t>
      </w:r>
      <w:r w:rsidRPr="00697BED">
        <w:rPr>
          <w:rFonts w:eastAsiaTheme="minorHAnsi"/>
          <w:lang w:eastAsia="en-US"/>
        </w:rPr>
        <w:t xml:space="preserve">lēmuma </w:t>
      </w:r>
      <w:r w:rsidR="00A77A98" w:rsidRPr="00697BED">
        <w:rPr>
          <w:rFonts w:eastAsiaTheme="minorHAnsi"/>
          <w:lang w:eastAsia="en-US"/>
        </w:rPr>
        <w:t>5.1. un 6.</w:t>
      </w:r>
      <w:r w:rsidR="00697BED" w:rsidRPr="00697BED">
        <w:rPr>
          <w:rFonts w:eastAsiaTheme="minorHAnsi"/>
          <w:lang w:eastAsia="en-US"/>
        </w:rPr>
        <w:t>7</w:t>
      </w:r>
      <w:r w:rsidR="00A77A98" w:rsidRPr="00697BED">
        <w:rPr>
          <w:rFonts w:eastAsiaTheme="minorHAnsi"/>
          <w:lang w:eastAsia="en-US"/>
        </w:rPr>
        <w:t>. punkts</w:t>
      </w:r>
      <w:r w:rsidRPr="00697BED">
        <w:rPr>
          <w:rFonts w:eastAsiaTheme="minorHAnsi"/>
          <w:lang w:eastAsia="en-US"/>
        </w:rPr>
        <w:t>)</w:t>
      </w:r>
      <w:r w:rsidR="00A77A98" w:rsidRPr="00697BED">
        <w:rPr>
          <w:rFonts w:eastAsiaTheme="minorHAnsi"/>
          <w:lang w:eastAsia="en-US"/>
        </w:rPr>
        <w:t>.</w:t>
      </w:r>
    </w:p>
    <w:p w14:paraId="0A35FB30" w14:textId="77777777" w:rsidR="00710972" w:rsidRDefault="00A77A98" w:rsidP="00710972">
      <w:pPr>
        <w:pStyle w:val="tv213"/>
        <w:spacing w:line="276" w:lineRule="auto"/>
        <w:ind w:firstLine="720"/>
        <w:contextualSpacing/>
        <w:jc w:val="both"/>
        <w:rPr>
          <w:rFonts w:eastAsiaTheme="minorHAnsi"/>
          <w:lang w:eastAsia="en-US"/>
        </w:rPr>
      </w:pPr>
      <w:r w:rsidRPr="00A77A98">
        <w:rPr>
          <w:rFonts w:eastAsiaTheme="minorHAnsi"/>
          <w:lang w:eastAsia="en-US"/>
        </w:rPr>
        <w:t>Krimināllikuma 23.</w:t>
      </w:r>
      <w:r>
        <w:rPr>
          <w:rFonts w:eastAsiaTheme="minorHAnsi"/>
          <w:lang w:eastAsia="en-US"/>
        </w:rPr>
        <w:t> </w:t>
      </w:r>
      <w:r w:rsidRPr="00A77A98">
        <w:rPr>
          <w:rFonts w:eastAsiaTheme="minorHAnsi"/>
          <w:lang w:eastAsia="en-US"/>
        </w:rPr>
        <w:t>panta trešajā</w:t>
      </w:r>
      <w:r>
        <w:rPr>
          <w:rFonts w:eastAsiaTheme="minorHAnsi"/>
          <w:lang w:eastAsia="en-US"/>
        </w:rPr>
        <w:t xml:space="preserve"> </w:t>
      </w:r>
      <w:r w:rsidRPr="00A77A98">
        <w:rPr>
          <w:rFonts w:eastAsiaTheme="minorHAnsi"/>
          <w:lang w:eastAsia="en-US"/>
        </w:rPr>
        <w:t>daļā</w:t>
      </w:r>
      <w:r>
        <w:rPr>
          <w:rFonts w:eastAsiaTheme="minorHAnsi"/>
          <w:lang w:eastAsia="en-US"/>
        </w:rPr>
        <w:t xml:space="preserve"> noteikts</w:t>
      </w:r>
      <w:r w:rsidRPr="00A77A98">
        <w:rPr>
          <w:rFonts w:eastAsiaTheme="minorHAnsi"/>
          <w:lang w:eastAsia="en-US"/>
        </w:rPr>
        <w:t xml:space="preserve">, ka </w:t>
      </w:r>
      <w:r>
        <w:rPr>
          <w:rFonts w:eastAsiaTheme="minorHAnsi"/>
          <w:lang w:eastAsia="en-US"/>
        </w:rPr>
        <w:t>a</w:t>
      </w:r>
      <w:r w:rsidRPr="00A77A98">
        <w:rPr>
          <w:rFonts w:eastAsiaTheme="minorHAnsi"/>
          <w:lang w:eastAsia="en-US"/>
        </w:rPr>
        <w:t>tsevišķu turpinātu noziedzīgu nodarījumu veido vairākas savstarpēji saistītas tādas pašas noziedzīgas darbības, kas vērstas uz kopēju mērķi, ja tās aptver vainīgās personas vienots nodoms, tāpēc savā kopumā tās veido vienu noziedzīgu nodarījumu.</w:t>
      </w:r>
    </w:p>
    <w:p w14:paraId="49FCB9A3" w14:textId="17386189" w:rsidR="00710972" w:rsidRDefault="00562636" w:rsidP="00710972">
      <w:pPr>
        <w:pStyle w:val="tv213"/>
        <w:spacing w:line="276" w:lineRule="auto"/>
        <w:ind w:firstLine="720"/>
        <w:contextualSpacing/>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Tādējādi v</w:t>
      </w:r>
      <w:r w:rsidR="00710972">
        <w:rPr>
          <w:rFonts w:ascii="TimesNewRomanPSMT" w:eastAsiaTheme="minorHAnsi" w:hAnsi="TimesNewRomanPSMT" w:cs="TimesNewRomanPSMT"/>
          <w:lang w:eastAsia="en-US"/>
        </w:rPr>
        <w:t>ienotā nodoma konstatēšana noziedzīgā nodarījumā ir galvenais nosacījums turpinātā</w:t>
      </w:r>
      <w:r w:rsidR="00710972">
        <w:rPr>
          <w:rFonts w:eastAsiaTheme="minorHAnsi"/>
          <w:lang w:eastAsia="en-US"/>
        </w:rPr>
        <w:t xml:space="preserve"> </w:t>
      </w:r>
      <w:r w:rsidR="00710972">
        <w:rPr>
          <w:rFonts w:ascii="TimesNewRomanPSMT" w:eastAsiaTheme="minorHAnsi" w:hAnsi="TimesNewRomanPSMT" w:cs="TimesNewRomanPSMT"/>
          <w:lang w:eastAsia="en-US"/>
        </w:rPr>
        <w:t>noziedzīgā nodarījumā.</w:t>
      </w:r>
    </w:p>
    <w:p w14:paraId="69027BFD" w14:textId="5EE444F2" w:rsidR="00562636" w:rsidRDefault="00562636" w:rsidP="00562636">
      <w:pPr>
        <w:pStyle w:val="tv213"/>
        <w:spacing w:line="276" w:lineRule="auto"/>
        <w:ind w:firstLine="720"/>
        <w:contextualSpacing/>
        <w:jc w:val="both"/>
        <w:rPr>
          <w:rFonts w:eastAsiaTheme="minorHAnsi"/>
          <w:lang w:eastAsia="en-US"/>
        </w:rPr>
      </w:pPr>
      <w:r w:rsidRPr="00562636">
        <w:rPr>
          <w:rFonts w:eastAsiaTheme="minorHAnsi"/>
          <w:lang w:eastAsia="en-US"/>
        </w:rPr>
        <w:t xml:space="preserve">Par turpinātu nolaupīšanu uzskatāma tāda svešas mantas vairākkārtēja nelikumīga paņemšana no viena un tā paša īpašnieka vai valdītāja valdījuma, kas sastāv no vairākām vienveidīgām noziedzīgām darbībām, kurām ir vienots nodoms un kopējs galamērķis – nolaupīt mantu noteiktā daudzumā vai apmērā – un kas savā kopībā izveido vienotu noziedzīgu nodarījumu </w:t>
      </w:r>
      <w:proofErr w:type="gramStart"/>
      <w:r>
        <w:rPr>
          <w:rFonts w:eastAsiaTheme="minorHAnsi"/>
          <w:lang w:eastAsia="en-US"/>
        </w:rPr>
        <w:t>[</w:t>
      </w:r>
      <w:proofErr w:type="gramEnd"/>
      <w:r>
        <w:rPr>
          <w:rFonts w:eastAsiaTheme="minorHAnsi"/>
          <w:lang w:eastAsia="en-US"/>
        </w:rPr>
        <w:t>..]</w:t>
      </w:r>
      <w:r w:rsidRPr="00562636">
        <w:rPr>
          <w:rFonts w:eastAsiaTheme="minorHAnsi"/>
          <w:lang w:eastAsia="en-US"/>
        </w:rPr>
        <w:t>.</w:t>
      </w:r>
      <w:r>
        <w:rPr>
          <w:rFonts w:eastAsiaTheme="minorHAnsi"/>
          <w:lang w:eastAsia="en-US"/>
        </w:rPr>
        <w:t xml:space="preserve"> </w:t>
      </w:r>
      <w:r w:rsidRPr="00562636">
        <w:rPr>
          <w:rFonts w:eastAsiaTheme="minorHAnsi"/>
          <w:lang w:eastAsia="en-US"/>
        </w:rPr>
        <w:t>Par turpinātu nevar uzskatīt mantas nolaupīšanu, ja tā izdarīta dažādās vietās, no dažādiem avotiem, ar atšķirīgu nolaupīšanas veidu vai atšķirīgos apstākļos vai sekojošā mantas nolaupīšana notikusi pēc ilgāka laika ar atsevišķi radušos nodomu, kaut arī nolaupīšanas veids ir bijis viens un tas pats</w:t>
      </w:r>
      <w:r>
        <w:rPr>
          <w:rFonts w:eastAsiaTheme="minorHAnsi"/>
          <w:lang w:eastAsia="en-US"/>
        </w:rPr>
        <w:t xml:space="preserve"> (</w:t>
      </w:r>
      <w:r w:rsidRPr="00697BED">
        <w:rPr>
          <w:i/>
          <w:iCs/>
        </w:rPr>
        <w:t xml:space="preserve">Augstākās tiesas </w:t>
      </w:r>
      <w:r w:rsidR="00D56309">
        <w:rPr>
          <w:i/>
          <w:iCs/>
        </w:rPr>
        <w:t>P</w:t>
      </w:r>
      <w:r w:rsidRPr="00697BED">
        <w:rPr>
          <w:i/>
          <w:iCs/>
        </w:rPr>
        <w:t>lēnuma 2001. gada 14. decembra lēmuma Nr. 3 „</w:t>
      </w:r>
      <w:hyperlink r:id="rId15" w:history="1">
        <w:r w:rsidRPr="00D56309">
          <w:rPr>
            <w:rStyle w:val="Hyperlink"/>
            <w:i/>
            <w:iCs/>
          </w:rPr>
          <w:t>Likuma piemērošana krimināllietās par svešas mantas nolaupīšanu</w:t>
        </w:r>
      </w:hyperlink>
      <w:r w:rsidRPr="00697BED">
        <w:rPr>
          <w:i/>
          <w:iCs/>
        </w:rPr>
        <w:t>”</w:t>
      </w:r>
      <w:r w:rsidR="00D56309">
        <w:rPr>
          <w:i/>
          <w:iCs/>
        </w:rPr>
        <w:t>,</w:t>
      </w:r>
      <w:r w:rsidRPr="00697BED">
        <w:rPr>
          <w:i/>
          <w:iCs/>
        </w:rPr>
        <w:t xml:space="preserve"> 7.5. un 7.6. punkts</w:t>
      </w:r>
      <w:r>
        <w:rPr>
          <w:rFonts w:eastAsiaTheme="minorHAnsi"/>
          <w:lang w:eastAsia="en-US"/>
        </w:rPr>
        <w:t>).</w:t>
      </w:r>
    </w:p>
    <w:p w14:paraId="286536A3" w14:textId="73E13321" w:rsidR="00562636" w:rsidRDefault="00562636" w:rsidP="00562636">
      <w:pPr>
        <w:pStyle w:val="tv213"/>
        <w:spacing w:line="276" w:lineRule="auto"/>
        <w:ind w:firstLine="720"/>
        <w:contextualSpacing/>
        <w:jc w:val="both"/>
        <w:rPr>
          <w:noProof/>
        </w:rPr>
      </w:pPr>
      <w:r>
        <w:rPr>
          <w:rFonts w:eastAsiaTheme="minorHAnsi"/>
          <w:lang w:eastAsia="en-US"/>
        </w:rPr>
        <w:t xml:space="preserve">Apelācijas instances tiesa ir atzinusi, ka </w:t>
      </w:r>
      <w:r w:rsidR="003227C6">
        <w:rPr>
          <w:rFonts w:eastAsiaTheme="minorHAnsi"/>
          <w:lang w:eastAsia="en-US"/>
        </w:rPr>
        <w:t>[pers. A]</w:t>
      </w:r>
      <w:r>
        <w:rPr>
          <w:rFonts w:eastAsiaTheme="minorHAnsi"/>
          <w:lang w:eastAsia="en-US"/>
        </w:rPr>
        <w:t xml:space="preserve"> ir izdarījis trīs atsevišķus Krimināllikuma 179. panta trešajā daļā paredzētus noziedzīgus nodarījumus, kas izpaudušies dažādos veidos</w:t>
      </w:r>
      <w:r w:rsidR="00F20E80">
        <w:rPr>
          <w:rFonts w:eastAsiaTheme="minorHAnsi"/>
          <w:lang w:eastAsia="en-US"/>
        </w:rPr>
        <w:t>:</w:t>
      </w:r>
      <w:r>
        <w:rPr>
          <w:rFonts w:eastAsiaTheme="minorHAnsi"/>
          <w:lang w:eastAsia="en-US"/>
        </w:rPr>
        <w:t xml:space="preserve"> </w:t>
      </w:r>
      <w:r w:rsidR="00F025DB">
        <w:rPr>
          <w:rFonts w:eastAsiaTheme="minorHAnsi"/>
          <w:lang w:eastAsia="en-US"/>
        </w:rPr>
        <w:t xml:space="preserve">1) </w:t>
      </w:r>
      <w:r w:rsidR="00F20E80">
        <w:rPr>
          <w:rFonts w:ascii="TimesNewRomanPSMT" w:eastAsiaTheme="minorHAnsi" w:hAnsi="TimesNewRomanPSMT" w:cs="TimesNewRomanPSMT"/>
          <w:lang w:eastAsia="en-US"/>
        </w:rPr>
        <w:t>par neesošiem grāmatvedības pakalpojumiem</w:t>
      </w:r>
      <w:r w:rsidR="00F20E80">
        <w:rPr>
          <w:noProof/>
        </w:rPr>
        <w:t xml:space="preserve"> </w:t>
      </w:r>
      <w:r w:rsidR="00F025DB">
        <w:rPr>
          <w:noProof/>
        </w:rPr>
        <w:t>no MSIA „</w:t>
      </w:r>
      <w:r w:rsidR="003227C6">
        <w:rPr>
          <w:noProof/>
        </w:rPr>
        <w:t>[Nosaukums </w:t>
      </w:r>
      <w:r w:rsidR="003227C6">
        <w:t>A]</w:t>
      </w:r>
      <w:r w:rsidR="00F025DB">
        <w:rPr>
          <w:noProof/>
        </w:rPr>
        <w:t xml:space="preserve">” norēķinu konta </w:t>
      </w:r>
      <w:r w:rsidR="00F20E80">
        <w:rPr>
          <w:rFonts w:ascii="TimesNewRomanPSMT" w:eastAsiaTheme="minorHAnsi" w:hAnsi="TimesNewRomanPSMT" w:cs="TimesNewRomanPSMT"/>
          <w:lang w:eastAsia="en-US"/>
        </w:rPr>
        <w:t xml:space="preserve">uz </w:t>
      </w:r>
      <w:r w:rsidR="00F20E80" w:rsidRPr="001C4A71">
        <w:rPr>
          <w:rFonts w:ascii="TimesNewRomanPSMT" w:eastAsiaTheme="minorHAnsi" w:hAnsi="TimesNewRomanPSMT" w:cs="TimesNewRomanPSMT"/>
          <w:lang w:eastAsia="en-US"/>
        </w:rPr>
        <w:t>UAB „</w:t>
      </w:r>
      <w:r w:rsidR="003227C6">
        <w:rPr>
          <w:rFonts w:ascii="TimesNewRomanPSMT" w:eastAsiaTheme="minorHAnsi" w:hAnsi="TimesNewRomanPSMT" w:cs="TimesNewRomanPSMT"/>
          <w:lang w:eastAsia="en-US"/>
        </w:rPr>
        <w:t>[Nosaukums </w:t>
      </w:r>
      <w:r w:rsidR="003227C6">
        <w:rPr>
          <w:rFonts w:eastAsiaTheme="minorHAnsi"/>
        </w:rPr>
        <w:t>D]</w:t>
      </w:r>
      <w:r w:rsidR="00F20E80" w:rsidRPr="001C4A71">
        <w:rPr>
          <w:rFonts w:ascii="TimesNewRomanPSMT" w:eastAsiaTheme="minorHAnsi" w:hAnsi="TimesNewRomanPSMT" w:cs="TimesNewRomanPSMT"/>
          <w:lang w:eastAsia="en-US"/>
        </w:rPr>
        <w:t>”</w:t>
      </w:r>
      <w:r w:rsidR="00F20E80">
        <w:rPr>
          <w:rFonts w:ascii="TimesNewRomanPSMT" w:eastAsiaTheme="minorHAnsi" w:hAnsi="TimesNewRomanPSMT" w:cs="TimesNewRomanPSMT"/>
          <w:lang w:eastAsia="en-US"/>
        </w:rPr>
        <w:t xml:space="preserve"> norēķinu kontu</w:t>
      </w:r>
      <w:r w:rsidR="00F20E80" w:rsidRPr="00890FA1">
        <w:rPr>
          <w:rFonts w:eastAsiaTheme="minorHAnsi"/>
          <w:lang w:eastAsia="en-US"/>
        </w:rPr>
        <w:t xml:space="preserve"> </w:t>
      </w:r>
      <w:r w:rsidR="00F025DB" w:rsidRPr="00890FA1">
        <w:rPr>
          <w:rFonts w:eastAsiaTheme="minorHAnsi"/>
          <w:lang w:eastAsia="en-US"/>
        </w:rPr>
        <w:t>pārskai</w:t>
      </w:r>
      <w:r w:rsidR="00EF583B" w:rsidRPr="00890FA1">
        <w:rPr>
          <w:rFonts w:eastAsiaTheme="minorHAnsi"/>
          <w:lang w:eastAsia="en-US"/>
        </w:rPr>
        <w:t>tījis</w:t>
      </w:r>
      <w:r w:rsidR="00F025DB">
        <w:rPr>
          <w:rFonts w:eastAsiaTheme="minorHAnsi"/>
          <w:lang w:eastAsia="en-US"/>
        </w:rPr>
        <w:t xml:space="preserve"> 20</w:t>
      </w:r>
      <w:r w:rsidR="00F025DB" w:rsidRPr="00890FA1">
        <w:rPr>
          <w:rFonts w:eastAsiaTheme="minorHAnsi"/>
          <w:lang w:eastAsia="en-US"/>
        </w:rPr>
        <w:t> 000 </w:t>
      </w:r>
      <w:proofErr w:type="spellStart"/>
      <w:r w:rsidR="00F025DB" w:rsidRPr="00890FA1">
        <w:rPr>
          <w:rFonts w:eastAsiaTheme="minorHAnsi"/>
          <w:i/>
          <w:iCs/>
          <w:lang w:eastAsia="en-US"/>
        </w:rPr>
        <w:t>euro</w:t>
      </w:r>
      <w:proofErr w:type="spellEnd"/>
      <w:r w:rsidR="00F20E80">
        <w:rPr>
          <w:rFonts w:ascii="TimesNewRomanPSMT" w:eastAsiaTheme="minorHAnsi" w:hAnsi="TimesNewRomanPSMT" w:cs="TimesNewRomanPSMT"/>
          <w:lang w:eastAsia="en-US"/>
        </w:rPr>
        <w:t>, no kuriem 10 000 </w:t>
      </w:r>
      <w:proofErr w:type="spellStart"/>
      <w:r w:rsidR="00F20E80" w:rsidRPr="00F20E80">
        <w:rPr>
          <w:rFonts w:ascii="TimesNewRomanPSMT" w:eastAsiaTheme="minorHAnsi" w:hAnsi="TimesNewRomanPSMT" w:cs="TimesNewRomanPSMT"/>
          <w:i/>
          <w:iCs/>
          <w:lang w:eastAsia="en-US"/>
        </w:rPr>
        <w:t>euro</w:t>
      </w:r>
      <w:proofErr w:type="spellEnd"/>
      <w:r w:rsidR="00F20E80">
        <w:rPr>
          <w:rFonts w:ascii="TimesNewRomanPSMT" w:eastAsiaTheme="minorHAnsi" w:hAnsi="TimesNewRomanPSMT" w:cs="TimesNewRomanPSMT"/>
          <w:lang w:eastAsia="en-US"/>
        </w:rPr>
        <w:t xml:space="preserve"> ieguvis sev, bet 10 000 </w:t>
      </w:r>
      <w:proofErr w:type="spellStart"/>
      <w:r w:rsidR="00F20E80" w:rsidRPr="00F20E80">
        <w:rPr>
          <w:rFonts w:ascii="TimesNewRomanPSMT" w:eastAsiaTheme="minorHAnsi" w:hAnsi="TimesNewRomanPSMT" w:cs="TimesNewRomanPSMT"/>
          <w:i/>
          <w:iCs/>
          <w:lang w:eastAsia="en-US"/>
        </w:rPr>
        <w:t>euro</w:t>
      </w:r>
      <w:proofErr w:type="spellEnd"/>
      <w:r w:rsidR="00F20E80">
        <w:rPr>
          <w:rFonts w:ascii="TimesNewRomanPSMT" w:eastAsiaTheme="minorHAnsi" w:hAnsi="TimesNewRomanPSMT" w:cs="TimesNewRomanPSMT"/>
          <w:lang w:eastAsia="en-US"/>
        </w:rPr>
        <w:t> izšķērdējis kā samaksu par finanšu starpniecības pakalpojumu;</w:t>
      </w:r>
      <w:r w:rsidR="00F025DB">
        <w:rPr>
          <w:rFonts w:ascii="TimesNewRomanPSMT" w:eastAsiaTheme="minorHAnsi" w:hAnsi="TimesNewRomanPSMT" w:cs="TimesNewRomanPSMT"/>
          <w:lang w:eastAsia="en-US"/>
        </w:rPr>
        <w:t xml:space="preserve"> 2) bez tiesiska pamata </w:t>
      </w:r>
      <w:r w:rsidR="00EF583B">
        <w:rPr>
          <w:rFonts w:ascii="TimesNewRomanPSMT" w:eastAsiaTheme="minorHAnsi" w:hAnsi="TimesNewRomanPSMT" w:cs="TimesNewRomanPSMT"/>
          <w:lang w:eastAsia="en-US"/>
        </w:rPr>
        <w:t xml:space="preserve">no </w:t>
      </w:r>
      <w:r w:rsidR="00EF583B">
        <w:rPr>
          <w:noProof/>
        </w:rPr>
        <w:t>MSIA „</w:t>
      </w:r>
      <w:r w:rsidR="003227C6">
        <w:rPr>
          <w:noProof/>
        </w:rPr>
        <w:t>[Nosaukums A]</w:t>
      </w:r>
      <w:r w:rsidR="00EF583B">
        <w:rPr>
          <w:noProof/>
        </w:rPr>
        <w:t xml:space="preserve">” norēķinu konta </w:t>
      </w:r>
      <w:r w:rsidR="00F025DB">
        <w:rPr>
          <w:rFonts w:ascii="TimesNewRomanPSMT" w:eastAsiaTheme="minorHAnsi" w:hAnsi="TimesNewRomanPSMT" w:cs="TimesNewRomanPSMT"/>
          <w:lang w:eastAsia="en-US"/>
        </w:rPr>
        <w:t>izņ</w:t>
      </w:r>
      <w:r w:rsidR="00EF583B">
        <w:rPr>
          <w:rFonts w:ascii="TimesNewRomanPSMT" w:eastAsiaTheme="minorHAnsi" w:hAnsi="TimesNewRomanPSMT" w:cs="TimesNewRomanPSMT"/>
          <w:lang w:eastAsia="en-US"/>
        </w:rPr>
        <w:t>ēmis</w:t>
      </w:r>
      <w:r w:rsidR="00F025DB">
        <w:rPr>
          <w:rFonts w:ascii="TimesNewRomanPSMT" w:eastAsiaTheme="minorHAnsi" w:hAnsi="TimesNewRomanPSMT" w:cs="TimesNewRomanPSMT"/>
          <w:lang w:eastAsia="en-US"/>
        </w:rPr>
        <w:t xml:space="preserve"> </w:t>
      </w:r>
      <w:r w:rsidR="00F025DB">
        <w:rPr>
          <w:noProof/>
        </w:rPr>
        <w:t>50 400 </w:t>
      </w:r>
      <w:r w:rsidR="00F025DB" w:rsidRPr="00F025DB">
        <w:rPr>
          <w:i/>
          <w:iCs/>
          <w:noProof/>
        </w:rPr>
        <w:t>euro</w:t>
      </w:r>
      <w:r w:rsidR="00F025DB">
        <w:rPr>
          <w:noProof/>
        </w:rPr>
        <w:t xml:space="preserve"> un 500 </w:t>
      </w:r>
      <w:r w:rsidR="00F025DB" w:rsidRPr="00F025DB">
        <w:rPr>
          <w:i/>
          <w:iCs/>
          <w:noProof/>
        </w:rPr>
        <w:t>euro</w:t>
      </w:r>
      <w:r w:rsidR="00F025DB">
        <w:rPr>
          <w:noProof/>
        </w:rPr>
        <w:t xml:space="preserve"> samaksā</w:t>
      </w:r>
      <w:r w:rsidR="00EF583B">
        <w:rPr>
          <w:noProof/>
        </w:rPr>
        <w:t>jis</w:t>
      </w:r>
      <w:r w:rsidR="00F025DB">
        <w:rPr>
          <w:noProof/>
        </w:rPr>
        <w:t xml:space="preserve"> kā komisijas maksu par naudas izņemšanu; 3)</w:t>
      </w:r>
      <w:r w:rsidR="00EF583B">
        <w:rPr>
          <w:noProof/>
        </w:rPr>
        <w:t> </w:t>
      </w:r>
      <w:r w:rsidR="0089061E">
        <w:rPr>
          <w:noProof/>
        </w:rPr>
        <w:t>rīkojoties pretēji maksātnespējas stāvokļa risinājuma mērķim un neņemot vērā naudas atgūšanas risku, no MSIA „</w:t>
      </w:r>
      <w:r w:rsidR="003227C6">
        <w:rPr>
          <w:noProof/>
        </w:rPr>
        <w:t>[Nosaukums </w:t>
      </w:r>
      <w:r w:rsidR="003227C6">
        <w:t>A]</w:t>
      </w:r>
      <w:r w:rsidR="0089061E">
        <w:rPr>
          <w:noProof/>
        </w:rPr>
        <w:t xml:space="preserve">” naudas līdzekļiem piešķīris </w:t>
      </w:r>
      <w:r w:rsidR="00EF583B">
        <w:rPr>
          <w:noProof/>
        </w:rPr>
        <w:t>citai personai</w:t>
      </w:r>
      <w:r w:rsidR="00B80BF1">
        <w:rPr>
          <w:noProof/>
        </w:rPr>
        <w:t xml:space="preserve"> 31 000 </w:t>
      </w:r>
      <w:r w:rsidR="00B80BF1" w:rsidRPr="0025609E">
        <w:rPr>
          <w:noProof/>
          <w:color w:val="000000" w:themeColor="text1"/>
        </w:rPr>
        <w:t>latu</w:t>
      </w:r>
      <w:r w:rsidR="0089061E" w:rsidRPr="0025609E">
        <w:rPr>
          <w:noProof/>
          <w:color w:val="000000" w:themeColor="text1"/>
        </w:rPr>
        <w:t xml:space="preserve"> </w:t>
      </w:r>
      <w:r w:rsidR="00D32136" w:rsidRPr="0025609E">
        <w:rPr>
          <w:color w:val="000000" w:themeColor="text1"/>
        </w:rPr>
        <w:t>(44 109,03 </w:t>
      </w:r>
      <w:proofErr w:type="spellStart"/>
      <w:r w:rsidR="00D32136" w:rsidRPr="0025609E">
        <w:rPr>
          <w:i/>
          <w:iCs/>
          <w:color w:val="000000" w:themeColor="text1"/>
        </w:rPr>
        <w:t>euro</w:t>
      </w:r>
      <w:proofErr w:type="spellEnd"/>
      <w:r w:rsidR="00D32136" w:rsidRPr="0025609E">
        <w:rPr>
          <w:color w:val="000000" w:themeColor="text1"/>
        </w:rPr>
        <w:t xml:space="preserve">) </w:t>
      </w:r>
      <w:r w:rsidR="0089061E">
        <w:rPr>
          <w:noProof/>
        </w:rPr>
        <w:t>aizdevumu.</w:t>
      </w:r>
    </w:p>
    <w:p w14:paraId="313E8389" w14:textId="13DBFD2B" w:rsidR="008454DA" w:rsidRPr="00180D31" w:rsidRDefault="00D73135" w:rsidP="008454DA">
      <w:pPr>
        <w:pStyle w:val="tv213"/>
        <w:spacing w:line="276" w:lineRule="auto"/>
        <w:ind w:firstLine="720"/>
        <w:contextualSpacing/>
        <w:jc w:val="both"/>
        <w:rPr>
          <w:noProof/>
          <w:color w:val="000000" w:themeColor="text1"/>
        </w:rPr>
      </w:pPr>
      <w:r>
        <w:rPr>
          <w:noProof/>
        </w:rPr>
        <w:t xml:space="preserve">Apelācijas instances tiesa nav konstatējusi vienota nodoma esību apsūdzētā </w:t>
      </w:r>
      <w:r w:rsidR="003227C6">
        <w:rPr>
          <w:noProof/>
        </w:rPr>
        <w:t>[pers. A]</w:t>
      </w:r>
      <w:r w:rsidR="00594675" w:rsidRPr="00890FA1">
        <w:rPr>
          <w:noProof/>
        </w:rPr>
        <w:t xml:space="preserve"> trīs noziedzīgajos nodarījumos</w:t>
      </w:r>
      <w:r w:rsidRPr="00890FA1">
        <w:rPr>
          <w:noProof/>
        </w:rPr>
        <w:t xml:space="preserve">. </w:t>
      </w:r>
      <w:r w:rsidR="0062505C" w:rsidRPr="00890FA1">
        <w:rPr>
          <w:noProof/>
        </w:rPr>
        <w:t>A</w:t>
      </w:r>
      <w:r>
        <w:rPr>
          <w:noProof/>
        </w:rPr>
        <w:t xml:space="preserve">izstāvis A. Kriķis un apsūdzētais </w:t>
      </w:r>
      <w:r w:rsidR="003227C6">
        <w:rPr>
          <w:noProof/>
        </w:rPr>
        <w:t>[pers. A]</w:t>
      </w:r>
      <w:r w:rsidR="0062505C">
        <w:rPr>
          <w:noProof/>
        </w:rPr>
        <w:t xml:space="preserve"> kasācijas sūdzībās </w:t>
      </w:r>
      <w:r w:rsidR="00594675">
        <w:rPr>
          <w:noProof/>
        </w:rPr>
        <w:t>paužot viedokli</w:t>
      </w:r>
      <w:r w:rsidR="0062505C">
        <w:rPr>
          <w:noProof/>
        </w:rPr>
        <w:t xml:space="preserve">, ka nodarījumi </w:t>
      </w:r>
      <w:r w:rsidR="00594675">
        <w:rPr>
          <w:noProof/>
        </w:rPr>
        <w:t>ir kvalificējami</w:t>
      </w:r>
      <w:r w:rsidR="0062505C">
        <w:rPr>
          <w:noProof/>
        </w:rPr>
        <w:t xml:space="preserve"> kā viens atsevišķs turpināts noziedzīgs nodarījums,</w:t>
      </w:r>
      <w:r>
        <w:rPr>
          <w:noProof/>
        </w:rPr>
        <w:t xml:space="preserve"> nav norādījuši</w:t>
      </w:r>
      <w:r w:rsidR="0062505C">
        <w:rPr>
          <w:noProof/>
        </w:rPr>
        <w:t xml:space="preserve"> tādus apstākļus, kur</w:t>
      </w:r>
      <w:r w:rsidR="00594675">
        <w:rPr>
          <w:noProof/>
        </w:rPr>
        <w:t>i</w:t>
      </w:r>
      <w:r w:rsidR="0062505C">
        <w:rPr>
          <w:noProof/>
        </w:rPr>
        <w:t xml:space="preserve"> apelācijas </w:t>
      </w:r>
      <w:r w:rsidR="0062505C" w:rsidRPr="00180D31">
        <w:rPr>
          <w:noProof/>
          <w:color w:val="000000" w:themeColor="text1"/>
        </w:rPr>
        <w:t>instances tiesa</w:t>
      </w:r>
      <w:r w:rsidR="00594675" w:rsidRPr="00180D31">
        <w:rPr>
          <w:noProof/>
          <w:color w:val="000000" w:themeColor="text1"/>
        </w:rPr>
        <w:t xml:space="preserve">i, izlemjot </w:t>
      </w:r>
      <w:r w:rsidR="003227C6">
        <w:rPr>
          <w:noProof/>
          <w:color w:val="000000" w:themeColor="text1"/>
        </w:rPr>
        <w:t>[pers. </w:t>
      </w:r>
      <w:r w:rsidR="003227C6">
        <w:t>A]</w:t>
      </w:r>
      <w:r w:rsidR="00594675" w:rsidRPr="00180D31">
        <w:rPr>
          <w:noProof/>
          <w:color w:val="000000" w:themeColor="text1"/>
        </w:rPr>
        <w:t xml:space="preserve"> celto apsūdzību, nebūtu </w:t>
      </w:r>
      <w:r w:rsidR="00D32136" w:rsidRPr="00180D31">
        <w:rPr>
          <w:noProof/>
          <w:color w:val="000000" w:themeColor="text1"/>
        </w:rPr>
        <w:t xml:space="preserve">bijuši </w:t>
      </w:r>
      <w:r w:rsidR="00594675" w:rsidRPr="00180D31">
        <w:rPr>
          <w:noProof/>
          <w:color w:val="000000" w:themeColor="text1"/>
        </w:rPr>
        <w:t>zināmi un</w:t>
      </w:r>
      <w:r w:rsidR="0062505C" w:rsidRPr="00180D31">
        <w:rPr>
          <w:noProof/>
          <w:color w:val="000000" w:themeColor="text1"/>
        </w:rPr>
        <w:t xml:space="preserve"> izvērt</w:t>
      </w:r>
      <w:r w:rsidR="00594675" w:rsidRPr="00180D31">
        <w:rPr>
          <w:noProof/>
          <w:color w:val="000000" w:themeColor="text1"/>
        </w:rPr>
        <w:t>ēti</w:t>
      </w:r>
      <w:r w:rsidR="008454DA" w:rsidRPr="00180D31">
        <w:rPr>
          <w:noProof/>
          <w:color w:val="000000" w:themeColor="text1"/>
        </w:rPr>
        <w:t>.</w:t>
      </w:r>
    </w:p>
    <w:p w14:paraId="2FC6F8F7" w14:textId="23F69191" w:rsidR="001B64E1" w:rsidRPr="00180D31" w:rsidRDefault="008454DA" w:rsidP="008454DA">
      <w:pPr>
        <w:pStyle w:val="tv213"/>
        <w:spacing w:line="276" w:lineRule="auto"/>
        <w:ind w:firstLine="720"/>
        <w:contextualSpacing/>
        <w:jc w:val="both"/>
        <w:rPr>
          <w:color w:val="000000" w:themeColor="text1"/>
        </w:rPr>
      </w:pPr>
      <w:r w:rsidRPr="00180D31">
        <w:rPr>
          <w:rFonts w:eastAsiaTheme="minorHAnsi"/>
          <w:color w:val="000000" w:themeColor="text1"/>
          <w:lang w:eastAsia="en-US"/>
        </w:rPr>
        <w:t>Senāts norāda, ka aizstāvis A. </w:t>
      </w:r>
      <w:proofErr w:type="spellStart"/>
      <w:r w:rsidRPr="00180D31">
        <w:rPr>
          <w:rFonts w:eastAsiaTheme="minorHAnsi"/>
          <w:color w:val="000000" w:themeColor="text1"/>
          <w:lang w:eastAsia="en-US"/>
        </w:rPr>
        <w:t>Kriķis</w:t>
      </w:r>
      <w:proofErr w:type="spellEnd"/>
      <w:r w:rsidRPr="00180D31">
        <w:rPr>
          <w:rFonts w:eastAsiaTheme="minorHAnsi"/>
          <w:color w:val="000000" w:themeColor="text1"/>
          <w:lang w:eastAsia="en-US"/>
        </w:rPr>
        <w:t xml:space="preserve">, </w:t>
      </w:r>
      <w:proofErr w:type="gramStart"/>
      <w:r w:rsidRPr="00180D31">
        <w:rPr>
          <w:rFonts w:eastAsiaTheme="minorHAnsi"/>
          <w:color w:val="000000" w:themeColor="text1"/>
          <w:lang w:eastAsia="en-US"/>
        </w:rPr>
        <w:t xml:space="preserve">atsaucoties uz Senāta </w:t>
      </w:r>
      <w:r w:rsidRPr="00180D31">
        <w:rPr>
          <w:color w:val="000000" w:themeColor="text1"/>
        </w:rPr>
        <w:t>2020</w:t>
      </w:r>
      <w:proofErr w:type="gramEnd"/>
      <w:r w:rsidRPr="00180D31">
        <w:rPr>
          <w:color w:val="000000" w:themeColor="text1"/>
        </w:rPr>
        <w:t>. gada 28. maija lēmumā lietā Nr. SKK-14/2021 pausto atziņu</w:t>
      </w:r>
      <w:r w:rsidR="006C6872" w:rsidRPr="00180D31">
        <w:rPr>
          <w:color w:val="000000" w:themeColor="text1"/>
        </w:rPr>
        <w:t xml:space="preserve"> (lēmuma 5.1. punkts)</w:t>
      </w:r>
      <w:r w:rsidRPr="00180D31">
        <w:rPr>
          <w:color w:val="000000" w:themeColor="text1"/>
        </w:rPr>
        <w:t xml:space="preserve">, nav pamatojis </w:t>
      </w:r>
      <w:r w:rsidR="006C6872" w:rsidRPr="00180D31">
        <w:rPr>
          <w:color w:val="000000" w:themeColor="text1"/>
        </w:rPr>
        <w:t>tās</w:t>
      </w:r>
      <w:r w:rsidRPr="00180D31">
        <w:rPr>
          <w:color w:val="000000" w:themeColor="text1"/>
        </w:rPr>
        <w:t xml:space="preserve"> attiecināmību uz izskatāmo krimināllietu. </w:t>
      </w:r>
    </w:p>
    <w:p w14:paraId="6DD7C3C1" w14:textId="671E9947" w:rsidR="008454DA" w:rsidRPr="00180D31" w:rsidRDefault="006C6872" w:rsidP="008454DA">
      <w:pPr>
        <w:pStyle w:val="tv213"/>
        <w:spacing w:line="276" w:lineRule="auto"/>
        <w:ind w:firstLine="720"/>
        <w:contextualSpacing/>
        <w:jc w:val="both"/>
        <w:rPr>
          <w:rFonts w:eastAsia="Calibri"/>
          <w:color w:val="000000" w:themeColor="text1"/>
        </w:rPr>
      </w:pPr>
      <w:r w:rsidRPr="00180D31">
        <w:rPr>
          <w:color w:val="000000" w:themeColor="text1"/>
        </w:rPr>
        <w:t xml:space="preserve">Konkrētajā lēmumā Senāts izlēmis </w:t>
      </w:r>
      <w:r w:rsidR="00CE25C3" w:rsidRPr="00180D31">
        <w:rPr>
          <w:color w:val="000000" w:themeColor="text1"/>
        </w:rPr>
        <w:t>cit</w:t>
      </w:r>
      <w:r w:rsidR="00B80BF1" w:rsidRPr="00180D31">
        <w:rPr>
          <w:color w:val="000000" w:themeColor="text1"/>
        </w:rPr>
        <w:t>ādu</w:t>
      </w:r>
      <w:r w:rsidR="00CE25C3" w:rsidRPr="00180D31">
        <w:rPr>
          <w:color w:val="000000" w:themeColor="text1"/>
        </w:rPr>
        <w:t xml:space="preserve"> tiesisko situāciju</w:t>
      </w:r>
      <w:r w:rsidRPr="00180D31">
        <w:rPr>
          <w:color w:val="000000" w:themeColor="text1"/>
        </w:rPr>
        <w:t xml:space="preserve"> </w:t>
      </w:r>
      <w:r w:rsidR="001B64E1" w:rsidRPr="00180D31">
        <w:rPr>
          <w:color w:val="000000" w:themeColor="text1"/>
        </w:rPr>
        <w:t xml:space="preserve">atšķirīgos </w:t>
      </w:r>
      <w:r w:rsidRPr="00180D31">
        <w:rPr>
          <w:color w:val="000000" w:themeColor="text1"/>
        </w:rPr>
        <w:t>faktiskajos apstākļos, proti, minētajā lietā persona bija atzīta par vainīgu un sodīta</w:t>
      </w:r>
      <w:r w:rsidR="001B64E1" w:rsidRPr="00180D31">
        <w:rPr>
          <w:color w:val="000000" w:themeColor="text1"/>
        </w:rPr>
        <w:t xml:space="preserve"> </w:t>
      </w:r>
      <w:r w:rsidR="00180D31" w:rsidRPr="00180D31">
        <w:rPr>
          <w:color w:val="000000" w:themeColor="text1"/>
        </w:rPr>
        <w:t xml:space="preserve">arī </w:t>
      </w:r>
      <w:r w:rsidRPr="00180D31">
        <w:rPr>
          <w:color w:val="000000" w:themeColor="text1"/>
        </w:rPr>
        <w:t>par divu Krimināllikuma 221.</w:t>
      </w:r>
      <w:r w:rsidRPr="00180D31">
        <w:rPr>
          <w:color w:val="000000" w:themeColor="text1"/>
          <w:vertAlign w:val="superscript"/>
        </w:rPr>
        <w:t>2</w:t>
      </w:r>
      <w:r w:rsidRPr="00180D31">
        <w:rPr>
          <w:color w:val="000000" w:themeColor="text1"/>
        </w:rPr>
        <w:t xml:space="preserve"> panta trešajā daļā paredzētu noziedzīgu nodarījumu izdarīšanu</w:t>
      </w:r>
      <w:r w:rsidR="001B64E1" w:rsidRPr="00180D31">
        <w:rPr>
          <w:color w:val="000000" w:themeColor="text1"/>
        </w:rPr>
        <w:t>.</w:t>
      </w:r>
      <w:r w:rsidRPr="00180D31">
        <w:rPr>
          <w:rFonts w:eastAsia="Calibri"/>
          <w:color w:val="000000" w:themeColor="text1"/>
        </w:rPr>
        <w:t xml:space="preserve"> </w:t>
      </w:r>
    </w:p>
    <w:p w14:paraId="31F58CEA" w14:textId="1C754990" w:rsidR="001B64E1" w:rsidRPr="00180D31" w:rsidRDefault="001B64E1" w:rsidP="00B75930">
      <w:pPr>
        <w:pStyle w:val="tv213"/>
        <w:spacing w:before="0" w:beforeAutospacing="0" w:after="0" w:afterAutospacing="0" w:line="276" w:lineRule="auto"/>
        <w:ind w:firstLine="720"/>
        <w:contextualSpacing/>
        <w:jc w:val="both"/>
        <w:rPr>
          <w:rFonts w:eastAsiaTheme="minorHAnsi"/>
          <w:color w:val="000000" w:themeColor="text1"/>
        </w:rPr>
      </w:pPr>
      <w:r w:rsidRPr="00180D31">
        <w:rPr>
          <w:rFonts w:eastAsiaTheme="minorHAnsi"/>
          <w:color w:val="000000" w:themeColor="text1"/>
        </w:rPr>
        <w:t>Senāts konstatēja, ka divu noziedzīgo nodarījumu faktisko apstākļu izklāsts personas apsūdzībā pēc Krimināllikuma 221.</w:t>
      </w:r>
      <w:r w:rsidRPr="00180D31">
        <w:rPr>
          <w:rFonts w:eastAsiaTheme="minorHAnsi"/>
          <w:color w:val="000000" w:themeColor="text1"/>
          <w:vertAlign w:val="superscript"/>
        </w:rPr>
        <w:t>2 </w:t>
      </w:r>
      <w:r w:rsidRPr="00180D31">
        <w:rPr>
          <w:rFonts w:eastAsiaTheme="minorHAnsi"/>
          <w:color w:val="000000" w:themeColor="text1"/>
        </w:rPr>
        <w:t>panta trešās daļas rada šaubas par noziedzīgo nodarījumu kvalifikāciju pēc diviem atsevišķiem pantiem un atbilstību Krimināllikuma 23. panta pirmajai daļai</w:t>
      </w:r>
      <w:r w:rsidR="00112BD7" w:rsidRPr="00180D31">
        <w:rPr>
          <w:rFonts w:eastAsiaTheme="minorHAnsi"/>
          <w:color w:val="000000" w:themeColor="text1"/>
        </w:rPr>
        <w:t xml:space="preserve"> </w:t>
      </w:r>
      <w:proofErr w:type="gramStart"/>
      <w:r w:rsidR="00112BD7" w:rsidRPr="00180D31">
        <w:rPr>
          <w:rFonts w:eastAsiaTheme="minorHAnsi"/>
          <w:color w:val="000000" w:themeColor="text1"/>
        </w:rPr>
        <w:t>(</w:t>
      </w:r>
      <w:bookmarkStart w:id="21" w:name="_Hlk138067656"/>
      <w:proofErr w:type="gramEnd"/>
      <w:r w:rsidR="00112BD7" w:rsidRPr="00180D31">
        <w:rPr>
          <w:rFonts w:eastAsiaTheme="minorHAnsi"/>
          <w:i/>
          <w:iCs/>
          <w:color w:val="000000" w:themeColor="text1"/>
        </w:rPr>
        <w:t>Senāta 2020. gada 28. maija lēmu</w:t>
      </w:r>
      <w:r w:rsidR="00B6000D" w:rsidRPr="00180D31">
        <w:rPr>
          <w:rFonts w:eastAsiaTheme="minorHAnsi"/>
          <w:i/>
          <w:iCs/>
          <w:color w:val="000000" w:themeColor="text1"/>
        </w:rPr>
        <w:t>ma</w:t>
      </w:r>
      <w:r w:rsidR="00112BD7" w:rsidRPr="00180D31">
        <w:rPr>
          <w:rFonts w:eastAsiaTheme="minorHAnsi"/>
          <w:i/>
          <w:iCs/>
          <w:color w:val="000000" w:themeColor="text1"/>
        </w:rPr>
        <w:t xml:space="preserve"> lietā Nr. SKK-14/2021, </w:t>
      </w:r>
      <w:hyperlink r:id="rId16" w:history="1">
        <w:r w:rsidR="00112BD7" w:rsidRPr="00180D31">
          <w:rPr>
            <w:rStyle w:val="Hyperlink"/>
            <w:rFonts w:eastAsiaTheme="minorHAnsi"/>
            <w:i/>
            <w:iCs/>
            <w:color w:val="000000" w:themeColor="text1"/>
          </w:rPr>
          <w:t>ECLI:LV:AT:2021:0528.11270000219.7.L</w:t>
        </w:r>
      </w:hyperlink>
      <w:r w:rsidR="00B6000D" w:rsidRPr="00180D31">
        <w:rPr>
          <w:rStyle w:val="Hyperlink"/>
          <w:rFonts w:eastAsiaTheme="minorHAnsi"/>
          <w:color w:val="000000" w:themeColor="text1"/>
          <w:u w:val="none"/>
        </w:rPr>
        <w:t xml:space="preserve">, </w:t>
      </w:r>
      <w:bookmarkEnd w:id="21"/>
      <w:r w:rsidR="00B6000D" w:rsidRPr="00180D31">
        <w:rPr>
          <w:rStyle w:val="Hyperlink"/>
          <w:rFonts w:eastAsiaTheme="minorHAnsi"/>
          <w:i/>
          <w:iCs/>
          <w:color w:val="000000" w:themeColor="text1"/>
          <w:u w:val="none"/>
        </w:rPr>
        <w:t>5.4. punkts</w:t>
      </w:r>
      <w:r w:rsidR="00112BD7" w:rsidRPr="00180D31">
        <w:rPr>
          <w:rFonts w:eastAsiaTheme="minorHAnsi"/>
          <w:color w:val="000000" w:themeColor="text1"/>
        </w:rPr>
        <w:t>)</w:t>
      </w:r>
      <w:r w:rsidRPr="00180D31">
        <w:rPr>
          <w:rFonts w:eastAsiaTheme="minorHAnsi"/>
          <w:color w:val="000000" w:themeColor="text1"/>
        </w:rPr>
        <w:t xml:space="preserve">. </w:t>
      </w:r>
    </w:p>
    <w:p w14:paraId="552AA4DF" w14:textId="074ED36A" w:rsidR="003B2D79" w:rsidRPr="008454DA" w:rsidRDefault="001B64E1" w:rsidP="00B75930">
      <w:pPr>
        <w:pStyle w:val="tv213"/>
        <w:spacing w:before="0" w:beforeAutospacing="0" w:after="0" w:afterAutospacing="0" w:line="276" w:lineRule="auto"/>
        <w:ind w:firstLine="720"/>
        <w:contextualSpacing/>
        <w:jc w:val="both"/>
        <w:rPr>
          <w:rFonts w:eastAsiaTheme="minorHAnsi"/>
          <w:lang w:eastAsia="en-US"/>
        </w:rPr>
      </w:pPr>
      <w:r>
        <w:rPr>
          <w:rFonts w:eastAsiaTheme="minorHAnsi"/>
        </w:rPr>
        <w:t xml:space="preserve">Tādējādi </w:t>
      </w:r>
      <w:r w:rsidR="008E701D">
        <w:rPr>
          <w:rFonts w:eastAsiaTheme="minorHAnsi"/>
        </w:rPr>
        <w:t>norādītajā lēmumā</w:t>
      </w:r>
      <w:r>
        <w:rPr>
          <w:rFonts w:eastAsiaTheme="minorHAnsi"/>
        </w:rPr>
        <w:t xml:space="preserve"> </w:t>
      </w:r>
      <w:r w:rsidR="008E701D">
        <w:rPr>
          <w:rFonts w:eastAsiaTheme="minorHAnsi"/>
        </w:rPr>
        <w:t xml:space="preserve">Senāts </w:t>
      </w:r>
      <w:r>
        <w:rPr>
          <w:rFonts w:eastAsiaTheme="minorHAnsi"/>
        </w:rPr>
        <w:t xml:space="preserve">izlēmis jautājumu par noziedzīgo nodarījumu kvalifikāciju kontekstā ar Krimināllikuma 23. panta pirmās daļas prasībām, nevis lēmis jautājumu par nodarījumu kvalifikācijas atbilstību Krimināllikuma 23. panta trešajā daļā paredzētajiem noteikumiem par </w:t>
      </w:r>
      <w:r>
        <w:rPr>
          <w:rFonts w:eastAsiaTheme="minorHAnsi"/>
          <w:lang w:eastAsia="en-US"/>
        </w:rPr>
        <w:t>a</w:t>
      </w:r>
      <w:r w:rsidRPr="00A77A98">
        <w:rPr>
          <w:rFonts w:eastAsiaTheme="minorHAnsi"/>
          <w:lang w:eastAsia="en-US"/>
        </w:rPr>
        <w:t>tsevišķu turpinātu noziedzīgu nodarījumu</w:t>
      </w:r>
      <w:r>
        <w:rPr>
          <w:rFonts w:eastAsiaTheme="minorHAnsi"/>
          <w:lang w:eastAsia="en-US"/>
        </w:rPr>
        <w:t>.</w:t>
      </w:r>
    </w:p>
    <w:p w14:paraId="49A39FAD" w14:textId="4D3209DE" w:rsidR="00012F43" w:rsidRDefault="00C5102F" w:rsidP="00334062">
      <w:pPr>
        <w:pStyle w:val="tv213"/>
        <w:spacing w:line="276" w:lineRule="auto"/>
        <w:ind w:firstLine="720"/>
        <w:contextualSpacing/>
        <w:jc w:val="both"/>
        <w:rPr>
          <w:rFonts w:eastAsiaTheme="minorHAnsi"/>
          <w:lang w:eastAsia="en-US"/>
        </w:rPr>
      </w:pPr>
      <w:r>
        <w:rPr>
          <w:rFonts w:eastAsiaTheme="minorHAnsi"/>
          <w:lang w:eastAsia="en-US"/>
        </w:rPr>
        <w:t>[1</w:t>
      </w:r>
      <w:r w:rsidR="00F3693B">
        <w:rPr>
          <w:rFonts w:eastAsiaTheme="minorHAnsi"/>
          <w:lang w:eastAsia="en-US"/>
        </w:rPr>
        <w:t>0</w:t>
      </w:r>
      <w:r>
        <w:rPr>
          <w:rFonts w:eastAsiaTheme="minorHAnsi"/>
          <w:lang w:eastAsia="en-US"/>
        </w:rPr>
        <w:t>.6] </w:t>
      </w:r>
      <w:r w:rsidRPr="00C5102F">
        <w:rPr>
          <w:rFonts w:eastAsiaTheme="minorHAnsi"/>
          <w:lang w:eastAsia="en-US"/>
        </w:rPr>
        <w:t xml:space="preserve">Senāts </w:t>
      </w:r>
      <w:r w:rsidR="002C662E" w:rsidRPr="002C662E">
        <w:rPr>
          <w:rFonts w:eastAsiaTheme="minorHAnsi"/>
          <w:lang w:eastAsia="en-US"/>
        </w:rPr>
        <w:t xml:space="preserve">konstatē, ka </w:t>
      </w:r>
      <w:r w:rsidR="002C662E">
        <w:rPr>
          <w:rFonts w:eastAsiaTheme="minorHAnsi"/>
          <w:lang w:eastAsia="en-US"/>
        </w:rPr>
        <w:t>apsūdzētā un aizstāvju kasācijas sūdzību argumenti, kas norādīti lēmuma</w:t>
      </w:r>
      <w:r w:rsidR="00157271">
        <w:rPr>
          <w:rFonts w:eastAsiaTheme="minorHAnsi"/>
          <w:lang w:eastAsia="en-US"/>
        </w:rPr>
        <w:t xml:space="preserve"> 4.1.–4.</w:t>
      </w:r>
      <w:r w:rsidR="002519C8">
        <w:rPr>
          <w:rFonts w:eastAsiaTheme="minorHAnsi"/>
          <w:lang w:eastAsia="en-US"/>
        </w:rPr>
        <w:t>8</w:t>
      </w:r>
      <w:r w:rsidR="00157271">
        <w:rPr>
          <w:rFonts w:eastAsiaTheme="minorHAnsi"/>
          <w:lang w:eastAsia="en-US"/>
        </w:rPr>
        <w:t>., 5.1.</w:t>
      </w:r>
      <w:r w:rsidR="00157271" w:rsidRPr="00181757">
        <w:rPr>
          <w:rFonts w:eastAsiaTheme="minorHAnsi"/>
          <w:lang w:eastAsia="en-US"/>
        </w:rPr>
        <w:t>, 6.2.–6.</w:t>
      </w:r>
      <w:r w:rsidR="003A23F6" w:rsidRPr="00181757">
        <w:rPr>
          <w:rFonts w:eastAsiaTheme="minorHAnsi"/>
          <w:lang w:eastAsia="en-US"/>
        </w:rPr>
        <w:t>1</w:t>
      </w:r>
      <w:r w:rsidR="007C014F" w:rsidRPr="00181757">
        <w:rPr>
          <w:rFonts w:eastAsiaTheme="minorHAnsi"/>
          <w:lang w:eastAsia="en-US"/>
        </w:rPr>
        <w:t>1</w:t>
      </w:r>
      <w:r w:rsidR="00157271" w:rsidRPr="00181757">
        <w:rPr>
          <w:rFonts w:eastAsiaTheme="minorHAnsi"/>
          <w:lang w:eastAsia="en-US"/>
        </w:rPr>
        <w:t xml:space="preserve">. punktā, ir saistīti ar </w:t>
      </w:r>
      <w:r w:rsidR="00B80BF1" w:rsidRPr="00181757">
        <w:rPr>
          <w:rFonts w:eastAsiaTheme="minorHAnsi"/>
          <w:lang w:eastAsia="en-US"/>
        </w:rPr>
        <w:t>sūdzību iesniedzēju</w:t>
      </w:r>
      <w:r w:rsidR="00157271" w:rsidRPr="00181757">
        <w:rPr>
          <w:rFonts w:eastAsiaTheme="minorHAnsi"/>
          <w:lang w:eastAsia="en-US"/>
        </w:rPr>
        <w:t xml:space="preserve"> nepiekrišanu tam pierādījumu izvērtējumam,</w:t>
      </w:r>
      <w:r w:rsidR="00157271">
        <w:rPr>
          <w:rFonts w:eastAsiaTheme="minorHAnsi"/>
          <w:lang w:eastAsia="en-US"/>
        </w:rPr>
        <w:t xml:space="preserve"> kādu </w:t>
      </w:r>
      <w:r w:rsidR="00D76746">
        <w:rPr>
          <w:rFonts w:eastAsiaTheme="minorHAnsi"/>
          <w:lang w:eastAsia="en-US"/>
        </w:rPr>
        <w:t>nolēmumos</w:t>
      </w:r>
      <w:r w:rsidR="00157271">
        <w:rPr>
          <w:rFonts w:eastAsiaTheme="minorHAnsi"/>
          <w:lang w:eastAsia="en-US"/>
        </w:rPr>
        <w:t xml:space="preserve"> snieg</w:t>
      </w:r>
      <w:r w:rsidR="00D76746">
        <w:rPr>
          <w:rFonts w:eastAsiaTheme="minorHAnsi"/>
          <w:lang w:eastAsia="en-US"/>
        </w:rPr>
        <w:t>ušas</w:t>
      </w:r>
      <w:r w:rsidR="00012F43">
        <w:rPr>
          <w:rFonts w:eastAsiaTheme="minorHAnsi"/>
          <w:lang w:eastAsia="en-US"/>
        </w:rPr>
        <w:t xml:space="preserve"> </w:t>
      </w:r>
      <w:r w:rsidR="00D76746">
        <w:rPr>
          <w:rFonts w:eastAsiaTheme="minorHAnsi"/>
          <w:lang w:eastAsia="en-US"/>
        </w:rPr>
        <w:t xml:space="preserve">pirmās un apelācijas instances </w:t>
      </w:r>
      <w:r w:rsidR="00157271">
        <w:rPr>
          <w:rFonts w:eastAsiaTheme="minorHAnsi"/>
          <w:lang w:eastAsia="en-US"/>
        </w:rPr>
        <w:t>tiesa</w:t>
      </w:r>
      <w:r w:rsidR="00D76746">
        <w:rPr>
          <w:rFonts w:eastAsiaTheme="minorHAnsi"/>
          <w:lang w:eastAsia="en-US"/>
        </w:rPr>
        <w:t>s</w:t>
      </w:r>
      <w:r w:rsidR="00012F43">
        <w:rPr>
          <w:rFonts w:eastAsiaTheme="minorHAnsi"/>
          <w:lang w:eastAsia="en-US"/>
        </w:rPr>
        <w:t>.</w:t>
      </w:r>
      <w:r w:rsidR="00334062" w:rsidRPr="00334062">
        <w:t xml:space="preserve"> </w:t>
      </w:r>
      <w:r w:rsidR="003227C6">
        <w:rPr>
          <w:rFonts w:eastAsiaTheme="minorHAnsi"/>
          <w:lang w:eastAsia="en-US"/>
        </w:rPr>
        <w:t>[Pers.</w:t>
      </w:r>
      <w:r w:rsidR="00353390">
        <w:rPr>
          <w:rFonts w:eastAsiaTheme="minorHAnsi"/>
          <w:lang w:eastAsia="en-US"/>
        </w:rPr>
        <w:t> </w:t>
      </w:r>
      <w:r w:rsidR="003227C6">
        <w:rPr>
          <w:rFonts w:eastAsiaTheme="minorHAnsi"/>
        </w:rPr>
        <w:t>A]</w:t>
      </w:r>
      <w:r w:rsidR="00334062">
        <w:rPr>
          <w:rFonts w:eastAsiaTheme="minorHAnsi"/>
          <w:lang w:eastAsia="en-US"/>
        </w:rPr>
        <w:t xml:space="preserve"> un viņa aizstāvju </w:t>
      </w:r>
      <w:r w:rsidR="00334062" w:rsidRPr="00334062">
        <w:rPr>
          <w:rFonts w:eastAsiaTheme="minorHAnsi"/>
          <w:lang w:eastAsia="en-US"/>
        </w:rPr>
        <w:t>subjektīvais viedoklis par lietā iegūto pierādījumu</w:t>
      </w:r>
      <w:r w:rsidR="00334062">
        <w:rPr>
          <w:rFonts w:eastAsiaTheme="minorHAnsi"/>
          <w:lang w:eastAsia="en-US"/>
        </w:rPr>
        <w:t xml:space="preserve"> </w:t>
      </w:r>
      <w:r w:rsidR="00334062" w:rsidRPr="00334062">
        <w:rPr>
          <w:rFonts w:eastAsiaTheme="minorHAnsi"/>
          <w:lang w:eastAsia="en-US"/>
        </w:rPr>
        <w:t>novērtējumu, ja tiesa pierādījumu novērtēšanā nav pieļāvusi Kriminālprocesa likuma būtiskus</w:t>
      </w:r>
      <w:r w:rsidR="00334062">
        <w:rPr>
          <w:rFonts w:eastAsiaTheme="minorHAnsi"/>
          <w:lang w:eastAsia="en-US"/>
        </w:rPr>
        <w:t xml:space="preserve"> </w:t>
      </w:r>
      <w:r w:rsidR="00334062" w:rsidRPr="00334062">
        <w:rPr>
          <w:rFonts w:eastAsiaTheme="minorHAnsi"/>
          <w:lang w:eastAsia="en-US"/>
        </w:rPr>
        <w:t>pārkāpumus, nevar būt par pamatu apelācijas instances tiesas nolēmuma atcelšanai.</w:t>
      </w:r>
    </w:p>
    <w:p w14:paraId="58F691C2" w14:textId="373D201E" w:rsidR="00334062" w:rsidRDefault="00012F43" w:rsidP="00334062">
      <w:pPr>
        <w:pStyle w:val="tv213"/>
        <w:spacing w:line="276" w:lineRule="auto"/>
        <w:ind w:firstLine="720"/>
        <w:contextualSpacing/>
        <w:jc w:val="both"/>
        <w:rPr>
          <w:rFonts w:eastAsiaTheme="minorHAnsi"/>
          <w:lang w:eastAsia="en-US"/>
        </w:rPr>
      </w:pPr>
      <w:r>
        <w:t xml:space="preserve">Senāts jau iepriekš vairākkārt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proofErr w:type="gramStart"/>
      <w:r>
        <w:t>(</w:t>
      </w:r>
      <w:bookmarkStart w:id="22" w:name="_Hlk138067723"/>
      <w:proofErr w:type="gramEnd"/>
      <w:r w:rsidRPr="00C27078">
        <w:rPr>
          <w:i/>
          <w:iCs/>
        </w:rPr>
        <w:t xml:space="preserve">Senāta 2016. gada 17. marta lēmums lietā Nr. </w:t>
      </w:r>
      <w:hyperlink r:id="rId17" w:history="1">
        <w:r w:rsidRPr="00592992">
          <w:rPr>
            <w:rStyle w:val="Hyperlink"/>
            <w:i/>
            <w:iCs/>
          </w:rPr>
          <w:t>SKK-J-10/2016</w:t>
        </w:r>
      </w:hyperlink>
      <w:r w:rsidR="00592992">
        <w:rPr>
          <w:i/>
          <w:iCs/>
        </w:rPr>
        <w:t xml:space="preserve">, 11810039108, </w:t>
      </w:r>
      <w:r w:rsidRPr="00C27078">
        <w:rPr>
          <w:i/>
          <w:iCs/>
        </w:rPr>
        <w:t>2019. gada 27. decembra lēmum</w:t>
      </w:r>
      <w:r w:rsidR="00F44A2E">
        <w:rPr>
          <w:i/>
          <w:iCs/>
        </w:rPr>
        <w:t>a</w:t>
      </w:r>
      <w:r w:rsidRPr="00C27078">
        <w:rPr>
          <w:i/>
          <w:iCs/>
        </w:rPr>
        <w:t xml:space="preserve"> lietā Nr. SKK-433/2019</w:t>
      </w:r>
      <w:r w:rsidR="00A835FB">
        <w:rPr>
          <w:i/>
          <w:iCs/>
        </w:rPr>
        <w:t xml:space="preserve">, </w:t>
      </w:r>
      <w:hyperlink r:id="rId18" w:history="1">
        <w:r w:rsidRPr="00A835FB">
          <w:rPr>
            <w:rStyle w:val="Hyperlink"/>
            <w:i/>
            <w:iCs/>
          </w:rPr>
          <w:t>ECLI:LV:AT:2019:1227.11089238414.8.L</w:t>
        </w:r>
      </w:hyperlink>
      <w:r w:rsidR="003840B8">
        <w:rPr>
          <w:rStyle w:val="Hyperlink"/>
          <w:u w:val="none"/>
        </w:rPr>
        <w:t xml:space="preserve">, </w:t>
      </w:r>
      <w:r w:rsidR="003840B8" w:rsidRPr="00180D31">
        <w:rPr>
          <w:rStyle w:val="Hyperlink"/>
          <w:i/>
          <w:iCs/>
          <w:color w:val="000000" w:themeColor="text1"/>
          <w:u w:val="none"/>
        </w:rPr>
        <w:t>9. punkts</w:t>
      </w:r>
      <w:bookmarkEnd w:id="22"/>
      <w:r w:rsidRPr="00180D31">
        <w:rPr>
          <w:color w:val="000000" w:themeColor="text1"/>
        </w:rPr>
        <w:t xml:space="preserve">). </w:t>
      </w:r>
      <w:r>
        <w:t xml:space="preserve">Kasācijas instances tiesa atbilstoši Kriminālprocesa likuma 569.panta </w:t>
      </w:r>
      <w:r w:rsidRPr="00012F43">
        <w:rPr>
          <w:rFonts w:eastAsiaTheme="minorHAnsi"/>
          <w:lang w:eastAsia="en-US"/>
        </w:rPr>
        <w:t>pirmajai un trešajai daļai krimināllietu pēc būtības neiztiesā, lietas faktiskos apstākļus</w:t>
      </w:r>
      <w:r>
        <w:rPr>
          <w:rFonts w:eastAsiaTheme="minorHAnsi"/>
          <w:lang w:eastAsia="en-US"/>
        </w:rPr>
        <w:t xml:space="preserve"> </w:t>
      </w:r>
      <w:r w:rsidRPr="00012F43">
        <w:rPr>
          <w:rFonts w:eastAsiaTheme="minorHAnsi"/>
          <w:lang w:eastAsia="en-US"/>
        </w:rPr>
        <w:t>neskaidro un pierādījumus lietā no jauna neizvērtē.</w:t>
      </w:r>
    </w:p>
    <w:p w14:paraId="6C25A919" w14:textId="02E2FBE8" w:rsidR="002519C8" w:rsidRDefault="002519C8" w:rsidP="009308DE">
      <w:pPr>
        <w:pStyle w:val="tv213"/>
        <w:spacing w:line="276" w:lineRule="auto"/>
        <w:ind w:firstLine="720"/>
        <w:contextualSpacing/>
        <w:jc w:val="both"/>
        <w:rPr>
          <w:rFonts w:eastAsiaTheme="minorHAnsi"/>
          <w:lang w:eastAsia="en-US"/>
        </w:rPr>
      </w:pPr>
      <w:r w:rsidRPr="00A66872">
        <w:rPr>
          <w:rFonts w:eastAsiaTheme="minorHAnsi"/>
          <w:lang w:eastAsia="en-US"/>
        </w:rPr>
        <w:t>[10.7] </w:t>
      </w:r>
      <w:r w:rsidR="003227C6">
        <w:rPr>
          <w:rFonts w:eastAsiaTheme="minorHAnsi"/>
          <w:lang w:eastAsia="en-US"/>
        </w:rPr>
        <w:t>[Pers. A]</w:t>
      </w:r>
      <w:r w:rsidRPr="00A66872">
        <w:rPr>
          <w:rFonts w:eastAsiaTheme="minorHAnsi"/>
          <w:lang w:eastAsia="en-US"/>
        </w:rPr>
        <w:t xml:space="preserve"> kasācijas sūdzībā pausto argumentu, ka apelācijas instances tiesa nepamatoti nav analizējusi citu personu atbildību viņam inkriminētajos noziedzīgajos nodarījumos (lēmuma 6.12. punkts), nav pamatojis ar norādi uz tiesas pieļautu Kriminālprocesa likuma normu pārkāpumu. </w:t>
      </w:r>
    </w:p>
    <w:p w14:paraId="47E03D7B" w14:textId="77777777" w:rsidR="00334062" w:rsidRDefault="00334062" w:rsidP="002519C8">
      <w:pPr>
        <w:pStyle w:val="tv213"/>
        <w:spacing w:line="276" w:lineRule="auto"/>
        <w:contextualSpacing/>
        <w:jc w:val="both"/>
        <w:rPr>
          <w:rFonts w:eastAsiaTheme="minorHAnsi"/>
          <w:lang w:eastAsia="en-US"/>
        </w:rPr>
      </w:pPr>
    </w:p>
    <w:p w14:paraId="0E1E7703" w14:textId="17452D4F" w:rsidR="001210B9" w:rsidRPr="00FC2C72" w:rsidRDefault="00334062" w:rsidP="00FC2C72">
      <w:pPr>
        <w:pStyle w:val="tv213"/>
        <w:spacing w:line="276" w:lineRule="auto"/>
        <w:ind w:firstLine="720"/>
        <w:contextualSpacing/>
        <w:jc w:val="both"/>
        <w:rPr>
          <w:rFonts w:eastAsiaTheme="minorHAnsi"/>
          <w:lang w:eastAsia="en-US"/>
        </w:rPr>
      </w:pPr>
      <w:r>
        <w:rPr>
          <w:rFonts w:eastAsiaTheme="minorHAnsi"/>
          <w:lang w:eastAsia="en-US"/>
        </w:rPr>
        <w:t>[11] </w:t>
      </w:r>
      <w:r w:rsidR="00012F43" w:rsidRPr="00012F43">
        <w:rPr>
          <w:rFonts w:eastAsiaTheme="minorHAnsi"/>
          <w:lang w:eastAsia="en-US"/>
        </w:rPr>
        <w:t xml:space="preserve">Senāts atzīst, ka apelācijas instances tiesa </w:t>
      </w:r>
      <w:r w:rsidR="00C27078">
        <w:rPr>
          <w:rFonts w:eastAsiaTheme="minorHAnsi"/>
          <w:lang w:eastAsia="en-US"/>
        </w:rPr>
        <w:t xml:space="preserve">apsūdzētā vainīgumu viņam inkriminētajos trīs noziedzīgajos nodarījums </w:t>
      </w:r>
      <w:r w:rsidR="00012F43">
        <w:rPr>
          <w:rFonts w:eastAsiaTheme="minorHAnsi"/>
          <w:lang w:eastAsia="en-US"/>
        </w:rPr>
        <w:t>ir</w:t>
      </w:r>
      <w:r w:rsidR="00C27078">
        <w:rPr>
          <w:rFonts w:eastAsiaTheme="minorHAnsi"/>
          <w:lang w:eastAsia="en-US"/>
        </w:rPr>
        <w:t xml:space="preserve"> pamatojusi ar</w:t>
      </w:r>
      <w:r>
        <w:rPr>
          <w:rFonts w:eastAsiaTheme="minorHAnsi"/>
          <w:lang w:eastAsia="en-US"/>
        </w:rPr>
        <w:t xml:space="preserve"> Kriminālprocesa likumam atbilstošu</w:t>
      </w:r>
      <w:r w:rsidR="00C27078">
        <w:rPr>
          <w:rFonts w:eastAsiaTheme="minorHAnsi"/>
          <w:lang w:eastAsia="en-US"/>
        </w:rPr>
        <w:t xml:space="preserve"> </w:t>
      </w:r>
      <w:r w:rsidR="00012F43" w:rsidRPr="00012F43">
        <w:rPr>
          <w:rFonts w:eastAsiaTheme="minorHAnsi"/>
          <w:lang w:eastAsia="en-US"/>
        </w:rPr>
        <w:t xml:space="preserve">lietā </w:t>
      </w:r>
      <w:r w:rsidR="00C27078">
        <w:rPr>
          <w:rFonts w:eastAsiaTheme="minorHAnsi"/>
          <w:lang w:eastAsia="en-US"/>
        </w:rPr>
        <w:t>iegūto</w:t>
      </w:r>
      <w:r w:rsidR="00012F43" w:rsidRPr="00012F43">
        <w:rPr>
          <w:rFonts w:eastAsiaTheme="minorHAnsi"/>
          <w:lang w:eastAsia="en-US"/>
        </w:rPr>
        <w:t xml:space="preserve"> pierādījumu</w:t>
      </w:r>
      <w:r w:rsidR="00C27078">
        <w:rPr>
          <w:rFonts w:eastAsiaTheme="minorHAnsi"/>
          <w:lang w:eastAsia="en-US"/>
        </w:rPr>
        <w:t xml:space="preserve"> izvērtējumu, kā arī sniegusi atbilde</w:t>
      </w:r>
      <w:r>
        <w:rPr>
          <w:rFonts w:eastAsiaTheme="minorHAnsi"/>
          <w:lang w:eastAsia="en-US"/>
        </w:rPr>
        <w:t>s</w:t>
      </w:r>
      <w:r w:rsidR="00C27078">
        <w:rPr>
          <w:rFonts w:eastAsiaTheme="minorHAnsi"/>
          <w:lang w:eastAsia="en-US"/>
        </w:rPr>
        <w:t xml:space="preserve"> uz būtiskiem apelācijas sūdzību argumentiem. A</w:t>
      </w:r>
      <w:r w:rsidR="00C27078" w:rsidRPr="00C27078">
        <w:rPr>
          <w:rFonts w:eastAsiaTheme="minorHAnsi"/>
          <w:lang w:eastAsia="en-US"/>
        </w:rPr>
        <w:t xml:space="preserve">pelācijas instances tiesas spriedums </w:t>
      </w:r>
      <w:r w:rsidR="00C27078">
        <w:rPr>
          <w:rFonts w:eastAsiaTheme="minorHAnsi"/>
          <w:lang w:eastAsia="en-US"/>
        </w:rPr>
        <w:t xml:space="preserve">šajā daļā </w:t>
      </w:r>
      <w:r w:rsidR="00C27078" w:rsidRPr="00C27078">
        <w:rPr>
          <w:rFonts w:eastAsiaTheme="minorHAnsi"/>
          <w:lang w:eastAsia="en-US"/>
        </w:rPr>
        <w:t>atbilst</w:t>
      </w:r>
      <w:r w:rsidR="00C27078">
        <w:rPr>
          <w:rFonts w:eastAsiaTheme="minorHAnsi"/>
          <w:lang w:eastAsia="en-US"/>
        </w:rPr>
        <w:t xml:space="preserve"> </w:t>
      </w:r>
      <w:r w:rsidR="00C27078" w:rsidRPr="00C27078">
        <w:rPr>
          <w:rFonts w:eastAsiaTheme="minorHAnsi"/>
          <w:lang w:eastAsia="en-US"/>
        </w:rPr>
        <w:t>Kriminālprocesa likuma 511.</w:t>
      </w:r>
      <w:r w:rsidR="003840B8">
        <w:rPr>
          <w:rFonts w:eastAsiaTheme="minorHAnsi"/>
          <w:lang w:eastAsia="en-US"/>
        </w:rPr>
        <w:t> </w:t>
      </w:r>
      <w:r w:rsidR="00C27078" w:rsidRPr="00C27078">
        <w:rPr>
          <w:rFonts w:eastAsiaTheme="minorHAnsi"/>
          <w:lang w:eastAsia="en-US"/>
        </w:rPr>
        <w:t>panta otrās daļas, 512.</w:t>
      </w:r>
      <w:r w:rsidR="003840B8">
        <w:rPr>
          <w:rFonts w:eastAsiaTheme="minorHAnsi"/>
          <w:lang w:eastAsia="en-US"/>
        </w:rPr>
        <w:t> </w:t>
      </w:r>
      <w:r w:rsidR="00C27078" w:rsidRPr="00C27078">
        <w:rPr>
          <w:rFonts w:eastAsiaTheme="minorHAnsi"/>
          <w:lang w:eastAsia="en-US"/>
        </w:rPr>
        <w:t xml:space="preserve">panta </w:t>
      </w:r>
      <w:r w:rsidR="00C27078">
        <w:rPr>
          <w:rFonts w:eastAsiaTheme="minorHAnsi"/>
          <w:lang w:eastAsia="en-US"/>
        </w:rPr>
        <w:t xml:space="preserve">un </w:t>
      </w:r>
      <w:r w:rsidR="00C27078" w:rsidRPr="00C27078">
        <w:rPr>
          <w:rFonts w:eastAsiaTheme="minorHAnsi"/>
          <w:lang w:eastAsia="en-US"/>
        </w:rPr>
        <w:t>564.</w:t>
      </w:r>
      <w:r w:rsidR="00C27078">
        <w:rPr>
          <w:rFonts w:eastAsiaTheme="minorHAnsi"/>
          <w:lang w:eastAsia="en-US"/>
        </w:rPr>
        <w:t> </w:t>
      </w:r>
      <w:r w:rsidR="00C27078" w:rsidRPr="00C27078">
        <w:rPr>
          <w:rFonts w:eastAsiaTheme="minorHAnsi"/>
          <w:lang w:eastAsia="en-US"/>
        </w:rPr>
        <w:t>panta ceturtās daļas prasībām.</w:t>
      </w:r>
    </w:p>
    <w:p w14:paraId="3F57D7CB" w14:textId="30CFA6B6" w:rsidR="00D6659F" w:rsidRDefault="001210B9" w:rsidP="00672E1D">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eastAsiaTheme="minorHAnsi" w:cstheme="minorBidi"/>
          <w:szCs w:val="22"/>
          <w:lang w:eastAsia="en-US"/>
        </w:rPr>
        <w:t>[1</w:t>
      </w:r>
      <w:r w:rsidR="00FC2C72">
        <w:rPr>
          <w:rFonts w:eastAsiaTheme="minorHAnsi" w:cstheme="minorBidi"/>
          <w:szCs w:val="22"/>
          <w:lang w:eastAsia="en-US"/>
        </w:rPr>
        <w:t>2</w:t>
      </w:r>
      <w:r>
        <w:rPr>
          <w:rFonts w:eastAsiaTheme="minorHAnsi" w:cstheme="minorBidi"/>
          <w:szCs w:val="22"/>
          <w:lang w:eastAsia="en-US"/>
        </w:rPr>
        <w:t>] </w:t>
      </w:r>
      <w:r w:rsidR="005350B4">
        <w:rPr>
          <w:rFonts w:eastAsiaTheme="minorHAnsi" w:cstheme="minorBidi"/>
          <w:szCs w:val="22"/>
          <w:lang w:eastAsia="en-US"/>
        </w:rPr>
        <w:t xml:space="preserve">Apelācijas instances tiesa atstājusi negrozītu apsūdzētajam </w:t>
      </w:r>
      <w:r w:rsidR="003227C6">
        <w:rPr>
          <w:rFonts w:eastAsiaTheme="minorHAnsi" w:cstheme="minorBidi"/>
          <w:szCs w:val="22"/>
          <w:lang w:eastAsia="en-US"/>
        </w:rPr>
        <w:t>[pers. </w:t>
      </w:r>
      <w:r w:rsidR="003227C6">
        <w:rPr>
          <w:rFonts w:eastAsiaTheme="minorHAnsi"/>
        </w:rPr>
        <w:t>A]</w:t>
      </w:r>
      <w:r w:rsidR="005350B4">
        <w:rPr>
          <w:rFonts w:eastAsiaTheme="minorHAnsi" w:cstheme="minorBidi"/>
          <w:szCs w:val="22"/>
          <w:lang w:eastAsia="en-US"/>
        </w:rPr>
        <w:t xml:space="preserve"> piemēroto</w:t>
      </w:r>
      <w:r w:rsidR="00672E1D">
        <w:rPr>
          <w:rFonts w:eastAsiaTheme="minorHAnsi" w:cstheme="minorBidi"/>
          <w:szCs w:val="22"/>
          <w:lang w:eastAsia="en-US"/>
        </w:rPr>
        <w:t>s</w:t>
      </w:r>
      <w:r w:rsidR="005350B4">
        <w:rPr>
          <w:rFonts w:eastAsiaTheme="minorHAnsi" w:cstheme="minorBidi"/>
          <w:szCs w:val="22"/>
          <w:lang w:eastAsia="en-US"/>
        </w:rPr>
        <w:t xml:space="preserve"> drošības </w:t>
      </w:r>
      <w:r w:rsidR="00672E1D">
        <w:rPr>
          <w:rFonts w:eastAsiaTheme="minorHAnsi" w:cstheme="minorBidi"/>
          <w:szCs w:val="22"/>
          <w:lang w:eastAsia="en-US"/>
        </w:rPr>
        <w:t>līdzekļus</w:t>
      </w:r>
      <w:r w:rsidR="005350B4">
        <w:rPr>
          <w:rFonts w:eastAsiaTheme="minorHAnsi" w:cstheme="minorBidi"/>
          <w:szCs w:val="22"/>
          <w:lang w:eastAsia="en-US"/>
        </w:rPr>
        <w:t> </w:t>
      </w:r>
      <w:r w:rsidR="005350B4">
        <w:t>– noteiktas nodarbošanās aizliegumu,</w:t>
      </w:r>
      <w:r w:rsidR="00672E1D" w:rsidRPr="00672E1D">
        <w:rPr>
          <w:rFonts w:ascii="TimesNewRomanPSMT" w:eastAsiaTheme="minorHAnsi" w:hAnsi="TimesNewRomanPSMT" w:cs="TimesNewRomanPSMT"/>
          <w:lang w:eastAsia="en-US"/>
        </w:rPr>
        <w:t xml:space="preserve"> </w:t>
      </w:r>
      <w:r w:rsidR="00672E1D" w:rsidRPr="001B7165">
        <w:rPr>
          <w:rFonts w:ascii="TimesNewRomanPSMT" w:eastAsiaTheme="minorHAnsi" w:hAnsi="TimesNewRomanPSMT" w:cs="TimesNewRomanPSMT"/>
          <w:lang w:eastAsia="en-US"/>
        </w:rPr>
        <w:t>aizlie</w:t>
      </w:r>
      <w:r w:rsidR="00672E1D">
        <w:rPr>
          <w:rFonts w:ascii="TimesNewRomanPSMT" w:eastAsiaTheme="minorHAnsi" w:hAnsi="TimesNewRomanPSMT" w:cs="TimesNewRomanPSMT"/>
          <w:lang w:eastAsia="en-US"/>
        </w:rPr>
        <w:t>dzot</w:t>
      </w:r>
      <w:r w:rsidR="00672E1D" w:rsidRPr="001B7165">
        <w:rPr>
          <w:rFonts w:ascii="TimesNewRomanPSMT" w:eastAsiaTheme="minorHAnsi" w:hAnsi="TimesNewRomanPSMT" w:cs="TimesNewRomanPSMT"/>
          <w:lang w:eastAsia="en-US"/>
        </w:rPr>
        <w:t xml:space="preserve"> veikt sertificēta maksātnespējas procesa administratora</w:t>
      </w:r>
      <w:r w:rsidR="00672E1D">
        <w:rPr>
          <w:rFonts w:ascii="TimesNewRomanPSMT" w:eastAsiaTheme="minorHAnsi" w:hAnsi="TimesNewRomanPSMT" w:cs="TimesNewRomanPSMT"/>
          <w:lang w:eastAsia="en-US"/>
        </w:rPr>
        <w:t xml:space="preserve"> </w:t>
      </w:r>
      <w:r w:rsidR="00672E1D" w:rsidRPr="001B7165">
        <w:rPr>
          <w:rFonts w:ascii="TimesNewRomanPSMT" w:eastAsiaTheme="minorHAnsi" w:hAnsi="TimesNewRomanPSMT" w:cs="TimesNewRomanPSMT"/>
          <w:lang w:eastAsia="en-US"/>
        </w:rPr>
        <w:t>pienākumus</w:t>
      </w:r>
      <w:r w:rsidR="00672E1D">
        <w:rPr>
          <w:rFonts w:ascii="TimesNewRomanPSMT" w:eastAsiaTheme="minorHAnsi" w:hAnsi="TimesNewRomanPSMT" w:cs="TimesNewRomanPSMT"/>
          <w:lang w:eastAsia="en-US"/>
        </w:rPr>
        <w:t xml:space="preserve">, un </w:t>
      </w:r>
      <w:r w:rsidR="00672E1D" w:rsidRPr="001B7165">
        <w:rPr>
          <w:rFonts w:ascii="TimesNewRomanPSMT" w:eastAsiaTheme="minorHAnsi" w:hAnsi="TimesNewRomanPSMT" w:cs="TimesNewRomanPSMT"/>
          <w:lang w:eastAsia="en-US"/>
        </w:rPr>
        <w:t>aizliegumu izbraukt no valsts</w:t>
      </w:r>
      <w:r w:rsidR="00672E1D">
        <w:rPr>
          <w:rFonts w:ascii="TimesNewRomanPSMT" w:eastAsiaTheme="minorHAnsi" w:hAnsi="TimesNewRomanPSMT" w:cs="TimesNewRomanPSMT"/>
          <w:lang w:eastAsia="en-US"/>
        </w:rPr>
        <w:t xml:space="preserve">. </w:t>
      </w:r>
      <w:r w:rsidR="005350B4">
        <w:rPr>
          <w:rFonts w:ascii="TimesNewRomanPSMT" w:eastAsiaTheme="minorHAnsi" w:hAnsi="TimesNewRomanPSMT" w:cs="TimesNewRomanPSMT"/>
          <w:lang w:eastAsia="en-US"/>
        </w:rPr>
        <w:t xml:space="preserve">Senāts atzīst, ka minētie drošības līdzekļi ir samērīgi un to piemērošanas turpināšana nepamatoti neierobežos apsūdzētā </w:t>
      </w:r>
      <w:r w:rsidR="003227C6">
        <w:rPr>
          <w:rFonts w:ascii="TimesNewRomanPSMT" w:eastAsiaTheme="minorHAnsi" w:hAnsi="TimesNewRomanPSMT" w:cs="TimesNewRomanPSMT"/>
          <w:lang w:eastAsia="en-US"/>
        </w:rPr>
        <w:t>[pers. A]</w:t>
      </w:r>
      <w:r w:rsidR="005350B4">
        <w:rPr>
          <w:rFonts w:ascii="TimesNewRomanPSMT" w:eastAsiaTheme="minorHAnsi" w:hAnsi="TimesNewRomanPSMT" w:cs="TimesNewRomanPSMT"/>
          <w:lang w:eastAsia="en-US"/>
        </w:rPr>
        <w:t xml:space="preserve"> pamattiesības.</w:t>
      </w:r>
    </w:p>
    <w:p w14:paraId="5F680DB8" w14:textId="35E3259C" w:rsidR="001B7165" w:rsidRDefault="001B7165" w:rsidP="001B7165">
      <w:pPr>
        <w:spacing w:line="276" w:lineRule="auto"/>
        <w:ind w:right="-1" w:firstLine="720"/>
        <w:jc w:val="both"/>
        <w:rPr>
          <w:rFonts w:ascii="TimesNewRomanPSMT" w:eastAsiaTheme="minorHAnsi" w:hAnsi="TimesNewRomanPSMT" w:cs="TimesNewRomanPSMT"/>
          <w:lang w:eastAsia="en-US"/>
        </w:rPr>
      </w:pPr>
    </w:p>
    <w:p w14:paraId="63BE9AF5" w14:textId="4FC5C02B" w:rsidR="001B7165" w:rsidRDefault="001B7165" w:rsidP="001B7165">
      <w:pPr>
        <w:autoSpaceDE w:val="0"/>
        <w:autoSpaceDN w:val="0"/>
        <w:adjustRightInd w:val="0"/>
        <w:spacing w:line="276" w:lineRule="auto"/>
        <w:jc w:val="center"/>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Rezolutīvā daļa</w:t>
      </w:r>
    </w:p>
    <w:p w14:paraId="706A1A5E" w14:textId="77777777" w:rsidR="001B7165" w:rsidRDefault="001B7165" w:rsidP="001B7165">
      <w:pPr>
        <w:autoSpaceDE w:val="0"/>
        <w:autoSpaceDN w:val="0"/>
        <w:adjustRightInd w:val="0"/>
        <w:spacing w:line="276" w:lineRule="auto"/>
        <w:jc w:val="center"/>
        <w:rPr>
          <w:rFonts w:ascii="TimesNewRomanPS-BoldMT" w:eastAsiaTheme="minorHAnsi" w:hAnsi="TimesNewRomanPS-BoldMT" w:cs="TimesNewRomanPS-BoldMT"/>
          <w:b/>
          <w:bCs/>
          <w:lang w:eastAsia="en-US"/>
        </w:rPr>
      </w:pPr>
    </w:p>
    <w:p w14:paraId="224B870B" w14:textId="7753FAD6" w:rsidR="001B7165" w:rsidRDefault="001B7165" w:rsidP="001B7165">
      <w:pPr>
        <w:autoSpaceDE w:val="0"/>
        <w:autoSpaceDN w:val="0"/>
        <w:adjustRightInd w:val="0"/>
        <w:spacing w:line="276" w:lineRule="auto"/>
        <w:ind w:firstLine="720"/>
        <w:rPr>
          <w:rFonts w:ascii="TimesNewRomanPSMT" w:eastAsiaTheme="minorHAnsi" w:hAnsi="TimesNewRomanPSMT" w:cs="TimesNewRomanPSMT"/>
          <w:lang w:eastAsia="en-US"/>
        </w:rPr>
      </w:pPr>
      <w:r>
        <w:rPr>
          <w:rFonts w:ascii="TimesNewRomanPSMT" w:eastAsiaTheme="minorHAnsi" w:hAnsi="TimesNewRomanPSMT" w:cs="TimesNewRomanPSMT"/>
          <w:lang w:eastAsia="en-US"/>
        </w:rPr>
        <w:t>Pamatojoties uz Kriminālprocesa likuma 585. un 587. pantu, Senāts</w:t>
      </w:r>
    </w:p>
    <w:p w14:paraId="6BCADD20" w14:textId="77777777" w:rsidR="001B7165" w:rsidRDefault="001B7165" w:rsidP="001B7165">
      <w:pPr>
        <w:autoSpaceDE w:val="0"/>
        <w:autoSpaceDN w:val="0"/>
        <w:adjustRightInd w:val="0"/>
        <w:spacing w:line="276" w:lineRule="auto"/>
        <w:ind w:firstLine="720"/>
        <w:rPr>
          <w:rFonts w:ascii="TimesNewRomanPSMT" w:eastAsiaTheme="minorHAnsi" w:hAnsi="TimesNewRomanPSMT" w:cs="TimesNewRomanPSMT"/>
          <w:lang w:eastAsia="en-US"/>
        </w:rPr>
      </w:pPr>
    </w:p>
    <w:p w14:paraId="468862E6" w14:textId="16D55424" w:rsidR="001B7165" w:rsidRDefault="001B7165" w:rsidP="001B7165">
      <w:pPr>
        <w:autoSpaceDE w:val="0"/>
        <w:autoSpaceDN w:val="0"/>
        <w:adjustRightInd w:val="0"/>
        <w:spacing w:line="276" w:lineRule="auto"/>
        <w:jc w:val="center"/>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nolēma</w:t>
      </w:r>
    </w:p>
    <w:p w14:paraId="5AF18BE8" w14:textId="77777777" w:rsidR="001B7165" w:rsidRDefault="001B7165" w:rsidP="001B7165">
      <w:pPr>
        <w:autoSpaceDE w:val="0"/>
        <w:autoSpaceDN w:val="0"/>
        <w:adjustRightInd w:val="0"/>
        <w:spacing w:line="276" w:lineRule="auto"/>
        <w:jc w:val="center"/>
        <w:rPr>
          <w:rFonts w:ascii="TimesNewRomanPS-BoldMT" w:eastAsiaTheme="minorHAnsi" w:hAnsi="TimesNewRomanPS-BoldMT" w:cs="TimesNewRomanPS-BoldMT"/>
          <w:b/>
          <w:bCs/>
          <w:lang w:eastAsia="en-US"/>
        </w:rPr>
      </w:pPr>
    </w:p>
    <w:p w14:paraId="075B374D" w14:textId="2DC694FD" w:rsidR="00FC2C72" w:rsidRDefault="001B7165" w:rsidP="004475E1">
      <w:pPr>
        <w:autoSpaceDE w:val="0"/>
        <w:autoSpaceDN w:val="0"/>
        <w:adjustRightInd w:val="0"/>
        <w:spacing w:line="276" w:lineRule="auto"/>
        <w:ind w:firstLine="720"/>
        <w:jc w:val="both"/>
      </w:pPr>
      <w:r>
        <w:rPr>
          <w:rFonts w:ascii="TimesNewRomanPSMT" w:eastAsiaTheme="minorHAnsi" w:hAnsi="TimesNewRomanPSMT" w:cs="TimesNewRomanPSMT"/>
          <w:lang w:eastAsia="en-US"/>
        </w:rPr>
        <w:t xml:space="preserve">atcelt </w:t>
      </w:r>
      <w:r w:rsidR="003227C6">
        <w:rPr>
          <w:rFonts w:ascii="TimesNewRomanPSMT" w:eastAsiaTheme="minorHAnsi" w:hAnsi="TimesNewRomanPSMT" w:cs="TimesNewRomanPSMT"/>
          <w:lang w:eastAsia="en-US"/>
        </w:rPr>
        <w:t>[..]</w:t>
      </w:r>
      <w:r w:rsidRPr="001B7165">
        <w:rPr>
          <w:rFonts w:ascii="TimesNewRomanPSMT" w:eastAsiaTheme="minorHAnsi" w:hAnsi="TimesNewRomanPSMT" w:cs="TimesNewRomanPSMT"/>
          <w:lang w:eastAsia="en-US"/>
        </w:rPr>
        <w:t xml:space="preserve"> apgabaltiesas 2022.</w:t>
      </w:r>
      <w:r w:rsidR="004475E1">
        <w:rPr>
          <w:rFonts w:ascii="TimesNewRomanPSMT" w:eastAsiaTheme="minorHAnsi" w:hAnsi="TimesNewRomanPSMT" w:cs="TimesNewRomanPSMT"/>
          <w:lang w:eastAsia="en-US"/>
        </w:rPr>
        <w:t> </w:t>
      </w:r>
      <w:r w:rsidRPr="001B7165">
        <w:rPr>
          <w:rFonts w:ascii="TimesNewRomanPSMT" w:eastAsiaTheme="minorHAnsi" w:hAnsi="TimesNewRomanPSMT" w:cs="TimesNewRomanPSMT"/>
          <w:lang w:eastAsia="en-US"/>
        </w:rPr>
        <w:t xml:space="preserve">gada </w:t>
      </w:r>
      <w:r w:rsidR="003227C6">
        <w:rPr>
          <w:rFonts w:ascii="TimesNewRomanPSMT" w:eastAsiaTheme="minorHAnsi" w:hAnsi="TimesNewRomanPSMT" w:cs="TimesNewRomanPSMT"/>
          <w:lang w:eastAsia="en-US"/>
        </w:rPr>
        <w:t>[..]</w:t>
      </w:r>
      <w:r w:rsidRPr="001B7165">
        <w:rPr>
          <w:rFonts w:ascii="TimesNewRomanPSMT" w:eastAsiaTheme="minorHAnsi" w:hAnsi="TimesNewRomanPSMT" w:cs="TimesNewRomanPSMT"/>
          <w:lang w:eastAsia="en-US"/>
        </w:rPr>
        <w:t xml:space="preserve"> spriedumu</w:t>
      </w:r>
      <w:r>
        <w:rPr>
          <w:rFonts w:ascii="TimesNewRomanPSMT" w:eastAsiaTheme="minorHAnsi" w:hAnsi="TimesNewRomanPSMT" w:cs="TimesNewRomanPSMT"/>
          <w:lang w:eastAsia="en-US"/>
        </w:rPr>
        <w:t xml:space="preserve"> </w:t>
      </w:r>
      <w:r w:rsidR="00FC2C72">
        <w:rPr>
          <w:rFonts w:ascii="TimesNewRomanPSMT" w:eastAsiaTheme="minorHAnsi" w:hAnsi="TimesNewRomanPSMT" w:cs="TimesNewRomanPSMT"/>
          <w:lang w:eastAsia="en-US"/>
        </w:rPr>
        <w:t xml:space="preserve">daļā par </w:t>
      </w:r>
      <w:r w:rsidR="003227C6">
        <w:rPr>
          <w:rFonts w:ascii="TimesNewRomanPSMT" w:eastAsiaTheme="minorHAnsi" w:hAnsi="TimesNewRomanPSMT" w:cs="TimesNewRomanPSMT"/>
          <w:lang w:eastAsia="en-US"/>
        </w:rPr>
        <w:t>[pers. </w:t>
      </w:r>
      <w:r w:rsidR="003227C6">
        <w:rPr>
          <w:rFonts w:eastAsiaTheme="minorHAnsi"/>
        </w:rPr>
        <w:t>A]</w:t>
      </w:r>
      <w:r w:rsidR="00FC2C72">
        <w:rPr>
          <w:rFonts w:ascii="TimesNewRomanPSMT" w:eastAsiaTheme="minorHAnsi" w:hAnsi="TimesNewRomanPSMT" w:cs="TimesNewRomanPSMT"/>
          <w:lang w:eastAsia="en-US"/>
        </w:rPr>
        <w:t xml:space="preserve"> noteikt</w:t>
      </w:r>
      <w:r w:rsidR="00180D31">
        <w:rPr>
          <w:rFonts w:ascii="TimesNewRomanPSMT" w:eastAsiaTheme="minorHAnsi" w:hAnsi="TimesNewRomanPSMT" w:cs="TimesNewRomanPSMT"/>
          <w:lang w:eastAsia="en-US"/>
        </w:rPr>
        <w:t>ajiem</w:t>
      </w:r>
      <w:r w:rsidR="00FC2C72">
        <w:rPr>
          <w:rFonts w:ascii="TimesNewRomanPSMT" w:eastAsiaTheme="minorHAnsi" w:hAnsi="TimesNewRomanPSMT" w:cs="TimesNewRomanPSMT"/>
          <w:lang w:eastAsia="en-US"/>
        </w:rPr>
        <w:t xml:space="preserve"> sod</w:t>
      </w:r>
      <w:r w:rsidR="00180D31">
        <w:rPr>
          <w:rFonts w:ascii="TimesNewRomanPSMT" w:eastAsiaTheme="minorHAnsi" w:hAnsi="TimesNewRomanPSMT" w:cs="TimesNewRomanPSMT"/>
          <w:lang w:eastAsia="en-US"/>
        </w:rPr>
        <w:t>iem</w:t>
      </w:r>
      <w:r w:rsidR="00FC2C72" w:rsidRPr="00FC2C72">
        <w:t xml:space="preserve"> </w:t>
      </w:r>
      <w:r w:rsidR="00FC2C72" w:rsidRPr="009308DE">
        <w:rPr>
          <w:rFonts w:ascii="TimesNewRomanPSMT" w:eastAsiaTheme="minorHAnsi" w:hAnsi="TimesNewRomanPSMT" w:cs="TimesNewRomanPSMT"/>
          <w:lang w:eastAsia="en-US"/>
        </w:rPr>
        <w:t>Krimināllikuma</w:t>
      </w:r>
      <w:r w:rsidR="00FC2C72" w:rsidRPr="00FC2C72">
        <w:rPr>
          <w:rFonts w:ascii="TimesNewRomanPSMT" w:eastAsiaTheme="minorHAnsi" w:hAnsi="TimesNewRomanPSMT" w:cs="TimesNewRomanPSMT"/>
          <w:lang w:eastAsia="en-US"/>
        </w:rPr>
        <w:t xml:space="preserve"> 179.</w:t>
      </w:r>
      <w:r w:rsidR="004475E1">
        <w:rPr>
          <w:rFonts w:ascii="TimesNewRomanPSMT" w:eastAsiaTheme="minorHAnsi" w:hAnsi="TimesNewRomanPSMT" w:cs="TimesNewRomanPSMT"/>
          <w:lang w:eastAsia="en-US"/>
        </w:rPr>
        <w:t> </w:t>
      </w:r>
      <w:r w:rsidR="00FC2C72" w:rsidRPr="00FC2C72">
        <w:rPr>
          <w:rFonts w:ascii="TimesNewRomanPSMT" w:eastAsiaTheme="minorHAnsi" w:hAnsi="TimesNewRomanPSMT" w:cs="TimesNewRomanPSMT"/>
          <w:lang w:eastAsia="en-US"/>
        </w:rPr>
        <w:t>panta trešajā daļā paredzēt</w:t>
      </w:r>
      <w:r w:rsidR="00180D31">
        <w:rPr>
          <w:rFonts w:ascii="TimesNewRomanPSMT" w:eastAsiaTheme="minorHAnsi" w:hAnsi="TimesNewRomanPSMT" w:cs="TimesNewRomanPSMT"/>
          <w:lang w:eastAsia="en-US"/>
        </w:rPr>
        <w:t>aj</w:t>
      </w:r>
      <w:r w:rsidR="00BA52C1">
        <w:rPr>
          <w:rFonts w:ascii="TimesNewRomanPSMT" w:eastAsiaTheme="minorHAnsi" w:hAnsi="TimesNewRomanPSMT" w:cs="TimesNewRomanPSMT"/>
          <w:lang w:eastAsia="en-US"/>
        </w:rPr>
        <w:t>os</w:t>
      </w:r>
      <w:r w:rsidR="00FC2C72" w:rsidRPr="00FC2C72">
        <w:rPr>
          <w:rFonts w:ascii="TimesNewRomanPSMT" w:eastAsiaTheme="minorHAnsi" w:hAnsi="TimesNewRomanPSMT" w:cs="TimesNewRomanPSMT"/>
          <w:lang w:eastAsia="en-US"/>
        </w:rPr>
        <w:t xml:space="preserve"> noziedzīg</w:t>
      </w:r>
      <w:r w:rsidR="00180D31">
        <w:rPr>
          <w:rFonts w:ascii="TimesNewRomanPSMT" w:eastAsiaTheme="minorHAnsi" w:hAnsi="TimesNewRomanPSMT" w:cs="TimesNewRomanPSMT"/>
          <w:lang w:eastAsia="en-US"/>
        </w:rPr>
        <w:t>aj</w:t>
      </w:r>
      <w:r w:rsidR="00BA52C1">
        <w:rPr>
          <w:rFonts w:ascii="TimesNewRomanPSMT" w:eastAsiaTheme="minorHAnsi" w:hAnsi="TimesNewRomanPSMT" w:cs="TimesNewRomanPSMT"/>
          <w:lang w:eastAsia="en-US"/>
        </w:rPr>
        <w:t>os</w:t>
      </w:r>
      <w:r w:rsidR="004475E1">
        <w:rPr>
          <w:rFonts w:ascii="TimesNewRomanPSMT" w:eastAsiaTheme="minorHAnsi" w:hAnsi="TimesNewRomanPSMT" w:cs="TimesNewRomanPSMT"/>
          <w:lang w:eastAsia="en-US"/>
        </w:rPr>
        <w:t xml:space="preserve"> nodarījum</w:t>
      </w:r>
      <w:r w:rsidR="00BA52C1">
        <w:rPr>
          <w:rFonts w:ascii="TimesNewRomanPSMT" w:eastAsiaTheme="minorHAnsi" w:hAnsi="TimesNewRomanPSMT" w:cs="TimesNewRomanPSMT"/>
          <w:lang w:eastAsia="en-US"/>
        </w:rPr>
        <w:t>os</w:t>
      </w:r>
      <w:r w:rsidR="00166B04">
        <w:rPr>
          <w:rFonts w:ascii="TimesNewRomanPSMT" w:eastAsiaTheme="minorHAnsi" w:hAnsi="TimesNewRomanPSMT" w:cs="TimesNewRomanPSMT"/>
          <w:lang w:eastAsia="en-US"/>
        </w:rPr>
        <w:t xml:space="preserve"> un</w:t>
      </w:r>
      <w:r w:rsidR="004475E1">
        <w:rPr>
          <w:rFonts w:ascii="TimesNewRomanPSMT" w:eastAsiaTheme="minorHAnsi" w:hAnsi="TimesNewRomanPSMT" w:cs="TimesNewRomanPSMT"/>
          <w:lang w:eastAsia="en-US"/>
        </w:rPr>
        <w:t xml:space="preserve"> daļā par noteikto galīgo sodu</w:t>
      </w:r>
      <w:r w:rsidR="004475E1" w:rsidRPr="004475E1">
        <w:t xml:space="preserve"> </w:t>
      </w:r>
      <w:r w:rsidR="0021344A">
        <w:t>s</w:t>
      </w:r>
      <w:r w:rsidR="0021344A" w:rsidRPr="0021344A">
        <w:t>askaņā ar Krimināllikuma 50.</w:t>
      </w:r>
      <w:r w:rsidR="0021344A">
        <w:t> </w:t>
      </w:r>
      <w:r w:rsidR="0021344A" w:rsidRPr="0021344A">
        <w:t>panta pirmo daļu</w:t>
      </w:r>
      <w:r w:rsidR="0021344A">
        <w:t>;</w:t>
      </w:r>
    </w:p>
    <w:p w14:paraId="1D00BC62" w14:textId="7A1051C0" w:rsidR="0021344A" w:rsidRDefault="0021344A" w:rsidP="00672E1D">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atceltajā daļā lietu nosūtīt jaunai izskatīšanai </w:t>
      </w:r>
      <w:r w:rsidR="003227C6">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 apgabaltiesā</w:t>
      </w:r>
      <w:r w:rsidR="00672E1D">
        <w:rPr>
          <w:rFonts w:ascii="TimesNewRomanPSMT" w:eastAsiaTheme="minorHAnsi" w:hAnsi="TimesNewRomanPSMT" w:cs="TimesNewRomanPSMT"/>
          <w:lang w:eastAsia="en-US"/>
        </w:rPr>
        <w:t xml:space="preserve">, </w:t>
      </w:r>
      <w:bookmarkStart w:id="23" w:name="_Hlk129088149"/>
    </w:p>
    <w:bookmarkEnd w:id="23"/>
    <w:p w14:paraId="35EB0627" w14:textId="52DE7EC9" w:rsidR="00FC2C72" w:rsidRDefault="0021344A" w:rsidP="00672E1D">
      <w:pPr>
        <w:autoSpaceDE w:val="0"/>
        <w:autoSpaceDN w:val="0"/>
        <w:adjustRightInd w:val="0"/>
        <w:spacing w:line="276" w:lineRule="auto"/>
        <w:ind w:firstLine="720"/>
        <w:jc w:val="both"/>
        <w:rPr>
          <w:rFonts w:ascii="TimesNewRomanPSMT" w:eastAsiaTheme="minorHAnsi" w:hAnsi="TimesNewRomanPSMT" w:cs="TimesNewRomanPSMT"/>
          <w:lang w:eastAsia="en-US"/>
        </w:rPr>
      </w:pPr>
      <w:r>
        <w:t>p</w:t>
      </w:r>
      <w:r w:rsidR="004475E1">
        <w:t xml:space="preserve">ārējā daļā </w:t>
      </w:r>
      <w:r w:rsidR="003227C6">
        <w:rPr>
          <w:rFonts w:ascii="TimesNewRomanPSMT" w:eastAsiaTheme="minorHAnsi" w:hAnsi="TimesNewRomanPSMT" w:cs="TimesNewRomanPSMT"/>
          <w:lang w:eastAsia="en-US"/>
        </w:rPr>
        <w:t>[..]</w:t>
      </w:r>
      <w:r w:rsidRPr="001B7165">
        <w:rPr>
          <w:rFonts w:ascii="TimesNewRomanPSMT" w:eastAsiaTheme="minorHAnsi" w:hAnsi="TimesNewRomanPSMT" w:cs="TimesNewRomanPSMT"/>
          <w:lang w:eastAsia="en-US"/>
        </w:rPr>
        <w:t xml:space="preserve"> apgabaltiesas 2022.</w:t>
      </w:r>
      <w:r>
        <w:rPr>
          <w:rFonts w:ascii="TimesNewRomanPSMT" w:eastAsiaTheme="minorHAnsi" w:hAnsi="TimesNewRomanPSMT" w:cs="TimesNewRomanPSMT"/>
          <w:lang w:eastAsia="en-US"/>
        </w:rPr>
        <w:t> </w:t>
      </w:r>
      <w:r w:rsidRPr="001B7165">
        <w:rPr>
          <w:rFonts w:ascii="TimesNewRomanPSMT" w:eastAsiaTheme="minorHAnsi" w:hAnsi="TimesNewRomanPSMT" w:cs="TimesNewRomanPSMT"/>
          <w:lang w:eastAsia="en-US"/>
        </w:rPr>
        <w:t xml:space="preserve">gada </w:t>
      </w:r>
      <w:r w:rsidR="003227C6">
        <w:rPr>
          <w:rFonts w:ascii="TimesNewRomanPSMT" w:eastAsiaTheme="minorHAnsi" w:hAnsi="TimesNewRomanPSMT" w:cs="TimesNewRomanPSMT"/>
          <w:lang w:eastAsia="en-US"/>
        </w:rPr>
        <w:t>[..]</w:t>
      </w:r>
      <w:r w:rsidRPr="001B7165">
        <w:rPr>
          <w:rFonts w:ascii="TimesNewRomanPSMT" w:eastAsiaTheme="minorHAnsi" w:hAnsi="TimesNewRomanPSMT" w:cs="TimesNewRomanPSMT"/>
          <w:lang w:eastAsia="en-US"/>
        </w:rPr>
        <w:t xml:space="preserve"> spriedumu</w:t>
      </w:r>
      <w:r>
        <w:rPr>
          <w:rFonts w:ascii="TimesNewRomanPSMT" w:eastAsiaTheme="minorHAnsi" w:hAnsi="TimesNewRomanPSMT" w:cs="TimesNewRomanPSMT"/>
          <w:lang w:eastAsia="en-US"/>
        </w:rPr>
        <w:t xml:space="preserve"> </w:t>
      </w:r>
      <w:r w:rsidR="004475E1">
        <w:t>atstāt negrozītu</w:t>
      </w:r>
      <w:r w:rsidR="00672E1D">
        <w:t>,</w:t>
      </w:r>
      <w:r w:rsidR="00672E1D" w:rsidRPr="00672E1D">
        <w:rPr>
          <w:rFonts w:ascii="TimesNewRomanPSMT" w:eastAsiaTheme="minorHAnsi" w:hAnsi="TimesNewRomanPSMT" w:cs="TimesNewRomanPSMT"/>
          <w:lang w:eastAsia="en-US"/>
        </w:rPr>
        <w:t xml:space="preserve"> </w:t>
      </w:r>
      <w:r w:rsidR="00672E1D">
        <w:rPr>
          <w:rFonts w:ascii="TimesNewRomanPSMT" w:eastAsiaTheme="minorHAnsi" w:hAnsi="TimesNewRomanPSMT" w:cs="TimesNewRomanPSMT"/>
          <w:lang w:eastAsia="en-US"/>
        </w:rPr>
        <w:t xml:space="preserve">bet </w:t>
      </w:r>
      <w:r w:rsidR="00672E1D">
        <w:t xml:space="preserve">apsūdzētā </w:t>
      </w:r>
      <w:r w:rsidR="003227C6">
        <w:t>[pers. A]</w:t>
      </w:r>
      <w:r w:rsidR="00672E1D">
        <w:t xml:space="preserve"> un viņa aizstāvju Aigara </w:t>
      </w:r>
      <w:proofErr w:type="spellStart"/>
      <w:r w:rsidR="00672E1D">
        <w:t>Kriķa</w:t>
      </w:r>
      <w:proofErr w:type="spellEnd"/>
      <w:r w:rsidR="00672E1D">
        <w:t xml:space="preserve"> un Ineses </w:t>
      </w:r>
      <w:proofErr w:type="spellStart"/>
      <w:r w:rsidR="00672E1D">
        <w:t>Greķes</w:t>
      </w:r>
      <w:proofErr w:type="spellEnd"/>
      <w:r w:rsidR="00672E1D">
        <w:t xml:space="preserve"> kasācijas sūdzības noraidīt;</w:t>
      </w:r>
    </w:p>
    <w:p w14:paraId="7733A434" w14:textId="65544C46" w:rsidR="001B7165" w:rsidRDefault="001B7165" w:rsidP="00F703DB">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turpināt piemērot </w:t>
      </w:r>
      <w:r w:rsidR="003227C6">
        <w:rPr>
          <w:rFonts w:ascii="TimesNewRomanPSMT" w:eastAsiaTheme="minorHAnsi" w:hAnsi="TimesNewRomanPSMT" w:cs="TimesNewRomanPSMT"/>
          <w:lang w:eastAsia="en-US"/>
        </w:rPr>
        <w:t>[pers. A]</w:t>
      </w:r>
      <w:r w:rsidR="00810703">
        <w:rPr>
          <w:rFonts w:ascii="TimesNewRomanPSMT" w:eastAsiaTheme="minorHAnsi" w:hAnsi="TimesNewRomanPSMT" w:cs="TimesNewRomanPSMT"/>
          <w:lang w:eastAsia="en-US"/>
        </w:rPr>
        <w:t xml:space="preserve"> </w:t>
      </w:r>
      <w:r w:rsidR="008E5BA6">
        <w:rPr>
          <w:rFonts w:ascii="TimesNewRomanPSMT" w:eastAsiaTheme="minorHAnsi" w:hAnsi="TimesNewRomanPSMT" w:cs="TimesNewRomanPSMT"/>
          <w:lang w:eastAsia="en-US"/>
        </w:rPr>
        <w:t>drošības</w:t>
      </w:r>
      <w:r>
        <w:rPr>
          <w:rFonts w:ascii="TimesNewRomanPSMT" w:eastAsiaTheme="minorHAnsi" w:hAnsi="TimesNewRomanPSMT" w:cs="TimesNewRomanPSMT"/>
          <w:lang w:eastAsia="en-US"/>
        </w:rPr>
        <w:t xml:space="preserve"> līdzek</w:t>
      </w:r>
      <w:r w:rsidR="00B52FA1">
        <w:rPr>
          <w:rFonts w:ascii="TimesNewRomanPSMT" w:eastAsiaTheme="minorHAnsi" w:hAnsi="TimesNewRomanPSMT" w:cs="TimesNewRomanPSMT"/>
          <w:lang w:eastAsia="en-US"/>
        </w:rPr>
        <w:t>ļus</w:t>
      </w:r>
      <w:r>
        <w:rPr>
          <w:rFonts w:ascii="TimesNewRomanPSMT" w:eastAsiaTheme="minorHAnsi" w:hAnsi="TimesNewRomanPSMT" w:cs="TimesNewRomanPSMT"/>
          <w:lang w:eastAsia="en-US"/>
        </w:rPr>
        <w:t> – n</w:t>
      </w:r>
      <w:r w:rsidRPr="001B7165">
        <w:rPr>
          <w:rFonts w:ascii="TimesNewRomanPSMT" w:eastAsiaTheme="minorHAnsi" w:hAnsi="TimesNewRomanPSMT" w:cs="TimesNewRomanPSMT"/>
          <w:lang w:eastAsia="en-US"/>
        </w:rPr>
        <w:t>oteiktas nodarbošanās aizliegumu, aizlie</w:t>
      </w:r>
      <w:r>
        <w:rPr>
          <w:rFonts w:ascii="TimesNewRomanPSMT" w:eastAsiaTheme="minorHAnsi" w:hAnsi="TimesNewRomanPSMT" w:cs="TimesNewRomanPSMT"/>
          <w:lang w:eastAsia="en-US"/>
        </w:rPr>
        <w:t>dzot</w:t>
      </w:r>
      <w:r w:rsidRPr="001B7165">
        <w:rPr>
          <w:rFonts w:ascii="TimesNewRomanPSMT" w:eastAsiaTheme="minorHAnsi" w:hAnsi="TimesNewRomanPSMT" w:cs="TimesNewRomanPSMT"/>
          <w:lang w:eastAsia="en-US"/>
        </w:rPr>
        <w:t xml:space="preserve"> veikt sertificēta maksātnespējas procesa administratora</w:t>
      </w:r>
      <w:r>
        <w:rPr>
          <w:rFonts w:ascii="TimesNewRomanPSMT" w:eastAsiaTheme="minorHAnsi" w:hAnsi="TimesNewRomanPSMT" w:cs="TimesNewRomanPSMT"/>
          <w:lang w:eastAsia="en-US"/>
        </w:rPr>
        <w:t xml:space="preserve"> </w:t>
      </w:r>
      <w:r w:rsidRPr="001B7165">
        <w:rPr>
          <w:rFonts w:ascii="TimesNewRomanPSMT" w:eastAsiaTheme="minorHAnsi" w:hAnsi="TimesNewRomanPSMT" w:cs="TimesNewRomanPSMT"/>
          <w:lang w:eastAsia="en-US"/>
        </w:rPr>
        <w:t>pienākumus</w:t>
      </w:r>
      <w:r w:rsidR="00672E1D">
        <w:rPr>
          <w:rFonts w:ascii="TimesNewRomanPSMT" w:eastAsiaTheme="minorHAnsi" w:hAnsi="TimesNewRomanPSMT" w:cs="TimesNewRomanPSMT"/>
          <w:lang w:eastAsia="en-US"/>
        </w:rPr>
        <w:t>,</w:t>
      </w:r>
      <w:r w:rsidR="00F703DB">
        <w:rPr>
          <w:rFonts w:ascii="TimesNewRomanPSMT" w:eastAsiaTheme="minorHAnsi" w:hAnsi="TimesNewRomanPSMT" w:cs="TimesNewRomanPSMT"/>
          <w:lang w:eastAsia="en-US"/>
        </w:rPr>
        <w:t xml:space="preserve"> un </w:t>
      </w:r>
      <w:r w:rsidRPr="001B7165">
        <w:rPr>
          <w:rFonts w:ascii="TimesNewRomanPSMT" w:eastAsiaTheme="minorHAnsi" w:hAnsi="TimesNewRomanPSMT" w:cs="TimesNewRomanPSMT"/>
          <w:lang w:eastAsia="en-US"/>
        </w:rPr>
        <w:t>aizliegumu izbraukt no valsts</w:t>
      </w:r>
      <w:r>
        <w:rPr>
          <w:rFonts w:ascii="TimesNewRomanPSMT" w:eastAsiaTheme="minorHAnsi" w:hAnsi="TimesNewRomanPSMT" w:cs="TimesNewRomanPSMT"/>
          <w:lang w:eastAsia="en-US"/>
        </w:rPr>
        <w:t>.</w:t>
      </w:r>
    </w:p>
    <w:p w14:paraId="38C94F93" w14:textId="77777777" w:rsidR="001B7165" w:rsidRDefault="001B7165" w:rsidP="004475E1">
      <w:pPr>
        <w:autoSpaceDE w:val="0"/>
        <w:autoSpaceDN w:val="0"/>
        <w:adjustRightInd w:val="0"/>
        <w:spacing w:line="276" w:lineRule="auto"/>
        <w:ind w:firstLine="720"/>
        <w:jc w:val="both"/>
        <w:rPr>
          <w:rFonts w:ascii="TimesNewRomanPSMT" w:eastAsiaTheme="minorHAnsi" w:hAnsi="TimesNewRomanPSMT" w:cs="TimesNewRomanPSMT"/>
          <w:lang w:eastAsia="en-US"/>
        </w:rPr>
      </w:pPr>
    </w:p>
    <w:p w14:paraId="6FB20399" w14:textId="6DFF09AB" w:rsidR="00CA209C" w:rsidRPr="003227C6" w:rsidRDefault="001B7165" w:rsidP="003227C6">
      <w:pPr>
        <w:spacing w:line="276" w:lineRule="auto"/>
        <w:ind w:right="-1" w:firstLine="720"/>
        <w:jc w:val="both"/>
        <w:rPr>
          <w:rFonts w:eastAsiaTheme="minorHAnsi" w:cstheme="minorBidi"/>
          <w:szCs w:val="22"/>
          <w:lang w:eastAsia="en-US"/>
        </w:rPr>
      </w:pPr>
      <w:r>
        <w:rPr>
          <w:rFonts w:ascii="TimesNewRomanPSMT" w:eastAsiaTheme="minorHAnsi" w:hAnsi="TimesNewRomanPSMT" w:cs="TimesNewRomanPSMT"/>
          <w:lang w:eastAsia="en-US"/>
        </w:rPr>
        <w:t>Lēmums nav pārsūdzams.</w:t>
      </w:r>
    </w:p>
    <w:sectPr w:rsidR="00CA209C" w:rsidRPr="003227C6" w:rsidSect="00E231B3">
      <w:footerReference w:type="default" r:id="rId1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C1BD" w14:textId="77777777" w:rsidR="00F578BA" w:rsidRDefault="00F578BA" w:rsidP="00470ACA">
      <w:r>
        <w:separator/>
      </w:r>
    </w:p>
  </w:endnote>
  <w:endnote w:type="continuationSeparator" w:id="0">
    <w:p w14:paraId="05AB04A9" w14:textId="77777777" w:rsidR="00F578BA" w:rsidRDefault="00F578BA" w:rsidP="0047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601430"/>
      <w:docPartObj>
        <w:docPartGallery w:val="Page Numbers (Bottom of Page)"/>
        <w:docPartUnique/>
      </w:docPartObj>
    </w:sdtPr>
    <w:sdtEndPr/>
    <w:sdtContent>
      <w:sdt>
        <w:sdtPr>
          <w:id w:val="1728636285"/>
          <w:docPartObj>
            <w:docPartGallery w:val="Page Numbers (Top of Page)"/>
            <w:docPartUnique/>
          </w:docPartObj>
        </w:sdtPr>
        <w:sdtEndPr/>
        <w:sdtContent>
          <w:p w14:paraId="4289AA5D" w14:textId="3EBFC01F" w:rsidR="00470ACA" w:rsidRDefault="00470ACA">
            <w:pPr>
              <w:pStyle w:val="Footer"/>
              <w:jc w:val="center"/>
            </w:pPr>
            <w:r w:rsidRPr="00347470">
              <w:rPr>
                <w:sz w:val="20"/>
                <w:szCs w:val="20"/>
              </w:rPr>
              <w:fldChar w:fldCharType="begin"/>
            </w:r>
            <w:r w:rsidRPr="00347470">
              <w:rPr>
                <w:sz w:val="20"/>
                <w:szCs w:val="20"/>
              </w:rPr>
              <w:instrText xml:space="preserve"> PAGE </w:instrText>
            </w:r>
            <w:r w:rsidRPr="00347470">
              <w:rPr>
                <w:sz w:val="20"/>
                <w:szCs w:val="20"/>
              </w:rPr>
              <w:fldChar w:fldCharType="separate"/>
            </w:r>
            <w:r w:rsidRPr="00347470">
              <w:rPr>
                <w:noProof/>
                <w:sz w:val="20"/>
                <w:szCs w:val="20"/>
              </w:rPr>
              <w:t>2</w:t>
            </w:r>
            <w:r w:rsidRPr="00347470">
              <w:rPr>
                <w:sz w:val="20"/>
                <w:szCs w:val="20"/>
              </w:rPr>
              <w:fldChar w:fldCharType="end"/>
            </w:r>
            <w:r w:rsidRPr="00347470">
              <w:rPr>
                <w:sz w:val="20"/>
                <w:szCs w:val="20"/>
              </w:rPr>
              <w:t xml:space="preserve"> no </w:t>
            </w:r>
            <w:r w:rsidRPr="00347470">
              <w:rPr>
                <w:sz w:val="20"/>
                <w:szCs w:val="20"/>
              </w:rPr>
              <w:fldChar w:fldCharType="begin"/>
            </w:r>
            <w:r w:rsidRPr="00347470">
              <w:rPr>
                <w:sz w:val="20"/>
                <w:szCs w:val="20"/>
              </w:rPr>
              <w:instrText xml:space="preserve"> NUMPAGES  </w:instrText>
            </w:r>
            <w:r w:rsidRPr="00347470">
              <w:rPr>
                <w:sz w:val="20"/>
                <w:szCs w:val="20"/>
              </w:rPr>
              <w:fldChar w:fldCharType="separate"/>
            </w:r>
            <w:r w:rsidRPr="00347470">
              <w:rPr>
                <w:noProof/>
                <w:sz w:val="20"/>
                <w:szCs w:val="20"/>
              </w:rPr>
              <w:t>2</w:t>
            </w:r>
            <w:r w:rsidRPr="00347470">
              <w:rPr>
                <w:sz w:val="20"/>
                <w:szCs w:val="20"/>
              </w:rPr>
              <w:fldChar w:fldCharType="end"/>
            </w:r>
          </w:p>
        </w:sdtContent>
      </w:sdt>
    </w:sdtContent>
  </w:sdt>
  <w:p w14:paraId="16401CB8" w14:textId="77777777" w:rsidR="00470ACA" w:rsidRDefault="00470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E511" w14:textId="77777777" w:rsidR="00F578BA" w:rsidRDefault="00F578BA" w:rsidP="00470ACA">
      <w:r>
        <w:separator/>
      </w:r>
    </w:p>
  </w:footnote>
  <w:footnote w:type="continuationSeparator" w:id="0">
    <w:p w14:paraId="5AAE79F8" w14:textId="77777777" w:rsidR="00F578BA" w:rsidRDefault="00F578BA" w:rsidP="00470ACA">
      <w:r>
        <w:continuationSeparator/>
      </w:r>
    </w:p>
  </w:footnote>
  <w:footnote w:id="1">
    <w:p w14:paraId="0FFFAADC" w14:textId="5200E642" w:rsidR="00C84827" w:rsidRDefault="00C84827">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0327"/>
    <w:multiLevelType w:val="hybridMultilevel"/>
    <w:tmpl w:val="2F1A6656"/>
    <w:lvl w:ilvl="0" w:tplc="CF44E4A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32DC5769"/>
    <w:multiLevelType w:val="hybridMultilevel"/>
    <w:tmpl w:val="7BA294C4"/>
    <w:lvl w:ilvl="0" w:tplc="B560AA8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7A15417"/>
    <w:multiLevelType w:val="hybridMultilevel"/>
    <w:tmpl w:val="84BEDD10"/>
    <w:lvl w:ilvl="0" w:tplc="05A28ABC">
      <w:start w:val="7"/>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15:restartNumberingAfterBreak="0">
    <w:nsid w:val="6D104FAB"/>
    <w:multiLevelType w:val="hybridMultilevel"/>
    <w:tmpl w:val="E0F0D4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35799649">
    <w:abstractNumId w:val="2"/>
  </w:num>
  <w:num w:numId="2" w16cid:durableId="860047962">
    <w:abstractNumId w:val="0"/>
  </w:num>
  <w:num w:numId="3" w16cid:durableId="1658339360">
    <w:abstractNumId w:val="1"/>
  </w:num>
  <w:num w:numId="4" w16cid:durableId="522091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71"/>
    <w:rsid w:val="00002432"/>
    <w:rsid w:val="00007544"/>
    <w:rsid w:val="00012F43"/>
    <w:rsid w:val="00016FE6"/>
    <w:rsid w:val="0001713F"/>
    <w:rsid w:val="00022461"/>
    <w:rsid w:val="00023246"/>
    <w:rsid w:val="00024B8D"/>
    <w:rsid w:val="0003490B"/>
    <w:rsid w:val="00040EBB"/>
    <w:rsid w:val="00042E98"/>
    <w:rsid w:val="000444AB"/>
    <w:rsid w:val="00045FBD"/>
    <w:rsid w:val="00051633"/>
    <w:rsid w:val="000517ED"/>
    <w:rsid w:val="000544BB"/>
    <w:rsid w:val="00054C37"/>
    <w:rsid w:val="0005726F"/>
    <w:rsid w:val="000626DB"/>
    <w:rsid w:val="00064036"/>
    <w:rsid w:val="000746AE"/>
    <w:rsid w:val="00074C00"/>
    <w:rsid w:val="00075DDA"/>
    <w:rsid w:val="000761C7"/>
    <w:rsid w:val="00086687"/>
    <w:rsid w:val="00087DC2"/>
    <w:rsid w:val="00097D8A"/>
    <w:rsid w:val="000A5999"/>
    <w:rsid w:val="000A6D5E"/>
    <w:rsid w:val="000B2CEB"/>
    <w:rsid w:val="000C014C"/>
    <w:rsid w:val="000C0368"/>
    <w:rsid w:val="000C6DE0"/>
    <w:rsid w:val="000D3416"/>
    <w:rsid w:val="000D4684"/>
    <w:rsid w:val="000E22F9"/>
    <w:rsid w:val="000F574B"/>
    <w:rsid w:val="00102076"/>
    <w:rsid w:val="00103D27"/>
    <w:rsid w:val="001046AE"/>
    <w:rsid w:val="00105E0A"/>
    <w:rsid w:val="0010738A"/>
    <w:rsid w:val="0011206C"/>
    <w:rsid w:val="00112BD7"/>
    <w:rsid w:val="0011470D"/>
    <w:rsid w:val="00116748"/>
    <w:rsid w:val="001210B9"/>
    <w:rsid w:val="00124082"/>
    <w:rsid w:val="00133E5C"/>
    <w:rsid w:val="00141B99"/>
    <w:rsid w:val="00142509"/>
    <w:rsid w:val="00144242"/>
    <w:rsid w:val="00147B77"/>
    <w:rsid w:val="00155CB9"/>
    <w:rsid w:val="00157271"/>
    <w:rsid w:val="001611A4"/>
    <w:rsid w:val="00161828"/>
    <w:rsid w:val="00166B04"/>
    <w:rsid w:val="001720ED"/>
    <w:rsid w:val="00174FB4"/>
    <w:rsid w:val="001750A3"/>
    <w:rsid w:val="00176F75"/>
    <w:rsid w:val="00177220"/>
    <w:rsid w:val="00180D31"/>
    <w:rsid w:val="00181757"/>
    <w:rsid w:val="00182883"/>
    <w:rsid w:val="001903A1"/>
    <w:rsid w:val="00193E2E"/>
    <w:rsid w:val="00195DCB"/>
    <w:rsid w:val="001969C0"/>
    <w:rsid w:val="00196BA7"/>
    <w:rsid w:val="001A11E2"/>
    <w:rsid w:val="001A2BAE"/>
    <w:rsid w:val="001B46DC"/>
    <w:rsid w:val="001B64E1"/>
    <w:rsid w:val="001B7165"/>
    <w:rsid w:val="001C4A71"/>
    <w:rsid w:val="001C6F61"/>
    <w:rsid w:val="001D0C05"/>
    <w:rsid w:val="001D5E42"/>
    <w:rsid w:val="001D6B37"/>
    <w:rsid w:val="001E3D9B"/>
    <w:rsid w:val="001F04B6"/>
    <w:rsid w:val="001F1E71"/>
    <w:rsid w:val="001F43A6"/>
    <w:rsid w:val="001F7F75"/>
    <w:rsid w:val="00202A11"/>
    <w:rsid w:val="00206419"/>
    <w:rsid w:val="0021344A"/>
    <w:rsid w:val="0021509D"/>
    <w:rsid w:val="002170A3"/>
    <w:rsid w:val="002205FC"/>
    <w:rsid w:val="00231AAF"/>
    <w:rsid w:val="0023617A"/>
    <w:rsid w:val="00240725"/>
    <w:rsid w:val="002478CC"/>
    <w:rsid w:val="00250703"/>
    <w:rsid w:val="002519C8"/>
    <w:rsid w:val="00253950"/>
    <w:rsid w:val="0025609E"/>
    <w:rsid w:val="00266F2B"/>
    <w:rsid w:val="002679F8"/>
    <w:rsid w:val="00271730"/>
    <w:rsid w:val="00274A3A"/>
    <w:rsid w:val="0027538F"/>
    <w:rsid w:val="00286CFC"/>
    <w:rsid w:val="00287A97"/>
    <w:rsid w:val="00290AB2"/>
    <w:rsid w:val="00291BCA"/>
    <w:rsid w:val="00295A4A"/>
    <w:rsid w:val="00297C51"/>
    <w:rsid w:val="002A097C"/>
    <w:rsid w:val="002A2BED"/>
    <w:rsid w:val="002A4A9C"/>
    <w:rsid w:val="002C662E"/>
    <w:rsid w:val="002D0DAB"/>
    <w:rsid w:val="002F4030"/>
    <w:rsid w:val="00300C9F"/>
    <w:rsid w:val="00311372"/>
    <w:rsid w:val="00311E03"/>
    <w:rsid w:val="00311E4F"/>
    <w:rsid w:val="00314803"/>
    <w:rsid w:val="003172E0"/>
    <w:rsid w:val="00320E31"/>
    <w:rsid w:val="00320FF7"/>
    <w:rsid w:val="003227C6"/>
    <w:rsid w:val="003266AA"/>
    <w:rsid w:val="0033051D"/>
    <w:rsid w:val="00330916"/>
    <w:rsid w:val="0033288B"/>
    <w:rsid w:val="00334062"/>
    <w:rsid w:val="00347470"/>
    <w:rsid w:val="00353390"/>
    <w:rsid w:val="00354306"/>
    <w:rsid w:val="003559AE"/>
    <w:rsid w:val="00365124"/>
    <w:rsid w:val="00366D10"/>
    <w:rsid w:val="00367BF1"/>
    <w:rsid w:val="00373AAA"/>
    <w:rsid w:val="00374208"/>
    <w:rsid w:val="00374D9B"/>
    <w:rsid w:val="003840B8"/>
    <w:rsid w:val="00385C89"/>
    <w:rsid w:val="00387A6A"/>
    <w:rsid w:val="00393D24"/>
    <w:rsid w:val="003945FA"/>
    <w:rsid w:val="003A23F6"/>
    <w:rsid w:val="003A6624"/>
    <w:rsid w:val="003B0C91"/>
    <w:rsid w:val="003B2D79"/>
    <w:rsid w:val="003B71B6"/>
    <w:rsid w:val="003C6994"/>
    <w:rsid w:val="003D0469"/>
    <w:rsid w:val="003D1477"/>
    <w:rsid w:val="003D77A2"/>
    <w:rsid w:val="003E4179"/>
    <w:rsid w:val="003F1307"/>
    <w:rsid w:val="003F3CB2"/>
    <w:rsid w:val="003F5901"/>
    <w:rsid w:val="003F6129"/>
    <w:rsid w:val="004000D2"/>
    <w:rsid w:val="00400DF4"/>
    <w:rsid w:val="004079B9"/>
    <w:rsid w:val="00412820"/>
    <w:rsid w:val="00412D18"/>
    <w:rsid w:val="00414A54"/>
    <w:rsid w:val="00415131"/>
    <w:rsid w:val="00415314"/>
    <w:rsid w:val="00421157"/>
    <w:rsid w:val="0042124D"/>
    <w:rsid w:val="004214EA"/>
    <w:rsid w:val="00423DC1"/>
    <w:rsid w:val="00432A2D"/>
    <w:rsid w:val="00436690"/>
    <w:rsid w:val="00437CB7"/>
    <w:rsid w:val="004457AE"/>
    <w:rsid w:val="004475E1"/>
    <w:rsid w:val="004509B6"/>
    <w:rsid w:val="00450B10"/>
    <w:rsid w:val="004514B6"/>
    <w:rsid w:val="0045379D"/>
    <w:rsid w:val="00454A32"/>
    <w:rsid w:val="00455715"/>
    <w:rsid w:val="00457106"/>
    <w:rsid w:val="004571BE"/>
    <w:rsid w:val="00462B8E"/>
    <w:rsid w:val="00470ACA"/>
    <w:rsid w:val="004717FE"/>
    <w:rsid w:val="004752C1"/>
    <w:rsid w:val="00476833"/>
    <w:rsid w:val="00485C96"/>
    <w:rsid w:val="00490AAD"/>
    <w:rsid w:val="00497C9B"/>
    <w:rsid w:val="004A7B71"/>
    <w:rsid w:val="004A7CFB"/>
    <w:rsid w:val="004B43F9"/>
    <w:rsid w:val="004B4C5A"/>
    <w:rsid w:val="004B62DF"/>
    <w:rsid w:val="004C3128"/>
    <w:rsid w:val="004C54C9"/>
    <w:rsid w:val="004C5E99"/>
    <w:rsid w:val="004D1F6E"/>
    <w:rsid w:val="004D3C57"/>
    <w:rsid w:val="004E5CF1"/>
    <w:rsid w:val="004F06B9"/>
    <w:rsid w:val="004F7EC1"/>
    <w:rsid w:val="0050176B"/>
    <w:rsid w:val="00504D63"/>
    <w:rsid w:val="00510E57"/>
    <w:rsid w:val="00523AE0"/>
    <w:rsid w:val="0052418E"/>
    <w:rsid w:val="005273DE"/>
    <w:rsid w:val="0053053F"/>
    <w:rsid w:val="005350B4"/>
    <w:rsid w:val="005441F5"/>
    <w:rsid w:val="00545AA5"/>
    <w:rsid w:val="00546589"/>
    <w:rsid w:val="00555228"/>
    <w:rsid w:val="0055583B"/>
    <w:rsid w:val="00557630"/>
    <w:rsid w:val="00562636"/>
    <w:rsid w:val="005664F6"/>
    <w:rsid w:val="00567A70"/>
    <w:rsid w:val="005737BB"/>
    <w:rsid w:val="00575C92"/>
    <w:rsid w:val="00581774"/>
    <w:rsid w:val="00586263"/>
    <w:rsid w:val="005900E0"/>
    <w:rsid w:val="00590419"/>
    <w:rsid w:val="00592992"/>
    <w:rsid w:val="00592BE9"/>
    <w:rsid w:val="00594675"/>
    <w:rsid w:val="005952EB"/>
    <w:rsid w:val="005A0539"/>
    <w:rsid w:val="005A190D"/>
    <w:rsid w:val="005A4E0E"/>
    <w:rsid w:val="005A692D"/>
    <w:rsid w:val="005B3F06"/>
    <w:rsid w:val="005C069A"/>
    <w:rsid w:val="005C142B"/>
    <w:rsid w:val="005C475C"/>
    <w:rsid w:val="005C5201"/>
    <w:rsid w:val="005D3688"/>
    <w:rsid w:val="005D3BB3"/>
    <w:rsid w:val="005E11B2"/>
    <w:rsid w:val="005F5830"/>
    <w:rsid w:val="00611792"/>
    <w:rsid w:val="0062020C"/>
    <w:rsid w:val="0062505C"/>
    <w:rsid w:val="006259BA"/>
    <w:rsid w:val="00626F5E"/>
    <w:rsid w:val="00630F58"/>
    <w:rsid w:val="00631991"/>
    <w:rsid w:val="00632029"/>
    <w:rsid w:val="00640FBC"/>
    <w:rsid w:val="006440DE"/>
    <w:rsid w:val="00644E0B"/>
    <w:rsid w:val="00650864"/>
    <w:rsid w:val="00652563"/>
    <w:rsid w:val="006651BA"/>
    <w:rsid w:val="00665778"/>
    <w:rsid w:val="00665ACF"/>
    <w:rsid w:val="00672E1D"/>
    <w:rsid w:val="00673FE4"/>
    <w:rsid w:val="00687217"/>
    <w:rsid w:val="006947F0"/>
    <w:rsid w:val="00694844"/>
    <w:rsid w:val="00697BED"/>
    <w:rsid w:val="006A4CC9"/>
    <w:rsid w:val="006B2FA6"/>
    <w:rsid w:val="006C6872"/>
    <w:rsid w:val="006D2E87"/>
    <w:rsid w:val="006D370A"/>
    <w:rsid w:val="006D3A4D"/>
    <w:rsid w:val="006D635B"/>
    <w:rsid w:val="006E31ED"/>
    <w:rsid w:val="006F0BC3"/>
    <w:rsid w:val="006F10E7"/>
    <w:rsid w:val="00703EE9"/>
    <w:rsid w:val="00707018"/>
    <w:rsid w:val="00710972"/>
    <w:rsid w:val="007132E0"/>
    <w:rsid w:val="00713BBC"/>
    <w:rsid w:val="00713D11"/>
    <w:rsid w:val="007164B2"/>
    <w:rsid w:val="00721D0E"/>
    <w:rsid w:val="00726686"/>
    <w:rsid w:val="00727B64"/>
    <w:rsid w:val="0073501A"/>
    <w:rsid w:val="00751363"/>
    <w:rsid w:val="00751EDB"/>
    <w:rsid w:val="00752E66"/>
    <w:rsid w:val="007631BA"/>
    <w:rsid w:val="00770760"/>
    <w:rsid w:val="00774176"/>
    <w:rsid w:val="007770A6"/>
    <w:rsid w:val="007829EA"/>
    <w:rsid w:val="00782AA2"/>
    <w:rsid w:val="00783224"/>
    <w:rsid w:val="00792B66"/>
    <w:rsid w:val="007964D3"/>
    <w:rsid w:val="007A527E"/>
    <w:rsid w:val="007A7A90"/>
    <w:rsid w:val="007B082C"/>
    <w:rsid w:val="007B30A9"/>
    <w:rsid w:val="007B4355"/>
    <w:rsid w:val="007C014F"/>
    <w:rsid w:val="007C2A6D"/>
    <w:rsid w:val="007D5FCB"/>
    <w:rsid w:val="007D65F3"/>
    <w:rsid w:val="007E6426"/>
    <w:rsid w:val="0080508A"/>
    <w:rsid w:val="00805470"/>
    <w:rsid w:val="008063BC"/>
    <w:rsid w:val="00810703"/>
    <w:rsid w:val="00810945"/>
    <w:rsid w:val="00811237"/>
    <w:rsid w:val="008162EE"/>
    <w:rsid w:val="00817267"/>
    <w:rsid w:val="00822890"/>
    <w:rsid w:val="008246D5"/>
    <w:rsid w:val="0082668A"/>
    <w:rsid w:val="008311B5"/>
    <w:rsid w:val="008403A0"/>
    <w:rsid w:val="00845387"/>
    <w:rsid w:val="008454DA"/>
    <w:rsid w:val="00852174"/>
    <w:rsid w:val="00865F25"/>
    <w:rsid w:val="00866969"/>
    <w:rsid w:val="008673F2"/>
    <w:rsid w:val="00875F3D"/>
    <w:rsid w:val="00877973"/>
    <w:rsid w:val="00887B50"/>
    <w:rsid w:val="0089061E"/>
    <w:rsid w:val="00890FA1"/>
    <w:rsid w:val="00892330"/>
    <w:rsid w:val="00893621"/>
    <w:rsid w:val="0089726F"/>
    <w:rsid w:val="00897584"/>
    <w:rsid w:val="008B0898"/>
    <w:rsid w:val="008B19CB"/>
    <w:rsid w:val="008B2969"/>
    <w:rsid w:val="008C0A95"/>
    <w:rsid w:val="008C3C9B"/>
    <w:rsid w:val="008C61FD"/>
    <w:rsid w:val="008D03C9"/>
    <w:rsid w:val="008D49A4"/>
    <w:rsid w:val="008D777C"/>
    <w:rsid w:val="008E5BA6"/>
    <w:rsid w:val="008E701D"/>
    <w:rsid w:val="008F3E7D"/>
    <w:rsid w:val="008F753C"/>
    <w:rsid w:val="00914BE9"/>
    <w:rsid w:val="0091726A"/>
    <w:rsid w:val="009237E3"/>
    <w:rsid w:val="009244C0"/>
    <w:rsid w:val="00925632"/>
    <w:rsid w:val="00925838"/>
    <w:rsid w:val="009269EE"/>
    <w:rsid w:val="009308DE"/>
    <w:rsid w:val="00935FB7"/>
    <w:rsid w:val="00945170"/>
    <w:rsid w:val="00945C30"/>
    <w:rsid w:val="00952716"/>
    <w:rsid w:val="00952EBB"/>
    <w:rsid w:val="00953508"/>
    <w:rsid w:val="00953B9E"/>
    <w:rsid w:val="00957856"/>
    <w:rsid w:val="00961128"/>
    <w:rsid w:val="0096172D"/>
    <w:rsid w:val="00961E77"/>
    <w:rsid w:val="00963772"/>
    <w:rsid w:val="00967CA6"/>
    <w:rsid w:val="00972765"/>
    <w:rsid w:val="0097462F"/>
    <w:rsid w:val="00981C49"/>
    <w:rsid w:val="009A2717"/>
    <w:rsid w:val="009B07AB"/>
    <w:rsid w:val="009B309E"/>
    <w:rsid w:val="009C3A1A"/>
    <w:rsid w:val="009C4B45"/>
    <w:rsid w:val="009C4F5D"/>
    <w:rsid w:val="009C5CD5"/>
    <w:rsid w:val="009C7155"/>
    <w:rsid w:val="009C7F3A"/>
    <w:rsid w:val="009D0AC2"/>
    <w:rsid w:val="009D1F0B"/>
    <w:rsid w:val="009D4770"/>
    <w:rsid w:val="009E0E18"/>
    <w:rsid w:val="009E6736"/>
    <w:rsid w:val="009F05B6"/>
    <w:rsid w:val="00A0177C"/>
    <w:rsid w:val="00A019F7"/>
    <w:rsid w:val="00A05E17"/>
    <w:rsid w:val="00A06F44"/>
    <w:rsid w:val="00A11331"/>
    <w:rsid w:val="00A21D09"/>
    <w:rsid w:val="00A228CC"/>
    <w:rsid w:val="00A229BF"/>
    <w:rsid w:val="00A3016E"/>
    <w:rsid w:val="00A3206C"/>
    <w:rsid w:val="00A336E6"/>
    <w:rsid w:val="00A33A42"/>
    <w:rsid w:val="00A34FBB"/>
    <w:rsid w:val="00A40BE6"/>
    <w:rsid w:val="00A42831"/>
    <w:rsid w:val="00A47F77"/>
    <w:rsid w:val="00A533EF"/>
    <w:rsid w:val="00A54FD9"/>
    <w:rsid w:val="00A564DE"/>
    <w:rsid w:val="00A65712"/>
    <w:rsid w:val="00A66872"/>
    <w:rsid w:val="00A671FF"/>
    <w:rsid w:val="00A72FE7"/>
    <w:rsid w:val="00A758DA"/>
    <w:rsid w:val="00A77A98"/>
    <w:rsid w:val="00A77F14"/>
    <w:rsid w:val="00A80C4D"/>
    <w:rsid w:val="00A83546"/>
    <w:rsid w:val="00A835FB"/>
    <w:rsid w:val="00A86441"/>
    <w:rsid w:val="00A97B71"/>
    <w:rsid w:val="00AA24FF"/>
    <w:rsid w:val="00AA380F"/>
    <w:rsid w:val="00AA4AB6"/>
    <w:rsid w:val="00AA5C59"/>
    <w:rsid w:val="00AA6345"/>
    <w:rsid w:val="00AA6588"/>
    <w:rsid w:val="00AB092F"/>
    <w:rsid w:val="00AB2AB0"/>
    <w:rsid w:val="00AB3154"/>
    <w:rsid w:val="00AB568B"/>
    <w:rsid w:val="00AC5344"/>
    <w:rsid w:val="00AC5F21"/>
    <w:rsid w:val="00AD4056"/>
    <w:rsid w:val="00AE176A"/>
    <w:rsid w:val="00AE3330"/>
    <w:rsid w:val="00AE37AF"/>
    <w:rsid w:val="00AF1851"/>
    <w:rsid w:val="00AF2DCD"/>
    <w:rsid w:val="00AF684B"/>
    <w:rsid w:val="00B06B73"/>
    <w:rsid w:val="00B143A2"/>
    <w:rsid w:val="00B17CD5"/>
    <w:rsid w:val="00B239FC"/>
    <w:rsid w:val="00B2785F"/>
    <w:rsid w:val="00B33005"/>
    <w:rsid w:val="00B35AE8"/>
    <w:rsid w:val="00B3750E"/>
    <w:rsid w:val="00B42588"/>
    <w:rsid w:val="00B455E1"/>
    <w:rsid w:val="00B45C27"/>
    <w:rsid w:val="00B46405"/>
    <w:rsid w:val="00B52835"/>
    <w:rsid w:val="00B52FA1"/>
    <w:rsid w:val="00B6000D"/>
    <w:rsid w:val="00B61718"/>
    <w:rsid w:val="00B6457B"/>
    <w:rsid w:val="00B718B8"/>
    <w:rsid w:val="00B72FA5"/>
    <w:rsid w:val="00B74C54"/>
    <w:rsid w:val="00B75930"/>
    <w:rsid w:val="00B80BF1"/>
    <w:rsid w:val="00B825B5"/>
    <w:rsid w:val="00B85DEA"/>
    <w:rsid w:val="00B8706A"/>
    <w:rsid w:val="00B9207F"/>
    <w:rsid w:val="00B9337E"/>
    <w:rsid w:val="00BA0A31"/>
    <w:rsid w:val="00BA0A4F"/>
    <w:rsid w:val="00BA18F6"/>
    <w:rsid w:val="00BA52C1"/>
    <w:rsid w:val="00BA5F0E"/>
    <w:rsid w:val="00BB3D51"/>
    <w:rsid w:val="00BB7C70"/>
    <w:rsid w:val="00BC50A1"/>
    <w:rsid w:val="00BD60EA"/>
    <w:rsid w:val="00BE48C3"/>
    <w:rsid w:val="00BE687E"/>
    <w:rsid w:val="00BF0B2F"/>
    <w:rsid w:val="00BF17A4"/>
    <w:rsid w:val="00C02B34"/>
    <w:rsid w:val="00C07602"/>
    <w:rsid w:val="00C10051"/>
    <w:rsid w:val="00C21A48"/>
    <w:rsid w:val="00C22BC8"/>
    <w:rsid w:val="00C27078"/>
    <w:rsid w:val="00C33DBE"/>
    <w:rsid w:val="00C34FD2"/>
    <w:rsid w:val="00C4673B"/>
    <w:rsid w:val="00C47D3A"/>
    <w:rsid w:val="00C5102F"/>
    <w:rsid w:val="00C51B84"/>
    <w:rsid w:val="00C539B6"/>
    <w:rsid w:val="00C573C9"/>
    <w:rsid w:val="00C62286"/>
    <w:rsid w:val="00C62A55"/>
    <w:rsid w:val="00C754C9"/>
    <w:rsid w:val="00C77661"/>
    <w:rsid w:val="00C842ED"/>
    <w:rsid w:val="00C84827"/>
    <w:rsid w:val="00C86BED"/>
    <w:rsid w:val="00C9167E"/>
    <w:rsid w:val="00C91F8D"/>
    <w:rsid w:val="00C952F0"/>
    <w:rsid w:val="00C95D8E"/>
    <w:rsid w:val="00CA082B"/>
    <w:rsid w:val="00CA209C"/>
    <w:rsid w:val="00CA7697"/>
    <w:rsid w:val="00CB4D2A"/>
    <w:rsid w:val="00CB6A2B"/>
    <w:rsid w:val="00CB6B18"/>
    <w:rsid w:val="00CB7AF8"/>
    <w:rsid w:val="00CC1020"/>
    <w:rsid w:val="00CD0A6F"/>
    <w:rsid w:val="00CD5A16"/>
    <w:rsid w:val="00CE0DDD"/>
    <w:rsid w:val="00CE1445"/>
    <w:rsid w:val="00CE25C3"/>
    <w:rsid w:val="00CE695B"/>
    <w:rsid w:val="00CE6AA1"/>
    <w:rsid w:val="00CF0318"/>
    <w:rsid w:val="00CF7F04"/>
    <w:rsid w:val="00D019D5"/>
    <w:rsid w:val="00D11EF7"/>
    <w:rsid w:val="00D1270D"/>
    <w:rsid w:val="00D15A31"/>
    <w:rsid w:val="00D20AE7"/>
    <w:rsid w:val="00D2132D"/>
    <w:rsid w:val="00D2444D"/>
    <w:rsid w:val="00D32136"/>
    <w:rsid w:val="00D4457E"/>
    <w:rsid w:val="00D45CB8"/>
    <w:rsid w:val="00D5431C"/>
    <w:rsid w:val="00D55120"/>
    <w:rsid w:val="00D56309"/>
    <w:rsid w:val="00D57F0F"/>
    <w:rsid w:val="00D653E2"/>
    <w:rsid w:val="00D6659F"/>
    <w:rsid w:val="00D73135"/>
    <w:rsid w:val="00D76746"/>
    <w:rsid w:val="00D76D49"/>
    <w:rsid w:val="00D86269"/>
    <w:rsid w:val="00D86441"/>
    <w:rsid w:val="00DA2882"/>
    <w:rsid w:val="00DA41EF"/>
    <w:rsid w:val="00DD0A9E"/>
    <w:rsid w:val="00DD0C56"/>
    <w:rsid w:val="00DD2FB3"/>
    <w:rsid w:val="00DD7415"/>
    <w:rsid w:val="00DE05D9"/>
    <w:rsid w:val="00DE1AA1"/>
    <w:rsid w:val="00DE1C9E"/>
    <w:rsid w:val="00DE1EB5"/>
    <w:rsid w:val="00DE611B"/>
    <w:rsid w:val="00DF60E6"/>
    <w:rsid w:val="00DF6D31"/>
    <w:rsid w:val="00E04576"/>
    <w:rsid w:val="00E20D2E"/>
    <w:rsid w:val="00E231B3"/>
    <w:rsid w:val="00E239A8"/>
    <w:rsid w:val="00E27789"/>
    <w:rsid w:val="00E3483C"/>
    <w:rsid w:val="00E356C8"/>
    <w:rsid w:val="00E35D3A"/>
    <w:rsid w:val="00E5379F"/>
    <w:rsid w:val="00E576C1"/>
    <w:rsid w:val="00E609E9"/>
    <w:rsid w:val="00E62069"/>
    <w:rsid w:val="00E64BED"/>
    <w:rsid w:val="00E65221"/>
    <w:rsid w:val="00E672D9"/>
    <w:rsid w:val="00E75EBC"/>
    <w:rsid w:val="00E93468"/>
    <w:rsid w:val="00E9716A"/>
    <w:rsid w:val="00EA025E"/>
    <w:rsid w:val="00EA154F"/>
    <w:rsid w:val="00EA4992"/>
    <w:rsid w:val="00EA4DD0"/>
    <w:rsid w:val="00EA501B"/>
    <w:rsid w:val="00EA5118"/>
    <w:rsid w:val="00EA6523"/>
    <w:rsid w:val="00EC11F5"/>
    <w:rsid w:val="00EC5F5C"/>
    <w:rsid w:val="00EC6F33"/>
    <w:rsid w:val="00ED0119"/>
    <w:rsid w:val="00ED05A0"/>
    <w:rsid w:val="00EF583B"/>
    <w:rsid w:val="00F001F6"/>
    <w:rsid w:val="00F025DB"/>
    <w:rsid w:val="00F02EE5"/>
    <w:rsid w:val="00F036F3"/>
    <w:rsid w:val="00F039D3"/>
    <w:rsid w:val="00F050EB"/>
    <w:rsid w:val="00F11D99"/>
    <w:rsid w:val="00F14F48"/>
    <w:rsid w:val="00F16C81"/>
    <w:rsid w:val="00F178AD"/>
    <w:rsid w:val="00F17CC9"/>
    <w:rsid w:val="00F20953"/>
    <w:rsid w:val="00F20E80"/>
    <w:rsid w:val="00F32CC7"/>
    <w:rsid w:val="00F3300E"/>
    <w:rsid w:val="00F34797"/>
    <w:rsid w:val="00F354E6"/>
    <w:rsid w:val="00F3693B"/>
    <w:rsid w:val="00F40356"/>
    <w:rsid w:val="00F40542"/>
    <w:rsid w:val="00F41F8A"/>
    <w:rsid w:val="00F43FB0"/>
    <w:rsid w:val="00F44A2E"/>
    <w:rsid w:val="00F52E00"/>
    <w:rsid w:val="00F54A74"/>
    <w:rsid w:val="00F56490"/>
    <w:rsid w:val="00F578BA"/>
    <w:rsid w:val="00F703DB"/>
    <w:rsid w:val="00F7365F"/>
    <w:rsid w:val="00F750F7"/>
    <w:rsid w:val="00F75C65"/>
    <w:rsid w:val="00F76996"/>
    <w:rsid w:val="00F77B47"/>
    <w:rsid w:val="00F83E14"/>
    <w:rsid w:val="00FA0B91"/>
    <w:rsid w:val="00FC2C72"/>
    <w:rsid w:val="00FC6C04"/>
    <w:rsid w:val="00FD5C4B"/>
    <w:rsid w:val="00FE0397"/>
    <w:rsid w:val="00FE0F50"/>
    <w:rsid w:val="00FE1876"/>
    <w:rsid w:val="00FE486C"/>
    <w:rsid w:val="00FE6FA1"/>
    <w:rsid w:val="00FE7BE1"/>
    <w:rsid w:val="00FF5236"/>
    <w:rsid w:val="00FF683C"/>
    <w:rsid w:val="00FF7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50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71"/>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F1E71"/>
    <w:rPr>
      <w:sz w:val="20"/>
      <w:szCs w:val="20"/>
    </w:rPr>
  </w:style>
  <w:style w:type="character" w:customStyle="1" w:styleId="CommentTextChar">
    <w:name w:val="Comment Text Char"/>
    <w:basedOn w:val="DefaultParagraphFont"/>
    <w:link w:val="CommentText"/>
    <w:uiPriority w:val="99"/>
    <w:rsid w:val="001F1E71"/>
    <w:rPr>
      <w:rFonts w:eastAsia="Times New Roman" w:cs="Times New Roman"/>
      <w:sz w:val="20"/>
      <w:szCs w:val="20"/>
      <w:lang w:val="lv-LV" w:eastAsia="ru-RU"/>
    </w:rPr>
  </w:style>
  <w:style w:type="paragraph" w:styleId="BodyText2">
    <w:name w:val="Body Text 2"/>
    <w:basedOn w:val="Normal"/>
    <w:link w:val="BodyText2Char"/>
    <w:semiHidden/>
    <w:unhideWhenUsed/>
    <w:rsid w:val="001F1E71"/>
    <w:pPr>
      <w:spacing w:after="120" w:line="480" w:lineRule="auto"/>
    </w:pPr>
    <w:rPr>
      <w:lang w:val="x-none"/>
    </w:rPr>
  </w:style>
  <w:style w:type="character" w:customStyle="1" w:styleId="BodyText2Char">
    <w:name w:val="Body Text 2 Char"/>
    <w:basedOn w:val="DefaultParagraphFont"/>
    <w:link w:val="BodyText2"/>
    <w:semiHidden/>
    <w:rsid w:val="001F1E71"/>
    <w:rPr>
      <w:rFonts w:eastAsia="Times New Roman" w:cs="Times New Roman"/>
      <w:szCs w:val="24"/>
      <w:lang w:val="x-none" w:eastAsia="ru-RU"/>
    </w:rPr>
  </w:style>
  <w:style w:type="paragraph" w:styleId="ListParagraph">
    <w:name w:val="List Paragraph"/>
    <w:basedOn w:val="Normal"/>
    <w:uiPriority w:val="34"/>
    <w:qFormat/>
    <w:rsid w:val="001F1E71"/>
    <w:pPr>
      <w:ind w:left="720"/>
      <w:contextualSpacing/>
    </w:pPr>
    <w:rPr>
      <w:lang w:eastAsia="lv-LV"/>
    </w:rPr>
  </w:style>
  <w:style w:type="character" w:styleId="CommentReference">
    <w:name w:val="annotation reference"/>
    <w:basedOn w:val="DefaultParagraphFont"/>
    <w:uiPriority w:val="99"/>
    <w:semiHidden/>
    <w:unhideWhenUsed/>
    <w:rsid w:val="001F1E71"/>
    <w:rPr>
      <w:sz w:val="16"/>
      <w:szCs w:val="16"/>
    </w:rPr>
  </w:style>
  <w:style w:type="table" w:styleId="TableGrid">
    <w:name w:val="Table Grid"/>
    <w:basedOn w:val="TableNormal"/>
    <w:uiPriority w:val="39"/>
    <w:rsid w:val="001F1E71"/>
    <w:pPr>
      <w:spacing w:after="0" w:line="240" w:lineRule="auto"/>
    </w:pPr>
    <w:rPr>
      <w:rFonts w:asciiTheme="minorHAnsi" w:hAnsiTheme="minorHAnsi"/>
      <w:sz w:val="22"/>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533EF"/>
    <w:rPr>
      <w:b/>
      <w:bCs/>
    </w:rPr>
  </w:style>
  <w:style w:type="character" w:customStyle="1" w:styleId="CommentSubjectChar">
    <w:name w:val="Comment Subject Char"/>
    <w:basedOn w:val="CommentTextChar"/>
    <w:link w:val="CommentSubject"/>
    <w:uiPriority w:val="99"/>
    <w:semiHidden/>
    <w:rsid w:val="00A533EF"/>
    <w:rPr>
      <w:rFonts w:eastAsia="Times New Roman" w:cs="Times New Roman"/>
      <w:b/>
      <w:bCs/>
      <w:sz w:val="20"/>
      <w:szCs w:val="20"/>
      <w:lang w:val="lv-LV" w:eastAsia="ru-RU"/>
    </w:rPr>
  </w:style>
  <w:style w:type="paragraph" w:styleId="Header">
    <w:name w:val="header"/>
    <w:basedOn w:val="Normal"/>
    <w:link w:val="HeaderChar"/>
    <w:uiPriority w:val="99"/>
    <w:unhideWhenUsed/>
    <w:rsid w:val="00470ACA"/>
    <w:pPr>
      <w:tabs>
        <w:tab w:val="center" w:pos="4513"/>
        <w:tab w:val="right" w:pos="9026"/>
      </w:tabs>
    </w:pPr>
  </w:style>
  <w:style w:type="character" w:customStyle="1" w:styleId="HeaderChar">
    <w:name w:val="Header Char"/>
    <w:basedOn w:val="DefaultParagraphFont"/>
    <w:link w:val="Header"/>
    <w:uiPriority w:val="99"/>
    <w:rsid w:val="00470ACA"/>
    <w:rPr>
      <w:rFonts w:eastAsia="Times New Roman" w:cs="Times New Roman"/>
      <w:szCs w:val="24"/>
      <w:lang w:val="lv-LV" w:eastAsia="ru-RU"/>
    </w:rPr>
  </w:style>
  <w:style w:type="paragraph" w:styleId="Footer">
    <w:name w:val="footer"/>
    <w:basedOn w:val="Normal"/>
    <w:link w:val="FooterChar"/>
    <w:uiPriority w:val="99"/>
    <w:unhideWhenUsed/>
    <w:rsid w:val="00470ACA"/>
    <w:pPr>
      <w:tabs>
        <w:tab w:val="center" w:pos="4513"/>
        <w:tab w:val="right" w:pos="9026"/>
      </w:tabs>
    </w:pPr>
  </w:style>
  <w:style w:type="character" w:customStyle="1" w:styleId="FooterChar">
    <w:name w:val="Footer Char"/>
    <w:basedOn w:val="DefaultParagraphFont"/>
    <w:link w:val="Footer"/>
    <w:uiPriority w:val="99"/>
    <w:rsid w:val="00470ACA"/>
    <w:rPr>
      <w:rFonts w:eastAsia="Times New Roman" w:cs="Times New Roman"/>
      <w:szCs w:val="24"/>
      <w:lang w:val="lv-LV" w:eastAsia="ru-RU"/>
    </w:rPr>
  </w:style>
  <w:style w:type="character" w:styleId="Hyperlink">
    <w:name w:val="Hyperlink"/>
    <w:basedOn w:val="DefaultParagraphFont"/>
    <w:uiPriority w:val="99"/>
    <w:unhideWhenUsed/>
    <w:rsid w:val="007829EA"/>
    <w:rPr>
      <w:color w:val="0563C1" w:themeColor="hyperlink"/>
      <w:u w:val="single"/>
    </w:rPr>
  </w:style>
  <w:style w:type="character" w:styleId="UnresolvedMention">
    <w:name w:val="Unresolved Mention"/>
    <w:basedOn w:val="DefaultParagraphFont"/>
    <w:uiPriority w:val="99"/>
    <w:semiHidden/>
    <w:unhideWhenUsed/>
    <w:rsid w:val="007829EA"/>
    <w:rPr>
      <w:color w:val="605E5C"/>
      <w:shd w:val="clear" w:color="auto" w:fill="E1DFDD"/>
    </w:rPr>
  </w:style>
  <w:style w:type="character" w:styleId="FollowedHyperlink">
    <w:name w:val="FollowedHyperlink"/>
    <w:basedOn w:val="DefaultParagraphFont"/>
    <w:uiPriority w:val="99"/>
    <w:semiHidden/>
    <w:unhideWhenUsed/>
    <w:rsid w:val="007829EA"/>
    <w:rPr>
      <w:color w:val="954F72" w:themeColor="followedHyperlink"/>
      <w:u w:val="single"/>
    </w:rPr>
  </w:style>
  <w:style w:type="paragraph" w:customStyle="1" w:styleId="tv213">
    <w:name w:val="tv213"/>
    <w:basedOn w:val="Normal"/>
    <w:rsid w:val="00F83E14"/>
    <w:pPr>
      <w:spacing w:before="100" w:beforeAutospacing="1" w:after="100" w:afterAutospacing="1"/>
    </w:pPr>
    <w:rPr>
      <w:lang w:eastAsia="lv-LV"/>
    </w:rPr>
  </w:style>
  <w:style w:type="paragraph" w:styleId="Revision">
    <w:name w:val="Revision"/>
    <w:hidden/>
    <w:uiPriority w:val="99"/>
    <w:semiHidden/>
    <w:rsid w:val="009308DE"/>
    <w:pPr>
      <w:spacing w:after="0" w:line="240" w:lineRule="auto"/>
    </w:pPr>
    <w:rPr>
      <w:rFonts w:eastAsia="Times New Roman" w:cs="Times New Roman"/>
      <w:szCs w:val="24"/>
      <w:lang w:val="lv-LV" w:eastAsia="ru-RU"/>
    </w:rPr>
  </w:style>
  <w:style w:type="paragraph" w:styleId="FootnoteText">
    <w:name w:val="footnote text"/>
    <w:basedOn w:val="Normal"/>
    <w:link w:val="FootnoteTextChar"/>
    <w:uiPriority w:val="99"/>
    <w:semiHidden/>
    <w:unhideWhenUsed/>
    <w:rsid w:val="00C84827"/>
    <w:rPr>
      <w:sz w:val="20"/>
      <w:szCs w:val="20"/>
    </w:rPr>
  </w:style>
  <w:style w:type="character" w:customStyle="1" w:styleId="FootnoteTextChar">
    <w:name w:val="Footnote Text Char"/>
    <w:basedOn w:val="DefaultParagraphFont"/>
    <w:link w:val="FootnoteText"/>
    <w:uiPriority w:val="99"/>
    <w:semiHidden/>
    <w:rsid w:val="00C84827"/>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C848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1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wp-content/uploads/2016/02/2009-93-01_Spriedums.pdf" TargetMode="External"/><Relationship Id="rId13" Type="http://schemas.openxmlformats.org/officeDocument/2006/relationships/hyperlink" Target="https://www.at.gov.lv/downloadlawfile/4215" TargetMode="External"/><Relationship Id="rId18" Type="http://schemas.openxmlformats.org/officeDocument/2006/relationships/hyperlink" Target="https://www.at.gov.lv/downloadlawfile/609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nas.tiesas.lv/eTiesasMvc/nolemumi/pdf/392220.pdf" TargetMode="External"/><Relationship Id="rId17" Type="http://schemas.openxmlformats.org/officeDocument/2006/relationships/hyperlink" Target="https://manas.tiesas.lv/eTiesasMvc/nolemumi/pdf/256133.pdf" TargetMode="External"/><Relationship Id="rId2" Type="http://schemas.openxmlformats.org/officeDocument/2006/relationships/numbering" Target="numbering.xml"/><Relationship Id="rId16" Type="http://schemas.openxmlformats.org/officeDocument/2006/relationships/hyperlink" Target="https://www.at.gov.lv/downloadlawfile/779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189790.pdf" TargetMode="External"/><Relationship Id="rId5" Type="http://schemas.openxmlformats.org/officeDocument/2006/relationships/webSettings" Target="webSettings.xml"/><Relationship Id="rId15" Type="http://schemas.openxmlformats.org/officeDocument/2006/relationships/hyperlink" Target="https://www.at.gov.lv/files/uploads/files/2_Par_Augstako_tiesu/Plenums/Plen_lem_2001_3_svesas_mantas_laupisana.docx" TargetMode="External"/><Relationship Id="rId10" Type="http://schemas.openxmlformats.org/officeDocument/2006/relationships/hyperlink" Target="https://www.satv.tiesa.gov.lv/web/viewer.html?file=/wp-content/uploads/2016/02/2009-100-03_Lemums_izbeigsana.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8149" TargetMode="External"/><Relationship Id="rId14" Type="http://schemas.openxmlformats.org/officeDocument/2006/relationships/hyperlink" Target="https://www.at.gov.lv/downloadlawfile/5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D69B-6416-43E6-B753-DB392F19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26301</Words>
  <Characters>14993</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2023-06-19T09:57:00Z</dcterms:created>
  <dcterms:modified xsi:type="dcterms:W3CDTF">2023-06-19T09:57:00Z</dcterms:modified>
</cp:coreProperties>
</file>