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21540" w14:textId="77777777" w:rsidR="00970B5F" w:rsidRPr="009D45C8" w:rsidRDefault="00970B5F" w:rsidP="00970B5F">
      <w:pPr>
        <w:spacing w:after="0"/>
        <w:jc w:val="both"/>
        <w:rPr>
          <w:b/>
          <w:bCs/>
        </w:rPr>
      </w:pPr>
      <w:r w:rsidRPr="009D45C8">
        <w:rPr>
          <w:b/>
          <w:bCs/>
        </w:rPr>
        <w:t>Fakta legālā prezumpcija attiecībā uz autortiesību pārkāpumu</w:t>
      </w:r>
    </w:p>
    <w:p w14:paraId="7CFECF7B" w14:textId="4E060A72" w:rsidR="00D62C56" w:rsidRDefault="00970B5F" w:rsidP="00970B5F">
      <w:pPr>
        <w:widowControl w:val="0"/>
        <w:spacing w:after="0"/>
        <w:jc w:val="both"/>
      </w:pPr>
      <w:r>
        <w:t>Ja tiek fiksēts, ka persona izmanto autortiesību objektu, tai ir pienākums pierādīt šo tiesību legālu iegūšanu. Pretējā gadījumā tiek prezumēts, ka persona ir pārkāpusi tiesiskā īpašnieka autortiesības.</w:t>
      </w:r>
    </w:p>
    <w:p w14:paraId="04472089" w14:textId="77777777" w:rsidR="00970B5F" w:rsidRDefault="00970B5F" w:rsidP="00970B5F">
      <w:pPr>
        <w:widowControl w:val="0"/>
        <w:spacing w:after="0"/>
        <w:jc w:val="both"/>
      </w:pPr>
    </w:p>
    <w:p w14:paraId="794E0608" w14:textId="77777777" w:rsidR="00970B5F" w:rsidRPr="009D45C8" w:rsidRDefault="00970B5F" w:rsidP="00970B5F">
      <w:pPr>
        <w:spacing w:after="0"/>
        <w:jc w:val="both"/>
        <w:rPr>
          <w:b/>
          <w:bCs/>
        </w:rPr>
      </w:pPr>
      <w:r w:rsidRPr="009D45C8">
        <w:rPr>
          <w:b/>
          <w:bCs/>
        </w:rPr>
        <w:t>Apsūdzētā atbrīvošanas no kriminālatbildības, ja konstatēts tiesību uz kriminālprocesa pabeigšanu saprātīgā termiņā pārkāpums, samērošana ar sabiedrības interesēm</w:t>
      </w:r>
    </w:p>
    <w:p w14:paraId="2559DAEE" w14:textId="414A5499" w:rsidR="00970B5F" w:rsidRPr="00B14CA7" w:rsidRDefault="00970B5F" w:rsidP="00970B5F">
      <w:pPr>
        <w:widowControl w:val="0"/>
        <w:spacing w:after="0"/>
        <w:jc w:val="both"/>
        <w:rPr>
          <w:rFonts w:cs="Times New Roman"/>
          <w:color w:val="000000" w:themeColor="text1"/>
          <w:szCs w:val="24"/>
        </w:rPr>
      </w:pPr>
      <w:r w:rsidRPr="009D45C8">
        <w:t>Lemjot par iespēju atbrīvot apsūdzēto no kriminālatbildības, ja konstatēts tiesību uz kriminālprocesa pabeigšanu saprātīgā termiņā pārkāpums, ir izvērtējams arī ar noziedzīgo nodarījumu aizskarto interešu nozīmīgums, lai samērotu šo iespēju ar sabiedrības interesēm, kuras var tikt aizskartas šādā gadījumā.</w:t>
      </w:r>
    </w:p>
    <w:p w14:paraId="51C34ACD" w14:textId="5157E583" w:rsidR="00D62C56" w:rsidRPr="00B14CA7" w:rsidRDefault="00D62C56" w:rsidP="00970B5F">
      <w:pPr>
        <w:pStyle w:val="BodyText2"/>
        <w:widowControl w:val="0"/>
        <w:spacing w:line="276" w:lineRule="auto"/>
        <w:jc w:val="left"/>
        <w:rPr>
          <w:rFonts w:ascii="Times New Roman" w:hAnsi="Times New Roman"/>
          <w:color w:val="000000" w:themeColor="text1"/>
          <w:sz w:val="24"/>
          <w:szCs w:val="24"/>
        </w:rPr>
      </w:pPr>
    </w:p>
    <w:p w14:paraId="1ACDB6AD" w14:textId="77777777" w:rsidR="00970B5F" w:rsidRPr="00970B5F" w:rsidRDefault="00D62C56" w:rsidP="00FF10E6">
      <w:pPr>
        <w:widowControl w:val="0"/>
        <w:spacing w:after="0"/>
        <w:jc w:val="center"/>
        <w:rPr>
          <w:rFonts w:cs="Times New Roman"/>
          <w:b/>
          <w:color w:val="000000" w:themeColor="text1"/>
          <w:szCs w:val="24"/>
        </w:rPr>
      </w:pPr>
      <w:r w:rsidRPr="00970B5F">
        <w:rPr>
          <w:rFonts w:cs="Times New Roman"/>
          <w:b/>
          <w:color w:val="000000" w:themeColor="text1"/>
          <w:szCs w:val="24"/>
        </w:rPr>
        <w:t>Latvijas Republikas Senāt</w:t>
      </w:r>
      <w:r w:rsidR="00970B5F" w:rsidRPr="00970B5F">
        <w:rPr>
          <w:rFonts w:cs="Times New Roman"/>
          <w:b/>
          <w:color w:val="000000" w:themeColor="text1"/>
          <w:szCs w:val="24"/>
        </w:rPr>
        <w:t xml:space="preserve">a </w:t>
      </w:r>
    </w:p>
    <w:p w14:paraId="285B6278" w14:textId="77777777" w:rsidR="00970B5F" w:rsidRPr="00970B5F" w:rsidRDefault="00970B5F" w:rsidP="00FF10E6">
      <w:pPr>
        <w:widowControl w:val="0"/>
        <w:spacing w:after="0"/>
        <w:jc w:val="center"/>
        <w:rPr>
          <w:rFonts w:cs="Times New Roman"/>
          <w:b/>
          <w:color w:val="000000" w:themeColor="text1"/>
          <w:szCs w:val="24"/>
        </w:rPr>
      </w:pPr>
      <w:r w:rsidRPr="00970B5F">
        <w:rPr>
          <w:rFonts w:cs="Times New Roman"/>
          <w:b/>
          <w:color w:val="000000" w:themeColor="text1"/>
          <w:szCs w:val="24"/>
        </w:rPr>
        <w:t>Krimināllietu departamenta</w:t>
      </w:r>
    </w:p>
    <w:p w14:paraId="4C198D1D" w14:textId="2254C020" w:rsidR="00D62C56" w:rsidRPr="00970B5F" w:rsidRDefault="00970B5F" w:rsidP="00FF10E6">
      <w:pPr>
        <w:widowControl w:val="0"/>
        <w:spacing w:after="0"/>
        <w:jc w:val="center"/>
        <w:rPr>
          <w:rFonts w:cs="Times New Roman"/>
          <w:b/>
          <w:color w:val="000000" w:themeColor="text1"/>
          <w:szCs w:val="24"/>
        </w:rPr>
      </w:pPr>
      <w:r w:rsidRPr="00970B5F">
        <w:rPr>
          <w:rFonts w:cs="Times New Roman"/>
          <w:b/>
          <w:color w:val="000000" w:themeColor="text1"/>
          <w:szCs w:val="24"/>
        </w:rPr>
        <w:t>2023. gada 23. marta</w:t>
      </w:r>
    </w:p>
    <w:p w14:paraId="0B4767EE" w14:textId="77777777" w:rsidR="00D62C56" w:rsidRPr="00970B5F" w:rsidRDefault="00D62C56" w:rsidP="00FF10E6">
      <w:pPr>
        <w:widowControl w:val="0"/>
        <w:spacing w:after="0"/>
        <w:jc w:val="center"/>
        <w:rPr>
          <w:rFonts w:cs="Times New Roman"/>
          <w:b/>
          <w:color w:val="000000" w:themeColor="text1"/>
          <w:szCs w:val="24"/>
        </w:rPr>
      </w:pPr>
      <w:r w:rsidRPr="00970B5F">
        <w:rPr>
          <w:rFonts w:cs="Times New Roman"/>
          <w:b/>
          <w:color w:val="000000" w:themeColor="text1"/>
          <w:szCs w:val="24"/>
        </w:rPr>
        <w:t>LĒMUMS</w:t>
      </w:r>
    </w:p>
    <w:p w14:paraId="4D6AD97F" w14:textId="34388455" w:rsidR="00D62C56" w:rsidRPr="00970B5F" w:rsidRDefault="00970B5F" w:rsidP="00FF10E6">
      <w:pPr>
        <w:widowControl w:val="0"/>
        <w:spacing w:after="0"/>
        <w:jc w:val="center"/>
        <w:rPr>
          <w:rFonts w:cs="Times New Roman"/>
          <w:color w:val="000000" w:themeColor="text1"/>
          <w:szCs w:val="24"/>
        </w:rPr>
      </w:pPr>
      <w:r w:rsidRPr="00970B5F">
        <w:rPr>
          <w:rFonts w:cs="Times New Roman"/>
          <w:b/>
          <w:color w:val="000000" w:themeColor="text1"/>
          <w:szCs w:val="24"/>
        </w:rPr>
        <w:t>Lieta Nr. 11816006415, SKK-25/2023</w:t>
      </w:r>
    </w:p>
    <w:p w14:paraId="72190E37" w14:textId="321F30DD" w:rsidR="00970B5F" w:rsidRPr="00970B5F" w:rsidRDefault="005575E8" w:rsidP="00FF10E6">
      <w:pPr>
        <w:widowControl w:val="0"/>
        <w:spacing w:after="0"/>
        <w:jc w:val="center"/>
        <w:rPr>
          <w:rFonts w:cs="Times New Roman"/>
          <w:color w:val="000000" w:themeColor="text1"/>
          <w:szCs w:val="24"/>
        </w:rPr>
      </w:pPr>
      <w:hyperlink r:id="rId8" w:history="1">
        <w:r w:rsidR="00970B5F" w:rsidRPr="00970B5F">
          <w:rPr>
            <w:rStyle w:val="Hyperlink"/>
            <w:rFonts w:cs="Times New Roman"/>
            <w:szCs w:val="24"/>
            <w:shd w:val="clear" w:color="auto" w:fill="FFFFFF"/>
          </w:rPr>
          <w:t>ECLI:LV:AT:2023:0323.11816006415.11.L</w:t>
        </w:r>
      </w:hyperlink>
    </w:p>
    <w:p w14:paraId="0AB214CC" w14:textId="77777777" w:rsidR="00C90982" w:rsidRPr="00B14CA7" w:rsidRDefault="00C90982" w:rsidP="00426462">
      <w:pPr>
        <w:widowControl w:val="0"/>
        <w:spacing w:after="0"/>
        <w:ind w:firstLine="720"/>
        <w:jc w:val="center"/>
        <w:rPr>
          <w:rFonts w:cs="Times New Roman"/>
          <w:color w:val="000000" w:themeColor="text1"/>
          <w:szCs w:val="24"/>
        </w:rPr>
      </w:pPr>
    </w:p>
    <w:p w14:paraId="1726B448" w14:textId="3D961AE4" w:rsidR="00D62C56" w:rsidRDefault="00B82848" w:rsidP="00426462">
      <w:pPr>
        <w:widowControl w:val="0"/>
        <w:spacing w:after="0"/>
        <w:ind w:firstLine="720"/>
        <w:jc w:val="both"/>
        <w:rPr>
          <w:rFonts w:cs="Times New Roman"/>
          <w:color w:val="000000" w:themeColor="text1"/>
          <w:szCs w:val="24"/>
        </w:rPr>
      </w:pPr>
      <w:r>
        <w:rPr>
          <w:rFonts w:cs="Times New Roman"/>
          <w:color w:val="000000" w:themeColor="text1"/>
          <w:szCs w:val="24"/>
        </w:rPr>
        <w:t>Senāts</w:t>
      </w:r>
      <w:r w:rsidR="00D62C56" w:rsidRPr="00B14CA7">
        <w:rPr>
          <w:rFonts w:cs="Times New Roman"/>
          <w:color w:val="000000" w:themeColor="text1"/>
          <w:szCs w:val="24"/>
        </w:rPr>
        <w:t xml:space="preserve"> šādā sastāvā: senator</w:t>
      </w:r>
      <w:r>
        <w:rPr>
          <w:rFonts w:cs="Times New Roman"/>
          <w:color w:val="000000" w:themeColor="text1"/>
          <w:szCs w:val="24"/>
        </w:rPr>
        <w:t>e referente</w:t>
      </w:r>
      <w:r w:rsidR="00D62C56" w:rsidRPr="00B14CA7">
        <w:rPr>
          <w:rFonts w:cs="Times New Roman"/>
          <w:color w:val="000000" w:themeColor="text1"/>
          <w:szCs w:val="24"/>
        </w:rPr>
        <w:t xml:space="preserve"> </w:t>
      </w:r>
      <w:r w:rsidR="00BD59B9">
        <w:t xml:space="preserve">Inguna Radzeviča, </w:t>
      </w:r>
      <w:r>
        <w:t>senatori Sandra Kaija un Aivars Uminskis</w:t>
      </w:r>
    </w:p>
    <w:p w14:paraId="6CD49DBD" w14:textId="77777777" w:rsidR="00C90982" w:rsidRPr="00B14CA7" w:rsidRDefault="00C90982" w:rsidP="00426462">
      <w:pPr>
        <w:widowControl w:val="0"/>
        <w:spacing w:after="0"/>
        <w:ind w:firstLine="720"/>
        <w:jc w:val="both"/>
        <w:rPr>
          <w:rFonts w:cs="Times New Roman"/>
          <w:color w:val="000000" w:themeColor="text1"/>
          <w:szCs w:val="24"/>
        </w:rPr>
      </w:pPr>
    </w:p>
    <w:p w14:paraId="42DEEB26" w14:textId="46DBF38D" w:rsidR="00D62C56" w:rsidRPr="00B14CA7" w:rsidRDefault="00D62C56" w:rsidP="00426462">
      <w:pPr>
        <w:widowControl w:val="0"/>
        <w:spacing w:after="0"/>
        <w:ind w:firstLine="720"/>
        <w:jc w:val="both"/>
        <w:rPr>
          <w:rFonts w:cs="Times New Roman"/>
          <w:color w:val="000000" w:themeColor="text1"/>
          <w:szCs w:val="24"/>
        </w:rPr>
      </w:pPr>
      <w:r w:rsidRPr="00B14CA7">
        <w:rPr>
          <w:rFonts w:cs="Times New Roman"/>
          <w:color w:val="000000" w:themeColor="text1"/>
          <w:szCs w:val="24"/>
        </w:rPr>
        <w:t xml:space="preserve">izskatīja rakstveida procesā krimināllietu sakarā ar </w:t>
      </w:r>
      <w:r w:rsidR="00154E75">
        <w:rPr>
          <w:rFonts w:cs="Times New Roman"/>
          <w:color w:val="000000" w:themeColor="text1"/>
          <w:szCs w:val="24"/>
        </w:rPr>
        <w:t xml:space="preserve">apsūdzētā </w:t>
      </w:r>
      <w:r w:rsidR="00970B5F">
        <w:rPr>
          <w:rFonts w:cs="Times New Roman"/>
          <w:color w:val="000000" w:themeColor="text1"/>
          <w:szCs w:val="24"/>
        </w:rPr>
        <w:t>[pers. </w:t>
      </w:r>
      <w:r w:rsidR="00970B5F">
        <w:t>A]</w:t>
      </w:r>
      <w:r w:rsidR="00154E75">
        <w:rPr>
          <w:rFonts w:cs="Times New Roman"/>
          <w:color w:val="000000" w:themeColor="text1"/>
          <w:szCs w:val="24"/>
        </w:rPr>
        <w:t xml:space="preserve"> </w:t>
      </w:r>
      <w:r w:rsidR="00B36D8F">
        <w:rPr>
          <w:rFonts w:cs="Times New Roman"/>
          <w:color w:val="000000" w:themeColor="text1"/>
          <w:szCs w:val="24"/>
        </w:rPr>
        <w:t>aizstāvj</w:t>
      </w:r>
      <w:r w:rsidR="00F3246C">
        <w:rPr>
          <w:rFonts w:cs="Times New Roman"/>
          <w:color w:val="000000" w:themeColor="text1"/>
          <w:szCs w:val="24"/>
        </w:rPr>
        <w:t>u</w:t>
      </w:r>
      <w:r w:rsidR="00B36D8F">
        <w:rPr>
          <w:rFonts w:cs="Times New Roman"/>
          <w:color w:val="000000" w:themeColor="text1"/>
          <w:szCs w:val="24"/>
        </w:rPr>
        <w:t xml:space="preserve"> </w:t>
      </w:r>
      <w:r w:rsidR="00B82848">
        <w:rPr>
          <w:rFonts w:cs="Times New Roman"/>
          <w:color w:val="000000" w:themeColor="text1"/>
          <w:szCs w:val="24"/>
        </w:rPr>
        <w:t xml:space="preserve">zvērināta advokāta </w:t>
      </w:r>
      <w:r w:rsidR="00B36D8F">
        <w:rPr>
          <w:rFonts w:cs="Times New Roman"/>
          <w:color w:val="000000" w:themeColor="text1"/>
          <w:szCs w:val="24"/>
        </w:rPr>
        <w:t>A</w:t>
      </w:r>
      <w:r w:rsidR="00B82848">
        <w:rPr>
          <w:rFonts w:cs="Times New Roman"/>
          <w:color w:val="000000" w:themeColor="text1"/>
          <w:szCs w:val="24"/>
        </w:rPr>
        <w:t xml:space="preserve">rmanda Rasas </w:t>
      </w:r>
      <w:r w:rsidR="00F3246C">
        <w:rPr>
          <w:rFonts w:cs="Times New Roman"/>
          <w:color w:val="000000" w:themeColor="text1"/>
          <w:szCs w:val="24"/>
        </w:rPr>
        <w:t xml:space="preserve">un zvērināta advokāta palīdzes Lienes Pommeres </w:t>
      </w:r>
      <w:r w:rsidR="00154E75">
        <w:rPr>
          <w:rFonts w:cs="Times New Roman"/>
          <w:color w:val="000000" w:themeColor="text1"/>
          <w:szCs w:val="24"/>
        </w:rPr>
        <w:t>kasācijas sūdzīb</w:t>
      </w:r>
      <w:r w:rsidR="00B82848">
        <w:rPr>
          <w:rFonts w:cs="Times New Roman"/>
          <w:color w:val="000000" w:themeColor="text1"/>
          <w:szCs w:val="24"/>
        </w:rPr>
        <w:t>u</w:t>
      </w:r>
      <w:r w:rsidR="00836D37">
        <w:rPr>
          <w:rFonts w:cs="Times New Roman"/>
          <w:color w:val="000000" w:themeColor="text1"/>
          <w:szCs w:val="24"/>
        </w:rPr>
        <w:t xml:space="preserve"> par </w:t>
      </w:r>
      <w:r w:rsidR="00B82848">
        <w:rPr>
          <w:rFonts w:cs="Times New Roman"/>
          <w:color w:val="000000" w:themeColor="text1"/>
          <w:szCs w:val="24"/>
        </w:rPr>
        <w:t xml:space="preserve">Kurzemes </w:t>
      </w:r>
      <w:r w:rsidR="00A34C3D" w:rsidRPr="00B14CA7">
        <w:rPr>
          <w:rFonts w:cs="Times New Roman"/>
          <w:color w:val="000000" w:themeColor="text1"/>
          <w:szCs w:val="24"/>
        </w:rPr>
        <w:t>apgabaltiesas 20</w:t>
      </w:r>
      <w:r w:rsidR="00154E75">
        <w:rPr>
          <w:rFonts w:cs="Times New Roman"/>
          <w:color w:val="000000" w:themeColor="text1"/>
          <w:szCs w:val="24"/>
        </w:rPr>
        <w:t>2</w:t>
      </w:r>
      <w:r w:rsidR="00B82848">
        <w:rPr>
          <w:rFonts w:cs="Times New Roman"/>
          <w:color w:val="000000" w:themeColor="text1"/>
          <w:szCs w:val="24"/>
        </w:rPr>
        <w:t>2</w:t>
      </w:r>
      <w:r w:rsidR="00A34C3D" w:rsidRPr="00B14CA7">
        <w:rPr>
          <w:rFonts w:cs="Times New Roman"/>
          <w:color w:val="000000" w:themeColor="text1"/>
          <w:szCs w:val="24"/>
        </w:rPr>
        <w:t>.</w:t>
      </w:r>
      <w:r w:rsidR="00B82848">
        <w:rPr>
          <w:rFonts w:cs="Times New Roman"/>
          <w:color w:val="000000" w:themeColor="text1"/>
          <w:szCs w:val="24"/>
        </w:rPr>
        <w:t> </w:t>
      </w:r>
      <w:r w:rsidR="00A34C3D" w:rsidRPr="00B14CA7">
        <w:rPr>
          <w:rFonts w:cs="Times New Roman"/>
          <w:color w:val="000000" w:themeColor="text1"/>
          <w:szCs w:val="24"/>
        </w:rPr>
        <w:t xml:space="preserve">gada </w:t>
      </w:r>
      <w:r w:rsidR="00B82848">
        <w:rPr>
          <w:rFonts w:cs="Times New Roman"/>
          <w:color w:val="000000" w:themeColor="text1"/>
          <w:szCs w:val="24"/>
        </w:rPr>
        <w:t>9. marta</w:t>
      </w:r>
      <w:r w:rsidR="00A34C3D" w:rsidRPr="00B14CA7">
        <w:rPr>
          <w:rFonts w:cs="Times New Roman"/>
          <w:color w:val="000000" w:themeColor="text1"/>
          <w:szCs w:val="24"/>
        </w:rPr>
        <w:t xml:space="preserve"> </w:t>
      </w:r>
      <w:r w:rsidR="00B36D8F">
        <w:rPr>
          <w:rFonts w:cs="Times New Roman"/>
          <w:color w:val="000000" w:themeColor="text1"/>
          <w:szCs w:val="24"/>
        </w:rPr>
        <w:t>spriedumu</w:t>
      </w:r>
      <w:r w:rsidR="00A34C3D" w:rsidRPr="00B14CA7">
        <w:rPr>
          <w:rFonts w:cs="Times New Roman"/>
          <w:color w:val="000000" w:themeColor="text1"/>
          <w:szCs w:val="24"/>
        </w:rPr>
        <w:t>.</w:t>
      </w:r>
    </w:p>
    <w:p w14:paraId="7CEFE518" w14:textId="77777777" w:rsidR="00F05D2B" w:rsidRPr="00B14CA7" w:rsidRDefault="00F05D2B" w:rsidP="00426462">
      <w:pPr>
        <w:widowControl w:val="0"/>
        <w:spacing w:after="0"/>
        <w:ind w:firstLine="720"/>
        <w:jc w:val="both"/>
        <w:rPr>
          <w:rFonts w:cs="Times New Roman"/>
          <w:color w:val="000000" w:themeColor="text1"/>
          <w:szCs w:val="24"/>
        </w:rPr>
      </w:pPr>
    </w:p>
    <w:p w14:paraId="1A34D730" w14:textId="77777777" w:rsidR="00D62C56" w:rsidRPr="00B14CA7" w:rsidRDefault="00D62C56" w:rsidP="00FF10E6">
      <w:pPr>
        <w:widowControl w:val="0"/>
        <w:autoSpaceDE w:val="0"/>
        <w:autoSpaceDN w:val="0"/>
        <w:adjustRightInd w:val="0"/>
        <w:spacing w:after="0"/>
        <w:jc w:val="center"/>
        <w:rPr>
          <w:rFonts w:cs="Times New Roman"/>
          <w:b/>
          <w:bCs/>
          <w:color w:val="000000" w:themeColor="text1"/>
          <w:szCs w:val="24"/>
        </w:rPr>
      </w:pPr>
      <w:r w:rsidRPr="00B14CA7">
        <w:rPr>
          <w:rFonts w:cs="Times New Roman"/>
          <w:b/>
          <w:bCs/>
          <w:color w:val="000000" w:themeColor="text1"/>
          <w:szCs w:val="24"/>
        </w:rPr>
        <w:t>Aprakstošā daļa</w:t>
      </w:r>
    </w:p>
    <w:p w14:paraId="782FFD83" w14:textId="77777777" w:rsidR="00D62C56" w:rsidRPr="00B14CA7" w:rsidRDefault="00D62C56" w:rsidP="00426462">
      <w:pPr>
        <w:widowControl w:val="0"/>
        <w:autoSpaceDE w:val="0"/>
        <w:autoSpaceDN w:val="0"/>
        <w:adjustRightInd w:val="0"/>
        <w:spacing w:after="0"/>
        <w:ind w:firstLine="720"/>
        <w:jc w:val="center"/>
        <w:rPr>
          <w:rFonts w:cs="Times New Roman"/>
          <w:b/>
          <w:bCs/>
          <w:color w:val="000000" w:themeColor="text1"/>
          <w:szCs w:val="24"/>
        </w:rPr>
      </w:pPr>
    </w:p>
    <w:p w14:paraId="641D89D1" w14:textId="1EB79D9F" w:rsidR="00D62C56" w:rsidRPr="00B14CA7" w:rsidRDefault="00D62C56" w:rsidP="00426462">
      <w:pPr>
        <w:widowControl w:val="0"/>
        <w:spacing w:after="0"/>
        <w:ind w:firstLine="720"/>
        <w:jc w:val="both"/>
        <w:rPr>
          <w:rFonts w:cs="Times New Roman"/>
          <w:color w:val="000000" w:themeColor="text1"/>
          <w:szCs w:val="24"/>
        </w:rPr>
      </w:pPr>
      <w:r w:rsidRPr="00B14CA7">
        <w:rPr>
          <w:rFonts w:cs="Times New Roman"/>
          <w:color w:val="000000" w:themeColor="text1"/>
          <w:szCs w:val="24"/>
        </w:rPr>
        <w:t>[1]</w:t>
      </w:r>
      <w:r w:rsidR="004C3DEC">
        <w:rPr>
          <w:rFonts w:cs="Times New Roman"/>
          <w:color w:val="000000" w:themeColor="text1"/>
          <w:szCs w:val="24"/>
        </w:rPr>
        <w:t> </w:t>
      </w:r>
      <w:r w:rsidRPr="00B14CA7">
        <w:rPr>
          <w:rFonts w:cs="Times New Roman"/>
          <w:color w:val="000000" w:themeColor="text1"/>
          <w:szCs w:val="24"/>
        </w:rPr>
        <w:t xml:space="preserve">Ar </w:t>
      </w:r>
      <w:r w:rsidR="00296E1F">
        <w:rPr>
          <w:rFonts w:cs="Times New Roman"/>
          <w:color w:val="000000" w:themeColor="text1"/>
          <w:szCs w:val="24"/>
        </w:rPr>
        <w:t xml:space="preserve">Valmieras </w:t>
      </w:r>
      <w:r w:rsidR="00182AEE" w:rsidRPr="00B14CA7">
        <w:rPr>
          <w:rFonts w:cs="Times New Roman"/>
          <w:color w:val="000000" w:themeColor="text1"/>
          <w:szCs w:val="24"/>
        </w:rPr>
        <w:t>rajona tiesas 20</w:t>
      </w:r>
      <w:r w:rsidR="00296E1F">
        <w:rPr>
          <w:rFonts w:cs="Times New Roman"/>
          <w:color w:val="000000" w:themeColor="text1"/>
          <w:szCs w:val="24"/>
        </w:rPr>
        <w:t>17</w:t>
      </w:r>
      <w:r w:rsidR="00182AEE" w:rsidRPr="00B14CA7">
        <w:rPr>
          <w:rFonts w:cs="Times New Roman"/>
          <w:color w:val="000000" w:themeColor="text1"/>
          <w:szCs w:val="24"/>
        </w:rPr>
        <w:t>.</w:t>
      </w:r>
      <w:r w:rsidR="00296E1F">
        <w:rPr>
          <w:rFonts w:cs="Times New Roman"/>
          <w:color w:val="000000" w:themeColor="text1"/>
          <w:szCs w:val="24"/>
        </w:rPr>
        <w:t> </w:t>
      </w:r>
      <w:r w:rsidR="00182AEE" w:rsidRPr="00B14CA7">
        <w:rPr>
          <w:rFonts w:cs="Times New Roman"/>
          <w:color w:val="000000" w:themeColor="text1"/>
          <w:szCs w:val="24"/>
        </w:rPr>
        <w:t xml:space="preserve">gada </w:t>
      </w:r>
      <w:r w:rsidR="00296E1F">
        <w:rPr>
          <w:rFonts w:cs="Times New Roman"/>
          <w:color w:val="000000" w:themeColor="text1"/>
          <w:szCs w:val="24"/>
        </w:rPr>
        <w:t>4. janvāra</w:t>
      </w:r>
      <w:r w:rsidRPr="00B14CA7">
        <w:rPr>
          <w:rFonts w:cs="Times New Roman"/>
          <w:color w:val="000000" w:themeColor="text1"/>
          <w:szCs w:val="24"/>
        </w:rPr>
        <w:t xml:space="preserve"> spriedumu</w:t>
      </w:r>
    </w:p>
    <w:p w14:paraId="5C3D013F" w14:textId="7DEB5985" w:rsidR="00182AEE" w:rsidRPr="00B14CA7" w:rsidRDefault="00AB462E" w:rsidP="00426462">
      <w:pPr>
        <w:widowControl w:val="0"/>
        <w:spacing w:after="0"/>
        <w:ind w:firstLine="720"/>
        <w:jc w:val="both"/>
        <w:rPr>
          <w:rFonts w:cs="Times New Roman"/>
          <w:color w:val="000000" w:themeColor="text1"/>
          <w:szCs w:val="24"/>
        </w:rPr>
      </w:pPr>
      <w:r>
        <w:rPr>
          <w:rFonts w:cs="Times New Roman"/>
          <w:color w:val="000000" w:themeColor="text1"/>
          <w:szCs w:val="24"/>
        </w:rPr>
        <w:t>[pers. A]</w:t>
      </w:r>
      <w:r w:rsidR="00182AEE" w:rsidRPr="00B14CA7">
        <w:rPr>
          <w:rFonts w:cs="Times New Roman"/>
          <w:color w:val="000000" w:themeColor="text1"/>
          <w:szCs w:val="24"/>
        </w:rPr>
        <w:t xml:space="preserve">, personas kods </w:t>
      </w:r>
      <w:r>
        <w:rPr>
          <w:rFonts w:cs="Times New Roman"/>
          <w:color w:val="000000" w:themeColor="text1"/>
          <w:szCs w:val="24"/>
        </w:rPr>
        <w:t>[..]</w:t>
      </w:r>
      <w:r w:rsidR="00182AEE" w:rsidRPr="00B14CA7">
        <w:rPr>
          <w:rFonts w:cs="Times New Roman"/>
          <w:color w:val="000000" w:themeColor="text1"/>
          <w:szCs w:val="24"/>
        </w:rPr>
        <w:t>,</w:t>
      </w:r>
    </w:p>
    <w:p w14:paraId="6F70EAC6" w14:textId="60175483" w:rsidR="00296E1F" w:rsidRDefault="00182AEE" w:rsidP="00426462">
      <w:pPr>
        <w:widowControl w:val="0"/>
        <w:spacing w:after="0"/>
        <w:ind w:firstLine="720"/>
        <w:jc w:val="both"/>
        <w:rPr>
          <w:rFonts w:cs="Times New Roman"/>
          <w:color w:val="000000" w:themeColor="text1"/>
          <w:szCs w:val="24"/>
        </w:rPr>
      </w:pPr>
      <w:r w:rsidRPr="00B14CA7">
        <w:rPr>
          <w:rFonts w:cs="Times New Roman"/>
          <w:color w:val="000000" w:themeColor="text1"/>
          <w:szCs w:val="24"/>
        </w:rPr>
        <w:t xml:space="preserve">atzīts par </w:t>
      </w:r>
      <w:r w:rsidR="00296E1F">
        <w:rPr>
          <w:rFonts w:cs="Times New Roman"/>
          <w:color w:val="000000" w:themeColor="text1"/>
          <w:szCs w:val="24"/>
        </w:rPr>
        <w:t>ne</w:t>
      </w:r>
      <w:r w:rsidRPr="00B14CA7">
        <w:rPr>
          <w:rFonts w:cs="Times New Roman"/>
          <w:color w:val="000000" w:themeColor="text1"/>
          <w:szCs w:val="24"/>
        </w:rPr>
        <w:t xml:space="preserve">vainīgu </w:t>
      </w:r>
      <w:r w:rsidR="00296E1F">
        <w:rPr>
          <w:rFonts w:cs="Times New Roman"/>
          <w:color w:val="000000" w:themeColor="text1"/>
          <w:szCs w:val="24"/>
        </w:rPr>
        <w:t>pret viņu celtajā apsūdzībā pēc Krimināllikuma 148.</w:t>
      </w:r>
      <w:r w:rsidR="00FF10E6">
        <w:rPr>
          <w:rFonts w:cs="Times New Roman"/>
          <w:color w:val="000000" w:themeColor="text1"/>
          <w:szCs w:val="24"/>
        </w:rPr>
        <w:t> </w:t>
      </w:r>
      <w:r w:rsidR="00296E1F">
        <w:rPr>
          <w:rFonts w:cs="Times New Roman"/>
          <w:color w:val="000000" w:themeColor="text1"/>
          <w:szCs w:val="24"/>
        </w:rPr>
        <w:t>panta trešās daļas un attaisnots.</w:t>
      </w:r>
    </w:p>
    <w:p w14:paraId="7CBDF5E2" w14:textId="49E0181D" w:rsidR="00E90AEE" w:rsidRPr="00E87F63" w:rsidRDefault="00296E1F" w:rsidP="00426462">
      <w:pPr>
        <w:widowControl w:val="0"/>
        <w:spacing w:after="0"/>
        <w:ind w:firstLine="720"/>
        <w:jc w:val="both"/>
        <w:rPr>
          <w:rFonts w:eastAsia="Times New Roman" w:cs="Times New Roman"/>
          <w:szCs w:val="24"/>
        </w:rPr>
      </w:pPr>
      <w:r>
        <w:rPr>
          <w:rFonts w:cs="Times New Roman"/>
          <w:color w:val="000000" w:themeColor="text1"/>
          <w:szCs w:val="24"/>
        </w:rPr>
        <w:t xml:space="preserve">Kompāniju </w:t>
      </w:r>
      <w:r w:rsidR="00FF10E6">
        <w:rPr>
          <w:rFonts w:cs="Times New Roman"/>
          <w:color w:val="000000" w:themeColor="text1"/>
          <w:szCs w:val="24"/>
        </w:rPr>
        <w:t>„</w:t>
      </w:r>
      <w:r>
        <w:rPr>
          <w:rFonts w:cs="Times New Roman"/>
          <w:color w:val="000000" w:themeColor="text1"/>
          <w:szCs w:val="24"/>
        </w:rPr>
        <w:t xml:space="preserve">Microsoft </w:t>
      </w:r>
      <w:proofErr w:type="spellStart"/>
      <w:r>
        <w:rPr>
          <w:rFonts w:cs="Times New Roman"/>
          <w:color w:val="000000" w:themeColor="text1"/>
          <w:szCs w:val="24"/>
        </w:rPr>
        <w:t>Corporation</w:t>
      </w:r>
      <w:proofErr w:type="spellEnd"/>
      <w:r>
        <w:rPr>
          <w:rFonts w:cs="Times New Roman"/>
          <w:color w:val="000000" w:themeColor="text1"/>
          <w:szCs w:val="24"/>
        </w:rPr>
        <w:t>”</w:t>
      </w:r>
      <w:r w:rsidR="00FF10E6">
        <w:rPr>
          <w:rFonts w:cs="Times New Roman"/>
          <w:color w:val="000000" w:themeColor="text1"/>
          <w:szCs w:val="24"/>
        </w:rPr>
        <w:t>,</w:t>
      </w:r>
      <w:r>
        <w:rPr>
          <w:rFonts w:cs="Times New Roman"/>
          <w:color w:val="000000" w:themeColor="text1"/>
          <w:szCs w:val="24"/>
        </w:rPr>
        <w:t xml:space="preserve"> </w:t>
      </w:r>
      <w:r w:rsidR="00FF10E6">
        <w:rPr>
          <w:rFonts w:cs="Times New Roman"/>
          <w:color w:val="000000" w:themeColor="text1"/>
          <w:szCs w:val="24"/>
        </w:rPr>
        <w:t>„</w:t>
      </w:r>
      <w:proofErr w:type="spellStart"/>
      <w:r>
        <w:rPr>
          <w:rFonts w:cs="Times New Roman"/>
          <w:color w:val="000000" w:themeColor="text1"/>
          <w:szCs w:val="24"/>
        </w:rPr>
        <w:t>Dassault</w:t>
      </w:r>
      <w:proofErr w:type="spellEnd"/>
      <w:r>
        <w:rPr>
          <w:rFonts w:cs="Times New Roman"/>
          <w:color w:val="000000" w:themeColor="text1"/>
          <w:szCs w:val="24"/>
        </w:rPr>
        <w:t xml:space="preserve"> </w:t>
      </w:r>
      <w:proofErr w:type="spellStart"/>
      <w:r>
        <w:rPr>
          <w:rFonts w:cs="Times New Roman"/>
          <w:color w:val="000000" w:themeColor="text1"/>
          <w:szCs w:val="24"/>
        </w:rPr>
        <w:t>Systemes</w:t>
      </w:r>
      <w:proofErr w:type="spellEnd"/>
      <w:r>
        <w:rPr>
          <w:rFonts w:cs="Times New Roman"/>
          <w:color w:val="000000" w:themeColor="text1"/>
          <w:szCs w:val="24"/>
        </w:rPr>
        <w:t xml:space="preserve"> </w:t>
      </w:r>
      <w:proofErr w:type="spellStart"/>
      <w:r>
        <w:rPr>
          <w:rFonts w:cs="Times New Roman"/>
          <w:color w:val="000000" w:themeColor="text1"/>
          <w:szCs w:val="24"/>
        </w:rPr>
        <w:t>SolidWorks</w:t>
      </w:r>
      <w:proofErr w:type="spellEnd"/>
      <w:r>
        <w:rPr>
          <w:rFonts w:cs="Times New Roman"/>
          <w:color w:val="000000" w:themeColor="text1"/>
          <w:szCs w:val="24"/>
        </w:rPr>
        <w:t xml:space="preserve"> </w:t>
      </w:r>
      <w:proofErr w:type="spellStart"/>
      <w:r>
        <w:rPr>
          <w:rFonts w:cs="Times New Roman"/>
          <w:color w:val="000000" w:themeColor="text1"/>
          <w:szCs w:val="24"/>
        </w:rPr>
        <w:t>Corporation</w:t>
      </w:r>
      <w:proofErr w:type="spellEnd"/>
      <w:r>
        <w:rPr>
          <w:rFonts w:cs="Times New Roman"/>
          <w:color w:val="000000" w:themeColor="text1"/>
          <w:szCs w:val="24"/>
        </w:rPr>
        <w:t xml:space="preserve">” un </w:t>
      </w:r>
      <w:r w:rsidR="00FF10E6">
        <w:rPr>
          <w:rFonts w:cs="Times New Roman"/>
          <w:color w:val="000000" w:themeColor="text1"/>
          <w:szCs w:val="24"/>
        </w:rPr>
        <w:t>„</w:t>
      </w:r>
      <w:proofErr w:type="spellStart"/>
      <w:r>
        <w:rPr>
          <w:rFonts w:cs="Times New Roman"/>
          <w:color w:val="000000" w:themeColor="text1"/>
          <w:szCs w:val="24"/>
        </w:rPr>
        <w:t>Autodesk</w:t>
      </w:r>
      <w:proofErr w:type="spellEnd"/>
      <w:r>
        <w:rPr>
          <w:rFonts w:cs="Times New Roman"/>
          <w:color w:val="000000" w:themeColor="text1"/>
          <w:szCs w:val="24"/>
        </w:rPr>
        <w:t xml:space="preserve"> </w:t>
      </w:r>
      <w:proofErr w:type="spellStart"/>
      <w:r>
        <w:rPr>
          <w:rFonts w:cs="Times New Roman"/>
          <w:color w:val="000000" w:themeColor="text1"/>
          <w:szCs w:val="24"/>
        </w:rPr>
        <w:t>Incorporated</w:t>
      </w:r>
      <w:proofErr w:type="spellEnd"/>
      <w:r>
        <w:rPr>
          <w:rFonts w:cs="Times New Roman"/>
          <w:color w:val="000000" w:themeColor="text1"/>
          <w:szCs w:val="24"/>
        </w:rPr>
        <w:t>” mantiskā kaitējuma kompensācijas pieteikumi atstāti bez izskatīšanas.</w:t>
      </w:r>
    </w:p>
    <w:p w14:paraId="6A4EB2EF" w14:textId="77777777" w:rsidR="00666DD8" w:rsidRDefault="00666DD8" w:rsidP="00426462">
      <w:pPr>
        <w:widowControl w:val="0"/>
        <w:spacing w:after="0"/>
        <w:ind w:firstLine="720"/>
        <w:jc w:val="both"/>
        <w:rPr>
          <w:rFonts w:cs="Times New Roman"/>
          <w:color w:val="000000" w:themeColor="text1"/>
          <w:szCs w:val="24"/>
        </w:rPr>
      </w:pPr>
    </w:p>
    <w:p w14:paraId="57EE4ED1" w14:textId="6DB4D0AE" w:rsidR="002201C2" w:rsidRDefault="00A35245" w:rsidP="00426462">
      <w:pPr>
        <w:widowControl w:val="0"/>
        <w:spacing w:after="0"/>
        <w:ind w:firstLine="720"/>
        <w:jc w:val="both"/>
        <w:rPr>
          <w:rFonts w:cs="Times New Roman"/>
          <w:color w:val="000000" w:themeColor="text1"/>
          <w:szCs w:val="24"/>
        </w:rPr>
      </w:pPr>
      <w:r w:rsidRPr="006F5492">
        <w:rPr>
          <w:rFonts w:asciiTheme="majorBidi" w:hAnsiTheme="majorBidi" w:cstheme="majorBidi"/>
          <w:color w:val="000000" w:themeColor="text1"/>
          <w:szCs w:val="24"/>
        </w:rPr>
        <w:t>[2] </w:t>
      </w:r>
      <w:r w:rsidR="002201C2" w:rsidRPr="00B14CA7">
        <w:rPr>
          <w:rFonts w:cs="Times New Roman"/>
          <w:color w:val="000000" w:themeColor="text1"/>
          <w:szCs w:val="24"/>
        </w:rPr>
        <w:t>Ar</w:t>
      </w:r>
      <w:r w:rsidR="00296E1F">
        <w:rPr>
          <w:rFonts w:cs="Times New Roman"/>
          <w:color w:val="000000" w:themeColor="text1"/>
          <w:szCs w:val="24"/>
        </w:rPr>
        <w:t xml:space="preserve"> Vidzemes apgabaltiesas</w:t>
      </w:r>
      <w:r w:rsidR="002201C2" w:rsidRPr="00B14CA7">
        <w:rPr>
          <w:rFonts w:cs="Times New Roman"/>
          <w:color w:val="000000" w:themeColor="text1"/>
          <w:szCs w:val="24"/>
        </w:rPr>
        <w:t xml:space="preserve"> 20</w:t>
      </w:r>
      <w:r w:rsidR="00296E1F">
        <w:rPr>
          <w:rFonts w:cs="Times New Roman"/>
          <w:color w:val="000000" w:themeColor="text1"/>
          <w:szCs w:val="24"/>
        </w:rPr>
        <w:t>18</w:t>
      </w:r>
      <w:r w:rsidR="002201C2" w:rsidRPr="00B14CA7">
        <w:rPr>
          <w:rFonts w:cs="Times New Roman"/>
          <w:color w:val="000000" w:themeColor="text1"/>
          <w:szCs w:val="24"/>
        </w:rPr>
        <w:t>.</w:t>
      </w:r>
      <w:r w:rsidR="00296E1F">
        <w:rPr>
          <w:rFonts w:cs="Times New Roman"/>
          <w:color w:val="000000" w:themeColor="text1"/>
          <w:szCs w:val="24"/>
        </w:rPr>
        <w:t> </w:t>
      </w:r>
      <w:r w:rsidR="002201C2" w:rsidRPr="00B14CA7">
        <w:rPr>
          <w:rFonts w:cs="Times New Roman"/>
          <w:color w:val="000000" w:themeColor="text1"/>
          <w:szCs w:val="24"/>
        </w:rPr>
        <w:t xml:space="preserve">gada </w:t>
      </w:r>
      <w:r w:rsidR="00296E1F">
        <w:rPr>
          <w:rFonts w:cs="Times New Roman"/>
          <w:color w:val="000000" w:themeColor="text1"/>
          <w:szCs w:val="24"/>
        </w:rPr>
        <w:t>8. oktobra</w:t>
      </w:r>
      <w:r w:rsidR="00666DD8">
        <w:rPr>
          <w:rFonts w:cs="Times New Roman"/>
          <w:color w:val="000000" w:themeColor="text1"/>
          <w:szCs w:val="24"/>
        </w:rPr>
        <w:t xml:space="preserve"> </w:t>
      </w:r>
      <w:r w:rsidR="00903632">
        <w:rPr>
          <w:rFonts w:cs="Times New Roman"/>
          <w:color w:val="000000" w:themeColor="text1"/>
          <w:szCs w:val="24"/>
        </w:rPr>
        <w:t>spriedumu</w:t>
      </w:r>
      <w:r w:rsidR="002201C2" w:rsidRPr="00B14CA7">
        <w:rPr>
          <w:rFonts w:cs="Times New Roman"/>
          <w:color w:val="000000" w:themeColor="text1"/>
          <w:szCs w:val="24"/>
        </w:rPr>
        <w:t xml:space="preserve">, iztiesājot krimināllietu </w:t>
      </w:r>
      <w:r w:rsidR="002201C2" w:rsidRPr="0081516D">
        <w:rPr>
          <w:rFonts w:cs="Times New Roman"/>
          <w:color w:val="000000" w:themeColor="text1"/>
          <w:szCs w:val="24"/>
        </w:rPr>
        <w:t>apelācijas kārtībā sakarā ar</w:t>
      </w:r>
      <w:r w:rsidR="00296E1F">
        <w:rPr>
          <w:rFonts w:cs="Times New Roman"/>
          <w:color w:val="000000" w:themeColor="text1"/>
          <w:szCs w:val="24"/>
        </w:rPr>
        <w:t xml:space="preserve"> Valmieras rajona prokuratūras prokurores</w:t>
      </w:r>
      <w:r w:rsidR="00903632">
        <w:rPr>
          <w:rFonts w:cs="Times New Roman"/>
          <w:color w:val="000000" w:themeColor="text1"/>
          <w:szCs w:val="24"/>
        </w:rPr>
        <w:t xml:space="preserve"> Solvitas </w:t>
      </w:r>
      <w:proofErr w:type="spellStart"/>
      <w:r w:rsidR="00903632">
        <w:rPr>
          <w:rFonts w:cs="Times New Roman"/>
          <w:color w:val="000000" w:themeColor="text1"/>
          <w:szCs w:val="24"/>
        </w:rPr>
        <w:t>Kristapas</w:t>
      </w:r>
      <w:proofErr w:type="spellEnd"/>
      <w:r w:rsidR="00903632">
        <w:rPr>
          <w:rFonts w:cs="Times New Roman"/>
          <w:color w:val="000000" w:themeColor="text1"/>
          <w:szCs w:val="24"/>
        </w:rPr>
        <w:t xml:space="preserve"> apelācijas protestu, apsūdzētā </w:t>
      </w:r>
      <w:r w:rsidR="00AB462E">
        <w:rPr>
          <w:rFonts w:cs="Times New Roman"/>
          <w:color w:val="000000" w:themeColor="text1"/>
          <w:szCs w:val="24"/>
        </w:rPr>
        <w:t>[pers. A]</w:t>
      </w:r>
      <w:r w:rsidR="00903632">
        <w:rPr>
          <w:rFonts w:cs="Times New Roman"/>
          <w:color w:val="000000" w:themeColor="text1"/>
          <w:szCs w:val="24"/>
        </w:rPr>
        <w:t xml:space="preserve"> aizstāvja A. Rasas un cietušo kompāniju </w:t>
      </w:r>
      <w:r w:rsidR="007C406C">
        <w:rPr>
          <w:rFonts w:cs="Times New Roman"/>
          <w:color w:val="000000" w:themeColor="text1"/>
          <w:szCs w:val="24"/>
        </w:rPr>
        <w:t>„</w:t>
      </w:r>
      <w:r w:rsidR="00903632">
        <w:rPr>
          <w:rFonts w:cs="Times New Roman"/>
          <w:color w:val="000000" w:themeColor="text1"/>
          <w:szCs w:val="24"/>
        </w:rPr>
        <w:t xml:space="preserve">Microsoft </w:t>
      </w:r>
      <w:proofErr w:type="spellStart"/>
      <w:r w:rsidR="00903632">
        <w:rPr>
          <w:rFonts w:cs="Times New Roman"/>
          <w:color w:val="000000" w:themeColor="text1"/>
          <w:szCs w:val="24"/>
        </w:rPr>
        <w:t>Corporation</w:t>
      </w:r>
      <w:proofErr w:type="spellEnd"/>
      <w:r w:rsidR="00903632">
        <w:rPr>
          <w:rFonts w:cs="Times New Roman"/>
          <w:color w:val="000000" w:themeColor="text1"/>
          <w:szCs w:val="24"/>
        </w:rPr>
        <w:t xml:space="preserve">” un </w:t>
      </w:r>
      <w:r w:rsidR="007C406C">
        <w:rPr>
          <w:rFonts w:cs="Times New Roman"/>
          <w:color w:val="000000" w:themeColor="text1"/>
          <w:szCs w:val="24"/>
        </w:rPr>
        <w:t>„</w:t>
      </w:r>
      <w:proofErr w:type="spellStart"/>
      <w:r w:rsidR="00903632">
        <w:rPr>
          <w:rFonts w:cs="Times New Roman"/>
          <w:color w:val="000000" w:themeColor="text1"/>
          <w:szCs w:val="24"/>
        </w:rPr>
        <w:t>Autodesk</w:t>
      </w:r>
      <w:proofErr w:type="spellEnd"/>
      <w:r w:rsidR="00903632">
        <w:rPr>
          <w:rFonts w:cs="Times New Roman"/>
          <w:color w:val="000000" w:themeColor="text1"/>
          <w:szCs w:val="24"/>
        </w:rPr>
        <w:t xml:space="preserve"> </w:t>
      </w:r>
      <w:proofErr w:type="spellStart"/>
      <w:r w:rsidR="00903632">
        <w:rPr>
          <w:rFonts w:cs="Times New Roman"/>
          <w:color w:val="000000" w:themeColor="text1"/>
          <w:szCs w:val="24"/>
        </w:rPr>
        <w:t>Incorporated</w:t>
      </w:r>
      <w:proofErr w:type="spellEnd"/>
      <w:r w:rsidR="00903632">
        <w:rPr>
          <w:rFonts w:cs="Times New Roman"/>
          <w:color w:val="000000" w:themeColor="text1"/>
          <w:szCs w:val="24"/>
        </w:rPr>
        <w:t xml:space="preserve">” pārstāves </w:t>
      </w:r>
      <w:r w:rsidR="00AB462E">
        <w:rPr>
          <w:rFonts w:cs="Times New Roman"/>
          <w:color w:val="000000" w:themeColor="text1"/>
          <w:szCs w:val="24"/>
        </w:rPr>
        <w:t>[pers. </w:t>
      </w:r>
      <w:r w:rsidR="00AB462E">
        <w:t>B]</w:t>
      </w:r>
      <w:r w:rsidR="00903632">
        <w:rPr>
          <w:rFonts w:cs="Times New Roman"/>
          <w:color w:val="000000" w:themeColor="text1"/>
          <w:szCs w:val="24"/>
        </w:rPr>
        <w:t xml:space="preserve"> apelācijas sūdzībām, Valmieras rajona tiesas 2017. gada 4. janvāra spriedums atcelts.</w:t>
      </w:r>
    </w:p>
    <w:p w14:paraId="75BD1933" w14:textId="5258C842" w:rsidR="00903632" w:rsidRDefault="003F3434" w:rsidP="00426462">
      <w:pPr>
        <w:widowControl w:val="0"/>
        <w:spacing w:after="0"/>
        <w:ind w:firstLine="720"/>
        <w:jc w:val="both"/>
        <w:rPr>
          <w:rFonts w:cs="Times New Roman"/>
          <w:color w:val="000000" w:themeColor="text1"/>
          <w:szCs w:val="24"/>
        </w:rPr>
      </w:pPr>
      <w:r>
        <w:rPr>
          <w:rFonts w:cs="Times New Roman"/>
          <w:color w:val="000000" w:themeColor="text1"/>
          <w:szCs w:val="24"/>
        </w:rPr>
        <w:t>[Pers. </w:t>
      </w:r>
      <w:r>
        <w:t>A]</w:t>
      </w:r>
      <w:r w:rsidR="00903632">
        <w:rPr>
          <w:rFonts w:cs="Times New Roman"/>
          <w:color w:val="000000" w:themeColor="text1"/>
          <w:szCs w:val="24"/>
        </w:rPr>
        <w:t xml:space="preserve"> atzīts par vainīgu Krimināllikuma 148. panta trešajā daļā paredzētajā noziedzīgajā nodarījumā </w:t>
      </w:r>
      <w:r w:rsidR="001B24A6">
        <w:rPr>
          <w:rFonts w:cs="Times New Roman"/>
          <w:color w:val="000000" w:themeColor="text1"/>
          <w:szCs w:val="24"/>
        </w:rPr>
        <w:t>par kompānijas</w:t>
      </w:r>
      <w:r w:rsidR="00696783">
        <w:rPr>
          <w:rFonts w:cs="Times New Roman"/>
          <w:color w:val="000000" w:themeColor="text1"/>
          <w:szCs w:val="24"/>
        </w:rPr>
        <w:t xml:space="preserve"> </w:t>
      </w:r>
      <w:r w:rsidR="007C406C">
        <w:rPr>
          <w:rFonts w:cs="Times New Roman"/>
          <w:color w:val="000000" w:themeColor="text1"/>
          <w:szCs w:val="24"/>
        </w:rPr>
        <w:t>„</w:t>
      </w:r>
      <w:proofErr w:type="spellStart"/>
      <w:r w:rsidR="00991B75">
        <w:rPr>
          <w:rFonts w:cs="Times New Roman"/>
          <w:color w:val="000000" w:themeColor="text1"/>
          <w:szCs w:val="24"/>
        </w:rPr>
        <w:t>Dass</w:t>
      </w:r>
      <w:r w:rsidR="00696783">
        <w:rPr>
          <w:rFonts w:cs="Times New Roman"/>
          <w:color w:val="000000" w:themeColor="text1"/>
          <w:szCs w:val="24"/>
        </w:rPr>
        <w:t>ault</w:t>
      </w:r>
      <w:proofErr w:type="spellEnd"/>
      <w:r w:rsidR="00696783">
        <w:rPr>
          <w:rFonts w:cs="Times New Roman"/>
          <w:color w:val="000000" w:themeColor="text1"/>
          <w:szCs w:val="24"/>
        </w:rPr>
        <w:t xml:space="preserve"> </w:t>
      </w:r>
      <w:proofErr w:type="spellStart"/>
      <w:r w:rsidR="00696783">
        <w:rPr>
          <w:rFonts w:cs="Times New Roman"/>
          <w:color w:val="000000" w:themeColor="text1"/>
          <w:szCs w:val="24"/>
        </w:rPr>
        <w:t>Systemes</w:t>
      </w:r>
      <w:proofErr w:type="spellEnd"/>
      <w:r w:rsidR="00696783">
        <w:rPr>
          <w:rFonts w:cs="Times New Roman"/>
          <w:color w:val="000000" w:themeColor="text1"/>
          <w:szCs w:val="24"/>
        </w:rPr>
        <w:t xml:space="preserve"> </w:t>
      </w:r>
      <w:proofErr w:type="spellStart"/>
      <w:r w:rsidR="00696783">
        <w:rPr>
          <w:rFonts w:cs="Times New Roman"/>
          <w:color w:val="000000" w:themeColor="text1"/>
          <w:szCs w:val="24"/>
        </w:rPr>
        <w:t>SolidWorks</w:t>
      </w:r>
      <w:proofErr w:type="spellEnd"/>
      <w:r w:rsidR="00696783">
        <w:rPr>
          <w:rFonts w:cs="Times New Roman"/>
          <w:color w:val="000000" w:themeColor="text1"/>
          <w:szCs w:val="24"/>
        </w:rPr>
        <w:t xml:space="preserve"> </w:t>
      </w:r>
      <w:proofErr w:type="spellStart"/>
      <w:r w:rsidR="00696783">
        <w:rPr>
          <w:rFonts w:cs="Times New Roman"/>
          <w:color w:val="000000" w:themeColor="text1"/>
          <w:szCs w:val="24"/>
        </w:rPr>
        <w:t>Corporation</w:t>
      </w:r>
      <w:proofErr w:type="spellEnd"/>
      <w:r w:rsidR="00696783">
        <w:rPr>
          <w:rFonts w:cs="Times New Roman"/>
          <w:color w:val="000000" w:themeColor="text1"/>
          <w:szCs w:val="24"/>
        </w:rPr>
        <w:t>” autortiesību pārkāpšanu lielā apmērā</w:t>
      </w:r>
      <w:r w:rsidR="001B24A6">
        <w:rPr>
          <w:rFonts w:cs="Times New Roman"/>
          <w:color w:val="000000" w:themeColor="text1"/>
          <w:szCs w:val="24"/>
        </w:rPr>
        <w:t xml:space="preserve"> </w:t>
      </w:r>
      <w:r w:rsidR="00903632">
        <w:rPr>
          <w:rFonts w:cs="Times New Roman"/>
          <w:color w:val="000000" w:themeColor="text1"/>
          <w:szCs w:val="24"/>
        </w:rPr>
        <w:t xml:space="preserve">un sodīts ar brīvības atņemšanu uz </w:t>
      </w:r>
      <w:r w:rsidR="007C406C">
        <w:rPr>
          <w:rFonts w:cs="Times New Roman"/>
          <w:color w:val="000000" w:themeColor="text1"/>
          <w:szCs w:val="24"/>
        </w:rPr>
        <w:t xml:space="preserve">10 </w:t>
      </w:r>
      <w:r w:rsidR="00903632">
        <w:rPr>
          <w:rFonts w:cs="Times New Roman"/>
          <w:color w:val="000000" w:themeColor="text1"/>
          <w:szCs w:val="24"/>
        </w:rPr>
        <w:t xml:space="preserve">mēnešiem, atņemot tiesības nodarboties ar visu veidu komercdarbību uz </w:t>
      </w:r>
      <w:r w:rsidR="007C406C">
        <w:rPr>
          <w:rFonts w:cs="Times New Roman"/>
          <w:color w:val="000000" w:themeColor="text1"/>
          <w:szCs w:val="24"/>
        </w:rPr>
        <w:t xml:space="preserve">1 </w:t>
      </w:r>
      <w:r w:rsidR="00903632">
        <w:rPr>
          <w:rFonts w:cs="Times New Roman"/>
          <w:color w:val="000000" w:themeColor="text1"/>
          <w:szCs w:val="24"/>
        </w:rPr>
        <w:t>gadu.</w:t>
      </w:r>
    </w:p>
    <w:p w14:paraId="1865B211" w14:textId="7975E95F" w:rsidR="00696783" w:rsidRDefault="00903632" w:rsidP="00426462">
      <w:pPr>
        <w:widowControl w:val="0"/>
        <w:spacing w:after="0"/>
        <w:ind w:firstLine="720"/>
        <w:jc w:val="both"/>
        <w:rPr>
          <w:rFonts w:cs="Times New Roman"/>
          <w:color w:val="000000" w:themeColor="text1"/>
          <w:szCs w:val="24"/>
        </w:rPr>
      </w:pPr>
      <w:r>
        <w:rPr>
          <w:rFonts w:cs="Times New Roman"/>
          <w:color w:val="000000" w:themeColor="text1"/>
          <w:szCs w:val="24"/>
        </w:rPr>
        <w:lastRenderedPageBreak/>
        <w:t xml:space="preserve">Saskaņā ar Krimināllikuma 55. pantu </w:t>
      </w:r>
      <w:r w:rsidR="003F3434">
        <w:rPr>
          <w:rFonts w:cs="Times New Roman"/>
          <w:color w:val="000000" w:themeColor="text1"/>
          <w:szCs w:val="24"/>
        </w:rPr>
        <w:t>[pers. </w:t>
      </w:r>
      <w:r w:rsidR="003F3434">
        <w:t>A]</w:t>
      </w:r>
      <w:r w:rsidR="00696783">
        <w:rPr>
          <w:rFonts w:cs="Times New Roman"/>
          <w:color w:val="000000" w:themeColor="text1"/>
          <w:szCs w:val="24"/>
        </w:rPr>
        <w:t xml:space="preserve"> </w:t>
      </w:r>
      <w:r>
        <w:rPr>
          <w:rFonts w:cs="Times New Roman"/>
          <w:color w:val="000000" w:themeColor="text1"/>
          <w:szCs w:val="24"/>
        </w:rPr>
        <w:t>ar brīvības atņemšanu</w:t>
      </w:r>
      <w:r w:rsidR="00696783">
        <w:rPr>
          <w:rFonts w:cs="Times New Roman"/>
          <w:color w:val="000000" w:themeColor="text1"/>
          <w:szCs w:val="24"/>
        </w:rPr>
        <w:t xml:space="preserve"> </w:t>
      </w:r>
      <w:r w:rsidR="001B24A6">
        <w:rPr>
          <w:rFonts w:cs="Times New Roman"/>
          <w:color w:val="000000" w:themeColor="text1"/>
          <w:szCs w:val="24"/>
        </w:rPr>
        <w:t xml:space="preserve">notiesāts nosacīti ar pārbaudes laiku uz </w:t>
      </w:r>
      <w:r w:rsidR="007C406C">
        <w:rPr>
          <w:rFonts w:cs="Times New Roman"/>
          <w:color w:val="000000" w:themeColor="text1"/>
          <w:szCs w:val="24"/>
        </w:rPr>
        <w:t xml:space="preserve">1 </w:t>
      </w:r>
      <w:r w:rsidR="001B24A6">
        <w:rPr>
          <w:rFonts w:cs="Times New Roman"/>
          <w:color w:val="000000" w:themeColor="text1"/>
          <w:szCs w:val="24"/>
        </w:rPr>
        <w:t>gadu.</w:t>
      </w:r>
    </w:p>
    <w:p w14:paraId="71616C88" w14:textId="5A23E932" w:rsidR="00696783" w:rsidRDefault="003F3434" w:rsidP="00426462">
      <w:pPr>
        <w:widowControl w:val="0"/>
        <w:spacing w:after="0"/>
        <w:ind w:firstLine="720"/>
        <w:jc w:val="both"/>
        <w:rPr>
          <w:rFonts w:cs="Times New Roman"/>
          <w:color w:val="000000" w:themeColor="text1"/>
          <w:szCs w:val="24"/>
        </w:rPr>
      </w:pPr>
      <w:r>
        <w:rPr>
          <w:rFonts w:cs="Times New Roman"/>
          <w:color w:val="000000" w:themeColor="text1"/>
          <w:szCs w:val="24"/>
        </w:rPr>
        <w:t>[Pers. </w:t>
      </w:r>
      <w:r>
        <w:t>A]</w:t>
      </w:r>
      <w:r w:rsidR="00696783">
        <w:rPr>
          <w:rFonts w:cs="Times New Roman"/>
          <w:color w:val="000000" w:themeColor="text1"/>
          <w:szCs w:val="24"/>
        </w:rPr>
        <w:t xml:space="preserve"> atzīts par nevainīgu pret viņu celtajā apsūdzībā pēc Krimināllikuma 148. panta trešās daļas par kompāniju </w:t>
      </w:r>
      <w:r w:rsidR="007C406C">
        <w:rPr>
          <w:rFonts w:cs="Times New Roman"/>
          <w:color w:val="000000" w:themeColor="text1"/>
          <w:szCs w:val="24"/>
        </w:rPr>
        <w:t>„</w:t>
      </w:r>
      <w:r w:rsidR="00696783">
        <w:rPr>
          <w:rFonts w:cs="Times New Roman"/>
          <w:color w:val="000000" w:themeColor="text1"/>
          <w:szCs w:val="24"/>
        </w:rPr>
        <w:t xml:space="preserve">Microsoft </w:t>
      </w:r>
      <w:proofErr w:type="spellStart"/>
      <w:r w:rsidR="00696783">
        <w:rPr>
          <w:rFonts w:cs="Times New Roman"/>
          <w:color w:val="000000" w:themeColor="text1"/>
          <w:szCs w:val="24"/>
        </w:rPr>
        <w:t>Corporation</w:t>
      </w:r>
      <w:proofErr w:type="spellEnd"/>
      <w:r w:rsidR="00696783">
        <w:rPr>
          <w:rFonts w:cs="Times New Roman"/>
          <w:color w:val="000000" w:themeColor="text1"/>
          <w:szCs w:val="24"/>
        </w:rPr>
        <w:t xml:space="preserve">”, </w:t>
      </w:r>
      <w:r w:rsidR="007C406C">
        <w:rPr>
          <w:rFonts w:cs="Times New Roman"/>
          <w:color w:val="000000" w:themeColor="text1"/>
          <w:szCs w:val="24"/>
        </w:rPr>
        <w:t>„</w:t>
      </w:r>
      <w:proofErr w:type="spellStart"/>
      <w:r w:rsidR="00696783">
        <w:rPr>
          <w:rFonts w:cs="Times New Roman"/>
          <w:color w:val="000000" w:themeColor="text1"/>
          <w:szCs w:val="24"/>
        </w:rPr>
        <w:t>Autodesk</w:t>
      </w:r>
      <w:proofErr w:type="spellEnd"/>
      <w:r w:rsidR="00696783">
        <w:rPr>
          <w:rFonts w:cs="Times New Roman"/>
          <w:color w:val="000000" w:themeColor="text1"/>
          <w:szCs w:val="24"/>
        </w:rPr>
        <w:t xml:space="preserve"> </w:t>
      </w:r>
      <w:proofErr w:type="spellStart"/>
      <w:r w:rsidR="00696783">
        <w:rPr>
          <w:rFonts w:cs="Times New Roman"/>
          <w:color w:val="000000" w:themeColor="text1"/>
          <w:szCs w:val="24"/>
        </w:rPr>
        <w:t>Incorporated</w:t>
      </w:r>
      <w:proofErr w:type="spellEnd"/>
      <w:r w:rsidR="00696783">
        <w:rPr>
          <w:rFonts w:cs="Times New Roman"/>
          <w:color w:val="000000" w:themeColor="text1"/>
          <w:szCs w:val="24"/>
        </w:rPr>
        <w:t xml:space="preserve">”, </w:t>
      </w:r>
      <w:r w:rsidR="007C406C">
        <w:rPr>
          <w:rFonts w:cs="Times New Roman"/>
          <w:color w:val="000000" w:themeColor="text1"/>
          <w:szCs w:val="24"/>
        </w:rPr>
        <w:t>„</w:t>
      </w:r>
      <w:proofErr w:type="spellStart"/>
      <w:r w:rsidR="00696783">
        <w:rPr>
          <w:rFonts w:cs="Times New Roman"/>
          <w:color w:val="000000" w:themeColor="text1"/>
          <w:szCs w:val="24"/>
        </w:rPr>
        <w:t>MathCAD</w:t>
      </w:r>
      <w:proofErr w:type="spellEnd"/>
      <w:r w:rsidR="00696783">
        <w:rPr>
          <w:rFonts w:cs="Times New Roman"/>
          <w:color w:val="000000" w:themeColor="text1"/>
          <w:szCs w:val="24"/>
        </w:rPr>
        <w:t xml:space="preserve">” un </w:t>
      </w:r>
      <w:r w:rsidR="007C406C">
        <w:rPr>
          <w:rFonts w:cs="Times New Roman"/>
          <w:color w:val="000000" w:themeColor="text1"/>
          <w:szCs w:val="24"/>
        </w:rPr>
        <w:t>„</w:t>
      </w:r>
      <w:proofErr w:type="spellStart"/>
      <w:r w:rsidR="00696783">
        <w:rPr>
          <w:rFonts w:cs="Times New Roman"/>
          <w:color w:val="000000" w:themeColor="text1"/>
          <w:szCs w:val="24"/>
        </w:rPr>
        <w:t>Mathlab</w:t>
      </w:r>
      <w:proofErr w:type="spellEnd"/>
      <w:r w:rsidR="00696783">
        <w:rPr>
          <w:rFonts w:cs="Times New Roman"/>
          <w:color w:val="000000" w:themeColor="text1"/>
          <w:szCs w:val="24"/>
        </w:rPr>
        <w:t>” autortiesību pārkāpšanu un attaisnots.</w:t>
      </w:r>
    </w:p>
    <w:p w14:paraId="14CF0AC4" w14:textId="5E7BB900" w:rsidR="00696783" w:rsidRDefault="00696783" w:rsidP="00426462">
      <w:pPr>
        <w:widowControl w:val="0"/>
        <w:spacing w:after="0"/>
        <w:ind w:firstLine="720"/>
        <w:jc w:val="both"/>
        <w:rPr>
          <w:rFonts w:cs="Times New Roman"/>
          <w:color w:val="000000" w:themeColor="text1"/>
          <w:szCs w:val="24"/>
        </w:rPr>
      </w:pPr>
      <w:r>
        <w:rPr>
          <w:rFonts w:cs="Times New Roman"/>
          <w:color w:val="000000" w:themeColor="text1"/>
          <w:szCs w:val="24"/>
        </w:rPr>
        <w:t xml:space="preserve">Kriminālprocess daļā </w:t>
      </w:r>
      <w:r w:rsidR="003F3434">
        <w:rPr>
          <w:rFonts w:cs="Times New Roman"/>
          <w:color w:val="000000" w:themeColor="text1"/>
          <w:szCs w:val="24"/>
        </w:rPr>
        <w:t>[pers. A]</w:t>
      </w:r>
      <w:r>
        <w:rPr>
          <w:rFonts w:cs="Times New Roman"/>
          <w:color w:val="000000" w:themeColor="text1"/>
          <w:szCs w:val="24"/>
        </w:rPr>
        <w:t xml:space="preserve"> apsūdzībā pēc Krimināllikuma 148. panta trešās daļas par kompāniju </w:t>
      </w:r>
      <w:r w:rsidR="007C406C">
        <w:rPr>
          <w:rFonts w:cs="Times New Roman"/>
          <w:color w:val="000000" w:themeColor="text1"/>
          <w:szCs w:val="24"/>
        </w:rPr>
        <w:t>„</w:t>
      </w:r>
      <w:proofErr w:type="spellStart"/>
      <w:r>
        <w:rPr>
          <w:rFonts w:cs="Times New Roman"/>
          <w:color w:val="000000" w:themeColor="text1"/>
          <w:szCs w:val="24"/>
        </w:rPr>
        <w:t>Roshal</w:t>
      </w:r>
      <w:proofErr w:type="spellEnd"/>
      <w:r>
        <w:rPr>
          <w:rFonts w:cs="Times New Roman"/>
          <w:color w:val="000000" w:themeColor="text1"/>
          <w:szCs w:val="24"/>
        </w:rPr>
        <w:t xml:space="preserve">”, </w:t>
      </w:r>
      <w:r w:rsidR="007C406C">
        <w:rPr>
          <w:rFonts w:cs="Times New Roman"/>
          <w:color w:val="000000" w:themeColor="text1"/>
          <w:szCs w:val="24"/>
        </w:rPr>
        <w:t>„</w:t>
      </w:r>
      <w:proofErr w:type="spellStart"/>
      <w:r>
        <w:rPr>
          <w:rFonts w:cs="Times New Roman"/>
          <w:color w:val="000000" w:themeColor="text1"/>
          <w:szCs w:val="24"/>
        </w:rPr>
        <w:t>TeamVie</w:t>
      </w:r>
      <w:r w:rsidR="007C406C">
        <w:rPr>
          <w:rFonts w:cs="Times New Roman"/>
          <w:color w:val="000000" w:themeColor="text1"/>
          <w:szCs w:val="24"/>
        </w:rPr>
        <w:t>w</w:t>
      </w:r>
      <w:r>
        <w:rPr>
          <w:rFonts w:cs="Times New Roman"/>
          <w:color w:val="000000" w:themeColor="text1"/>
          <w:szCs w:val="24"/>
        </w:rPr>
        <w:t>er</w:t>
      </w:r>
      <w:proofErr w:type="spellEnd"/>
      <w:r>
        <w:rPr>
          <w:rFonts w:cs="Times New Roman"/>
          <w:color w:val="000000" w:themeColor="text1"/>
          <w:szCs w:val="24"/>
        </w:rPr>
        <w:t xml:space="preserve">”, </w:t>
      </w:r>
      <w:r w:rsidR="007C406C">
        <w:rPr>
          <w:rFonts w:cs="Times New Roman"/>
          <w:color w:val="000000" w:themeColor="text1"/>
          <w:szCs w:val="24"/>
        </w:rPr>
        <w:t>„</w:t>
      </w:r>
      <w:proofErr w:type="spellStart"/>
      <w:r>
        <w:rPr>
          <w:rFonts w:cs="Times New Roman"/>
          <w:color w:val="000000" w:themeColor="text1"/>
          <w:szCs w:val="24"/>
        </w:rPr>
        <w:t>Eset</w:t>
      </w:r>
      <w:proofErr w:type="spellEnd"/>
      <w:r>
        <w:rPr>
          <w:rFonts w:cs="Times New Roman"/>
          <w:color w:val="000000" w:themeColor="text1"/>
          <w:szCs w:val="24"/>
        </w:rPr>
        <w:t xml:space="preserve">”, </w:t>
      </w:r>
      <w:r w:rsidR="007C406C">
        <w:rPr>
          <w:rFonts w:cs="Times New Roman"/>
          <w:color w:val="000000" w:themeColor="text1"/>
          <w:szCs w:val="24"/>
        </w:rPr>
        <w:t>„</w:t>
      </w:r>
      <w:proofErr w:type="spellStart"/>
      <w:r>
        <w:rPr>
          <w:rFonts w:cs="Times New Roman"/>
          <w:color w:val="000000" w:themeColor="text1"/>
          <w:szCs w:val="24"/>
        </w:rPr>
        <w:t>ProgeCAD</w:t>
      </w:r>
      <w:proofErr w:type="spellEnd"/>
      <w:r>
        <w:rPr>
          <w:rFonts w:cs="Times New Roman"/>
          <w:color w:val="000000" w:themeColor="text1"/>
          <w:szCs w:val="24"/>
        </w:rPr>
        <w:t xml:space="preserve">” un </w:t>
      </w:r>
      <w:r w:rsidR="007C406C">
        <w:rPr>
          <w:rFonts w:cs="Times New Roman"/>
          <w:color w:val="000000" w:themeColor="text1"/>
          <w:szCs w:val="24"/>
        </w:rPr>
        <w:t>„</w:t>
      </w:r>
      <w:proofErr w:type="spellStart"/>
      <w:r w:rsidR="000C5646">
        <w:rPr>
          <w:rFonts w:cs="Times New Roman"/>
          <w:color w:val="000000" w:themeColor="text1"/>
          <w:szCs w:val="24"/>
        </w:rPr>
        <w:t>Nitro</w:t>
      </w:r>
      <w:proofErr w:type="spellEnd"/>
      <w:r w:rsidR="000C5646">
        <w:rPr>
          <w:rFonts w:cs="Times New Roman"/>
          <w:color w:val="000000" w:themeColor="text1"/>
          <w:szCs w:val="24"/>
        </w:rPr>
        <w:t>” autortiesību pārkāpšanu izbeigts.</w:t>
      </w:r>
    </w:p>
    <w:p w14:paraId="37086511" w14:textId="22A19291" w:rsidR="000C5646" w:rsidRDefault="000C5646" w:rsidP="00426462">
      <w:pPr>
        <w:widowControl w:val="0"/>
        <w:spacing w:after="0"/>
        <w:ind w:firstLine="720"/>
        <w:jc w:val="both"/>
        <w:rPr>
          <w:rFonts w:cs="Times New Roman"/>
          <w:color w:val="000000" w:themeColor="text1"/>
          <w:szCs w:val="24"/>
        </w:rPr>
      </w:pPr>
      <w:r>
        <w:rPr>
          <w:rFonts w:cs="Times New Roman"/>
          <w:color w:val="000000" w:themeColor="text1"/>
          <w:szCs w:val="24"/>
        </w:rPr>
        <w:t xml:space="preserve">No </w:t>
      </w:r>
      <w:r w:rsidR="003F3434">
        <w:rPr>
          <w:rFonts w:cs="Times New Roman"/>
          <w:color w:val="000000" w:themeColor="text1"/>
          <w:szCs w:val="24"/>
        </w:rPr>
        <w:t>[pers. A]</w:t>
      </w:r>
      <w:r>
        <w:rPr>
          <w:rFonts w:cs="Times New Roman"/>
          <w:color w:val="000000" w:themeColor="text1"/>
          <w:szCs w:val="24"/>
        </w:rPr>
        <w:t xml:space="preserve"> kompānijas </w:t>
      </w:r>
      <w:r w:rsidR="007C406C">
        <w:rPr>
          <w:rFonts w:cs="Times New Roman"/>
          <w:color w:val="000000" w:themeColor="text1"/>
          <w:szCs w:val="24"/>
        </w:rPr>
        <w:t>„</w:t>
      </w:r>
      <w:proofErr w:type="spellStart"/>
      <w:r w:rsidR="00991B75">
        <w:rPr>
          <w:rFonts w:cs="Times New Roman"/>
          <w:color w:val="000000" w:themeColor="text1"/>
          <w:szCs w:val="24"/>
        </w:rPr>
        <w:t>Dass</w:t>
      </w:r>
      <w:r>
        <w:rPr>
          <w:rFonts w:cs="Times New Roman"/>
          <w:color w:val="000000" w:themeColor="text1"/>
          <w:szCs w:val="24"/>
        </w:rPr>
        <w:t>ault</w:t>
      </w:r>
      <w:proofErr w:type="spellEnd"/>
      <w:r>
        <w:rPr>
          <w:rFonts w:cs="Times New Roman"/>
          <w:color w:val="000000" w:themeColor="text1"/>
          <w:szCs w:val="24"/>
        </w:rPr>
        <w:t xml:space="preserve"> </w:t>
      </w:r>
      <w:proofErr w:type="spellStart"/>
      <w:r>
        <w:rPr>
          <w:rFonts w:cs="Times New Roman"/>
          <w:color w:val="000000" w:themeColor="text1"/>
          <w:szCs w:val="24"/>
        </w:rPr>
        <w:t>Systemes</w:t>
      </w:r>
      <w:proofErr w:type="spellEnd"/>
      <w:r>
        <w:rPr>
          <w:rFonts w:cs="Times New Roman"/>
          <w:color w:val="000000" w:themeColor="text1"/>
          <w:szCs w:val="24"/>
        </w:rPr>
        <w:t xml:space="preserve"> </w:t>
      </w:r>
      <w:proofErr w:type="spellStart"/>
      <w:r>
        <w:rPr>
          <w:rFonts w:cs="Times New Roman"/>
          <w:color w:val="000000" w:themeColor="text1"/>
          <w:szCs w:val="24"/>
        </w:rPr>
        <w:t>SolidWorks</w:t>
      </w:r>
      <w:proofErr w:type="spellEnd"/>
      <w:r>
        <w:rPr>
          <w:rFonts w:cs="Times New Roman"/>
          <w:color w:val="000000" w:themeColor="text1"/>
          <w:szCs w:val="24"/>
        </w:rPr>
        <w:t xml:space="preserve"> </w:t>
      </w:r>
      <w:proofErr w:type="spellStart"/>
      <w:r>
        <w:rPr>
          <w:rFonts w:cs="Times New Roman"/>
          <w:color w:val="000000" w:themeColor="text1"/>
          <w:szCs w:val="24"/>
        </w:rPr>
        <w:t>Corporation</w:t>
      </w:r>
      <w:proofErr w:type="spellEnd"/>
      <w:r>
        <w:rPr>
          <w:rFonts w:cs="Times New Roman"/>
          <w:color w:val="000000" w:themeColor="text1"/>
          <w:szCs w:val="24"/>
        </w:rPr>
        <w:t>” labā piedzīta mantiskā kaitējuma kompensācija 80</w:t>
      </w:r>
      <w:r w:rsidR="007C406C">
        <w:rPr>
          <w:rFonts w:cs="Times New Roman"/>
          <w:color w:val="000000" w:themeColor="text1"/>
          <w:szCs w:val="24"/>
        </w:rPr>
        <w:t> </w:t>
      </w:r>
      <w:r>
        <w:rPr>
          <w:rFonts w:cs="Times New Roman"/>
          <w:color w:val="000000" w:themeColor="text1"/>
          <w:szCs w:val="24"/>
        </w:rPr>
        <w:t>400</w:t>
      </w:r>
      <w:r w:rsidR="007C406C">
        <w:rPr>
          <w:rFonts w:cs="Times New Roman"/>
          <w:color w:val="000000" w:themeColor="text1"/>
          <w:szCs w:val="24"/>
        </w:rPr>
        <w:t> </w:t>
      </w:r>
      <w:r>
        <w:rPr>
          <w:rFonts w:cs="Times New Roman"/>
          <w:i/>
          <w:iCs/>
          <w:color w:val="000000" w:themeColor="text1"/>
          <w:szCs w:val="24"/>
        </w:rPr>
        <w:t>euro</w:t>
      </w:r>
      <w:r>
        <w:rPr>
          <w:rFonts w:cs="Times New Roman"/>
          <w:color w:val="000000" w:themeColor="text1"/>
          <w:szCs w:val="24"/>
        </w:rPr>
        <w:t>.</w:t>
      </w:r>
    </w:p>
    <w:p w14:paraId="226B7817" w14:textId="78F597CB" w:rsidR="000C5646" w:rsidRDefault="000C5646" w:rsidP="00426462">
      <w:pPr>
        <w:widowControl w:val="0"/>
        <w:spacing w:after="0"/>
        <w:ind w:firstLine="720"/>
        <w:jc w:val="both"/>
        <w:rPr>
          <w:rFonts w:cs="Times New Roman"/>
          <w:color w:val="000000" w:themeColor="text1"/>
          <w:szCs w:val="24"/>
        </w:rPr>
      </w:pPr>
      <w:r>
        <w:rPr>
          <w:rFonts w:cs="Times New Roman"/>
          <w:color w:val="000000" w:themeColor="text1"/>
          <w:szCs w:val="24"/>
        </w:rPr>
        <w:t xml:space="preserve">Kompāniju </w:t>
      </w:r>
      <w:r w:rsidR="007C406C">
        <w:rPr>
          <w:rFonts w:cs="Times New Roman"/>
          <w:color w:val="000000" w:themeColor="text1"/>
          <w:szCs w:val="24"/>
        </w:rPr>
        <w:t>„</w:t>
      </w:r>
      <w:r>
        <w:rPr>
          <w:rFonts w:cs="Times New Roman"/>
          <w:color w:val="000000" w:themeColor="text1"/>
          <w:szCs w:val="24"/>
        </w:rPr>
        <w:t xml:space="preserve">Microsoft </w:t>
      </w:r>
      <w:proofErr w:type="spellStart"/>
      <w:r>
        <w:rPr>
          <w:rFonts w:cs="Times New Roman"/>
          <w:color w:val="000000" w:themeColor="text1"/>
          <w:szCs w:val="24"/>
        </w:rPr>
        <w:t>Corporation</w:t>
      </w:r>
      <w:proofErr w:type="spellEnd"/>
      <w:r>
        <w:rPr>
          <w:rFonts w:cs="Times New Roman"/>
          <w:color w:val="000000" w:themeColor="text1"/>
          <w:szCs w:val="24"/>
        </w:rPr>
        <w:t xml:space="preserve">” un </w:t>
      </w:r>
      <w:r w:rsidR="007C406C">
        <w:rPr>
          <w:rFonts w:cs="Times New Roman"/>
          <w:color w:val="000000" w:themeColor="text1"/>
          <w:szCs w:val="24"/>
        </w:rPr>
        <w:t>„</w:t>
      </w:r>
      <w:proofErr w:type="spellStart"/>
      <w:r>
        <w:rPr>
          <w:rFonts w:cs="Times New Roman"/>
          <w:color w:val="000000" w:themeColor="text1"/>
          <w:szCs w:val="24"/>
        </w:rPr>
        <w:t>Autodesk</w:t>
      </w:r>
      <w:proofErr w:type="spellEnd"/>
      <w:r>
        <w:rPr>
          <w:rFonts w:cs="Times New Roman"/>
          <w:color w:val="000000" w:themeColor="text1"/>
          <w:szCs w:val="24"/>
        </w:rPr>
        <w:t xml:space="preserve"> </w:t>
      </w:r>
      <w:proofErr w:type="spellStart"/>
      <w:r>
        <w:rPr>
          <w:rFonts w:cs="Times New Roman"/>
          <w:color w:val="000000" w:themeColor="text1"/>
          <w:szCs w:val="24"/>
        </w:rPr>
        <w:t>Incorporated</w:t>
      </w:r>
      <w:proofErr w:type="spellEnd"/>
      <w:r>
        <w:rPr>
          <w:rFonts w:cs="Times New Roman"/>
          <w:color w:val="000000" w:themeColor="text1"/>
          <w:szCs w:val="24"/>
        </w:rPr>
        <w:t>” kaitējuma kompensācijas pieteikumi atstāti bez izskatīšanas.</w:t>
      </w:r>
    </w:p>
    <w:p w14:paraId="2C790C3C" w14:textId="785C7DDB" w:rsidR="000C5646" w:rsidRDefault="000C5646" w:rsidP="00426462">
      <w:pPr>
        <w:widowControl w:val="0"/>
        <w:spacing w:after="0"/>
        <w:ind w:firstLine="720"/>
        <w:jc w:val="both"/>
        <w:rPr>
          <w:rFonts w:cs="Times New Roman"/>
          <w:color w:val="000000" w:themeColor="text1"/>
          <w:szCs w:val="24"/>
        </w:rPr>
      </w:pPr>
      <w:r>
        <w:rPr>
          <w:rFonts w:cs="Times New Roman"/>
          <w:color w:val="000000" w:themeColor="text1"/>
          <w:szCs w:val="24"/>
        </w:rPr>
        <w:t xml:space="preserve">Drošības līdzeklis </w:t>
      </w:r>
      <w:r w:rsidR="003F3434">
        <w:rPr>
          <w:rFonts w:cs="Times New Roman"/>
          <w:color w:val="000000" w:themeColor="text1"/>
          <w:szCs w:val="24"/>
        </w:rPr>
        <w:t>[pers. </w:t>
      </w:r>
      <w:r w:rsidR="003F3434">
        <w:t>A]</w:t>
      </w:r>
      <w:r>
        <w:rPr>
          <w:rFonts w:cs="Times New Roman"/>
          <w:color w:val="000000" w:themeColor="text1"/>
          <w:szCs w:val="24"/>
        </w:rPr>
        <w:t xml:space="preserve"> nav piemērots.</w:t>
      </w:r>
    </w:p>
    <w:p w14:paraId="28DE9120" w14:textId="4FA2D2FD" w:rsidR="000C5646" w:rsidRDefault="000C5646" w:rsidP="00426462">
      <w:pPr>
        <w:widowControl w:val="0"/>
        <w:spacing w:after="0"/>
        <w:ind w:firstLine="720"/>
        <w:jc w:val="both"/>
        <w:rPr>
          <w:rFonts w:asciiTheme="majorBidi" w:hAnsiTheme="majorBidi" w:cstheme="majorBidi"/>
          <w:szCs w:val="24"/>
        </w:rPr>
      </w:pPr>
    </w:p>
    <w:p w14:paraId="1C3B7964" w14:textId="7FE2A89A" w:rsidR="008F7D57" w:rsidRPr="000C5646" w:rsidRDefault="00C21435" w:rsidP="00426462">
      <w:pPr>
        <w:widowControl w:val="0"/>
        <w:spacing w:after="0"/>
        <w:ind w:firstLine="720"/>
        <w:jc w:val="both"/>
        <w:rPr>
          <w:rFonts w:asciiTheme="majorBidi" w:hAnsiTheme="majorBidi" w:cstheme="majorBidi"/>
          <w:szCs w:val="24"/>
        </w:rPr>
      </w:pPr>
      <w:r w:rsidRPr="00B14CA7">
        <w:rPr>
          <w:rFonts w:cs="Times New Roman"/>
          <w:color w:val="000000" w:themeColor="text1"/>
          <w:szCs w:val="24"/>
        </w:rPr>
        <w:t>[</w:t>
      </w:r>
      <w:r w:rsidR="00666DD8">
        <w:rPr>
          <w:rFonts w:cs="Times New Roman"/>
          <w:color w:val="000000" w:themeColor="text1"/>
          <w:szCs w:val="24"/>
        </w:rPr>
        <w:t>4</w:t>
      </w:r>
      <w:r w:rsidRPr="00B14CA7">
        <w:rPr>
          <w:rFonts w:cs="Times New Roman"/>
          <w:color w:val="000000" w:themeColor="text1"/>
          <w:szCs w:val="24"/>
        </w:rPr>
        <w:t>]</w:t>
      </w:r>
      <w:r w:rsidR="00E011E9">
        <w:rPr>
          <w:rFonts w:cs="Times New Roman"/>
          <w:color w:val="000000" w:themeColor="text1"/>
          <w:szCs w:val="24"/>
        </w:rPr>
        <w:t> </w:t>
      </w:r>
      <w:r w:rsidR="00E011E9">
        <w:t>Ar Senāta 20</w:t>
      </w:r>
      <w:r w:rsidR="000C5646">
        <w:t>19</w:t>
      </w:r>
      <w:r w:rsidR="00E011E9">
        <w:t>.</w:t>
      </w:r>
      <w:r w:rsidR="000C5646">
        <w:t> </w:t>
      </w:r>
      <w:r w:rsidR="00E011E9">
        <w:t xml:space="preserve">gada </w:t>
      </w:r>
      <w:r w:rsidR="000C5646">
        <w:t>19. jūlija</w:t>
      </w:r>
      <w:r w:rsidR="00E011E9">
        <w:t xml:space="preserve"> lēmumu,</w:t>
      </w:r>
      <w:r w:rsidR="000C5646">
        <w:t xml:space="preserve"> izskatot lietu kasācijas kārtībā sakarā ar apsūdzētā </w:t>
      </w:r>
      <w:r w:rsidR="00233827">
        <w:t>[pers. A]</w:t>
      </w:r>
      <w:r w:rsidR="000C5646">
        <w:t xml:space="preserve"> aizstāvja A. Rasas kasācijas sūdzību,</w:t>
      </w:r>
      <w:r w:rsidR="00E011E9">
        <w:t xml:space="preserve"> </w:t>
      </w:r>
      <w:r w:rsidR="000C5646">
        <w:t>Vidzemes apgabaltiesas 2018.</w:t>
      </w:r>
      <w:r w:rsidR="00D52DD7">
        <w:t> </w:t>
      </w:r>
      <w:r w:rsidR="000C5646">
        <w:t>gada 8.</w:t>
      </w:r>
      <w:r w:rsidR="00D52DD7">
        <w:t> </w:t>
      </w:r>
      <w:r w:rsidR="000C5646">
        <w:t>oktobra spriedums atcelts pilnībā</w:t>
      </w:r>
      <w:proofErr w:type="gramStart"/>
      <w:r w:rsidR="000C5646">
        <w:t xml:space="preserve"> un</w:t>
      </w:r>
      <w:proofErr w:type="gramEnd"/>
      <w:r w:rsidR="000C5646">
        <w:t xml:space="preserve"> lieta nosūtīta jaunai izskatīšanai apelācijas instances tiesā.</w:t>
      </w:r>
    </w:p>
    <w:p w14:paraId="3A34FA09" w14:textId="77777777" w:rsidR="00CD45FD" w:rsidRDefault="00CD45FD" w:rsidP="00426462">
      <w:pPr>
        <w:widowControl w:val="0"/>
        <w:spacing w:after="0"/>
        <w:ind w:firstLine="720"/>
        <w:jc w:val="both"/>
        <w:rPr>
          <w:szCs w:val="24"/>
        </w:rPr>
      </w:pPr>
    </w:p>
    <w:p w14:paraId="689E6333" w14:textId="3166386E" w:rsidR="00BE2FE8" w:rsidRDefault="007D24C2" w:rsidP="00426462">
      <w:pPr>
        <w:widowControl w:val="0"/>
        <w:spacing w:after="0"/>
        <w:ind w:firstLine="720"/>
        <w:jc w:val="both"/>
        <w:rPr>
          <w:rFonts w:cs="Times New Roman"/>
          <w:color w:val="000000" w:themeColor="text1"/>
          <w:szCs w:val="24"/>
        </w:rPr>
      </w:pPr>
      <w:r>
        <w:rPr>
          <w:szCs w:val="24"/>
        </w:rPr>
        <w:t>[5] </w:t>
      </w:r>
      <w:r>
        <w:t xml:space="preserve">Ar </w:t>
      </w:r>
      <w:r w:rsidR="00BE2FE8">
        <w:t xml:space="preserve">Vidzemes apgabaltiesas </w:t>
      </w:r>
      <w:r>
        <w:t>202</w:t>
      </w:r>
      <w:r w:rsidR="00BE2FE8">
        <w:t>0</w:t>
      </w:r>
      <w:r>
        <w:t>.</w:t>
      </w:r>
      <w:r w:rsidR="00BE2FE8">
        <w:t> </w:t>
      </w:r>
      <w:r>
        <w:t xml:space="preserve">gada </w:t>
      </w:r>
      <w:r w:rsidR="00BE2FE8">
        <w:t>12. februāra</w:t>
      </w:r>
      <w:r>
        <w:t xml:space="preserve"> spriedumu, iztiesājot krimināllietu no jauna apelācijas kārtībā sakarā ar</w:t>
      </w:r>
      <w:r w:rsidR="00A93C27" w:rsidRPr="00B14CA7">
        <w:rPr>
          <w:rFonts w:cs="Times New Roman"/>
          <w:color w:val="000000" w:themeColor="text1"/>
          <w:szCs w:val="24"/>
        </w:rPr>
        <w:t xml:space="preserve"> </w:t>
      </w:r>
      <w:r w:rsidR="00BE2FE8">
        <w:rPr>
          <w:rFonts w:cs="Times New Roman"/>
          <w:color w:val="000000" w:themeColor="text1"/>
          <w:szCs w:val="24"/>
        </w:rPr>
        <w:t xml:space="preserve">Valmieras rajona prokuratūras prokurores </w:t>
      </w:r>
      <w:r w:rsidR="00DC1CD2">
        <w:rPr>
          <w:rFonts w:cs="Times New Roman"/>
          <w:color w:val="000000" w:themeColor="text1"/>
          <w:szCs w:val="24"/>
        </w:rPr>
        <w:t>S. </w:t>
      </w:r>
      <w:proofErr w:type="spellStart"/>
      <w:r w:rsidR="00BE2FE8">
        <w:rPr>
          <w:rFonts w:cs="Times New Roman"/>
          <w:color w:val="000000" w:themeColor="text1"/>
          <w:szCs w:val="24"/>
        </w:rPr>
        <w:t>Kristapas</w:t>
      </w:r>
      <w:proofErr w:type="spellEnd"/>
      <w:r w:rsidR="00BE2FE8">
        <w:rPr>
          <w:rFonts w:cs="Times New Roman"/>
          <w:color w:val="000000" w:themeColor="text1"/>
          <w:szCs w:val="24"/>
        </w:rPr>
        <w:t xml:space="preserve"> apelācijas protestu, apsūdzētā </w:t>
      </w:r>
      <w:r w:rsidR="00233827">
        <w:rPr>
          <w:rFonts w:cs="Times New Roman"/>
          <w:color w:val="000000" w:themeColor="text1"/>
          <w:szCs w:val="24"/>
        </w:rPr>
        <w:t>[pers. </w:t>
      </w:r>
      <w:r w:rsidR="00233827">
        <w:t>A]</w:t>
      </w:r>
      <w:r w:rsidR="00BE2FE8">
        <w:rPr>
          <w:rFonts w:cs="Times New Roman"/>
          <w:color w:val="000000" w:themeColor="text1"/>
          <w:szCs w:val="24"/>
        </w:rPr>
        <w:t xml:space="preserve"> aizstāvja A. Rasas un cietušo</w:t>
      </w:r>
      <w:r w:rsidR="00D52DD7">
        <w:rPr>
          <w:rFonts w:cs="Times New Roman"/>
          <w:color w:val="000000" w:themeColor="text1"/>
          <w:szCs w:val="24"/>
        </w:rPr>
        <w:t xml:space="preserve"> –</w:t>
      </w:r>
      <w:r w:rsidR="00BE2FE8">
        <w:rPr>
          <w:rFonts w:cs="Times New Roman"/>
          <w:color w:val="000000" w:themeColor="text1"/>
          <w:szCs w:val="24"/>
        </w:rPr>
        <w:t xml:space="preserve"> kompāniju </w:t>
      </w:r>
      <w:r w:rsidR="00691D5A">
        <w:rPr>
          <w:rFonts w:cs="Times New Roman"/>
          <w:color w:val="000000" w:themeColor="text1"/>
          <w:szCs w:val="24"/>
        </w:rPr>
        <w:t>„</w:t>
      </w:r>
      <w:r w:rsidR="00BE2FE8">
        <w:rPr>
          <w:rFonts w:cs="Times New Roman"/>
          <w:color w:val="000000" w:themeColor="text1"/>
          <w:szCs w:val="24"/>
        </w:rPr>
        <w:t xml:space="preserve">Microsoft </w:t>
      </w:r>
      <w:proofErr w:type="spellStart"/>
      <w:r w:rsidR="00BE2FE8">
        <w:rPr>
          <w:rFonts w:cs="Times New Roman"/>
          <w:color w:val="000000" w:themeColor="text1"/>
          <w:szCs w:val="24"/>
        </w:rPr>
        <w:t>Corporation</w:t>
      </w:r>
      <w:proofErr w:type="spellEnd"/>
      <w:r w:rsidR="00BE2FE8">
        <w:rPr>
          <w:rFonts w:cs="Times New Roman"/>
          <w:color w:val="000000" w:themeColor="text1"/>
          <w:szCs w:val="24"/>
        </w:rPr>
        <w:t xml:space="preserve">” un </w:t>
      </w:r>
      <w:r w:rsidR="00DC1CD2">
        <w:rPr>
          <w:rFonts w:cs="Times New Roman"/>
          <w:color w:val="000000" w:themeColor="text1"/>
          <w:szCs w:val="24"/>
        </w:rPr>
        <w:t>„</w:t>
      </w:r>
      <w:proofErr w:type="spellStart"/>
      <w:r w:rsidR="00BE2FE8">
        <w:rPr>
          <w:rFonts w:cs="Times New Roman"/>
          <w:color w:val="000000" w:themeColor="text1"/>
          <w:szCs w:val="24"/>
        </w:rPr>
        <w:t>Autodesk</w:t>
      </w:r>
      <w:proofErr w:type="spellEnd"/>
      <w:r w:rsidR="00BE2FE8">
        <w:rPr>
          <w:rFonts w:cs="Times New Roman"/>
          <w:color w:val="000000" w:themeColor="text1"/>
          <w:szCs w:val="24"/>
        </w:rPr>
        <w:t xml:space="preserve"> </w:t>
      </w:r>
      <w:proofErr w:type="spellStart"/>
      <w:r w:rsidR="00BE2FE8">
        <w:rPr>
          <w:rFonts w:cs="Times New Roman"/>
          <w:color w:val="000000" w:themeColor="text1"/>
          <w:szCs w:val="24"/>
        </w:rPr>
        <w:t>Incorporated</w:t>
      </w:r>
      <w:proofErr w:type="spellEnd"/>
      <w:r w:rsidR="00BE2FE8">
        <w:rPr>
          <w:rFonts w:cs="Times New Roman"/>
          <w:color w:val="000000" w:themeColor="text1"/>
          <w:szCs w:val="24"/>
        </w:rPr>
        <w:t>”</w:t>
      </w:r>
      <w:r w:rsidR="00D52DD7">
        <w:rPr>
          <w:rFonts w:cs="Times New Roman"/>
          <w:color w:val="000000" w:themeColor="text1"/>
          <w:szCs w:val="24"/>
        </w:rPr>
        <w:t xml:space="preserve"> –</w:t>
      </w:r>
      <w:r w:rsidR="00BE2FE8">
        <w:rPr>
          <w:rFonts w:cs="Times New Roman"/>
          <w:color w:val="000000" w:themeColor="text1"/>
          <w:szCs w:val="24"/>
        </w:rPr>
        <w:t xml:space="preserve"> pārstāves </w:t>
      </w:r>
      <w:r w:rsidR="00233827">
        <w:rPr>
          <w:rFonts w:cs="Times New Roman"/>
          <w:color w:val="000000" w:themeColor="text1"/>
          <w:szCs w:val="24"/>
        </w:rPr>
        <w:t>[pers. B]</w:t>
      </w:r>
      <w:r w:rsidR="00BE2FE8">
        <w:rPr>
          <w:rFonts w:cs="Times New Roman"/>
          <w:color w:val="000000" w:themeColor="text1"/>
          <w:szCs w:val="24"/>
        </w:rPr>
        <w:t xml:space="preserve"> apelācijas sūdzībām, Valmieras rajona tiesas 2017. gada 4. janvāra spriedums atcelts.</w:t>
      </w:r>
    </w:p>
    <w:p w14:paraId="434C45BD" w14:textId="7E0FF49F" w:rsidR="00BE2FE8" w:rsidRDefault="00233827" w:rsidP="00426462">
      <w:pPr>
        <w:widowControl w:val="0"/>
        <w:spacing w:after="0"/>
        <w:ind w:firstLine="720"/>
        <w:jc w:val="both"/>
        <w:rPr>
          <w:rFonts w:cs="Times New Roman"/>
          <w:color w:val="000000" w:themeColor="text1"/>
          <w:szCs w:val="24"/>
        </w:rPr>
      </w:pPr>
      <w:r>
        <w:rPr>
          <w:rFonts w:cs="Times New Roman"/>
          <w:color w:val="000000" w:themeColor="text1"/>
          <w:szCs w:val="24"/>
        </w:rPr>
        <w:t>[Pers. </w:t>
      </w:r>
      <w:r w:rsidR="00B35E2C">
        <w:t>A</w:t>
      </w:r>
      <w:r>
        <w:t>]</w:t>
      </w:r>
      <w:r w:rsidR="00BE2FE8">
        <w:rPr>
          <w:rFonts w:cs="Times New Roman"/>
          <w:color w:val="000000" w:themeColor="text1"/>
          <w:szCs w:val="24"/>
        </w:rPr>
        <w:t xml:space="preserve"> atzīts par nevainīgu pret viņu celtajā apsūdzībā pēc Krimināllikuma 148. panta trešās daļas par kompānijas </w:t>
      </w:r>
      <w:r w:rsidR="005853E7">
        <w:rPr>
          <w:rFonts w:cs="Times New Roman"/>
          <w:color w:val="000000" w:themeColor="text1"/>
          <w:szCs w:val="24"/>
        </w:rPr>
        <w:t>„</w:t>
      </w:r>
      <w:proofErr w:type="spellStart"/>
      <w:r w:rsidR="00991B75">
        <w:rPr>
          <w:rFonts w:cs="Times New Roman"/>
          <w:color w:val="000000" w:themeColor="text1"/>
          <w:szCs w:val="24"/>
        </w:rPr>
        <w:t>Dass</w:t>
      </w:r>
      <w:r w:rsidR="00BE2FE8">
        <w:rPr>
          <w:rFonts w:cs="Times New Roman"/>
          <w:color w:val="000000" w:themeColor="text1"/>
          <w:szCs w:val="24"/>
        </w:rPr>
        <w:t>ault</w:t>
      </w:r>
      <w:proofErr w:type="spellEnd"/>
      <w:r w:rsidR="00BE2FE8">
        <w:rPr>
          <w:rFonts w:cs="Times New Roman"/>
          <w:color w:val="000000" w:themeColor="text1"/>
          <w:szCs w:val="24"/>
        </w:rPr>
        <w:t xml:space="preserve"> </w:t>
      </w:r>
      <w:proofErr w:type="spellStart"/>
      <w:r w:rsidR="00BE2FE8">
        <w:rPr>
          <w:rFonts w:cs="Times New Roman"/>
          <w:color w:val="000000" w:themeColor="text1"/>
          <w:szCs w:val="24"/>
        </w:rPr>
        <w:t>Systemes</w:t>
      </w:r>
      <w:proofErr w:type="spellEnd"/>
      <w:r w:rsidR="00BE2FE8">
        <w:rPr>
          <w:rFonts w:cs="Times New Roman"/>
          <w:color w:val="000000" w:themeColor="text1"/>
          <w:szCs w:val="24"/>
        </w:rPr>
        <w:t xml:space="preserve"> </w:t>
      </w:r>
      <w:proofErr w:type="spellStart"/>
      <w:r w:rsidR="00BE2FE8">
        <w:rPr>
          <w:rFonts w:cs="Times New Roman"/>
          <w:color w:val="000000" w:themeColor="text1"/>
          <w:szCs w:val="24"/>
        </w:rPr>
        <w:t>SolidWorks</w:t>
      </w:r>
      <w:proofErr w:type="spellEnd"/>
      <w:r w:rsidR="00BE2FE8">
        <w:rPr>
          <w:rFonts w:cs="Times New Roman"/>
          <w:color w:val="000000" w:themeColor="text1"/>
          <w:szCs w:val="24"/>
        </w:rPr>
        <w:t xml:space="preserve"> </w:t>
      </w:r>
      <w:proofErr w:type="spellStart"/>
      <w:r w:rsidR="00BE2FE8">
        <w:rPr>
          <w:rFonts w:cs="Times New Roman"/>
          <w:color w:val="000000" w:themeColor="text1"/>
          <w:szCs w:val="24"/>
        </w:rPr>
        <w:t>Corporation</w:t>
      </w:r>
      <w:proofErr w:type="spellEnd"/>
      <w:r w:rsidR="00BE2FE8">
        <w:rPr>
          <w:rFonts w:cs="Times New Roman"/>
          <w:color w:val="000000" w:themeColor="text1"/>
          <w:szCs w:val="24"/>
        </w:rPr>
        <w:t>” autortiesību pārkāpšanu lielā apmērā un attaisnots.</w:t>
      </w:r>
    </w:p>
    <w:p w14:paraId="7305597D" w14:textId="3E60BB87" w:rsidR="00BE2FE8" w:rsidRDefault="00BE2FE8" w:rsidP="00426462">
      <w:pPr>
        <w:widowControl w:val="0"/>
        <w:spacing w:after="0"/>
        <w:ind w:firstLine="720"/>
        <w:jc w:val="both"/>
        <w:rPr>
          <w:rFonts w:cs="Times New Roman"/>
          <w:color w:val="000000" w:themeColor="text1"/>
          <w:szCs w:val="24"/>
        </w:rPr>
      </w:pPr>
      <w:r>
        <w:rPr>
          <w:rFonts w:cs="Times New Roman"/>
          <w:color w:val="000000" w:themeColor="text1"/>
          <w:szCs w:val="24"/>
        </w:rPr>
        <w:t>Kriminālprocess</w:t>
      </w:r>
      <w:r w:rsidR="00A24EBD">
        <w:rPr>
          <w:rFonts w:cs="Times New Roman"/>
          <w:color w:val="000000" w:themeColor="text1"/>
          <w:szCs w:val="24"/>
        </w:rPr>
        <w:t xml:space="preserve"> izbeigts</w:t>
      </w:r>
      <w:r>
        <w:rPr>
          <w:rFonts w:cs="Times New Roman"/>
          <w:color w:val="000000" w:themeColor="text1"/>
          <w:szCs w:val="24"/>
        </w:rPr>
        <w:t xml:space="preserve"> daļā</w:t>
      </w:r>
      <w:r w:rsidR="00A24EBD">
        <w:rPr>
          <w:rFonts w:cs="Times New Roman"/>
          <w:color w:val="000000" w:themeColor="text1"/>
          <w:szCs w:val="24"/>
        </w:rPr>
        <w:t xml:space="preserve"> </w:t>
      </w:r>
      <w:r w:rsidR="00865627">
        <w:rPr>
          <w:rFonts w:cs="Times New Roman"/>
          <w:color w:val="000000" w:themeColor="text1"/>
          <w:szCs w:val="24"/>
        </w:rPr>
        <w:t xml:space="preserve">pret </w:t>
      </w:r>
      <w:r w:rsidR="00233827">
        <w:rPr>
          <w:rFonts w:cs="Times New Roman"/>
          <w:color w:val="000000" w:themeColor="text1"/>
          <w:szCs w:val="24"/>
        </w:rPr>
        <w:t>[pers. </w:t>
      </w:r>
      <w:r w:rsidR="00B35E2C">
        <w:rPr>
          <w:rFonts w:cs="Times New Roman"/>
          <w:color w:val="000000" w:themeColor="text1"/>
          <w:szCs w:val="24"/>
        </w:rPr>
        <w:t>A</w:t>
      </w:r>
      <w:r w:rsidR="00233827">
        <w:rPr>
          <w:rFonts w:cs="Times New Roman"/>
          <w:color w:val="000000" w:themeColor="text1"/>
          <w:szCs w:val="24"/>
        </w:rPr>
        <w:t>]</w:t>
      </w:r>
      <w:r w:rsidR="00865627">
        <w:rPr>
          <w:rFonts w:cs="Times New Roman"/>
          <w:color w:val="000000" w:themeColor="text1"/>
          <w:szCs w:val="24"/>
        </w:rPr>
        <w:t xml:space="preserve"> </w:t>
      </w:r>
      <w:r>
        <w:rPr>
          <w:rFonts w:cs="Times New Roman"/>
          <w:color w:val="000000" w:themeColor="text1"/>
          <w:szCs w:val="24"/>
        </w:rPr>
        <w:t>apsūdzībā pēc Krimināllikuma 148.</w:t>
      </w:r>
      <w:r w:rsidR="00D52DD7">
        <w:rPr>
          <w:rFonts w:cs="Times New Roman"/>
          <w:color w:val="000000" w:themeColor="text1"/>
          <w:szCs w:val="24"/>
        </w:rPr>
        <w:t> </w:t>
      </w:r>
      <w:r>
        <w:rPr>
          <w:rFonts w:cs="Times New Roman"/>
          <w:color w:val="000000" w:themeColor="text1"/>
          <w:szCs w:val="24"/>
        </w:rPr>
        <w:t xml:space="preserve">panta trešās daļas par kompāniju </w:t>
      </w:r>
      <w:r w:rsidR="005853E7">
        <w:rPr>
          <w:rFonts w:cs="Times New Roman"/>
          <w:color w:val="000000" w:themeColor="text1"/>
          <w:szCs w:val="24"/>
        </w:rPr>
        <w:t>„</w:t>
      </w:r>
      <w:r>
        <w:rPr>
          <w:rFonts w:cs="Times New Roman"/>
          <w:color w:val="000000" w:themeColor="text1"/>
          <w:szCs w:val="24"/>
        </w:rPr>
        <w:t xml:space="preserve">Microsoft </w:t>
      </w:r>
      <w:proofErr w:type="spellStart"/>
      <w:r>
        <w:rPr>
          <w:rFonts w:cs="Times New Roman"/>
          <w:color w:val="000000" w:themeColor="text1"/>
          <w:szCs w:val="24"/>
        </w:rPr>
        <w:t>Corporation</w:t>
      </w:r>
      <w:proofErr w:type="spellEnd"/>
      <w:r>
        <w:rPr>
          <w:rFonts w:cs="Times New Roman"/>
          <w:color w:val="000000" w:themeColor="text1"/>
          <w:szCs w:val="24"/>
        </w:rPr>
        <w:t xml:space="preserve">”, </w:t>
      </w:r>
      <w:r w:rsidR="005853E7">
        <w:rPr>
          <w:rFonts w:cs="Times New Roman"/>
          <w:color w:val="000000" w:themeColor="text1"/>
          <w:szCs w:val="24"/>
        </w:rPr>
        <w:t>„</w:t>
      </w:r>
      <w:proofErr w:type="spellStart"/>
      <w:r>
        <w:rPr>
          <w:rFonts w:cs="Times New Roman"/>
          <w:color w:val="000000" w:themeColor="text1"/>
          <w:szCs w:val="24"/>
        </w:rPr>
        <w:t>Autodesk</w:t>
      </w:r>
      <w:proofErr w:type="spellEnd"/>
      <w:r>
        <w:rPr>
          <w:rFonts w:cs="Times New Roman"/>
          <w:color w:val="000000" w:themeColor="text1"/>
          <w:szCs w:val="24"/>
        </w:rPr>
        <w:t xml:space="preserve"> </w:t>
      </w:r>
      <w:proofErr w:type="spellStart"/>
      <w:r>
        <w:rPr>
          <w:rFonts w:cs="Times New Roman"/>
          <w:color w:val="000000" w:themeColor="text1"/>
          <w:szCs w:val="24"/>
        </w:rPr>
        <w:t>Incorporated</w:t>
      </w:r>
      <w:proofErr w:type="spellEnd"/>
      <w:r>
        <w:rPr>
          <w:rFonts w:cs="Times New Roman"/>
          <w:color w:val="000000" w:themeColor="text1"/>
          <w:szCs w:val="24"/>
        </w:rPr>
        <w:t xml:space="preserve">”, </w:t>
      </w:r>
      <w:r w:rsidR="005853E7">
        <w:rPr>
          <w:rFonts w:cs="Times New Roman"/>
          <w:color w:val="000000" w:themeColor="text1"/>
          <w:szCs w:val="24"/>
        </w:rPr>
        <w:t>„</w:t>
      </w:r>
      <w:proofErr w:type="spellStart"/>
      <w:r>
        <w:rPr>
          <w:rFonts w:cs="Times New Roman"/>
          <w:color w:val="000000" w:themeColor="text1"/>
          <w:szCs w:val="24"/>
        </w:rPr>
        <w:t>MathCAD</w:t>
      </w:r>
      <w:proofErr w:type="spellEnd"/>
      <w:r>
        <w:rPr>
          <w:rFonts w:cs="Times New Roman"/>
          <w:color w:val="000000" w:themeColor="text1"/>
          <w:szCs w:val="24"/>
        </w:rPr>
        <w:t xml:space="preserve">”, </w:t>
      </w:r>
      <w:r w:rsidR="005853E7">
        <w:rPr>
          <w:rFonts w:cs="Times New Roman"/>
          <w:color w:val="000000" w:themeColor="text1"/>
          <w:szCs w:val="24"/>
        </w:rPr>
        <w:t>„</w:t>
      </w:r>
      <w:proofErr w:type="spellStart"/>
      <w:r>
        <w:rPr>
          <w:rFonts w:cs="Times New Roman"/>
          <w:color w:val="000000" w:themeColor="text1"/>
          <w:szCs w:val="24"/>
        </w:rPr>
        <w:t>Mathlab</w:t>
      </w:r>
      <w:proofErr w:type="spellEnd"/>
      <w:r>
        <w:rPr>
          <w:rFonts w:cs="Times New Roman"/>
          <w:color w:val="000000" w:themeColor="text1"/>
          <w:szCs w:val="24"/>
        </w:rPr>
        <w:t xml:space="preserve">”, </w:t>
      </w:r>
      <w:r w:rsidR="005853E7">
        <w:rPr>
          <w:rFonts w:cs="Times New Roman"/>
          <w:color w:val="000000" w:themeColor="text1"/>
          <w:szCs w:val="24"/>
        </w:rPr>
        <w:t>„</w:t>
      </w:r>
      <w:proofErr w:type="spellStart"/>
      <w:r>
        <w:rPr>
          <w:rFonts w:cs="Times New Roman"/>
          <w:color w:val="000000" w:themeColor="text1"/>
          <w:szCs w:val="24"/>
        </w:rPr>
        <w:t>Roshal</w:t>
      </w:r>
      <w:proofErr w:type="spellEnd"/>
      <w:r>
        <w:rPr>
          <w:rFonts w:cs="Times New Roman"/>
          <w:color w:val="000000" w:themeColor="text1"/>
          <w:szCs w:val="24"/>
        </w:rPr>
        <w:t xml:space="preserve">”, </w:t>
      </w:r>
      <w:r w:rsidR="005853E7">
        <w:rPr>
          <w:rFonts w:cs="Times New Roman"/>
          <w:color w:val="000000" w:themeColor="text1"/>
          <w:szCs w:val="24"/>
        </w:rPr>
        <w:t>„</w:t>
      </w:r>
      <w:proofErr w:type="spellStart"/>
      <w:r w:rsidR="005853E7">
        <w:rPr>
          <w:rFonts w:cs="Times New Roman"/>
          <w:color w:val="000000" w:themeColor="text1"/>
          <w:szCs w:val="24"/>
        </w:rPr>
        <w:t>TeamViewer</w:t>
      </w:r>
      <w:proofErr w:type="spellEnd"/>
      <w:r>
        <w:rPr>
          <w:rFonts w:cs="Times New Roman"/>
          <w:color w:val="000000" w:themeColor="text1"/>
          <w:szCs w:val="24"/>
        </w:rPr>
        <w:t xml:space="preserve">”, </w:t>
      </w:r>
      <w:r w:rsidR="005853E7">
        <w:rPr>
          <w:rFonts w:cs="Times New Roman"/>
          <w:color w:val="000000" w:themeColor="text1"/>
          <w:szCs w:val="24"/>
        </w:rPr>
        <w:t>„</w:t>
      </w:r>
      <w:proofErr w:type="spellStart"/>
      <w:r>
        <w:rPr>
          <w:rFonts w:cs="Times New Roman"/>
          <w:color w:val="000000" w:themeColor="text1"/>
          <w:szCs w:val="24"/>
        </w:rPr>
        <w:t>Eset</w:t>
      </w:r>
      <w:proofErr w:type="spellEnd"/>
      <w:r>
        <w:rPr>
          <w:rFonts w:cs="Times New Roman"/>
          <w:color w:val="000000" w:themeColor="text1"/>
          <w:szCs w:val="24"/>
        </w:rPr>
        <w:t xml:space="preserve">”, </w:t>
      </w:r>
      <w:r w:rsidR="005853E7">
        <w:rPr>
          <w:rFonts w:cs="Times New Roman"/>
          <w:color w:val="000000" w:themeColor="text1"/>
          <w:szCs w:val="24"/>
        </w:rPr>
        <w:t>„</w:t>
      </w:r>
      <w:proofErr w:type="spellStart"/>
      <w:r>
        <w:rPr>
          <w:rFonts w:cs="Times New Roman"/>
          <w:color w:val="000000" w:themeColor="text1"/>
          <w:szCs w:val="24"/>
        </w:rPr>
        <w:t>ProgeCAD</w:t>
      </w:r>
      <w:proofErr w:type="spellEnd"/>
      <w:r>
        <w:rPr>
          <w:rFonts w:cs="Times New Roman"/>
          <w:color w:val="000000" w:themeColor="text1"/>
          <w:szCs w:val="24"/>
        </w:rPr>
        <w:t xml:space="preserve">” un </w:t>
      </w:r>
      <w:r w:rsidR="005853E7">
        <w:rPr>
          <w:rFonts w:cs="Times New Roman"/>
          <w:color w:val="000000" w:themeColor="text1"/>
          <w:szCs w:val="24"/>
        </w:rPr>
        <w:t>„</w:t>
      </w:r>
      <w:proofErr w:type="spellStart"/>
      <w:r>
        <w:rPr>
          <w:rFonts w:cs="Times New Roman"/>
          <w:color w:val="000000" w:themeColor="text1"/>
          <w:szCs w:val="24"/>
        </w:rPr>
        <w:t>Nitro</w:t>
      </w:r>
      <w:proofErr w:type="spellEnd"/>
      <w:r>
        <w:rPr>
          <w:rFonts w:cs="Times New Roman"/>
          <w:color w:val="000000" w:themeColor="text1"/>
          <w:szCs w:val="24"/>
        </w:rPr>
        <w:t>” autortiesību pārkāpšanu.</w:t>
      </w:r>
    </w:p>
    <w:p w14:paraId="6B21B737" w14:textId="085A6B92" w:rsidR="00D52DD7" w:rsidRDefault="00D52DD7" w:rsidP="00426462">
      <w:pPr>
        <w:widowControl w:val="0"/>
        <w:spacing w:after="0"/>
        <w:ind w:firstLine="720"/>
        <w:jc w:val="both"/>
        <w:rPr>
          <w:rFonts w:cs="Times New Roman"/>
          <w:color w:val="000000" w:themeColor="text1"/>
          <w:szCs w:val="24"/>
        </w:rPr>
      </w:pPr>
      <w:r>
        <w:rPr>
          <w:rFonts w:cs="Times New Roman"/>
          <w:color w:val="000000" w:themeColor="text1"/>
          <w:szCs w:val="24"/>
        </w:rPr>
        <w:t xml:space="preserve">Kompāniju </w:t>
      </w:r>
      <w:r w:rsidR="005853E7">
        <w:rPr>
          <w:rFonts w:cs="Times New Roman"/>
          <w:color w:val="000000" w:themeColor="text1"/>
          <w:szCs w:val="24"/>
        </w:rPr>
        <w:t>„</w:t>
      </w:r>
      <w:proofErr w:type="spellStart"/>
      <w:r w:rsidR="00991B75">
        <w:rPr>
          <w:rFonts w:cs="Times New Roman"/>
          <w:color w:val="000000" w:themeColor="text1"/>
          <w:szCs w:val="24"/>
        </w:rPr>
        <w:t>Dass</w:t>
      </w:r>
      <w:r>
        <w:rPr>
          <w:rFonts w:cs="Times New Roman"/>
          <w:color w:val="000000" w:themeColor="text1"/>
          <w:szCs w:val="24"/>
        </w:rPr>
        <w:t>ault</w:t>
      </w:r>
      <w:proofErr w:type="spellEnd"/>
      <w:r>
        <w:rPr>
          <w:rFonts w:cs="Times New Roman"/>
          <w:color w:val="000000" w:themeColor="text1"/>
          <w:szCs w:val="24"/>
        </w:rPr>
        <w:t xml:space="preserve"> </w:t>
      </w:r>
      <w:proofErr w:type="spellStart"/>
      <w:r>
        <w:rPr>
          <w:rFonts w:cs="Times New Roman"/>
          <w:color w:val="000000" w:themeColor="text1"/>
          <w:szCs w:val="24"/>
        </w:rPr>
        <w:t>Systemes</w:t>
      </w:r>
      <w:proofErr w:type="spellEnd"/>
      <w:r>
        <w:rPr>
          <w:rFonts w:cs="Times New Roman"/>
          <w:color w:val="000000" w:themeColor="text1"/>
          <w:szCs w:val="24"/>
        </w:rPr>
        <w:t xml:space="preserve"> </w:t>
      </w:r>
      <w:proofErr w:type="spellStart"/>
      <w:r>
        <w:rPr>
          <w:rFonts w:cs="Times New Roman"/>
          <w:color w:val="000000" w:themeColor="text1"/>
          <w:szCs w:val="24"/>
        </w:rPr>
        <w:t>SolidWorks</w:t>
      </w:r>
      <w:proofErr w:type="spellEnd"/>
      <w:r>
        <w:rPr>
          <w:rFonts w:cs="Times New Roman"/>
          <w:color w:val="000000" w:themeColor="text1"/>
          <w:szCs w:val="24"/>
        </w:rPr>
        <w:t xml:space="preserve"> </w:t>
      </w:r>
      <w:proofErr w:type="spellStart"/>
      <w:r>
        <w:rPr>
          <w:rFonts w:cs="Times New Roman"/>
          <w:color w:val="000000" w:themeColor="text1"/>
          <w:szCs w:val="24"/>
        </w:rPr>
        <w:t>Corporation</w:t>
      </w:r>
      <w:proofErr w:type="spellEnd"/>
      <w:r>
        <w:rPr>
          <w:rFonts w:cs="Times New Roman"/>
          <w:color w:val="000000" w:themeColor="text1"/>
          <w:szCs w:val="24"/>
        </w:rPr>
        <w:t xml:space="preserve">”, </w:t>
      </w:r>
      <w:r w:rsidR="005853E7">
        <w:rPr>
          <w:rFonts w:cs="Times New Roman"/>
          <w:color w:val="000000" w:themeColor="text1"/>
          <w:szCs w:val="24"/>
        </w:rPr>
        <w:t>„</w:t>
      </w:r>
      <w:r>
        <w:rPr>
          <w:rFonts w:cs="Times New Roman"/>
          <w:color w:val="000000" w:themeColor="text1"/>
          <w:szCs w:val="24"/>
        </w:rPr>
        <w:t xml:space="preserve">Microsoft </w:t>
      </w:r>
      <w:proofErr w:type="spellStart"/>
      <w:r>
        <w:rPr>
          <w:rFonts w:cs="Times New Roman"/>
          <w:color w:val="000000" w:themeColor="text1"/>
          <w:szCs w:val="24"/>
        </w:rPr>
        <w:t>Corporation</w:t>
      </w:r>
      <w:proofErr w:type="spellEnd"/>
      <w:r>
        <w:rPr>
          <w:rFonts w:cs="Times New Roman"/>
          <w:color w:val="000000" w:themeColor="text1"/>
          <w:szCs w:val="24"/>
        </w:rPr>
        <w:t xml:space="preserve">” un </w:t>
      </w:r>
      <w:r w:rsidR="005853E7">
        <w:rPr>
          <w:rFonts w:cs="Times New Roman"/>
          <w:color w:val="000000" w:themeColor="text1"/>
          <w:szCs w:val="24"/>
        </w:rPr>
        <w:t>„</w:t>
      </w:r>
      <w:proofErr w:type="spellStart"/>
      <w:r>
        <w:rPr>
          <w:rFonts w:cs="Times New Roman"/>
          <w:color w:val="000000" w:themeColor="text1"/>
          <w:szCs w:val="24"/>
        </w:rPr>
        <w:t>Autodesk</w:t>
      </w:r>
      <w:proofErr w:type="spellEnd"/>
      <w:r>
        <w:rPr>
          <w:rFonts w:cs="Times New Roman"/>
          <w:color w:val="000000" w:themeColor="text1"/>
          <w:szCs w:val="24"/>
        </w:rPr>
        <w:t xml:space="preserve"> </w:t>
      </w:r>
      <w:proofErr w:type="spellStart"/>
      <w:r>
        <w:rPr>
          <w:rFonts w:cs="Times New Roman"/>
          <w:color w:val="000000" w:themeColor="text1"/>
          <w:szCs w:val="24"/>
        </w:rPr>
        <w:t>Incorporated</w:t>
      </w:r>
      <w:proofErr w:type="spellEnd"/>
      <w:r>
        <w:rPr>
          <w:rFonts w:cs="Times New Roman"/>
          <w:color w:val="000000" w:themeColor="text1"/>
          <w:szCs w:val="24"/>
        </w:rPr>
        <w:t>” kaitējuma kompensācijas pieteikumi atstāti bez izskatīšanas.</w:t>
      </w:r>
    </w:p>
    <w:p w14:paraId="632E8A71" w14:textId="6BC57D77" w:rsidR="002C6B2B" w:rsidRDefault="002C6B2B" w:rsidP="00426462">
      <w:pPr>
        <w:widowControl w:val="0"/>
        <w:spacing w:after="0"/>
        <w:ind w:firstLine="720"/>
        <w:jc w:val="both"/>
        <w:rPr>
          <w:rFonts w:cs="Times New Roman"/>
          <w:color w:val="000000" w:themeColor="text1"/>
          <w:szCs w:val="24"/>
        </w:rPr>
      </w:pPr>
      <w:r>
        <w:rPr>
          <w:rFonts w:cs="Times New Roman"/>
          <w:color w:val="000000" w:themeColor="text1"/>
          <w:szCs w:val="24"/>
        </w:rPr>
        <w:t>Krimināllietu nolemts nosūtīt Valmieras rajona prokuratūrai, lietiskos pierādījumus – datorsistēmu Nr. 2, Nr. 4, Nr. 5, Nr. 6 un Nr. 7 cietos diskus – atstājot Valmieras rajona prokuratūras rīcībā.</w:t>
      </w:r>
    </w:p>
    <w:p w14:paraId="210783BF" w14:textId="5A2A8F2F" w:rsidR="00D52DD7" w:rsidRDefault="00D52DD7" w:rsidP="00426462">
      <w:pPr>
        <w:widowControl w:val="0"/>
        <w:spacing w:after="0"/>
        <w:ind w:firstLine="720"/>
        <w:jc w:val="both"/>
        <w:rPr>
          <w:rFonts w:cs="Times New Roman"/>
          <w:color w:val="000000" w:themeColor="text1"/>
          <w:szCs w:val="24"/>
        </w:rPr>
      </w:pPr>
      <w:r>
        <w:rPr>
          <w:rFonts w:cs="Times New Roman"/>
          <w:color w:val="000000" w:themeColor="text1"/>
          <w:szCs w:val="24"/>
        </w:rPr>
        <w:t xml:space="preserve">Drošības līdzeklis </w:t>
      </w:r>
      <w:r w:rsidR="00233827">
        <w:rPr>
          <w:rFonts w:cs="Times New Roman"/>
          <w:color w:val="000000" w:themeColor="text1"/>
          <w:szCs w:val="24"/>
        </w:rPr>
        <w:t>[pers. A]</w:t>
      </w:r>
      <w:r>
        <w:rPr>
          <w:rFonts w:cs="Times New Roman"/>
          <w:color w:val="000000" w:themeColor="text1"/>
          <w:szCs w:val="24"/>
        </w:rPr>
        <w:t xml:space="preserve"> nav piemērots.</w:t>
      </w:r>
    </w:p>
    <w:p w14:paraId="55F352AF" w14:textId="77777777" w:rsidR="00D52DD7" w:rsidRDefault="00D52DD7" w:rsidP="00426462">
      <w:pPr>
        <w:widowControl w:val="0"/>
        <w:spacing w:after="0"/>
        <w:ind w:firstLine="720"/>
        <w:jc w:val="both"/>
        <w:rPr>
          <w:rFonts w:cs="Times New Roman"/>
          <w:color w:val="000000" w:themeColor="text1"/>
          <w:szCs w:val="24"/>
        </w:rPr>
      </w:pPr>
    </w:p>
    <w:p w14:paraId="25696917" w14:textId="7F4A6BEA" w:rsidR="002C6B2B" w:rsidRDefault="00D52DD7" w:rsidP="00426462">
      <w:pPr>
        <w:widowControl w:val="0"/>
        <w:spacing w:after="0"/>
        <w:ind w:firstLine="720"/>
        <w:jc w:val="both"/>
        <w:rPr>
          <w:rFonts w:cs="Times New Roman"/>
          <w:color w:val="000000" w:themeColor="text1"/>
          <w:szCs w:val="24"/>
        </w:rPr>
      </w:pPr>
      <w:r>
        <w:rPr>
          <w:rFonts w:cs="Times New Roman"/>
          <w:color w:val="000000" w:themeColor="text1"/>
          <w:szCs w:val="24"/>
        </w:rPr>
        <w:t>[6]</w:t>
      </w:r>
      <w:r w:rsidR="005853E7">
        <w:rPr>
          <w:rFonts w:cs="Times New Roman"/>
          <w:color w:val="000000" w:themeColor="text1"/>
          <w:szCs w:val="24"/>
        </w:rPr>
        <w:t> </w:t>
      </w:r>
      <w:r>
        <w:t>Ar Senāta 2021. gada 21. septembra lēmumu, izskatot lietu kasācijas kārtībā sakarā ar Valmieras rajona prokuratūras prokurores S. </w:t>
      </w:r>
      <w:proofErr w:type="spellStart"/>
      <w:r>
        <w:t>Kristapas</w:t>
      </w:r>
      <w:proofErr w:type="spellEnd"/>
      <w:r>
        <w:t xml:space="preserve"> kasācijas protestu un cietušā – </w:t>
      </w:r>
      <w:r>
        <w:rPr>
          <w:rFonts w:cs="Times New Roman"/>
          <w:color w:val="000000" w:themeColor="text1"/>
          <w:szCs w:val="24"/>
        </w:rPr>
        <w:t xml:space="preserve">kompānijas </w:t>
      </w:r>
      <w:r w:rsidR="008D4D77">
        <w:rPr>
          <w:rFonts w:cs="Times New Roman"/>
          <w:color w:val="000000" w:themeColor="text1"/>
          <w:szCs w:val="24"/>
        </w:rPr>
        <w:t>„</w:t>
      </w:r>
      <w:proofErr w:type="spellStart"/>
      <w:r w:rsidR="00991B75">
        <w:rPr>
          <w:rFonts w:cs="Times New Roman"/>
          <w:color w:val="000000" w:themeColor="text1"/>
          <w:szCs w:val="24"/>
        </w:rPr>
        <w:t>Dass</w:t>
      </w:r>
      <w:r>
        <w:rPr>
          <w:rFonts w:cs="Times New Roman"/>
          <w:color w:val="000000" w:themeColor="text1"/>
          <w:szCs w:val="24"/>
        </w:rPr>
        <w:t>ault</w:t>
      </w:r>
      <w:proofErr w:type="spellEnd"/>
      <w:r>
        <w:rPr>
          <w:rFonts w:cs="Times New Roman"/>
          <w:color w:val="000000" w:themeColor="text1"/>
          <w:szCs w:val="24"/>
        </w:rPr>
        <w:t xml:space="preserve"> </w:t>
      </w:r>
      <w:proofErr w:type="spellStart"/>
      <w:r>
        <w:rPr>
          <w:rFonts w:cs="Times New Roman"/>
          <w:color w:val="000000" w:themeColor="text1"/>
          <w:szCs w:val="24"/>
        </w:rPr>
        <w:t>Systemes</w:t>
      </w:r>
      <w:proofErr w:type="spellEnd"/>
      <w:r>
        <w:rPr>
          <w:rFonts w:cs="Times New Roman"/>
          <w:color w:val="000000" w:themeColor="text1"/>
          <w:szCs w:val="24"/>
        </w:rPr>
        <w:t xml:space="preserve"> </w:t>
      </w:r>
      <w:proofErr w:type="spellStart"/>
      <w:r>
        <w:rPr>
          <w:rFonts w:cs="Times New Roman"/>
          <w:color w:val="000000" w:themeColor="text1"/>
          <w:szCs w:val="24"/>
        </w:rPr>
        <w:t>SolidWorks</w:t>
      </w:r>
      <w:proofErr w:type="spellEnd"/>
      <w:r>
        <w:rPr>
          <w:rFonts w:cs="Times New Roman"/>
          <w:color w:val="000000" w:themeColor="text1"/>
          <w:szCs w:val="24"/>
        </w:rPr>
        <w:t xml:space="preserve"> </w:t>
      </w:r>
      <w:proofErr w:type="spellStart"/>
      <w:r>
        <w:rPr>
          <w:rFonts w:cs="Times New Roman"/>
          <w:color w:val="000000" w:themeColor="text1"/>
          <w:szCs w:val="24"/>
        </w:rPr>
        <w:t>Corporation</w:t>
      </w:r>
      <w:proofErr w:type="spellEnd"/>
      <w:r>
        <w:rPr>
          <w:rFonts w:cs="Times New Roman"/>
          <w:color w:val="000000" w:themeColor="text1"/>
          <w:szCs w:val="24"/>
        </w:rPr>
        <w:t xml:space="preserve">” – pārstāves </w:t>
      </w:r>
      <w:r w:rsidR="00233827">
        <w:rPr>
          <w:rFonts w:cs="Times New Roman"/>
          <w:color w:val="000000" w:themeColor="text1"/>
          <w:szCs w:val="24"/>
        </w:rPr>
        <w:t>[pers. </w:t>
      </w:r>
      <w:r w:rsidR="00233827">
        <w:t>C]</w:t>
      </w:r>
      <w:r>
        <w:rPr>
          <w:rFonts w:cs="Times New Roman"/>
          <w:color w:val="000000" w:themeColor="text1"/>
          <w:szCs w:val="24"/>
        </w:rPr>
        <w:t xml:space="preserve"> </w:t>
      </w:r>
      <w:r>
        <w:t xml:space="preserve">kasācijas sūdzību, Vidzemes apgabaltiesas 2020. gada 12. februāra spriedums atcelts daļā par </w:t>
      </w:r>
      <w:r w:rsidR="00233827">
        <w:t>[pers. A]</w:t>
      </w:r>
      <w:r>
        <w:t xml:space="preserve"> atzīšanu par nevainīgu pret viņu celtajā apsūdzībā pēc Krimināllikuma 148. panta trešās daļas par kompānijas </w:t>
      </w:r>
      <w:r w:rsidR="008D4D77">
        <w:rPr>
          <w:rFonts w:cs="Times New Roman"/>
          <w:color w:val="000000" w:themeColor="text1"/>
          <w:szCs w:val="24"/>
        </w:rPr>
        <w:t>„</w:t>
      </w:r>
      <w:proofErr w:type="spellStart"/>
      <w:r w:rsidR="00991B75">
        <w:rPr>
          <w:rFonts w:cs="Times New Roman"/>
          <w:color w:val="000000" w:themeColor="text1"/>
          <w:szCs w:val="24"/>
        </w:rPr>
        <w:t>Dass</w:t>
      </w:r>
      <w:r>
        <w:rPr>
          <w:rFonts w:cs="Times New Roman"/>
          <w:color w:val="000000" w:themeColor="text1"/>
          <w:szCs w:val="24"/>
        </w:rPr>
        <w:t>ault</w:t>
      </w:r>
      <w:proofErr w:type="spellEnd"/>
      <w:r>
        <w:rPr>
          <w:rFonts w:cs="Times New Roman"/>
          <w:color w:val="000000" w:themeColor="text1"/>
          <w:szCs w:val="24"/>
        </w:rPr>
        <w:t xml:space="preserve"> </w:t>
      </w:r>
      <w:proofErr w:type="spellStart"/>
      <w:r>
        <w:rPr>
          <w:rFonts w:cs="Times New Roman"/>
          <w:color w:val="000000" w:themeColor="text1"/>
          <w:szCs w:val="24"/>
        </w:rPr>
        <w:t>Systemes</w:t>
      </w:r>
      <w:proofErr w:type="spellEnd"/>
      <w:r>
        <w:rPr>
          <w:rFonts w:cs="Times New Roman"/>
          <w:color w:val="000000" w:themeColor="text1"/>
          <w:szCs w:val="24"/>
        </w:rPr>
        <w:t xml:space="preserve"> </w:t>
      </w:r>
      <w:proofErr w:type="spellStart"/>
      <w:r>
        <w:rPr>
          <w:rFonts w:cs="Times New Roman"/>
          <w:color w:val="000000" w:themeColor="text1"/>
          <w:szCs w:val="24"/>
        </w:rPr>
        <w:t>SolidWorks</w:t>
      </w:r>
      <w:proofErr w:type="spellEnd"/>
      <w:r>
        <w:rPr>
          <w:rFonts w:cs="Times New Roman"/>
          <w:color w:val="000000" w:themeColor="text1"/>
          <w:szCs w:val="24"/>
        </w:rPr>
        <w:t xml:space="preserve"> </w:t>
      </w:r>
      <w:proofErr w:type="spellStart"/>
      <w:r>
        <w:rPr>
          <w:rFonts w:cs="Times New Roman"/>
          <w:color w:val="000000" w:themeColor="text1"/>
          <w:szCs w:val="24"/>
        </w:rPr>
        <w:t>Corporation</w:t>
      </w:r>
      <w:proofErr w:type="spellEnd"/>
      <w:r>
        <w:rPr>
          <w:rFonts w:cs="Times New Roman"/>
          <w:color w:val="000000" w:themeColor="text1"/>
          <w:szCs w:val="24"/>
        </w:rPr>
        <w:t>”</w:t>
      </w:r>
      <w:r w:rsidR="002C6B2B">
        <w:rPr>
          <w:rFonts w:cs="Times New Roman"/>
          <w:color w:val="000000" w:themeColor="text1"/>
          <w:szCs w:val="24"/>
        </w:rPr>
        <w:t xml:space="preserve"> </w:t>
      </w:r>
      <w:r w:rsidR="002C6B2B">
        <w:rPr>
          <w:rFonts w:cs="Times New Roman"/>
          <w:color w:val="000000" w:themeColor="text1"/>
          <w:szCs w:val="24"/>
        </w:rPr>
        <w:lastRenderedPageBreak/>
        <w:t xml:space="preserve">autortiesību pārkāpšanu lielā apmērā, daļā </w:t>
      </w:r>
      <w:r w:rsidR="008D4D77">
        <w:rPr>
          <w:rFonts w:cs="Times New Roman"/>
          <w:color w:val="000000" w:themeColor="text1"/>
          <w:szCs w:val="24"/>
        </w:rPr>
        <w:t xml:space="preserve">par </w:t>
      </w:r>
      <w:r w:rsidR="002C6B2B">
        <w:rPr>
          <w:rFonts w:cs="Times New Roman"/>
          <w:color w:val="000000" w:themeColor="text1"/>
          <w:szCs w:val="24"/>
        </w:rPr>
        <w:t>krimināllietas nosūtīšanu Valmieras rajona prokuratūrai un daļā par lietisko pierādījumu – datorsistēmu Nr. 2, Nr. 4, Nr. 5, Nr. 6 un Nr. 7 cieto disku – atstāšanu Valmieras rajona prokuratūras rīcībā.</w:t>
      </w:r>
    </w:p>
    <w:p w14:paraId="2905085C" w14:textId="56D87CD0" w:rsidR="00D52DD7" w:rsidRDefault="002C6B2B" w:rsidP="00426462">
      <w:pPr>
        <w:widowControl w:val="0"/>
        <w:spacing w:after="0"/>
        <w:ind w:firstLine="720"/>
        <w:jc w:val="both"/>
      </w:pPr>
      <w:r>
        <w:rPr>
          <w:rFonts w:cs="Times New Roman"/>
          <w:color w:val="000000" w:themeColor="text1"/>
          <w:szCs w:val="24"/>
        </w:rPr>
        <w:t xml:space="preserve">Atceltajā daļā </w:t>
      </w:r>
      <w:r w:rsidR="00D52DD7">
        <w:t>lieta nosūtīta jaunai izskatīšanai apelācijas instances tiesā</w:t>
      </w:r>
      <w:r>
        <w:t>.</w:t>
      </w:r>
    </w:p>
    <w:p w14:paraId="4A391C44" w14:textId="698A259C" w:rsidR="002C6B2B" w:rsidRDefault="002C6B2B" w:rsidP="00426462">
      <w:pPr>
        <w:widowControl w:val="0"/>
        <w:spacing w:after="0"/>
        <w:ind w:firstLine="720"/>
        <w:jc w:val="both"/>
      </w:pPr>
      <w:r>
        <w:t>Pārējā daļā apelācijas instances tiesas spriedums atstāts negrozīts.</w:t>
      </w:r>
    </w:p>
    <w:p w14:paraId="73D1BD44" w14:textId="5056D39C" w:rsidR="002C6B2B" w:rsidRDefault="002C6B2B" w:rsidP="00426462">
      <w:pPr>
        <w:widowControl w:val="0"/>
        <w:spacing w:after="0"/>
        <w:ind w:firstLine="720"/>
        <w:jc w:val="both"/>
      </w:pPr>
    </w:p>
    <w:p w14:paraId="0843664A" w14:textId="638DFDEC" w:rsidR="00CE368A" w:rsidRDefault="002C6B2B" w:rsidP="00426462">
      <w:pPr>
        <w:widowControl w:val="0"/>
        <w:spacing w:after="0"/>
        <w:ind w:firstLine="720"/>
        <w:jc w:val="both"/>
        <w:rPr>
          <w:rFonts w:cs="Times New Roman"/>
          <w:color w:val="000000" w:themeColor="text1"/>
          <w:szCs w:val="24"/>
        </w:rPr>
      </w:pPr>
      <w:r>
        <w:t>[7]</w:t>
      </w:r>
      <w:r w:rsidR="00735FA4">
        <w:t> </w:t>
      </w:r>
      <w:r>
        <w:t xml:space="preserve">Ar Kurzemes apgabaltiesas 2022. gada 9. marta spriedumu, iztiesājot </w:t>
      </w:r>
      <w:r w:rsidR="00A823C7">
        <w:t>krimināl</w:t>
      </w:r>
      <w:r>
        <w:t>lietu no jauna apelācijas kārtībā</w:t>
      </w:r>
      <w:r w:rsidR="00A86EC0">
        <w:t xml:space="preserve">, Valmieras rajona tiesas 2017. gada 4. janvāra spriedums atcelts daļā par </w:t>
      </w:r>
      <w:r w:rsidR="00233827">
        <w:t>[pers. A]</w:t>
      </w:r>
      <w:r w:rsidR="00A86EC0">
        <w:t xml:space="preserve"> atzīšanu par nevainīgu pret viņu celtajā apsūdzībā pēc Krimināllikuma 148. panta trešās daļas par noziedzīgo nodarījumu pret kompāniju</w:t>
      </w:r>
      <w:r w:rsidR="00CE368A">
        <w:t xml:space="preserve"> </w:t>
      </w:r>
      <w:r w:rsidR="00735FA4">
        <w:rPr>
          <w:rFonts w:cs="Times New Roman"/>
          <w:color w:val="000000" w:themeColor="text1"/>
          <w:szCs w:val="24"/>
        </w:rPr>
        <w:t>„</w:t>
      </w:r>
      <w:proofErr w:type="spellStart"/>
      <w:r w:rsidR="00991B75">
        <w:rPr>
          <w:rFonts w:cs="Times New Roman"/>
          <w:color w:val="000000" w:themeColor="text1"/>
          <w:szCs w:val="24"/>
        </w:rPr>
        <w:t>Dass</w:t>
      </w:r>
      <w:r w:rsidR="00CE368A">
        <w:rPr>
          <w:rFonts w:cs="Times New Roman"/>
          <w:color w:val="000000" w:themeColor="text1"/>
          <w:szCs w:val="24"/>
        </w:rPr>
        <w:t>ault</w:t>
      </w:r>
      <w:proofErr w:type="spellEnd"/>
      <w:r w:rsidR="00CE368A">
        <w:rPr>
          <w:rFonts w:cs="Times New Roman"/>
          <w:color w:val="000000" w:themeColor="text1"/>
          <w:szCs w:val="24"/>
        </w:rPr>
        <w:t xml:space="preserve"> </w:t>
      </w:r>
      <w:proofErr w:type="spellStart"/>
      <w:r w:rsidR="00CE368A">
        <w:rPr>
          <w:rFonts w:cs="Times New Roman"/>
          <w:color w:val="000000" w:themeColor="text1"/>
          <w:szCs w:val="24"/>
        </w:rPr>
        <w:t>Systemes</w:t>
      </w:r>
      <w:proofErr w:type="spellEnd"/>
      <w:r w:rsidR="00CE368A">
        <w:rPr>
          <w:rFonts w:cs="Times New Roman"/>
          <w:color w:val="000000" w:themeColor="text1"/>
          <w:szCs w:val="24"/>
        </w:rPr>
        <w:t xml:space="preserve"> </w:t>
      </w:r>
      <w:proofErr w:type="spellStart"/>
      <w:r w:rsidR="00CE368A">
        <w:rPr>
          <w:rFonts w:cs="Times New Roman"/>
          <w:color w:val="000000" w:themeColor="text1"/>
          <w:szCs w:val="24"/>
        </w:rPr>
        <w:t>SolidWorks</w:t>
      </w:r>
      <w:proofErr w:type="spellEnd"/>
      <w:r w:rsidR="00CE368A">
        <w:rPr>
          <w:rFonts w:cs="Times New Roman"/>
          <w:color w:val="000000" w:themeColor="text1"/>
          <w:szCs w:val="24"/>
        </w:rPr>
        <w:t xml:space="preserve"> </w:t>
      </w:r>
      <w:proofErr w:type="spellStart"/>
      <w:r w:rsidR="00CE368A">
        <w:rPr>
          <w:rFonts w:cs="Times New Roman"/>
          <w:color w:val="000000" w:themeColor="text1"/>
          <w:szCs w:val="24"/>
        </w:rPr>
        <w:t>Corporation</w:t>
      </w:r>
      <w:proofErr w:type="spellEnd"/>
      <w:r w:rsidR="00CE368A">
        <w:rPr>
          <w:rFonts w:cs="Times New Roman"/>
          <w:color w:val="000000" w:themeColor="text1"/>
          <w:szCs w:val="24"/>
        </w:rPr>
        <w:t>”, krimināllietas nosūtīšanu prokuratūrai un rīcību ar lietiskajiem pierādījumiem.</w:t>
      </w:r>
    </w:p>
    <w:p w14:paraId="432BA491" w14:textId="22899601" w:rsidR="00CE368A" w:rsidRDefault="00233827" w:rsidP="00426462">
      <w:pPr>
        <w:widowControl w:val="0"/>
        <w:spacing w:after="0"/>
        <w:ind w:firstLine="720"/>
        <w:jc w:val="both"/>
        <w:rPr>
          <w:rFonts w:cs="Times New Roman"/>
          <w:color w:val="000000" w:themeColor="text1"/>
          <w:szCs w:val="24"/>
        </w:rPr>
      </w:pPr>
      <w:r>
        <w:rPr>
          <w:rFonts w:cs="Times New Roman"/>
          <w:color w:val="000000" w:themeColor="text1"/>
          <w:szCs w:val="24"/>
        </w:rPr>
        <w:t>[Pers. A]</w:t>
      </w:r>
      <w:r w:rsidR="00CE368A">
        <w:rPr>
          <w:rFonts w:cs="Times New Roman"/>
          <w:color w:val="000000" w:themeColor="text1"/>
          <w:szCs w:val="24"/>
        </w:rPr>
        <w:t xml:space="preserve"> atzīts par vainīgu Krimināllikuma 148. panta trešajā daļā paredzētajā noziedzīgajā nodarījumā par kompānijas </w:t>
      </w:r>
      <w:r w:rsidR="00735FA4">
        <w:rPr>
          <w:rFonts w:cs="Times New Roman"/>
          <w:color w:val="000000" w:themeColor="text1"/>
          <w:szCs w:val="24"/>
        </w:rPr>
        <w:t>„</w:t>
      </w:r>
      <w:proofErr w:type="spellStart"/>
      <w:r w:rsidR="00991B75">
        <w:rPr>
          <w:rFonts w:cs="Times New Roman"/>
          <w:color w:val="000000" w:themeColor="text1"/>
          <w:szCs w:val="24"/>
        </w:rPr>
        <w:t>Dass</w:t>
      </w:r>
      <w:r w:rsidR="00CE368A">
        <w:rPr>
          <w:rFonts w:cs="Times New Roman"/>
          <w:color w:val="000000" w:themeColor="text1"/>
          <w:szCs w:val="24"/>
        </w:rPr>
        <w:t>ault</w:t>
      </w:r>
      <w:proofErr w:type="spellEnd"/>
      <w:r w:rsidR="00CE368A">
        <w:rPr>
          <w:rFonts w:cs="Times New Roman"/>
          <w:color w:val="000000" w:themeColor="text1"/>
          <w:szCs w:val="24"/>
        </w:rPr>
        <w:t xml:space="preserve"> </w:t>
      </w:r>
      <w:proofErr w:type="spellStart"/>
      <w:r w:rsidR="00CE368A">
        <w:rPr>
          <w:rFonts w:cs="Times New Roman"/>
          <w:color w:val="000000" w:themeColor="text1"/>
          <w:szCs w:val="24"/>
        </w:rPr>
        <w:t>Systemes</w:t>
      </w:r>
      <w:proofErr w:type="spellEnd"/>
      <w:r w:rsidR="00CE368A">
        <w:rPr>
          <w:rFonts w:cs="Times New Roman"/>
          <w:color w:val="000000" w:themeColor="text1"/>
          <w:szCs w:val="24"/>
        </w:rPr>
        <w:t xml:space="preserve"> </w:t>
      </w:r>
      <w:proofErr w:type="spellStart"/>
      <w:r w:rsidR="00CE368A">
        <w:rPr>
          <w:rFonts w:cs="Times New Roman"/>
          <w:color w:val="000000" w:themeColor="text1"/>
          <w:szCs w:val="24"/>
        </w:rPr>
        <w:t>SolidWorks</w:t>
      </w:r>
      <w:proofErr w:type="spellEnd"/>
      <w:r w:rsidR="00CE368A">
        <w:rPr>
          <w:rFonts w:cs="Times New Roman"/>
          <w:color w:val="000000" w:themeColor="text1"/>
          <w:szCs w:val="24"/>
        </w:rPr>
        <w:t xml:space="preserve"> </w:t>
      </w:r>
      <w:proofErr w:type="spellStart"/>
      <w:r w:rsidR="00CE368A">
        <w:rPr>
          <w:rFonts w:cs="Times New Roman"/>
          <w:color w:val="000000" w:themeColor="text1"/>
          <w:szCs w:val="24"/>
        </w:rPr>
        <w:t>Corporation</w:t>
      </w:r>
      <w:proofErr w:type="spellEnd"/>
      <w:r w:rsidR="00CE368A">
        <w:rPr>
          <w:rFonts w:cs="Times New Roman"/>
          <w:color w:val="000000" w:themeColor="text1"/>
          <w:szCs w:val="24"/>
        </w:rPr>
        <w:t>” autortiesību pārkāpšanu lielā apmērā un, piemērojot Krimināllikuma 49.</w:t>
      </w:r>
      <w:r w:rsidR="00CE368A">
        <w:rPr>
          <w:rFonts w:cs="Times New Roman"/>
          <w:color w:val="000000" w:themeColor="text1"/>
          <w:szCs w:val="24"/>
          <w:vertAlign w:val="superscript"/>
        </w:rPr>
        <w:t>1</w:t>
      </w:r>
      <w:r w:rsidR="00CE368A">
        <w:rPr>
          <w:rFonts w:cs="Times New Roman"/>
          <w:color w:val="000000" w:themeColor="text1"/>
          <w:szCs w:val="24"/>
        </w:rPr>
        <w:t xml:space="preserve"> panta pirmās daļas 1. punktu, sodīts ar brīvības atņemšanu uz </w:t>
      </w:r>
      <w:r w:rsidR="00735FA4">
        <w:rPr>
          <w:rFonts w:cs="Times New Roman"/>
          <w:color w:val="000000" w:themeColor="text1"/>
          <w:szCs w:val="24"/>
        </w:rPr>
        <w:t xml:space="preserve">9 </w:t>
      </w:r>
      <w:r w:rsidR="00CE368A">
        <w:rPr>
          <w:rFonts w:cs="Times New Roman"/>
          <w:color w:val="000000" w:themeColor="text1"/>
          <w:szCs w:val="24"/>
        </w:rPr>
        <w:t xml:space="preserve">mēnešiem, atņemot tiesības nodarboties ar visu veidu komercdarbību uz </w:t>
      </w:r>
      <w:r w:rsidR="00735FA4">
        <w:rPr>
          <w:rFonts w:cs="Times New Roman"/>
          <w:color w:val="000000" w:themeColor="text1"/>
          <w:szCs w:val="24"/>
        </w:rPr>
        <w:t xml:space="preserve">1 </w:t>
      </w:r>
      <w:r w:rsidR="00CE368A">
        <w:rPr>
          <w:rFonts w:cs="Times New Roman"/>
          <w:color w:val="000000" w:themeColor="text1"/>
          <w:szCs w:val="24"/>
        </w:rPr>
        <w:t>gadu.</w:t>
      </w:r>
    </w:p>
    <w:p w14:paraId="4F60F390" w14:textId="0264B744" w:rsidR="00A86EC0" w:rsidRDefault="00CE368A" w:rsidP="00426462">
      <w:pPr>
        <w:widowControl w:val="0"/>
        <w:spacing w:after="0"/>
        <w:ind w:firstLine="720"/>
        <w:jc w:val="both"/>
        <w:rPr>
          <w:rFonts w:cs="Times New Roman"/>
          <w:color w:val="000000" w:themeColor="text1"/>
          <w:szCs w:val="24"/>
        </w:rPr>
      </w:pPr>
      <w:r>
        <w:rPr>
          <w:rFonts w:cs="Times New Roman"/>
          <w:color w:val="000000" w:themeColor="text1"/>
          <w:szCs w:val="24"/>
        </w:rPr>
        <w:t xml:space="preserve">Saskaņā ar Krimināllikuma 55. pantu </w:t>
      </w:r>
      <w:r w:rsidR="00233827">
        <w:rPr>
          <w:rFonts w:cs="Times New Roman"/>
          <w:color w:val="000000" w:themeColor="text1"/>
          <w:szCs w:val="24"/>
        </w:rPr>
        <w:t>[pers. </w:t>
      </w:r>
      <w:r w:rsidR="00233827">
        <w:t>A]</w:t>
      </w:r>
      <w:r>
        <w:rPr>
          <w:rFonts w:cs="Times New Roman"/>
          <w:color w:val="000000" w:themeColor="text1"/>
          <w:szCs w:val="24"/>
        </w:rPr>
        <w:t xml:space="preserve"> ar brīvības atņemšanu notiesāts nosacīti ar pārbaudes laiku uz </w:t>
      </w:r>
      <w:r w:rsidR="00735FA4">
        <w:rPr>
          <w:rFonts w:cs="Times New Roman"/>
          <w:color w:val="000000" w:themeColor="text1"/>
          <w:szCs w:val="24"/>
        </w:rPr>
        <w:t xml:space="preserve">1 </w:t>
      </w:r>
      <w:r>
        <w:rPr>
          <w:rFonts w:cs="Times New Roman"/>
          <w:color w:val="000000" w:themeColor="text1"/>
          <w:szCs w:val="24"/>
        </w:rPr>
        <w:t>gadu.</w:t>
      </w:r>
    </w:p>
    <w:p w14:paraId="38F0D484" w14:textId="77777777" w:rsidR="006E2245" w:rsidRDefault="006E2245" w:rsidP="00426462">
      <w:pPr>
        <w:widowControl w:val="0"/>
        <w:spacing w:after="0"/>
        <w:ind w:firstLine="720"/>
        <w:jc w:val="both"/>
        <w:rPr>
          <w:rFonts w:cs="Times New Roman"/>
          <w:color w:val="000000" w:themeColor="text1"/>
          <w:szCs w:val="24"/>
        </w:rPr>
      </w:pPr>
    </w:p>
    <w:p w14:paraId="327EF604" w14:textId="31067980" w:rsidR="00153F7D" w:rsidRDefault="00CE368A" w:rsidP="00426462">
      <w:pPr>
        <w:widowControl w:val="0"/>
        <w:spacing w:after="0"/>
        <w:ind w:firstLine="720"/>
        <w:jc w:val="both"/>
        <w:rPr>
          <w:rFonts w:cs="Times New Roman"/>
          <w:color w:val="000000" w:themeColor="text1"/>
          <w:szCs w:val="24"/>
        </w:rPr>
      </w:pPr>
      <w:r>
        <w:rPr>
          <w:rFonts w:cs="Times New Roman"/>
          <w:color w:val="000000" w:themeColor="text1"/>
          <w:szCs w:val="24"/>
        </w:rPr>
        <w:t>[</w:t>
      </w:r>
      <w:r w:rsidR="006E2245">
        <w:rPr>
          <w:rFonts w:cs="Times New Roman"/>
          <w:color w:val="000000" w:themeColor="text1"/>
          <w:szCs w:val="24"/>
        </w:rPr>
        <w:t>8</w:t>
      </w:r>
      <w:r>
        <w:rPr>
          <w:rFonts w:cs="Times New Roman"/>
          <w:color w:val="000000" w:themeColor="text1"/>
          <w:szCs w:val="24"/>
        </w:rPr>
        <w:t>]</w:t>
      </w:r>
      <w:r w:rsidR="00735FA4">
        <w:rPr>
          <w:rFonts w:cs="Times New Roman"/>
          <w:color w:val="000000" w:themeColor="text1"/>
          <w:szCs w:val="24"/>
        </w:rPr>
        <w:t> </w:t>
      </w:r>
      <w:r>
        <w:rPr>
          <w:rFonts w:cs="Times New Roman"/>
          <w:color w:val="000000" w:themeColor="text1"/>
          <w:szCs w:val="24"/>
        </w:rPr>
        <w:t xml:space="preserve">Par Kurzemes apgabaltiesas </w:t>
      </w:r>
      <w:r w:rsidR="00153F7D">
        <w:rPr>
          <w:rFonts w:cs="Times New Roman"/>
          <w:color w:val="000000" w:themeColor="text1"/>
          <w:szCs w:val="24"/>
        </w:rPr>
        <w:t xml:space="preserve">2022. gada 9. marta spriedumu apsūdzētā </w:t>
      </w:r>
      <w:r w:rsidR="00233827">
        <w:rPr>
          <w:rFonts w:cs="Times New Roman"/>
          <w:color w:val="000000" w:themeColor="text1"/>
          <w:szCs w:val="24"/>
        </w:rPr>
        <w:t>[pers. </w:t>
      </w:r>
      <w:r w:rsidR="00233827">
        <w:t>A]</w:t>
      </w:r>
      <w:r w:rsidR="00153F7D">
        <w:rPr>
          <w:rFonts w:cs="Times New Roman"/>
          <w:color w:val="000000" w:themeColor="text1"/>
          <w:szCs w:val="24"/>
        </w:rPr>
        <w:t xml:space="preserve"> aizstāv</w:t>
      </w:r>
      <w:r w:rsidR="00D71C66">
        <w:rPr>
          <w:rFonts w:cs="Times New Roman"/>
          <w:color w:val="000000" w:themeColor="text1"/>
          <w:szCs w:val="24"/>
        </w:rPr>
        <w:t>ji</w:t>
      </w:r>
      <w:r w:rsidR="00153F7D">
        <w:rPr>
          <w:rFonts w:cs="Times New Roman"/>
          <w:color w:val="000000" w:themeColor="text1"/>
          <w:szCs w:val="24"/>
        </w:rPr>
        <w:t xml:space="preserve"> A. Rasa </w:t>
      </w:r>
      <w:r w:rsidR="00F3246C">
        <w:rPr>
          <w:rFonts w:cs="Times New Roman"/>
          <w:color w:val="000000" w:themeColor="text1"/>
          <w:szCs w:val="24"/>
        </w:rPr>
        <w:t xml:space="preserve">un </w:t>
      </w:r>
      <w:r w:rsidR="00B401E5">
        <w:rPr>
          <w:rFonts w:cs="Times New Roman"/>
          <w:color w:val="000000" w:themeColor="text1"/>
          <w:szCs w:val="24"/>
        </w:rPr>
        <w:t xml:space="preserve">L. Pommere </w:t>
      </w:r>
      <w:r w:rsidR="00153F7D">
        <w:rPr>
          <w:rFonts w:cs="Times New Roman"/>
          <w:color w:val="000000" w:themeColor="text1"/>
          <w:szCs w:val="24"/>
        </w:rPr>
        <w:t>iesnie</w:t>
      </w:r>
      <w:r w:rsidR="00B401E5">
        <w:rPr>
          <w:rFonts w:cs="Times New Roman"/>
          <w:color w:val="000000" w:themeColor="text1"/>
          <w:szCs w:val="24"/>
        </w:rPr>
        <w:t>guši</w:t>
      </w:r>
      <w:r w:rsidR="00153F7D">
        <w:rPr>
          <w:rFonts w:cs="Times New Roman"/>
          <w:color w:val="000000" w:themeColor="text1"/>
          <w:szCs w:val="24"/>
        </w:rPr>
        <w:t xml:space="preserve"> kasācijas sūdzību, kurā lūdz atcelt tiesas spriedumu, bet gadījumā, ja netiek konstatēts pamats sprieduma atcelšanai</w:t>
      </w:r>
      <w:r w:rsidR="00D73191">
        <w:rPr>
          <w:rFonts w:cs="Times New Roman"/>
          <w:color w:val="000000" w:themeColor="text1"/>
          <w:szCs w:val="24"/>
        </w:rPr>
        <w:t>,</w:t>
      </w:r>
      <w:r w:rsidR="00153F7D">
        <w:rPr>
          <w:rFonts w:cs="Times New Roman"/>
          <w:color w:val="000000" w:themeColor="text1"/>
          <w:szCs w:val="24"/>
        </w:rPr>
        <w:t xml:space="preserve"> – saskaņā ar Krimināllikuma 58. panta piekto daļu atbrīvot </w:t>
      </w:r>
      <w:r w:rsidR="00233827">
        <w:rPr>
          <w:rFonts w:cs="Times New Roman"/>
          <w:color w:val="000000" w:themeColor="text1"/>
          <w:szCs w:val="24"/>
        </w:rPr>
        <w:t>[pers. A]</w:t>
      </w:r>
      <w:r w:rsidR="00153F7D">
        <w:rPr>
          <w:rFonts w:cs="Times New Roman"/>
          <w:color w:val="000000" w:themeColor="text1"/>
          <w:szCs w:val="24"/>
        </w:rPr>
        <w:t xml:space="preserve"> no kriminālatbildības.</w:t>
      </w:r>
    </w:p>
    <w:p w14:paraId="38AA8A5E" w14:textId="1C488728" w:rsidR="00153F7D" w:rsidRDefault="00153F7D" w:rsidP="00426462">
      <w:pPr>
        <w:widowControl w:val="0"/>
        <w:spacing w:after="0"/>
        <w:ind w:firstLine="720"/>
        <w:jc w:val="both"/>
        <w:rPr>
          <w:rFonts w:cs="Times New Roman"/>
          <w:color w:val="000000" w:themeColor="text1"/>
          <w:szCs w:val="24"/>
        </w:rPr>
      </w:pPr>
      <w:r>
        <w:rPr>
          <w:rFonts w:cs="Times New Roman"/>
          <w:color w:val="000000" w:themeColor="text1"/>
          <w:szCs w:val="24"/>
        </w:rPr>
        <w:t>Savu lūgumu aizstāv</w:t>
      </w:r>
      <w:r w:rsidR="00B401E5">
        <w:rPr>
          <w:rFonts w:cs="Times New Roman"/>
          <w:color w:val="000000" w:themeColor="text1"/>
          <w:szCs w:val="24"/>
        </w:rPr>
        <w:t>ji</w:t>
      </w:r>
      <w:r>
        <w:rPr>
          <w:rFonts w:cs="Times New Roman"/>
          <w:color w:val="000000" w:themeColor="text1"/>
          <w:szCs w:val="24"/>
        </w:rPr>
        <w:t xml:space="preserve"> pamatoj</w:t>
      </w:r>
      <w:r w:rsidR="00B401E5">
        <w:rPr>
          <w:rFonts w:cs="Times New Roman"/>
          <w:color w:val="000000" w:themeColor="text1"/>
          <w:szCs w:val="24"/>
        </w:rPr>
        <w:t>uši</w:t>
      </w:r>
      <w:r>
        <w:rPr>
          <w:rFonts w:cs="Times New Roman"/>
          <w:color w:val="000000" w:themeColor="text1"/>
          <w:szCs w:val="24"/>
        </w:rPr>
        <w:t xml:space="preserve"> ar šādiem argumentiem.</w:t>
      </w:r>
    </w:p>
    <w:p w14:paraId="742687FF" w14:textId="0D1EC3AB" w:rsidR="00345039" w:rsidRDefault="00153F7D" w:rsidP="00426462">
      <w:pPr>
        <w:widowControl w:val="0"/>
        <w:spacing w:after="0"/>
        <w:ind w:firstLine="720"/>
        <w:jc w:val="both"/>
        <w:rPr>
          <w:rFonts w:cs="Times New Roman"/>
          <w:color w:val="000000" w:themeColor="text1"/>
          <w:szCs w:val="24"/>
        </w:rPr>
      </w:pPr>
      <w:r>
        <w:rPr>
          <w:rFonts w:cs="Times New Roman"/>
          <w:color w:val="000000" w:themeColor="text1"/>
          <w:szCs w:val="24"/>
        </w:rPr>
        <w:t>[8.1]</w:t>
      </w:r>
      <w:r w:rsidR="00735FA4">
        <w:rPr>
          <w:rFonts w:cs="Times New Roman"/>
          <w:color w:val="000000" w:themeColor="text1"/>
          <w:szCs w:val="24"/>
        </w:rPr>
        <w:t> </w:t>
      </w:r>
      <w:bookmarkStart w:id="0" w:name="_Hlk130286969"/>
      <w:r w:rsidR="00233827">
        <w:rPr>
          <w:rFonts w:cs="Times New Roman"/>
          <w:color w:val="000000" w:themeColor="text1"/>
          <w:szCs w:val="24"/>
        </w:rPr>
        <w:t>[Pers. A]</w:t>
      </w:r>
      <w:r w:rsidR="008C1673">
        <w:rPr>
          <w:rFonts w:cs="Times New Roman"/>
          <w:color w:val="000000" w:themeColor="text1"/>
          <w:szCs w:val="24"/>
        </w:rPr>
        <w:t xml:space="preserve"> celtā apsūdzība ir </w:t>
      </w:r>
      <w:r w:rsidR="006415F8">
        <w:rPr>
          <w:rFonts w:cs="Times New Roman"/>
          <w:color w:val="000000" w:themeColor="text1"/>
          <w:szCs w:val="24"/>
        </w:rPr>
        <w:t xml:space="preserve">vispārīga, bez norādes uz konkrētām </w:t>
      </w:r>
      <w:r w:rsidR="00233827">
        <w:rPr>
          <w:rFonts w:cs="Times New Roman"/>
          <w:color w:val="000000" w:themeColor="text1"/>
          <w:szCs w:val="24"/>
        </w:rPr>
        <w:t>[pers. A]</w:t>
      </w:r>
      <w:r w:rsidR="006415F8">
        <w:rPr>
          <w:rFonts w:cs="Times New Roman"/>
          <w:color w:val="000000" w:themeColor="text1"/>
          <w:szCs w:val="24"/>
        </w:rPr>
        <w:t xml:space="preserve"> darbībām</w:t>
      </w:r>
      <w:bookmarkEnd w:id="0"/>
      <w:r w:rsidR="006415F8">
        <w:rPr>
          <w:rFonts w:cs="Times New Roman"/>
          <w:color w:val="000000" w:themeColor="text1"/>
          <w:szCs w:val="24"/>
        </w:rPr>
        <w:t xml:space="preserve">, kas saistītas ar kompānijas </w:t>
      </w:r>
      <w:r w:rsidR="00735FA4">
        <w:rPr>
          <w:rFonts w:cs="Times New Roman"/>
          <w:color w:val="000000" w:themeColor="text1"/>
          <w:szCs w:val="24"/>
        </w:rPr>
        <w:t>„</w:t>
      </w:r>
      <w:proofErr w:type="spellStart"/>
      <w:r w:rsidR="00991B75">
        <w:rPr>
          <w:rFonts w:cs="Times New Roman"/>
          <w:color w:val="000000" w:themeColor="text1"/>
          <w:szCs w:val="24"/>
        </w:rPr>
        <w:t>Dass</w:t>
      </w:r>
      <w:r w:rsidR="006415F8">
        <w:rPr>
          <w:rFonts w:cs="Times New Roman"/>
          <w:color w:val="000000" w:themeColor="text1"/>
          <w:szCs w:val="24"/>
        </w:rPr>
        <w:t>ault</w:t>
      </w:r>
      <w:proofErr w:type="spellEnd"/>
      <w:r w:rsidR="006415F8">
        <w:rPr>
          <w:rFonts w:cs="Times New Roman"/>
          <w:color w:val="000000" w:themeColor="text1"/>
          <w:szCs w:val="24"/>
        </w:rPr>
        <w:t xml:space="preserve"> </w:t>
      </w:r>
      <w:proofErr w:type="spellStart"/>
      <w:r w:rsidR="006415F8">
        <w:rPr>
          <w:rFonts w:cs="Times New Roman"/>
          <w:color w:val="000000" w:themeColor="text1"/>
          <w:szCs w:val="24"/>
        </w:rPr>
        <w:t>Systemes</w:t>
      </w:r>
      <w:proofErr w:type="spellEnd"/>
      <w:r w:rsidR="006415F8">
        <w:rPr>
          <w:rFonts w:cs="Times New Roman"/>
          <w:color w:val="000000" w:themeColor="text1"/>
          <w:szCs w:val="24"/>
        </w:rPr>
        <w:t xml:space="preserve"> </w:t>
      </w:r>
      <w:proofErr w:type="spellStart"/>
      <w:r w:rsidR="006415F8">
        <w:rPr>
          <w:rFonts w:cs="Times New Roman"/>
          <w:color w:val="000000" w:themeColor="text1"/>
          <w:szCs w:val="24"/>
        </w:rPr>
        <w:t>SolidWorks</w:t>
      </w:r>
      <w:proofErr w:type="spellEnd"/>
      <w:r w:rsidR="006415F8">
        <w:rPr>
          <w:rFonts w:cs="Times New Roman"/>
          <w:color w:val="000000" w:themeColor="text1"/>
          <w:szCs w:val="24"/>
        </w:rPr>
        <w:t xml:space="preserve"> </w:t>
      </w:r>
      <w:proofErr w:type="spellStart"/>
      <w:r w:rsidR="006415F8">
        <w:rPr>
          <w:rFonts w:cs="Times New Roman"/>
          <w:color w:val="000000" w:themeColor="text1"/>
          <w:szCs w:val="24"/>
        </w:rPr>
        <w:t>Corporation</w:t>
      </w:r>
      <w:proofErr w:type="spellEnd"/>
      <w:r w:rsidR="006415F8">
        <w:rPr>
          <w:rFonts w:cs="Times New Roman"/>
          <w:color w:val="000000" w:themeColor="text1"/>
          <w:szCs w:val="24"/>
        </w:rPr>
        <w:t>” autortiesību pārkāpšanu</w:t>
      </w:r>
      <w:r w:rsidR="00607DEF">
        <w:rPr>
          <w:rFonts w:cs="Times New Roman"/>
          <w:color w:val="000000" w:themeColor="text1"/>
          <w:szCs w:val="24"/>
        </w:rPr>
        <w:t xml:space="preserve">, </w:t>
      </w:r>
      <w:r w:rsidR="0029208D">
        <w:rPr>
          <w:rFonts w:cs="Times New Roman"/>
          <w:color w:val="000000" w:themeColor="text1"/>
          <w:szCs w:val="24"/>
        </w:rPr>
        <w:t xml:space="preserve">par kurām </w:t>
      </w:r>
      <w:r w:rsidR="00233827">
        <w:rPr>
          <w:rFonts w:cs="Times New Roman"/>
          <w:color w:val="000000" w:themeColor="text1"/>
          <w:szCs w:val="24"/>
        </w:rPr>
        <w:t>[pers. A]</w:t>
      </w:r>
      <w:r w:rsidR="0029208D">
        <w:rPr>
          <w:rFonts w:cs="Times New Roman"/>
          <w:color w:val="000000" w:themeColor="text1"/>
          <w:szCs w:val="24"/>
        </w:rPr>
        <w:t xml:space="preserve"> būtu saucams pie kriminālatbildības.</w:t>
      </w:r>
      <w:r w:rsidR="00087AD9">
        <w:rPr>
          <w:rFonts w:cs="Times New Roman"/>
          <w:color w:val="000000" w:themeColor="text1"/>
          <w:szCs w:val="24"/>
        </w:rPr>
        <w:t xml:space="preserve"> Tāpat apsūdzībā nav atspoguļota inkriminētā noziedzīgā nodarījuma subjektīvā puse.</w:t>
      </w:r>
      <w:r w:rsidR="006415F8">
        <w:rPr>
          <w:rFonts w:cs="Times New Roman"/>
          <w:color w:val="000000" w:themeColor="text1"/>
          <w:szCs w:val="24"/>
        </w:rPr>
        <w:t xml:space="preserve"> Krimināllietas iztiesāšana sakarā ar šādu apsūdzību pārkāpj apsūdzētā tiesības uz aizstāvību.</w:t>
      </w:r>
      <w:r w:rsidR="00BF3A86">
        <w:rPr>
          <w:rFonts w:cs="Times New Roman"/>
          <w:color w:val="000000" w:themeColor="text1"/>
          <w:szCs w:val="24"/>
        </w:rPr>
        <w:t xml:space="preserve"> </w:t>
      </w:r>
      <w:r w:rsidR="00884AF6">
        <w:rPr>
          <w:rFonts w:cs="Times New Roman"/>
          <w:color w:val="000000" w:themeColor="text1"/>
          <w:szCs w:val="24"/>
        </w:rPr>
        <w:t xml:space="preserve">Šādos apstākļos apelācijas instances tiesai bija pienākums konstatēt Kriminālprocesa likuma 405. panta pārkāpumu. </w:t>
      </w:r>
      <w:r w:rsidR="00BF3A86">
        <w:rPr>
          <w:rFonts w:cs="Times New Roman"/>
          <w:color w:val="000000" w:themeColor="text1"/>
          <w:szCs w:val="24"/>
        </w:rPr>
        <w:t xml:space="preserve">Turklāt apsūdzība apelācijas instances tiesā grozīta vienīgi tāpēc, ka Senāts ir norādījis, ka sākotnējā apsūdzība nav saprotama, jo tajā nav sniegts jēdziena </w:t>
      </w:r>
      <w:r w:rsidR="00735FA4">
        <w:rPr>
          <w:rFonts w:cs="Times New Roman"/>
          <w:color w:val="000000" w:themeColor="text1"/>
          <w:szCs w:val="24"/>
        </w:rPr>
        <w:t>„</w:t>
      </w:r>
      <w:r w:rsidR="00BF3A86">
        <w:rPr>
          <w:rFonts w:cs="Times New Roman"/>
          <w:color w:val="000000" w:themeColor="text1"/>
          <w:szCs w:val="24"/>
        </w:rPr>
        <w:t>reproducēšanas nodrošināšana” skaidrojums.</w:t>
      </w:r>
      <w:r w:rsidR="00415E44">
        <w:rPr>
          <w:rFonts w:cs="Times New Roman"/>
          <w:color w:val="000000" w:themeColor="text1"/>
          <w:szCs w:val="24"/>
        </w:rPr>
        <w:t xml:space="preserve"> Savukārt gadījumā, </w:t>
      </w:r>
      <w:r w:rsidR="00B927B5">
        <w:rPr>
          <w:rFonts w:cs="Times New Roman"/>
          <w:color w:val="000000" w:themeColor="text1"/>
          <w:szCs w:val="24"/>
        </w:rPr>
        <w:t>ja</w:t>
      </w:r>
      <w:r w:rsidR="00415E44">
        <w:rPr>
          <w:rFonts w:cs="Times New Roman"/>
          <w:color w:val="000000" w:themeColor="text1"/>
          <w:szCs w:val="24"/>
        </w:rPr>
        <w:t xml:space="preserve"> Senāts ir atzinis, ka apsūdzībā nav izklāstīta inkriminētā noziedzīgā nodarījuma objektīvā puse, jebkāda</w:t>
      </w:r>
      <w:r w:rsidR="00B927B5">
        <w:rPr>
          <w:rFonts w:cs="Times New Roman"/>
          <w:color w:val="000000" w:themeColor="text1"/>
          <w:szCs w:val="24"/>
        </w:rPr>
        <w:t xml:space="preserve"> apsūdzības grozīšana, lai šo trūkumu novērstu, pasliktina apsūdzētā stāvokli lietā.</w:t>
      </w:r>
      <w:r w:rsidR="00087AD9">
        <w:rPr>
          <w:rFonts w:cs="Times New Roman"/>
          <w:color w:val="000000" w:themeColor="text1"/>
          <w:szCs w:val="24"/>
        </w:rPr>
        <w:t xml:space="preserve"> G</w:t>
      </w:r>
      <w:r w:rsidR="00B927B5">
        <w:rPr>
          <w:rFonts w:cs="Times New Roman"/>
          <w:color w:val="000000" w:themeColor="text1"/>
          <w:szCs w:val="24"/>
        </w:rPr>
        <w:t xml:space="preserve">rozot apsūdzību apelācijas instances tiesā, netiek nodrošināta </w:t>
      </w:r>
      <w:r w:rsidR="00087AD9">
        <w:rPr>
          <w:rFonts w:cs="Times New Roman"/>
          <w:color w:val="000000" w:themeColor="text1"/>
          <w:szCs w:val="24"/>
        </w:rPr>
        <w:t xml:space="preserve">arī </w:t>
      </w:r>
      <w:r w:rsidR="00B927B5">
        <w:rPr>
          <w:rFonts w:cs="Times New Roman"/>
          <w:color w:val="000000" w:themeColor="text1"/>
          <w:szCs w:val="24"/>
        </w:rPr>
        <w:t>apsūdzības pārbaudīšana divās tiesu instancēs, proti, pirmās instances tiesa ir taisījusi spriedumu par vienu apsūdzību, bet apelācijas instances tiesa – par citu.</w:t>
      </w:r>
      <w:r w:rsidR="00087AD9">
        <w:rPr>
          <w:rFonts w:cs="Times New Roman"/>
          <w:color w:val="000000" w:themeColor="text1"/>
          <w:szCs w:val="24"/>
        </w:rPr>
        <w:t xml:space="preserve"> Turklāt Krimināllikuma 148. panta trešā daļa neparedz kriminālatbildību</w:t>
      </w:r>
      <w:r w:rsidR="00607DEF">
        <w:rPr>
          <w:rFonts w:cs="Times New Roman"/>
          <w:color w:val="000000" w:themeColor="text1"/>
          <w:szCs w:val="24"/>
        </w:rPr>
        <w:t xml:space="preserve"> par autortiesību pārkāpuma nodrošināšanu. Lai personu sauktu pie atbildības par šīs likuma normas pārkāpumu, jākonstatē, ka persona pati veikusi autortiesību pārkāpumu, nevis to nodrošinājusi.</w:t>
      </w:r>
    </w:p>
    <w:p w14:paraId="54D3A451" w14:textId="392247FE" w:rsidR="006659DB" w:rsidRDefault="007F1965" w:rsidP="00426462">
      <w:pPr>
        <w:widowControl w:val="0"/>
        <w:spacing w:after="0"/>
        <w:ind w:firstLine="720"/>
        <w:jc w:val="both"/>
        <w:rPr>
          <w:rFonts w:cs="Times New Roman"/>
          <w:color w:val="000000" w:themeColor="text1"/>
          <w:szCs w:val="24"/>
        </w:rPr>
      </w:pPr>
      <w:r>
        <w:rPr>
          <w:rFonts w:cs="Times New Roman"/>
          <w:color w:val="000000" w:themeColor="text1"/>
          <w:szCs w:val="24"/>
        </w:rPr>
        <w:t>[8.</w:t>
      </w:r>
      <w:r w:rsidR="006659DB">
        <w:rPr>
          <w:rFonts w:cs="Times New Roman"/>
          <w:color w:val="000000" w:themeColor="text1"/>
          <w:szCs w:val="24"/>
        </w:rPr>
        <w:t>2]</w:t>
      </w:r>
      <w:r w:rsidR="00735FA4">
        <w:rPr>
          <w:rFonts w:cs="Times New Roman"/>
          <w:color w:val="000000" w:themeColor="text1"/>
          <w:szCs w:val="24"/>
        </w:rPr>
        <w:t> </w:t>
      </w:r>
      <w:r w:rsidR="006659DB">
        <w:rPr>
          <w:rFonts w:cs="Times New Roman"/>
          <w:color w:val="000000" w:themeColor="text1"/>
          <w:szCs w:val="24"/>
        </w:rPr>
        <w:t>Lietā nav iegūti pierādījumi, ka apsūdzībā norādītās datorprogrammas ir nelikumīgas vai nelicencētas. Apelācijas instances tiesa nepamatoti secinājusi, ka faktu, ka SIA</w:t>
      </w:r>
      <w:r w:rsidR="00B174B1">
        <w:rPr>
          <w:rFonts w:cs="Times New Roman"/>
          <w:color w:val="000000" w:themeColor="text1"/>
          <w:szCs w:val="24"/>
        </w:rPr>
        <w:t> „</w:t>
      </w:r>
      <w:r w:rsidR="002F4D18">
        <w:rPr>
          <w:rFonts w:cs="Times New Roman"/>
          <w:color w:val="000000" w:themeColor="text1"/>
          <w:szCs w:val="24"/>
        </w:rPr>
        <w:t>[Nosaukums A]</w:t>
      </w:r>
      <w:r w:rsidR="006659DB">
        <w:rPr>
          <w:rFonts w:cs="Times New Roman"/>
          <w:color w:val="000000" w:themeColor="text1"/>
          <w:szCs w:val="24"/>
        </w:rPr>
        <w:t xml:space="preserve">” datorsistēmās konstatētas nelegāli reproducētas </w:t>
      </w:r>
      <w:proofErr w:type="gramStart"/>
      <w:r w:rsidR="006659DB">
        <w:rPr>
          <w:rFonts w:cs="Times New Roman"/>
          <w:color w:val="000000" w:themeColor="text1"/>
          <w:szCs w:val="24"/>
        </w:rPr>
        <w:t xml:space="preserve">datorprogrammas, </w:t>
      </w:r>
      <w:r w:rsidR="00B174B1">
        <w:rPr>
          <w:rFonts w:cs="Times New Roman"/>
          <w:color w:val="000000" w:themeColor="text1"/>
          <w:szCs w:val="24"/>
        </w:rPr>
        <w:t xml:space="preserve">neviens </w:t>
      </w:r>
      <w:r w:rsidR="006659DB">
        <w:rPr>
          <w:rFonts w:cs="Times New Roman"/>
          <w:color w:val="000000" w:themeColor="text1"/>
          <w:szCs w:val="24"/>
        </w:rPr>
        <w:t>nav apstrīdējis</w:t>
      </w:r>
      <w:proofErr w:type="gramEnd"/>
      <w:r w:rsidR="006659DB">
        <w:rPr>
          <w:rFonts w:cs="Times New Roman"/>
          <w:color w:val="000000" w:themeColor="text1"/>
          <w:szCs w:val="24"/>
        </w:rPr>
        <w:t xml:space="preserve">, jo aizstāvība jau no paša sākuma norādījusi, ka pārbaudes aktos </w:t>
      </w:r>
      <w:r w:rsidR="00A24EBD">
        <w:rPr>
          <w:rFonts w:cs="Times New Roman"/>
          <w:color w:val="000000" w:themeColor="text1"/>
          <w:szCs w:val="24"/>
        </w:rPr>
        <w:t xml:space="preserve">iekļautās </w:t>
      </w:r>
      <w:r w:rsidR="006659DB">
        <w:rPr>
          <w:rFonts w:cs="Times New Roman"/>
          <w:color w:val="000000" w:themeColor="text1"/>
          <w:szCs w:val="24"/>
        </w:rPr>
        <w:t>ziņas nav ticamas. Izvērtēt, vai SIA</w:t>
      </w:r>
      <w:r w:rsidR="00B174B1">
        <w:rPr>
          <w:rFonts w:cs="Times New Roman"/>
          <w:color w:val="000000" w:themeColor="text1"/>
          <w:szCs w:val="24"/>
        </w:rPr>
        <w:t> „</w:t>
      </w:r>
      <w:r w:rsidR="002F4D18">
        <w:rPr>
          <w:rFonts w:cs="Times New Roman"/>
          <w:color w:val="000000" w:themeColor="text1"/>
          <w:szCs w:val="24"/>
        </w:rPr>
        <w:t>[Nosaukums A]</w:t>
      </w:r>
      <w:r w:rsidR="006659DB">
        <w:rPr>
          <w:rFonts w:cs="Times New Roman"/>
          <w:color w:val="000000" w:themeColor="text1"/>
          <w:szCs w:val="24"/>
        </w:rPr>
        <w:t xml:space="preserve">” datorsistēmās atrodas apsūdzībā norādītās datorprogrammas, var tikai eksperts, bet </w:t>
      </w:r>
      <w:r w:rsidR="00B174B1">
        <w:rPr>
          <w:rFonts w:cs="Times New Roman"/>
          <w:color w:val="000000" w:themeColor="text1"/>
          <w:szCs w:val="24"/>
        </w:rPr>
        <w:t xml:space="preserve">aizstāvības norāde </w:t>
      </w:r>
      <w:r w:rsidR="00A24EBD">
        <w:rPr>
          <w:rFonts w:cs="Times New Roman"/>
          <w:color w:val="000000" w:themeColor="text1"/>
          <w:szCs w:val="24"/>
        </w:rPr>
        <w:t xml:space="preserve">par </w:t>
      </w:r>
      <w:r w:rsidR="00B174B1">
        <w:rPr>
          <w:rFonts w:cs="Times New Roman"/>
          <w:color w:val="000000" w:themeColor="text1"/>
          <w:szCs w:val="24"/>
        </w:rPr>
        <w:t xml:space="preserve">ekspertīzes nepieciešamību </w:t>
      </w:r>
      <w:r w:rsidR="006659DB">
        <w:rPr>
          <w:rFonts w:cs="Times New Roman"/>
          <w:color w:val="000000" w:themeColor="text1"/>
          <w:szCs w:val="24"/>
        </w:rPr>
        <w:t xml:space="preserve">tika noraidīta bez saprotama pamatojuma. Datorsistēmu pārbaudi veica policijas inspektori </w:t>
      </w:r>
      <w:r w:rsidR="002F4D18">
        <w:rPr>
          <w:rFonts w:cs="Times New Roman"/>
          <w:color w:val="000000" w:themeColor="text1"/>
          <w:szCs w:val="24"/>
        </w:rPr>
        <w:t>[pers. D]</w:t>
      </w:r>
      <w:r w:rsidR="006659DB">
        <w:rPr>
          <w:rFonts w:cs="Times New Roman"/>
          <w:color w:val="000000" w:themeColor="text1"/>
          <w:szCs w:val="24"/>
        </w:rPr>
        <w:t xml:space="preserve">, </w:t>
      </w:r>
      <w:r w:rsidR="002F4D18">
        <w:rPr>
          <w:rFonts w:cs="Times New Roman"/>
          <w:color w:val="000000" w:themeColor="text1"/>
          <w:szCs w:val="24"/>
        </w:rPr>
        <w:t>[pers. E]</w:t>
      </w:r>
      <w:r w:rsidR="006659DB">
        <w:rPr>
          <w:rFonts w:cs="Times New Roman"/>
          <w:color w:val="000000" w:themeColor="text1"/>
          <w:szCs w:val="24"/>
        </w:rPr>
        <w:t xml:space="preserve">, </w:t>
      </w:r>
      <w:r w:rsidR="00732A3B">
        <w:rPr>
          <w:rFonts w:cs="Times New Roman"/>
          <w:color w:val="000000" w:themeColor="text1"/>
          <w:szCs w:val="24"/>
        </w:rPr>
        <w:t>[pers. F]</w:t>
      </w:r>
      <w:r w:rsidR="006659DB">
        <w:rPr>
          <w:rFonts w:cs="Times New Roman"/>
          <w:color w:val="000000" w:themeColor="text1"/>
          <w:szCs w:val="24"/>
        </w:rPr>
        <w:t xml:space="preserve"> un </w:t>
      </w:r>
      <w:r w:rsidR="00732A3B">
        <w:rPr>
          <w:rFonts w:cs="Times New Roman"/>
          <w:color w:val="000000" w:themeColor="text1"/>
          <w:szCs w:val="24"/>
        </w:rPr>
        <w:t>[pers. G]</w:t>
      </w:r>
      <w:r w:rsidR="006659DB">
        <w:rPr>
          <w:rFonts w:cs="Times New Roman"/>
          <w:color w:val="000000" w:themeColor="text1"/>
          <w:szCs w:val="24"/>
        </w:rPr>
        <w:t xml:space="preserve">. Ievērojot to, ka neviena no šīm personām nav reģistrēta tiesu ekspertu reģistrā un lietā nav ziņu par viņu kompetenci un spēju veikt attiecīgo pārbaudi, šo personu konstatētie fakti nav ticami un nav izmantojami pierādīšanā. Turklāt apelācijas instances tiesa atstājusi bez ievērības aizstāvības norādītās 2015. gada 17. februāra mantu apskates protokolos konstatētās nepilnības un neatbilstības: 1) no liecinieku </w:t>
      </w:r>
      <w:r w:rsidR="00732A3B">
        <w:rPr>
          <w:rFonts w:cs="Times New Roman"/>
          <w:color w:val="000000" w:themeColor="text1"/>
          <w:szCs w:val="24"/>
        </w:rPr>
        <w:t>[pers. H]</w:t>
      </w:r>
      <w:r w:rsidR="006659DB">
        <w:rPr>
          <w:rFonts w:cs="Times New Roman"/>
          <w:color w:val="000000" w:themeColor="text1"/>
          <w:szCs w:val="24"/>
        </w:rPr>
        <w:t xml:space="preserve"> un </w:t>
      </w:r>
      <w:r w:rsidR="00732A3B">
        <w:rPr>
          <w:rFonts w:cs="Times New Roman"/>
          <w:color w:val="000000" w:themeColor="text1"/>
          <w:szCs w:val="24"/>
        </w:rPr>
        <w:t>[pers. </w:t>
      </w:r>
      <w:r w:rsidR="00732A3B">
        <w:t>I]</w:t>
      </w:r>
      <w:r w:rsidR="006659DB">
        <w:rPr>
          <w:rFonts w:cs="Times New Roman"/>
          <w:color w:val="000000" w:themeColor="text1"/>
          <w:szCs w:val="24"/>
        </w:rPr>
        <w:t xml:space="preserve"> liecībām izriet, ka viņi</w:t>
      </w:r>
      <w:proofErr w:type="gramStart"/>
      <w:r w:rsidR="006659DB">
        <w:rPr>
          <w:rFonts w:cs="Times New Roman"/>
          <w:color w:val="000000" w:themeColor="text1"/>
          <w:szCs w:val="24"/>
        </w:rPr>
        <w:t xml:space="preserve"> lietojuši arī </w:t>
      </w:r>
      <w:r w:rsidR="003C7852">
        <w:rPr>
          <w:rFonts w:cs="Times New Roman"/>
          <w:color w:val="000000" w:themeColor="text1"/>
          <w:szCs w:val="24"/>
        </w:rPr>
        <w:t>„</w:t>
      </w:r>
      <w:proofErr w:type="spellStart"/>
      <w:r w:rsidR="006659DB" w:rsidRPr="003C7852">
        <w:rPr>
          <w:rFonts w:cs="Times New Roman"/>
          <w:color w:val="000000" w:themeColor="text1"/>
          <w:szCs w:val="24"/>
        </w:rPr>
        <w:t>ServiceTrader</w:t>
      </w:r>
      <w:proofErr w:type="spellEnd"/>
      <w:r w:rsidR="003C7852" w:rsidRPr="003C7852">
        <w:rPr>
          <w:rFonts w:cs="Times New Roman"/>
          <w:color w:val="000000" w:themeColor="text1"/>
          <w:szCs w:val="24"/>
        </w:rPr>
        <w:t>”</w:t>
      </w:r>
      <w:r w:rsidR="006659DB">
        <w:rPr>
          <w:rFonts w:cs="Times New Roman"/>
          <w:i/>
          <w:iCs/>
          <w:color w:val="000000" w:themeColor="text1"/>
          <w:szCs w:val="24"/>
        </w:rPr>
        <w:t xml:space="preserve"> </w:t>
      </w:r>
      <w:r w:rsidR="006659DB">
        <w:rPr>
          <w:rFonts w:cs="Times New Roman"/>
          <w:color w:val="000000" w:themeColor="text1"/>
          <w:szCs w:val="24"/>
        </w:rPr>
        <w:t>programmu</w:t>
      </w:r>
      <w:proofErr w:type="gramEnd"/>
      <w:r w:rsidR="006659DB">
        <w:rPr>
          <w:rFonts w:cs="Times New Roman"/>
          <w:color w:val="000000" w:themeColor="text1"/>
          <w:szCs w:val="24"/>
        </w:rPr>
        <w:t>, taču šāda programma SIA</w:t>
      </w:r>
      <w:r w:rsidR="003C7852">
        <w:rPr>
          <w:rFonts w:cs="Times New Roman"/>
          <w:color w:val="000000" w:themeColor="text1"/>
          <w:szCs w:val="24"/>
        </w:rPr>
        <w:t> „</w:t>
      </w:r>
      <w:r w:rsidR="00732A3B">
        <w:rPr>
          <w:rFonts w:cs="Times New Roman"/>
          <w:color w:val="000000" w:themeColor="text1"/>
          <w:szCs w:val="24"/>
        </w:rPr>
        <w:t>[Nosaukums </w:t>
      </w:r>
      <w:r w:rsidR="00732A3B">
        <w:t>A]</w:t>
      </w:r>
      <w:r w:rsidR="006659DB">
        <w:rPr>
          <w:rFonts w:cs="Times New Roman"/>
          <w:color w:val="000000" w:themeColor="text1"/>
          <w:szCs w:val="24"/>
        </w:rPr>
        <w:t>” datorsistēmās nav konstatēta, kas liecina, ka pārbaude un mantu apskates protokolos norādītā informācija nav pilnīga; 2) mantu apskates protokolā Nr. 4 nav norādīts, vai datorsistēma bija ieslēgta vai izslēgta; 3) mantu apskates protokolos Nr. 5 un Nr. 6 nav norādīta IP adrese un MAC adrese; 4) mantu apskates protokolā Nr. 7 nav norādīta MAC adrese un tas, vai datorsistēma bija ieslēgta vai izslēgta; 5)</w:t>
      </w:r>
      <w:r w:rsidR="003C7852">
        <w:rPr>
          <w:rFonts w:cs="Times New Roman"/>
          <w:color w:val="000000" w:themeColor="text1"/>
          <w:szCs w:val="24"/>
        </w:rPr>
        <w:t> </w:t>
      </w:r>
      <w:r w:rsidR="006659DB">
        <w:rPr>
          <w:rFonts w:cs="Times New Roman"/>
          <w:color w:val="000000" w:themeColor="text1"/>
          <w:szCs w:val="24"/>
        </w:rPr>
        <w:t>nav izņemts datorsistēmā Nr. 5 esošais cietais disks, kas liecina, ka nelikumīgas datorprogrammas šajā datorsistēmā nav konstatētas. Šīs mantu apskates protokolu nepilnības attiecībā uz lietā būtiskiem apstākļiem norāda, ka personas, kuras veikušas datorsistēmu apskati, nav bijušas pietiekami kompetentas.</w:t>
      </w:r>
    </w:p>
    <w:p w14:paraId="70F830C6" w14:textId="16B70E49" w:rsidR="002562DE" w:rsidRDefault="006659DB" w:rsidP="00426462">
      <w:pPr>
        <w:widowControl w:val="0"/>
        <w:spacing w:after="0"/>
        <w:ind w:firstLine="720"/>
        <w:jc w:val="both"/>
        <w:rPr>
          <w:rFonts w:cs="Times New Roman"/>
          <w:color w:val="000000" w:themeColor="text1"/>
          <w:szCs w:val="24"/>
        </w:rPr>
      </w:pPr>
      <w:r>
        <w:rPr>
          <w:rFonts w:cs="Times New Roman"/>
          <w:color w:val="000000" w:themeColor="text1"/>
          <w:szCs w:val="24"/>
        </w:rPr>
        <w:t>[8.3] </w:t>
      </w:r>
      <w:r w:rsidR="008C5DC4">
        <w:rPr>
          <w:rFonts w:cs="Times New Roman"/>
          <w:color w:val="000000" w:themeColor="text1"/>
          <w:szCs w:val="24"/>
        </w:rPr>
        <w:t xml:space="preserve">Apelācijas instances tiesa atzinumu par to, ka </w:t>
      </w:r>
      <w:r w:rsidR="00732A3B">
        <w:rPr>
          <w:rFonts w:cs="Times New Roman"/>
          <w:color w:val="000000" w:themeColor="text1"/>
          <w:szCs w:val="24"/>
        </w:rPr>
        <w:t>[pers. </w:t>
      </w:r>
      <w:r w:rsidR="00732A3B">
        <w:t>A]</w:t>
      </w:r>
      <w:r w:rsidR="008C5DC4">
        <w:rPr>
          <w:rFonts w:cs="Times New Roman"/>
          <w:color w:val="000000" w:themeColor="text1"/>
          <w:szCs w:val="24"/>
        </w:rPr>
        <w:t xml:space="preserve"> ir inkriminētā noziedzīgā nodarījuma subjekts, pamatojusi</w:t>
      </w:r>
      <w:r w:rsidR="00A24EBD">
        <w:rPr>
          <w:rFonts w:cs="Times New Roman"/>
          <w:color w:val="000000" w:themeColor="text1"/>
          <w:szCs w:val="24"/>
        </w:rPr>
        <w:t xml:space="preserve"> ar </w:t>
      </w:r>
      <w:r w:rsidR="008C5DC4">
        <w:rPr>
          <w:rFonts w:cs="Times New Roman"/>
          <w:color w:val="000000" w:themeColor="text1"/>
          <w:szCs w:val="24"/>
        </w:rPr>
        <w:t>viņa lomu SIA</w:t>
      </w:r>
      <w:r w:rsidR="00306CB6">
        <w:rPr>
          <w:rFonts w:cs="Times New Roman"/>
          <w:color w:val="000000" w:themeColor="text1"/>
          <w:szCs w:val="24"/>
        </w:rPr>
        <w:t> „</w:t>
      </w:r>
      <w:r w:rsidR="00732A3B">
        <w:rPr>
          <w:rFonts w:cs="Times New Roman"/>
          <w:color w:val="000000" w:themeColor="text1"/>
          <w:szCs w:val="24"/>
        </w:rPr>
        <w:t>[Nosaukums A]</w:t>
      </w:r>
      <w:r w:rsidR="008C5DC4">
        <w:rPr>
          <w:rFonts w:cs="Times New Roman"/>
          <w:color w:val="000000" w:themeColor="text1"/>
          <w:szCs w:val="24"/>
        </w:rPr>
        <w:t>”, lai gan Krimināllikuma 148. panta trešā daļa neparedz tiešu un automātisku kapitālsabiedrības valdes</w:t>
      </w:r>
      <w:r w:rsidR="00A24EBD">
        <w:rPr>
          <w:rFonts w:cs="Times New Roman"/>
          <w:color w:val="000000" w:themeColor="text1"/>
          <w:szCs w:val="24"/>
        </w:rPr>
        <w:t xml:space="preserve"> locekļa</w:t>
      </w:r>
      <w:r w:rsidR="008C5DC4">
        <w:rPr>
          <w:rFonts w:cs="Times New Roman"/>
          <w:color w:val="000000" w:themeColor="text1"/>
          <w:szCs w:val="24"/>
        </w:rPr>
        <w:t xml:space="preserve"> atbildību par autortiesību pārkāpumu sabiedrībā. </w:t>
      </w:r>
      <w:r w:rsidR="00CB7770">
        <w:rPr>
          <w:rFonts w:cs="Times New Roman"/>
          <w:color w:val="000000" w:themeColor="text1"/>
          <w:szCs w:val="24"/>
        </w:rPr>
        <w:t xml:space="preserve">Tiesa atstājusi bez ievērības aizstāvības argumentus par to, ka laikā no 2013. gada 13. decembra līdz 16. decembrim </w:t>
      </w:r>
      <w:r w:rsidR="00732A3B">
        <w:rPr>
          <w:rFonts w:cs="Times New Roman"/>
          <w:color w:val="000000" w:themeColor="text1"/>
          <w:szCs w:val="24"/>
        </w:rPr>
        <w:t>[pers. A]</w:t>
      </w:r>
      <w:r w:rsidR="00CB7770">
        <w:rPr>
          <w:rFonts w:cs="Times New Roman"/>
          <w:color w:val="000000" w:themeColor="text1"/>
          <w:szCs w:val="24"/>
        </w:rPr>
        <w:t xml:space="preserve"> ir bijis prombūtnē sakarā ar </w:t>
      </w:r>
      <w:r w:rsidR="00306CB6">
        <w:rPr>
          <w:rFonts w:cs="Times New Roman"/>
          <w:color w:val="000000" w:themeColor="text1"/>
          <w:szCs w:val="24"/>
        </w:rPr>
        <w:t>saslimšanu</w:t>
      </w:r>
      <w:r w:rsidR="00CB7770">
        <w:rPr>
          <w:rFonts w:cs="Times New Roman"/>
          <w:color w:val="000000" w:themeColor="text1"/>
          <w:szCs w:val="24"/>
        </w:rPr>
        <w:t xml:space="preserve">, bet laikā no 2014. gada 10. marta līdz 13. aprīlim </w:t>
      </w:r>
      <w:r w:rsidR="00704CE2">
        <w:rPr>
          <w:rFonts w:cs="Times New Roman"/>
          <w:color w:val="000000" w:themeColor="text1"/>
          <w:szCs w:val="24"/>
        </w:rPr>
        <w:t xml:space="preserve">– </w:t>
      </w:r>
      <w:r w:rsidR="0067486D">
        <w:rPr>
          <w:rFonts w:cs="Times New Roman"/>
          <w:color w:val="000000" w:themeColor="text1"/>
          <w:szCs w:val="24"/>
        </w:rPr>
        <w:t xml:space="preserve">sakarā ar ikgadējo atvaļinājumu. Tādējādi ne 2013. gada 16. decembrī, ne 2014. gada 18. martā </w:t>
      </w:r>
      <w:r w:rsidR="00732A3B">
        <w:rPr>
          <w:rFonts w:cs="Times New Roman"/>
          <w:color w:val="000000" w:themeColor="text1"/>
          <w:szCs w:val="24"/>
        </w:rPr>
        <w:t>[pers. A]</w:t>
      </w:r>
      <w:r w:rsidR="0067486D">
        <w:rPr>
          <w:rFonts w:cs="Times New Roman"/>
          <w:color w:val="000000" w:themeColor="text1"/>
          <w:szCs w:val="24"/>
        </w:rPr>
        <w:t xml:space="preserve"> neatradās darba vietā SIA</w:t>
      </w:r>
      <w:r w:rsidR="00306CB6">
        <w:rPr>
          <w:rFonts w:cs="Times New Roman"/>
          <w:color w:val="000000" w:themeColor="text1"/>
          <w:szCs w:val="24"/>
        </w:rPr>
        <w:t> „</w:t>
      </w:r>
      <w:r w:rsidR="00732A3B">
        <w:rPr>
          <w:rFonts w:cs="Times New Roman"/>
          <w:color w:val="000000" w:themeColor="text1"/>
          <w:szCs w:val="24"/>
        </w:rPr>
        <w:t>[Nosaukums </w:t>
      </w:r>
      <w:r w:rsidR="00732A3B">
        <w:t>A]</w:t>
      </w:r>
      <w:r w:rsidR="0067486D">
        <w:rPr>
          <w:rFonts w:cs="Times New Roman"/>
          <w:color w:val="000000" w:themeColor="text1"/>
          <w:szCs w:val="24"/>
        </w:rPr>
        <w:t xml:space="preserve">”, </w:t>
      </w:r>
      <w:r w:rsidR="00704CE2">
        <w:rPr>
          <w:rFonts w:cs="Times New Roman"/>
          <w:color w:val="000000" w:themeColor="text1"/>
          <w:szCs w:val="24"/>
        </w:rPr>
        <w:t xml:space="preserve">kas apstiprina apsūdzētā alibi attiecībā uz četru kompānijas </w:t>
      </w:r>
      <w:r w:rsidR="00306CB6">
        <w:rPr>
          <w:rFonts w:cs="Times New Roman"/>
          <w:color w:val="000000" w:themeColor="text1"/>
          <w:szCs w:val="24"/>
        </w:rPr>
        <w:t>„</w:t>
      </w:r>
      <w:proofErr w:type="spellStart"/>
      <w:r w:rsidR="00991B75">
        <w:rPr>
          <w:rFonts w:cs="Times New Roman"/>
          <w:color w:val="000000" w:themeColor="text1"/>
          <w:szCs w:val="24"/>
        </w:rPr>
        <w:t>Dass</w:t>
      </w:r>
      <w:r w:rsidR="00704CE2">
        <w:rPr>
          <w:rFonts w:cs="Times New Roman"/>
          <w:color w:val="000000" w:themeColor="text1"/>
          <w:szCs w:val="24"/>
        </w:rPr>
        <w:t>ault</w:t>
      </w:r>
      <w:proofErr w:type="spellEnd"/>
      <w:r w:rsidR="00704CE2">
        <w:rPr>
          <w:rFonts w:cs="Times New Roman"/>
          <w:color w:val="000000" w:themeColor="text1"/>
          <w:szCs w:val="24"/>
        </w:rPr>
        <w:t xml:space="preserve"> </w:t>
      </w:r>
      <w:proofErr w:type="spellStart"/>
      <w:r w:rsidR="00704CE2">
        <w:rPr>
          <w:rFonts w:cs="Times New Roman"/>
          <w:color w:val="000000" w:themeColor="text1"/>
          <w:szCs w:val="24"/>
        </w:rPr>
        <w:t>Systemes</w:t>
      </w:r>
      <w:proofErr w:type="spellEnd"/>
      <w:r w:rsidR="00704CE2">
        <w:rPr>
          <w:rFonts w:cs="Times New Roman"/>
          <w:color w:val="000000" w:themeColor="text1"/>
          <w:szCs w:val="24"/>
        </w:rPr>
        <w:t xml:space="preserve"> </w:t>
      </w:r>
      <w:proofErr w:type="spellStart"/>
      <w:r w:rsidR="00704CE2">
        <w:rPr>
          <w:rFonts w:cs="Times New Roman"/>
          <w:color w:val="000000" w:themeColor="text1"/>
          <w:szCs w:val="24"/>
        </w:rPr>
        <w:t>SolidWorks</w:t>
      </w:r>
      <w:proofErr w:type="spellEnd"/>
      <w:r w:rsidR="00704CE2">
        <w:rPr>
          <w:rFonts w:cs="Times New Roman"/>
          <w:color w:val="000000" w:themeColor="text1"/>
          <w:szCs w:val="24"/>
        </w:rPr>
        <w:t xml:space="preserve"> </w:t>
      </w:r>
      <w:proofErr w:type="spellStart"/>
      <w:r w:rsidR="00704CE2">
        <w:rPr>
          <w:rFonts w:cs="Times New Roman"/>
          <w:color w:val="000000" w:themeColor="text1"/>
          <w:szCs w:val="24"/>
        </w:rPr>
        <w:t>Corporation</w:t>
      </w:r>
      <w:proofErr w:type="spellEnd"/>
      <w:r w:rsidR="00704CE2">
        <w:rPr>
          <w:rFonts w:cs="Times New Roman"/>
          <w:color w:val="000000" w:themeColor="text1"/>
          <w:szCs w:val="24"/>
        </w:rPr>
        <w:t xml:space="preserve">” datorprogrammu </w:t>
      </w:r>
      <w:r w:rsidR="002562DE">
        <w:rPr>
          <w:rFonts w:cs="Times New Roman"/>
          <w:color w:val="000000" w:themeColor="text1"/>
          <w:szCs w:val="24"/>
        </w:rPr>
        <w:t xml:space="preserve">uzstādīšanas vai uzstādīšanas nodrošināšanas apstākļiem. Turklāt </w:t>
      </w:r>
      <w:r w:rsidR="008C5DC4">
        <w:rPr>
          <w:rFonts w:cs="Times New Roman"/>
          <w:color w:val="000000" w:themeColor="text1"/>
          <w:szCs w:val="24"/>
        </w:rPr>
        <w:t xml:space="preserve">tiesa nepamatoti secinājusi, ka </w:t>
      </w:r>
      <w:r w:rsidR="00732A3B">
        <w:rPr>
          <w:rFonts w:cs="Times New Roman"/>
          <w:color w:val="000000" w:themeColor="text1"/>
          <w:szCs w:val="24"/>
        </w:rPr>
        <w:t>[pers. A]</w:t>
      </w:r>
      <w:r w:rsidR="008C5DC4">
        <w:rPr>
          <w:rFonts w:cs="Times New Roman"/>
          <w:color w:val="000000" w:themeColor="text1"/>
          <w:szCs w:val="24"/>
        </w:rPr>
        <w:t xml:space="preserve"> ir persona, kura bija atbildīga par datortehnikas iegādi un datorprogrammu legalitāti. SIA</w:t>
      </w:r>
      <w:r w:rsidR="00306CB6">
        <w:rPr>
          <w:rFonts w:cs="Times New Roman"/>
          <w:color w:val="000000" w:themeColor="text1"/>
          <w:szCs w:val="24"/>
        </w:rPr>
        <w:t> „</w:t>
      </w:r>
      <w:r w:rsidR="00732A3B">
        <w:rPr>
          <w:rFonts w:cs="Times New Roman"/>
          <w:color w:val="000000" w:themeColor="text1"/>
          <w:szCs w:val="24"/>
        </w:rPr>
        <w:t>[Nosaukums A]</w:t>
      </w:r>
      <w:r w:rsidR="008C5DC4">
        <w:rPr>
          <w:rFonts w:cs="Times New Roman"/>
          <w:color w:val="000000" w:themeColor="text1"/>
          <w:szCs w:val="24"/>
        </w:rPr>
        <w:t>” biji divi valdes locekļi, starp kuriem pienākumu jomas nebija sadalītas. Pavadzīmes par datortehnikas iegādi ir parakstījušas arī citas personas.</w:t>
      </w:r>
      <w:r w:rsidR="00AD1BB2">
        <w:rPr>
          <w:rFonts w:cs="Times New Roman"/>
          <w:color w:val="000000" w:themeColor="text1"/>
          <w:szCs w:val="24"/>
        </w:rPr>
        <w:t xml:space="preserve"> Tiesas pieņēmumi par to, ka gadījumā, ja </w:t>
      </w:r>
      <w:r w:rsidR="00732A3B">
        <w:rPr>
          <w:rFonts w:cs="Times New Roman"/>
          <w:color w:val="000000" w:themeColor="text1"/>
          <w:szCs w:val="24"/>
        </w:rPr>
        <w:t>[pers. A]</w:t>
      </w:r>
      <w:r w:rsidR="00AD1BB2">
        <w:rPr>
          <w:rFonts w:cs="Times New Roman"/>
          <w:color w:val="000000" w:themeColor="text1"/>
          <w:szCs w:val="24"/>
        </w:rPr>
        <w:t xml:space="preserve"> SIA</w:t>
      </w:r>
      <w:r w:rsidR="000F5207">
        <w:rPr>
          <w:rFonts w:cs="Times New Roman"/>
          <w:color w:val="000000" w:themeColor="text1"/>
          <w:szCs w:val="24"/>
        </w:rPr>
        <w:t> „</w:t>
      </w:r>
      <w:r w:rsidR="00732A3B">
        <w:rPr>
          <w:rFonts w:cs="Times New Roman"/>
          <w:color w:val="000000" w:themeColor="text1"/>
          <w:szCs w:val="24"/>
        </w:rPr>
        <w:t>[Nosaukums A]</w:t>
      </w:r>
      <w:r w:rsidR="00AD1BB2">
        <w:rPr>
          <w:rFonts w:cs="Times New Roman"/>
          <w:color w:val="000000" w:themeColor="text1"/>
          <w:szCs w:val="24"/>
        </w:rPr>
        <w:t xml:space="preserve">” vārdā ir iegādājies legālas datorprogrammas, viņš ir atbildīgs arī par darbībām ar nelegālām datorprogrammām, nav pierādīti. Tāpat lietā nav pierādījumu, ka </w:t>
      </w:r>
      <w:r w:rsidR="00732A3B">
        <w:rPr>
          <w:rFonts w:cs="Times New Roman"/>
          <w:color w:val="000000" w:themeColor="text1"/>
          <w:szCs w:val="24"/>
        </w:rPr>
        <w:t>[pers. </w:t>
      </w:r>
      <w:r w:rsidR="00732A3B">
        <w:t>A]</w:t>
      </w:r>
      <w:r w:rsidR="00AD1BB2">
        <w:rPr>
          <w:rFonts w:cs="Times New Roman"/>
          <w:color w:val="000000" w:themeColor="text1"/>
          <w:szCs w:val="24"/>
        </w:rPr>
        <w:t xml:space="preserve"> būtu veicis jebkādas darbības ar nelegālām datorprogrammām, tai skaitā uzstādījis nelegālas datorprogrammas vai nodrošinājis to uzstādīšanu vai reproducēšanu. Lietā nav analizēts, vai </w:t>
      </w:r>
      <w:r w:rsidR="00732A3B">
        <w:rPr>
          <w:rFonts w:cs="Times New Roman"/>
          <w:color w:val="000000" w:themeColor="text1"/>
          <w:szCs w:val="24"/>
        </w:rPr>
        <w:t>[pers. A]</w:t>
      </w:r>
      <w:r w:rsidR="00AD1BB2">
        <w:rPr>
          <w:rFonts w:cs="Times New Roman"/>
          <w:color w:val="000000" w:themeColor="text1"/>
          <w:szCs w:val="24"/>
        </w:rPr>
        <w:t xml:space="preserve"> vispār </w:t>
      </w:r>
      <w:r w:rsidR="00755C03">
        <w:rPr>
          <w:rFonts w:cs="Times New Roman"/>
          <w:color w:val="000000" w:themeColor="text1"/>
          <w:szCs w:val="24"/>
        </w:rPr>
        <w:t>ir apzinājies, ka SIA</w:t>
      </w:r>
      <w:r w:rsidR="000F5207">
        <w:rPr>
          <w:rFonts w:cs="Times New Roman"/>
          <w:color w:val="000000" w:themeColor="text1"/>
          <w:szCs w:val="24"/>
        </w:rPr>
        <w:t> „</w:t>
      </w:r>
      <w:r w:rsidR="00732A3B">
        <w:rPr>
          <w:rFonts w:cs="Times New Roman"/>
          <w:color w:val="000000" w:themeColor="text1"/>
          <w:szCs w:val="24"/>
        </w:rPr>
        <w:t>[Nosaukums </w:t>
      </w:r>
      <w:r w:rsidR="00732A3B">
        <w:t>A]</w:t>
      </w:r>
      <w:r w:rsidR="00755C03">
        <w:rPr>
          <w:rFonts w:cs="Times New Roman"/>
          <w:color w:val="000000" w:themeColor="text1"/>
          <w:szCs w:val="24"/>
        </w:rPr>
        <w:t>” datoros atrodas nelegālas datorprogrammas.</w:t>
      </w:r>
      <w:r w:rsidR="008C5DC4">
        <w:rPr>
          <w:rFonts w:cs="Times New Roman"/>
          <w:color w:val="000000" w:themeColor="text1"/>
          <w:szCs w:val="24"/>
        </w:rPr>
        <w:t xml:space="preserve"> </w:t>
      </w:r>
      <w:r w:rsidR="00EF5A1E">
        <w:rPr>
          <w:rFonts w:cs="Times New Roman"/>
          <w:color w:val="000000" w:themeColor="text1"/>
          <w:szCs w:val="24"/>
        </w:rPr>
        <w:t xml:space="preserve">Turklāt </w:t>
      </w:r>
      <w:r w:rsidR="002562DE">
        <w:rPr>
          <w:rFonts w:cs="Times New Roman"/>
          <w:color w:val="000000" w:themeColor="text1"/>
          <w:szCs w:val="24"/>
        </w:rPr>
        <w:t>apelācijas instances tiesa atstājusi bez ievērības SIA</w:t>
      </w:r>
      <w:r w:rsidR="000F5207">
        <w:rPr>
          <w:rFonts w:cs="Times New Roman"/>
          <w:color w:val="000000" w:themeColor="text1"/>
          <w:szCs w:val="24"/>
        </w:rPr>
        <w:t> „</w:t>
      </w:r>
      <w:r w:rsidR="00A875AD">
        <w:rPr>
          <w:rFonts w:cs="Times New Roman"/>
          <w:color w:val="000000" w:themeColor="text1"/>
          <w:szCs w:val="24"/>
        </w:rPr>
        <w:t>[Nosaukums </w:t>
      </w:r>
      <w:r w:rsidR="00A875AD">
        <w:t>A]</w:t>
      </w:r>
      <w:r w:rsidR="002562DE">
        <w:rPr>
          <w:rFonts w:cs="Times New Roman"/>
          <w:color w:val="000000" w:themeColor="text1"/>
          <w:szCs w:val="24"/>
        </w:rPr>
        <w:t xml:space="preserve">” valdes locekļu </w:t>
      </w:r>
      <w:r w:rsidR="00A875AD">
        <w:rPr>
          <w:rFonts w:cs="Times New Roman"/>
          <w:color w:val="000000" w:themeColor="text1"/>
          <w:szCs w:val="24"/>
        </w:rPr>
        <w:t>[pers. A]</w:t>
      </w:r>
      <w:r w:rsidR="002562DE">
        <w:rPr>
          <w:rFonts w:cs="Times New Roman"/>
          <w:color w:val="000000" w:themeColor="text1"/>
          <w:szCs w:val="24"/>
        </w:rPr>
        <w:t xml:space="preserve"> un </w:t>
      </w:r>
      <w:r w:rsidR="00A875AD">
        <w:rPr>
          <w:rFonts w:cs="Times New Roman"/>
          <w:color w:val="000000" w:themeColor="text1"/>
          <w:szCs w:val="24"/>
        </w:rPr>
        <w:t>[pers. J]</w:t>
      </w:r>
      <w:r w:rsidR="002562DE">
        <w:rPr>
          <w:rFonts w:cs="Times New Roman"/>
          <w:color w:val="000000" w:themeColor="text1"/>
          <w:szCs w:val="24"/>
        </w:rPr>
        <w:t xml:space="preserve"> izstrādātos darba kārtības noteikumus un 2009. gada 20. jūnija rīkojumu par darba organizāciju, kurā tika ietverta kārtība, kā novērst iespējamos autortiesību pārkāpumus SIA</w:t>
      </w:r>
      <w:r w:rsidR="000F5207">
        <w:rPr>
          <w:rFonts w:cs="Times New Roman"/>
          <w:color w:val="000000" w:themeColor="text1"/>
          <w:szCs w:val="24"/>
        </w:rPr>
        <w:t> „</w:t>
      </w:r>
      <w:r w:rsidR="00A875AD">
        <w:rPr>
          <w:rFonts w:cs="Times New Roman"/>
          <w:color w:val="000000" w:themeColor="text1"/>
          <w:szCs w:val="24"/>
        </w:rPr>
        <w:t>[Nosaukums A]</w:t>
      </w:r>
      <w:r w:rsidR="002562DE">
        <w:rPr>
          <w:rFonts w:cs="Times New Roman"/>
          <w:color w:val="000000" w:themeColor="text1"/>
          <w:szCs w:val="24"/>
        </w:rPr>
        <w:t>” darbībā.</w:t>
      </w:r>
    </w:p>
    <w:p w14:paraId="6B701C12" w14:textId="6D41F801" w:rsidR="00A75C07" w:rsidRDefault="002562DE" w:rsidP="00426462">
      <w:pPr>
        <w:widowControl w:val="0"/>
        <w:spacing w:after="0"/>
        <w:ind w:firstLine="720"/>
        <w:jc w:val="both"/>
        <w:rPr>
          <w:rFonts w:cs="Times New Roman"/>
          <w:color w:val="000000" w:themeColor="text1"/>
          <w:szCs w:val="24"/>
        </w:rPr>
      </w:pPr>
      <w:r>
        <w:rPr>
          <w:rFonts w:cs="Times New Roman"/>
          <w:color w:val="000000" w:themeColor="text1"/>
          <w:szCs w:val="24"/>
        </w:rPr>
        <w:t>[8.</w:t>
      </w:r>
      <w:r w:rsidR="00A75C07">
        <w:rPr>
          <w:rFonts w:cs="Times New Roman"/>
          <w:color w:val="000000" w:themeColor="text1"/>
          <w:szCs w:val="24"/>
        </w:rPr>
        <w:t>4</w:t>
      </w:r>
      <w:r>
        <w:rPr>
          <w:rFonts w:cs="Times New Roman"/>
          <w:color w:val="000000" w:themeColor="text1"/>
          <w:szCs w:val="24"/>
        </w:rPr>
        <w:t>]</w:t>
      </w:r>
      <w:r w:rsidR="000F5207">
        <w:rPr>
          <w:rFonts w:cs="Times New Roman"/>
          <w:color w:val="000000" w:themeColor="text1"/>
          <w:szCs w:val="24"/>
        </w:rPr>
        <w:t> </w:t>
      </w:r>
      <w:r w:rsidR="00D31F3B">
        <w:rPr>
          <w:rFonts w:cs="Times New Roman"/>
          <w:color w:val="000000" w:themeColor="text1"/>
          <w:szCs w:val="24"/>
        </w:rPr>
        <w:t xml:space="preserve">Apelācijas instances tiesa pārkāpusi Kriminālprocesa likuma 562. pantu par apjomu un ietvariem, kādos apelācijas instances tiesa iztiesā lietu. Ne sākotnējā apsūdzība, ne prokurora apelācijas protests nav pamatoti ar </w:t>
      </w:r>
      <w:r w:rsidR="00BD7EF2">
        <w:rPr>
          <w:rFonts w:cs="Times New Roman"/>
          <w:color w:val="000000" w:themeColor="text1"/>
          <w:szCs w:val="24"/>
        </w:rPr>
        <w:t>norādi</w:t>
      </w:r>
      <w:r w:rsidR="00D31F3B">
        <w:rPr>
          <w:rFonts w:cs="Times New Roman"/>
          <w:color w:val="000000" w:themeColor="text1"/>
          <w:szCs w:val="24"/>
        </w:rPr>
        <w:t xml:space="preserve"> uz Krimināllikuma 12. pantu</w:t>
      </w:r>
      <w:r w:rsidR="004F098E">
        <w:rPr>
          <w:rFonts w:cs="Times New Roman"/>
          <w:color w:val="000000" w:themeColor="text1"/>
          <w:szCs w:val="24"/>
        </w:rPr>
        <w:t>, kas reglamentē fizisk</w:t>
      </w:r>
      <w:r w:rsidR="008A219A">
        <w:rPr>
          <w:rFonts w:cs="Times New Roman"/>
          <w:color w:val="000000" w:themeColor="text1"/>
          <w:szCs w:val="24"/>
        </w:rPr>
        <w:t>ā</w:t>
      </w:r>
      <w:r w:rsidR="004F098E">
        <w:rPr>
          <w:rFonts w:cs="Times New Roman"/>
          <w:color w:val="000000" w:themeColor="text1"/>
          <w:szCs w:val="24"/>
        </w:rPr>
        <w:t>s personas atbildību juridiskās personas lietā</w:t>
      </w:r>
      <w:r w:rsidR="008A219A">
        <w:rPr>
          <w:rFonts w:cs="Times New Roman"/>
          <w:color w:val="000000" w:themeColor="text1"/>
          <w:szCs w:val="24"/>
        </w:rPr>
        <w:t>, līdz ar to tiesai, kvalificējot apsūdzētā darbības, nebija tiesiska pamata atsaukties uz šo tiesību normu.</w:t>
      </w:r>
    </w:p>
    <w:p w14:paraId="16322C55" w14:textId="507ECA12" w:rsidR="00C9079E" w:rsidRDefault="00E63832" w:rsidP="00426462">
      <w:pPr>
        <w:widowControl w:val="0"/>
        <w:spacing w:after="0"/>
        <w:ind w:firstLine="720"/>
        <w:jc w:val="both"/>
        <w:rPr>
          <w:rFonts w:cs="Times New Roman"/>
          <w:color w:val="000000" w:themeColor="text1"/>
          <w:szCs w:val="24"/>
        </w:rPr>
      </w:pPr>
      <w:r>
        <w:rPr>
          <w:rFonts w:cs="Times New Roman"/>
          <w:color w:val="000000" w:themeColor="text1"/>
          <w:szCs w:val="24"/>
        </w:rPr>
        <w:t>[8.</w:t>
      </w:r>
      <w:r w:rsidR="006659DB">
        <w:rPr>
          <w:rFonts w:cs="Times New Roman"/>
          <w:color w:val="000000" w:themeColor="text1"/>
          <w:szCs w:val="24"/>
        </w:rPr>
        <w:t>5</w:t>
      </w:r>
      <w:r>
        <w:rPr>
          <w:rFonts w:cs="Times New Roman"/>
          <w:color w:val="000000" w:themeColor="text1"/>
          <w:szCs w:val="24"/>
        </w:rPr>
        <w:t>]</w:t>
      </w:r>
      <w:r w:rsidR="000F5207">
        <w:rPr>
          <w:rFonts w:cs="Times New Roman"/>
          <w:color w:val="000000" w:themeColor="text1"/>
          <w:szCs w:val="24"/>
        </w:rPr>
        <w:t> </w:t>
      </w:r>
      <w:r w:rsidR="00BD78CA">
        <w:rPr>
          <w:rFonts w:cs="Times New Roman"/>
          <w:color w:val="000000" w:themeColor="text1"/>
          <w:szCs w:val="24"/>
        </w:rPr>
        <w:t xml:space="preserve">Apelācijas instances tiesa nav izvērtējusi lietā </w:t>
      </w:r>
      <w:r>
        <w:rPr>
          <w:rFonts w:cs="Times New Roman"/>
          <w:color w:val="000000" w:themeColor="text1"/>
          <w:szCs w:val="24"/>
        </w:rPr>
        <w:t>iegūt</w:t>
      </w:r>
      <w:r w:rsidR="00BD78CA">
        <w:rPr>
          <w:rFonts w:cs="Times New Roman"/>
          <w:color w:val="000000" w:themeColor="text1"/>
          <w:szCs w:val="24"/>
        </w:rPr>
        <w:t>os</w:t>
      </w:r>
      <w:r>
        <w:rPr>
          <w:rFonts w:cs="Times New Roman"/>
          <w:color w:val="000000" w:themeColor="text1"/>
          <w:szCs w:val="24"/>
        </w:rPr>
        <w:t xml:space="preserve"> pierādījum</w:t>
      </w:r>
      <w:r w:rsidR="00BD78CA">
        <w:rPr>
          <w:rFonts w:cs="Times New Roman"/>
          <w:color w:val="000000" w:themeColor="text1"/>
          <w:szCs w:val="24"/>
        </w:rPr>
        <w:t>us</w:t>
      </w:r>
      <w:r w:rsidR="000F5207">
        <w:rPr>
          <w:rFonts w:cs="Times New Roman"/>
          <w:color w:val="000000" w:themeColor="text1"/>
          <w:szCs w:val="24"/>
        </w:rPr>
        <w:t xml:space="preserve"> </w:t>
      </w:r>
      <w:r w:rsidR="00A24EBD">
        <w:rPr>
          <w:rFonts w:cs="Times New Roman"/>
          <w:color w:val="000000" w:themeColor="text1"/>
          <w:szCs w:val="24"/>
        </w:rPr>
        <w:t>par to</w:t>
      </w:r>
      <w:r>
        <w:rPr>
          <w:rFonts w:cs="Times New Roman"/>
          <w:color w:val="000000" w:themeColor="text1"/>
          <w:szCs w:val="24"/>
        </w:rPr>
        <w:t>, ka</w:t>
      </w:r>
      <w:r w:rsidR="00BD78CA">
        <w:rPr>
          <w:rFonts w:cs="Times New Roman"/>
          <w:color w:val="000000" w:themeColor="text1"/>
          <w:szCs w:val="24"/>
        </w:rPr>
        <w:t xml:space="preserve"> SIA</w:t>
      </w:r>
      <w:r w:rsidR="000F5207">
        <w:rPr>
          <w:rFonts w:cs="Times New Roman"/>
          <w:color w:val="000000" w:themeColor="text1"/>
          <w:szCs w:val="24"/>
        </w:rPr>
        <w:t> „</w:t>
      </w:r>
      <w:r w:rsidR="00A875AD">
        <w:rPr>
          <w:rFonts w:cs="Times New Roman"/>
          <w:color w:val="000000" w:themeColor="text1"/>
          <w:szCs w:val="24"/>
        </w:rPr>
        <w:t>[Nosaukums </w:t>
      </w:r>
      <w:r w:rsidR="00A875AD">
        <w:t>A]</w:t>
      </w:r>
      <w:r w:rsidR="00BD78CA">
        <w:rPr>
          <w:rFonts w:cs="Times New Roman"/>
          <w:color w:val="000000" w:themeColor="text1"/>
          <w:szCs w:val="24"/>
        </w:rPr>
        <w:t>”</w:t>
      </w:r>
      <w:r>
        <w:rPr>
          <w:rFonts w:cs="Times New Roman"/>
          <w:color w:val="000000" w:themeColor="text1"/>
          <w:szCs w:val="24"/>
        </w:rPr>
        <w:t xml:space="preserve"> datorsistēmā Nr. 5 esoš</w:t>
      </w:r>
      <w:r w:rsidR="00BD78CA">
        <w:rPr>
          <w:rFonts w:cs="Times New Roman"/>
          <w:color w:val="000000" w:themeColor="text1"/>
          <w:szCs w:val="24"/>
        </w:rPr>
        <w:t>o</w:t>
      </w:r>
      <w:r>
        <w:rPr>
          <w:rFonts w:cs="Times New Roman"/>
          <w:color w:val="000000" w:themeColor="text1"/>
          <w:szCs w:val="24"/>
        </w:rPr>
        <w:t xml:space="preserve"> datorprogramm</w:t>
      </w:r>
      <w:r w:rsidR="00BD78CA">
        <w:rPr>
          <w:rFonts w:cs="Times New Roman"/>
          <w:color w:val="000000" w:themeColor="text1"/>
          <w:szCs w:val="24"/>
        </w:rPr>
        <w:t xml:space="preserve">u </w:t>
      </w:r>
      <w:r w:rsidR="000F5207">
        <w:rPr>
          <w:rFonts w:cs="Times New Roman"/>
          <w:color w:val="000000" w:themeColor="text1"/>
          <w:szCs w:val="24"/>
        </w:rPr>
        <w:t>„</w:t>
      </w:r>
      <w:proofErr w:type="spellStart"/>
      <w:r w:rsidR="00BD78CA" w:rsidRPr="001F5BF6">
        <w:rPr>
          <w:rFonts w:cs="Times New Roman"/>
          <w:color w:val="000000" w:themeColor="text1"/>
          <w:szCs w:val="24"/>
        </w:rPr>
        <w:t>TeamViewer</w:t>
      </w:r>
      <w:proofErr w:type="spellEnd"/>
      <w:r w:rsidR="000F5207">
        <w:rPr>
          <w:rFonts w:cs="Times New Roman"/>
          <w:color w:val="000000" w:themeColor="text1"/>
          <w:szCs w:val="24"/>
        </w:rPr>
        <w:t>”</w:t>
      </w:r>
      <w:r>
        <w:rPr>
          <w:rFonts w:cs="Times New Roman"/>
          <w:color w:val="000000" w:themeColor="text1"/>
          <w:szCs w:val="24"/>
        </w:rPr>
        <w:t xml:space="preserve"> uzstādījis </w:t>
      </w:r>
      <w:r w:rsidR="00A875AD">
        <w:rPr>
          <w:rFonts w:cs="Times New Roman"/>
          <w:color w:val="000000" w:themeColor="text1"/>
          <w:szCs w:val="24"/>
        </w:rPr>
        <w:t>[pers. K]</w:t>
      </w:r>
      <w:r w:rsidR="00BD78CA">
        <w:rPr>
          <w:rFonts w:cs="Times New Roman"/>
          <w:color w:val="000000" w:themeColor="text1"/>
          <w:szCs w:val="24"/>
        </w:rPr>
        <w:t>.</w:t>
      </w:r>
      <w:r>
        <w:rPr>
          <w:rFonts w:cs="Times New Roman"/>
          <w:color w:val="000000" w:themeColor="text1"/>
          <w:szCs w:val="24"/>
        </w:rPr>
        <w:t xml:space="preserve"> </w:t>
      </w:r>
      <w:r w:rsidR="00BD78CA">
        <w:rPr>
          <w:rFonts w:cs="Times New Roman"/>
          <w:color w:val="000000" w:themeColor="text1"/>
          <w:szCs w:val="24"/>
        </w:rPr>
        <w:t xml:space="preserve">Turklāt </w:t>
      </w:r>
      <w:r w:rsidR="00A875AD">
        <w:rPr>
          <w:rFonts w:cs="Times New Roman"/>
          <w:color w:val="000000" w:themeColor="text1"/>
          <w:szCs w:val="24"/>
        </w:rPr>
        <w:t>[pers. K]</w:t>
      </w:r>
      <w:r w:rsidR="00BD78CA">
        <w:rPr>
          <w:rFonts w:cs="Times New Roman"/>
          <w:color w:val="000000" w:themeColor="text1"/>
          <w:szCs w:val="24"/>
        </w:rPr>
        <w:t xml:space="preserve"> arī liecinājis, ka par šīs datorprogrammas uzstādīšanu darba devēju nav informējis. Šādas </w:t>
      </w:r>
      <w:r w:rsidR="00A875AD">
        <w:rPr>
          <w:rFonts w:cs="Times New Roman"/>
          <w:color w:val="000000" w:themeColor="text1"/>
          <w:szCs w:val="24"/>
        </w:rPr>
        <w:t>[pers.</w:t>
      </w:r>
      <w:r w:rsidR="00A875AD">
        <w:t> K]</w:t>
      </w:r>
      <w:r w:rsidR="00BD78CA">
        <w:rPr>
          <w:rFonts w:cs="Times New Roman"/>
          <w:color w:val="000000" w:themeColor="text1"/>
          <w:szCs w:val="24"/>
        </w:rPr>
        <w:t xml:space="preserve"> liecības pilnībā apstiprina, ka SIA</w:t>
      </w:r>
      <w:r w:rsidR="000F5207">
        <w:rPr>
          <w:rFonts w:cs="Times New Roman"/>
          <w:color w:val="000000" w:themeColor="text1"/>
          <w:szCs w:val="24"/>
        </w:rPr>
        <w:t> „</w:t>
      </w:r>
      <w:r w:rsidR="00A875AD">
        <w:rPr>
          <w:rFonts w:cs="Times New Roman"/>
          <w:color w:val="000000" w:themeColor="text1"/>
          <w:szCs w:val="24"/>
        </w:rPr>
        <w:t>[Nosaukums </w:t>
      </w:r>
      <w:r w:rsidR="00A875AD">
        <w:t>A]</w:t>
      </w:r>
      <w:r w:rsidR="00BD78CA">
        <w:rPr>
          <w:rFonts w:cs="Times New Roman"/>
          <w:color w:val="000000" w:themeColor="text1"/>
          <w:szCs w:val="24"/>
        </w:rPr>
        <w:t xml:space="preserve">” darbinieki patstāvīgi bez saskaņošanas ar vadību varēja veikt jebkādu datorprogrammu iegūšanu un uzstādīšanu viņu lietošanā esošajās datorsistēmās. Ievērojot minēto, apelācijas instances tiesai </w:t>
      </w:r>
      <w:r w:rsidR="00C9079E">
        <w:rPr>
          <w:rFonts w:cs="Times New Roman"/>
          <w:color w:val="000000" w:themeColor="text1"/>
          <w:szCs w:val="24"/>
        </w:rPr>
        <w:t xml:space="preserve">saskaņā ar </w:t>
      </w:r>
      <w:r w:rsidR="00BD78CA">
        <w:rPr>
          <w:rFonts w:cs="Times New Roman"/>
          <w:color w:val="000000" w:themeColor="text1"/>
          <w:szCs w:val="24"/>
        </w:rPr>
        <w:t>Kriminālprocesa likuma 124. panta piekt</w:t>
      </w:r>
      <w:r w:rsidR="00C9079E">
        <w:rPr>
          <w:rFonts w:cs="Times New Roman"/>
          <w:color w:val="000000" w:themeColor="text1"/>
          <w:szCs w:val="24"/>
        </w:rPr>
        <w:t>o</w:t>
      </w:r>
      <w:r w:rsidR="00BD78CA">
        <w:rPr>
          <w:rFonts w:cs="Times New Roman"/>
          <w:color w:val="000000" w:themeColor="text1"/>
          <w:szCs w:val="24"/>
        </w:rPr>
        <w:t xml:space="preserve"> daļ</w:t>
      </w:r>
      <w:r w:rsidR="00C9079E">
        <w:rPr>
          <w:rFonts w:cs="Times New Roman"/>
          <w:color w:val="000000" w:themeColor="text1"/>
          <w:szCs w:val="24"/>
        </w:rPr>
        <w:t>u</w:t>
      </w:r>
      <w:r w:rsidR="00BD78CA">
        <w:rPr>
          <w:rFonts w:cs="Times New Roman"/>
          <w:color w:val="000000" w:themeColor="text1"/>
          <w:szCs w:val="24"/>
        </w:rPr>
        <w:t xml:space="preserve"> bija pamats konstatēt saprātīgas šaubas</w:t>
      </w:r>
      <w:r w:rsidR="00C9079E">
        <w:rPr>
          <w:rFonts w:cs="Times New Roman"/>
          <w:color w:val="000000" w:themeColor="text1"/>
          <w:szCs w:val="24"/>
        </w:rPr>
        <w:t xml:space="preserve">, ka apsūdzētais </w:t>
      </w:r>
      <w:r w:rsidR="00A875AD">
        <w:rPr>
          <w:rFonts w:cs="Times New Roman"/>
          <w:color w:val="000000" w:themeColor="text1"/>
          <w:szCs w:val="24"/>
        </w:rPr>
        <w:t>[pers. A]</w:t>
      </w:r>
      <w:r w:rsidR="00C9079E">
        <w:rPr>
          <w:rFonts w:cs="Times New Roman"/>
          <w:color w:val="000000" w:themeColor="text1"/>
          <w:szCs w:val="24"/>
        </w:rPr>
        <w:t xml:space="preserve"> ir veicis apsūdzībā norādītās darbības attiecībā uz datorprogrammu reproducēšanu vai reproducēšanas nodrošināšanu SIA</w:t>
      </w:r>
      <w:r w:rsidR="000F5207">
        <w:rPr>
          <w:rFonts w:cs="Times New Roman"/>
          <w:color w:val="000000" w:themeColor="text1"/>
          <w:szCs w:val="24"/>
        </w:rPr>
        <w:t> „</w:t>
      </w:r>
      <w:r w:rsidR="00A875AD">
        <w:rPr>
          <w:rFonts w:cs="Times New Roman"/>
          <w:color w:val="000000" w:themeColor="text1"/>
          <w:szCs w:val="24"/>
        </w:rPr>
        <w:t>[Nosaukums </w:t>
      </w:r>
      <w:r w:rsidR="00A875AD">
        <w:t>A]</w:t>
      </w:r>
      <w:r w:rsidR="00C9079E">
        <w:rPr>
          <w:rFonts w:cs="Times New Roman"/>
          <w:color w:val="000000" w:themeColor="text1"/>
          <w:szCs w:val="24"/>
        </w:rPr>
        <w:t>” saimnieciskajā darbībā.</w:t>
      </w:r>
    </w:p>
    <w:p w14:paraId="0E103497" w14:textId="27F5F522" w:rsidR="00E04177" w:rsidRDefault="00C9079E" w:rsidP="00426462">
      <w:pPr>
        <w:widowControl w:val="0"/>
        <w:spacing w:after="0"/>
        <w:ind w:firstLine="720"/>
        <w:jc w:val="both"/>
        <w:rPr>
          <w:rFonts w:cs="Times New Roman"/>
          <w:color w:val="000000" w:themeColor="text1"/>
          <w:szCs w:val="24"/>
        </w:rPr>
      </w:pPr>
      <w:r>
        <w:rPr>
          <w:rFonts w:cs="Times New Roman"/>
          <w:color w:val="000000" w:themeColor="text1"/>
          <w:szCs w:val="24"/>
        </w:rPr>
        <w:t>[8.</w:t>
      </w:r>
      <w:r w:rsidR="006659DB">
        <w:rPr>
          <w:rFonts w:cs="Times New Roman"/>
          <w:color w:val="000000" w:themeColor="text1"/>
          <w:szCs w:val="24"/>
        </w:rPr>
        <w:t>6</w:t>
      </w:r>
      <w:r>
        <w:rPr>
          <w:rFonts w:cs="Times New Roman"/>
          <w:color w:val="000000" w:themeColor="text1"/>
          <w:szCs w:val="24"/>
        </w:rPr>
        <w:t>]</w:t>
      </w:r>
      <w:r w:rsidR="000F5207">
        <w:rPr>
          <w:rFonts w:cs="Times New Roman"/>
          <w:color w:val="000000" w:themeColor="text1"/>
          <w:szCs w:val="24"/>
        </w:rPr>
        <w:t> </w:t>
      </w:r>
      <w:r>
        <w:rPr>
          <w:rFonts w:cs="Times New Roman"/>
          <w:color w:val="000000" w:themeColor="text1"/>
          <w:szCs w:val="24"/>
        </w:rPr>
        <w:t xml:space="preserve">Apelācijas instances tiesa selektīvi izvērtējusi cietušā – kompānijas </w:t>
      </w:r>
      <w:r w:rsidR="000F5207">
        <w:rPr>
          <w:rFonts w:cs="Times New Roman"/>
          <w:color w:val="000000" w:themeColor="text1"/>
          <w:szCs w:val="24"/>
        </w:rPr>
        <w:t>„</w:t>
      </w:r>
      <w:proofErr w:type="spellStart"/>
      <w:r w:rsidR="00991B75">
        <w:rPr>
          <w:rFonts w:cs="Times New Roman"/>
          <w:color w:val="000000" w:themeColor="text1"/>
          <w:szCs w:val="24"/>
        </w:rPr>
        <w:t>Dass</w:t>
      </w:r>
      <w:r>
        <w:rPr>
          <w:rFonts w:cs="Times New Roman"/>
          <w:color w:val="000000" w:themeColor="text1"/>
          <w:szCs w:val="24"/>
        </w:rPr>
        <w:t>ault</w:t>
      </w:r>
      <w:proofErr w:type="spellEnd"/>
      <w:r>
        <w:rPr>
          <w:rFonts w:cs="Times New Roman"/>
          <w:color w:val="000000" w:themeColor="text1"/>
          <w:szCs w:val="24"/>
        </w:rPr>
        <w:t xml:space="preserve"> </w:t>
      </w:r>
      <w:proofErr w:type="spellStart"/>
      <w:r>
        <w:rPr>
          <w:rFonts w:cs="Times New Roman"/>
          <w:color w:val="000000" w:themeColor="text1"/>
          <w:szCs w:val="24"/>
        </w:rPr>
        <w:t>Systemes</w:t>
      </w:r>
      <w:proofErr w:type="spellEnd"/>
      <w:r>
        <w:rPr>
          <w:rFonts w:cs="Times New Roman"/>
          <w:color w:val="000000" w:themeColor="text1"/>
          <w:szCs w:val="24"/>
        </w:rPr>
        <w:t xml:space="preserve"> </w:t>
      </w:r>
      <w:proofErr w:type="spellStart"/>
      <w:r>
        <w:rPr>
          <w:rFonts w:cs="Times New Roman"/>
          <w:color w:val="000000" w:themeColor="text1"/>
          <w:szCs w:val="24"/>
        </w:rPr>
        <w:t>SolidWorks</w:t>
      </w:r>
      <w:proofErr w:type="spellEnd"/>
      <w:r>
        <w:rPr>
          <w:rFonts w:cs="Times New Roman"/>
          <w:color w:val="000000" w:themeColor="text1"/>
          <w:szCs w:val="24"/>
        </w:rPr>
        <w:t xml:space="preserve"> </w:t>
      </w:r>
      <w:proofErr w:type="spellStart"/>
      <w:r>
        <w:rPr>
          <w:rFonts w:cs="Times New Roman"/>
          <w:color w:val="000000" w:themeColor="text1"/>
          <w:szCs w:val="24"/>
        </w:rPr>
        <w:t>Corporation</w:t>
      </w:r>
      <w:proofErr w:type="spellEnd"/>
      <w:r>
        <w:rPr>
          <w:rFonts w:cs="Times New Roman"/>
          <w:color w:val="000000" w:themeColor="text1"/>
          <w:szCs w:val="24"/>
        </w:rPr>
        <w:t xml:space="preserve">” – pārstāvja </w:t>
      </w:r>
      <w:r w:rsidR="00F404CC">
        <w:rPr>
          <w:rFonts w:cs="Times New Roman"/>
          <w:color w:val="000000" w:themeColor="text1"/>
          <w:szCs w:val="24"/>
        </w:rPr>
        <w:t>[pers. L]</w:t>
      </w:r>
      <w:r>
        <w:rPr>
          <w:rFonts w:cs="Times New Roman"/>
          <w:color w:val="000000" w:themeColor="text1"/>
          <w:szCs w:val="24"/>
        </w:rPr>
        <w:t xml:space="preserve"> liecības un viņa iesniegtos pierādījumus. Atbilstoši </w:t>
      </w:r>
      <w:r w:rsidR="00F404CC">
        <w:rPr>
          <w:rFonts w:cs="Times New Roman"/>
          <w:color w:val="000000" w:themeColor="text1"/>
          <w:szCs w:val="24"/>
        </w:rPr>
        <w:t>[pers. L]</w:t>
      </w:r>
      <w:r>
        <w:rPr>
          <w:rFonts w:cs="Times New Roman"/>
          <w:color w:val="000000" w:themeColor="text1"/>
          <w:szCs w:val="24"/>
        </w:rPr>
        <w:t xml:space="preserve"> informācijai SIA</w:t>
      </w:r>
      <w:r w:rsidR="000F5207">
        <w:rPr>
          <w:rFonts w:cs="Times New Roman"/>
          <w:color w:val="000000" w:themeColor="text1"/>
          <w:szCs w:val="24"/>
        </w:rPr>
        <w:t> „</w:t>
      </w:r>
      <w:r w:rsidR="00F404CC">
        <w:rPr>
          <w:rFonts w:cs="Times New Roman"/>
          <w:color w:val="000000" w:themeColor="text1"/>
          <w:szCs w:val="24"/>
        </w:rPr>
        <w:t>[Nosaukums </w:t>
      </w:r>
      <w:r w:rsidR="00F404CC">
        <w:t>A]</w:t>
      </w:r>
      <w:r>
        <w:rPr>
          <w:rFonts w:cs="Times New Roman"/>
          <w:color w:val="000000" w:themeColor="text1"/>
          <w:szCs w:val="24"/>
        </w:rPr>
        <w:t xml:space="preserve">” ir veikusi pieslēgšanos kompānijas </w:t>
      </w:r>
      <w:r w:rsidR="000F5207">
        <w:rPr>
          <w:rFonts w:cs="Times New Roman"/>
          <w:color w:val="000000" w:themeColor="text1"/>
          <w:szCs w:val="24"/>
        </w:rPr>
        <w:t>„</w:t>
      </w:r>
      <w:proofErr w:type="spellStart"/>
      <w:r w:rsidR="00991B75">
        <w:rPr>
          <w:rFonts w:cs="Times New Roman"/>
          <w:color w:val="000000" w:themeColor="text1"/>
          <w:szCs w:val="24"/>
        </w:rPr>
        <w:t>Dass</w:t>
      </w:r>
      <w:r>
        <w:rPr>
          <w:rFonts w:cs="Times New Roman"/>
          <w:color w:val="000000" w:themeColor="text1"/>
          <w:szCs w:val="24"/>
        </w:rPr>
        <w:t>ault</w:t>
      </w:r>
      <w:proofErr w:type="spellEnd"/>
      <w:r>
        <w:rPr>
          <w:rFonts w:cs="Times New Roman"/>
          <w:color w:val="000000" w:themeColor="text1"/>
          <w:szCs w:val="24"/>
        </w:rPr>
        <w:t xml:space="preserve"> </w:t>
      </w:r>
      <w:proofErr w:type="spellStart"/>
      <w:r>
        <w:rPr>
          <w:rFonts w:cs="Times New Roman"/>
          <w:color w:val="000000" w:themeColor="text1"/>
          <w:szCs w:val="24"/>
        </w:rPr>
        <w:t>Systemes</w:t>
      </w:r>
      <w:proofErr w:type="spellEnd"/>
      <w:r>
        <w:rPr>
          <w:rFonts w:cs="Times New Roman"/>
          <w:color w:val="000000" w:themeColor="text1"/>
          <w:szCs w:val="24"/>
        </w:rPr>
        <w:t xml:space="preserve"> </w:t>
      </w:r>
      <w:proofErr w:type="spellStart"/>
      <w:r>
        <w:rPr>
          <w:rFonts w:cs="Times New Roman"/>
          <w:color w:val="000000" w:themeColor="text1"/>
          <w:szCs w:val="24"/>
        </w:rPr>
        <w:t>SolidWorks</w:t>
      </w:r>
      <w:proofErr w:type="spellEnd"/>
      <w:r>
        <w:rPr>
          <w:rFonts w:cs="Times New Roman"/>
          <w:color w:val="000000" w:themeColor="text1"/>
          <w:szCs w:val="24"/>
        </w:rPr>
        <w:t xml:space="preserve"> </w:t>
      </w:r>
      <w:proofErr w:type="spellStart"/>
      <w:r>
        <w:rPr>
          <w:rFonts w:cs="Times New Roman"/>
          <w:color w:val="000000" w:themeColor="text1"/>
          <w:szCs w:val="24"/>
        </w:rPr>
        <w:t>Corporation</w:t>
      </w:r>
      <w:proofErr w:type="spellEnd"/>
      <w:r>
        <w:rPr>
          <w:rFonts w:cs="Times New Roman"/>
          <w:color w:val="000000" w:themeColor="text1"/>
          <w:szCs w:val="24"/>
        </w:rPr>
        <w:t xml:space="preserve">” programmatūrai no datorsistēmas ar IP adresi </w:t>
      </w:r>
      <w:r w:rsidR="00F404CC">
        <w:rPr>
          <w:rFonts w:cs="Times New Roman"/>
          <w:color w:val="000000" w:themeColor="text1"/>
          <w:szCs w:val="24"/>
        </w:rPr>
        <w:t>[..]</w:t>
      </w:r>
      <w:r>
        <w:rPr>
          <w:rFonts w:cs="Times New Roman"/>
          <w:color w:val="000000" w:themeColor="text1"/>
          <w:szCs w:val="24"/>
        </w:rPr>
        <w:t>, taču saskaņā ar mantu apskates protokoliem nevienai no SIA</w:t>
      </w:r>
      <w:r w:rsidR="000F5207">
        <w:rPr>
          <w:rFonts w:cs="Times New Roman"/>
          <w:color w:val="000000" w:themeColor="text1"/>
          <w:szCs w:val="24"/>
        </w:rPr>
        <w:t> „</w:t>
      </w:r>
      <w:r w:rsidR="00F404CC">
        <w:rPr>
          <w:rFonts w:cs="Times New Roman"/>
          <w:color w:val="000000" w:themeColor="text1"/>
          <w:szCs w:val="24"/>
        </w:rPr>
        <w:t>[Nosaukums </w:t>
      </w:r>
      <w:r w:rsidR="00F404CC">
        <w:t>A]</w:t>
      </w:r>
      <w:r>
        <w:rPr>
          <w:rFonts w:cs="Times New Roman"/>
          <w:color w:val="000000" w:themeColor="text1"/>
          <w:szCs w:val="24"/>
        </w:rPr>
        <w:t xml:space="preserve">” datorsistēmām </w:t>
      </w:r>
      <w:r w:rsidR="00E04177">
        <w:rPr>
          <w:rFonts w:cs="Times New Roman"/>
          <w:color w:val="000000" w:themeColor="text1"/>
          <w:szCs w:val="24"/>
        </w:rPr>
        <w:t>šāda IP adrese nav konstatēta.</w:t>
      </w:r>
    </w:p>
    <w:p w14:paraId="2DD734A8" w14:textId="1EEF79E6" w:rsidR="00EF66F3" w:rsidRDefault="00E04177" w:rsidP="00426462">
      <w:pPr>
        <w:widowControl w:val="0"/>
        <w:spacing w:after="0"/>
        <w:ind w:firstLine="720"/>
        <w:jc w:val="both"/>
        <w:rPr>
          <w:rFonts w:cs="Times New Roman"/>
          <w:color w:val="000000" w:themeColor="text1"/>
          <w:szCs w:val="24"/>
        </w:rPr>
      </w:pPr>
      <w:r>
        <w:rPr>
          <w:rFonts w:cs="Times New Roman"/>
          <w:color w:val="000000" w:themeColor="text1"/>
          <w:szCs w:val="24"/>
        </w:rPr>
        <w:t>[8.</w:t>
      </w:r>
      <w:r w:rsidR="006659DB">
        <w:rPr>
          <w:rFonts w:cs="Times New Roman"/>
          <w:color w:val="000000" w:themeColor="text1"/>
          <w:szCs w:val="24"/>
        </w:rPr>
        <w:t>7</w:t>
      </w:r>
      <w:r>
        <w:rPr>
          <w:rFonts w:cs="Times New Roman"/>
          <w:color w:val="000000" w:themeColor="text1"/>
          <w:szCs w:val="24"/>
        </w:rPr>
        <w:t>]</w:t>
      </w:r>
      <w:r w:rsidR="004C5E14">
        <w:rPr>
          <w:rFonts w:cs="Times New Roman"/>
          <w:color w:val="000000" w:themeColor="text1"/>
          <w:szCs w:val="24"/>
        </w:rPr>
        <w:t> </w:t>
      </w:r>
      <w:r>
        <w:rPr>
          <w:rFonts w:cs="Times New Roman"/>
          <w:color w:val="000000" w:themeColor="text1"/>
          <w:szCs w:val="24"/>
        </w:rPr>
        <w:t xml:space="preserve">Cietušā pārstāves </w:t>
      </w:r>
      <w:r w:rsidR="00F404CC">
        <w:rPr>
          <w:rFonts w:cs="Times New Roman"/>
          <w:color w:val="000000" w:themeColor="text1"/>
          <w:szCs w:val="24"/>
        </w:rPr>
        <w:t>[pers. M]</w:t>
      </w:r>
      <w:r>
        <w:rPr>
          <w:rFonts w:cs="Times New Roman"/>
          <w:color w:val="000000" w:themeColor="text1"/>
          <w:szCs w:val="24"/>
        </w:rPr>
        <w:t xml:space="preserve"> 2016. gada 28. septembra tiesas sēdē tabulas veidā iesniegto informāciju par SIA</w:t>
      </w:r>
      <w:r w:rsidR="004C5E14">
        <w:rPr>
          <w:rFonts w:cs="Times New Roman"/>
          <w:color w:val="000000" w:themeColor="text1"/>
          <w:szCs w:val="24"/>
        </w:rPr>
        <w:t> „</w:t>
      </w:r>
      <w:r w:rsidR="00F404CC">
        <w:rPr>
          <w:rFonts w:cs="Times New Roman"/>
          <w:color w:val="000000" w:themeColor="text1"/>
          <w:szCs w:val="24"/>
        </w:rPr>
        <w:t>[Nosaukums </w:t>
      </w:r>
      <w:r w:rsidR="00F404CC">
        <w:t>A]</w:t>
      </w:r>
      <w:r>
        <w:rPr>
          <w:rFonts w:cs="Times New Roman"/>
          <w:color w:val="000000" w:themeColor="text1"/>
          <w:szCs w:val="24"/>
        </w:rPr>
        <w:t xml:space="preserve">” pieslēgšanos kompānijas </w:t>
      </w:r>
      <w:r w:rsidR="004C5E14">
        <w:rPr>
          <w:rFonts w:cs="Times New Roman"/>
          <w:color w:val="000000" w:themeColor="text1"/>
          <w:szCs w:val="24"/>
        </w:rPr>
        <w:t>„</w:t>
      </w:r>
      <w:proofErr w:type="spellStart"/>
      <w:r w:rsidR="00991B75">
        <w:rPr>
          <w:rFonts w:cs="Times New Roman"/>
          <w:color w:val="000000" w:themeColor="text1"/>
          <w:szCs w:val="24"/>
        </w:rPr>
        <w:t>Dass</w:t>
      </w:r>
      <w:r>
        <w:rPr>
          <w:rFonts w:cs="Times New Roman"/>
          <w:color w:val="000000" w:themeColor="text1"/>
          <w:szCs w:val="24"/>
        </w:rPr>
        <w:t>ault</w:t>
      </w:r>
      <w:proofErr w:type="spellEnd"/>
      <w:r>
        <w:rPr>
          <w:rFonts w:cs="Times New Roman"/>
          <w:color w:val="000000" w:themeColor="text1"/>
          <w:szCs w:val="24"/>
        </w:rPr>
        <w:t xml:space="preserve"> </w:t>
      </w:r>
      <w:proofErr w:type="spellStart"/>
      <w:r>
        <w:rPr>
          <w:rFonts w:cs="Times New Roman"/>
          <w:color w:val="000000" w:themeColor="text1"/>
          <w:szCs w:val="24"/>
        </w:rPr>
        <w:t>Systemes</w:t>
      </w:r>
      <w:proofErr w:type="spellEnd"/>
      <w:r>
        <w:rPr>
          <w:rFonts w:cs="Times New Roman"/>
          <w:color w:val="000000" w:themeColor="text1"/>
          <w:szCs w:val="24"/>
        </w:rPr>
        <w:t xml:space="preserve"> </w:t>
      </w:r>
      <w:proofErr w:type="spellStart"/>
      <w:r>
        <w:rPr>
          <w:rFonts w:cs="Times New Roman"/>
          <w:color w:val="000000" w:themeColor="text1"/>
          <w:szCs w:val="24"/>
        </w:rPr>
        <w:t>SolidWorks</w:t>
      </w:r>
      <w:proofErr w:type="spellEnd"/>
      <w:r>
        <w:rPr>
          <w:rFonts w:cs="Times New Roman"/>
          <w:color w:val="000000" w:themeColor="text1"/>
          <w:szCs w:val="24"/>
        </w:rPr>
        <w:t xml:space="preserve"> </w:t>
      </w:r>
      <w:proofErr w:type="spellStart"/>
      <w:r>
        <w:rPr>
          <w:rFonts w:cs="Times New Roman"/>
          <w:color w:val="000000" w:themeColor="text1"/>
          <w:szCs w:val="24"/>
        </w:rPr>
        <w:t>Corporation</w:t>
      </w:r>
      <w:proofErr w:type="spellEnd"/>
      <w:r>
        <w:rPr>
          <w:rFonts w:cs="Times New Roman"/>
          <w:color w:val="000000" w:themeColor="text1"/>
          <w:szCs w:val="24"/>
        </w:rPr>
        <w:t>” programmatūrai nevar atzīt par ticamu</w:t>
      </w:r>
      <w:r w:rsidR="00200024">
        <w:rPr>
          <w:rFonts w:cs="Times New Roman"/>
          <w:color w:val="000000" w:themeColor="text1"/>
          <w:szCs w:val="24"/>
        </w:rPr>
        <w:t xml:space="preserve"> vairāku apsvērumu dēļ. Pirmkārt, </w:t>
      </w:r>
      <w:r>
        <w:rPr>
          <w:rFonts w:cs="Times New Roman"/>
          <w:color w:val="000000" w:themeColor="text1"/>
          <w:szCs w:val="24"/>
        </w:rPr>
        <w:t>tabulā norādītos datus nav iespējams pārbaudīt,</w:t>
      </w:r>
      <w:r w:rsidR="00200024">
        <w:rPr>
          <w:rFonts w:cs="Times New Roman"/>
          <w:color w:val="000000" w:themeColor="text1"/>
          <w:szCs w:val="24"/>
        </w:rPr>
        <w:t xml:space="preserve"> jo </w:t>
      </w:r>
      <w:r>
        <w:rPr>
          <w:rFonts w:cs="Times New Roman"/>
          <w:color w:val="000000" w:themeColor="text1"/>
          <w:szCs w:val="24"/>
        </w:rPr>
        <w:t>lietā nav ziņu, no kāda avota šī informācija iegūta</w:t>
      </w:r>
      <w:r w:rsidR="00200024">
        <w:rPr>
          <w:rFonts w:cs="Times New Roman"/>
          <w:color w:val="000000" w:themeColor="text1"/>
          <w:szCs w:val="24"/>
        </w:rPr>
        <w:t>.</w:t>
      </w:r>
      <w:r>
        <w:rPr>
          <w:rFonts w:cs="Times New Roman"/>
          <w:color w:val="000000" w:themeColor="text1"/>
          <w:szCs w:val="24"/>
        </w:rPr>
        <w:t xml:space="preserve"> </w:t>
      </w:r>
      <w:r w:rsidR="00200024">
        <w:rPr>
          <w:rFonts w:cs="Times New Roman"/>
          <w:color w:val="000000" w:themeColor="text1"/>
          <w:szCs w:val="24"/>
        </w:rPr>
        <w:t>Otrkārt,</w:t>
      </w:r>
      <w:r w:rsidR="007F47A8">
        <w:rPr>
          <w:rFonts w:cs="Times New Roman"/>
          <w:color w:val="000000" w:themeColor="text1"/>
          <w:szCs w:val="24"/>
        </w:rPr>
        <w:t xml:space="preserve"> </w:t>
      </w:r>
      <w:r>
        <w:rPr>
          <w:rFonts w:cs="Times New Roman"/>
          <w:color w:val="000000" w:themeColor="text1"/>
          <w:szCs w:val="24"/>
        </w:rPr>
        <w:t>saturiski šī informācija ir pretrunā ar citiem lielā iegūtajiem pierādījumiem</w:t>
      </w:r>
      <w:r w:rsidR="00200024">
        <w:rPr>
          <w:rFonts w:cs="Times New Roman"/>
          <w:color w:val="000000" w:themeColor="text1"/>
          <w:szCs w:val="24"/>
        </w:rPr>
        <w:t>. Treškārt, lietā ir iespējams konstatēt, ka mantas pārbaudes aktos norādītajām datorprogrammām ir fiksēti seriālie vai identifikācijas numuri. No lietas materiāliem neizriet, ka SIA</w:t>
      </w:r>
      <w:r w:rsidR="007F47A8">
        <w:rPr>
          <w:rFonts w:cs="Times New Roman"/>
          <w:color w:val="000000" w:themeColor="text1"/>
          <w:szCs w:val="24"/>
        </w:rPr>
        <w:t> „</w:t>
      </w:r>
      <w:r w:rsidR="00F404CC">
        <w:rPr>
          <w:rFonts w:cs="Times New Roman"/>
          <w:color w:val="000000" w:themeColor="text1"/>
          <w:szCs w:val="24"/>
        </w:rPr>
        <w:t>[Nosaukums </w:t>
      </w:r>
      <w:r w:rsidR="00F404CC">
        <w:t>A]</w:t>
      </w:r>
      <w:r w:rsidR="00200024">
        <w:rPr>
          <w:rFonts w:cs="Times New Roman"/>
          <w:color w:val="000000" w:themeColor="text1"/>
          <w:szCs w:val="24"/>
        </w:rPr>
        <w:t xml:space="preserve">” būtu veikusi pieslēgšanos konkrēti identificējamām kompānijas </w:t>
      </w:r>
      <w:r w:rsidR="007F47A8">
        <w:rPr>
          <w:rFonts w:cs="Times New Roman"/>
          <w:color w:val="000000" w:themeColor="text1"/>
          <w:szCs w:val="24"/>
        </w:rPr>
        <w:t>„</w:t>
      </w:r>
      <w:proofErr w:type="spellStart"/>
      <w:r w:rsidR="00991B75">
        <w:rPr>
          <w:rFonts w:cs="Times New Roman"/>
          <w:color w:val="000000" w:themeColor="text1"/>
          <w:szCs w:val="24"/>
        </w:rPr>
        <w:t>Dass</w:t>
      </w:r>
      <w:r w:rsidR="00200024">
        <w:rPr>
          <w:rFonts w:cs="Times New Roman"/>
          <w:color w:val="000000" w:themeColor="text1"/>
          <w:szCs w:val="24"/>
        </w:rPr>
        <w:t>ault</w:t>
      </w:r>
      <w:proofErr w:type="spellEnd"/>
      <w:r w:rsidR="00200024">
        <w:rPr>
          <w:rFonts w:cs="Times New Roman"/>
          <w:color w:val="000000" w:themeColor="text1"/>
          <w:szCs w:val="24"/>
        </w:rPr>
        <w:t xml:space="preserve"> </w:t>
      </w:r>
      <w:proofErr w:type="spellStart"/>
      <w:r w:rsidR="00200024">
        <w:rPr>
          <w:rFonts w:cs="Times New Roman"/>
          <w:color w:val="000000" w:themeColor="text1"/>
          <w:szCs w:val="24"/>
        </w:rPr>
        <w:t>Systemes</w:t>
      </w:r>
      <w:proofErr w:type="spellEnd"/>
      <w:r w:rsidR="00200024">
        <w:rPr>
          <w:rFonts w:cs="Times New Roman"/>
          <w:color w:val="000000" w:themeColor="text1"/>
          <w:szCs w:val="24"/>
        </w:rPr>
        <w:t xml:space="preserve"> </w:t>
      </w:r>
      <w:proofErr w:type="spellStart"/>
      <w:r w:rsidR="00200024">
        <w:rPr>
          <w:rFonts w:cs="Times New Roman"/>
          <w:color w:val="000000" w:themeColor="text1"/>
          <w:szCs w:val="24"/>
        </w:rPr>
        <w:t>SolidWorks</w:t>
      </w:r>
      <w:proofErr w:type="spellEnd"/>
      <w:r w:rsidR="00200024">
        <w:rPr>
          <w:rFonts w:cs="Times New Roman"/>
          <w:color w:val="000000" w:themeColor="text1"/>
          <w:szCs w:val="24"/>
        </w:rPr>
        <w:t xml:space="preserve"> </w:t>
      </w:r>
      <w:proofErr w:type="spellStart"/>
      <w:r w:rsidR="00200024">
        <w:rPr>
          <w:rFonts w:cs="Times New Roman"/>
          <w:color w:val="000000" w:themeColor="text1"/>
          <w:szCs w:val="24"/>
        </w:rPr>
        <w:t>Corporation</w:t>
      </w:r>
      <w:proofErr w:type="spellEnd"/>
      <w:r w:rsidR="00200024">
        <w:rPr>
          <w:rFonts w:cs="Times New Roman"/>
          <w:color w:val="000000" w:themeColor="text1"/>
          <w:szCs w:val="24"/>
        </w:rPr>
        <w:t>” programmām</w:t>
      </w:r>
      <w:r w:rsidR="00BB0A7A">
        <w:rPr>
          <w:rFonts w:cs="Times New Roman"/>
          <w:color w:val="000000" w:themeColor="text1"/>
          <w:szCs w:val="24"/>
        </w:rPr>
        <w:t>. Lietā nav strīda, ka 2014. gada 24. oktobrī SIA</w:t>
      </w:r>
      <w:r w:rsidR="007F47A8">
        <w:rPr>
          <w:rFonts w:cs="Times New Roman"/>
          <w:color w:val="000000" w:themeColor="text1"/>
          <w:szCs w:val="24"/>
        </w:rPr>
        <w:t> „</w:t>
      </w:r>
      <w:r w:rsidR="00F404CC">
        <w:rPr>
          <w:rFonts w:cs="Times New Roman"/>
          <w:color w:val="000000" w:themeColor="text1"/>
          <w:szCs w:val="24"/>
        </w:rPr>
        <w:t>[Nosaukums A]</w:t>
      </w:r>
      <w:r w:rsidR="00BB0A7A">
        <w:rPr>
          <w:rFonts w:cs="Times New Roman"/>
          <w:color w:val="000000" w:themeColor="text1"/>
          <w:szCs w:val="24"/>
        </w:rPr>
        <w:t xml:space="preserve">” ir iegādājusies licenci kompānijas </w:t>
      </w:r>
      <w:r w:rsidR="007F47A8">
        <w:rPr>
          <w:rFonts w:cs="Times New Roman"/>
          <w:color w:val="000000" w:themeColor="text1"/>
          <w:szCs w:val="24"/>
        </w:rPr>
        <w:t>„</w:t>
      </w:r>
      <w:proofErr w:type="spellStart"/>
      <w:r w:rsidR="00991B75">
        <w:rPr>
          <w:rFonts w:cs="Times New Roman"/>
          <w:color w:val="000000" w:themeColor="text1"/>
          <w:szCs w:val="24"/>
        </w:rPr>
        <w:t>Dass</w:t>
      </w:r>
      <w:r w:rsidR="00BB0A7A">
        <w:rPr>
          <w:rFonts w:cs="Times New Roman"/>
          <w:color w:val="000000" w:themeColor="text1"/>
          <w:szCs w:val="24"/>
        </w:rPr>
        <w:t>ault</w:t>
      </w:r>
      <w:proofErr w:type="spellEnd"/>
      <w:r w:rsidR="00BB0A7A">
        <w:rPr>
          <w:rFonts w:cs="Times New Roman"/>
          <w:color w:val="000000" w:themeColor="text1"/>
          <w:szCs w:val="24"/>
        </w:rPr>
        <w:t xml:space="preserve"> </w:t>
      </w:r>
      <w:proofErr w:type="spellStart"/>
      <w:r w:rsidR="00BB0A7A">
        <w:rPr>
          <w:rFonts w:cs="Times New Roman"/>
          <w:color w:val="000000" w:themeColor="text1"/>
          <w:szCs w:val="24"/>
        </w:rPr>
        <w:t>Systemes</w:t>
      </w:r>
      <w:proofErr w:type="spellEnd"/>
      <w:r w:rsidR="00BB0A7A">
        <w:rPr>
          <w:rFonts w:cs="Times New Roman"/>
          <w:color w:val="000000" w:themeColor="text1"/>
          <w:szCs w:val="24"/>
        </w:rPr>
        <w:t xml:space="preserve"> </w:t>
      </w:r>
      <w:proofErr w:type="spellStart"/>
      <w:r w:rsidR="00BB0A7A">
        <w:rPr>
          <w:rFonts w:cs="Times New Roman"/>
          <w:color w:val="000000" w:themeColor="text1"/>
          <w:szCs w:val="24"/>
        </w:rPr>
        <w:t>SolidWorks</w:t>
      </w:r>
      <w:proofErr w:type="spellEnd"/>
      <w:r w:rsidR="00BB0A7A">
        <w:rPr>
          <w:rFonts w:cs="Times New Roman"/>
          <w:color w:val="000000" w:themeColor="text1"/>
          <w:szCs w:val="24"/>
        </w:rPr>
        <w:t xml:space="preserve"> </w:t>
      </w:r>
      <w:proofErr w:type="spellStart"/>
      <w:r w:rsidR="00BB0A7A">
        <w:rPr>
          <w:rFonts w:cs="Times New Roman"/>
          <w:color w:val="000000" w:themeColor="text1"/>
          <w:szCs w:val="24"/>
        </w:rPr>
        <w:t>Corporation</w:t>
      </w:r>
      <w:proofErr w:type="spellEnd"/>
      <w:r w:rsidR="00BB0A7A">
        <w:rPr>
          <w:rFonts w:cs="Times New Roman"/>
          <w:color w:val="000000" w:themeColor="text1"/>
          <w:szCs w:val="24"/>
        </w:rPr>
        <w:t xml:space="preserve">” programmai </w:t>
      </w:r>
      <w:r w:rsidR="007F47A8">
        <w:rPr>
          <w:rFonts w:cs="Times New Roman"/>
          <w:color w:val="000000" w:themeColor="text1"/>
          <w:szCs w:val="24"/>
        </w:rPr>
        <w:t>„</w:t>
      </w:r>
      <w:proofErr w:type="spellStart"/>
      <w:r w:rsidR="00BB0A7A" w:rsidRPr="009D60A0">
        <w:rPr>
          <w:rFonts w:cs="Times New Roman"/>
          <w:color w:val="000000" w:themeColor="text1"/>
          <w:szCs w:val="24"/>
        </w:rPr>
        <w:t>SolidWorks</w:t>
      </w:r>
      <w:proofErr w:type="spellEnd"/>
      <w:r w:rsidR="00BB0A7A" w:rsidRPr="00BB0A7A">
        <w:rPr>
          <w:rFonts w:cs="Times New Roman"/>
          <w:i/>
          <w:iCs/>
          <w:color w:val="000000" w:themeColor="text1"/>
          <w:szCs w:val="24"/>
        </w:rPr>
        <w:t xml:space="preserve"> </w:t>
      </w:r>
      <w:proofErr w:type="spellStart"/>
      <w:r w:rsidR="00BB0A7A" w:rsidRPr="00B22E09">
        <w:rPr>
          <w:rFonts w:cs="Times New Roman"/>
          <w:color w:val="000000" w:themeColor="text1"/>
          <w:szCs w:val="24"/>
        </w:rPr>
        <w:t>Pro</w:t>
      </w:r>
      <w:proofErr w:type="spellEnd"/>
      <w:r w:rsidR="007F47A8">
        <w:rPr>
          <w:rFonts w:cs="Times New Roman"/>
          <w:color w:val="000000" w:themeColor="text1"/>
          <w:szCs w:val="24"/>
        </w:rPr>
        <w:t>”</w:t>
      </w:r>
      <w:r w:rsidR="00BB0A7A">
        <w:rPr>
          <w:rFonts w:cs="Times New Roman"/>
          <w:color w:val="000000" w:themeColor="text1"/>
          <w:szCs w:val="24"/>
        </w:rPr>
        <w:t xml:space="preserve"> ar seriālo </w:t>
      </w:r>
      <w:r w:rsidR="007B28A4">
        <w:rPr>
          <w:rFonts w:cs="Times New Roman"/>
          <w:color w:val="000000" w:themeColor="text1"/>
          <w:szCs w:val="24"/>
        </w:rPr>
        <w:t>numuru</w:t>
      </w:r>
      <w:r w:rsidR="007F47A8">
        <w:rPr>
          <w:rFonts w:cs="Times New Roman"/>
          <w:color w:val="000000" w:themeColor="text1"/>
          <w:szCs w:val="24"/>
        </w:rPr>
        <w:t xml:space="preserve"> </w:t>
      </w:r>
      <w:r w:rsidR="00F44BF5">
        <w:rPr>
          <w:rFonts w:cs="Times New Roman"/>
          <w:color w:val="000000" w:themeColor="text1"/>
          <w:szCs w:val="24"/>
        </w:rPr>
        <w:t>[numurs  1]</w:t>
      </w:r>
      <w:r w:rsidR="007B28A4">
        <w:rPr>
          <w:rFonts w:cs="Times New Roman"/>
          <w:color w:val="000000" w:themeColor="text1"/>
          <w:szCs w:val="24"/>
        </w:rPr>
        <w:t xml:space="preserve">. Lietā nav iespējams konstatēt, ar kādu programmas seriālo numuru ir notikusi pieslēgšanās kompānijas </w:t>
      </w:r>
      <w:r w:rsidR="007F47A8">
        <w:rPr>
          <w:rFonts w:cs="Times New Roman"/>
          <w:color w:val="000000" w:themeColor="text1"/>
          <w:szCs w:val="24"/>
        </w:rPr>
        <w:t>„</w:t>
      </w:r>
      <w:proofErr w:type="spellStart"/>
      <w:r w:rsidR="00991B75">
        <w:rPr>
          <w:rFonts w:cs="Times New Roman"/>
          <w:color w:val="000000" w:themeColor="text1"/>
          <w:szCs w:val="24"/>
        </w:rPr>
        <w:t>Dass</w:t>
      </w:r>
      <w:r w:rsidR="007B28A4">
        <w:rPr>
          <w:rFonts w:cs="Times New Roman"/>
          <w:color w:val="000000" w:themeColor="text1"/>
          <w:szCs w:val="24"/>
        </w:rPr>
        <w:t>ault</w:t>
      </w:r>
      <w:proofErr w:type="spellEnd"/>
      <w:r w:rsidR="007B28A4">
        <w:rPr>
          <w:rFonts w:cs="Times New Roman"/>
          <w:color w:val="000000" w:themeColor="text1"/>
          <w:szCs w:val="24"/>
        </w:rPr>
        <w:t xml:space="preserve"> </w:t>
      </w:r>
      <w:proofErr w:type="spellStart"/>
      <w:r w:rsidR="007B28A4">
        <w:rPr>
          <w:rFonts w:cs="Times New Roman"/>
          <w:color w:val="000000" w:themeColor="text1"/>
          <w:szCs w:val="24"/>
        </w:rPr>
        <w:t>Systemes</w:t>
      </w:r>
      <w:proofErr w:type="spellEnd"/>
      <w:r w:rsidR="007B28A4">
        <w:rPr>
          <w:rFonts w:cs="Times New Roman"/>
          <w:color w:val="000000" w:themeColor="text1"/>
          <w:szCs w:val="24"/>
        </w:rPr>
        <w:t xml:space="preserve"> </w:t>
      </w:r>
      <w:proofErr w:type="spellStart"/>
      <w:r w:rsidR="007B28A4">
        <w:rPr>
          <w:rFonts w:cs="Times New Roman"/>
          <w:color w:val="000000" w:themeColor="text1"/>
          <w:szCs w:val="24"/>
        </w:rPr>
        <w:t>SolidWorks</w:t>
      </w:r>
      <w:proofErr w:type="spellEnd"/>
      <w:r w:rsidR="007B28A4">
        <w:rPr>
          <w:rFonts w:cs="Times New Roman"/>
          <w:color w:val="000000" w:themeColor="text1"/>
          <w:szCs w:val="24"/>
        </w:rPr>
        <w:t xml:space="preserve"> </w:t>
      </w:r>
      <w:proofErr w:type="spellStart"/>
      <w:r w:rsidR="007B28A4">
        <w:rPr>
          <w:rFonts w:cs="Times New Roman"/>
          <w:color w:val="000000" w:themeColor="text1"/>
          <w:szCs w:val="24"/>
        </w:rPr>
        <w:t>Corporation</w:t>
      </w:r>
      <w:proofErr w:type="spellEnd"/>
      <w:r w:rsidR="007B28A4">
        <w:rPr>
          <w:rFonts w:cs="Times New Roman"/>
          <w:color w:val="000000" w:themeColor="text1"/>
          <w:szCs w:val="24"/>
        </w:rPr>
        <w:t>” programmām, līdz ar to nav izslēgts, ka visas pieslēgšanās ir veiktas ar vienīgo SIA</w:t>
      </w:r>
      <w:r w:rsidR="007F47A8">
        <w:rPr>
          <w:rFonts w:cs="Times New Roman"/>
          <w:color w:val="000000" w:themeColor="text1"/>
          <w:szCs w:val="24"/>
        </w:rPr>
        <w:t> „</w:t>
      </w:r>
      <w:r w:rsidR="00F44BF5">
        <w:rPr>
          <w:rFonts w:cs="Times New Roman"/>
          <w:color w:val="000000" w:themeColor="text1"/>
          <w:szCs w:val="24"/>
        </w:rPr>
        <w:t>[Nosaukums A]</w:t>
      </w:r>
      <w:r w:rsidR="007B28A4">
        <w:rPr>
          <w:rFonts w:cs="Times New Roman"/>
          <w:color w:val="000000" w:themeColor="text1"/>
          <w:szCs w:val="24"/>
        </w:rPr>
        <w:t xml:space="preserve">” nopirkto kompānijas </w:t>
      </w:r>
      <w:r w:rsidR="007F47A8">
        <w:rPr>
          <w:rFonts w:cs="Times New Roman"/>
          <w:color w:val="000000" w:themeColor="text1"/>
          <w:szCs w:val="24"/>
        </w:rPr>
        <w:t>„</w:t>
      </w:r>
      <w:proofErr w:type="spellStart"/>
      <w:r w:rsidR="00991B75">
        <w:rPr>
          <w:rFonts w:cs="Times New Roman"/>
          <w:color w:val="000000" w:themeColor="text1"/>
          <w:szCs w:val="24"/>
        </w:rPr>
        <w:t>Dass</w:t>
      </w:r>
      <w:r w:rsidR="007B28A4">
        <w:rPr>
          <w:rFonts w:cs="Times New Roman"/>
          <w:color w:val="000000" w:themeColor="text1"/>
          <w:szCs w:val="24"/>
        </w:rPr>
        <w:t>ault</w:t>
      </w:r>
      <w:proofErr w:type="spellEnd"/>
      <w:r w:rsidR="007B28A4">
        <w:rPr>
          <w:rFonts w:cs="Times New Roman"/>
          <w:color w:val="000000" w:themeColor="text1"/>
          <w:szCs w:val="24"/>
        </w:rPr>
        <w:t xml:space="preserve"> </w:t>
      </w:r>
      <w:proofErr w:type="spellStart"/>
      <w:r w:rsidR="007B28A4">
        <w:rPr>
          <w:rFonts w:cs="Times New Roman"/>
          <w:color w:val="000000" w:themeColor="text1"/>
          <w:szCs w:val="24"/>
        </w:rPr>
        <w:t>Systemes</w:t>
      </w:r>
      <w:proofErr w:type="spellEnd"/>
      <w:r w:rsidR="007B28A4">
        <w:rPr>
          <w:rFonts w:cs="Times New Roman"/>
          <w:color w:val="000000" w:themeColor="text1"/>
          <w:szCs w:val="24"/>
        </w:rPr>
        <w:t xml:space="preserve"> </w:t>
      </w:r>
      <w:proofErr w:type="spellStart"/>
      <w:r w:rsidR="007B28A4">
        <w:rPr>
          <w:rFonts w:cs="Times New Roman"/>
          <w:color w:val="000000" w:themeColor="text1"/>
          <w:szCs w:val="24"/>
        </w:rPr>
        <w:t>SolidWorks</w:t>
      </w:r>
      <w:proofErr w:type="spellEnd"/>
      <w:r w:rsidR="007B28A4">
        <w:rPr>
          <w:rFonts w:cs="Times New Roman"/>
          <w:color w:val="000000" w:themeColor="text1"/>
          <w:szCs w:val="24"/>
        </w:rPr>
        <w:t xml:space="preserve"> </w:t>
      </w:r>
      <w:proofErr w:type="spellStart"/>
      <w:r w:rsidR="007B28A4">
        <w:rPr>
          <w:rFonts w:cs="Times New Roman"/>
          <w:color w:val="000000" w:themeColor="text1"/>
          <w:szCs w:val="24"/>
        </w:rPr>
        <w:t>Corporation</w:t>
      </w:r>
      <w:proofErr w:type="spellEnd"/>
      <w:r w:rsidR="007B28A4">
        <w:rPr>
          <w:rFonts w:cs="Times New Roman"/>
          <w:color w:val="000000" w:themeColor="text1"/>
          <w:szCs w:val="24"/>
        </w:rPr>
        <w:t>” datorprogrammu. Ceturtkārt, lietas materiāliem pievienotā 2015. gada 29. septembra e</w:t>
      </w:r>
      <w:r w:rsidR="003955DD">
        <w:rPr>
          <w:rFonts w:cs="Times New Roman"/>
          <w:color w:val="000000" w:themeColor="text1"/>
          <w:szCs w:val="24"/>
        </w:rPr>
        <w:noBreakHyphen/>
      </w:r>
      <w:r w:rsidR="007B28A4">
        <w:rPr>
          <w:rFonts w:cs="Times New Roman"/>
          <w:color w:val="000000" w:themeColor="text1"/>
          <w:szCs w:val="24"/>
        </w:rPr>
        <w:t xml:space="preserve">pasta izdruka, kurā norādīts, ka pieslēgšanās kompānijas </w:t>
      </w:r>
      <w:r w:rsidR="007F47A8">
        <w:rPr>
          <w:rFonts w:cs="Times New Roman"/>
          <w:color w:val="000000" w:themeColor="text1"/>
          <w:szCs w:val="24"/>
        </w:rPr>
        <w:t>„</w:t>
      </w:r>
      <w:proofErr w:type="spellStart"/>
      <w:r w:rsidR="00991B75">
        <w:rPr>
          <w:rFonts w:cs="Times New Roman"/>
          <w:color w:val="000000" w:themeColor="text1"/>
          <w:szCs w:val="24"/>
        </w:rPr>
        <w:t>Dass</w:t>
      </w:r>
      <w:r w:rsidR="007B28A4">
        <w:rPr>
          <w:rFonts w:cs="Times New Roman"/>
          <w:color w:val="000000" w:themeColor="text1"/>
          <w:szCs w:val="24"/>
        </w:rPr>
        <w:t>ault</w:t>
      </w:r>
      <w:proofErr w:type="spellEnd"/>
      <w:r w:rsidR="007B28A4">
        <w:rPr>
          <w:rFonts w:cs="Times New Roman"/>
          <w:color w:val="000000" w:themeColor="text1"/>
          <w:szCs w:val="24"/>
        </w:rPr>
        <w:t xml:space="preserve"> </w:t>
      </w:r>
      <w:proofErr w:type="spellStart"/>
      <w:r w:rsidR="007B28A4">
        <w:rPr>
          <w:rFonts w:cs="Times New Roman"/>
          <w:color w:val="000000" w:themeColor="text1"/>
          <w:szCs w:val="24"/>
        </w:rPr>
        <w:t>Systemes</w:t>
      </w:r>
      <w:proofErr w:type="spellEnd"/>
      <w:r w:rsidR="007B28A4">
        <w:rPr>
          <w:rFonts w:cs="Times New Roman"/>
          <w:color w:val="000000" w:themeColor="text1"/>
          <w:szCs w:val="24"/>
        </w:rPr>
        <w:t xml:space="preserve"> </w:t>
      </w:r>
      <w:proofErr w:type="spellStart"/>
      <w:r w:rsidR="007B28A4">
        <w:rPr>
          <w:rFonts w:cs="Times New Roman"/>
          <w:color w:val="000000" w:themeColor="text1"/>
          <w:szCs w:val="24"/>
        </w:rPr>
        <w:t>SolidWorks</w:t>
      </w:r>
      <w:proofErr w:type="spellEnd"/>
      <w:r w:rsidR="007B28A4">
        <w:rPr>
          <w:rFonts w:cs="Times New Roman"/>
          <w:color w:val="000000" w:themeColor="text1"/>
          <w:szCs w:val="24"/>
        </w:rPr>
        <w:t xml:space="preserve"> </w:t>
      </w:r>
      <w:proofErr w:type="spellStart"/>
      <w:r w:rsidR="007B28A4">
        <w:rPr>
          <w:rFonts w:cs="Times New Roman"/>
          <w:color w:val="000000" w:themeColor="text1"/>
          <w:szCs w:val="24"/>
        </w:rPr>
        <w:t>Corporation</w:t>
      </w:r>
      <w:proofErr w:type="spellEnd"/>
      <w:r w:rsidR="007B28A4">
        <w:rPr>
          <w:rFonts w:cs="Times New Roman"/>
          <w:color w:val="000000" w:themeColor="text1"/>
          <w:szCs w:val="24"/>
        </w:rPr>
        <w:t xml:space="preserve">” programmām ir notikusi ar programmas seriālo numuru </w:t>
      </w:r>
      <w:r w:rsidR="00F44BF5">
        <w:rPr>
          <w:rFonts w:cs="Times New Roman"/>
          <w:color w:val="000000" w:themeColor="text1"/>
          <w:szCs w:val="24"/>
        </w:rPr>
        <w:t>[numurs 2]</w:t>
      </w:r>
      <w:r w:rsidR="007B28A4">
        <w:rPr>
          <w:rFonts w:cs="Times New Roman"/>
          <w:color w:val="000000" w:themeColor="text1"/>
          <w:szCs w:val="24"/>
        </w:rPr>
        <w:t xml:space="preserve">, nevar būt ticams pierādījums, jo nav iespējams pārbaudīt, kādā veidā e-pasta izdrukā norādītie dati ir iegūti un vai tie ir pareizi. </w:t>
      </w:r>
      <w:r w:rsidR="00EF66F3">
        <w:rPr>
          <w:rFonts w:cs="Times New Roman"/>
          <w:color w:val="000000" w:themeColor="text1"/>
          <w:szCs w:val="24"/>
        </w:rPr>
        <w:t>Turklāt mantu apskates protokolos Nr. 6 un Nr. 7</w:t>
      </w:r>
      <w:r w:rsidR="009D60A0">
        <w:rPr>
          <w:rFonts w:cs="Times New Roman"/>
          <w:color w:val="000000" w:themeColor="text1"/>
          <w:szCs w:val="24"/>
        </w:rPr>
        <w:t xml:space="preserve"> ir redzami ieraksti par datorprogrammām </w:t>
      </w:r>
      <w:r w:rsidR="00B22E09">
        <w:rPr>
          <w:rFonts w:cs="Times New Roman"/>
          <w:color w:val="000000" w:themeColor="text1"/>
          <w:szCs w:val="24"/>
        </w:rPr>
        <w:t>„</w:t>
      </w:r>
      <w:proofErr w:type="spellStart"/>
      <w:r w:rsidR="009D60A0" w:rsidRPr="00B22E09">
        <w:rPr>
          <w:rFonts w:cs="Times New Roman"/>
          <w:color w:val="000000" w:themeColor="text1"/>
          <w:szCs w:val="24"/>
        </w:rPr>
        <w:t>SolidWorks</w:t>
      </w:r>
      <w:proofErr w:type="spellEnd"/>
      <w:r w:rsidR="009D60A0" w:rsidRPr="00B22E09">
        <w:rPr>
          <w:rFonts w:cs="Times New Roman"/>
          <w:color w:val="000000" w:themeColor="text1"/>
          <w:szCs w:val="24"/>
        </w:rPr>
        <w:t xml:space="preserve"> </w:t>
      </w:r>
      <w:proofErr w:type="spellStart"/>
      <w:r w:rsidR="009D60A0" w:rsidRPr="00B22E09">
        <w:rPr>
          <w:rFonts w:cs="Times New Roman"/>
          <w:color w:val="000000" w:themeColor="text1"/>
          <w:szCs w:val="24"/>
        </w:rPr>
        <w:t>Premium</w:t>
      </w:r>
      <w:proofErr w:type="spellEnd"/>
      <w:r w:rsidR="00B22E09">
        <w:rPr>
          <w:rFonts w:cs="Times New Roman"/>
          <w:i/>
          <w:iCs/>
          <w:color w:val="000000" w:themeColor="text1"/>
          <w:szCs w:val="24"/>
        </w:rPr>
        <w:t xml:space="preserve"> </w:t>
      </w:r>
      <w:r w:rsidR="009D60A0" w:rsidRPr="00B22E09">
        <w:rPr>
          <w:rFonts w:cs="Times New Roman"/>
          <w:color w:val="000000" w:themeColor="text1"/>
          <w:szCs w:val="24"/>
        </w:rPr>
        <w:t>2013</w:t>
      </w:r>
      <w:r w:rsidR="00B22E09">
        <w:rPr>
          <w:rFonts w:cs="Times New Roman"/>
          <w:color w:val="000000" w:themeColor="text1"/>
          <w:szCs w:val="24"/>
        </w:rPr>
        <w:t>”</w:t>
      </w:r>
      <w:r w:rsidR="009D60A0">
        <w:rPr>
          <w:rFonts w:cs="Times New Roman"/>
          <w:i/>
          <w:iCs/>
          <w:color w:val="000000" w:themeColor="text1"/>
          <w:szCs w:val="24"/>
        </w:rPr>
        <w:t xml:space="preserve"> </w:t>
      </w:r>
      <w:r w:rsidR="009D60A0">
        <w:rPr>
          <w:rFonts w:cs="Times New Roman"/>
          <w:color w:val="000000" w:themeColor="text1"/>
          <w:szCs w:val="24"/>
        </w:rPr>
        <w:t xml:space="preserve">(uzstādīšanas laiks – 2013. gada 19. augusts), </w:t>
      </w:r>
      <w:r w:rsidR="00B22E09">
        <w:rPr>
          <w:rFonts w:cs="Times New Roman"/>
          <w:color w:val="000000" w:themeColor="text1"/>
          <w:szCs w:val="24"/>
        </w:rPr>
        <w:t>„</w:t>
      </w:r>
      <w:proofErr w:type="spellStart"/>
      <w:r w:rsidR="009D60A0" w:rsidRPr="00B22E09">
        <w:rPr>
          <w:rFonts w:cs="Times New Roman"/>
          <w:color w:val="000000" w:themeColor="text1"/>
          <w:szCs w:val="24"/>
        </w:rPr>
        <w:t>SolidWorks</w:t>
      </w:r>
      <w:proofErr w:type="spellEnd"/>
      <w:r w:rsidR="009D60A0" w:rsidRPr="00B22E09">
        <w:rPr>
          <w:rFonts w:cs="Times New Roman"/>
          <w:color w:val="000000" w:themeColor="text1"/>
          <w:szCs w:val="24"/>
        </w:rPr>
        <w:t xml:space="preserve"> </w:t>
      </w:r>
      <w:proofErr w:type="spellStart"/>
      <w:r w:rsidR="009D60A0" w:rsidRPr="00B22E09">
        <w:rPr>
          <w:rFonts w:cs="Times New Roman"/>
          <w:color w:val="000000" w:themeColor="text1"/>
          <w:szCs w:val="24"/>
        </w:rPr>
        <w:t>Premium</w:t>
      </w:r>
      <w:proofErr w:type="spellEnd"/>
      <w:r w:rsidR="009D60A0" w:rsidRPr="00B22E09">
        <w:rPr>
          <w:rFonts w:cs="Times New Roman"/>
          <w:color w:val="000000" w:themeColor="text1"/>
          <w:szCs w:val="24"/>
        </w:rPr>
        <w:t xml:space="preserve"> 2014</w:t>
      </w:r>
      <w:r w:rsidR="00B22E09">
        <w:rPr>
          <w:rFonts w:cs="Times New Roman"/>
          <w:color w:val="000000" w:themeColor="text1"/>
          <w:szCs w:val="24"/>
        </w:rPr>
        <w:t>”</w:t>
      </w:r>
      <w:r w:rsidR="009D60A0">
        <w:rPr>
          <w:rFonts w:cs="Times New Roman"/>
          <w:i/>
          <w:iCs/>
          <w:color w:val="000000" w:themeColor="text1"/>
          <w:szCs w:val="24"/>
        </w:rPr>
        <w:t xml:space="preserve"> </w:t>
      </w:r>
      <w:r w:rsidR="009D60A0">
        <w:rPr>
          <w:rFonts w:cs="Times New Roman"/>
          <w:color w:val="000000" w:themeColor="text1"/>
          <w:szCs w:val="24"/>
        </w:rPr>
        <w:t xml:space="preserve">(uzstādīšanas laiks – 2014. gada 18. marts) un </w:t>
      </w:r>
      <w:r w:rsidR="00B22E09">
        <w:rPr>
          <w:rFonts w:cs="Times New Roman"/>
          <w:color w:val="000000" w:themeColor="text1"/>
          <w:szCs w:val="24"/>
        </w:rPr>
        <w:t>„</w:t>
      </w:r>
      <w:proofErr w:type="spellStart"/>
      <w:r w:rsidR="009D60A0" w:rsidRPr="00B22E09">
        <w:rPr>
          <w:rFonts w:cs="Times New Roman"/>
          <w:color w:val="000000" w:themeColor="text1"/>
          <w:szCs w:val="24"/>
        </w:rPr>
        <w:t>SolidWorks</w:t>
      </w:r>
      <w:proofErr w:type="spellEnd"/>
      <w:r w:rsidR="009D60A0" w:rsidRPr="00B22E09">
        <w:rPr>
          <w:rFonts w:cs="Times New Roman"/>
          <w:color w:val="000000" w:themeColor="text1"/>
          <w:szCs w:val="24"/>
        </w:rPr>
        <w:t xml:space="preserve"> </w:t>
      </w:r>
      <w:proofErr w:type="spellStart"/>
      <w:r w:rsidR="009D60A0" w:rsidRPr="00B22E09">
        <w:rPr>
          <w:rFonts w:cs="Times New Roman"/>
          <w:color w:val="000000" w:themeColor="text1"/>
          <w:szCs w:val="24"/>
        </w:rPr>
        <w:t>Premium</w:t>
      </w:r>
      <w:proofErr w:type="spellEnd"/>
      <w:r w:rsidR="009D60A0" w:rsidRPr="00B22E09">
        <w:rPr>
          <w:rFonts w:cs="Times New Roman"/>
          <w:color w:val="000000" w:themeColor="text1"/>
          <w:szCs w:val="24"/>
        </w:rPr>
        <w:t xml:space="preserve"> 2014</w:t>
      </w:r>
      <w:r w:rsidR="00B22E09">
        <w:rPr>
          <w:rFonts w:cs="Times New Roman"/>
          <w:color w:val="000000" w:themeColor="text1"/>
          <w:szCs w:val="24"/>
        </w:rPr>
        <w:t>”</w:t>
      </w:r>
      <w:r w:rsidR="009D60A0">
        <w:rPr>
          <w:rFonts w:cs="Times New Roman"/>
          <w:i/>
          <w:iCs/>
          <w:color w:val="000000" w:themeColor="text1"/>
          <w:szCs w:val="24"/>
        </w:rPr>
        <w:t xml:space="preserve"> </w:t>
      </w:r>
      <w:r w:rsidR="009D60A0">
        <w:rPr>
          <w:rFonts w:cs="Times New Roman"/>
          <w:color w:val="000000" w:themeColor="text1"/>
          <w:szCs w:val="24"/>
        </w:rPr>
        <w:t xml:space="preserve">(uzstādīšanas laiks – </w:t>
      </w:r>
      <w:r w:rsidR="006B687F">
        <w:rPr>
          <w:rFonts w:cs="Times New Roman"/>
          <w:color w:val="000000" w:themeColor="text1"/>
          <w:szCs w:val="24"/>
        </w:rPr>
        <w:t xml:space="preserve">2013. gada 29.jūlijs), kurām norādīts viens un tas pats seriālais numurs. Savukārt šajos protokolos norādītās IP adreses, kuras izmantotas darbam ar datorsistēmu, atšķiras no tām, ko 2015. gada 29. septembra e-pasta izdrukā norādījis cietušā pārstāvis </w:t>
      </w:r>
      <w:r w:rsidR="00F44BF5">
        <w:rPr>
          <w:rFonts w:cs="Times New Roman"/>
          <w:color w:val="000000" w:themeColor="text1"/>
          <w:szCs w:val="24"/>
        </w:rPr>
        <w:t>[pers. L]</w:t>
      </w:r>
      <w:r w:rsidR="006B687F">
        <w:rPr>
          <w:rFonts w:cs="Times New Roman"/>
          <w:color w:val="000000" w:themeColor="text1"/>
          <w:szCs w:val="24"/>
        </w:rPr>
        <w:t>. Tāpat šajā e-pasta izdrukā atšķiras</w:t>
      </w:r>
      <w:r w:rsidR="00A24EBD">
        <w:rPr>
          <w:rFonts w:cs="Times New Roman"/>
          <w:color w:val="000000" w:themeColor="text1"/>
          <w:szCs w:val="24"/>
        </w:rPr>
        <w:t xml:space="preserve"> </w:t>
      </w:r>
      <w:r w:rsidR="006B687F">
        <w:rPr>
          <w:rFonts w:cs="Times New Roman"/>
          <w:color w:val="000000" w:themeColor="text1"/>
          <w:szCs w:val="24"/>
        </w:rPr>
        <w:t xml:space="preserve">laiks, kad ir notikusi pieslēgšanās kompānijas </w:t>
      </w:r>
      <w:r w:rsidR="00B22E09">
        <w:rPr>
          <w:rFonts w:cs="Times New Roman"/>
          <w:color w:val="000000" w:themeColor="text1"/>
          <w:szCs w:val="24"/>
        </w:rPr>
        <w:t>„</w:t>
      </w:r>
      <w:proofErr w:type="spellStart"/>
      <w:r w:rsidR="00991B75">
        <w:rPr>
          <w:rFonts w:cs="Times New Roman"/>
          <w:color w:val="000000" w:themeColor="text1"/>
          <w:szCs w:val="24"/>
        </w:rPr>
        <w:t>Dass</w:t>
      </w:r>
      <w:r w:rsidR="006B687F">
        <w:rPr>
          <w:rFonts w:cs="Times New Roman"/>
          <w:color w:val="000000" w:themeColor="text1"/>
          <w:szCs w:val="24"/>
        </w:rPr>
        <w:t>ault</w:t>
      </w:r>
      <w:proofErr w:type="spellEnd"/>
      <w:r w:rsidR="006B687F">
        <w:rPr>
          <w:rFonts w:cs="Times New Roman"/>
          <w:color w:val="000000" w:themeColor="text1"/>
          <w:szCs w:val="24"/>
        </w:rPr>
        <w:t xml:space="preserve"> </w:t>
      </w:r>
      <w:proofErr w:type="spellStart"/>
      <w:r w:rsidR="006B687F">
        <w:rPr>
          <w:rFonts w:cs="Times New Roman"/>
          <w:color w:val="000000" w:themeColor="text1"/>
          <w:szCs w:val="24"/>
        </w:rPr>
        <w:t>Systemes</w:t>
      </w:r>
      <w:proofErr w:type="spellEnd"/>
      <w:r w:rsidR="006B687F">
        <w:rPr>
          <w:rFonts w:cs="Times New Roman"/>
          <w:color w:val="000000" w:themeColor="text1"/>
          <w:szCs w:val="24"/>
        </w:rPr>
        <w:t xml:space="preserve"> </w:t>
      </w:r>
      <w:proofErr w:type="spellStart"/>
      <w:r w:rsidR="006B687F">
        <w:rPr>
          <w:rFonts w:cs="Times New Roman"/>
          <w:color w:val="000000" w:themeColor="text1"/>
          <w:szCs w:val="24"/>
        </w:rPr>
        <w:t>SolidWorks</w:t>
      </w:r>
      <w:proofErr w:type="spellEnd"/>
      <w:r w:rsidR="006B687F">
        <w:rPr>
          <w:rFonts w:cs="Times New Roman"/>
          <w:color w:val="000000" w:themeColor="text1"/>
          <w:szCs w:val="24"/>
        </w:rPr>
        <w:t xml:space="preserve"> </w:t>
      </w:r>
      <w:proofErr w:type="spellStart"/>
      <w:r w:rsidR="006B687F">
        <w:rPr>
          <w:rFonts w:cs="Times New Roman"/>
          <w:color w:val="000000" w:themeColor="text1"/>
          <w:szCs w:val="24"/>
        </w:rPr>
        <w:t>Corporation</w:t>
      </w:r>
      <w:proofErr w:type="spellEnd"/>
      <w:r w:rsidR="006B687F">
        <w:rPr>
          <w:rFonts w:cs="Times New Roman"/>
          <w:color w:val="000000" w:themeColor="text1"/>
          <w:szCs w:val="24"/>
        </w:rPr>
        <w:t>” programmām.</w:t>
      </w:r>
    </w:p>
    <w:p w14:paraId="200763CB" w14:textId="31F7442A" w:rsidR="00E04177" w:rsidRDefault="00EF66F3" w:rsidP="00426462">
      <w:pPr>
        <w:widowControl w:val="0"/>
        <w:spacing w:after="0"/>
        <w:ind w:firstLine="720"/>
        <w:jc w:val="both"/>
        <w:rPr>
          <w:rFonts w:cs="Times New Roman"/>
          <w:color w:val="000000" w:themeColor="text1"/>
          <w:szCs w:val="24"/>
        </w:rPr>
      </w:pPr>
      <w:r>
        <w:rPr>
          <w:rFonts w:cs="Times New Roman"/>
          <w:color w:val="000000" w:themeColor="text1"/>
          <w:szCs w:val="24"/>
        </w:rPr>
        <w:t>[8.</w:t>
      </w:r>
      <w:r w:rsidR="006659DB">
        <w:rPr>
          <w:rFonts w:cs="Times New Roman"/>
          <w:color w:val="000000" w:themeColor="text1"/>
          <w:szCs w:val="24"/>
        </w:rPr>
        <w:t>8</w:t>
      </w:r>
      <w:r>
        <w:rPr>
          <w:rFonts w:cs="Times New Roman"/>
          <w:color w:val="000000" w:themeColor="text1"/>
          <w:szCs w:val="24"/>
        </w:rPr>
        <w:t>]</w:t>
      </w:r>
      <w:r w:rsidR="00B22E09">
        <w:rPr>
          <w:rFonts w:cs="Times New Roman"/>
          <w:color w:val="000000" w:themeColor="text1"/>
          <w:szCs w:val="24"/>
        </w:rPr>
        <w:t> </w:t>
      </w:r>
      <w:r>
        <w:rPr>
          <w:rFonts w:cs="Times New Roman"/>
          <w:color w:val="000000" w:themeColor="text1"/>
          <w:szCs w:val="24"/>
        </w:rPr>
        <w:t>Krimināllikuma 148. pantā paredzētais noziedzīgais nodarījums atbilst Krimināllikuma 23. panta pirmajā daļā norādītajam par atsevišķu (vienotu) noziedzīgu nodarījumu, līdz ar to uz šo noziedzīgo nodarījumu nav attiecināmas Krimināllikuma 23. panta ceturtajā daļā norādītās pazīmes, kas piemīt turpinātam noziedzīgam nodarījumam, bet katrs nodarījums ir kvalificējams patstāvīgi. Savukārt no judikatūrā un tiesu prakses apkopojumos paustajām atziņām izriet, ka</w:t>
      </w:r>
      <w:r w:rsidR="00B1332F">
        <w:rPr>
          <w:rFonts w:cs="Times New Roman"/>
          <w:color w:val="000000" w:themeColor="text1"/>
          <w:szCs w:val="24"/>
        </w:rPr>
        <w:t xml:space="preserve"> noziedzīgā nodarījuma priekšmeta vērtības</w:t>
      </w:r>
      <w:r>
        <w:rPr>
          <w:rFonts w:cs="Times New Roman"/>
          <w:color w:val="000000" w:themeColor="text1"/>
          <w:szCs w:val="24"/>
        </w:rPr>
        <w:t xml:space="preserve"> summēšana ir iespējama tikai atsevišķa turpināta</w:t>
      </w:r>
      <w:r w:rsidR="00B1332F">
        <w:rPr>
          <w:rFonts w:cs="Times New Roman"/>
          <w:color w:val="000000" w:themeColor="text1"/>
          <w:szCs w:val="24"/>
        </w:rPr>
        <w:t xml:space="preserve"> noziedzīga nodarījuma gadījumā. Izskatāmajā lietā konstatējams, ka datorprogrammas uzstādītas ar lielu laika atstarpi, līdz ar to ir pamats apšaubīt, ka to uzstādīšana veikta ar vienotu nodomu un vienotu noziedzīgu mērķi.</w:t>
      </w:r>
      <w:r w:rsidR="007B28A4">
        <w:rPr>
          <w:rFonts w:cs="Times New Roman"/>
          <w:color w:val="000000" w:themeColor="text1"/>
          <w:szCs w:val="24"/>
        </w:rPr>
        <w:t xml:space="preserve"> </w:t>
      </w:r>
      <w:r w:rsidR="00B1332F">
        <w:rPr>
          <w:rFonts w:cs="Times New Roman"/>
          <w:color w:val="000000" w:themeColor="text1"/>
          <w:szCs w:val="24"/>
        </w:rPr>
        <w:t xml:space="preserve">Tāpat lietā konstatēts, ka 2013. gada 16. decembrī un 2014. gada 18. martā </w:t>
      </w:r>
      <w:r w:rsidR="00F44BF5">
        <w:rPr>
          <w:rFonts w:cs="Times New Roman"/>
          <w:color w:val="000000" w:themeColor="text1"/>
          <w:szCs w:val="24"/>
        </w:rPr>
        <w:t>[pers. </w:t>
      </w:r>
      <w:r w:rsidR="00F44BF5">
        <w:t>A]</w:t>
      </w:r>
      <w:r w:rsidR="00B1332F">
        <w:rPr>
          <w:rFonts w:cs="Times New Roman"/>
          <w:color w:val="000000" w:themeColor="text1"/>
          <w:szCs w:val="24"/>
        </w:rPr>
        <w:t xml:space="preserve"> neatradās darba vietā un līdz ar to nevarēja uzstādīt SIA</w:t>
      </w:r>
      <w:r w:rsidR="00B22E09">
        <w:rPr>
          <w:rFonts w:cs="Times New Roman"/>
          <w:color w:val="000000" w:themeColor="text1"/>
          <w:szCs w:val="24"/>
        </w:rPr>
        <w:t> „</w:t>
      </w:r>
      <w:r w:rsidR="00F44BF5">
        <w:rPr>
          <w:rFonts w:cs="Times New Roman"/>
          <w:color w:val="000000" w:themeColor="text1"/>
          <w:szCs w:val="24"/>
        </w:rPr>
        <w:t>[Nosaukums A]</w:t>
      </w:r>
      <w:r w:rsidR="00B1332F">
        <w:rPr>
          <w:rFonts w:cs="Times New Roman"/>
          <w:color w:val="000000" w:themeColor="text1"/>
          <w:szCs w:val="24"/>
        </w:rPr>
        <w:t xml:space="preserve">” datorsistēmās apsūdzībā norādītās kompānijas </w:t>
      </w:r>
      <w:r w:rsidR="00B22E09">
        <w:rPr>
          <w:rFonts w:cs="Times New Roman"/>
          <w:color w:val="000000" w:themeColor="text1"/>
          <w:szCs w:val="24"/>
        </w:rPr>
        <w:t>„</w:t>
      </w:r>
      <w:proofErr w:type="spellStart"/>
      <w:r w:rsidR="00991B75">
        <w:rPr>
          <w:rFonts w:cs="Times New Roman"/>
          <w:color w:val="000000" w:themeColor="text1"/>
          <w:szCs w:val="24"/>
        </w:rPr>
        <w:t>Dass</w:t>
      </w:r>
      <w:r w:rsidR="00B1332F">
        <w:rPr>
          <w:rFonts w:cs="Times New Roman"/>
          <w:color w:val="000000" w:themeColor="text1"/>
          <w:szCs w:val="24"/>
        </w:rPr>
        <w:t>ault</w:t>
      </w:r>
      <w:proofErr w:type="spellEnd"/>
      <w:r w:rsidR="00B1332F">
        <w:rPr>
          <w:rFonts w:cs="Times New Roman"/>
          <w:color w:val="000000" w:themeColor="text1"/>
          <w:szCs w:val="24"/>
        </w:rPr>
        <w:t xml:space="preserve"> </w:t>
      </w:r>
      <w:proofErr w:type="spellStart"/>
      <w:r w:rsidR="00B1332F">
        <w:rPr>
          <w:rFonts w:cs="Times New Roman"/>
          <w:color w:val="000000" w:themeColor="text1"/>
          <w:szCs w:val="24"/>
        </w:rPr>
        <w:t>Systemes</w:t>
      </w:r>
      <w:proofErr w:type="spellEnd"/>
      <w:r w:rsidR="00B1332F">
        <w:rPr>
          <w:rFonts w:cs="Times New Roman"/>
          <w:color w:val="000000" w:themeColor="text1"/>
          <w:szCs w:val="24"/>
        </w:rPr>
        <w:t xml:space="preserve"> </w:t>
      </w:r>
      <w:proofErr w:type="spellStart"/>
      <w:r w:rsidR="00B1332F">
        <w:rPr>
          <w:rFonts w:cs="Times New Roman"/>
          <w:color w:val="000000" w:themeColor="text1"/>
          <w:szCs w:val="24"/>
        </w:rPr>
        <w:t>SolidWorks</w:t>
      </w:r>
      <w:proofErr w:type="spellEnd"/>
      <w:r w:rsidR="00B1332F">
        <w:rPr>
          <w:rFonts w:cs="Times New Roman"/>
          <w:color w:val="000000" w:themeColor="text1"/>
          <w:szCs w:val="24"/>
        </w:rPr>
        <w:t xml:space="preserve"> </w:t>
      </w:r>
      <w:proofErr w:type="spellStart"/>
      <w:r w:rsidR="00B1332F">
        <w:rPr>
          <w:rFonts w:cs="Times New Roman"/>
          <w:color w:val="000000" w:themeColor="text1"/>
          <w:szCs w:val="24"/>
        </w:rPr>
        <w:t>Corporation</w:t>
      </w:r>
      <w:proofErr w:type="spellEnd"/>
      <w:r w:rsidR="00B1332F">
        <w:rPr>
          <w:rFonts w:cs="Times New Roman"/>
          <w:color w:val="000000" w:themeColor="text1"/>
          <w:szCs w:val="24"/>
        </w:rPr>
        <w:t xml:space="preserve">” datorprogrammas. Savukārt attiecībā uz pārējām piecām datorprogrammām apsūdzībā vispār nav ietverta norāde par to, kādā veidā izpaudusies </w:t>
      </w:r>
      <w:r w:rsidR="00F44BF5">
        <w:rPr>
          <w:rFonts w:cs="Times New Roman"/>
          <w:color w:val="000000" w:themeColor="text1"/>
          <w:szCs w:val="24"/>
        </w:rPr>
        <w:t>[pers. A]</w:t>
      </w:r>
      <w:r w:rsidR="00B1332F">
        <w:rPr>
          <w:rFonts w:cs="Times New Roman"/>
          <w:color w:val="000000" w:themeColor="text1"/>
          <w:szCs w:val="24"/>
        </w:rPr>
        <w:t xml:space="preserve"> inkriminētā noziedzīgā nodarījuma objektīvā puse.</w:t>
      </w:r>
    </w:p>
    <w:p w14:paraId="17314774" w14:textId="02E39B35" w:rsidR="002E1016" w:rsidRDefault="002E1016" w:rsidP="00426462">
      <w:pPr>
        <w:widowControl w:val="0"/>
        <w:spacing w:after="0"/>
        <w:ind w:firstLine="720"/>
        <w:jc w:val="both"/>
        <w:rPr>
          <w:rFonts w:cs="Times New Roman"/>
          <w:color w:val="000000" w:themeColor="text1"/>
          <w:szCs w:val="24"/>
        </w:rPr>
      </w:pPr>
      <w:r>
        <w:rPr>
          <w:rFonts w:cs="Times New Roman"/>
          <w:color w:val="000000" w:themeColor="text1"/>
          <w:szCs w:val="24"/>
        </w:rPr>
        <w:t>[8.</w:t>
      </w:r>
      <w:r w:rsidR="006659DB">
        <w:rPr>
          <w:rFonts w:cs="Times New Roman"/>
          <w:color w:val="000000" w:themeColor="text1"/>
          <w:szCs w:val="24"/>
        </w:rPr>
        <w:t>9</w:t>
      </w:r>
      <w:r>
        <w:rPr>
          <w:rFonts w:cs="Times New Roman"/>
          <w:color w:val="000000" w:themeColor="text1"/>
          <w:szCs w:val="24"/>
        </w:rPr>
        <w:t xml:space="preserve">] Apelācijas instances tiesa, konstatējot apsūdzētā </w:t>
      </w:r>
      <w:r w:rsidR="00F44BF5">
        <w:rPr>
          <w:rFonts w:cs="Times New Roman"/>
          <w:color w:val="000000" w:themeColor="text1"/>
          <w:szCs w:val="24"/>
        </w:rPr>
        <w:t>[pers. A]</w:t>
      </w:r>
      <w:r>
        <w:rPr>
          <w:rFonts w:cs="Times New Roman"/>
          <w:color w:val="000000" w:themeColor="text1"/>
          <w:szCs w:val="24"/>
        </w:rPr>
        <w:t xml:space="preserve"> tiesību uz kriminālprocesa pabeigšanu saprātīgā termiņā pārkāpumu, nepamatoti piemērojusi Krimināllikuma 49.</w:t>
      </w:r>
      <w:r>
        <w:rPr>
          <w:rFonts w:cs="Times New Roman"/>
          <w:color w:val="000000" w:themeColor="text1"/>
          <w:szCs w:val="24"/>
          <w:vertAlign w:val="superscript"/>
        </w:rPr>
        <w:t>1 </w:t>
      </w:r>
      <w:r>
        <w:rPr>
          <w:rFonts w:cs="Times New Roman"/>
          <w:color w:val="000000" w:themeColor="text1"/>
          <w:szCs w:val="24"/>
        </w:rPr>
        <w:t>panta pirmās daļas 1.</w:t>
      </w:r>
      <w:r w:rsidR="00B22E09">
        <w:rPr>
          <w:rFonts w:cs="Times New Roman"/>
          <w:color w:val="000000" w:themeColor="text1"/>
          <w:szCs w:val="24"/>
        </w:rPr>
        <w:t> </w:t>
      </w:r>
      <w:r>
        <w:rPr>
          <w:rFonts w:cs="Times New Roman"/>
          <w:color w:val="000000" w:themeColor="text1"/>
          <w:szCs w:val="24"/>
        </w:rPr>
        <w:t>punktu, bet nepamatoti nav piemērojusi Krimināllikuma 58. panta piekto daļu.</w:t>
      </w:r>
    </w:p>
    <w:p w14:paraId="7CBD86A6" w14:textId="56E72A53" w:rsidR="002E1016" w:rsidRDefault="002E1016" w:rsidP="00426462">
      <w:pPr>
        <w:widowControl w:val="0"/>
        <w:spacing w:after="0"/>
        <w:ind w:firstLine="720"/>
        <w:jc w:val="both"/>
        <w:rPr>
          <w:rFonts w:cs="Times New Roman"/>
          <w:color w:val="000000" w:themeColor="text1"/>
          <w:szCs w:val="24"/>
        </w:rPr>
      </w:pPr>
      <w:r>
        <w:rPr>
          <w:rFonts w:cs="Times New Roman"/>
          <w:color w:val="000000" w:themeColor="text1"/>
          <w:szCs w:val="24"/>
        </w:rPr>
        <w:t>Tiesa nav pamatojusi, kādēļ tā, konstatējot, ka kriminālprocess nav pabeigts saprātīgā termiņā, vērtējusi to nevis kā pamatu apsūdzētā atbrīvošanai no kriminālatbildības, bet kā apstākli, kas ņemams vērā, nosakot apsūdzētajam sodu</w:t>
      </w:r>
      <w:r w:rsidR="008278B8">
        <w:rPr>
          <w:rFonts w:cs="Times New Roman"/>
          <w:color w:val="000000" w:themeColor="text1"/>
          <w:szCs w:val="24"/>
        </w:rPr>
        <w:t>. Tāpat tiesa nav pamatojusi, kāpēc viens mēnesis atzīstams par pietiekamu, lai kompensētu pieļauto pārkāpumu. Turklāt no tiesas sprieduma izriet, ka sods samazināts nevis tāpēc, ka konstatēts saprātīga termiņa pārkāpums, bet gan tāpēc, ka apsūdzība apstiprinājusies tikai daļēji. Tādējādi atzīstams, ka saprātīga termiņa pārkāpums vispār nav kompensēts. Turklāt tiesas argumentācija par Krimināllikuma 58. panta piektās daļas nepiemērošanu nav pietiekama un pamatota. Krimināllikuma 58. panta piektās daļas piemērošana nebūtu izvērtējama atkarībā no tā, kādas tiesības vai intereses ar nodarījumu ir aizskartas, bet tiesai ir jāvērtē, vai apsūdzētā nesamērīgi ilga atrašanās apsūdzētā statusā pēc savas būtības nav pietiekama, lai nepiemērotu kriminālatbildību. Turklāt izvērtēt, vai lietā konstatētajos apstākļos nebūtu taisnīgi piemērot Krimināllikuma 58. panta piekto daļu, ja Senāts atzīst, ka sprieduma atcelšanai nav tiesiska pamata, ir Senāta kompetencē.</w:t>
      </w:r>
    </w:p>
    <w:p w14:paraId="6E63F9E8" w14:textId="132D2296" w:rsidR="002E1016" w:rsidRPr="002E1016" w:rsidRDefault="002E1016" w:rsidP="00426462">
      <w:pPr>
        <w:widowControl w:val="0"/>
        <w:spacing w:after="0"/>
        <w:ind w:firstLine="720"/>
        <w:jc w:val="both"/>
        <w:rPr>
          <w:rFonts w:cs="Times New Roman"/>
          <w:color w:val="000000" w:themeColor="text1"/>
          <w:szCs w:val="24"/>
        </w:rPr>
      </w:pPr>
    </w:p>
    <w:p w14:paraId="1A7B40DC" w14:textId="35C0C65D" w:rsidR="00EC72C2" w:rsidRDefault="00EC72C2" w:rsidP="00B22E09">
      <w:pPr>
        <w:widowControl w:val="0"/>
        <w:spacing w:after="0"/>
        <w:jc w:val="center"/>
        <w:rPr>
          <w:rFonts w:cs="Times New Roman"/>
          <w:b/>
          <w:color w:val="000000" w:themeColor="text1"/>
          <w:szCs w:val="24"/>
        </w:rPr>
      </w:pPr>
      <w:r w:rsidRPr="00B14CA7">
        <w:rPr>
          <w:rFonts w:cs="Times New Roman"/>
          <w:b/>
          <w:color w:val="000000" w:themeColor="text1"/>
          <w:szCs w:val="24"/>
        </w:rPr>
        <w:t>Motīvu daļa</w:t>
      </w:r>
    </w:p>
    <w:p w14:paraId="3CD84490" w14:textId="028CFA79" w:rsidR="009D60A0" w:rsidRDefault="009D60A0" w:rsidP="00426462">
      <w:pPr>
        <w:widowControl w:val="0"/>
        <w:spacing w:after="0"/>
        <w:ind w:firstLine="720"/>
        <w:jc w:val="both"/>
        <w:rPr>
          <w:rFonts w:cs="Times New Roman"/>
          <w:b/>
          <w:color w:val="000000" w:themeColor="text1"/>
          <w:szCs w:val="24"/>
        </w:rPr>
      </w:pPr>
    </w:p>
    <w:p w14:paraId="46E720FD" w14:textId="095F5846" w:rsidR="006E2245" w:rsidRPr="00A2744F" w:rsidRDefault="009D60A0" w:rsidP="00A2744F">
      <w:pPr>
        <w:pStyle w:val="ListBullet"/>
        <w:widowControl w:val="0"/>
        <w:numPr>
          <w:ilvl w:val="0"/>
          <w:numId w:val="0"/>
        </w:numPr>
        <w:spacing w:after="0"/>
        <w:ind w:firstLine="720"/>
        <w:jc w:val="both"/>
      </w:pPr>
      <w:r>
        <w:rPr>
          <w:rFonts w:cs="Times New Roman"/>
          <w:color w:val="000000" w:themeColor="text1"/>
          <w:szCs w:val="24"/>
        </w:rPr>
        <w:t>[9]</w:t>
      </w:r>
      <w:r w:rsidR="00B22E09">
        <w:rPr>
          <w:rFonts w:cs="Times New Roman"/>
          <w:color w:val="000000" w:themeColor="text1"/>
          <w:szCs w:val="24"/>
        </w:rPr>
        <w:t> </w:t>
      </w:r>
      <w:r w:rsidR="00D520D3">
        <w:t xml:space="preserve">Ievērojot iesniegtās kasācijas sūdzības saturu un kasācijas instances tiesas kompetenci, Senāts atzīst, ka izskatāmajā lietā ir </w:t>
      </w:r>
      <w:r w:rsidR="00133121">
        <w:t>jā</w:t>
      </w:r>
      <w:r w:rsidR="00D520D3">
        <w:t>izvērtē: 1) vai</w:t>
      </w:r>
      <w:r w:rsidR="00143888">
        <w:t xml:space="preserve"> prokuror</w:t>
      </w:r>
      <w:r w:rsidR="002A3EEC">
        <w:t>a</w:t>
      </w:r>
      <w:r w:rsidR="00143888">
        <w:t xml:space="preserve"> </w:t>
      </w:r>
      <w:r w:rsidR="00D520D3">
        <w:t xml:space="preserve">apelācijas instances tiesā </w:t>
      </w:r>
      <w:r w:rsidR="0008648F">
        <w:t xml:space="preserve">2019. gada 25. novembrī </w:t>
      </w:r>
      <w:r w:rsidR="00D520D3">
        <w:t xml:space="preserve">grozītā apsūdzība daļā, kurā apelācijas instances tiesa apsūdzēto </w:t>
      </w:r>
      <w:r w:rsidR="00F44BF5">
        <w:t>[pers. A]</w:t>
      </w:r>
      <w:r w:rsidR="00D520D3">
        <w:t xml:space="preserve"> atzinusi </w:t>
      </w:r>
      <w:r w:rsidR="00133121">
        <w:t>p</w:t>
      </w:r>
      <w:r w:rsidR="00D520D3">
        <w:t>ar vainīgu, nepasliktina apsūdzētā stāvokli un nepārkāpj viņa tiesības uz aizstāvību; 2) vai apelācijas instances tiesa tiesiski un pamatoti konstatējusi</w:t>
      </w:r>
      <w:r w:rsidR="00143888">
        <w:t xml:space="preserve"> autortiesību pārkāpumu saistībā ar apsūdzībā norādīto </w:t>
      </w:r>
      <w:r w:rsidR="00143888">
        <w:rPr>
          <w:rFonts w:cs="Times New Roman"/>
          <w:color w:val="000000" w:themeColor="text1"/>
          <w:szCs w:val="24"/>
        </w:rPr>
        <w:t>kompānija</w:t>
      </w:r>
      <w:r w:rsidR="00533499">
        <w:rPr>
          <w:rFonts w:cs="Times New Roman"/>
          <w:color w:val="000000" w:themeColor="text1"/>
          <w:szCs w:val="24"/>
        </w:rPr>
        <w:t>s</w:t>
      </w:r>
      <w:r w:rsidR="00143888">
        <w:rPr>
          <w:rFonts w:cs="Times New Roman"/>
          <w:color w:val="000000" w:themeColor="text1"/>
          <w:szCs w:val="24"/>
        </w:rPr>
        <w:t xml:space="preserve"> </w:t>
      </w:r>
      <w:r w:rsidR="00A2744F">
        <w:rPr>
          <w:rFonts w:cs="Times New Roman"/>
          <w:color w:val="000000" w:themeColor="text1"/>
          <w:szCs w:val="24"/>
        </w:rPr>
        <w:t>„</w:t>
      </w:r>
      <w:proofErr w:type="spellStart"/>
      <w:r w:rsidR="00991B75">
        <w:rPr>
          <w:rFonts w:cs="Times New Roman"/>
          <w:color w:val="000000" w:themeColor="text1"/>
          <w:szCs w:val="24"/>
        </w:rPr>
        <w:t>Dass</w:t>
      </w:r>
      <w:r w:rsidR="00143888">
        <w:rPr>
          <w:rFonts w:cs="Times New Roman"/>
          <w:color w:val="000000" w:themeColor="text1"/>
          <w:szCs w:val="24"/>
        </w:rPr>
        <w:t>ault</w:t>
      </w:r>
      <w:proofErr w:type="spellEnd"/>
      <w:r w:rsidR="00143888">
        <w:rPr>
          <w:rFonts w:cs="Times New Roman"/>
          <w:color w:val="000000" w:themeColor="text1"/>
          <w:szCs w:val="24"/>
        </w:rPr>
        <w:t xml:space="preserve"> </w:t>
      </w:r>
      <w:proofErr w:type="spellStart"/>
      <w:r w:rsidR="00143888">
        <w:rPr>
          <w:rFonts w:cs="Times New Roman"/>
          <w:color w:val="000000" w:themeColor="text1"/>
          <w:szCs w:val="24"/>
        </w:rPr>
        <w:t>Systemes</w:t>
      </w:r>
      <w:proofErr w:type="spellEnd"/>
      <w:r w:rsidR="00143888">
        <w:rPr>
          <w:rFonts w:cs="Times New Roman"/>
          <w:color w:val="000000" w:themeColor="text1"/>
          <w:szCs w:val="24"/>
        </w:rPr>
        <w:t xml:space="preserve"> </w:t>
      </w:r>
      <w:proofErr w:type="spellStart"/>
      <w:r w:rsidR="00143888">
        <w:rPr>
          <w:rFonts w:cs="Times New Roman"/>
          <w:color w:val="000000" w:themeColor="text1"/>
          <w:szCs w:val="24"/>
        </w:rPr>
        <w:t>SolidWorks</w:t>
      </w:r>
      <w:proofErr w:type="spellEnd"/>
      <w:r w:rsidR="00143888">
        <w:rPr>
          <w:rFonts w:cs="Times New Roman"/>
          <w:color w:val="000000" w:themeColor="text1"/>
          <w:szCs w:val="24"/>
        </w:rPr>
        <w:t xml:space="preserve"> </w:t>
      </w:r>
      <w:proofErr w:type="spellStart"/>
      <w:r w:rsidR="00143888">
        <w:rPr>
          <w:rFonts w:cs="Times New Roman"/>
          <w:color w:val="000000" w:themeColor="text1"/>
          <w:szCs w:val="24"/>
        </w:rPr>
        <w:t>Corporation</w:t>
      </w:r>
      <w:proofErr w:type="spellEnd"/>
      <w:r w:rsidR="00143888">
        <w:rPr>
          <w:rFonts w:cs="Times New Roman"/>
          <w:color w:val="000000" w:themeColor="text1"/>
          <w:szCs w:val="24"/>
        </w:rPr>
        <w:t xml:space="preserve">” datorprogrammu reproducēšanu </w:t>
      </w:r>
      <w:r w:rsidR="00A2744F">
        <w:t>SIA „</w:t>
      </w:r>
      <w:r w:rsidR="00F44BF5">
        <w:t>[Nosaukums A]</w:t>
      </w:r>
      <w:r w:rsidR="00A2744F">
        <w:t>” datorsistēmās</w:t>
      </w:r>
      <w:r w:rsidR="00A2744F">
        <w:rPr>
          <w:rFonts w:cs="Times New Roman"/>
          <w:color w:val="000000" w:themeColor="text1"/>
          <w:szCs w:val="24"/>
        </w:rPr>
        <w:t xml:space="preserve"> </w:t>
      </w:r>
      <w:r w:rsidR="00143888">
        <w:rPr>
          <w:rFonts w:cs="Times New Roman"/>
          <w:color w:val="000000" w:themeColor="text1"/>
          <w:szCs w:val="24"/>
        </w:rPr>
        <w:t xml:space="preserve">bez </w:t>
      </w:r>
      <w:r w:rsidR="00533499">
        <w:rPr>
          <w:rFonts w:cs="Times New Roman"/>
          <w:color w:val="000000" w:themeColor="text1"/>
          <w:szCs w:val="24"/>
        </w:rPr>
        <w:t xml:space="preserve">šā </w:t>
      </w:r>
      <w:r w:rsidR="00143888">
        <w:rPr>
          <w:rFonts w:cs="Times New Roman"/>
          <w:color w:val="000000" w:themeColor="text1"/>
          <w:szCs w:val="24"/>
        </w:rPr>
        <w:t>autortiesību subjekta atļaujas; 3)</w:t>
      </w:r>
      <w:r w:rsidR="00A2744F">
        <w:rPr>
          <w:rFonts w:cs="Times New Roman"/>
          <w:color w:val="000000" w:themeColor="text1"/>
          <w:szCs w:val="24"/>
        </w:rPr>
        <w:t> </w:t>
      </w:r>
      <w:r w:rsidR="00143888">
        <w:rPr>
          <w:rFonts w:cs="Times New Roman"/>
          <w:color w:val="000000" w:themeColor="text1"/>
          <w:szCs w:val="24"/>
        </w:rPr>
        <w:t xml:space="preserve">vai apelācijas instances tiesa apsūdzēto </w:t>
      </w:r>
      <w:r w:rsidR="00F44BF5">
        <w:rPr>
          <w:rFonts w:cs="Times New Roman"/>
          <w:color w:val="000000" w:themeColor="text1"/>
          <w:szCs w:val="24"/>
        </w:rPr>
        <w:t>[pers. A]</w:t>
      </w:r>
      <w:r w:rsidR="00143888">
        <w:rPr>
          <w:rFonts w:cs="Times New Roman"/>
          <w:color w:val="000000" w:themeColor="text1"/>
          <w:szCs w:val="24"/>
        </w:rPr>
        <w:t xml:space="preserve"> tiesiski un pamatoti atzinusi par Krimināllikuma 148. panta trešajā daļā paredzētā noziedzīgā nodarījuma subjektu; 4) </w:t>
      </w:r>
      <w:r w:rsidR="0008648F">
        <w:rPr>
          <w:rFonts w:cs="Times New Roman"/>
          <w:color w:val="000000" w:themeColor="text1"/>
          <w:szCs w:val="24"/>
        </w:rPr>
        <w:t>vai apelācijas instances tiesa, konstatējot apsūdzētā tiesību uz kriminālprocesa pabeigšanu saprātīgā termiņā</w:t>
      </w:r>
      <w:r w:rsidR="006E2245">
        <w:rPr>
          <w:rFonts w:cs="Times New Roman"/>
          <w:color w:val="000000" w:themeColor="text1"/>
          <w:szCs w:val="24"/>
        </w:rPr>
        <w:t xml:space="preserve"> pārkāpumu, tiesiski un pamatoti piemērojusi Krimināllikuma 49.</w:t>
      </w:r>
      <w:r w:rsidR="006E2245">
        <w:rPr>
          <w:rFonts w:cs="Times New Roman"/>
          <w:color w:val="000000" w:themeColor="text1"/>
          <w:szCs w:val="24"/>
          <w:vertAlign w:val="superscript"/>
        </w:rPr>
        <w:t>1</w:t>
      </w:r>
      <w:r w:rsidR="006E2245">
        <w:rPr>
          <w:rFonts w:cs="Times New Roman"/>
          <w:color w:val="000000" w:themeColor="text1"/>
          <w:szCs w:val="24"/>
        </w:rPr>
        <w:t> panta pirmās daļas 1.</w:t>
      </w:r>
      <w:r w:rsidR="00A2744F">
        <w:rPr>
          <w:rFonts w:cs="Times New Roman"/>
          <w:color w:val="000000" w:themeColor="text1"/>
          <w:szCs w:val="24"/>
        </w:rPr>
        <w:t> </w:t>
      </w:r>
      <w:r w:rsidR="006E2245">
        <w:rPr>
          <w:rFonts w:cs="Times New Roman"/>
          <w:color w:val="000000" w:themeColor="text1"/>
          <w:szCs w:val="24"/>
        </w:rPr>
        <w:t>punktu.</w:t>
      </w:r>
    </w:p>
    <w:p w14:paraId="52C27354" w14:textId="375BB78C" w:rsidR="00D3051D" w:rsidRDefault="006E2245" w:rsidP="00426462">
      <w:pPr>
        <w:pStyle w:val="ListBullet"/>
        <w:widowControl w:val="0"/>
        <w:numPr>
          <w:ilvl w:val="0"/>
          <w:numId w:val="0"/>
        </w:numPr>
        <w:spacing w:after="0"/>
        <w:ind w:firstLine="720"/>
        <w:jc w:val="both"/>
        <w:rPr>
          <w:rFonts w:cs="Times New Roman"/>
          <w:color w:val="000000" w:themeColor="text1"/>
          <w:szCs w:val="24"/>
        </w:rPr>
      </w:pPr>
      <w:r>
        <w:rPr>
          <w:rFonts w:cs="Times New Roman"/>
          <w:color w:val="000000" w:themeColor="text1"/>
          <w:szCs w:val="24"/>
        </w:rPr>
        <w:t>[9.1]</w:t>
      </w:r>
      <w:r w:rsidR="00A2744F">
        <w:rPr>
          <w:rFonts w:cs="Times New Roman"/>
          <w:color w:val="000000" w:themeColor="text1"/>
          <w:szCs w:val="24"/>
        </w:rPr>
        <w:t> </w:t>
      </w:r>
      <w:r>
        <w:rPr>
          <w:rFonts w:cs="Times New Roman"/>
          <w:color w:val="000000" w:themeColor="text1"/>
          <w:szCs w:val="24"/>
        </w:rPr>
        <w:t xml:space="preserve">Ar apelācijas instances tiesas spriedumu apsūdzētais </w:t>
      </w:r>
      <w:r w:rsidR="00F44BF5">
        <w:rPr>
          <w:rFonts w:cs="Times New Roman"/>
          <w:color w:val="000000" w:themeColor="text1"/>
          <w:szCs w:val="24"/>
        </w:rPr>
        <w:t>[pers. A]</w:t>
      </w:r>
      <w:r>
        <w:rPr>
          <w:rFonts w:cs="Times New Roman"/>
          <w:color w:val="000000" w:themeColor="text1"/>
          <w:szCs w:val="24"/>
        </w:rPr>
        <w:t xml:space="preserve"> atzīts par vainīgu un sodīts pēc Krimināllikuma 148. panta trešās daļas par autortiesību pārkāpšanu lielā apmērā.</w:t>
      </w:r>
    </w:p>
    <w:p w14:paraId="08E21D08" w14:textId="0AC7A3FC" w:rsidR="006E2245" w:rsidRDefault="006E2245" w:rsidP="00426462">
      <w:pPr>
        <w:pStyle w:val="ListBullet"/>
        <w:widowControl w:val="0"/>
        <w:numPr>
          <w:ilvl w:val="0"/>
          <w:numId w:val="0"/>
        </w:numPr>
        <w:spacing w:after="0"/>
        <w:ind w:firstLine="720"/>
        <w:jc w:val="both"/>
        <w:rPr>
          <w:rFonts w:cs="Times New Roman"/>
          <w:color w:val="000000" w:themeColor="text1"/>
          <w:szCs w:val="24"/>
        </w:rPr>
      </w:pPr>
      <w:r>
        <w:rPr>
          <w:rFonts w:cs="Times New Roman"/>
          <w:color w:val="000000" w:themeColor="text1"/>
          <w:szCs w:val="24"/>
        </w:rPr>
        <w:t>No apelācijas instances tiesas sniegtā pierādītā noziedzīgā nodarījuma apraksta izriet, ka noziedzīgais nodarījums izdarīts šādos apstākļos.</w:t>
      </w:r>
    </w:p>
    <w:p w14:paraId="371FC1CB" w14:textId="56B6AC18" w:rsidR="006E2245" w:rsidRDefault="00F44BF5" w:rsidP="00426462">
      <w:pPr>
        <w:pStyle w:val="ListBullet"/>
        <w:widowControl w:val="0"/>
        <w:numPr>
          <w:ilvl w:val="0"/>
          <w:numId w:val="0"/>
        </w:numPr>
        <w:spacing w:after="0"/>
        <w:ind w:firstLine="720"/>
        <w:jc w:val="both"/>
        <w:rPr>
          <w:rFonts w:cs="Times New Roman"/>
          <w:color w:val="000000" w:themeColor="text1"/>
          <w:szCs w:val="24"/>
        </w:rPr>
      </w:pPr>
      <w:bookmarkStart w:id="1" w:name="_Hlk130292372"/>
      <w:r>
        <w:rPr>
          <w:rFonts w:cs="Times New Roman"/>
          <w:color w:val="000000" w:themeColor="text1"/>
          <w:szCs w:val="24"/>
        </w:rPr>
        <w:t>[Pers. </w:t>
      </w:r>
      <w:r>
        <w:t>A]</w:t>
      </w:r>
      <w:r w:rsidR="006E2245">
        <w:rPr>
          <w:rFonts w:cs="Times New Roman"/>
          <w:color w:val="000000" w:themeColor="text1"/>
          <w:szCs w:val="24"/>
        </w:rPr>
        <w:t>, būdams SIA</w:t>
      </w:r>
      <w:r w:rsidR="00A2744F">
        <w:rPr>
          <w:rFonts w:cs="Times New Roman"/>
          <w:color w:val="000000" w:themeColor="text1"/>
          <w:szCs w:val="24"/>
        </w:rPr>
        <w:t> „</w:t>
      </w:r>
      <w:r>
        <w:rPr>
          <w:rFonts w:cs="Times New Roman"/>
          <w:color w:val="000000" w:themeColor="text1"/>
          <w:szCs w:val="24"/>
        </w:rPr>
        <w:t>[Nosaukums A]</w:t>
      </w:r>
      <w:r w:rsidR="006E2245">
        <w:rPr>
          <w:rFonts w:cs="Times New Roman"/>
          <w:color w:val="000000" w:themeColor="text1"/>
          <w:szCs w:val="24"/>
        </w:rPr>
        <w:t>” dalībnieks, kuram pieder 50</w:t>
      </w:r>
      <w:r w:rsidR="00A2744F">
        <w:rPr>
          <w:rFonts w:cs="Times New Roman"/>
          <w:color w:val="000000" w:themeColor="text1"/>
          <w:szCs w:val="24"/>
        </w:rPr>
        <w:t> </w:t>
      </w:r>
      <w:r w:rsidR="006E2245">
        <w:rPr>
          <w:rFonts w:cs="Times New Roman"/>
          <w:color w:val="000000" w:themeColor="text1"/>
          <w:szCs w:val="24"/>
        </w:rPr>
        <w:t>% uzņēmuma daļu, un būdams SIA</w:t>
      </w:r>
      <w:r w:rsidR="00A2744F">
        <w:rPr>
          <w:rFonts w:cs="Times New Roman"/>
          <w:color w:val="000000" w:themeColor="text1"/>
          <w:szCs w:val="24"/>
        </w:rPr>
        <w:t> „</w:t>
      </w:r>
      <w:r>
        <w:rPr>
          <w:rFonts w:cs="Times New Roman"/>
          <w:color w:val="000000" w:themeColor="text1"/>
          <w:szCs w:val="24"/>
        </w:rPr>
        <w:t>[Nosaukums </w:t>
      </w:r>
      <w:r>
        <w:t>A]</w:t>
      </w:r>
      <w:r w:rsidR="006E2245">
        <w:rPr>
          <w:rFonts w:cs="Times New Roman"/>
          <w:color w:val="000000" w:themeColor="text1"/>
          <w:szCs w:val="24"/>
        </w:rPr>
        <w:t>” amatpersona – valdes loceklis –, kurš bija atbildīgs par datortehnikas iegādi un datorprogrammu legalitāti, nodrošināja to, ka uzņēmuma saimnieciskās darbības veikšanai un peļņas gūšanai SIA</w:t>
      </w:r>
      <w:r w:rsidR="00533499">
        <w:rPr>
          <w:rFonts w:cs="Times New Roman"/>
          <w:color w:val="000000" w:themeColor="text1"/>
          <w:szCs w:val="24"/>
        </w:rPr>
        <w:t> „</w:t>
      </w:r>
      <w:r>
        <w:rPr>
          <w:rFonts w:cs="Times New Roman"/>
          <w:color w:val="000000" w:themeColor="text1"/>
          <w:szCs w:val="24"/>
        </w:rPr>
        <w:t>[Nosaukums A]</w:t>
      </w:r>
      <w:r w:rsidR="006E2245">
        <w:rPr>
          <w:rFonts w:cs="Times New Roman"/>
          <w:color w:val="000000" w:themeColor="text1"/>
          <w:szCs w:val="24"/>
        </w:rPr>
        <w:t xml:space="preserve">” uzņēmējdarbības veikšanas vietā </w:t>
      </w:r>
      <w:r>
        <w:rPr>
          <w:rFonts w:cs="Times New Roman"/>
          <w:color w:val="000000" w:themeColor="text1"/>
          <w:szCs w:val="24"/>
        </w:rPr>
        <w:t>[adrese]</w:t>
      </w:r>
      <w:r w:rsidR="006E2245">
        <w:rPr>
          <w:rFonts w:cs="Times New Roman"/>
          <w:color w:val="000000" w:themeColor="text1"/>
          <w:szCs w:val="24"/>
        </w:rPr>
        <w:t xml:space="preserve">, četrās datorsistēmās bez tiesību subjekta atļaujas tika reproducēti autortiesību objekti – </w:t>
      </w:r>
      <w:r w:rsidR="00533AD9">
        <w:rPr>
          <w:rFonts w:cs="Times New Roman"/>
          <w:color w:val="000000" w:themeColor="text1"/>
          <w:szCs w:val="24"/>
        </w:rPr>
        <w:t>deviņas</w:t>
      </w:r>
      <w:r w:rsidR="00D3051D">
        <w:rPr>
          <w:rFonts w:cs="Times New Roman"/>
          <w:color w:val="000000" w:themeColor="text1"/>
          <w:szCs w:val="24"/>
        </w:rPr>
        <w:t xml:space="preserve"> kompānijas </w:t>
      </w:r>
      <w:r w:rsidR="00533499">
        <w:rPr>
          <w:rFonts w:cs="Times New Roman"/>
          <w:color w:val="000000" w:themeColor="text1"/>
          <w:szCs w:val="24"/>
        </w:rPr>
        <w:t>„</w:t>
      </w:r>
      <w:proofErr w:type="spellStart"/>
      <w:r w:rsidR="00991B75">
        <w:rPr>
          <w:rFonts w:cs="Times New Roman"/>
          <w:color w:val="000000" w:themeColor="text1"/>
          <w:szCs w:val="24"/>
        </w:rPr>
        <w:t>Dass</w:t>
      </w:r>
      <w:r w:rsidR="00D3051D">
        <w:rPr>
          <w:rFonts w:cs="Times New Roman"/>
          <w:color w:val="000000" w:themeColor="text1"/>
          <w:szCs w:val="24"/>
        </w:rPr>
        <w:t>ault</w:t>
      </w:r>
      <w:proofErr w:type="spellEnd"/>
      <w:r w:rsidR="00D3051D">
        <w:rPr>
          <w:rFonts w:cs="Times New Roman"/>
          <w:color w:val="000000" w:themeColor="text1"/>
          <w:szCs w:val="24"/>
        </w:rPr>
        <w:t xml:space="preserve"> </w:t>
      </w:r>
      <w:proofErr w:type="spellStart"/>
      <w:r w:rsidR="00D3051D">
        <w:rPr>
          <w:rFonts w:cs="Times New Roman"/>
          <w:color w:val="000000" w:themeColor="text1"/>
          <w:szCs w:val="24"/>
        </w:rPr>
        <w:t>Systemes</w:t>
      </w:r>
      <w:proofErr w:type="spellEnd"/>
      <w:r w:rsidR="00D3051D">
        <w:rPr>
          <w:rFonts w:cs="Times New Roman"/>
          <w:color w:val="000000" w:themeColor="text1"/>
          <w:szCs w:val="24"/>
        </w:rPr>
        <w:t xml:space="preserve"> </w:t>
      </w:r>
      <w:proofErr w:type="spellStart"/>
      <w:r w:rsidR="00D3051D">
        <w:rPr>
          <w:rFonts w:cs="Times New Roman"/>
          <w:color w:val="000000" w:themeColor="text1"/>
          <w:szCs w:val="24"/>
        </w:rPr>
        <w:t>SolidWorks</w:t>
      </w:r>
      <w:proofErr w:type="spellEnd"/>
      <w:r w:rsidR="00D3051D">
        <w:rPr>
          <w:rFonts w:cs="Times New Roman"/>
          <w:color w:val="000000" w:themeColor="text1"/>
          <w:szCs w:val="24"/>
        </w:rPr>
        <w:t xml:space="preserve"> </w:t>
      </w:r>
      <w:proofErr w:type="spellStart"/>
      <w:r w:rsidR="00D3051D">
        <w:rPr>
          <w:rFonts w:cs="Times New Roman"/>
          <w:color w:val="000000" w:themeColor="text1"/>
          <w:szCs w:val="24"/>
        </w:rPr>
        <w:t>Corporation</w:t>
      </w:r>
      <w:proofErr w:type="spellEnd"/>
      <w:r w:rsidR="00D3051D">
        <w:rPr>
          <w:rFonts w:cs="Times New Roman"/>
          <w:color w:val="000000" w:themeColor="text1"/>
          <w:szCs w:val="24"/>
        </w:rPr>
        <w:t xml:space="preserve">” </w:t>
      </w:r>
      <w:r w:rsidR="006E2245">
        <w:rPr>
          <w:rFonts w:cs="Times New Roman"/>
          <w:color w:val="000000" w:themeColor="text1"/>
          <w:szCs w:val="24"/>
        </w:rPr>
        <w:t>datorprogrammas</w:t>
      </w:r>
      <w:r w:rsidR="00D3051D">
        <w:rPr>
          <w:rFonts w:cs="Times New Roman"/>
          <w:color w:val="000000" w:themeColor="text1"/>
          <w:szCs w:val="24"/>
        </w:rPr>
        <w:t xml:space="preserve"> –</w:t>
      </w:r>
      <w:r w:rsidR="006E2245">
        <w:rPr>
          <w:rFonts w:cs="Times New Roman"/>
          <w:color w:val="000000" w:themeColor="text1"/>
          <w:szCs w:val="24"/>
        </w:rPr>
        <w:t xml:space="preserve">, </w:t>
      </w:r>
      <w:bookmarkStart w:id="2" w:name="_Hlk130291712"/>
      <w:r w:rsidR="006E2245">
        <w:rPr>
          <w:rFonts w:cs="Times New Roman"/>
          <w:color w:val="000000" w:themeColor="text1"/>
          <w:szCs w:val="24"/>
        </w:rPr>
        <w:t xml:space="preserve">tas ir, nelegāli (instalējot) izgatavotas </w:t>
      </w:r>
      <w:r w:rsidR="00D3051D">
        <w:rPr>
          <w:rFonts w:cs="Times New Roman"/>
          <w:color w:val="000000" w:themeColor="text1"/>
          <w:szCs w:val="24"/>
        </w:rPr>
        <w:t xml:space="preserve">šo </w:t>
      </w:r>
      <w:r w:rsidR="006E2245">
        <w:rPr>
          <w:rFonts w:cs="Times New Roman"/>
          <w:color w:val="000000" w:themeColor="text1"/>
          <w:szCs w:val="24"/>
        </w:rPr>
        <w:t>datorprogrammu kopijas</w:t>
      </w:r>
      <w:bookmarkEnd w:id="2"/>
      <w:r w:rsidR="006E2245">
        <w:rPr>
          <w:rFonts w:cs="Times New Roman"/>
          <w:color w:val="000000" w:themeColor="text1"/>
          <w:szCs w:val="24"/>
        </w:rPr>
        <w:t>, kā arī pēc to izgatavošanas datorprogrammas pastāvīgi uzglabātas elektroniskā veidā</w:t>
      </w:r>
      <w:r w:rsidR="00D3051D">
        <w:rPr>
          <w:rFonts w:cs="Times New Roman"/>
          <w:color w:val="000000" w:themeColor="text1"/>
          <w:szCs w:val="24"/>
        </w:rPr>
        <w:t>.</w:t>
      </w:r>
      <w:bookmarkEnd w:id="1"/>
    </w:p>
    <w:p w14:paraId="07AE124C" w14:textId="137F491A" w:rsidR="00B3652B" w:rsidRDefault="00D3051D" w:rsidP="00426462">
      <w:pPr>
        <w:pStyle w:val="ListBullet"/>
        <w:widowControl w:val="0"/>
        <w:numPr>
          <w:ilvl w:val="0"/>
          <w:numId w:val="0"/>
        </w:numPr>
        <w:spacing w:after="0"/>
        <w:ind w:firstLine="720"/>
        <w:jc w:val="both"/>
        <w:rPr>
          <w:rFonts w:cs="Times New Roman"/>
          <w:color w:val="000000" w:themeColor="text1"/>
          <w:szCs w:val="24"/>
        </w:rPr>
      </w:pPr>
      <w:r>
        <w:rPr>
          <w:rFonts w:cs="Times New Roman"/>
          <w:color w:val="000000" w:themeColor="text1"/>
          <w:szCs w:val="24"/>
        </w:rPr>
        <w:t xml:space="preserve">Apelācijas instances tiesa konstatējusi, ka ar šo noziedzīgo nodarījumu pārkāptas </w:t>
      </w:r>
      <w:r w:rsidR="006E2245">
        <w:rPr>
          <w:rFonts w:cs="Times New Roman"/>
          <w:color w:val="000000" w:themeColor="text1"/>
          <w:szCs w:val="24"/>
        </w:rPr>
        <w:t xml:space="preserve">datorprogrammu tiesību īpašnieka </w:t>
      </w:r>
      <w:r>
        <w:rPr>
          <w:rFonts w:cs="Times New Roman"/>
          <w:color w:val="000000" w:themeColor="text1"/>
          <w:szCs w:val="24"/>
        </w:rPr>
        <w:t xml:space="preserve">kompānijas </w:t>
      </w:r>
      <w:r w:rsidR="00533499">
        <w:rPr>
          <w:rFonts w:cs="Times New Roman"/>
          <w:color w:val="000000" w:themeColor="text1"/>
          <w:szCs w:val="24"/>
        </w:rPr>
        <w:t>„</w:t>
      </w:r>
      <w:proofErr w:type="spellStart"/>
      <w:r w:rsidR="00991B75">
        <w:rPr>
          <w:rFonts w:cs="Times New Roman"/>
          <w:color w:val="000000" w:themeColor="text1"/>
          <w:szCs w:val="24"/>
        </w:rPr>
        <w:t>Dass</w:t>
      </w:r>
      <w:r w:rsidR="006E2245">
        <w:rPr>
          <w:rFonts w:cs="Times New Roman"/>
          <w:color w:val="000000" w:themeColor="text1"/>
          <w:szCs w:val="24"/>
        </w:rPr>
        <w:t>ault</w:t>
      </w:r>
      <w:proofErr w:type="spellEnd"/>
      <w:r w:rsidR="006E2245">
        <w:rPr>
          <w:rFonts w:cs="Times New Roman"/>
          <w:color w:val="000000" w:themeColor="text1"/>
          <w:szCs w:val="24"/>
        </w:rPr>
        <w:t xml:space="preserve"> </w:t>
      </w:r>
      <w:proofErr w:type="spellStart"/>
      <w:r w:rsidR="006E2245">
        <w:rPr>
          <w:rFonts w:cs="Times New Roman"/>
          <w:color w:val="000000" w:themeColor="text1"/>
          <w:szCs w:val="24"/>
        </w:rPr>
        <w:t>Systemes</w:t>
      </w:r>
      <w:proofErr w:type="spellEnd"/>
      <w:r w:rsidR="006E2245">
        <w:rPr>
          <w:rFonts w:cs="Times New Roman"/>
          <w:color w:val="000000" w:themeColor="text1"/>
          <w:szCs w:val="24"/>
        </w:rPr>
        <w:t xml:space="preserve"> </w:t>
      </w:r>
      <w:proofErr w:type="spellStart"/>
      <w:r w:rsidR="006E2245">
        <w:rPr>
          <w:rFonts w:cs="Times New Roman"/>
          <w:color w:val="000000" w:themeColor="text1"/>
          <w:szCs w:val="24"/>
        </w:rPr>
        <w:t>SolidWorks</w:t>
      </w:r>
      <w:proofErr w:type="spellEnd"/>
      <w:r w:rsidR="006E2245">
        <w:rPr>
          <w:rFonts w:cs="Times New Roman"/>
          <w:color w:val="000000" w:themeColor="text1"/>
          <w:szCs w:val="24"/>
        </w:rPr>
        <w:t xml:space="preserve"> </w:t>
      </w:r>
      <w:proofErr w:type="spellStart"/>
      <w:r w:rsidR="006E2245">
        <w:rPr>
          <w:rFonts w:cs="Times New Roman"/>
          <w:color w:val="000000" w:themeColor="text1"/>
          <w:szCs w:val="24"/>
        </w:rPr>
        <w:t>Corporation</w:t>
      </w:r>
      <w:proofErr w:type="spellEnd"/>
      <w:r w:rsidR="006E2245">
        <w:rPr>
          <w:rFonts w:cs="Times New Roman"/>
          <w:color w:val="000000" w:themeColor="text1"/>
          <w:szCs w:val="24"/>
        </w:rPr>
        <w:t>” Autortiesību likuma 15. panta otrajā daļā noteiktās izņēmuma tiesības uz datorprogrammas izmantošanu, nodarot kompānijai mantisko zaudējumu 80 400</w:t>
      </w:r>
      <w:r w:rsidR="00533499">
        <w:rPr>
          <w:rFonts w:cs="Times New Roman"/>
          <w:color w:val="000000" w:themeColor="text1"/>
          <w:szCs w:val="24"/>
        </w:rPr>
        <w:t> </w:t>
      </w:r>
      <w:r w:rsidR="006E2245">
        <w:rPr>
          <w:rFonts w:cs="Times New Roman"/>
          <w:i/>
          <w:iCs/>
          <w:color w:val="000000" w:themeColor="text1"/>
          <w:szCs w:val="24"/>
        </w:rPr>
        <w:t>euro</w:t>
      </w:r>
      <w:r w:rsidR="006E2245">
        <w:rPr>
          <w:rFonts w:cs="Times New Roman"/>
          <w:color w:val="000000" w:themeColor="text1"/>
          <w:szCs w:val="24"/>
        </w:rPr>
        <w:t>, tas ir, lielā apmērā.</w:t>
      </w:r>
    </w:p>
    <w:p w14:paraId="20D64C4B" w14:textId="4C530420" w:rsidR="0023735B" w:rsidRDefault="00B3652B" w:rsidP="00426462">
      <w:pPr>
        <w:pStyle w:val="ListBullet"/>
        <w:widowControl w:val="0"/>
        <w:numPr>
          <w:ilvl w:val="0"/>
          <w:numId w:val="0"/>
        </w:numPr>
        <w:spacing w:after="0"/>
        <w:ind w:firstLine="720"/>
        <w:jc w:val="both"/>
        <w:rPr>
          <w:rFonts w:cs="Times New Roman"/>
          <w:color w:val="000000" w:themeColor="text1"/>
          <w:szCs w:val="24"/>
        </w:rPr>
      </w:pPr>
      <w:r>
        <w:rPr>
          <w:rFonts w:cs="Times New Roman"/>
          <w:color w:val="000000" w:themeColor="text1"/>
          <w:szCs w:val="24"/>
        </w:rPr>
        <w:t xml:space="preserve">Senāts konstatē, ka jau </w:t>
      </w:r>
      <w:r w:rsidR="00EA4D64">
        <w:rPr>
          <w:rFonts w:cs="Times New Roman"/>
          <w:color w:val="000000" w:themeColor="text1"/>
          <w:szCs w:val="24"/>
        </w:rPr>
        <w:t xml:space="preserve">saskaņā ar sākotnējo apsūdzību, kura tika celta pirmstiesas kriminālprocesa laikā un uzturēta pirmās instances tiesā, </w:t>
      </w:r>
      <w:r w:rsidR="00F44BF5">
        <w:rPr>
          <w:rFonts w:cs="Times New Roman"/>
          <w:color w:val="000000" w:themeColor="text1"/>
          <w:szCs w:val="24"/>
        </w:rPr>
        <w:t>[pers. A]</w:t>
      </w:r>
      <w:r w:rsidR="00EA4D64">
        <w:rPr>
          <w:rFonts w:cs="Times New Roman"/>
          <w:color w:val="000000" w:themeColor="text1"/>
          <w:szCs w:val="24"/>
        </w:rPr>
        <w:t xml:space="preserve"> tika apsūdzēts pēc Krimināllikuma 148. panta trešās daļas par autortiesību pārkāpšanu lielā apmērā, k</w:t>
      </w:r>
      <w:r w:rsidR="0023735B">
        <w:rPr>
          <w:rFonts w:cs="Times New Roman"/>
          <w:color w:val="000000" w:themeColor="text1"/>
          <w:szCs w:val="24"/>
        </w:rPr>
        <w:t>as</w:t>
      </w:r>
      <w:r w:rsidR="00EA4D64">
        <w:rPr>
          <w:rFonts w:cs="Times New Roman"/>
          <w:color w:val="000000" w:themeColor="text1"/>
          <w:szCs w:val="24"/>
        </w:rPr>
        <w:t xml:space="preserve"> izpaud</w:t>
      </w:r>
      <w:r w:rsidR="0023735B">
        <w:rPr>
          <w:rFonts w:cs="Times New Roman"/>
          <w:color w:val="000000" w:themeColor="text1"/>
          <w:szCs w:val="24"/>
        </w:rPr>
        <w:t>ās</w:t>
      </w:r>
      <w:r w:rsidR="00EA4D64">
        <w:rPr>
          <w:rFonts w:cs="Times New Roman"/>
          <w:color w:val="000000" w:themeColor="text1"/>
          <w:szCs w:val="24"/>
        </w:rPr>
        <w:t xml:space="preserve"> tādējādi, ka </w:t>
      </w:r>
      <w:r w:rsidR="00F44BF5">
        <w:rPr>
          <w:rFonts w:cs="Times New Roman"/>
          <w:color w:val="000000" w:themeColor="text1"/>
          <w:szCs w:val="24"/>
        </w:rPr>
        <w:t>[pers. A]</w:t>
      </w:r>
      <w:r w:rsidR="00EA4D64">
        <w:rPr>
          <w:rFonts w:cs="Times New Roman"/>
          <w:color w:val="000000" w:themeColor="text1"/>
          <w:szCs w:val="24"/>
        </w:rPr>
        <w:t>, būdams SIA</w:t>
      </w:r>
      <w:r w:rsidR="00533499">
        <w:rPr>
          <w:rFonts w:cs="Times New Roman"/>
          <w:color w:val="000000" w:themeColor="text1"/>
          <w:szCs w:val="24"/>
        </w:rPr>
        <w:t> „</w:t>
      </w:r>
      <w:r w:rsidR="00F44BF5">
        <w:rPr>
          <w:rFonts w:cs="Times New Roman"/>
          <w:color w:val="000000" w:themeColor="text1"/>
          <w:szCs w:val="24"/>
        </w:rPr>
        <w:t>[Nosaukums </w:t>
      </w:r>
      <w:r w:rsidR="00F44BF5">
        <w:t>A]</w:t>
      </w:r>
      <w:r w:rsidR="00EA4D64">
        <w:rPr>
          <w:rFonts w:cs="Times New Roman"/>
          <w:color w:val="000000" w:themeColor="text1"/>
          <w:szCs w:val="24"/>
        </w:rPr>
        <w:t>” valdes loceklis un dalībnieks, kurš bija atbildīgs par datortehnikas iegādi un datorprogrammu legalitāti, nodrošināja to, ka uzņēmuma saimnieciskās darbības veikšanai un peļņas gūšanai SIA</w:t>
      </w:r>
      <w:r w:rsidR="000433E0">
        <w:rPr>
          <w:rFonts w:cs="Times New Roman"/>
          <w:color w:val="000000" w:themeColor="text1"/>
          <w:szCs w:val="24"/>
        </w:rPr>
        <w:t> „</w:t>
      </w:r>
      <w:r w:rsidR="00F44BF5">
        <w:rPr>
          <w:rFonts w:cs="Times New Roman"/>
          <w:color w:val="000000" w:themeColor="text1"/>
          <w:szCs w:val="24"/>
        </w:rPr>
        <w:t>[Nosaukums </w:t>
      </w:r>
      <w:r w:rsidR="00F44BF5">
        <w:t>A]</w:t>
      </w:r>
      <w:r w:rsidR="00EA4D64">
        <w:rPr>
          <w:rFonts w:cs="Times New Roman"/>
          <w:color w:val="000000" w:themeColor="text1"/>
          <w:szCs w:val="24"/>
        </w:rPr>
        <w:t>” uzņēmējdarbības veikšanas vietā</w:t>
      </w:r>
      <w:r w:rsidR="0023735B">
        <w:rPr>
          <w:rFonts w:cs="Times New Roman"/>
          <w:color w:val="000000" w:themeColor="text1"/>
          <w:szCs w:val="24"/>
        </w:rPr>
        <w:t xml:space="preserve">s, tai skaitā </w:t>
      </w:r>
      <w:r w:rsidR="00F44BF5">
        <w:rPr>
          <w:rFonts w:cs="Times New Roman"/>
          <w:color w:val="000000" w:themeColor="text1"/>
          <w:szCs w:val="24"/>
        </w:rPr>
        <w:t>[adrese]</w:t>
      </w:r>
      <w:r w:rsidR="0023735B">
        <w:rPr>
          <w:rFonts w:cs="Times New Roman"/>
          <w:color w:val="000000" w:themeColor="text1"/>
          <w:szCs w:val="24"/>
        </w:rPr>
        <w:t xml:space="preserve">, uzņēmuma datorsistēmās bez autortiesību subjekta atļaujas tika reproducēti autortiesību objekti, tai skaitā </w:t>
      </w:r>
      <w:r w:rsidR="00533AD9">
        <w:rPr>
          <w:rFonts w:cs="Times New Roman"/>
          <w:color w:val="000000" w:themeColor="text1"/>
          <w:szCs w:val="24"/>
        </w:rPr>
        <w:t>deviņas</w:t>
      </w:r>
      <w:r w:rsidR="0023735B">
        <w:rPr>
          <w:rFonts w:cs="Times New Roman"/>
          <w:color w:val="000000" w:themeColor="text1"/>
          <w:szCs w:val="24"/>
        </w:rPr>
        <w:t xml:space="preserve"> kompānijas </w:t>
      </w:r>
      <w:r w:rsidR="000433E0">
        <w:rPr>
          <w:rFonts w:cs="Times New Roman"/>
          <w:color w:val="000000" w:themeColor="text1"/>
          <w:szCs w:val="24"/>
        </w:rPr>
        <w:t>„</w:t>
      </w:r>
      <w:proofErr w:type="spellStart"/>
      <w:r w:rsidR="00991B75">
        <w:rPr>
          <w:rFonts w:cs="Times New Roman"/>
          <w:color w:val="000000" w:themeColor="text1"/>
          <w:szCs w:val="24"/>
        </w:rPr>
        <w:t>Dass</w:t>
      </w:r>
      <w:r w:rsidR="0023735B">
        <w:rPr>
          <w:rFonts w:cs="Times New Roman"/>
          <w:color w:val="000000" w:themeColor="text1"/>
          <w:szCs w:val="24"/>
        </w:rPr>
        <w:t>ault</w:t>
      </w:r>
      <w:proofErr w:type="spellEnd"/>
      <w:r w:rsidR="0023735B">
        <w:rPr>
          <w:rFonts w:cs="Times New Roman"/>
          <w:color w:val="000000" w:themeColor="text1"/>
          <w:szCs w:val="24"/>
        </w:rPr>
        <w:t xml:space="preserve"> </w:t>
      </w:r>
      <w:proofErr w:type="spellStart"/>
      <w:r w:rsidR="0023735B">
        <w:rPr>
          <w:rFonts w:cs="Times New Roman"/>
          <w:color w:val="000000" w:themeColor="text1"/>
          <w:szCs w:val="24"/>
        </w:rPr>
        <w:t>Systemes</w:t>
      </w:r>
      <w:proofErr w:type="spellEnd"/>
      <w:r w:rsidR="0023735B">
        <w:rPr>
          <w:rFonts w:cs="Times New Roman"/>
          <w:color w:val="000000" w:themeColor="text1"/>
          <w:szCs w:val="24"/>
        </w:rPr>
        <w:t xml:space="preserve"> </w:t>
      </w:r>
      <w:proofErr w:type="spellStart"/>
      <w:r w:rsidR="0023735B">
        <w:rPr>
          <w:rFonts w:cs="Times New Roman"/>
          <w:color w:val="000000" w:themeColor="text1"/>
          <w:szCs w:val="24"/>
        </w:rPr>
        <w:t>SolidWorks</w:t>
      </w:r>
      <w:proofErr w:type="spellEnd"/>
      <w:r w:rsidR="0023735B">
        <w:rPr>
          <w:rFonts w:cs="Times New Roman"/>
          <w:color w:val="000000" w:themeColor="text1"/>
          <w:szCs w:val="24"/>
        </w:rPr>
        <w:t xml:space="preserve"> </w:t>
      </w:r>
      <w:proofErr w:type="spellStart"/>
      <w:r w:rsidR="0023735B">
        <w:rPr>
          <w:rFonts w:cs="Times New Roman"/>
          <w:color w:val="000000" w:themeColor="text1"/>
          <w:szCs w:val="24"/>
        </w:rPr>
        <w:t>Corporation</w:t>
      </w:r>
      <w:proofErr w:type="spellEnd"/>
      <w:r w:rsidR="0023735B">
        <w:rPr>
          <w:rFonts w:cs="Times New Roman"/>
          <w:color w:val="000000" w:themeColor="text1"/>
          <w:szCs w:val="24"/>
        </w:rPr>
        <w:t>” datorprogrammas.</w:t>
      </w:r>
    </w:p>
    <w:p w14:paraId="0126B70A" w14:textId="193092F9" w:rsidR="006E2245" w:rsidRDefault="0023735B" w:rsidP="00426462">
      <w:pPr>
        <w:pStyle w:val="ListBullet"/>
        <w:widowControl w:val="0"/>
        <w:numPr>
          <w:ilvl w:val="0"/>
          <w:numId w:val="0"/>
        </w:numPr>
        <w:spacing w:after="0"/>
        <w:ind w:firstLine="720"/>
        <w:jc w:val="both"/>
        <w:rPr>
          <w:rFonts w:cs="Times New Roman"/>
          <w:color w:val="000000" w:themeColor="text1"/>
          <w:szCs w:val="24"/>
        </w:rPr>
      </w:pPr>
      <w:r>
        <w:rPr>
          <w:rFonts w:cs="Times New Roman"/>
          <w:color w:val="000000" w:themeColor="text1"/>
          <w:szCs w:val="24"/>
        </w:rPr>
        <w:t xml:space="preserve">Apsūdzībā norādīts, ka ar šo noziedzīgo nodarījumu pārkāptas datorprogrammu tiesību īpašnieku, tai skaitā kompānijas </w:t>
      </w:r>
      <w:r w:rsidR="00426462">
        <w:rPr>
          <w:rFonts w:cs="Times New Roman"/>
          <w:color w:val="000000" w:themeColor="text1"/>
          <w:szCs w:val="24"/>
        </w:rPr>
        <w:t>„</w:t>
      </w:r>
      <w:proofErr w:type="spellStart"/>
      <w:r w:rsidR="00991B75">
        <w:rPr>
          <w:rFonts w:cs="Times New Roman"/>
          <w:color w:val="000000" w:themeColor="text1"/>
          <w:szCs w:val="24"/>
        </w:rPr>
        <w:t>Dass</w:t>
      </w:r>
      <w:r>
        <w:rPr>
          <w:rFonts w:cs="Times New Roman"/>
          <w:color w:val="000000" w:themeColor="text1"/>
          <w:szCs w:val="24"/>
        </w:rPr>
        <w:t>ault</w:t>
      </w:r>
      <w:proofErr w:type="spellEnd"/>
      <w:r>
        <w:rPr>
          <w:rFonts w:cs="Times New Roman"/>
          <w:color w:val="000000" w:themeColor="text1"/>
          <w:szCs w:val="24"/>
        </w:rPr>
        <w:t xml:space="preserve"> </w:t>
      </w:r>
      <w:proofErr w:type="spellStart"/>
      <w:r>
        <w:rPr>
          <w:rFonts w:cs="Times New Roman"/>
          <w:color w:val="000000" w:themeColor="text1"/>
          <w:szCs w:val="24"/>
        </w:rPr>
        <w:t>Systemes</w:t>
      </w:r>
      <w:proofErr w:type="spellEnd"/>
      <w:r>
        <w:rPr>
          <w:rFonts w:cs="Times New Roman"/>
          <w:color w:val="000000" w:themeColor="text1"/>
          <w:szCs w:val="24"/>
        </w:rPr>
        <w:t xml:space="preserve"> </w:t>
      </w:r>
      <w:proofErr w:type="spellStart"/>
      <w:r>
        <w:rPr>
          <w:rFonts w:cs="Times New Roman"/>
          <w:color w:val="000000" w:themeColor="text1"/>
          <w:szCs w:val="24"/>
        </w:rPr>
        <w:t>SolidWorks</w:t>
      </w:r>
      <w:proofErr w:type="spellEnd"/>
      <w:r>
        <w:rPr>
          <w:rFonts w:cs="Times New Roman"/>
          <w:color w:val="000000" w:themeColor="text1"/>
          <w:szCs w:val="24"/>
        </w:rPr>
        <w:t xml:space="preserve"> </w:t>
      </w:r>
      <w:proofErr w:type="spellStart"/>
      <w:r>
        <w:rPr>
          <w:rFonts w:cs="Times New Roman"/>
          <w:color w:val="000000" w:themeColor="text1"/>
          <w:szCs w:val="24"/>
        </w:rPr>
        <w:t>Corporation</w:t>
      </w:r>
      <w:proofErr w:type="spellEnd"/>
      <w:r>
        <w:rPr>
          <w:rFonts w:cs="Times New Roman"/>
          <w:color w:val="000000" w:themeColor="text1"/>
          <w:szCs w:val="24"/>
        </w:rPr>
        <w:t xml:space="preserve">”, Autortiesību likuma 15. panta otrajā daļā noteiktās izņēmuma tiesības uz datorprogrammas izmantošanu, un kompānijai </w:t>
      </w:r>
      <w:r w:rsidR="00426462">
        <w:rPr>
          <w:rFonts w:cs="Times New Roman"/>
          <w:color w:val="000000" w:themeColor="text1"/>
          <w:szCs w:val="24"/>
        </w:rPr>
        <w:t>„</w:t>
      </w:r>
      <w:proofErr w:type="spellStart"/>
      <w:r w:rsidR="00991B75">
        <w:rPr>
          <w:rFonts w:cs="Times New Roman"/>
          <w:color w:val="000000" w:themeColor="text1"/>
          <w:szCs w:val="24"/>
        </w:rPr>
        <w:t>Dass</w:t>
      </w:r>
      <w:r>
        <w:rPr>
          <w:rFonts w:cs="Times New Roman"/>
          <w:color w:val="000000" w:themeColor="text1"/>
          <w:szCs w:val="24"/>
        </w:rPr>
        <w:t>ault</w:t>
      </w:r>
      <w:proofErr w:type="spellEnd"/>
      <w:r>
        <w:rPr>
          <w:rFonts w:cs="Times New Roman"/>
          <w:color w:val="000000" w:themeColor="text1"/>
          <w:szCs w:val="24"/>
        </w:rPr>
        <w:t xml:space="preserve"> </w:t>
      </w:r>
      <w:proofErr w:type="spellStart"/>
      <w:r>
        <w:rPr>
          <w:rFonts w:cs="Times New Roman"/>
          <w:color w:val="000000" w:themeColor="text1"/>
          <w:szCs w:val="24"/>
        </w:rPr>
        <w:t>Systemes</w:t>
      </w:r>
      <w:proofErr w:type="spellEnd"/>
      <w:r>
        <w:rPr>
          <w:rFonts w:cs="Times New Roman"/>
          <w:color w:val="000000" w:themeColor="text1"/>
          <w:szCs w:val="24"/>
        </w:rPr>
        <w:t xml:space="preserve"> </w:t>
      </w:r>
      <w:proofErr w:type="spellStart"/>
      <w:r>
        <w:rPr>
          <w:rFonts w:cs="Times New Roman"/>
          <w:color w:val="000000" w:themeColor="text1"/>
          <w:szCs w:val="24"/>
        </w:rPr>
        <w:t>SolidWorks</w:t>
      </w:r>
      <w:proofErr w:type="spellEnd"/>
      <w:r>
        <w:rPr>
          <w:rFonts w:cs="Times New Roman"/>
          <w:color w:val="000000" w:themeColor="text1"/>
          <w:szCs w:val="24"/>
        </w:rPr>
        <w:t xml:space="preserve"> </w:t>
      </w:r>
      <w:proofErr w:type="spellStart"/>
      <w:r>
        <w:rPr>
          <w:rFonts w:cs="Times New Roman"/>
          <w:color w:val="000000" w:themeColor="text1"/>
          <w:szCs w:val="24"/>
        </w:rPr>
        <w:t>Corporation</w:t>
      </w:r>
      <w:proofErr w:type="spellEnd"/>
      <w:r>
        <w:rPr>
          <w:rFonts w:cs="Times New Roman"/>
          <w:color w:val="000000" w:themeColor="text1"/>
          <w:szCs w:val="24"/>
        </w:rPr>
        <w:t>” nodarīts mantisks zaudējums 80</w:t>
      </w:r>
      <w:r w:rsidR="00426462">
        <w:rPr>
          <w:rFonts w:cs="Times New Roman"/>
          <w:color w:val="000000" w:themeColor="text1"/>
          <w:szCs w:val="24"/>
        </w:rPr>
        <w:t> </w:t>
      </w:r>
      <w:r>
        <w:rPr>
          <w:rFonts w:cs="Times New Roman"/>
          <w:color w:val="000000" w:themeColor="text1"/>
          <w:szCs w:val="24"/>
        </w:rPr>
        <w:t>400</w:t>
      </w:r>
      <w:r w:rsidR="00426462">
        <w:rPr>
          <w:rFonts w:cs="Times New Roman"/>
          <w:color w:val="000000" w:themeColor="text1"/>
          <w:szCs w:val="24"/>
        </w:rPr>
        <w:t> </w:t>
      </w:r>
      <w:r>
        <w:rPr>
          <w:rFonts w:cs="Times New Roman"/>
          <w:i/>
          <w:iCs/>
          <w:color w:val="000000" w:themeColor="text1"/>
          <w:szCs w:val="24"/>
        </w:rPr>
        <w:t>euro</w:t>
      </w:r>
      <w:r>
        <w:rPr>
          <w:rFonts w:cs="Times New Roman"/>
          <w:color w:val="000000" w:themeColor="text1"/>
          <w:szCs w:val="24"/>
        </w:rPr>
        <w:t>.</w:t>
      </w:r>
    </w:p>
    <w:p w14:paraId="4B738069" w14:textId="170016FD" w:rsidR="004A6A93" w:rsidRDefault="002A3EEC" w:rsidP="00426462">
      <w:pPr>
        <w:pStyle w:val="ListBullet"/>
        <w:widowControl w:val="0"/>
        <w:numPr>
          <w:ilvl w:val="0"/>
          <w:numId w:val="0"/>
        </w:numPr>
        <w:spacing w:after="0"/>
        <w:ind w:firstLine="720"/>
        <w:jc w:val="both"/>
        <w:rPr>
          <w:rFonts w:cs="Times New Roman"/>
          <w:color w:val="000000" w:themeColor="text1"/>
          <w:szCs w:val="24"/>
        </w:rPr>
      </w:pPr>
      <w:bookmarkStart w:id="3" w:name="_Hlk130292471"/>
      <w:r>
        <w:rPr>
          <w:rFonts w:cs="Times New Roman"/>
          <w:color w:val="000000" w:themeColor="text1"/>
          <w:szCs w:val="24"/>
        </w:rPr>
        <w:t xml:space="preserve">2019. gada 25. novembrī prokurore grozījusi </w:t>
      </w:r>
      <w:r w:rsidR="00F44BF5">
        <w:rPr>
          <w:rFonts w:cs="Times New Roman"/>
          <w:color w:val="000000" w:themeColor="text1"/>
          <w:szCs w:val="24"/>
        </w:rPr>
        <w:t>[pers. A]</w:t>
      </w:r>
      <w:r>
        <w:rPr>
          <w:rFonts w:cs="Times New Roman"/>
          <w:color w:val="000000" w:themeColor="text1"/>
          <w:szCs w:val="24"/>
        </w:rPr>
        <w:t xml:space="preserve"> šajā daļā celto apsūdzību, ietverot tajā norādi</w:t>
      </w:r>
      <w:r w:rsidR="000433E0">
        <w:rPr>
          <w:rFonts w:cs="Times New Roman"/>
          <w:color w:val="000000" w:themeColor="text1"/>
          <w:szCs w:val="24"/>
        </w:rPr>
        <w:t xml:space="preserve"> par to</w:t>
      </w:r>
      <w:r>
        <w:rPr>
          <w:rFonts w:cs="Times New Roman"/>
          <w:color w:val="000000" w:themeColor="text1"/>
          <w:szCs w:val="24"/>
        </w:rPr>
        <w:t>, kā izpaudusies autortiesību objektu – datorprogrammu – reproducēšana</w:t>
      </w:r>
      <w:r w:rsidR="004D4F25">
        <w:rPr>
          <w:rFonts w:cs="Times New Roman"/>
          <w:color w:val="000000" w:themeColor="text1"/>
          <w:szCs w:val="24"/>
        </w:rPr>
        <w:t xml:space="preserve"> bez autortiesību subjekta atļaujas</w:t>
      </w:r>
      <w:r>
        <w:rPr>
          <w:rFonts w:cs="Times New Roman"/>
          <w:color w:val="000000" w:themeColor="text1"/>
          <w:szCs w:val="24"/>
        </w:rPr>
        <w:t xml:space="preserve">, proti, nelegāli </w:t>
      </w:r>
      <w:r w:rsidRPr="002B28BC">
        <w:rPr>
          <w:rFonts w:cs="Times New Roman"/>
          <w:color w:val="000000" w:themeColor="text1"/>
          <w:szCs w:val="24"/>
        </w:rPr>
        <w:t>(instalējot)</w:t>
      </w:r>
      <w:r>
        <w:rPr>
          <w:rFonts w:cs="Times New Roman"/>
          <w:color w:val="000000" w:themeColor="text1"/>
          <w:szCs w:val="24"/>
        </w:rPr>
        <w:t xml:space="preserve"> izgatavotas datorprogrammu kopijas</w:t>
      </w:r>
      <w:r w:rsidR="004A6A93">
        <w:rPr>
          <w:rFonts w:cs="Times New Roman"/>
          <w:color w:val="000000" w:themeColor="text1"/>
          <w:szCs w:val="24"/>
        </w:rPr>
        <w:t>, un pēc to izgatavošanas datorprogrammas pastāvīgi uzglabātas elektroniskā veidā.</w:t>
      </w:r>
      <w:bookmarkEnd w:id="3"/>
    </w:p>
    <w:p w14:paraId="585A160B" w14:textId="2D396604" w:rsidR="008D6861" w:rsidRDefault="004A6A93" w:rsidP="00426462">
      <w:pPr>
        <w:pStyle w:val="ListBullet"/>
        <w:widowControl w:val="0"/>
        <w:numPr>
          <w:ilvl w:val="0"/>
          <w:numId w:val="0"/>
        </w:numPr>
        <w:spacing w:after="0"/>
        <w:ind w:firstLine="720"/>
        <w:jc w:val="both"/>
        <w:rPr>
          <w:rFonts w:cs="Times New Roman"/>
          <w:i/>
          <w:iCs/>
          <w:color w:val="000000" w:themeColor="text1"/>
          <w:szCs w:val="24"/>
        </w:rPr>
      </w:pPr>
      <w:r>
        <w:rPr>
          <w:rFonts w:cs="Times New Roman"/>
          <w:color w:val="000000" w:themeColor="text1"/>
          <w:szCs w:val="24"/>
        </w:rPr>
        <w:t>Senāts</w:t>
      </w:r>
      <w:r w:rsidR="002A1BDE">
        <w:rPr>
          <w:rFonts w:cs="Times New Roman"/>
          <w:color w:val="000000" w:themeColor="text1"/>
          <w:szCs w:val="24"/>
        </w:rPr>
        <w:t xml:space="preserve">, aplūkojot Kriminālprocesa likuma 461. un 462. panta normas, kas noteic prokurora pienākumu grozīt apsūdzību un reglamentē apsūdzības grozīšanu iztiesāšanas gaitā, kopsakarā ar Kriminālprocesa likuma 455. panta trešo daļu, kas paredz tiesas tiesības atzīt par pierādītiem no apsūdzības atšķirīgus noziedzīgā nodarījuma faktiskos apstākļus, </w:t>
      </w:r>
      <w:r>
        <w:rPr>
          <w:rFonts w:cs="Times New Roman"/>
          <w:color w:val="000000" w:themeColor="text1"/>
          <w:szCs w:val="24"/>
        </w:rPr>
        <w:t xml:space="preserve">jau iepriekš norādījis, ka </w:t>
      </w:r>
      <w:r w:rsidR="00114C29">
        <w:rPr>
          <w:rFonts w:cs="Times New Roman"/>
          <w:color w:val="000000" w:themeColor="text1"/>
          <w:szCs w:val="24"/>
        </w:rPr>
        <w:t>apsūdzības grozīšana ir pieļaujama arī apelācijas instances tiesā, ja ar to nepasliktinās apsūdzētā stāvoklis un netiek pārkāptas viņa tiesības uz aizstāvību (</w:t>
      </w:r>
      <w:r w:rsidR="00114C29">
        <w:rPr>
          <w:rFonts w:cs="Times New Roman"/>
          <w:i/>
          <w:iCs/>
          <w:color w:val="000000" w:themeColor="text1"/>
          <w:szCs w:val="24"/>
        </w:rPr>
        <w:t>Senāta 2021. gada 16. februāra lēmum</w:t>
      </w:r>
      <w:r w:rsidR="008D6861">
        <w:rPr>
          <w:rFonts w:cs="Times New Roman"/>
          <w:i/>
          <w:iCs/>
          <w:color w:val="000000" w:themeColor="text1"/>
          <w:szCs w:val="24"/>
        </w:rPr>
        <w:t>a</w:t>
      </w:r>
      <w:r w:rsidR="00114C29">
        <w:rPr>
          <w:rFonts w:cs="Times New Roman"/>
          <w:i/>
          <w:iCs/>
          <w:color w:val="000000" w:themeColor="text1"/>
          <w:szCs w:val="24"/>
        </w:rPr>
        <w:t xml:space="preserve"> lietā Nr. SKK-15/2021, ECLI:LV:AT:2021:0216.1583</w:t>
      </w:r>
      <w:r w:rsidR="008D6861">
        <w:rPr>
          <w:rFonts w:cs="Times New Roman"/>
          <w:i/>
          <w:iCs/>
          <w:color w:val="000000" w:themeColor="text1"/>
          <w:szCs w:val="24"/>
        </w:rPr>
        <w:t>0022112.7.L</w:t>
      </w:r>
      <w:r w:rsidR="006E57FE">
        <w:rPr>
          <w:rFonts w:cs="Times New Roman"/>
          <w:i/>
          <w:iCs/>
          <w:color w:val="000000" w:themeColor="text1"/>
          <w:szCs w:val="24"/>
        </w:rPr>
        <w:t>,</w:t>
      </w:r>
      <w:r w:rsidR="000433E0">
        <w:rPr>
          <w:rFonts w:cs="Times New Roman"/>
          <w:i/>
          <w:iCs/>
          <w:color w:val="000000" w:themeColor="text1"/>
          <w:szCs w:val="24"/>
        </w:rPr>
        <w:t xml:space="preserve"> 16.2 punkts</w:t>
      </w:r>
      <w:r w:rsidR="008D6861">
        <w:rPr>
          <w:rFonts w:cs="Times New Roman"/>
          <w:i/>
          <w:iCs/>
          <w:color w:val="000000" w:themeColor="text1"/>
          <w:szCs w:val="24"/>
        </w:rPr>
        <w:t>).</w:t>
      </w:r>
    </w:p>
    <w:p w14:paraId="5FBB02F8" w14:textId="2CE36511" w:rsidR="004A6A93" w:rsidRDefault="008D6861" w:rsidP="00426462">
      <w:pPr>
        <w:pStyle w:val="ListBullet"/>
        <w:widowControl w:val="0"/>
        <w:numPr>
          <w:ilvl w:val="0"/>
          <w:numId w:val="0"/>
        </w:numPr>
        <w:spacing w:after="0"/>
        <w:ind w:firstLine="720"/>
        <w:jc w:val="both"/>
        <w:rPr>
          <w:rFonts w:cs="Times New Roman"/>
          <w:color w:val="000000" w:themeColor="text1"/>
          <w:szCs w:val="24"/>
        </w:rPr>
      </w:pPr>
      <w:r>
        <w:rPr>
          <w:rFonts w:cs="Times New Roman"/>
          <w:color w:val="000000" w:themeColor="text1"/>
          <w:szCs w:val="24"/>
        </w:rPr>
        <w:t>Savukārt izvērtējot, vai grozītie noziedzīgā nodarījuma faktiskie apstākļi aizskar vai neaizskar apsūdzētās personas tiesības uz aizstāvību, izšķiroša nozīme ir tam, vai, pirmkārt, šie apstākļi, lai gan iepriekš celtajā apsūdzībā nebija norādīti vai bija norādīti savādāk, apsūdzētajam faktiski bija zināmi, un līdz ar to viņš attiecībā uz tiem varēja īstenot savu aizstāvību un, otrkārt, vai šiem apstākļiem vispār ir nozīme aizstāvības īstenošanā (</w:t>
      </w:r>
      <w:r>
        <w:rPr>
          <w:rFonts w:cs="Times New Roman"/>
          <w:i/>
          <w:iCs/>
          <w:color w:val="000000" w:themeColor="text1"/>
          <w:szCs w:val="24"/>
        </w:rPr>
        <w:t>Senāta 2009. gada 28. maija lēmums lietā Nr. SKK-84/2009</w:t>
      </w:r>
      <w:r w:rsidR="000433E0">
        <w:rPr>
          <w:rFonts w:cs="Times New Roman"/>
          <w:i/>
          <w:iCs/>
          <w:color w:val="000000" w:themeColor="text1"/>
          <w:szCs w:val="24"/>
        </w:rPr>
        <w:t>,</w:t>
      </w:r>
      <w:r w:rsidR="006E57FE">
        <w:rPr>
          <w:rFonts w:cs="Times New Roman"/>
          <w:i/>
          <w:iCs/>
          <w:color w:val="000000" w:themeColor="text1"/>
          <w:szCs w:val="24"/>
        </w:rPr>
        <w:t xml:space="preserve"> </w:t>
      </w:r>
      <w:r>
        <w:rPr>
          <w:rFonts w:cs="Times New Roman"/>
          <w:i/>
          <w:iCs/>
          <w:color w:val="000000" w:themeColor="text1"/>
          <w:szCs w:val="24"/>
        </w:rPr>
        <w:t xml:space="preserve">11512000204, 2013. gada </w:t>
      </w:r>
      <w:r w:rsidR="00C60459">
        <w:rPr>
          <w:rFonts w:cs="Times New Roman"/>
          <w:i/>
          <w:iCs/>
          <w:color w:val="000000" w:themeColor="text1"/>
          <w:szCs w:val="24"/>
        </w:rPr>
        <w:t>21. novembra lēmums lietā Nr. SKK-453/2013</w:t>
      </w:r>
      <w:r w:rsidR="000433E0">
        <w:rPr>
          <w:rFonts w:cs="Times New Roman"/>
          <w:i/>
          <w:iCs/>
          <w:color w:val="000000" w:themeColor="text1"/>
          <w:szCs w:val="24"/>
        </w:rPr>
        <w:t xml:space="preserve">, </w:t>
      </w:r>
      <w:r w:rsidR="00C60459">
        <w:rPr>
          <w:rFonts w:cs="Times New Roman"/>
          <w:i/>
          <w:iCs/>
          <w:color w:val="000000" w:themeColor="text1"/>
          <w:szCs w:val="24"/>
        </w:rPr>
        <w:t>11220032708, 2018. gada 27. aprīļa lēmums lietā Nr. SKK</w:t>
      </w:r>
      <w:r w:rsidR="00C60459">
        <w:rPr>
          <w:rFonts w:cs="Times New Roman"/>
          <w:i/>
          <w:iCs/>
          <w:color w:val="000000" w:themeColor="text1"/>
          <w:szCs w:val="24"/>
        </w:rPr>
        <w:noBreakHyphen/>
        <w:t>21/2018, ECLI:LV:AT:2018:0427.15830105308.1.L</w:t>
      </w:r>
      <w:r w:rsidR="00C60459">
        <w:rPr>
          <w:rFonts w:cs="Times New Roman"/>
          <w:color w:val="000000" w:themeColor="text1"/>
          <w:szCs w:val="24"/>
        </w:rPr>
        <w:t>).</w:t>
      </w:r>
    </w:p>
    <w:p w14:paraId="5C12DFAD" w14:textId="7884DE1C" w:rsidR="002C61B7" w:rsidRDefault="00697DA0" w:rsidP="00426462">
      <w:pPr>
        <w:pStyle w:val="ListBullet"/>
        <w:widowControl w:val="0"/>
        <w:numPr>
          <w:ilvl w:val="0"/>
          <w:numId w:val="0"/>
        </w:numPr>
        <w:spacing w:after="0"/>
        <w:ind w:firstLine="720"/>
        <w:jc w:val="both"/>
        <w:rPr>
          <w:rFonts w:cs="Times New Roman"/>
          <w:color w:val="000000" w:themeColor="text1"/>
          <w:szCs w:val="24"/>
        </w:rPr>
      </w:pPr>
      <w:r>
        <w:rPr>
          <w:rFonts w:cs="Times New Roman"/>
          <w:color w:val="000000" w:themeColor="text1"/>
          <w:szCs w:val="24"/>
        </w:rPr>
        <w:t xml:space="preserve">Apelācijas instances tiesa </w:t>
      </w:r>
      <w:proofErr w:type="gramStart"/>
      <w:r>
        <w:rPr>
          <w:rFonts w:cs="Times New Roman"/>
          <w:color w:val="000000" w:themeColor="text1"/>
          <w:szCs w:val="24"/>
        </w:rPr>
        <w:t>argumentēti</w:t>
      </w:r>
      <w:proofErr w:type="gramEnd"/>
      <w:r>
        <w:rPr>
          <w:rFonts w:cs="Times New Roman"/>
          <w:color w:val="000000" w:themeColor="text1"/>
          <w:szCs w:val="24"/>
        </w:rPr>
        <w:t xml:space="preserve"> atzinusi, ka apelācijas instances tiesā 2019. gada 25. novembrī grozītajā apsūdzībā atklātais reproducēšanas </w:t>
      </w:r>
      <w:r w:rsidR="001327FF">
        <w:rPr>
          <w:rFonts w:cs="Times New Roman"/>
          <w:color w:val="000000" w:themeColor="text1"/>
          <w:szCs w:val="24"/>
        </w:rPr>
        <w:t xml:space="preserve">bez autortiesību subjekta atļaujas </w:t>
      </w:r>
      <w:r>
        <w:rPr>
          <w:rFonts w:cs="Times New Roman"/>
          <w:color w:val="000000" w:themeColor="text1"/>
          <w:szCs w:val="24"/>
        </w:rPr>
        <w:t xml:space="preserve">saturs, proti, tas, ka reproducēšana </w:t>
      </w:r>
      <w:r w:rsidR="001327FF">
        <w:rPr>
          <w:rFonts w:cs="Times New Roman"/>
          <w:color w:val="000000" w:themeColor="text1"/>
          <w:szCs w:val="24"/>
        </w:rPr>
        <w:t xml:space="preserve">bez autortiesību subjekta atļaujas </w:t>
      </w:r>
      <w:r>
        <w:rPr>
          <w:rFonts w:cs="Times New Roman"/>
          <w:color w:val="000000" w:themeColor="text1"/>
          <w:szCs w:val="24"/>
        </w:rPr>
        <w:t xml:space="preserve">izpaudusies kā kompānijai piederošo </w:t>
      </w:r>
      <w:r w:rsidR="00533AD9">
        <w:rPr>
          <w:rFonts w:cs="Times New Roman"/>
          <w:color w:val="000000" w:themeColor="text1"/>
          <w:szCs w:val="24"/>
        </w:rPr>
        <w:t>deviņu</w:t>
      </w:r>
      <w:r>
        <w:rPr>
          <w:rFonts w:cs="Times New Roman"/>
          <w:color w:val="000000" w:themeColor="text1"/>
          <w:szCs w:val="24"/>
        </w:rPr>
        <w:t xml:space="preserve"> datorprogrammu</w:t>
      </w:r>
      <w:r w:rsidR="001327FF">
        <w:rPr>
          <w:rFonts w:cs="Times New Roman"/>
          <w:color w:val="000000" w:themeColor="text1"/>
          <w:szCs w:val="24"/>
        </w:rPr>
        <w:t xml:space="preserve"> kopiju nelegāla izgatavošana (instalējot) un pēc to izgatavošanas datorprogrammu </w:t>
      </w:r>
      <w:r w:rsidR="00184E66">
        <w:rPr>
          <w:rFonts w:cs="Times New Roman"/>
          <w:color w:val="000000" w:themeColor="text1"/>
          <w:szCs w:val="24"/>
        </w:rPr>
        <w:t xml:space="preserve">kopiju </w:t>
      </w:r>
      <w:r w:rsidR="001327FF">
        <w:rPr>
          <w:rFonts w:cs="Times New Roman"/>
          <w:color w:val="000000" w:themeColor="text1"/>
          <w:szCs w:val="24"/>
        </w:rPr>
        <w:t xml:space="preserve">pastāvīga uzglabāšana elektroniskā veidā, nepasliktina apsūdzētā stāvokli un nepārkāpj viņa tiesības uz aizstāvību, jo, lai arī sākotnējā apsūdzībā reproducēšanas bez autortiesību subjekta atļaujas saturs nebija atklāts, apsūdzētajam </w:t>
      </w:r>
      <w:r w:rsidR="0047798B">
        <w:rPr>
          <w:rFonts w:cs="Times New Roman"/>
          <w:color w:val="000000" w:themeColor="text1"/>
          <w:szCs w:val="24"/>
        </w:rPr>
        <w:t>[pers. </w:t>
      </w:r>
      <w:r w:rsidR="0047798B">
        <w:t>A]</w:t>
      </w:r>
      <w:r w:rsidR="001327FF">
        <w:rPr>
          <w:rFonts w:cs="Times New Roman"/>
          <w:color w:val="000000" w:themeColor="text1"/>
          <w:szCs w:val="24"/>
        </w:rPr>
        <w:t xml:space="preserve"> jau no kriminālprocesa uzsākšanas brīža bija zināmi </w:t>
      </w:r>
      <w:r w:rsidR="00C529F0">
        <w:rPr>
          <w:rFonts w:cs="Times New Roman"/>
          <w:color w:val="000000" w:themeColor="text1"/>
          <w:szCs w:val="24"/>
        </w:rPr>
        <w:t>policijas pārbaudes laikā SIA</w:t>
      </w:r>
      <w:r w:rsidR="00426462">
        <w:rPr>
          <w:rFonts w:cs="Times New Roman"/>
          <w:color w:val="000000" w:themeColor="text1"/>
          <w:szCs w:val="24"/>
        </w:rPr>
        <w:t> „</w:t>
      </w:r>
      <w:r w:rsidR="0047798B">
        <w:rPr>
          <w:rFonts w:cs="Times New Roman"/>
          <w:color w:val="000000" w:themeColor="text1"/>
          <w:szCs w:val="24"/>
        </w:rPr>
        <w:t>[Nosaukums </w:t>
      </w:r>
      <w:r w:rsidR="0047798B">
        <w:t>A]</w:t>
      </w:r>
      <w:r w:rsidR="00C529F0">
        <w:rPr>
          <w:rFonts w:cs="Times New Roman"/>
          <w:color w:val="000000" w:themeColor="text1"/>
          <w:szCs w:val="24"/>
        </w:rPr>
        <w:t>” konstatētie fakti un apstākļi, kas ar 2019. gada 25. novembra apsūdzības grozījumiem tika iekļauti apsūdzībā.</w:t>
      </w:r>
    </w:p>
    <w:p w14:paraId="61832D89" w14:textId="2EC7F66F" w:rsidR="001113D6" w:rsidRDefault="00C529F0" w:rsidP="00426462">
      <w:pPr>
        <w:pStyle w:val="ListBullet"/>
        <w:widowControl w:val="0"/>
        <w:numPr>
          <w:ilvl w:val="0"/>
          <w:numId w:val="0"/>
        </w:numPr>
        <w:spacing w:after="0"/>
        <w:ind w:firstLine="720"/>
        <w:jc w:val="both"/>
        <w:rPr>
          <w:rFonts w:cs="Times New Roman"/>
          <w:color w:val="000000" w:themeColor="text1"/>
          <w:szCs w:val="24"/>
        </w:rPr>
      </w:pPr>
      <w:r>
        <w:rPr>
          <w:rFonts w:cs="Times New Roman"/>
          <w:color w:val="000000" w:themeColor="text1"/>
          <w:szCs w:val="24"/>
        </w:rPr>
        <w:t xml:space="preserve">Senātam nav pamata apšaubīt šādus apelācijas instances tiesas atzinumus. No pirmās instances tiesas </w:t>
      </w:r>
      <w:r w:rsidR="00D72F9F">
        <w:rPr>
          <w:rFonts w:cs="Times New Roman"/>
          <w:color w:val="000000" w:themeColor="text1"/>
          <w:szCs w:val="24"/>
        </w:rPr>
        <w:t>2016. gada 13. jūnija sēd</w:t>
      </w:r>
      <w:r w:rsidR="00AB6474">
        <w:rPr>
          <w:rFonts w:cs="Times New Roman"/>
          <w:color w:val="000000" w:themeColor="text1"/>
          <w:szCs w:val="24"/>
        </w:rPr>
        <w:t>es protokola un skaņu ieraksta izriet, ka</w:t>
      </w:r>
      <w:r w:rsidR="002C61B7">
        <w:rPr>
          <w:rFonts w:cs="Times New Roman"/>
          <w:color w:val="000000" w:themeColor="text1"/>
          <w:szCs w:val="24"/>
        </w:rPr>
        <w:t xml:space="preserve"> </w:t>
      </w:r>
      <w:r w:rsidR="00D72F9F">
        <w:rPr>
          <w:rFonts w:cs="Times New Roman"/>
          <w:color w:val="000000" w:themeColor="text1"/>
          <w:szCs w:val="24"/>
        </w:rPr>
        <w:t>pēc tam, kad prokurore bija izklāstījusi</w:t>
      </w:r>
      <w:r w:rsidR="002C61B7">
        <w:rPr>
          <w:rFonts w:cs="Times New Roman"/>
          <w:color w:val="000000" w:themeColor="text1"/>
          <w:szCs w:val="24"/>
        </w:rPr>
        <w:t xml:space="preserve"> celto apsūdzību</w:t>
      </w:r>
      <w:r w:rsidR="00AB6474">
        <w:rPr>
          <w:rFonts w:cs="Times New Roman"/>
          <w:color w:val="000000" w:themeColor="text1"/>
          <w:szCs w:val="24"/>
        </w:rPr>
        <w:t xml:space="preserve">, tai skaitā par datorprogrammu reproducēšanas bez autortiesību subjekta atļaujas nodrošināšanu, apsūdzētais </w:t>
      </w:r>
      <w:r w:rsidR="0047798B">
        <w:rPr>
          <w:rFonts w:cs="Times New Roman"/>
          <w:color w:val="000000" w:themeColor="text1"/>
          <w:szCs w:val="24"/>
        </w:rPr>
        <w:t>[pers. </w:t>
      </w:r>
      <w:r w:rsidR="0047798B">
        <w:t>A]</w:t>
      </w:r>
      <w:r w:rsidR="00AB6474">
        <w:rPr>
          <w:rFonts w:cs="Times New Roman"/>
          <w:color w:val="000000" w:themeColor="text1"/>
          <w:szCs w:val="24"/>
        </w:rPr>
        <w:t xml:space="preserve"> arī bez </w:t>
      </w:r>
      <w:r w:rsidR="004D4F25">
        <w:rPr>
          <w:rFonts w:cs="Times New Roman"/>
          <w:color w:val="000000" w:themeColor="text1"/>
          <w:szCs w:val="24"/>
        </w:rPr>
        <w:t xml:space="preserve">papildu </w:t>
      </w:r>
      <w:r w:rsidR="00AB6474">
        <w:rPr>
          <w:rFonts w:cs="Times New Roman"/>
          <w:color w:val="000000" w:themeColor="text1"/>
          <w:szCs w:val="24"/>
        </w:rPr>
        <w:t xml:space="preserve">skaidrojuma norādījis, ka celtā apsūdzība viņam saprotama, savu vainīgumu inkriminētajā noziedzīgajā nodarījumā viņš neatzīst. No lietas materiāliem izriet, ka visā turpmākajā lietas iztiesāšanas gaitā apsūdzētais </w:t>
      </w:r>
      <w:r w:rsidR="004D4F25">
        <w:rPr>
          <w:rFonts w:cs="Times New Roman"/>
          <w:color w:val="000000" w:themeColor="text1"/>
          <w:szCs w:val="24"/>
        </w:rPr>
        <w:t xml:space="preserve">īstenojis aizstāvību pret viņam celto apsūdzību par datorprogrammu reproducēšanas bez autortiesību subjekta atļaujas nodrošināšanu atbilstoši tiem faktiskajiem apstākļiem, kas vēlāk ar 2019. gada 25. novembra apsūdzības grozījumiem tika iekļauti apsūdzībā. Turklāt ievērojot to, ka jau sākotnēji </w:t>
      </w:r>
      <w:r w:rsidR="0047798B">
        <w:rPr>
          <w:rFonts w:cs="Times New Roman"/>
          <w:color w:val="000000" w:themeColor="text1"/>
          <w:szCs w:val="24"/>
        </w:rPr>
        <w:t>[pers. </w:t>
      </w:r>
      <w:r w:rsidR="0047798B">
        <w:t>A]</w:t>
      </w:r>
      <w:r w:rsidR="004D4F25">
        <w:rPr>
          <w:rFonts w:cs="Times New Roman"/>
          <w:color w:val="000000" w:themeColor="text1"/>
          <w:szCs w:val="24"/>
        </w:rPr>
        <w:t xml:space="preserve"> tika celta apsūdzība par </w:t>
      </w:r>
      <w:r w:rsidR="00F07101">
        <w:rPr>
          <w:rFonts w:cs="Times New Roman"/>
          <w:color w:val="000000" w:themeColor="text1"/>
          <w:szCs w:val="24"/>
        </w:rPr>
        <w:t>datorprogrammu reproducēšanas bez autortiesību subjekta atļaujas nodrošināšanu, bet ar 2019. gada 25. novembra grozījumiem šī apsūdzība tika papildināta vienīgi ar skaidrojumu par to, kā šī datorprogrammu reproducēšana bez autortiesību subjekta atļaujas izpaudusies, par nepamatotiem atzīstami kasācijas sūdzībā paustie apgalvojumi, ka nav tikusi nodrošināta apsūdzības pārbaudīšana divās</w:t>
      </w:r>
      <w:r w:rsidR="002C4BA3">
        <w:rPr>
          <w:rFonts w:cs="Times New Roman"/>
          <w:color w:val="000000" w:themeColor="text1"/>
          <w:szCs w:val="24"/>
        </w:rPr>
        <w:t xml:space="preserve"> tiesu instancēs, jo pirmās instances tiesa ir taisījusi spriedumu par vienu apsūdzību, bet apelācijas instances tiesa – par citu.</w:t>
      </w:r>
    </w:p>
    <w:p w14:paraId="704C6840" w14:textId="22031E59" w:rsidR="00884AF6" w:rsidRDefault="001113D6" w:rsidP="00426462">
      <w:pPr>
        <w:pStyle w:val="ListBullet"/>
        <w:widowControl w:val="0"/>
        <w:numPr>
          <w:ilvl w:val="0"/>
          <w:numId w:val="0"/>
        </w:numPr>
        <w:spacing w:after="0"/>
        <w:ind w:firstLine="720"/>
        <w:jc w:val="both"/>
        <w:rPr>
          <w:rFonts w:cs="Times New Roman"/>
          <w:color w:val="000000" w:themeColor="text1"/>
          <w:szCs w:val="24"/>
        </w:rPr>
      </w:pPr>
      <w:r>
        <w:rPr>
          <w:rFonts w:cs="Times New Roman"/>
          <w:color w:val="000000" w:themeColor="text1"/>
          <w:szCs w:val="24"/>
        </w:rPr>
        <w:t xml:space="preserve">Senāts atzīst, ka </w:t>
      </w:r>
      <w:r w:rsidR="0047798B">
        <w:rPr>
          <w:rFonts w:cs="Times New Roman"/>
          <w:color w:val="000000" w:themeColor="text1"/>
          <w:szCs w:val="24"/>
        </w:rPr>
        <w:t>[pers. A]</w:t>
      </w:r>
      <w:r>
        <w:rPr>
          <w:rFonts w:cs="Times New Roman"/>
          <w:color w:val="000000" w:themeColor="text1"/>
          <w:szCs w:val="24"/>
        </w:rPr>
        <w:t xml:space="preserve"> celtā apsūdzība atbilst Kriminālprocesa likuma 405. pantam, kas reglamentē apsūdzības saturu. </w:t>
      </w:r>
      <w:r w:rsidR="00E07644">
        <w:rPr>
          <w:rFonts w:cs="Times New Roman"/>
          <w:color w:val="000000" w:themeColor="text1"/>
          <w:szCs w:val="24"/>
        </w:rPr>
        <w:t>Apsūdzībā ir norādīti inkriminētā noziedzīgā nodarījuma faktiskie apstākļi, kas atklāj noziedzīgā nodarījuma sastāva pazīm</w:t>
      </w:r>
      <w:r w:rsidR="00CF24D1">
        <w:rPr>
          <w:rFonts w:cs="Times New Roman"/>
          <w:color w:val="000000" w:themeColor="text1"/>
          <w:szCs w:val="24"/>
        </w:rPr>
        <w:t xml:space="preserve">es </w:t>
      </w:r>
      <w:r w:rsidR="00E07644">
        <w:rPr>
          <w:rFonts w:cs="Times New Roman"/>
          <w:color w:val="000000" w:themeColor="text1"/>
          <w:szCs w:val="24"/>
        </w:rPr>
        <w:t xml:space="preserve">un nosaka nodarījuma juridisko kvalifikāciju. Celtā apsūdzība nepārprotami raksturo </w:t>
      </w:r>
      <w:r w:rsidR="0047798B">
        <w:rPr>
          <w:rFonts w:cs="Times New Roman"/>
          <w:color w:val="000000" w:themeColor="text1"/>
          <w:szCs w:val="24"/>
        </w:rPr>
        <w:t>[pers. A]</w:t>
      </w:r>
      <w:r w:rsidR="00E07644">
        <w:rPr>
          <w:rFonts w:cs="Times New Roman"/>
          <w:color w:val="000000" w:themeColor="text1"/>
          <w:szCs w:val="24"/>
        </w:rPr>
        <w:t xml:space="preserve"> inkriminēto noziedzīgo nodarījumu un ļauj pret to aizstāvēties. Apsūdzībā ir norādīts uz apsūdzētā </w:t>
      </w:r>
      <w:r w:rsidR="0047798B">
        <w:rPr>
          <w:rFonts w:cs="Times New Roman"/>
          <w:color w:val="000000" w:themeColor="text1"/>
          <w:szCs w:val="24"/>
        </w:rPr>
        <w:t>[pers. A]</w:t>
      </w:r>
      <w:r w:rsidR="00E07644">
        <w:rPr>
          <w:rFonts w:cs="Times New Roman"/>
          <w:color w:val="000000" w:themeColor="text1"/>
          <w:szCs w:val="24"/>
        </w:rPr>
        <w:t xml:space="preserve"> apzinātu, viņa gribai atbilstošu kaitīgu un prettiesisku uzvedību, kas izpaudusies autortiesību pārkāpšanā lielā apmērā. Ievērojot to, ka apsūdzētajam </w:t>
      </w:r>
      <w:r w:rsidR="0047798B">
        <w:rPr>
          <w:rFonts w:cs="Times New Roman"/>
          <w:color w:val="000000" w:themeColor="text1"/>
          <w:szCs w:val="24"/>
        </w:rPr>
        <w:t>[pers. A]</w:t>
      </w:r>
      <w:r w:rsidR="00E07644">
        <w:rPr>
          <w:rFonts w:cs="Times New Roman"/>
          <w:color w:val="000000" w:themeColor="text1"/>
          <w:szCs w:val="24"/>
        </w:rPr>
        <w:t xml:space="preserve"> inkriminēto noziedzīgo nodarījumu var izdarīt tikai ar tiešu nodomu</w:t>
      </w:r>
      <w:r w:rsidR="00EF1FB1">
        <w:rPr>
          <w:rFonts w:cs="Times New Roman"/>
          <w:color w:val="000000" w:themeColor="text1"/>
          <w:szCs w:val="24"/>
        </w:rPr>
        <w:t>, Senāts atzīst par nepamatotu kasācijas sūdzībā ietverto apgalvojumu, ka, celt</w:t>
      </w:r>
      <w:r w:rsidR="00884AF6">
        <w:rPr>
          <w:rFonts w:cs="Times New Roman"/>
          <w:color w:val="000000" w:themeColor="text1"/>
          <w:szCs w:val="24"/>
        </w:rPr>
        <w:t>ā</w:t>
      </w:r>
      <w:r w:rsidR="00EF1FB1">
        <w:rPr>
          <w:rFonts w:cs="Times New Roman"/>
          <w:color w:val="000000" w:themeColor="text1"/>
          <w:szCs w:val="24"/>
        </w:rPr>
        <w:t xml:space="preserve"> apsūdzīb</w:t>
      </w:r>
      <w:r w:rsidR="00884AF6">
        <w:rPr>
          <w:rFonts w:cs="Times New Roman"/>
          <w:color w:val="000000" w:themeColor="text1"/>
          <w:szCs w:val="24"/>
        </w:rPr>
        <w:t>a, ja tajā nav ietverta</w:t>
      </w:r>
      <w:r w:rsidR="00EF1FB1">
        <w:rPr>
          <w:rFonts w:cs="Times New Roman"/>
          <w:color w:val="000000" w:themeColor="text1"/>
          <w:szCs w:val="24"/>
        </w:rPr>
        <w:t xml:space="preserve"> norād</w:t>
      </w:r>
      <w:r w:rsidR="00884AF6">
        <w:rPr>
          <w:rFonts w:cs="Times New Roman"/>
          <w:color w:val="000000" w:themeColor="text1"/>
          <w:szCs w:val="24"/>
        </w:rPr>
        <w:t>e</w:t>
      </w:r>
      <w:r w:rsidR="00EF1FB1">
        <w:rPr>
          <w:rFonts w:cs="Times New Roman"/>
          <w:color w:val="000000" w:themeColor="text1"/>
          <w:szCs w:val="24"/>
        </w:rPr>
        <w:t xml:space="preserve"> uz apsūdzētā tiešo nodomu, </w:t>
      </w:r>
      <w:r w:rsidR="00884AF6">
        <w:rPr>
          <w:rFonts w:cs="Times New Roman"/>
          <w:color w:val="000000" w:themeColor="text1"/>
          <w:szCs w:val="24"/>
        </w:rPr>
        <w:t>neatbilst Kriminālprocesa likuma 405. panta prasībām.</w:t>
      </w:r>
    </w:p>
    <w:p w14:paraId="498D40FC" w14:textId="64005FB2" w:rsidR="00A57FB2" w:rsidRDefault="00884AF6" w:rsidP="00426462">
      <w:pPr>
        <w:pStyle w:val="ListBullet"/>
        <w:widowControl w:val="0"/>
        <w:numPr>
          <w:ilvl w:val="0"/>
          <w:numId w:val="0"/>
        </w:numPr>
        <w:spacing w:after="0"/>
        <w:ind w:firstLine="720"/>
        <w:jc w:val="both"/>
        <w:rPr>
          <w:rFonts w:cs="Times New Roman"/>
          <w:color w:val="000000" w:themeColor="text1"/>
          <w:szCs w:val="24"/>
        </w:rPr>
      </w:pPr>
      <w:r>
        <w:rPr>
          <w:rFonts w:cs="Times New Roman"/>
          <w:color w:val="000000" w:themeColor="text1"/>
          <w:szCs w:val="24"/>
        </w:rPr>
        <w:t>[9.2]</w:t>
      </w:r>
      <w:r w:rsidR="00426462">
        <w:rPr>
          <w:rFonts w:cs="Times New Roman"/>
          <w:color w:val="000000" w:themeColor="text1"/>
          <w:szCs w:val="24"/>
        </w:rPr>
        <w:t> </w:t>
      </w:r>
      <w:r>
        <w:rPr>
          <w:rFonts w:cs="Times New Roman"/>
          <w:color w:val="000000" w:themeColor="text1"/>
          <w:szCs w:val="24"/>
        </w:rPr>
        <w:t>Pamatojoties uz lietā iegūtajiem pierādījumiem, tai skaitā 2015. gada 17. februāra pārbaudes aktā un</w:t>
      </w:r>
      <w:r w:rsidR="00533AD9">
        <w:rPr>
          <w:rFonts w:cs="Times New Roman"/>
          <w:color w:val="000000" w:themeColor="text1"/>
          <w:szCs w:val="24"/>
        </w:rPr>
        <w:t xml:space="preserve"> mantu apskates protokolos Nr. 4, Nr. 5, Nr. 6 un Nr. 7 fiksētajām ziņām, apelācijas instances tiesa konstatējusi, ka četrās SIA</w:t>
      </w:r>
      <w:r w:rsidR="00426462">
        <w:rPr>
          <w:rFonts w:cs="Times New Roman"/>
          <w:color w:val="000000" w:themeColor="text1"/>
          <w:szCs w:val="24"/>
        </w:rPr>
        <w:t> „</w:t>
      </w:r>
      <w:r w:rsidR="0047798B">
        <w:rPr>
          <w:rFonts w:cs="Times New Roman"/>
          <w:color w:val="000000" w:themeColor="text1"/>
          <w:szCs w:val="24"/>
        </w:rPr>
        <w:t>[Nosaukums </w:t>
      </w:r>
      <w:r w:rsidR="0047798B">
        <w:t>A]</w:t>
      </w:r>
      <w:r w:rsidR="00533AD9">
        <w:rPr>
          <w:rFonts w:cs="Times New Roman"/>
          <w:color w:val="000000" w:themeColor="text1"/>
          <w:szCs w:val="24"/>
        </w:rPr>
        <w:t>”</w:t>
      </w:r>
      <w:r>
        <w:rPr>
          <w:rFonts w:cs="Times New Roman"/>
          <w:color w:val="000000" w:themeColor="text1"/>
          <w:szCs w:val="24"/>
        </w:rPr>
        <w:t xml:space="preserve"> </w:t>
      </w:r>
      <w:r w:rsidR="00533AD9">
        <w:rPr>
          <w:rFonts w:cs="Times New Roman"/>
          <w:color w:val="000000" w:themeColor="text1"/>
          <w:szCs w:val="24"/>
        </w:rPr>
        <w:t xml:space="preserve">datorsistēmās bija uzstādītas deviņas apsūdzībā norādītās kompānijas </w:t>
      </w:r>
      <w:r w:rsidR="00426462">
        <w:rPr>
          <w:rFonts w:cs="Times New Roman"/>
          <w:color w:val="000000" w:themeColor="text1"/>
          <w:szCs w:val="24"/>
        </w:rPr>
        <w:t>„</w:t>
      </w:r>
      <w:proofErr w:type="spellStart"/>
      <w:r w:rsidR="00991B75">
        <w:rPr>
          <w:rFonts w:cs="Times New Roman"/>
          <w:color w:val="000000" w:themeColor="text1"/>
          <w:szCs w:val="24"/>
        </w:rPr>
        <w:t>Dass</w:t>
      </w:r>
      <w:r w:rsidR="00533AD9">
        <w:rPr>
          <w:rFonts w:cs="Times New Roman"/>
          <w:color w:val="000000" w:themeColor="text1"/>
          <w:szCs w:val="24"/>
        </w:rPr>
        <w:t>ault</w:t>
      </w:r>
      <w:proofErr w:type="spellEnd"/>
      <w:r w:rsidR="00533AD9">
        <w:rPr>
          <w:rFonts w:cs="Times New Roman"/>
          <w:color w:val="000000" w:themeColor="text1"/>
          <w:szCs w:val="24"/>
        </w:rPr>
        <w:t xml:space="preserve"> </w:t>
      </w:r>
      <w:proofErr w:type="spellStart"/>
      <w:r w:rsidR="00533AD9">
        <w:rPr>
          <w:rFonts w:cs="Times New Roman"/>
          <w:color w:val="000000" w:themeColor="text1"/>
          <w:szCs w:val="24"/>
        </w:rPr>
        <w:t>Systemes</w:t>
      </w:r>
      <w:proofErr w:type="spellEnd"/>
      <w:r w:rsidR="00533AD9">
        <w:rPr>
          <w:rFonts w:cs="Times New Roman"/>
          <w:color w:val="000000" w:themeColor="text1"/>
          <w:szCs w:val="24"/>
        </w:rPr>
        <w:t xml:space="preserve"> </w:t>
      </w:r>
      <w:proofErr w:type="spellStart"/>
      <w:r w:rsidR="00533AD9">
        <w:rPr>
          <w:rFonts w:cs="Times New Roman"/>
          <w:color w:val="000000" w:themeColor="text1"/>
          <w:szCs w:val="24"/>
        </w:rPr>
        <w:t>SolidWorks</w:t>
      </w:r>
      <w:proofErr w:type="spellEnd"/>
      <w:r w:rsidR="00533AD9">
        <w:rPr>
          <w:rFonts w:cs="Times New Roman"/>
          <w:color w:val="000000" w:themeColor="text1"/>
          <w:szCs w:val="24"/>
        </w:rPr>
        <w:t xml:space="preserve"> </w:t>
      </w:r>
      <w:proofErr w:type="spellStart"/>
      <w:r w:rsidR="00533AD9">
        <w:rPr>
          <w:rFonts w:cs="Times New Roman"/>
          <w:color w:val="000000" w:themeColor="text1"/>
          <w:szCs w:val="24"/>
        </w:rPr>
        <w:t>Corporation</w:t>
      </w:r>
      <w:proofErr w:type="spellEnd"/>
      <w:r w:rsidR="00533AD9">
        <w:rPr>
          <w:rFonts w:cs="Times New Roman"/>
          <w:color w:val="000000" w:themeColor="text1"/>
          <w:szCs w:val="24"/>
        </w:rPr>
        <w:t>” datorprogrammas.</w:t>
      </w:r>
    </w:p>
    <w:p w14:paraId="57B68734" w14:textId="55412F1A" w:rsidR="00894852" w:rsidRDefault="00533AD9" w:rsidP="00426462">
      <w:pPr>
        <w:pStyle w:val="ListBullet"/>
        <w:widowControl w:val="0"/>
        <w:numPr>
          <w:ilvl w:val="0"/>
          <w:numId w:val="0"/>
        </w:numPr>
        <w:spacing w:after="0"/>
        <w:ind w:firstLine="720"/>
        <w:jc w:val="both"/>
        <w:rPr>
          <w:rFonts w:cs="Times New Roman"/>
          <w:color w:val="000000" w:themeColor="text1"/>
          <w:szCs w:val="24"/>
        </w:rPr>
      </w:pPr>
      <w:r>
        <w:rPr>
          <w:rFonts w:cs="Times New Roman"/>
          <w:color w:val="000000" w:themeColor="text1"/>
          <w:szCs w:val="24"/>
        </w:rPr>
        <w:t>Senātam nav pamata apšaubīt apelācijas instances tiesas atzinumus šajā daļā, jo no minētā pārbaudes akta un mantu apskates protokoliem izriet, ka</w:t>
      </w:r>
      <w:r w:rsidR="00A57FB2">
        <w:rPr>
          <w:rFonts w:cs="Times New Roman"/>
          <w:color w:val="000000" w:themeColor="text1"/>
          <w:szCs w:val="24"/>
        </w:rPr>
        <w:t xml:space="preserve"> gan programmnodrošinājuma legalitātes un ar</w:t>
      </w:r>
      <w:r>
        <w:rPr>
          <w:rFonts w:cs="Times New Roman"/>
          <w:color w:val="000000" w:themeColor="text1"/>
          <w:szCs w:val="24"/>
        </w:rPr>
        <w:t xml:space="preserve"> </w:t>
      </w:r>
      <w:r w:rsidR="00A57FB2">
        <w:rPr>
          <w:rFonts w:cs="Times New Roman"/>
          <w:color w:val="000000" w:themeColor="text1"/>
          <w:szCs w:val="24"/>
        </w:rPr>
        <w:t xml:space="preserve">to saistīto grāmatvedības dokumentu pārbaude, </w:t>
      </w:r>
      <w:proofErr w:type="gramStart"/>
      <w:r w:rsidR="00A57FB2">
        <w:rPr>
          <w:rFonts w:cs="Times New Roman"/>
          <w:color w:val="000000" w:themeColor="text1"/>
          <w:szCs w:val="24"/>
        </w:rPr>
        <w:t>gan datorsistēmās Nr. 4, Nr. 6 un Nr. 7 uzstādīto programmu apskates veiktas apsūdzētā</w:t>
      </w:r>
      <w:proofErr w:type="gramEnd"/>
      <w:r w:rsidR="00A57FB2">
        <w:rPr>
          <w:rFonts w:cs="Times New Roman"/>
          <w:color w:val="000000" w:themeColor="text1"/>
          <w:szCs w:val="24"/>
        </w:rPr>
        <w:t xml:space="preserve"> </w:t>
      </w:r>
      <w:r w:rsidR="0047798B">
        <w:rPr>
          <w:rFonts w:cs="Times New Roman"/>
          <w:color w:val="000000" w:themeColor="text1"/>
          <w:szCs w:val="24"/>
        </w:rPr>
        <w:t>[pers. </w:t>
      </w:r>
      <w:r w:rsidR="0047798B">
        <w:t>A]</w:t>
      </w:r>
      <w:r w:rsidR="00A57FB2">
        <w:rPr>
          <w:rFonts w:cs="Times New Roman"/>
          <w:color w:val="000000" w:themeColor="text1"/>
          <w:szCs w:val="24"/>
        </w:rPr>
        <w:t xml:space="preserve"> klātbūtnē, kurš minētos dokumentus parakstījis bez jebkādām atrunām. </w:t>
      </w:r>
      <w:r w:rsidR="00894852">
        <w:rPr>
          <w:rFonts w:cs="Times New Roman"/>
          <w:color w:val="000000" w:themeColor="text1"/>
          <w:szCs w:val="24"/>
        </w:rPr>
        <w:t>Arī SIA</w:t>
      </w:r>
      <w:r w:rsidR="008144DC">
        <w:rPr>
          <w:rFonts w:cs="Times New Roman"/>
          <w:color w:val="000000" w:themeColor="text1"/>
          <w:szCs w:val="24"/>
        </w:rPr>
        <w:t> „</w:t>
      </w:r>
      <w:r w:rsidR="0047798B">
        <w:rPr>
          <w:rFonts w:cs="Times New Roman"/>
          <w:color w:val="000000" w:themeColor="text1"/>
          <w:szCs w:val="24"/>
        </w:rPr>
        <w:t>[Nosaukums </w:t>
      </w:r>
      <w:r w:rsidR="0047798B">
        <w:t>A]</w:t>
      </w:r>
      <w:r w:rsidR="00894852">
        <w:rPr>
          <w:rFonts w:cs="Times New Roman"/>
          <w:color w:val="000000" w:themeColor="text1"/>
          <w:szCs w:val="24"/>
        </w:rPr>
        <w:t xml:space="preserve">” pārstāvis </w:t>
      </w:r>
      <w:r w:rsidR="0047798B">
        <w:rPr>
          <w:rFonts w:cs="Times New Roman"/>
          <w:color w:val="000000" w:themeColor="text1"/>
          <w:szCs w:val="24"/>
        </w:rPr>
        <w:t>[pers. K]</w:t>
      </w:r>
      <w:r w:rsidR="00894852">
        <w:rPr>
          <w:rFonts w:cs="Times New Roman"/>
          <w:color w:val="000000" w:themeColor="text1"/>
          <w:szCs w:val="24"/>
        </w:rPr>
        <w:t>, kura klātbūtnē veikta datorsistēmā Nr. 5 uzstādīto programmu apskate, nekādus iebildumus pret apskates gaitu vai apskates rezultātiem nav izteicis.</w:t>
      </w:r>
    </w:p>
    <w:p w14:paraId="380098C9" w14:textId="42112F92" w:rsidR="00AF596F" w:rsidRDefault="00894852" w:rsidP="00426462">
      <w:pPr>
        <w:pStyle w:val="ListBullet"/>
        <w:widowControl w:val="0"/>
        <w:numPr>
          <w:ilvl w:val="0"/>
          <w:numId w:val="0"/>
        </w:numPr>
        <w:spacing w:after="0"/>
        <w:ind w:firstLine="720"/>
        <w:jc w:val="both"/>
        <w:rPr>
          <w:rFonts w:cs="Times New Roman"/>
          <w:color w:val="000000" w:themeColor="text1"/>
          <w:szCs w:val="24"/>
        </w:rPr>
      </w:pPr>
      <w:r>
        <w:rPr>
          <w:rFonts w:cs="Times New Roman"/>
          <w:color w:val="000000" w:themeColor="text1"/>
          <w:szCs w:val="24"/>
        </w:rPr>
        <w:t>Saskaņā ar Autortiesību likuma</w:t>
      </w:r>
      <w:r w:rsidR="004179FB">
        <w:rPr>
          <w:rFonts w:cs="Times New Roman"/>
          <w:color w:val="000000" w:themeColor="text1"/>
          <w:szCs w:val="24"/>
        </w:rPr>
        <w:t xml:space="preserve"> 4. panta pirmās daļas 1. punktu autortiesību objekts neatkarīgi no izpausmes formas un veida ir arī datorprogramma. Šā likuma 15. panta otrā daļa paredz, ka datorprogrammas autoram attiecībā uz datorprogrammas izmantošanu ir šādas izņēmuma tiesības: 1) izplatīt datorprogrammu; 2) padarīt datorprogrammu pieejamu sabiedrībai pa vadiem vai citādā veidā</w:t>
      </w:r>
      <w:r w:rsidR="00A20663">
        <w:rPr>
          <w:rFonts w:cs="Times New Roman"/>
          <w:color w:val="000000" w:themeColor="text1"/>
          <w:szCs w:val="24"/>
        </w:rPr>
        <w:t xml:space="preserve"> tādējādi, ka tai var piekļūt individuāli izraudzītā vietā un individuāli izraudzītā laikā; 3) iznomāt, izīrēt un publiski patapināt datorprogrammu; 4) īslaicīgi vai pastāvīgi reproducēt datorprogrammu (ciktāl datorprogrammas ielādēšana, demonstrēšana, izmantošana, pārraidīšana vai glabāšana prasa to reproducēt, ja šādu darbību rakstveidā atļauj tiesību subjekts); 5) tulkot, adaptēt un jebkādi citādi pārveidot datorprogrammu un reproducēt šādi iegūtos rezultātus (ciktāl tas nav pretrunā ar tās personas tiesībām, kura pārveido datorprogrammu). Šā panta ceturtā daļa noteic, ka autoram ir tiesības izmantot savu darbu jebkādā veidā, atļaut vai aizliegt tā izmantošanu, saņemt atlīdzību par atļauju izmantot savu darbu un par darba izmantošanu, izņemot likumā paredzētos gadījumus. No likuma 40. panta pirmās un otrās daļas izriet</w:t>
      </w:r>
      <w:r w:rsidR="00AF596F">
        <w:rPr>
          <w:rFonts w:cs="Times New Roman"/>
          <w:color w:val="000000" w:themeColor="text1"/>
          <w:szCs w:val="24"/>
        </w:rPr>
        <w:t>, ka lai iegūtu darba izmantošanas tiesības, darba izmantotājam attiecībā uz katru darba izmantošanas veidu un katru darba izmantošanas reizi jāsaņem autortiesību subjekta atļauja. Ir aizliegts izmantot darbus, ja nav saņemta autortiesību subjekta atļauja, izņemot likumā noteiktos gadījumus. Autortiesību subjekta atļauja tiek izsniegta gan licences līguma, gan licences veidā. Likuma 68.</w:t>
      </w:r>
      <w:r w:rsidR="00426462">
        <w:rPr>
          <w:rFonts w:cs="Times New Roman"/>
          <w:color w:val="000000" w:themeColor="text1"/>
          <w:szCs w:val="24"/>
        </w:rPr>
        <w:t> </w:t>
      </w:r>
      <w:r w:rsidR="00AF596F">
        <w:rPr>
          <w:rFonts w:cs="Times New Roman"/>
          <w:color w:val="000000" w:themeColor="text1"/>
          <w:szCs w:val="24"/>
        </w:rPr>
        <w:t>panta pirmā daļa noteic, ka darbība, ar kuru aizskartas autortiesību subjekta personiskās vai mantiskās tiesības jebkādā veidā bez tiesību subjekta piekrišanas, ir uzskatāma par autortiesību pārkāpumu.</w:t>
      </w:r>
    </w:p>
    <w:p w14:paraId="292D707D" w14:textId="01DDD9A2" w:rsidR="00C305BD" w:rsidRDefault="00AF596F" w:rsidP="00426462">
      <w:pPr>
        <w:pStyle w:val="ListBullet"/>
        <w:widowControl w:val="0"/>
        <w:numPr>
          <w:ilvl w:val="0"/>
          <w:numId w:val="0"/>
        </w:numPr>
        <w:spacing w:after="0"/>
        <w:ind w:firstLine="720"/>
        <w:jc w:val="both"/>
        <w:rPr>
          <w:rFonts w:cs="Times New Roman"/>
          <w:color w:val="000000" w:themeColor="text1"/>
          <w:szCs w:val="24"/>
        </w:rPr>
      </w:pPr>
      <w:r>
        <w:rPr>
          <w:rFonts w:cs="Times New Roman"/>
          <w:color w:val="000000" w:themeColor="text1"/>
          <w:szCs w:val="24"/>
        </w:rPr>
        <w:t>Attiecībā uz autortiesīb</w:t>
      </w:r>
      <w:r w:rsidR="00FD37AC">
        <w:rPr>
          <w:rFonts w:cs="Times New Roman"/>
          <w:color w:val="000000" w:themeColor="text1"/>
          <w:szCs w:val="24"/>
        </w:rPr>
        <w:t xml:space="preserve">u, blakustiesību un tiesību uz preču zīmi pārkāpumiem </w:t>
      </w:r>
      <w:r>
        <w:rPr>
          <w:rFonts w:cs="Times New Roman"/>
          <w:color w:val="000000" w:themeColor="text1"/>
          <w:szCs w:val="24"/>
        </w:rPr>
        <w:t>darbojas Kriminālprocesa likuma 125. panta otrajā daļā norādītais fakta legālās prezumpcijas</w:t>
      </w:r>
      <w:r w:rsidR="00E0365F">
        <w:rPr>
          <w:rFonts w:cs="Times New Roman"/>
          <w:color w:val="000000" w:themeColor="text1"/>
          <w:szCs w:val="24"/>
        </w:rPr>
        <w:t xml:space="preserve"> princips, kas noteic, ka </w:t>
      </w:r>
      <w:r w:rsidR="00FD37AC">
        <w:rPr>
          <w:rFonts w:cs="Times New Roman"/>
          <w:color w:val="000000" w:themeColor="text1"/>
          <w:szCs w:val="24"/>
        </w:rPr>
        <w:t xml:space="preserve">ir uzskatāms par pierādītu, ka persona ir pārkāpusi tiesiskā īpašnieka autortiesības, blakustiesības vai tiesības uz preču zīmi, ja vien tā nespēj ticami izskaidrot vai pamatot šo tiesību iegūšanu vai izcelsmi. </w:t>
      </w:r>
      <w:r w:rsidR="00C305BD">
        <w:rPr>
          <w:rFonts w:cs="Times New Roman"/>
          <w:color w:val="000000" w:themeColor="text1"/>
          <w:szCs w:val="24"/>
        </w:rPr>
        <w:t>Tas nozīmē, ka gadījumā, ja tiek fiksēts, ka persona izmanto autortiesību objektu, tai ir pienākums pierādīt šo tiesību legālu iegūšanu. Pretējā gadījumā tiek prezumēts, ka persona ir pārkāpusi tiesiskā īpašnieka autortiesības.</w:t>
      </w:r>
    </w:p>
    <w:p w14:paraId="1967861C" w14:textId="4A68580A" w:rsidR="00255EBB" w:rsidRDefault="00C305BD" w:rsidP="00426462">
      <w:pPr>
        <w:pStyle w:val="ListBullet"/>
        <w:widowControl w:val="0"/>
        <w:numPr>
          <w:ilvl w:val="0"/>
          <w:numId w:val="0"/>
        </w:numPr>
        <w:spacing w:after="0"/>
        <w:ind w:firstLine="720"/>
        <w:jc w:val="both"/>
        <w:rPr>
          <w:rFonts w:cs="Times New Roman"/>
          <w:color w:val="000000" w:themeColor="text1"/>
          <w:szCs w:val="24"/>
        </w:rPr>
      </w:pPr>
      <w:r>
        <w:rPr>
          <w:rFonts w:cs="Times New Roman"/>
          <w:color w:val="000000" w:themeColor="text1"/>
          <w:szCs w:val="24"/>
        </w:rPr>
        <w:t xml:space="preserve">Apelācijas instances tiesa </w:t>
      </w:r>
      <w:r w:rsidR="00566C49">
        <w:rPr>
          <w:rFonts w:cs="Times New Roman"/>
          <w:color w:val="000000" w:themeColor="text1"/>
          <w:szCs w:val="24"/>
        </w:rPr>
        <w:t>konstatējusi, ka par deviņām apsūdzībā norādītajām SIA</w:t>
      </w:r>
      <w:r w:rsidR="00426462">
        <w:rPr>
          <w:rFonts w:cs="Times New Roman"/>
          <w:color w:val="000000" w:themeColor="text1"/>
          <w:szCs w:val="24"/>
        </w:rPr>
        <w:t> „</w:t>
      </w:r>
      <w:r w:rsidR="0047798B">
        <w:rPr>
          <w:rFonts w:cs="Times New Roman"/>
          <w:color w:val="000000" w:themeColor="text1"/>
          <w:szCs w:val="24"/>
        </w:rPr>
        <w:t>[Nosaukums A]</w:t>
      </w:r>
      <w:r w:rsidR="00566C49">
        <w:rPr>
          <w:rFonts w:cs="Times New Roman"/>
          <w:color w:val="000000" w:themeColor="text1"/>
          <w:szCs w:val="24"/>
        </w:rPr>
        <w:t xml:space="preserve">” datorsistēmās konstatētajām kompānijas </w:t>
      </w:r>
      <w:r w:rsidR="00426462">
        <w:rPr>
          <w:rFonts w:cs="Times New Roman"/>
          <w:color w:val="000000" w:themeColor="text1"/>
          <w:szCs w:val="24"/>
        </w:rPr>
        <w:t>„</w:t>
      </w:r>
      <w:proofErr w:type="spellStart"/>
      <w:r w:rsidR="00991B75">
        <w:rPr>
          <w:rFonts w:cs="Times New Roman"/>
          <w:color w:val="000000" w:themeColor="text1"/>
          <w:szCs w:val="24"/>
        </w:rPr>
        <w:t>Dass</w:t>
      </w:r>
      <w:r w:rsidR="00566C49">
        <w:rPr>
          <w:rFonts w:cs="Times New Roman"/>
          <w:color w:val="000000" w:themeColor="text1"/>
          <w:szCs w:val="24"/>
        </w:rPr>
        <w:t>ault</w:t>
      </w:r>
      <w:proofErr w:type="spellEnd"/>
      <w:r w:rsidR="00566C49">
        <w:rPr>
          <w:rFonts w:cs="Times New Roman"/>
          <w:color w:val="000000" w:themeColor="text1"/>
          <w:szCs w:val="24"/>
        </w:rPr>
        <w:t xml:space="preserve"> </w:t>
      </w:r>
      <w:proofErr w:type="spellStart"/>
      <w:r w:rsidR="00566C49">
        <w:rPr>
          <w:rFonts w:cs="Times New Roman"/>
          <w:color w:val="000000" w:themeColor="text1"/>
          <w:szCs w:val="24"/>
        </w:rPr>
        <w:t>Systemes</w:t>
      </w:r>
      <w:proofErr w:type="spellEnd"/>
      <w:r w:rsidR="00566C49">
        <w:rPr>
          <w:rFonts w:cs="Times New Roman"/>
          <w:color w:val="000000" w:themeColor="text1"/>
          <w:szCs w:val="24"/>
        </w:rPr>
        <w:t xml:space="preserve"> </w:t>
      </w:r>
      <w:proofErr w:type="spellStart"/>
      <w:r w:rsidR="00566C49">
        <w:rPr>
          <w:rFonts w:cs="Times New Roman"/>
          <w:color w:val="000000" w:themeColor="text1"/>
          <w:szCs w:val="24"/>
        </w:rPr>
        <w:t>SolidWorks</w:t>
      </w:r>
      <w:proofErr w:type="spellEnd"/>
      <w:r w:rsidR="00566C49">
        <w:rPr>
          <w:rFonts w:cs="Times New Roman"/>
          <w:color w:val="000000" w:themeColor="text1"/>
          <w:szCs w:val="24"/>
        </w:rPr>
        <w:t xml:space="preserve"> </w:t>
      </w:r>
      <w:proofErr w:type="spellStart"/>
      <w:r w:rsidR="00566C49">
        <w:rPr>
          <w:rFonts w:cs="Times New Roman"/>
          <w:color w:val="000000" w:themeColor="text1"/>
          <w:szCs w:val="24"/>
        </w:rPr>
        <w:t>Corporation</w:t>
      </w:r>
      <w:proofErr w:type="spellEnd"/>
      <w:r w:rsidR="00566C49">
        <w:rPr>
          <w:rFonts w:cs="Times New Roman"/>
          <w:color w:val="000000" w:themeColor="text1"/>
          <w:szCs w:val="24"/>
        </w:rPr>
        <w:t>” datorprogrammām SIA</w:t>
      </w:r>
      <w:r w:rsidR="00426462">
        <w:rPr>
          <w:rFonts w:cs="Times New Roman"/>
          <w:color w:val="000000" w:themeColor="text1"/>
          <w:szCs w:val="24"/>
        </w:rPr>
        <w:t> „</w:t>
      </w:r>
      <w:r w:rsidR="0047798B">
        <w:rPr>
          <w:rFonts w:cs="Times New Roman"/>
          <w:color w:val="000000" w:themeColor="text1"/>
          <w:szCs w:val="24"/>
        </w:rPr>
        <w:t>[Nosaukums A]</w:t>
      </w:r>
      <w:r w:rsidR="00566C49">
        <w:rPr>
          <w:rFonts w:cs="Times New Roman"/>
          <w:color w:val="000000" w:themeColor="text1"/>
          <w:szCs w:val="24"/>
        </w:rPr>
        <w:t>” nav spējusi uzrādīt dokumentus, kas pamato šo datorprogrammu</w:t>
      </w:r>
      <w:r w:rsidR="00E87D40">
        <w:rPr>
          <w:rFonts w:cs="Times New Roman"/>
          <w:color w:val="000000" w:themeColor="text1"/>
          <w:szCs w:val="24"/>
        </w:rPr>
        <w:t xml:space="preserve"> legālu izcelsmi</w:t>
      </w:r>
      <w:r w:rsidR="00566C49">
        <w:rPr>
          <w:rFonts w:cs="Times New Roman"/>
          <w:color w:val="000000" w:themeColor="text1"/>
          <w:szCs w:val="24"/>
        </w:rPr>
        <w:t>. Tādējādi apelācijas instances tiesa saskaņā ar Kriminālprocesa likuma 125. panta otro daļu pamatoti konstatējusi</w:t>
      </w:r>
      <w:r w:rsidR="00E57E9F">
        <w:rPr>
          <w:rFonts w:cs="Times New Roman"/>
          <w:color w:val="000000" w:themeColor="text1"/>
          <w:szCs w:val="24"/>
        </w:rPr>
        <w:t xml:space="preserve"> kompānijas </w:t>
      </w:r>
      <w:r w:rsidR="00426462">
        <w:rPr>
          <w:rFonts w:cs="Times New Roman"/>
          <w:color w:val="000000" w:themeColor="text1"/>
          <w:szCs w:val="24"/>
        </w:rPr>
        <w:t>„</w:t>
      </w:r>
      <w:proofErr w:type="spellStart"/>
      <w:r w:rsidR="00991B75">
        <w:rPr>
          <w:rFonts w:cs="Times New Roman"/>
          <w:color w:val="000000" w:themeColor="text1"/>
          <w:szCs w:val="24"/>
        </w:rPr>
        <w:t>Dass</w:t>
      </w:r>
      <w:r w:rsidR="00E57E9F">
        <w:rPr>
          <w:rFonts w:cs="Times New Roman"/>
          <w:color w:val="000000" w:themeColor="text1"/>
          <w:szCs w:val="24"/>
        </w:rPr>
        <w:t>ault</w:t>
      </w:r>
      <w:proofErr w:type="spellEnd"/>
      <w:r w:rsidR="00E57E9F">
        <w:rPr>
          <w:rFonts w:cs="Times New Roman"/>
          <w:color w:val="000000" w:themeColor="text1"/>
          <w:szCs w:val="24"/>
        </w:rPr>
        <w:t xml:space="preserve"> </w:t>
      </w:r>
      <w:proofErr w:type="spellStart"/>
      <w:r w:rsidR="00E57E9F">
        <w:rPr>
          <w:rFonts w:cs="Times New Roman"/>
          <w:color w:val="000000" w:themeColor="text1"/>
          <w:szCs w:val="24"/>
        </w:rPr>
        <w:t>Systemes</w:t>
      </w:r>
      <w:proofErr w:type="spellEnd"/>
      <w:r w:rsidR="00E57E9F">
        <w:rPr>
          <w:rFonts w:cs="Times New Roman"/>
          <w:color w:val="000000" w:themeColor="text1"/>
          <w:szCs w:val="24"/>
        </w:rPr>
        <w:t xml:space="preserve"> </w:t>
      </w:r>
      <w:proofErr w:type="spellStart"/>
      <w:r w:rsidR="00E57E9F">
        <w:rPr>
          <w:rFonts w:cs="Times New Roman"/>
          <w:color w:val="000000" w:themeColor="text1"/>
          <w:szCs w:val="24"/>
        </w:rPr>
        <w:t>SolidWorks</w:t>
      </w:r>
      <w:proofErr w:type="spellEnd"/>
      <w:r w:rsidR="00E57E9F">
        <w:rPr>
          <w:rFonts w:cs="Times New Roman"/>
          <w:color w:val="000000" w:themeColor="text1"/>
          <w:szCs w:val="24"/>
        </w:rPr>
        <w:t xml:space="preserve"> </w:t>
      </w:r>
      <w:proofErr w:type="spellStart"/>
      <w:r w:rsidR="00E57E9F">
        <w:rPr>
          <w:rFonts w:cs="Times New Roman"/>
          <w:color w:val="000000" w:themeColor="text1"/>
          <w:szCs w:val="24"/>
        </w:rPr>
        <w:t>Corporation</w:t>
      </w:r>
      <w:proofErr w:type="spellEnd"/>
      <w:r w:rsidR="00E57E9F">
        <w:rPr>
          <w:rFonts w:cs="Times New Roman"/>
          <w:color w:val="000000" w:themeColor="text1"/>
          <w:szCs w:val="24"/>
        </w:rPr>
        <w:t xml:space="preserve">” autortiesību pārkāpumu saistībā ar </w:t>
      </w:r>
      <w:r w:rsidR="00B57DF2">
        <w:rPr>
          <w:rFonts w:cs="Times New Roman"/>
          <w:color w:val="000000" w:themeColor="text1"/>
          <w:szCs w:val="24"/>
        </w:rPr>
        <w:t xml:space="preserve">šo </w:t>
      </w:r>
      <w:r w:rsidR="00E57E9F">
        <w:rPr>
          <w:rFonts w:cs="Times New Roman"/>
          <w:color w:val="000000" w:themeColor="text1"/>
          <w:szCs w:val="24"/>
        </w:rPr>
        <w:t>datorprogrammu reproducēšanu.</w:t>
      </w:r>
      <w:r w:rsidR="00566C49">
        <w:rPr>
          <w:rFonts w:cs="Times New Roman"/>
          <w:color w:val="000000" w:themeColor="text1"/>
          <w:szCs w:val="24"/>
        </w:rPr>
        <w:t xml:space="preserve"> </w:t>
      </w:r>
      <w:r w:rsidR="00E57E9F">
        <w:rPr>
          <w:rFonts w:cs="Times New Roman"/>
          <w:color w:val="000000" w:themeColor="text1"/>
          <w:szCs w:val="24"/>
        </w:rPr>
        <w:t>Ievērojot minēto, aizstāvju kasācijas sūdzībā norādītajiem a</w:t>
      </w:r>
      <w:r w:rsidR="00B57DF2">
        <w:rPr>
          <w:rFonts w:cs="Times New Roman"/>
          <w:color w:val="000000" w:themeColor="text1"/>
          <w:szCs w:val="24"/>
        </w:rPr>
        <w:t>pgalvojumiem</w:t>
      </w:r>
      <w:r w:rsidR="00E57E9F">
        <w:rPr>
          <w:rFonts w:cs="Times New Roman"/>
          <w:color w:val="000000" w:themeColor="text1"/>
          <w:szCs w:val="24"/>
        </w:rPr>
        <w:t xml:space="preserve"> par </w:t>
      </w:r>
      <w:r w:rsidR="00B57DF2">
        <w:rPr>
          <w:rFonts w:cs="Times New Roman"/>
          <w:color w:val="000000" w:themeColor="text1"/>
          <w:szCs w:val="24"/>
        </w:rPr>
        <w:t xml:space="preserve">datorsistēmās uzstādīto datorprogrammu apskati veicošo policijas darbinieku nekompetenci, apskates gaitā pieļautajiem trūkumiem un ekspertīzes nepieciešamību kompānijas </w:t>
      </w:r>
      <w:r w:rsidR="00426462">
        <w:rPr>
          <w:rFonts w:cs="Times New Roman"/>
          <w:color w:val="000000" w:themeColor="text1"/>
          <w:szCs w:val="24"/>
        </w:rPr>
        <w:t>„</w:t>
      </w:r>
      <w:proofErr w:type="spellStart"/>
      <w:r w:rsidR="00991B75">
        <w:rPr>
          <w:rFonts w:cs="Times New Roman"/>
          <w:color w:val="000000" w:themeColor="text1"/>
          <w:szCs w:val="24"/>
        </w:rPr>
        <w:t>Dass</w:t>
      </w:r>
      <w:r w:rsidR="00B57DF2">
        <w:rPr>
          <w:rFonts w:cs="Times New Roman"/>
          <w:color w:val="000000" w:themeColor="text1"/>
          <w:szCs w:val="24"/>
        </w:rPr>
        <w:t>ault</w:t>
      </w:r>
      <w:proofErr w:type="spellEnd"/>
      <w:r w:rsidR="00B57DF2">
        <w:rPr>
          <w:rFonts w:cs="Times New Roman"/>
          <w:color w:val="000000" w:themeColor="text1"/>
          <w:szCs w:val="24"/>
        </w:rPr>
        <w:t xml:space="preserve"> </w:t>
      </w:r>
      <w:proofErr w:type="spellStart"/>
      <w:r w:rsidR="00B57DF2">
        <w:rPr>
          <w:rFonts w:cs="Times New Roman"/>
          <w:color w:val="000000" w:themeColor="text1"/>
          <w:szCs w:val="24"/>
        </w:rPr>
        <w:t>Systemes</w:t>
      </w:r>
      <w:proofErr w:type="spellEnd"/>
      <w:r w:rsidR="00B57DF2">
        <w:rPr>
          <w:rFonts w:cs="Times New Roman"/>
          <w:color w:val="000000" w:themeColor="text1"/>
          <w:szCs w:val="24"/>
        </w:rPr>
        <w:t xml:space="preserve"> </w:t>
      </w:r>
      <w:proofErr w:type="spellStart"/>
      <w:r w:rsidR="00B57DF2">
        <w:rPr>
          <w:rFonts w:cs="Times New Roman"/>
          <w:color w:val="000000" w:themeColor="text1"/>
          <w:szCs w:val="24"/>
        </w:rPr>
        <w:t>SolidWorks</w:t>
      </w:r>
      <w:proofErr w:type="spellEnd"/>
      <w:r w:rsidR="00B57DF2">
        <w:rPr>
          <w:rFonts w:cs="Times New Roman"/>
          <w:color w:val="000000" w:themeColor="text1"/>
          <w:szCs w:val="24"/>
        </w:rPr>
        <w:t xml:space="preserve"> </w:t>
      </w:r>
      <w:proofErr w:type="spellStart"/>
      <w:r w:rsidR="00B57DF2">
        <w:rPr>
          <w:rFonts w:cs="Times New Roman"/>
          <w:color w:val="000000" w:themeColor="text1"/>
          <w:szCs w:val="24"/>
        </w:rPr>
        <w:t>Corporation</w:t>
      </w:r>
      <w:proofErr w:type="spellEnd"/>
      <w:r w:rsidR="00B57DF2">
        <w:rPr>
          <w:rFonts w:cs="Times New Roman"/>
          <w:color w:val="000000" w:themeColor="text1"/>
          <w:szCs w:val="24"/>
        </w:rPr>
        <w:t xml:space="preserve">” autortiesību pārkāpuma konstatēšanā nav izšķirošas juridiskas nozīmes. </w:t>
      </w:r>
      <w:r w:rsidR="00255EBB">
        <w:rPr>
          <w:rFonts w:cs="Times New Roman"/>
          <w:color w:val="000000" w:themeColor="text1"/>
          <w:szCs w:val="24"/>
        </w:rPr>
        <w:t>Tāpat šī pārkāpuma konstatēšanā nav būtiskas nozīmes aizstā</w:t>
      </w:r>
      <w:r w:rsidR="00F81DE9">
        <w:rPr>
          <w:rFonts w:cs="Times New Roman"/>
          <w:color w:val="000000" w:themeColor="text1"/>
          <w:szCs w:val="24"/>
        </w:rPr>
        <w:t>v</w:t>
      </w:r>
      <w:r w:rsidR="00255EBB">
        <w:rPr>
          <w:rFonts w:cs="Times New Roman"/>
          <w:color w:val="000000" w:themeColor="text1"/>
          <w:szCs w:val="24"/>
        </w:rPr>
        <w:t>ju kasācijas sūdzības argumentiem, ar kuriem apšaubīta cietušā pārstāves 2016. gada 28. septembra tiesas sēdē iesniegtā informācij</w:t>
      </w:r>
      <w:r w:rsidR="008B5395">
        <w:rPr>
          <w:rFonts w:cs="Times New Roman"/>
          <w:color w:val="000000" w:themeColor="text1"/>
          <w:szCs w:val="24"/>
        </w:rPr>
        <w:t>a</w:t>
      </w:r>
      <w:r w:rsidR="00255EBB">
        <w:rPr>
          <w:rFonts w:cs="Times New Roman"/>
          <w:color w:val="000000" w:themeColor="text1"/>
          <w:szCs w:val="24"/>
        </w:rPr>
        <w:t xml:space="preserve"> par SIA</w:t>
      </w:r>
      <w:r w:rsidR="00426462">
        <w:rPr>
          <w:rFonts w:cs="Times New Roman"/>
          <w:color w:val="000000" w:themeColor="text1"/>
          <w:szCs w:val="24"/>
        </w:rPr>
        <w:t> „</w:t>
      </w:r>
      <w:r w:rsidR="0047798B">
        <w:rPr>
          <w:rFonts w:cs="Times New Roman"/>
          <w:color w:val="000000" w:themeColor="text1"/>
          <w:szCs w:val="24"/>
        </w:rPr>
        <w:t>[Nosaukums A]</w:t>
      </w:r>
      <w:r w:rsidR="00255EBB">
        <w:rPr>
          <w:rFonts w:cs="Times New Roman"/>
          <w:color w:val="000000" w:themeColor="text1"/>
          <w:szCs w:val="24"/>
        </w:rPr>
        <w:t xml:space="preserve">” pieslēgšanos kompānijas </w:t>
      </w:r>
      <w:r w:rsidR="00426462">
        <w:rPr>
          <w:rFonts w:cs="Times New Roman"/>
          <w:color w:val="000000" w:themeColor="text1"/>
          <w:szCs w:val="24"/>
        </w:rPr>
        <w:t>„</w:t>
      </w:r>
      <w:proofErr w:type="spellStart"/>
      <w:r w:rsidR="00991B75">
        <w:rPr>
          <w:rFonts w:cs="Times New Roman"/>
          <w:color w:val="000000" w:themeColor="text1"/>
          <w:szCs w:val="24"/>
        </w:rPr>
        <w:t>Dass</w:t>
      </w:r>
      <w:r w:rsidR="00255EBB">
        <w:rPr>
          <w:rFonts w:cs="Times New Roman"/>
          <w:color w:val="000000" w:themeColor="text1"/>
          <w:szCs w:val="24"/>
        </w:rPr>
        <w:t>ault</w:t>
      </w:r>
      <w:proofErr w:type="spellEnd"/>
      <w:r w:rsidR="00255EBB">
        <w:rPr>
          <w:rFonts w:cs="Times New Roman"/>
          <w:color w:val="000000" w:themeColor="text1"/>
          <w:szCs w:val="24"/>
        </w:rPr>
        <w:t xml:space="preserve"> </w:t>
      </w:r>
      <w:proofErr w:type="spellStart"/>
      <w:r w:rsidR="00255EBB">
        <w:rPr>
          <w:rFonts w:cs="Times New Roman"/>
          <w:color w:val="000000" w:themeColor="text1"/>
          <w:szCs w:val="24"/>
        </w:rPr>
        <w:t>Systemes</w:t>
      </w:r>
      <w:proofErr w:type="spellEnd"/>
      <w:r w:rsidR="00255EBB">
        <w:rPr>
          <w:rFonts w:cs="Times New Roman"/>
          <w:color w:val="000000" w:themeColor="text1"/>
          <w:szCs w:val="24"/>
        </w:rPr>
        <w:t xml:space="preserve"> </w:t>
      </w:r>
      <w:proofErr w:type="spellStart"/>
      <w:r w:rsidR="00255EBB">
        <w:rPr>
          <w:rFonts w:cs="Times New Roman"/>
          <w:color w:val="000000" w:themeColor="text1"/>
          <w:szCs w:val="24"/>
        </w:rPr>
        <w:t>SolidWorks</w:t>
      </w:r>
      <w:proofErr w:type="spellEnd"/>
      <w:r w:rsidR="00255EBB">
        <w:rPr>
          <w:rFonts w:cs="Times New Roman"/>
          <w:color w:val="000000" w:themeColor="text1"/>
          <w:szCs w:val="24"/>
        </w:rPr>
        <w:t xml:space="preserve"> </w:t>
      </w:r>
      <w:proofErr w:type="spellStart"/>
      <w:r w:rsidR="00255EBB">
        <w:rPr>
          <w:rFonts w:cs="Times New Roman"/>
          <w:color w:val="000000" w:themeColor="text1"/>
          <w:szCs w:val="24"/>
        </w:rPr>
        <w:t>Corporation</w:t>
      </w:r>
      <w:proofErr w:type="spellEnd"/>
      <w:r w:rsidR="00255EBB">
        <w:rPr>
          <w:rFonts w:cs="Times New Roman"/>
          <w:color w:val="000000" w:themeColor="text1"/>
          <w:szCs w:val="24"/>
        </w:rPr>
        <w:t>” programmatūrai.</w:t>
      </w:r>
    </w:p>
    <w:p w14:paraId="7CDC0D7B" w14:textId="2F113238" w:rsidR="004945B8" w:rsidRDefault="00255EBB" w:rsidP="00426462">
      <w:pPr>
        <w:pStyle w:val="ListBullet"/>
        <w:widowControl w:val="0"/>
        <w:numPr>
          <w:ilvl w:val="0"/>
          <w:numId w:val="0"/>
        </w:numPr>
        <w:spacing w:after="0"/>
        <w:ind w:firstLine="720"/>
        <w:jc w:val="both"/>
        <w:rPr>
          <w:rFonts w:cs="Times New Roman"/>
          <w:color w:val="000000" w:themeColor="text1"/>
          <w:szCs w:val="24"/>
        </w:rPr>
      </w:pPr>
      <w:r>
        <w:rPr>
          <w:rFonts w:cs="Times New Roman"/>
          <w:color w:val="000000" w:themeColor="text1"/>
          <w:szCs w:val="24"/>
        </w:rPr>
        <w:t>[9.3]</w:t>
      </w:r>
      <w:r w:rsidR="0045672C">
        <w:rPr>
          <w:rFonts w:cs="Times New Roman"/>
          <w:color w:val="000000" w:themeColor="text1"/>
          <w:szCs w:val="24"/>
        </w:rPr>
        <w:t> </w:t>
      </w:r>
      <w:r w:rsidR="005D3B3B">
        <w:rPr>
          <w:rFonts w:cs="Times New Roman"/>
          <w:color w:val="000000" w:themeColor="text1"/>
          <w:szCs w:val="24"/>
        </w:rPr>
        <w:t xml:space="preserve">Apelācijas instances tiesa pamatoti norādījusi, ka saistība starp vainojamās fiziskās personas darbību vai bezdarbību un juridiskās personas faktiskajām darbībām </w:t>
      </w:r>
      <w:r w:rsidR="004945B8">
        <w:rPr>
          <w:rFonts w:cs="Times New Roman"/>
          <w:color w:val="000000" w:themeColor="text1"/>
          <w:szCs w:val="24"/>
        </w:rPr>
        <w:t>noteikta</w:t>
      </w:r>
      <w:r w:rsidR="005D3B3B">
        <w:rPr>
          <w:rFonts w:cs="Times New Roman"/>
          <w:color w:val="000000" w:themeColor="text1"/>
          <w:szCs w:val="24"/>
        </w:rPr>
        <w:t xml:space="preserve"> Krimināllikuma 12.</w:t>
      </w:r>
      <w:r w:rsidR="004945B8">
        <w:rPr>
          <w:rFonts w:cs="Times New Roman"/>
          <w:color w:val="000000" w:themeColor="text1"/>
          <w:szCs w:val="24"/>
        </w:rPr>
        <w:t> </w:t>
      </w:r>
      <w:r w:rsidR="005D3B3B">
        <w:rPr>
          <w:rFonts w:cs="Times New Roman"/>
          <w:color w:val="000000" w:themeColor="text1"/>
          <w:szCs w:val="24"/>
        </w:rPr>
        <w:t>pantā</w:t>
      </w:r>
      <w:r w:rsidR="004945B8">
        <w:rPr>
          <w:rFonts w:cs="Times New Roman"/>
          <w:color w:val="000000" w:themeColor="text1"/>
          <w:szCs w:val="24"/>
        </w:rPr>
        <w:t>. Saskaņā ar š</w:t>
      </w:r>
      <w:r w:rsidR="0045672C">
        <w:rPr>
          <w:rFonts w:cs="Times New Roman"/>
          <w:color w:val="000000" w:themeColor="text1"/>
          <w:szCs w:val="24"/>
        </w:rPr>
        <w:t>o</w:t>
      </w:r>
      <w:r w:rsidR="004945B8">
        <w:rPr>
          <w:rFonts w:cs="Times New Roman"/>
          <w:color w:val="000000" w:themeColor="text1"/>
          <w:szCs w:val="24"/>
        </w:rPr>
        <w:t xml:space="preserve"> tiesību norm</w:t>
      </w:r>
      <w:r w:rsidR="0045672C">
        <w:rPr>
          <w:rFonts w:cs="Times New Roman"/>
          <w:color w:val="000000" w:themeColor="text1"/>
          <w:szCs w:val="24"/>
        </w:rPr>
        <w:t xml:space="preserve">u </w:t>
      </w:r>
      <w:r w:rsidR="004945B8">
        <w:rPr>
          <w:rFonts w:cs="Times New Roman"/>
          <w:color w:val="000000" w:themeColor="text1"/>
          <w:szCs w:val="24"/>
        </w:rPr>
        <w:t>par noziedzīgu nodarījumu, ko privāto tiesību juridiskās personas interesēs, šīs personas labā vai tās nepienācīgas pārraudzības vai kontroles rezultātā izdarījusi fiziskā persona, attiecīgā fiziskā persona saucama pie kriminālatbildības, savukārt juridiskajai personai var piemērot šajā likumā paredzētos piespiedu ietekmēšanas līdzekļus. Tas nozīmē, ka juridiskā persona nevar būt kriminālatbildības subjekt</w:t>
      </w:r>
      <w:r w:rsidR="00CF4803">
        <w:rPr>
          <w:rFonts w:cs="Times New Roman"/>
          <w:color w:val="000000" w:themeColor="text1"/>
          <w:szCs w:val="24"/>
        </w:rPr>
        <w:t>s</w:t>
      </w:r>
      <w:r w:rsidR="004945B8">
        <w:rPr>
          <w:rFonts w:cs="Times New Roman"/>
          <w:color w:val="000000" w:themeColor="text1"/>
          <w:szCs w:val="24"/>
        </w:rPr>
        <w:t>. Tās vietā kriminālā kārtā atbild fizisk</w:t>
      </w:r>
      <w:r w:rsidR="0045672C">
        <w:rPr>
          <w:rFonts w:cs="Times New Roman"/>
          <w:color w:val="000000" w:themeColor="text1"/>
          <w:szCs w:val="24"/>
        </w:rPr>
        <w:t>a</w:t>
      </w:r>
      <w:r w:rsidR="004945B8">
        <w:rPr>
          <w:rFonts w:cs="Times New Roman"/>
          <w:color w:val="000000" w:themeColor="text1"/>
          <w:szCs w:val="24"/>
        </w:rPr>
        <w:t xml:space="preserve"> persona, kura</w:t>
      </w:r>
      <w:r w:rsidR="0045672C">
        <w:rPr>
          <w:rFonts w:cs="Times New Roman"/>
          <w:color w:val="000000" w:themeColor="text1"/>
          <w:szCs w:val="24"/>
        </w:rPr>
        <w:t xml:space="preserve"> </w:t>
      </w:r>
      <w:r w:rsidR="004945B8">
        <w:rPr>
          <w:rFonts w:cs="Times New Roman"/>
          <w:color w:val="000000" w:themeColor="text1"/>
          <w:szCs w:val="24"/>
        </w:rPr>
        <w:t>vainojama noziedzīgaj</w:t>
      </w:r>
      <w:r w:rsidR="00CF4803">
        <w:rPr>
          <w:rFonts w:cs="Times New Roman"/>
          <w:color w:val="000000" w:themeColor="text1"/>
          <w:szCs w:val="24"/>
        </w:rPr>
        <w:t>ā</w:t>
      </w:r>
      <w:r w:rsidR="004945B8">
        <w:rPr>
          <w:rFonts w:cs="Times New Roman"/>
          <w:color w:val="000000" w:themeColor="text1"/>
          <w:szCs w:val="24"/>
        </w:rPr>
        <w:t xml:space="preserve"> nodarījum</w:t>
      </w:r>
      <w:r w:rsidR="00CF4803">
        <w:rPr>
          <w:rFonts w:cs="Times New Roman"/>
          <w:color w:val="000000" w:themeColor="text1"/>
          <w:szCs w:val="24"/>
        </w:rPr>
        <w:t>ā</w:t>
      </w:r>
      <w:r w:rsidR="004945B8">
        <w:rPr>
          <w:rFonts w:cs="Times New Roman"/>
          <w:color w:val="000000" w:themeColor="text1"/>
          <w:szCs w:val="24"/>
        </w:rPr>
        <w:t xml:space="preserve"> saistībā ar juridiskās personas darbību.</w:t>
      </w:r>
    </w:p>
    <w:p w14:paraId="4EC03133" w14:textId="63A74A6A" w:rsidR="00CF4803" w:rsidRPr="00CF4803" w:rsidRDefault="00344BFC" w:rsidP="00426462">
      <w:pPr>
        <w:pStyle w:val="ListBullet"/>
        <w:widowControl w:val="0"/>
        <w:numPr>
          <w:ilvl w:val="0"/>
          <w:numId w:val="0"/>
        </w:numPr>
        <w:spacing w:after="0"/>
        <w:ind w:firstLine="720"/>
        <w:jc w:val="both"/>
        <w:rPr>
          <w:rFonts w:cs="Times New Roman"/>
          <w:color w:val="000000" w:themeColor="text1"/>
          <w:szCs w:val="24"/>
        </w:rPr>
      </w:pPr>
      <w:r>
        <w:rPr>
          <w:rFonts w:cs="Times New Roman"/>
          <w:color w:val="000000" w:themeColor="text1"/>
          <w:szCs w:val="24"/>
        </w:rPr>
        <w:t xml:space="preserve">Tiesību doktrīnā </w:t>
      </w:r>
      <w:r w:rsidR="00CF4803">
        <w:rPr>
          <w:rFonts w:cs="Times New Roman"/>
          <w:color w:val="000000" w:themeColor="text1"/>
          <w:szCs w:val="24"/>
        </w:rPr>
        <w:t>pamatoti norādīts</w:t>
      </w:r>
      <w:r>
        <w:rPr>
          <w:rFonts w:cs="Times New Roman"/>
          <w:color w:val="000000" w:themeColor="text1"/>
          <w:szCs w:val="24"/>
        </w:rPr>
        <w:t xml:space="preserve">, ka fiziskā persona vainojama tajā ziņā, ka </w:t>
      </w:r>
      <w:r w:rsidR="00CF4803">
        <w:rPr>
          <w:rFonts w:cs="Times New Roman"/>
          <w:color w:val="000000" w:themeColor="text1"/>
          <w:szCs w:val="24"/>
        </w:rPr>
        <w:t>viņa</w:t>
      </w:r>
      <w:r>
        <w:rPr>
          <w:rFonts w:cs="Times New Roman"/>
          <w:color w:val="000000" w:themeColor="text1"/>
          <w:szCs w:val="24"/>
        </w:rPr>
        <w:t xml:space="preserve"> juridiskās personas prettiesisko vai tiesisko interesi ar savu darbību vai bezdarbību realizē tiesiski neatļautā veidā</w:t>
      </w:r>
      <w:r w:rsidR="00CF4803">
        <w:rPr>
          <w:rFonts w:cs="Times New Roman"/>
          <w:color w:val="000000" w:themeColor="text1"/>
          <w:szCs w:val="24"/>
        </w:rPr>
        <w:t xml:space="preserve">, par ko Krimināllikuma Sevišķās daļas kādā no pantiem ir noteikta kriminālatbildība </w:t>
      </w:r>
      <w:proofErr w:type="gramStart"/>
      <w:r w:rsidR="00CF4803">
        <w:rPr>
          <w:rFonts w:cs="Times New Roman"/>
          <w:color w:val="000000" w:themeColor="text1"/>
          <w:szCs w:val="24"/>
        </w:rPr>
        <w:t>(</w:t>
      </w:r>
      <w:proofErr w:type="gramEnd"/>
      <w:r w:rsidR="00CF4803" w:rsidRPr="001F5BF6">
        <w:rPr>
          <w:rFonts w:cs="Times New Roman"/>
          <w:color w:val="000000" w:themeColor="text1"/>
          <w:szCs w:val="24"/>
        </w:rPr>
        <w:t xml:space="preserve">sk. </w:t>
      </w:r>
      <w:r w:rsidR="00CF4803">
        <w:rPr>
          <w:rFonts w:cs="Times New Roman"/>
          <w:i/>
          <w:iCs/>
          <w:color w:val="000000" w:themeColor="text1"/>
          <w:szCs w:val="24"/>
        </w:rPr>
        <w:t>U. Krastiņš. Krimināltiesību teorija un prakse: viedokļi, problēmas risinājumi. 2009–2014. Rīga: Latvijas Vēstnesis, 2015, 216. lpp.</w:t>
      </w:r>
      <w:r w:rsidR="00CF4803">
        <w:rPr>
          <w:rFonts w:cs="Times New Roman"/>
          <w:color w:val="000000" w:themeColor="text1"/>
          <w:szCs w:val="24"/>
        </w:rPr>
        <w:t>).</w:t>
      </w:r>
    </w:p>
    <w:p w14:paraId="00C5B5E3" w14:textId="32292164" w:rsidR="00C81FDC" w:rsidRDefault="0045672C" w:rsidP="00426462">
      <w:pPr>
        <w:pStyle w:val="ListBullet"/>
        <w:widowControl w:val="0"/>
        <w:numPr>
          <w:ilvl w:val="0"/>
          <w:numId w:val="0"/>
        </w:numPr>
        <w:spacing w:after="0"/>
        <w:ind w:firstLine="720"/>
        <w:jc w:val="both"/>
      </w:pPr>
      <w:r>
        <w:rPr>
          <w:rFonts w:cs="Times New Roman"/>
          <w:color w:val="000000" w:themeColor="text1"/>
          <w:szCs w:val="24"/>
        </w:rPr>
        <w:t xml:space="preserve">Senātam nav pamata apšaubīt apelācijas instances tiesas atzinumu par to, ka izskatāmajā lietā apsūdzētais </w:t>
      </w:r>
      <w:r w:rsidR="0047798B">
        <w:rPr>
          <w:rFonts w:cs="Times New Roman"/>
          <w:color w:val="000000" w:themeColor="text1"/>
          <w:szCs w:val="24"/>
        </w:rPr>
        <w:t>[pers. </w:t>
      </w:r>
      <w:r w:rsidR="0047798B">
        <w:t>A]</w:t>
      </w:r>
      <w:r>
        <w:rPr>
          <w:rFonts w:cs="Times New Roman"/>
          <w:color w:val="000000" w:themeColor="text1"/>
          <w:szCs w:val="24"/>
        </w:rPr>
        <w:t xml:space="preserve"> ir atzīstams par viņam inkriminētā noziedzīgā nodarījuma subjektu. </w:t>
      </w:r>
      <w:r w:rsidR="004E0CC0">
        <w:rPr>
          <w:rFonts w:cs="Times New Roman"/>
          <w:color w:val="000000" w:themeColor="text1"/>
          <w:szCs w:val="24"/>
        </w:rPr>
        <w:t>Pamatojoties uz lietā iegūtajiem pierādījumiem, tai skaitā</w:t>
      </w:r>
      <w:r w:rsidR="00706FA1">
        <w:rPr>
          <w:rFonts w:cs="Times New Roman"/>
          <w:color w:val="000000" w:themeColor="text1"/>
          <w:szCs w:val="24"/>
        </w:rPr>
        <w:t xml:space="preserve"> </w:t>
      </w:r>
      <w:r w:rsidR="008621BA">
        <w:rPr>
          <w:rFonts w:cs="Times New Roman"/>
          <w:color w:val="000000" w:themeColor="text1"/>
          <w:szCs w:val="24"/>
        </w:rPr>
        <w:t xml:space="preserve">cietušā pārstāves </w:t>
      </w:r>
      <w:r w:rsidR="0047798B">
        <w:rPr>
          <w:rFonts w:cs="Times New Roman"/>
          <w:color w:val="000000" w:themeColor="text1"/>
          <w:szCs w:val="24"/>
        </w:rPr>
        <w:t>[pers. C]</w:t>
      </w:r>
      <w:r w:rsidR="008621BA">
        <w:rPr>
          <w:rFonts w:cs="Times New Roman"/>
          <w:color w:val="000000" w:themeColor="text1"/>
          <w:szCs w:val="24"/>
        </w:rPr>
        <w:t xml:space="preserve"> un </w:t>
      </w:r>
      <w:r w:rsidR="00706FA1">
        <w:rPr>
          <w:rFonts w:cs="Times New Roman"/>
          <w:color w:val="000000" w:themeColor="text1"/>
          <w:szCs w:val="24"/>
        </w:rPr>
        <w:t>lieciniek</w:t>
      </w:r>
      <w:r w:rsidR="00E87D40">
        <w:rPr>
          <w:rFonts w:cs="Times New Roman"/>
          <w:color w:val="000000" w:themeColor="text1"/>
          <w:szCs w:val="24"/>
        </w:rPr>
        <w:t>u</w:t>
      </w:r>
      <w:r w:rsidR="00706FA1">
        <w:rPr>
          <w:rFonts w:cs="Times New Roman"/>
          <w:color w:val="000000" w:themeColor="text1"/>
          <w:szCs w:val="24"/>
        </w:rPr>
        <w:t xml:space="preserve"> </w:t>
      </w:r>
      <w:r w:rsidR="0047798B">
        <w:rPr>
          <w:rFonts w:cs="Times New Roman"/>
          <w:color w:val="000000" w:themeColor="text1"/>
          <w:szCs w:val="24"/>
        </w:rPr>
        <w:t>[pers. J]</w:t>
      </w:r>
      <w:r w:rsidR="00706FA1">
        <w:rPr>
          <w:rFonts w:cs="Times New Roman"/>
          <w:color w:val="000000" w:themeColor="text1"/>
          <w:szCs w:val="24"/>
        </w:rPr>
        <w:t>,</w:t>
      </w:r>
      <w:r w:rsidR="008621BA">
        <w:rPr>
          <w:rFonts w:cs="Times New Roman"/>
          <w:color w:val="000000" w:themeColor="text1"/>
          <w:szCs w:val="24"/>
        </w:rPr>
        <w:t xml:space="preserve"> </w:t>
      </w:r>
      <w:r w:rsidR="0047798B">
        <w:rPr>
          <w:rFonts w:cs="Times New Roman"/>
          <w:color w:val="000000" w:themeColor="text1"/>
          <w:szCs w:val="24"/>
        </w:rPr>
        <w:t>[pers. </w:t>
      </w:r>
      <w:r w:rsidR="0047798B">
        <w:t>L]</w:t>
      </w:r>
      <w:r w:rsidR="008621BA">
        <w:rPr>
          <w:rFonts w:cs="Times New Roman"/>
          <w:color w:val="000000" w:themeColor="text1"/>
          <w:szCs w:val="24"/>
        </w:rPr>
        <w:t>,</w:t>
      </w:r>
      <w:r w:rsidR="00706FA1">
        <w:rPr>
          <w:rFonts w:cs="Times New Roman"/>
          <w:color w:val="000000" w:themeColor="text1"/>
          <w:szCs w:val="24"/>
        </w:rPr>
        <w:t xml:space="preserve"> </w:t>
      </w:r>
      <w:r w:rsidR="0047798B">
        <w:rPr>
          <w:rFonts w:cs="Times New Roman"/>
          <w:color w:val="000000" w:themeColor="text1"/>
          <w:szCs w:val="24"/>
        </w:rPr>
        <w:t>[pers. </w:t>
      </w:r>
      <w:r w:rsidR="0047798B">
        <w:t>K]</w:t>
      </w:r>
      <w:r w:rsidR="00706FA1">
        <w:rPr>
          <w:rFonts w:cs="Times New Roman"/>
          <w:color w:val="000000" w:themeColor="text1"/>
          <w:szCs w:val="24"/>
        </w:rPr>
        <w:t xml:space="preserve"> un </w:t>
      </w:r>
      <w:r w:rsidR="0047798B">
        <w:rPr>
          <w:rFonts w:cs="Times New Roman"/>
          <w:color w:val="000000" w:themeColor="text1"/>
          <w:szCs w:val="24"/>
        </w:rPr>
        <w:t>[pers. </w:t>
      </w:r>
      <w:r w:rsidR="0047798B">
        <w:t>N]</w:t>
      </w:r>
      <w:r w:rsidR="008621BA">
        <w:rPr>
          <w:rFonts w:cs="Times New Roman"/>
          <w:color w:val="000000" w:themeColor="text1"/>
          <w:szCs w:val="24"/>
        </w:rPr>
        <w:t xml:space="preserve"> liecībām, kā arī krimināllietas materiālos apkopotajos rakstveida pierādījumos un dokumentos ietvertajām ziņām, izvērtējot tās kopumā un savstarpējā sakarībā, </w:t>
      </w:r>
      <w:r w:rsidR="00C81FDC">
        <w:t xml:space="preserve">apelācijas instances tiesa konstatējusi apsūdzētā </w:t>
      </w:r>
      <w:r w:rsidR="0047798B">
        <w:t>[pers. A]</w:t>
      </w:r>
      <w:r w:rsidR="00C81FDC">
        <w:t xml:space="preserve"> darbībās visas nepieciešamās Krimināllikuma 1</w:t>
      </w:r>
      <w:r>
        <w:t>48</w:t>
      </w:r>
      <w:r w:rsidR="00C81FDC">
        <w:t>.</w:t>
      </w:r>
      <w:r>
        <w:t> </w:t>
      </w:r>
      <w:r w:rsidR="00C81FDC">
        <w:t>panta trešajā daļā paredzētā noziedzīgā nodarījuma sastāva pazīmes</w:t>
      </w:r>
      <w:r>
        <w:t xml:space="preserve">. </w:t>
      </w:r>
      <w:r w:rsidR="00F81DE9">
        <w:t xml:space="preserve">Tiesa argumentēti atzinusi, ka tieši apsūdzētais </w:t>
      </w:r>
      <w:r w:rsidR="0047798B">
        <w:t>[pers. A]</w:t>
      </w:r>
      <w:r w:rsidR="00F81DE9">
        <w:t xml:space="preserve"> bija tā persona, k</w:t>
      </w:r>
      <w:r w:rsidR="00464218">
        <w:t>ura SIA</w:t>
      </w:r>
      <w:r w:rsidR="00426462">
        <w:t> „</w:t>
      </w:r>
      <w:r w:rsidR="0047798B">
        <w:t>[Nosaukums A]</w:t>
      </w:r>
      <w:r w:rsidR="00464218">
        <w:t xml:space="preserve">” saimnieciskās darbības veikšanai un peļņas gūšanai ir nodrošinājusi, ka viņam daļēji piederošajā uzņēmumā bez autortiesību subjekta – kompānijas </w:t>
      </w:r>
      <w:r w:rsidR="00426462">
        <w:rPr>
          <w:rFonts w:cs="Times New Roman"/>
          <w:color w:val="000000" w:themeColor="text1"/>
          <w:szCs w:val="24"/>
        </w:rPr>
        <w:t>„</w:t>
      </w:r>
      <w:proofErr w:type="spellStart"/>
      <w:r w:rsidR="00991B75">
        <w:rPr>
          <w:rFonts w:cs="Times New Roman"/>
          <w:color w:val="000000" w:themeColor="text1"/>
          <w:szCs w:val="24"/>
        </w:rPr>
        <w:t>Dass</w:t>
      </w:r>
      <w:r w:rsidR="00464218">
        <w:rPr>
          <w:rFonts w:cs="Times New Roman"/>
          <w:color w:val="000000" w:themeColor="text1"/>
          <w:szCs w:val="24"/>
        </w:rPr>
        <w:t>ault</w:t>
      </w:r>
      <w:proofErr w:type="spellEnd"/>
      <w:r w:rsidR="00464218">
        <w:rPr>
          <w:rFonts w:cs="Times New Roman"/>
          <w:color w:val="000000" w:themeColor="text1"/>
          <w:szCs w:val="24"/>
        </w:rPr>
        <w:t xml:space="preserve"> </w:t>
      </w:r>
      <w:proofErr w:type="spellStart"/>
      <w:r w:rsidR="00464218">
        <w:rPr>
          <w:rFonts w:cs="Times New Roman"/>
          <w:color w:val="000000" w:themeColor="text1"/>
          <w:szCs w:val="24"/>
        </w:rPr>
        <w:t>Systemes</w:t>
      </w:r>
      <w:proofErr w:type="spellEnd"/>
      <w:r w:rsidR="00464218">
        <w:rPr>
          <w:rFonts w:cs="Times New Roman"/>
          <w:color w:val="000000" w:themeColor="text1"/>
          <w:szCs w:val="24"/>
        </w:rPr>
        <w:t xml:space="preserve"> </w:t>
      </w:r>
      <w:proofErr w:type="spellStart"/>
      <w:r w:rsidR="00464218">
        <w:rPr>
          <w:rFonts w:cs="Times New Roman"/>
          <w:color w:val="000000" w:themeColor="text1"/>
          <w:szCs w:val="24"/>
        </w:rPr>
        <w:t>SolidWorks</w:t>
      </w:r>
      <w:proofErr w:type="spellEnd"/>
      <w:r w:rsidR="00464218">
        <w:rPr>
          <w:rFonts w:cs="Times New Roman"/>
          <w:color w:val="000000" w:themeColor="text1"/>
          <w:szCs w:val="24"/>
        </w:rPr>
        <w:t xml:space="preserve"> </w:t>
      </w:r>
      <w:proofErr w:type="spellStart"/>
      <w:r w:rsidR="00464218">
        <w:rPr>
          <w:rFonts w:cs="Times New Roman"/>
          <w:color w:val="000000" w:themeColor="text1"/>
          <w:szCs w:val="24"/>
        </w:rPr>
        <w:t>Corporation</w:t>
      </w:r>
      <w:proofErr w:type="spellEnd"/>
      <w:r w:rsidR="00464218">
        <w:rPr>
          <w:rFonts w:cs="Times New Roman"/>
          <w:color w:val="000000" w:themeColor="text1"/>
          <w:szCs w:val="24"/>
        </w:rPr>
        <w:t>”</w:t>
      </w:r>
      <w:r w:rsidR="00C6611B">
        <w:rPr>
          <w:rFonts w:cs="Times New Roman"/>
          <w:color w:val="000000" w:themeColor="text1"/>
          <w:szCs w:val="24"/>
        </w:rPr>
        <w:t xml:space="preserve"> </w:t>
      </w:r>
      <w:r w:rsidR="00464218">
        <w:rPr>
          <w:rFonts w:cs="Times New Roman"/>
          <w:color w:val="000000" w:themeColor="text1"/>
          <w:szCs w:val="24"/>
        </w:rPr>
        <w:t>–</w:t>
      </w:r>
      <w:r w:rsidR="00464218">
        <w:t xml:space="preserve"> atļaujas tiek reproducēti autortiesību objekti, proti, nelegāli (instalējot) tiek izgatavotas datorprogrammu kopijas, kuras pēc to izgatavošanas pastāvīgi tiek uzglabātas elektroniskā veidā, un</w:t>
      </w:r>
      <w:r w:rsidR="00F81DE9">
        <w:t xml:space="preserve"> </w:t>
      </w:r>
      <w:r w:rsidR="00464218">
        <w:rPr>
          <w:rFonts w:cs="Times New Roman"/>
          <w:color w:val="000000" w:themeColor="text1"/>
          <w:szCs w:val="24"/>
        </w:rPr>
        <w:t>noraid</w:t>
      </w:r>
      <w:r w:rsidR="00344BFC">
        <w:t>ījusi aizstāvības versiju par to, ka apsūdzībā minētās pretlikumīgās darbības vairākās SIA</w:t>
      </w:r>
      <w:r w:rsidR="00C6611B">
        <w:t> „</w:t>
      </w:r>
      <w:r w:rsidR="0047798B">
        <w:t>[Nosaukums A]</w:t>
      </w:r>
      <w:r w:rsidR="00344BFC">
        <w:t>” datorsistēmās, uzņēmuma vadībai nezinot, ir veikusi kāda cita persona. Senāts konstatē, ka l</w:t>
      </w:r>
      <w:r w:rsidR="00C81FDC">
        <w:t>ietā iegūtos pierādījumus tiesa ir izvērtējusi atbilstoši Kriminālprocesa likuma 9.</w:t>
      </w:r>
      <w:r>
        <w:t> </w:t>
      </w:r>
      <w:r w:rsidR="00C81FDC">
        <w:t>nodaļā izvirzītajām prasībām un atzinusi tos par ticamiem un pietiekamiem apsūdzēt</w:t>
      </w:r>
      <w:r w:rsidR="0043509F">
        <w:t xml:space="preserve">ā </w:t>
      </w:r>
      <w:r w:rsidR="0047798B">
        <w:t>[pers. A]</w:t>
      </w:r>
      <w:r w:rsidR="00C81FDC">
        <w:t xml:space="preserve"> vainīguma konstatēšanai. Pamatojoties uz lietā iegūtajiem pierādījumiem, apelācijas instances tiesa atzinusi, ka apsūdzēt</w:t>
      </w:r>
      <w:r w:rsidR="0043509F">
        <w:t xml:space="preserve">ā </w:t>
      </w:r>
      <w:r w:rsidR="0047798B">
        <w:t>[pers. A]</w:t>
      </w:r>
      <w:r w:rsidR="00C81FDC">
        <w:t xml:space="preserve"> vainīgums inkriminēt</w:t>
      </w:r>
      <w:r w:rsidR="0043509F">
        <w:t>ajā</w:t>
      </w:r>
      <w:r w:rsidR="00C81FDC">
        <w:t xml:space="preserve"> noziedzīg</w:t>
      </w:r>
      <w:r w:rsidR="0043509F">
        <w:t>ajā</w:t>
      </w:r>
      <w:r w:rsidR="00C81FDC">
        <w:t xml:space="preserve"> nodarījum</w:t>
      </w:r>
      <w:r w:rsidR="0043509F">
        <w:t xml:space="preserve">ā </w:t>
      </w:r>
      <w:r w:rsidR="00C81FDC">
        <w:t>ir pierādīts ārpus saprātīgām šaubām, un konstatējusi Kriminālprocesa likuma 520.</w:t>
      </w:r>
      <w:r w:rsidR="00344BFC">
        <w:t> </w:t>
      </w:r>
      <w:r w:rsidR="00C81FDC">
        <w:t>pantā norādīto notiesājoša sprieduma taisīšanas pamatu. Pierādījumu ticamības jēdziens un novērtēšanas prasības ir ietvertas Kriminālprocesa likuma 128.</w:t>
      </w:r>
      <w:r w:rsidR="00344BFC">
        <w:t> </w:t>
      </w:r>
      <w:r w:rsidR="00C81FDC">
        <w:t>pantā, taču izvēle, kuriem pierādījumiem ticēt, bet kuriem ne, ir tās tiesas kompetencē, kas izspriež lietu pēc būtības. Arī jautājums par to, vai lietā esošie pierādījumi ir vai nav pietiekami apsūdzētā vainīguma konstatēšanai, ir būtības jautājums, kas kasācijas kārtībā nav pārbaudāms. Atbilstoši Kriminālprocesa likuma 569.</w:t>
      </w:r>
      <w:r w:rsidR="00344BFC">
        <w:t> </w:t>
      </w:r>
      <w:r w:rsidR="00C81FDC">
        <w:t xml:space="preserve">pantam kasācijas instances tiesa lietu pēc būtības neiztiesā, lietas faktiskos apstākļus neskaidro un pierādījumus lietā no jauna neizvērtē. Kriminālprocesa likuma prasību pārkāpumus pierādījumu novērtēšanā, kas varētu būt par pamatu apelācijas instances tiesas sprieduma atcelšanai, Senāts nekonstatē, savukārt </w:t>
      </w:r>
      <w:r w:rsidR="0043509F">
        <w:t xml:space="preserve">apsūdzētā aizstāvju </w:t>
      </w:r>
      <w:r w:rsidR="00C81FDC">
        <w:t xml:space="preserve">subjektīvais viedoklis par lietā iegūto pierādījumu novērtējumu, ja tiesa pierādījumu novērtēšanā nav pieļāvusi Kriminālprocesa likuma būtiskus pārkāpumus, nevar būt par pamatu apelācijas instances tiesas nolēmuma atcelšanai. </w:t>
      </w:r>
      <w:r w:rsidR="00344BFC">
        <w:t>Senāts atzīst, ka a</w:t>
      </w:r>
      <w:r w:rsidR="00C81FDC">
        <w:t>izstāvju kasācijas sūdzībā ietvertās norādes uz Krimināllikuma pārkāpumiem un Kriminālprocesa likuma normu būtiskiem pārkāpumiem, izlemjot jautājumu par apsūdzēt</w:t>
      </w:r>
      <w:r w:rsidR="0043509F">
        <w:t xml:space="preserve">ā </w:t>
      </w:r>
      <w:r w:rsidR="0047798B">
        <w:t>[pers. A]</w:t>
      </w:r>
      <w:r w:rsidR="00C81FDC">
        <w:t xml:space="preserve"> vainīgumu un viņiem inkriminēt</w:t>
      </w:r>
      <w:r w:rsidR="00344BFC">
        <w:t>ā</w:t>
      </w:r>
      <w:r w:rsidR="00C81FDC">
        <w:t xml:space="preserve"> noziedzīg</w:t>
      </w:r>
      <w:r w:rsidR="00344BFC">
        <w:t>ā</w:t>
      </w:r>
      <w:r w:rsidR="00C81FDC">
        <w:t xml:space="preserve"> nodarījum</w:t>
      </w:r>
      <w:r w:rsidR="00344BFC">
        <w:t>a</w:t>
      </w:r>
      <w:r w:rsidR="00C81FDC">
        <w:t xml:space="preserve"> juridisko kvalifikāciju, pēc būtības ir saistītas ar kasācijas sūdzīb</w:t>
      </w:r>
      <w:r w:rsidR="0043509F">
        <w:t>as</w:t>
      </w:r>
      <w:r w:rsidR="00C81FDC">
        <w:t xml:space="preserve"> autoru vēlmi atkārtoti izvērtēt pierādījumus kasācijas instances tiesā un panākt apelācijas instances tiesas nolēmuma atcelšanu nevis juridisku, bet faktisku iemeslu dēļ, kas ir pretrunā ar Kriminālprocesa likuma 569.</w:t>
      </w:r>
      <w:r w:rsidR="00C6611B">
        <w:t> </w:t>
      </w:r>
      <w:r w:rsidR="00C81FDC">
        <w:t>panta pirmo daļu.</w:t>
      </w:r>
    </w:p>
    <w:p w14:paraId="54E2939A" w14:textId="037B9449" w:rsidR="00EB35B7" w:rsidRDefault="001B5D96" w:rsidP="00426462">
      <w:pPr>
        <w:pStyle w:val="ListBullet"/>
        <w:widowControl w:val="0"/>
        <w:numPr>
          <w:ilvl w:val="0"/>
          <w:numId w:val="0"/>
        </w:numPr>
        <w:spacing w:after="0"/>
        <w:ind w:firstLine="720"/>
        <w:jc w:val="both"/>
      </w:pPr>
      <w:r>
        <w:t xml:space="preserve">Senāts atzīst par nepamatotiem apsūdzētā </w:t>
      </w:r>
      <w:r w:rsidR="0047798B">
        <w:t>[pers. A]</w:t>
      </w:r>
      <w:r>
        <w:t xml:space="preserve"> aizstāvju kasācijas sūdzībā paustos apgalvojumus, ka apelācijas instances tiesa, pamatojot savus atzinumus par apsūdzētā </w:t>
      </w:r>
      <w:r w:rsidR="0047798B">
        <w:t>[pers. A]</w:t>
      </w:r>
      <w:r>
        <w:t xml:space="preserve"> vainīgumu ar atsauci uz Krimināllikuma 12. pantu, pārkāpusi Kriminālprocesa likuma 562. pantu par apjomu un ietvariem, kādos lieta iztiesājama apelācijas instances tiesā. No </w:t>
      </w:r>
      <w:r w:rsidR="0047798B">
        <w:t>[pers. A]</w:t>
      </w:r>
      <w:r>
        <w:t xml:space="preserve"> celtās apsūdzības satura izriet, ka inkriminēto noziedzīgo nodarījumu viņš izdarījis, būdams SIA</w:t>
      </w:r>
      <w:r w:rsidR="00426462">
        <w:t> „</w:t>
      </w:r>
      <w:r w:rsidR="0047798B">
        <w:t>[Nosaukums A]</w:t>
      </w:r>
      <w:r>
        <w:t xml:space="preserve">” valdes loceklis </w:t>
      </w:r>
      <w:r w:rsidR="00570C26">
        <w:t>un dalībnieks</w:t>
      </w:r>
      <w:r w:rsidR="00BD25F6">
        <w:t>. Turklāt pretēji kasācijas sūdzībā norādītajam prokurore, lūdzot atcelt pirmās instances tiesas attaisnojošo spriedumu, apelācijas protestā ir norādījusi, ka pirmās instances tiesa pamatoti konstatējusi, ka SIA</w:t>
      </w:r>
      <w:r w:rsidR="00426462">
        <w:t> „</w:t>
      </w:r>
      <w:r w:rsidR="0047798B">
        <w:t>[Nosaukums A]</w:t>
      </w:r>
      <w:r w:rsidR="00BD25F6">
        <w:t xml:space="preserve">” noticis autortiesību pārkāpums, taču vienlaikus nepamatoti secinājusi, ka lietā nav pierādīts, ka tieši apsūdzētais </w:t>
      </w:r>
      <w:r w:rsidR="0047798B">
        <w:t>[pers. A]</w:t>
      </w:r>
      <w:r w:rsidR="00BD25F6">
        <w:t xml:space="preserve"> kā fiziska persona ir atbildīgs par šo autortiesību pārkāpumu.</w:t>
      </w:r>
      <w:r w:rsidR="00941A46">
        <w:t xml:space="preserve"> Ievērojot minēto, atzīstams, ka apelācijas instances tiesa, pamatojot savus atzinumus par apsūdzētā </w:t>
      </w:r>
      <w:r w:rsidR="0047798B">
        <w:t>[pers. A]</w:t>
      </w:r>
      <w:r w:rsidR="00941A46">
        <w:t xml:space="preserve"> vainīgumu ar </w:t>
      </w:r>
      <w:r w:rsidR="00EB35B7">
        <w:t>K</w:t>
      </w:r>
      <w:r w:rsidR="00941A46">
        <w:t>rimināllikuma 12.</w:t>
      </w:r>
      <w:r w:rsidR="00EB35B7">
        <w:t> </w:t>
      </w:r>
      <w:r w:rsidR="00941A46">
        <w:t>pantu, kas</w:t>
      </w:r>
      <w:r w:rsidR="00EB35B7">
        <w:t xml:space="preserve"> noteic fiziskās personas atbildību juridiskās personas lietā, Kriminālprocesa likuma 562. panta nosacījumus nav pārkāpusi.</w:t>
      </w:r>
    </w:p>
    <w:p w14:paraId="5FE95E7B" w14:textId="51C37C6B" w:rsidR="00C47F22" w:rsidRDefault="00EB35B7" w:rsidP="00426462">
      <w:pPr>
        <w:pStyle w:val="ListBullet"/>
        <w:widowControl w:val="0"/>
        <w:numPr>
          <w:ilvl w:val="0"/>
          <w:numId w:val="0"/>
        </w:numPr>
        <w:spacing w:after="0"/>
        <w:ind w:firstLine="720"/>
        <w:jc w:val="both"/>
        <w:rPr>
          <w:rFonts w:cs="Times New Roman"/>
          <w:color w:val="000000" w:themeColor="text1"/>
          <w:szCs w:val="24"/>
        </w:rPr>
      </w:pPr>
      <w:r>
        <w:t>[9.4]</w:t>
      </w:r>
      <w:r w:rsidR="00426462">
        <w:t> </w:t>
      </w:r>
      <w:r>
        <w:t>Senāts jau 2019. gada 19.</w:t>
      </w:r>
      <w:r w:rsidR="001D1E24">
        <w:t> </w:t>
      </w:r>
      <w:r>
        <w:t>jūlija lēmumā izskatāmajā lietā ir norādījis, ka aizstāvības atsauce uz Kriminālprocesa likuma pārkāpumu sakarā ar to, ka apelācijas instances tiesa nav izvērtējusi argumentus par</w:t>
      </w:r>
      <w:r w:rsidR="00D309D4">
        <w:t xml:space="preserve"> apsūdzētā </w:t>
      </w:r>
      <w:r w:rsidR="0047798B">
        <w:t>[pers. A]</w:t>
      </w:r>
      <w:r w:rsidR="00D309D4">
        <w:t xml:space="preserve"> prombūtni</w:t>
      </w:r>
      <w:r>
        <w:t xml:space="preserve"> laikā, kad bez autortiesību subjekta atļaujas tika uzstādītas vai reproducētas četras kompānijas </w:t>
      </w:r>
      <w:r w:rsidR="00426462">
        <w:rPr>
          <w:rFonts w:cs="Times New Roman"/>
          <w:color w:val="000000" w:themeColor="text1"/>
          <w:szCs w:val="24"/>
        </w:rPr>
        <w:t>„</w:t>
      </w:r>
      <w:proofErr w:type="spellStart"/>
      <w:r w:rsidR="00991B75">
        <w:rPr>
          <w:rFonts w:cs="Times New Roman"/>
          <w:color w:val="000000" w:themeColor="text1"/>
          <w:szCs w:val="24"/>
        </w:rPr>
        <w:t>Dass</w:t>
      </w:r>
      <w:r>
        <w:rPr>
          <w:rFonts w:cs="Times New Roman"/>
          <w:color w:val="000000" w:themeColor="text1"/>
          <w:szCs w:val="24"/>
        </w:rPr>
        <w:t>ault</w:t>
      </w:r>
      <w:proofErr w:type="spellEnd"/>
      <w:r>
        <w:rPr>
          <w:rFonts w:cs="Times New Roman"/>
          <w:color w:val="000000" w:themeColor="text1"/>
          <w:szCs w:val="24"/>
        </w:rPr>
        <w:t xml:space="preserve"> </w:t>
      </w:r>
      <w:proofErr w:type="spellStart"/>
      <w:r>
        <w:rPr>
          <w:rFonts w:cs="Times New Roman"/>
          <w:color w:val="000000" w:themeColor="text1"/>
          <w:szCs w:val="24"/>
        </w:rPr>
        <w:t>Systemes</w:t>
      </w:r>
      <w:proofErr w:type="spellEnd"/>
      <w:r>
        <w:rPr>
          <w:rFonts w:cs="Times New Roman"/>
          <w:color w:val="000000" w:themeColor="text1"/>
          <w:szCs w:val="24"/>
        </w:rPr>
        <w:t xml:space="preserve"> </w:t>
      </w:r>
      <w:proofErr w:type="spellStart"/>
      <w:r>
        <w:rPr>
          <w:rFonts w:cs="Times New Roman"/>
          <w:color w:val="000000" w:themeColor="text1"/>
          <w:szCs w:val="24"/>
        </w:rPr>
        <w:t>SolidWorks</w:t>
      </w:r>
      <w:proofErr w:type="spellEnd"/>
      <w:r>
        <w:rPr>
          <w:rFonts w:cs="Times New Roman"/>
          <w:color w:val="000000" w:themeColor="text1"/>
          <w:szCs w:val="24"/>
        </w:rPr>
        <w:t xml:space="preserve"> </w:t>
      </w:r>
      <w:proofErr w:type="spellStart"/>
      <w:r>
        <w:rPr>
          <w:rFonts w:cs="Times New Roman"/>
          <w:color w:val="000000" w:themeColor="text1"/>
          <w:szCs w:val="24"/>
        </w:rPr>
        <w:t>Corporation</w:t>
      </w:r>
      <w:proofErr w:type="spellEnd"/>
      <w:r>
        <w:rPr>
          <w:rFonts w:cs="Times New Roman"/>
          <w:color w:val="000000" w:themeColor="text1"/>
          <w:szCs w:val="24"/>
        </w:rPr>
        <w:t>”</w:t>
      </w:r>
      <w:r w:rsidR="00426462">
        <w:rPr>
          <w:rFonts w:cs="Times New Roman"/>
          <w:color w:val="000000" w:themeColor="text1"/>
          <w:szCs w:val="24"/>
        </w:rPr>
        <w:t xml:space="preserve"> </w:t>
      </w:r>
      <w:r>
        <w:rPr>
          <w:rFonts w:cs="Times New Roman"/>
          <w:color w:val="000000" w:themeColor="text1"/>
          <w:szCs w:val="24"/>
        </w:rPr>
        <w:t>datorprogrammas,</w:t>
      </w:r>
      <w:r w:rsidR="00D309D4">
        <w:rPr>
          <w:rFonts w:cs="Times New Roman"/>
          <w:color w:val="000000" w:themeColor="text1"/>
          <w:szCs w:val="24"/>
        </w:rPr>
        <w:t xml:space="preserve"> ir nepamatota, </w:t>
      </w:r>
      <w:r>
        <w:rPr>
          <w:rFonts w:cs="Times New Roman"/>
          <w:color w:val="000000" w:themeColor="text1"/>
          <w:szCs w:val="24"/>
        </w:rPr>
        <w:t xml:space="preserve">jo </w:t>
      </w:r>
      <w:r w:rsidR="0047798B">
        <w:rPr>
          <w:rFonts w:cs="Times New Roman"/>
          <w:color w:val="000000" w:themeColor="text1"/>
          <w:szCs w:val="24"/>
        </w:rPr>
        <w:t>[pers. A]</w:t>
      </w:r>
      <w:r>
        <w:rPr>
          <w:rFonts w:cs="Times New Roman"/>
          <w:color w:val="000000" w:themeColor="text1"/>
          <w:szCs w:val="24"/>
        </w:rPr>
        <w:t xml:space="preserve"> nav celta apsūdzība</w:t>
      </w:r>
      <w:r w:rsidR="00D309D4">
        <w:rPr>
          <w:rFonts w:cs="Times New Roman"/>
          <w:color w:val="000000" w:themeColor="text1"/>
          <w:szCs w:val="24"/>
        </w:rPr>
        <w:t xml:space="preserve"> par to, ka viņš personīgi būtu uzstādījis vai reproducējis minētās datorprogrammas. Tāpat Senāts šajā lēmumā, atsaucoties uz judikatūrā jau iepriekš paustajām atziņām par Krimināllikuma 148. pantā paredzētā noziedzīgā nodarījuma kvalifikāciju, ir norādījis, ka arī aizstāvības atsauce uz Krimināllikuma 23. panta pirmo daļu </w:t>
      </w:r>
      <w:r w:rsidR="00265769">
        <w:rPr>
          <w:rFonts w:cs="Times New Roman"/>
          <w:color w:val="000000" w:themeColor="text1"/>
          <w:szCs w:val="24"/>
        </w:rPr>
        <w:t>ir nepamatota.</w:t>
      </w:r>
    </w:p>
    <w:p w14:paraId="157444C0" w14:textId="26C41101" w:rsidR="00D309D4" w:rsidRDefault="00C47F22" w:rsidP="00426462">
      <w:pPr>
        <w:pStyle w:val="ListBullet"/>
        <w:widowControl w:val="0"/>
        <w:numPr>
          <w:ilvl w:val="0"/>
          <w:numId w:val="0"/>
        </w:numPr>
        <w:spacing w:after="0"/>
        <w:ind w:firstLine="720"/>
        <w:jc w:val="both"/>
        <w:rPr>
          <w:rFonts w:cs="Times New Roman"/>
          <w:color w:val="000000" w:themeColor="text1"/>
          <w:szCs w:val="24"/>
        </w:rPr>
      </w:pPr>
      <w:r>
        <w:rPr>
          <w:rFonts w:cs="Times New Roman"/>
          <w:color w:val="000000" w:themeColor="text1"/>
          <w:szCs w:val="24"/>
        </w:rPr>
        <w:t>Šo argumentu atkārtotai izvērtēšanai kasācijas instances tiesā nav pamata.</w:t>
      </w:r>
    </w:p>
    <w:p w14:paraId="235D1DF1" w14:textId="43167268" w:rsidR="00EF5889" w:rsidRDefault="00265769" w:rsidP="00426462">
      <w:pPr>
        <w:pStyle w:val="ListBullet"/>
        <w:widowControl w:val="0"/>
        <w:numPr>
          <w:ilvl w:val="0"/>
          <w:numId w:val="0"/>
        </w:numPr>
        <w:spacing w:after="0"/>
        <w:ind w:firstLine="720"/>
        <w:jc w:val="both"/>
        <w:rPr>
          <w:rFonts w:cs="Times New Roman"/>
          <w:color w:val="000000" w:themeColor="text1"/>
          <w:szCs w:val="24"/>
        </w:rPr>
      </w:pPr>
      <w:r>
        <w:rPr>
          <w:rFonts w:cs="Times New Roman"/>
          <w:color w:val="000000" w:themeColor="text1"/>
          <w:szCs w:val="24"/>
        </w:rPr>
        <w:t>[9.5]</w:t>
      </w:r>
      <w:r w:rsidR="00426462">
        <w:rPr>
          <w:rFonts w:cs="Times New Roman"/>
          <w:color w:val="000000" w:themeColor="text1"/>
          <w:szCs w:val="24"/>
        </w:rPr>
        <w:t> </w:t>
      </w:r>
      <w:r>
        <w:rPr>
          <w:rFonts w:cs="Times New Roman"/>
          <w:color w:val="000000" w:themeColor="text1"/>
          <w:szCs w:val="24"/>
        </w:rPr>
        <w:t xml:space="preserve">Apelācijas instances tiesa konstatējusi, ka </w:t>
      </w:r>
      <w:proofErr w:type="gramStart"/>
      <w:r>
        <w:rPr>
          <w:rFonts w:cs="Times New Roman"/>
          <w:color w:val="000000" w:themeColor="text1"/>
          <w:szCs w:val="24"/>
        </w:rPr>
        <w:t>lietā pārkāptas</w:t>
      </w:r>
      <w:r w:rsidR="001563C7">
        <w:rPr>
          <w:rFonts w:cs="Times New Roman"/>
          <w:color w:val="000000" w:themeColor="text1"/>
          <w:szCs w:val="24"/>
        </w:rPr>
        <w:t xml:space="preserve"> apsūdzētā</w:t>
      </w:r>
      <w:proofErr w:type="gramEnd"/>
      <w:r w:rsidR="001563C7">
        <w:rPr>
          <w:rFonts w:cs="Times New Roman"/>
          <w:color w:val="000000" w:themeColor="text1"/>
          <w:szCs w:val="24"/>
        </w:rPr>
        <w:t xml:space="preserve"> </w:t>
      </w:r>
      <w:r w:rsidR="0047798B">
        <w:rPr>
          <w:rFonts w:cs="Times New Roman"/>
          <w:color w:val="000000" w:themeColor="text1"/>
          <w:szCs w:val="24"/>
        </w:rPr>
        <w:t>[pers. A]</w:t>
      </w:r>
      <w:r w:rsidR="001563C7">
        <w:rPr>
          <w:rFonts w:cs="Times New Roman"/>
          <w:color w:val="000000" w:themeColor="text1"/>
          <w:szCs w:val="24"/>
        </w:rPr>
        <w:t xml:space="preserve"> </w:t>
      </w:r>
      <w:r>
        <w:rPr>
          <w:rFonts w:cs="Times New Roman"/>
          <w:color w:val="000000" w:themeColor="text1"/>
          <w:szCs w:val="24"/>
        </w:rPr>
        <w:t>tiesības uz kriminālprocesa pabeigšanu saprātīgā termiņā</w:t>
      </w:r>
      <w:r w:rsidR="00EF5889">
        <w:rPr>
          <w:rFonts w:cs="Times New Roman"/>
          <w:color w:val="000000" w:themeColor="text1"/>
          <w:szCs w:val="24"/>
        </w:rPr>
        <w:t>.</w:t>
      </w:r>
    </w:p>
    <w:p w14:paraId="1036CEEF" w14:textId="19EADA97" w:rsidR="00E52013" w:rsidRDefault="00EF5889" w:rsidP="00426462">
      <w:pPr>
        <w:pStyle w:val="ListBullet"/>
        <w:widowControl w:val="0"/>
        <w:numPr>
          <w:ilvl w:val="0"/>
          <w:numId w:val="0"/>
        </w:numPr>
        <w:spacing w:after="0"/>
        <w:ind w:firstLine="720"/>
        <w:jc w:val="both"/>
      </w:pPr>
      <w:r>
        <w:rPr>
          <w:rFonts w:cs="Times New Roman"/>
          <w:color w:val="000000" w:themeColor="text1"/>
          <w:szCs w:val="24"/>
        </w:rPr>
        <w:t>No Krimināllikumā sniegtā tiesiskā regulējuma izriet, ka, konstatējot tiesību uz kriminālprocesa pabeigšanu saprātīgā termiņā</w:t>
      </w:r>
      <w:r w:rsidR="00117EC3">
        <w:rPr>
          <w:rFonts w:cs="Times New Roman"/>
          <w:color w:val="000000" w:themeColor="text1"/>
          <w:szCs w:val="24"/>
        </w:rPr>
        <w:t xml:space="preserve"> pārkāpumu</w:t>
      </w:r>
      <w:r>
        <w:rPr>
          <w:rFonts w:cs="Times New Roman"/>
          <w:color w:val="000000" w:themeColor="text1"/>
          <w:szCs w:val="24"/>
        </w:rPr>
        <w:t>, uz personu, kuras tiesības pārkāptas, attiecināmas vienas no piecām sekām: 1) atbrīvošana no kriminālatbildības (Krimināllikuma 58. panta piektā daļa); 2) </w:t>
      </w:r>
      <w:r w:rsidR="007175B4">
        <w:rPr>
          <w:rFonts w:cs="Times New Roman"/>
          <w:color w:val="000000" w:themeColor="text1"/>
          <w:szCs w:val="24"/>
        </w:rPr>
        <w:t xml:space="preserve">atbrīvošana no soda </w:t>
      </w:r>
      <w:proofErr w:type="gramStart"/>
      <w:r w:rsidR="007175B4">
        <w:rPr>
          <w:rFonts w:cs="Times New Roman"/>
          <w:color w:val="000000" w:themeColor="text1"/>
          <w:szCs w:val="24"/>
        </w:rPr>
        <w:t>(</w:t>
      </w:r>
      <w:proofErr w:type="gramEnd"/>
      <w:r w:rsidR="007175B4">
        <w:rPr>
          <w:rFonts w:cs="Times New Roman"/>
          <w:color w:val="000000" w:themeColor="text1"/>
          <w:szCs w:val="24"/>
        </w:rPr>
        <w:t>Krimināllikuma 59. panta trešā daļa, 58. panta piektā daļa); 3) soda mīkstināšana inkriminētā panta sankcijas ietvaros (Krimināllikuma 49.</w:t>
      </w:r>
      <w:r w:rsidR="007175B4">
        <w:rPr>
          <w:rFonts w:cs="Times New Roman"/>
          <w:color w:val="000000" w:themeColor="text1"/>
          <w:szCs w:val="24"/>
          <w:vertAlign w:val="superscript"/>
        </w:rPr>
        <w:t>1</w:t>
      </w:r>
      <w:r w:rsidR="007175B4">
        <w:rPr>
          <w:rFonts w:cs="Times New Roman"/>
          <w:color w:val="000000" w:themeColor="text1"/>
          <w:szCs w:val="24"/>
        </w:rPr>
        <w:t> panta pirmās daļas 1. punkts); 4) tāda soda noteikšana, kas ir zemāks par minimālo robežu, kāda paredzēta inkriminētā panta sankcijā (Krimināllikuma 49.</w:t>
      </w:r>
      <w:r w:rsidR="007175B4">
        <w:rPr>
          <w:rFonts w:cs="Times New Roman"/>
          <w:color w:val="000000" w:themeColor="text1"/>
          <w:szCs w:val="24"/>
          <w:vertAlign w:val="superscript"/>
        </w:rPr>
        <w:t>1</w:t>
      </w:r>
      <w:r w:rsidR="007175B4">
        <w:rPr>
          <w:rFonts w:cs="Times New Roman"/>
          <w:color w:val="000000" w:themeColor="text1"/>
          <w:szCs w:val="24"/>
        </w:rPr>
        <w:t> panta pirmās daļas 2. punkts), tai skaitā brīvības atņemšanas noteikšana uz 20 gadiem mūža ieslodzījuma vietā (Krimināllikuma 49.</w:t>
      </w:r>
      <w:r w:rsidR="007175B4">
        <w:rPr>
          <w:rFonts w:cs="Times New Roman"/>
          <w:color w:val="000000" w:themeColor="text1"/>
          <w:szCs w:val="24"/>
          <w:vertAlign w:val="superscript"/>
        </w:rPr>
        <w:t>1</w:t>
      </w:r>
      <w:r w:rsidR="007175B4">
        <w:rPr>
          <w:rFonts w:cs="Times New Roman"/>
          <w:color w:val="000000" w:themeColor="text1"/>
          <w:szCs w:val="24"/>
        </w:rPr>
        <w:t> panta otrā daļa); 5) </w:t>
      </w:r>
      <w:r>
        <w:t>vieglāka soda veida piemērošana, nekā inkriminētā panta sankcijā (</w:t>
      </w:r>
      <w:r w:rsidR="007175B4">
        <w:t>Krimināllikuma</w:t>
      </w:r>
      <w:r>
        <w:t xml:space="preserve"> 49.</w:t>
      </w:r>
      <w:r>
        <w:rPr>
          <w:vertAlign w:val="superscript"/>
        </w:rPr>
        <w:t>1</w:t>
      </w:r>
      <w:r>
        <w:t xml:space="preserve"> panta trešā da</w:t>
      </w:r>
      <w:r w:rsidR="00E52013">
        <w:t>ļa).</w:t>
      </w:r>
    </w:p>
    <w:p w14:paraId="0B973E43" w14:textId="4237AFA1" w:rsidR="00CB4FFB" w:rsidRDefault="00E52013" w:rsidP="00426462">
      <w:pPr>
        <w:pStyle w:val="ListBullet"/>
        <w:widowControl w:val="0"/>
        <w:numPr>
          <w:ilvl w:val="0"/>
          <w:numId w:val="0"/>
        </w:numPr>
        <w:spacing w:after="0"/>
        <w:ind w:firstLine="720"/>
        <w:jc w:val="both"/>
        <w:rPr>
          <w:rFonts w:eastAsia="Times New Roman" w:cs="Times New Roman"/>
          <w:szCs w:val="24"/>
        </w:rPr>
      </w:pPr>
      <w:r>
        <w:rPr>
          <w:rFonts w:eastAsia="Times New Roman" w:cs="Times New Roman"/>
          <w:bCs/>
          <w:szCs w:val="24"/>
        </w:rPr>
        <w:t xml:space="preserve">Pirms pieņemt lēmumu par sodu, tiesai katrā konkrētā gadījumā jāizvērtē norādītie Krimināllikumā paredzētie sodu ietekmējošie apstākļi un apstākļi, kas raksturo kriminālprocesa nepamatotu novilcināšanu. Likumā paredzēto iespēju piemērošana ir saistīta ar to sodu, kurš būtu nosakāms, neņemot vērā kriminālprocesa neattaisnotu novilcināšanu </w:t>
      </w:r>
      <w:r>
        <w:rPr>
          <w:rFonts w:eastAsia="Times New Roman" w:cs="Times New Roman"/>
          <w:szCs w:val="24"/>
        </w:rPr>
        <w:t>(</w:t>
      </w:r>
      <w:r>
        <w:rPr>
          <w:rFonts w:eastAsia="Times New Roman" w:cs="Times New Roman"/>
          <w:i/>
          <w:szCs w:val="24"/>
        </w:rPr>
        <w:t>Senāta 2012. gada 31. oktobra lēmums lietā Nr. SKK-480/2012</w:t>
      </w:r>
      <w:r w:rsidR="001D1E24">
        <w:rPr>
          <w:rFonts w:eastAsia="Times New Roman" w:cs="Times New Roman"/>
          <w:i/>
          <w:szCs w:val="24"/>
        </w:rPr>
        <w:t xml:space="preserve">, </w:t>
      </w:r>
      <w:r>
        <w:rPr>
          <w:rFonts w:eastAsia="Times New Roman" w:cs="Times New Roman"/>
          <w:i/>
          <w:szCs w:val="24"/>
        </w:rPr>
        <w:t>11089200909</w:t>
      </w:r>
      <w:r w:rsidRPr="001D1E24">
        <w:rPr>
          <w:rFonts w:eastAsia="Times New Roman" w:cs="Times New Roman"/>
          <w:iCs/>
          <w:szCs w:val="24"/>
        </w:rPr>
        <w:t>)</w:t>
      </w:r>
      <w:r w:rsidR="001563C7">
        <w:rPr>
          <w:rFonts w:eastAsia="Times New Roman" w:cs="Times New Roman"/>
          <w:szCs w:val="24"/>
        </w:rPr>
        <w:t>.</w:t>
      </w:r>
    </w:p>
    <w:p w14:paraId="04BB08EF" w14:textId="2541D661" w:rsidR="00CB4FFB" w:rsidRDefault="00E52013" w:rsidP="00426462">
      <w:pPr>
        <w:pStyle w:val="ListBullet"/>
        <w:widowControl w:val="0"/>
        <w:numPr>
          <w:ilvl w:val="0"/>
          <w:numId w:val="0"/>
        </w:numPr>
        <w:spacing w:after="0"/>
        <w:ind w:firstLine="720"/>
        <w:jc w:val="both"/>
      </w:pPr>
      <w:r>
        <w:t xml:space="preserve">Savukārt lai noteiktu tiesību uz kriminālprocesa pabeigšanu saprātīgā termiņā pārkāpuma atlīdzinājuma apmēru, </w:t>
      </w:r>
      <w:r w:rsidR="001563C7">
        <w:t>būtiski ir izvērtēt apsūdzētā interešu aizskāruma intensitāti. Šī jautājuma centrā ir tieši subjektīvais elements, proti, jo apsūdzētajai personai process ir apgrūtinošāks, jo stingrāks pienākums valsts institūcijām ir ievērot rūpību savlaicīgas procesa norises nodrošināšanā. Eiropas Cilvēktiesību tiesas judikatūrā šādiem apgrūtinošiem apstākļiem tiek pieskaitīts personas vecumu un/vai veselības stāvoklis (</w:t>
      </w:r>
      <w:r w:rsidR="001563C7" w:rsidRPr="001F5BF6">
        <w:t>sk.</w:t>
      </w:r>
      <w:r w:rsidR="00CB4FFB" w:rsidRPr="001F5BF6">
        <w:t xml:space="preserve"> </w:t>
      </w:r>
      <w:r w:rsidR="001563C7">
        <w:rPr>
          <w:i/>
          <w:iCs/>
        </w:rPr>
        <w:t>Eiropas Cilvēktiesību tiesas 1992.</w:t>
      </w:r>
      <w:r w:rsidR="001D1E24">
        <w:rPr>
          <w:i/>
          <w:iCs/>
        </w:rPr>
        <w:t> </w:t>
      </w:r>
      <w:r w:rsidR="001563C7">
        <w:rPr>
          <w:i/>
          <w:iCs/>
        </w:rPr>
        <w:t>gada 31.</w:t>
      </w:r>
      <w:r w:rsidR="001D1E24">
        <w:rPr>
          <w:i/>
          <w:iCs/>
        </w:rPr>
        <w:t> </w:t>
      </w:r>
      <w:r w:rsidR="001563C7">
        <w:rPr>
          <w:i/>
          <w:iCs/>
        </w:rPr>
        <w:t xml:space="preserve">marta sprieduma lietā „X v. </w:t>
      </w:r>
      <w:proofErr w:type="spellStart"/>
      <w:r w:rsidR="001563C7">
        <w:rPr>
          <w:i/>
          <w:iCs/>
        </w:rPr>
        <w:t>France</w:t>
      </w:r>
      <w:proofErr w:type="spellEnd"/>
      <w:r w:rsidR="001563C7">
        <w:rPr>
          <w:i/>
          <w:iCs/>
        </w:rPr>
        <w:t>”, pieteikuma Nr.</w:t>
      </w:r>
      <w:r w:rsidR="001D1E24">
        <w:rPr>
          <w:i/>
          <w:iCs/>
        </w:rPr>
        <w:t> </w:t>
      </w:r>
      <w:r w:rsidR="001563C7">
        <w:rPr>
          <w:i/>
          <w:iCs/>
        </w:rPr>
        <w:t>18020/91, 47.</w:t>
      </w:r>
      <w:r w:rsidR="001D1E24">
        <w:rPr>
          <w:i/>
          <w:iCs/>
        </w:rPr>
        <w:t> </w:t>
      </w:r>
      <w:r w:rsidR="001563C7">
        <w:rPr>
          <w:i/>
          <w:iCs/>
        </w:rPr>
        <w:t>punktu</w:t>
      </w:r>
      <w:r w:rsidR="001563C7">
        <w:t>), kā</w:t>
      </w:r>
      <w:r w:rsidR="001563C7">
        <w:rPr>
          <w:i/>
          <w:iCs/>
        </w:rPr>
        <w:t xml:space="preserve"> </w:t>
      </w:r>
      <w:r w:rsidR="001563C7">
        <w:t>arī personai piemērotā drošības līdzekļa smagumus (</w:t>
      </w:r>
      <w:r w:rsidR="00CB4FFB" w:rsidRPr="001F5BF6">
        <w:t>sk.</w:t>
      </w:r>
      <w:r w:rsidR="00CB4FFB">
        <w:rPr>
          <w:i/>
          <w:iCs/>
        </w:rPr>
        <w:t xml:space="preserve"> Eiropas Cilvēktiesību tiesas 2003.</w:t>
      </w:r>
      <w:r w:rsidR="001D1E24">
        <w:rPr>
          <w:i/>
          <w:iCs/>
        </w:rPr>
        <w:t> </w:t>
      </w:r>
      <w:r w:rsidR="00CB4FFB">
        <w:rPr>
          <w:i/>
          <w:iCs/>
        </w:rPr>
        <w:t>gada 29.</w:t>
      </w:r>
      <w:r w:rsidR="001D1E24">
        <w:rPr>
          <w:i/>
          <w:iCs/>
        </w:rPr>
        <w:t> </w:t>
      </w:r>
      <w:r w:rsidR="00CB4FFB">
        <w:rPr>
          <w:i/>
          <w:iCs/>
        </w:rPr>
        <w:t>aprīļa sprieduma lietā „</w:t>
      </w:r>
      <w:proofErr w:type="spellStart"/>
      <w:r w:rsidR="00CB4FFB">
        <w:rPr>
          <w:i/>
          <w:iCs/>
        </w:rPr>
        <w:t>Motsnik</w:t>
      </w:r>
      <w:proofErr w:type="spellEnd"/>
      <w:r w:rsidR="00CB4FFB">
        <w:rPr>
          <w:i/>
          <w:iCs/>
        </w:rPr>
        <w:t xml:space="preserve"> v. </w:t>
      </w:r>
      <w:proofErr w:type="spellStart"/>
      <w:r w:rsidR="00CB4FFB">
        <w:rPr>
          <w:i/>
          <w:iCs/>
        </w:rPr>
        <w:t>Estonia</w:t>
      </w:r>
      <w:proofErr w:type="spellEnd"/>
      <w:r w:rsidR="00CB4FFB">
        <w:rPr>
          <w:i/>
          <w:iCs/>
        </w:rPr>
        <w:t>”, iesnieguma Nr.</w:t>
      </w:r>
      <w:r w:rsidR="001D1E24">
        <w:rPr>
          <w:i/>
          <w:iCs/>
        </w:rPr>
        <w:t> </w:t>
      </w:r>
      <w:r w:rsidR="00CB4FFB">
        <w:rPr>
          <w:i/>
          <w:iCs/>
        </w:rPr>
        <w:t>50533/99, 40.</w:t>
      </w:r>
      <w:r w:rsidR="001D1E24">
        <w:rPr>
          <w:i/>
          <w:iCs/>
        </w:rPr>
        <w:t> </w:t>
      </w:r>
      <w:r w:rsidR="00CB4FFB">
        <w:rPr>
          <w:i/>
          <w:iCs/>
        </w:rPr>
        <w:t>punktu</w:t>
      </w:r>
      <w:r w:rsidR="00CB4FFB">
        <w:t>).</w:t>
      </w:r>
    </w:p>
    <w:p w14:paraId="10C2CD78" w14:textId="4EBA0267" w:rsidR="00CB4FFB" w:rsidRDefault="00CB4FFB" w:rsidP="00426462">
      <w:pPr>
        <w:pStyle w:val="ListBullet"/>
        <w:widowControl w:val="0"/>
        <w:numPr>
          <w:ilvl w:val="0"/>
          <w:numId w:val="0"/>
        </w:numPr>
        <w:spacing w:after="0"/>
        <w:ind w:firstLine="720"/>
        <w:jc w:val="both"/>
      </w:pPr>
      <w:r>
        <w:t xml:space="preserve">Apelācijas instances tiesa, izvērtējusi Krimināllikumā norādītos sodu ietekmējošos apstākļus, atzinusi, ka apsūdzētajam </w:t>
      </w:r>
      <w:r w:rsidR="00963713">
        <w:t>[pers. A]</w:t>
      </w:r>
      <w:r>
        <w:t xml:space="preserve"> par izdarīto noziedzīgo nodarījumu būtu nosakāms brīvības atņemšanas sods uz 10 mēnešiem. Vienlaikus, konstatējot apsūdzētā tiesību uz kriminālprocesa pabeigšanu saprātīgā termiņā pārkāpumu, apelācijas instances tiesa piemēroj</w:t>
      </w:r>
      <w:r w:rsidR="0051737B">
        <w:t>usi</w:t>
      </w:r>
      <w:r>
        <w:t xml:space="preserve"> Krimināllikuma 49.</w:t>
      </w:r>
      <w:r>
        <w:rPr>
          <w:vertAlign w:val="superscript"/>
        </w:rPr>
        <w:t>1</w:t>
      </w:r>
      <w:r>
        <w:t> panta pirmās daļas 1.</w:t>
      </w:r>
      <w:r w:rsidR="001D1E24">
        <w:t> </w:t>
      </w:r>
      <w:r>
        <w:t>punktu</w:t>
      </w:r>
      <w:r w:rsidR="0051737B">
        <w:t xml:space="preserve"> un</w:t>
      </w:r>
      <w:r>
        <w:t xml:space="preserve"> noteikusi apsūdzētajam sodu br</w:t>
      </w:r>
      <w:r w:rsidR="00803ABE">
        <w:t>īvības atņemšanu uz 9 mēnešiem.</w:t>
      </w:r>
    </w:p>
    <w:p w14:paraId="466260E3" w14:textId="3C351D39" w:rsidR="00803ABE" w:rsidRDefault="00803ABE" w:rsidP="00426462">
      <w:pPr>
        <w:pStyle w:val="ListBullet"/>
        <w:widowControl w:val="0"/>
        <w:numPr>
          <w:ilvl w:val="0"/>
          <w:numId w:val="0"/>
        </w:numPr>
        <w:spacing w:after="0"/>
        <w:ind w:firstLine="720"/>
        <w:jc w:val="both"/>
      </w:pPr>
      <w:r>
        <w:t xml:space="preserve">Ievērojot minēto, apsūdzētā </w:t>
      </w:r>
      <w:r w:rsidR="00963713">
        <w:t>[pers. A]</w:t>
      </w:r>
      <w:r>
        <w:t xml:space="preserve"> aizstāvju kasācijas sūdzībā norādītais apgalvojums par to, ka saprātīga termiņa pārkāpums nav kompensēts, atzīstams par nepamatotu.</w:t>
      </w:r>
    </w:p>
    <w:p w14:paraId="07B0B0D5" w14:textId="0D1FFAE4" w:rsidR="00803ABE" w:rsidRDefault="00803ABE" w:rsidP="00426462">
      <w:pPr>
        <w:pStyle w:val="ListBullet"/>
        <w:widowControl w:val="0"/>
        <w:numPr>
          <w:ilvl w:val="0"/>
          <w:numId w:val="0"/>
        </w:numPr>
        <w:spacing w:after="0"/>
        <w:ind w:firstLine="720"/>
        <w:jc w:val="both"/>
      </w:pPr>
      <w:r>
        <w:t xml:space="preserve">Turklāt apsūdzētā </w:t>
      </w:r>
      <w:r w:rsidR="00963713">
        <w:t>[pers. A]</w:t>
      </w:r>
      <w:r>
        <w:t xml:space="preserve"> aizstāvji, paužot kasācijas sūdzībā neapmierinātību par to, ka brīvības atņemšanas sods apsūdzētajam samazināts tikai par vienu mēnesi, </w:t>
      </w:r>
      <w:r w:rsidR="00020AC7">
        <w:t>nav norādījuši</w:t>
      </w:r>
      <w:r w:rsidR="008A3AC4">
        <w:t xml:space="preserve">, kādus </w:t>
      </w:r>
      <w:r w:rsidR="00117EC3">
        <w:t xml:space="preserve">apsūdzētā </w:t>
      </w:r>
      <w:r w:rsidR="00963713">
        <w:t>[pers. A]</w:t>
      </w:r>
      <w:r w:rsidR="00117EC3">
        <w:t xml:space="preserve"> interešu aizskāruma intensitāti raksturojošus apstākļus</w:t>
      </w:r>
      <w:r w:rsidR="008A3AC4">
        <w:t xml:space="preserve"> </w:t>
      </w:r>
      <w:r w:rsidR="00020AC7">
        <w:t>apelācijas instances tiesa n</w:t>
      </w:r>
      <w:r w:rsidR="008A3AC4">
        <w:t>av</w:t>
      </w:r>
      <w:r w:rsidR="00020AC7">
        <w:t xml:space="preserve"> izvērtējusi, lemjot par </w:t>
      </w:r>
      <w:r w:rsidR="00117EC3">
        <w:t>tiesību uz kriminālprocesa pabeigšanu saprātīgā termiņā pārkāpuma kompensēšanu.</w:t>
      </w:r>
      <w:r w:rsidR="0051737B">
        <w:t xml:space="preserve"> Senāts konstatē, ka</w:t>
      </w:r>
      <w:r w:rsidR="00BB36D7">
        <w:t xml:space="preserve"> izskatāmajā kriminālprocesā</w:t>
      </w:r>
      <w:r w:rsidR="0051737B">
        <w:t xml:space="preserve"> apsūdzētajam </w:t>
      </w:r>
      <w:r w:rsidR="00963713">
        <w:t>[pers. A]</w:t>
      </w:r>
      <w:r w:rsidR="0051737B">
        <w:t xml:space="preserve"> </w:t>
      </w:r>
      <w:r w:rsidR="00BB36D7">
        <w:t>nekādi ar tiesību ierobežošanu saistītie procesuālie līdzekļi</w:t>
      </w:r>
      <w:r w:rsidR="0051737B">
        <w:t xml:space="preserve"> nav piemērot</w:t>
      </w:r>
      <w:r w:rsidR="00BB36D7">
        <w:t>i.</w:t>
      </w:r>
    </w:p>
    <w:p w14:paraId="230344D2" w14:textId="30163D11" w:rsidR="00CF24D1" w:rsidRDefault="00CF24D1" w:rsidP="00CF24D1">
      <w:pPr>
        <w:pStyle w:val="ListBullet"/>
        <w:numPr>
          <w:ilvl w:val="0"/>
          <w:numId w:val="0"/>
        </w:numPr>
        <w:tabs>
          <w:tab w:val="left" w:pos="720"/>
        </w:tabs>
        <w:jc w:val="both"/>
      </w:pPr>
      <w:r>
        <w:t xml:space="preserve">            </w:t>
      </w:r>
      <w:r w:rsidR="00BB36D7">
        <w:t xml:space="preserve">Apelācijas instances tiesa ir izvērtējusi arī aizstāvības argumentus par apsūdzētā </w:t>
      </w:r>
      <w:r w:rsidR="00963713">
        <w:t>[pers. A]</w:t>
      </w:r>
      <w:r w:rsidR="00BB36D7">
        <w:t xml:space="preserve"> atbrīvošanu no kriminālatbildības sakarā ar tiesību uz kriminālprocesa pabeigšanu saprātīgā termiņā pārkāpumu un motivēti tos noraidījusi.</w:t>
      </w:r>
      <w:r w:rsidR="006748D3">
        <w:t xml:space="preserve"> Tiesa ir pamatojusi, kādēļ tā uzskata, ka apsūdzētajam vislabvēlīgāko seku piemērošanai, konstatējot tiesību uz kriminālprocesa pabeigšanu saprātīgā termiņā, </w:t>
      </w:r>
      <w:r w:rsidR="0011009D">
        <w:t>izskatāmajā lietā</w:t>
      </w:r>
      <w:r w:rsidR="006748D3">
        <w:t xml:space="preserve"> nav tiesiska pamata.</w:t>
      </w:r>
      <w:r>
        <w:t xml:space="preserve"> Senāts atzīst, ka, lemjot par iespēju atbrīvot apsūdzēto no kriminālatbildības, ir pamatoti izvērtēt ar noziedzīgo nodarījumu aizskarto interešu nozīmīgumu, lai samērotu šo iespēju ar sabiedrības interesēm, kuras var tikt aizskartas šādā gadījumā.</w:t>
      </w:r>
    </w:p>
    <w:p w14:paraId="2DCF9AB8" w14:textId="4F7403E1" w:rsidR="0011009D" w:rsidRDefault="0011009D" w:rsidP="00426462">
      <w:pPr>
        <w:pStyle w:val="ListBullet"/>
        <w:widowControl w:val="0"/>
        <w:numPr>
          <w:ilvl w:val="0"/>
          <w:numId w:val="0"/>
        </w:numPr>
        <w:spacing w:after="0"/>
        <w:ind w:firstLine="720"/>
        <w:jc w:val="both"/>
      </w:pPr>
    </w:p>
    <w:p w14:paraId="3BEF0BC2" w14:textId="159D3E8B" w:rsidR="0011009D" w:rsidRDefault="00CF24D1" w:rsidP="00CF24D1">
      <w:pPr>
        <w:pStyle w:val="ListBullet"/>
        <w:widowControl w:val="0"/>
        <w:numPr>
          <w:ilvl w:val="0"/>
          <w:numId w:val="0"/>
        </w:numPr>
        <w:spacing w:after="0"/>
        <w:jc w:val="both"/>
      </w:pPr>
      <w:r>
        <w:t xml:space="preserve">            </w:t>
      </w:r>
      <w:r w:rsidR="0011009D">
        <w:t>[10]</w:t>
      </w:r>
      <w:r w:rsidR="00426462">
        <w:t> </w:t>
      </w:r>
      <w:r w:rsidR="0011009D">
        <w:t xml:space="preserve">Ievērojot minēto, Senāts atzīst, ka apsūdzētā </w:t>
      </w:r>
      <w:r w:rsidR="00963713">
        <w:t>[pers. A]</w:t>
      </w:r>
      <w:r w:rsidR="0011009D">
        <w:t xml:space="preserve"> aizstāvju A. Rasas un L. Pommeres kasācijas sūdzībā norādītie motīvi apelācijas instances tiesas nolēmuma atcelšanai nav guvuši apstiprinājumu. Apelācijas instances tiesas spriedums atbilst Kriminālprocesa likuma 511., 512., 527. un 564. panta prasībām. </w:t>
      </w:r>
      <w:proofErr w:type="gramStart"/>
      <w:r w:rsidR="0011009D">
        <w:t>Iztiesājot lietu, apelācijas instances</w:t>
      </w:r>
      <w:proofErr w:type="gramEnd"/>
      <w:r w:rsidR="0011009D">
        <w:t xml:space="preserve"> tiesa nav pieļāvusi Krimināllikuma pārkāpumus vai Kriminālprocesa likuma būtiskus pārkāpumus šā likuma 575. panta trešās daļas izpratnē, tādēļ apelācijas instances tiesas nolēmums atstājams negrozīts.</w:t>
      </w:r>
    </w:p>
    <w:p w14:paraId="57470A40" w14:textId="77777777" w:rsidR="0011009D" w:rsidRDefault="0011009D" w:rsidP="00426462">
      <w:pPr>
        <w:pStyle w:val="ListBullet"/>
        <w:widowControl w:val="0"/>
        <w:numPr>
          <w:ilvl w:val="0"/>
          <w:numId w:val="0"/>
        </w:numPr>
        <w:spacing w:after="0"/>
        <w:ind w:firstLine="720"/>
        <w:jc w:val="both"/>
        <w:rPr>
          <w:rFonts w:cs="Times New Roman"/>
          <w:b/>
          <w:color w:val="000000" w:themeColor="text1"/>
          <w:szCs w:val="24"/>
        </w:rPr>
      </w:pPr>
    </w:p>
    <w:p w14:paraId="3849781B" w14:textId="0480ABAF" w:rsidR="00491894" w:rsidRPr="0011009D" w:rsidRDefault="00491894" w:rsidP="00451447">
      <w:pPr>
        <w:pStyle w:val="ListBullet"/>
        <w:widowControl w:val="0"/>
        <w:numPr>
          <w:ilvl w:val="0"/>
          <w:numId w:val="0"/>
        </w:numPr>
        <w:spacing w:after="0"/>
        <w:jc w:val="center"/>
      </w:pPr>
      <w:r w:rsidRPr="00B14CA7">
        <w:rPr>
          <w:rFonts w:cs="Times New Roman"/>
          <w:b/>
          <w:color w:val="000000" w:themeColor="text1"/>
          <w:szCs w:val="24"/>
        </w:rPr>
        <w:t>Rezolutīvā daļa</w:t>
      </w:r>
    </w:p>
    <w:p w14:paraId="75916AB0" w14:textId="77777777" w:rsidR="00491894" w:rsidRPr="00B14CA7" w:rsidRDefault="00491894" w:rsidP="00426462">
      <w:pPr>
        <w:widowControl w:val="0"/>
        <w:spacing w:after="0"/>
        <w:ind w:firstLine="720"/>
        <w:jc w:val="center"/>
        <w:rPr>
          <w:rFonts w:cs="Times New Roman"/>
          <w:b/>
          <w:color w:val="000000" w:themeColor="text1"/>
          <w:szCs w:val="24"/>
        </w:rPr>
      </w:pPr>
    </w:p>
    <w:p w14:paraId="66B6DBB2" w14:textId="6D597E90" w:rsidR="00491894" w:rsidRPr="00B14CA7" w:rsidRDefault="00491894" w:rsidP="00426462">
      <w:pPr>
        <w:widowControl w:val="0"/>
        <w:spacing w:after="0"/>
        <w:ind w:firstLine="720"/>
        <w:jc w:val="both"/>
        <w:rPr>
          <w:rFonts w:cs="Times New Roman"/>
          <w:color w:val="000000" w:themeColor="text1"/>
          <w:szCs w:val="24"/>
        </w:rPr>
      </w:pPr>
      <w:r w:rsidRPr="00B14CA7">
        <w:rPr>
          <w:rFonts w:cs="Times New Roman"/>
          <w:color w:val="000000" w:themeColor="text1"/>
          <w:szCs w:val="24"/>
        </w:rPr>
        <w:t>Pamatojoties uz Kriminālprocesa likuma 585. un 587.</w:t>
      </w:r>
      <w:r w:rsidR="00344BFC">
        <w:rPr>
          <w:rFonts w:cs="Times New Roman"/>
          <w:color w:val="000000" w:themeColor="text1"/>
          <w:szCs w:val="24"/>
        </w:rPr>
        <w:t> </w:t>
      </w:r>
      <w:r w:rsidRPr="00B14CA7">
        <w:rPr>
          <w:rFonts w:cs="Times New Roman"/>
          <w:color w:val="000000" w:themeColor="text1"/>
          <w:szCs w:val="24"/>
        </w:rPr>
        <w:t>pant</w:t>
      </w:r>
      <w:r w:rsidR="00A4062D">
        <w:rPr>
          <w:rFonts w:cs="Times New Roman"/>
          <w:color w:val="000000" w:themeColor="text1"/>
          <w:szCs w:val="24"/>
        </w:rPr>
        <w:t xml:space="preserve">a pirmās daļas </w:t>
      </w:r>
      <w:r w:rsidR="0011009D">
        <w:rPr>
          <w:rFonts w:cs="Times New Roman"/>
          <w:color w:val="000000" w:themeColor="text1"/>
          <w:szCs w:val="24"/>
        </w:rPr>
        <w:t>1</w:t>
      </w:r>
      <w:r w:rsidR="00A4062D">
        <w:rPr>
          <w:rFonts w:cs="Times New Roman"/>
          <w:color w:val="000000" w:themeColor="text1"/>
          <w:szCs w:val="24"/>
        </w:rPr>
        <w:t>.</w:t>
      </w:r>
      <w:r w:rsidR="0011009D">
        <w:rPr>
          <w:rFonts w:cs="Times New Roman"/>
          <w:color w:val="000000" w:themeColor="text1"/>
          <w:szCs w:val="24"/>
        </w:rPr>
        <w:t> </w:t>
      </w:r>
      <w:r w:rsidR="00A4062D">
        <w:rPr>
          <w:rFonts w:cs="Times New Roman"/>
          <w:color w:val="000000" w:themeColor="text1"/>
          <w:szCs w:val="24"/>
        </w:rPr>
        <w:t>punktu</w:t>
      </w:r>
      <w:r w:rsidRPr="00B14CA7">
        <w:rPr>
          <w:rFonts w:cs="Times New Roman"/>
          <w:color w:val="000000" w:themeColor="text1"/>
          <w:szCs w:val="24"/>
        </w:rPr>
        <w:t xml:space="preserve">, </w:t>
      </w:r>
      <w:r w:rsidR="00426462">
        <w:rPr>
          <w:rFonts w:cs="Times New Roman"/>
          <w:color w:val="000000" w:themeColor="text1"/>
          <w:szCs w:val="24"/>
        </w:rPr>
        <w:t>Senāts</w:t>
      </w:r>
    </w:p>
    <w:p w14:paraId="10171BF3" w14:textId="77777777" w:rsidR="00491894" w:rsidRPr="00B14CA7" w:rsidRDefault="00491894" w:rsidP="00426462">
      <w:pPr>
        <w:widowControl w:val="0"/>
        <w:spacing w:after="0"/>
        <w:ind w:firstLine="720"/>
        <w:rPr>
          <w:rFonts w:cs="Times New Roman"/>
          <w:color w:val="000000" w:themeColor="text1"/>
          <w:szCs w:val="24"/>
        </w:rPr>
      </w:pPr>
    </w:p>
    <w:p w14:paraId="6197FC69" w14:textId="7E0A0E02" w:rsidR="00491894" w:rsidRDefault="007C0E2A" w:rsidP="00426462">
      <w:pPr>
        <w:widowControl w:val="0"/>
        <w:spacing w:after="0"/>
        <w:jc w:val="center"/>
        <w:rPr>
          <w:rFonts w:cs="Times New Roman"/>
          <w:b/>
          <w:color w:val="000000" w:themeColor="text1"/>
          <w:szCs w:val="24"/>
        </w:rPr>
      </w:pPr>
      <w:r>
        <w:rPr>
          <w:rFonts w:cs="Times New Roman"/>
          <w:b/>
          <w:color w:val="000000" w:themeColor="text1"/>
          <w:szCs w:val="24"/>
        </w:rPr>
        <w:t>n</w:t>
      </w:r>
      <w:r w:rsidR="00491894" w:rsidRPr="00B14CA7">
        <w:rPr>
          <w:rFonts w:cs="Times New Roman"/>
          <w:b/>
          <w:color w:val="000000" w:themeColor="text1"/>
          <w:szCs w:val="24"/>
        </w:rPr>
        <w:t>olēma</w:t>
      </w:r>
    </w:p>
    <w:p w14:paraId="62C84B8D" w14:textId="39073E8F" w:rsidR="007C0E2A" w:rsidRDefault="007C0E2A" w:rsidP="00426462">
      <w:pPr>
        <w:widowControl w:val="0"/>
        <w:spacing w:after="0"/>
        <w:ind w:firstLine="720"/>
        <w:jc w:val="center"/>
        <w:rPr>
          <w:rFonts w:cs="Times New Roman"/>
          <w:b/>
          <w:color w:val="000000" w:themeColor="text1"/>
          <w:szCs w:val="24"/>
        </w:rPr>
      </w:pPr>
    </w:p>
    <w:p w14:paraId="5EC3CCAD" w14:textId="48C86D8D" w:rsidR="007C0E2A" w:rsidRPr="007C0E2A" w:rsidRDefault="007C0E2A" w:rsidP="00426462">
      <w:pPr>
        <w:widowControl w:val="0"/>
        <w:spacing w:after="0"/>
        <w:ind w:firstLine="720"/>
        <w:jc w:val="both"/>
        <w:rPr>
          <w:rFonts w:cs="Times New Roman"/>
          <w:bCs/>
          <w:color w:val="000000" w:themeColor="text1"/>
          <w:szCs w:val="24"/>
        </w:rPr>
      </w:pPr>
      <w:r>
        <w:rPr>
          <w:rFonts w:cs="Times New Roman"/>
          <w:bCs/>
          <w:color w:val="000000" w:themeColor="text1"/>
          <w:szCs w:val="24"/>
        </w:rPr>
        <w:t xml:space="preserve">atstāt negrozītu Kurzemes apgabaltiesas 2022. gada 9. marta spriedumu, bet apsūdzētā </w:t>
      </w:r>
      <w:r w:rsidR="00963713">
        <w:rPr>
          <w:rFonts w:cs="Times New Roman"/>
          <w:bCs/>
          <w:color w:val="000000" w:themeColor="text1"/>
          <w:szCs w:val="24"/>
        </w:rPr>
        <w:t>[pers. </w:t>
      </w:r>
      <w:r w:rsidR="00963713">
        <w:t>A]</w:t>
      </w:r>
      <w:r>
        <w:rPr>
          <w:rFonts w:cs="Times New Roman"/>
          <w:bCs/>
          <w:color w:val="000000" w:themeColor="text1"/>
          <w:szCs w:val="24"/>
        </w:rPr>
        <w:t xml:space="preserve"> aizstāvju Armanda Rasas un Lienes Pommeres kasācijas sūdzību noraidīt.</w:t>
      </w:r>
    </w:p>
    <w:p w14:paraId="29C6B5D6" w14:textId="77777777" w:rsidR="007C0E2A" w:rsidRDefault="007C0E2A" w:rsidP="00426462">
      <w:pPr>
        <w:widowControl w:val="0"/>
        <w:spacing w:after="0"/>
        <w:ind w:firstLine="720"/>
        <w:jc w:val="both"/>
        <w:rPr>
          <w:rFonts w:cs="Times New Roman"/>
          <w:b/>
          <w:color w:val="000000" w:themeColor="text1"/>
          <w:szCs w:val="24"/>
        </w:rPr>
      </w:pPr>
    </w:p>
    <w:p w14:paraId="679812CA" w14:textId="7462E5C1" w:rsidR="00570A66" w:rsidRDefault="00874A74" w:rsidP="00963713">
      <w:pPr>
        <w:widowControl w:val="0"/>
        <w:spacing w:after="0"/>
        <w:ind w:firstLine="720"/>
        <w:jc w:val="both"/>
        <w:rPr>
          <w:rFonts w:cs="Times New Roman"/>
          <w:color w:val="000000" w:themeColor="text1"/>
          <w:szCs w:val="24"/>
        </w:rPr>
      </w:pPr>
      <w:r w:rsidRPr="00F81E7B">
        <w:rPr>
          <w:color w:val="000000"/>
        </w:rPr>
        <w:t>Lēmums nav pārsūdzams</w:t>
      </w:r>
      <w:r w:rsidR="00491894" w:rsidRPr="00B14CA7">
        <w:rPr>
          <w:rFonts w:cs="Times New Roman"/>
          <w:color w:val="000000" w:themeColor="text1"/>
          <w:szCs w:val="24"/>
        </w:rPr>
        <w:t>.</w:t>
      </w:r>
    </w:p>
    <w:sectPr w:rsidR="00570A66" w:rsidSect="00426462">
      <w:footerReference w:type="default" r:id="rId9"/>
      <w:pgSz w:w="11906" w:h="16838" w:code="9"/>
      <w:pgMar w:top="1134"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2A678" w14:textId="77777777" w:rsidR="00B4211D" w:rsidRDefault="00B4211D" w:rsidP="00233790">
      <w:pPr>
        <w:spacing w:after="0" w:line="240" w:lineRule="auto"/>
      </w:pPr>
      <w:r>
        <w:separator/>
      </w:r>
    </w:p>
  </w:endnote>
  <w:endnote w:type="continuationSeparator" w:id="0">
    <w:p w14:paraId="63779D07" w14:textId="77777777" w:rsidR="00B4211D" w:rsidRDefault="00B4211D" w:rsidP="00233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7819982"/>
      <w:docPartObj>
        <w:docPartGallery w:val="Page Numbers (Bottom of Page)"/>
        <w:docPartUnique/>
      </w:docPartObj>
    </w:sdtPr>
    <w:sdtEndPr>
      <w:rPr>
        <w:sz w:val="20"/>
        <w:szCs w:val="20"/>
      </w:rPr>
    </w:sdtEndPr>
    <w:sdtContent>
      <w:sdt>
        <w:sdtPr>
          <w:id w:val="1728636285"/>
          <w:docPartObj>
            <w:docPartGallery w:val="Page Numbers (Top of Page)"/>
            <w:docPartUnique/>
          </w:docPartObj>
        </w:sdtPr>
        <w:sdtEndPr>
          <w:rPr>
            <w:sz w:val="20"/>
            <w:szCs w:val="20"/>
          </w:rPr>
        </w:sdtEndPr>
        <w:sdtContent>
          <w:p w14:paraId="68E62F2E" w14:textId="676F6C74" w:rsidR="009F1719" w:rsidRPr="00426462" w:rsidRDefault="009F1719" w:rsidP="00426462">
            <w:pPr>
              <w:pStyle w:val="Footer"/>
              <w:jc w:val="center"/>
              <w:rPr>
                <w:sz w:val="20"/>
                <w:szCs w:val="20"/>
              </w:rPr>
            </w:pPr>
            <w:r w:rsidRPr="00426462">
              <w:rPr>
                <w:bCs/>
                <w:sz w:val="20"/>
                <w:szCs w:val="20"/>
              </w:rPr>
              <w:fldChar w:fldCharType="begin"/>
            </w:r>
            <w:r w:rsidRPr="00426462">
              <w:rPr>
                <w:bCs/>
                <w:sz w:val="20"/>
                <w:szCs w:val="20"/>
              </w:rPr>
              <w:instrText xml:space="preserve"> PAGE </w:instrText>
            </w:r>
            <w:r w:rsidRPr="00426462">
              <w:rPr>
                <w:bCs/>
                <w:sz w:val="20"/>
                <w:szCs w:val="20"/>
              </w:rPr>
              <w:fldChar w:fldCharType="separate"/>
            </w:r>
            <w:r w:rsidR="008741DC" w:rsidRPr="00426462">
              <w:rPr>
                <w:bCs/>
                <w:noProof/>
                <w:sz w:val="20"/>
                <w:szCs w:val="20"/>
              </w:rPr>
              <w:t>3</w:t>
            </w:r>
            <w:r w:rsidRPr="00426462">
              <w:rPr>
                <w:bCs/>
                <w:sz w:val="20"/>
                <w:szCs w:val="20"/>
              </w:rPr>
              <w:fldChar w:fldCharType="end"/>
            </w:r>
            <w:r w:rsidRPr="00426462">
              <w:rPr>
                <w:sz w:val="20"/>
                <w:szCs w:val="20"/>
              </w:rPr>
              <w:t xml:space="preserve"> no </w:t>
            </w:r>
            <w:r w:rsidRPr="00426462">
              <w:rPr>
                <w:bCs/>
                <w:sz w:val="20"/>
                <w:szCs w:val="20"/>
              </w:rPr>
              <w:fldChar w:fldCharType="begin"/>
            </w:r>
            <w:r w:rsidRPr="00426462">
              <w:rPr>
                <w:bCs/>
                <w:sz w:val="20"/>
                <w:szCs w:val="20"/>
              </w:rPr>
              <w:instrText xml:space="preserve"> NUMPAGES  </w:instrText>
            </w:r>
            <w:r w:rsidRPr="00426462">
              <w:rPr>
                <w:bCs/>
                <w:sz w:val="20"/>
                <w:szCs w:val="20"/>
              </w:rPr>
              <w:fldChar w:fldCharType="separate"/>
            </w:r>
            <w:r w:rsidR="008741DC" w:rsidRPr="00426462">
              <w:rPr>
                <w:bCs/>
                <w:noProof/>
                <w:sz w:val="20"/>
                <w:szCs w:val="20"/>
              </w:rPr>
              <w:t>4</w:t>
            </w:r>
            <w:r w:rsidRPr="00426462">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787AC" w14:textId="77777777" w:rsidR="00B4211D" w:rsidRDefault="00B4211D" w:rsidP="00233790">
      <w:pPr>
        <w:spacing w:after="0" w:line="240" w:lineRule="auto"/>
      </w:pPr>
      <w:r>
        <w:separator/>
      </w:r>
    </w:p>
  </w:footnote>
  <w:footnote w:type="continuationSeparator" w:id="0">
    <w:p w14:paraId="18C88D51" w14:textId="77777777" w:rsidR="00B4211D" w:rsidRDefault="00B4211D" w:rsidP="002337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764D90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A3E0B47"/>
    <w:multiLevelType w:val="multilevel"/>
    <w:tmpl w:val="9ADC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7682495"/>
    <w:multiLevelType w:val="hybridMultilevel"/>
    <w:tmpl w:val="D67C0194"/>
    <w:lvl w:ilvl="0" w:tplc="6A164328">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num w:numId="1" w16cid:durableId="1860241121">
    <w:abstractNumId w:val="0"/>
  </w:num>
  <w:num w:numId="2" w16cid:durableId="4769242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4457704">
    <w:abstractNumId w:val="1"/>
  </w:num>
  <w:num w:numId="4" w16cid:durableId="815995076">
    <w:abstractNumId w:val="0"/>
  </w:num>
  <w:num w:numId="5" w16cid:durableId="1474104135">
    <w:abstractNumId w:val="0"/>
  </w:num>
  <w:num w:numId="6" w16cid:durableId="348218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C56"/>
    <w:rsid w:val="00000851"/>
    <w:rsid w:val="00002164"/>
    <w:rsid w:val="000047C1"/>
    <w:rsid w:val="00005AD5"/>
    <w:rsid w:val="0001035C"/>
    <w:rsid w:val="00011014"/>
    <w:rsid w:val="000128AA"/>
    <w:rsid w:val="00015FF4"/>
    <w:rsid w:val="000162A3"/>
    <w:rsid w:val="0001788C"/>
    <w:rsid w:val="00017DA3"/>
    <w:rsid w:val="00020AC7"/>
    <w:rsid w:val="00021D1B"/>
    <w:rsid w:val="00023CBB"/>
    <w:rsid w:val="0002492A"/>
    <w:rsid w:val="000268A3"/>
    <w:rsid w:val="00026A58"/>
    <w:rsid w:val="0002731F"/>
    <w:rsid w:val="00027FA2"/>
    <w:rsid w:val="000361F9"/>
    <w:rsid w:val="00040989"/>
    <w:rsid w:val="000413D2"/>
    <w:rsid w:val="00042B16"/>
    <w:rsid w:val="000433E0"/>
    <w:rsid w:val="0005566A"/>
    <w:rsid w:val="00060288"/>
    <w:rsid w:val="00060E93"/>
    <w:rsid w:val="000623E1"/>
    <w:rsid w:val="00064D7E"/>
    <w:rsid w:val="00071E84"/>
    <w:rsid w:val="000738EA"/>
    <w:rsid w:val="00081C39"/>
    <w:rsid w:val="00082033"/>
    <w:rsid w:val="00082652"/>
    <w:rsid w:val="00083B9A"/>
    <w:rsid w:val="00084A08"/>
    <w:rsid w:val="0008648F"/>
    <w:rsid w:val="00087AD9"/>
    <w:rsid w:val="00092E98"/>
    <w:rsid w:val="00093CF5"/>
    <w:rsid w:val="000978F1"/>
    <w:rsid w:val="000A0716"/>
    <w:rsid w:val="000A1B31"/>
    <w:rsid w:val="000A326A"/>
    <w:rsid w:val="000A62B8"/>
    <w:rsid w:val="000B1205"/>
    <w:rsid w:val="000B1D77"/>
    <w:rsid w:val="000B2E3F"/>
    <w:rsid w:val="000B34BC"/>
    <w:rsid w:val="000B492F"/>
    <w:rsid w:val="000B5C96"/>
    <w:rsid w:val="000B6E4A"/>
    <w:rsid w:val="000C144C"/>
    <w:rsid w:val="000C55D2"/>
    <w:rsid w:val="000C5646"/>
    <w:rsid w:val="000D10B4"/>
    <w:rsid w:val="000D721C"/>
    <w:rsid w:val="000F5207"/>
    <w:rsid w:val="0010125A"/>
    <w:rsid w:val="0010252C"/>
    <w:rsid w:val="00104998"/>
    <w:rsid w:val="00104AA1"/>
    <w:rsid w:val="00107D66"/>
    <w:rsid w:val="0011009D"/>
    <w:rsid w:val="001113D6"/>
    <w:rsid w:val="00112019"/>
    <w:rsid w:val="0011249A"/>
    <w:rsid w:val="00114C29"/>
    <w:rsid w:val="00117EC3"/>
    <w:rsid w:val="00120549"/>
    <w:rsid w:val="00126D01"/>
    <w:rsid w:val="00127098"/>
    <w:rsid w:val="001327FF"/>
    <w:rsid w:val="00132C7D"/>
    <w:rsid w:val="00133090"/>
    <w:rsid w:val="00133121"/>
    <w:rsid w:val="00142039"/>
    <w:rsid w:val="00142EDC"/>
    <w:rsid w:val="0014353C"/>
    <w:rsid w:val="00143888"/>
    <w:rsid w:val="00151388"/>
    <w:rsid w:val="001515E6"/>
    <w:rsid w:val="001530E3"/>
    <w:rsid w:val="00153F7D"/>
    <w:rsid w:val="00154E75"/>
    <w:rsid w:val="001563C7"/>
    <w:rsid w:val="00157A7A"/>
    <w:rsid w:val="00162AD9"/>
    <w:rsid w:val="00162D12"/>
    <w:rsid w:val="00165389"/>
    <w:rsid w:val="00165CE0"/>
    <w:rsid w:val="001717AC"/>
    <w:rsid w:val="00175B84"/>
    <w:rsid w:val="0018069F"/>
    <w:rsid w:val="00182AEE"/>
    <w:rsid w:val="001832E2"/>
    <w:rsid w:val="00184E66"/>
    <w:rsid w:val="00191A44"/>
    <w:rsid w:val="0019585E"/>
    <w:rsid w:val="001A639F"/>
    <w:rsid w:val="001B24A6"/>
    <w:rsid w:val="001B5D96"/>
    <w:rsid w:val="001B6F02"/>
    <w:rsid w:val="001B7687"/>
    <w:rsid w:val="001C069A"/>
    <w:rsid w:val="001C15C6"/>
    <w:rsid w:val="001D0903"/>
    <w:rsid w:val="001D0B73"/>
    <w:rsid w:val="001D1E24"/>
    <w:rsid w:val="001D2E43"/>
    <w:rsid w:val="001D3715"/>
    <w:rsid w:val="001D38F5"/>
    <w:rsid w:val="001D5989"/>
    <w:rsid w:val="001D5B68"/>
    <w:rsid w:val="001D6EE0"/>
    <w:rsid w:val="001E2EFC"/>
    <w:rsid w:val="001E7062"/>
    <w:rsid w:val="001F078D"/>
    <w:rsid w:val="001F08EF"/>
    <w:rsid w:val="001F13B9"/>
    <w:rsid w:val="001F4DF3"/>
    <w:rsid w:val="001F5BF6"/>
    <w:rsid w:val="001F5DD9"/>
    <w:rsid w:val="001F7BDB"/>
    <w:rsid w:val="00200024"/>
    <w:rsid w:val="002010F8"/>
    <w:rsid w:val="00201E42"/>
    <w:rsid w:val="00203A46"/>
    <w:rsid w:val="0020511B"/>
    <w:rsid w:val="002054EC"/>
    <w:rsid w:val="002169C2"/>
    <w:rsid w:val="002201C2"/>
    <w:rsid w:val="00223382"/>
    <w:rsid w:val="00226B63"/>
    <w:rsid w:val="00231707"/>
    <w:rsid w:val="00233790"/>
    <w:rsid w:val="00233827"/>
    <w:rsid w:val="00233F3E"/>
    <w:rsid w:val="00235346"/>
    <w:rsid w:val="0023735B"/>
    <w:rsid w:val="002424B5"/>
    <w:rsid w:val="00246CB1"/>
    <w:rsid w:val="00250471"/>
    <w:rsid w:val="002542A0"/>
    <w:rsid w:val="002558A3"/>
    <w:rsid w:val="00255EBB"/>
    <w:rsid w:val="002562DE"/>
    <w:rsid w:val="00264C17"/>
    <w:rsid w:val="00265769"/>
    <w:rsid w:val="0026661A"/>
    <w:rsid w:val="0026766E"/>
    <w:rsid w:val="00271624"/>
    <w:rsid w:val="002806A8"/>
    <w:rsid w:val="00285485"/>
    <w:rsid w:val="00291512"/>
    <w:rsid w:val="0029208D"/>
    <w:rsid w:val="002932C0"/>
    <w:rsid w:val="00293470"/>
    <w:rsid w:val="002936C1"/>
    <w:rsid w:val="00296E1F"/>
    <w:rsid w:val="002A041B"/>
    <w:rsid w:val="002A1BDE"/>
    <w:rsid w:val="002A3EEC"/>
    <w:rsid w:val="002A4F71"/>
    <w:rsid w:val="002B05D4"/>
    <w:rsid w:val="002B1562"/>
    <w:rsid w:val="002B28BC"/>
    <w:rsid w:val="002B29CC"/>
    <w:rsid w:val="002B568D"/>
    <w:rsid w:val="002B5E56"/>
    <w:rsid w:val="002B5EBC"/>
    <w:rsid w:val="002B7BC0"/>
    <w:rsid w:val="002C19AA"/>
    <w:rsid w:val="002C331E"/>
    <w:rsid w:val="002C4BA3"/>
    <w:rsid w:val="002C61B7"/>
    <w:rsid w:val="002C6B2B"/>
    <w:rsid w:val="002D6A13"/>
    <w:rsid w:val="002D710C"/>
    <w:rsid w:val="002E0448"/>
    <w:rsid w:val="002E1016"/>
    <w:rsid w:val="002F3024"/>
    <w:rsid w:val="002F467C"/>
    <w:rsid w:val="002F4D18"/>
    <w:rsid w:val="00301584"/>
    <w:rsid w:val="00304D8E"/>
    <w:rsid w:val="00306A15"/>
    <w:rsid w:val="00306CB6"/>
    <w:rsid w:val="00310F23"/>
    <w:rsid w:val="0031204E"/>
    <w:rsid w:val="003125C4"/>
    <w:rsid w:val="00315A20"/>
    <w:rsid w:val="00316BFE"/>
    <w:rsid w:val="003235C9"/>
    <w:rsid w:val="00324BB6"/>
    <w:rsid w:val="003256B2"/>
    <w:rsid w:val="0033083D"/>
    <w:rsid w:val="00330EF3"/>
    <w:rsid w:val="003352A8"/>
    <w:rsid w:val="003379DC"/>
    <w:rsid w:val="00340C81"/>
    <w:rsid w:val="00344BFC"/>
    <w:rsid w:val="00345039"/>
    <w:rsid w:val="00350260"/>
    <w:rsid w:val="00351E69"/>
    <w:rsid w:val="00353A3A"/>
    <w:rsid w:val="00354DBE"/>
    <w:rsid w:val="0035521F"/>
    <w:rsid w:val="00355379"/>
    <w:rsid w:val="00361094"/>
    <w:rsid w:val="00366B93"/>
    <w:rsid w:val="0037069B"/>
    <w:rsid w:val="00371AC2"/>
    <w:rsid w:val="00373C7A"/>
    <w:rsid w:val="00376452"/>
    <w:rsid w:val="00377452"/>
    <w:rsid w:val="003827D9"/>
    <w:rsid w:val="00393FBC"/>
    <w:rsid w:val="003955DD"/>
    <w:rsid w:val="003B1387"/>
    <w:rsid w:val="003B342E"/>
    <w:rsid w:val="003B49C7"/>
    <w:rsid w:val="003C2F25"/>
    <w:rsid w:val="003C37BA"/>
    <w:rsid w:val="003C58A7"/>
    <w:rsid w:val="003C7852"/>
    <w:rsid w:val="003D3228"/>
    <w:rsid w:val="003D3734"/>
    <w:rsid w:val="003D5152"/>
    <w:rsid w:val="003E593C"/>
    <w:rsid w:val="003E743A"/>
    <w:rsid w:val="003F08B1"/>
    <w:rsid w:val="003F339A"/>
    <w:rsid w:val="003F3434"/>
    <w:rsid w:val="003F3769"/>
    <w:rsid w:val="003F6D84"/>
    <w:rsid w:val="00400363"/>
    <w:rsid w:val="0040050D"/>
    <w:rsid w:val="00402B53"/>
    <w:rsid w:val="00403FF6"/>
    <w:rsid w:val="004049C6"/>
    <w:rsid w:val="00407576"/>
    <w:rsid w:val="00412F42"/>
    <w:rsid w:val="00415E44"/>
    <w:rsid w:val="00416EA7"/>
    <w:rsid w:val="00417503"/>
    <w:rsid w:val="004179FB"/>
    <w:rsid w:val="004226EF"/>
    <w:rsid w:val="0042503F"/>
    <w:rsid w:val="00426462"/>
    <w:rsid w:val="00434AF3"/>
    <w:rsid w:val="0043509F"/>
    <w:rsid w:val="004402FF"/>
    <w:rsid w:val="004416FE"/>
    <w:rsid w:val="0044269A"/>
    <w:rsid w:val="00444C00"/>
    <w:rsid w:val="00446B79"/>
    <w:rsid w:val="00451447"/>
    <w:rsid w:val="0045672C"/>
    <w:rsid w:val="00457EB8"/>
    <w:rsid w:val="00461304"/>
    <w:rsid w:val="00461970"/>
    <w:rsid w:val="00464218"/>
    <w:rsid w:val="0046432C"/>
    <w:rsid w:val="00466C0C"/>
    <w:rsid w:val="00470233"/>
    <w:rsid w:val="004708FF"/>
    <w:rsid w:val="00471B72"/>
    <w:rsid w:val="00472445"/>
    <w:rsid w:val="0047369C"/>
    <w:rsid w:val="0047477B"/>
    <w:rsid w:val="00474B81"/>
    <w:rsid w:val="0047798B"/>
    <w:rsid w:val="0048058A"/>
    <w:rsid w:val="0048192D"/>
    <w:rsid w:val="00485F61"/>
    <w:rsid w:val="004904F3"/>
    <w:rsid w:val="00491894"/>
    <w:rsid w:val="004930D1"/>
    <w:rsid w:val="004945B8"/>
    <w:rsid w:val="00494E20"/>
    <w:rsid w:val="00495E38"/>
    <w:rsid w:val="00496F55"/>
    <w:rsid w:val="004A374B"/>
    <w:rsid w:val="004A4F4F"/>
    <w:rsid w:val="004A6A93"/>
    <w:rsid w:val="004A7C94"/>
    <w:rsid w:val="004B0621"/>
    <w:rsid w:val="004B1E1B"/>
    <w:rsid w:val="004B4F68"/>
    <w:rsid w:val="004C09DD"/>
    <w:rsid w:val="004C3DEC"/>
    <w:rsid w:val="004C4688"/>
    <w:rsid w:val="004C5122"/>
    <w:rsid w:val="004C5E14"/>
    <w:rsid w:val="004D1387"/>
    <w:rsid w:val="004D3BC1"/>
    <w:rsid w:val="004D4F25"/>
    <w:rsid w:val="004E0662"/>
    <w:rsid w:val="004E0CC0"/>
    <w:rsid w:val="004E14AF"/>
    <w:rsid w:val="004E260F"/>
    <w:rsid w:val="004E63DC"/>
    <w:rsid w:val="004E7ACC"/>
    <w:rsid w:val="004F098E"/>
    <w:rsid w:val="004F2F49"/>
    <w:rsid w:val="004F6863"/>
    <w:rsid w:val="004F6AD8"/>
    <w:rsid w:val="00501172"/>
    <w:rsid w:val="005025C8"/>
    <w:rsid w:val="00504DC9"/>
    <w:rsid w:val="00506815"/>
    <w:rsid w:val="00513E96"/>
    <w:rsid w:val="0051688E"/>
    <w:rsid w:val="0051737B"/>
    <w:rsid w:val="00520BC1"/>
    <w:rsid w:val="005214FB"/>
    <w:rsid w:val="00521CD0"/>
    <w:rsid w:val="00533499"/>
    <w:rsid w:val="00533AD9"/>
    <w:rsid w:val="00534182"/>
    <w:rsid w:val="005352DA"/>
    <w:rsid w:val="00540B24"/>
    <w:rsid w:val="005415E8"/>
    <w:rsid w:val="00541B97"/>
    <w:rsid w:val="00544CAD"/>
    <w:rsid w:val="0054503A"/>
    <w:rsid w:val="0054708F"/>
    <w:rsid w:val="00550870"/>
    <w:rsid w:val="005508D4"/>
    <w:rsid w:val="00552525"/>
    <w:rsid w:val="00554831"/>
    <w:rsid w:val="005575E8"/>
    <w:rsid w:val="005617D7"/>
    <w:rsid w:val="00562090"/>
    <w:rsid w:val="00566517"/>
    <w:rsid w:val="00566C49"/>
    <w:rsid w:val="00570A66"/>
    <w:rsid w:val="00570C26"/>
    <w:rsid w:val="00571845"/>
    <w:rsid w:val="00571D67"/>
    <w:rsid w:val="0057294F"/>
    <w:rsid w:val="00574445"/>
    <w:rsid w:val="00575406"/>
    <w:rsid w:val="00583DEF"/>
    <w:rsid w:val="005853E7"/>
    <w:rsid w:val="00590911"/>
    <w:rsid w:val="00592D3A"/>
    <w:rsid w:val="005938C1"/>
    <w:rsid w:val="00595B62"/>
    <w:rsid w:val="00596DF3"/>
    <w:rsid w:val="0059774D"/>
    <w:rsid w:val="00597D80"/>
    <w:rsid w:val="005A3605"/>
    <w:rsid w:val="005A7FB5"/>
    <w:rsid w:val="005B1AB4"/>
    <w:rsid w:val="005B3D19"/>
    <w:rsid w:val="005B4FD5"/>
    <w:rsid w:val="005C1725"/>
    <w:rsid w:val="005C3A10"/>
    <w:rsid w:val="005D36C3"/>
    <w:rsid w:val="005D3B3B"/>
    <w:rsid w:val="005D40AE"/>
    <w:rsid w:val="005E0EEA"/>
    <w:rsid w:val="005E67DA"/>
    <w:rsid w:val="00602CEC"/>
    <w:rsid w:val="00607C27"/>
    <w:rsid w:val="00607DEF"/>
    <w:rsid w:val="00607EAF"/>
    <w:rsid w:val="00620B79"/>
    <w:rsid w:val="0062737B"/>
    <w:rsid w:val="006353D8"/>
    <w:rsid w:val="0063745A"/>
    <w:rsid w:val="0064078C"/>
    <w:rsid w:val="006415F8"/>
    <w:rsid w:val="006436D6"/>
    <w:rsid w:val="00646074"/>
    <w:rsid w:val="006510BC"/>
    <w:rsid w:val="0065284B"/>
    <w:rsid w:val="00654DB1"/>
    <w:rsid w:val="006560B3"/>
    <w:rsid w:val="00665449"/>
    <w:rsid w:val="006659DB"/>
    <w:rsid w:val="00666DD8"/>
    <w:rsid w:val="006674AD"/>
    <w:rsid w:val="00671480"/>
    <w:rsid w:val="0067486D"/>
    <w:rsid w:val="006748D3"/>
    <w:rsid w:val="00677C57"/>
    <w:rsid w:val="00681F30"/>
    <w:rsid w:val="00683858"/>
    <w:rsid w:val="00684E73"/>
    <w:rsid w:val="00687A58"/>
    <w:rsid w:val="0069086A"/>
    <w:rsid w:val="00691528"/>
    <w:rsid w:val="006915C1"/>
    <w:rsid w:val="006919F1"/>
    <w:rsid w:val="00691D5A"/>
    <w:rsid w:val="00695EFC"/>
    <w:rsid w:val="00696756"/>
    <w:rsid w:val="00696783"/>
    <w:rsid w:val="00696CAA"/>
    <w:rsid w:val="00697DA0"/>
    <w:rsid w:val="006A0D59"/>
    <w:rsid w:val="006B687F"/>
    <w:rsid w:val="006C0EAA"/>
    <w:rsid w:val="006C23AC"/>
    <w:rsid w:val="006C52A0"/>
    <w:rsid w:val="006C621D"/>
    <w:rsid w:val="006D2A97"/>
    <w:rsid w:val="006D6F30"/>
    <w:rsid w:val="006E1F24"/>
    <w:rsid w:val="006E2245"/>
    <w:rsid w:val="006E2CCD"/>
    <w:rsid w:val="006E57FE"/>
    <w:rsid w:val="006E7878"/>
    <w:rsid w:val="006F20AA"/>
    <w:rsid w:val="006F5492"/>
    <w:rsid w:val="00701D2B"/>
    <w:rsid w:val="007049E2"/>
    <w:rsid w:val="00704CE2"/>
    <w:rsid w:val="00706FA1"/>
    <w:rsid w:val="00710DA1"/>
    <w:rsid w:val="00711165"/>
    <w:rsid w:val="007112D0"/>
    <w:rsid w:val="00711A84"/>
    <w:rsid w:val="0071590B"/>
    <w:rsid w:val="007175B4"/>
    <w:rsid w:val="00720B9F"/>
    <w:rsid w:val="007301E0"/>
    <w:rsid w:val="0073058D"/>
    <w:rsid w:val="00732A3B"/>
    <w:rsid w:val="00733E60"/>
    <w:rsid w:val="00735B3B"/>
    <w:rsid w:val="00735FA4"/>
    <w:rsid w:val="0073667A"/>
    <w:rsid w:val="0074076D"/>
    <w:rsid w:val="00743788"/>
    <w:rsid w:val="00744123"/>
    <w:rsid w:val="00745FBE"/>
    <w:rsid w:val="00746247"/>
    <w:rsid w:val="00755C03"/>
    <w:rsid w:val="007563E5"/>
    <w:rsid w:val="00756827"/>
    <w:rsid w:val="00756F58"/>
    <w:rsid w:val="00760DBC"/>
    <w:rsid w:val="00761CE8"/>
    <w:rsid w:val="00771658"/>
    <w:rsid w:val="007816BA"/>
    <w:rsid w:val="00781ADB"/>
    <w:rsid w:val="00795A16"/>
    <w:rsid w:val="00797538"/>
    <w:rsid w:val="007A5BD3"/>
    <w:rsid w:val="007A7DBB"/>
    <w:rsid w:val="007B28A4"/>
    <w:rsid w:val="007B69CF"/>
    <w:rsid w:val="007B6F31"/>
    <w:rsid w:val="007B744A"/>
    <w:rsid w:val="007C07AA"/>
    <w:rsid w:val="007C0E2A"/>
    <w:rsid w:val="007C0FEA"/>
    <w:rsid w:val="007C1E7E"/>
    <w:rsid w:val="007C406C"/>
    <w:rsid w:val="007C41E2"/>
    <w:rsid w:val="007D1FDC"/>
    <w:rsid w:val="007D24C2"/>
    <w:rsid w:val="007D4DF0"/>
    <w:rsid w:val="007E06FA"/>
    <w:rsid w:val="007E0925"/>
    <w:rsid w:val="007E6953"/>
    <w:rsid w:val="007E7DB9"/>
    <w:rsid w:val="007E7DEA"/>
    <w:rsid w:val="007F1965"/>
    <w:rsid w:val="007F19FE"/>
    <w:rsid w:val="007F341C"/>
    <w:rsid w:val="007F4123"/>
    <w:rsid w:val="007F47A8"/>
    <w:rsid w:val="007F4BA1"/>
    <w:rsid w:val="007F4FFE"/>
    <w:rsid w:val="007F62FD"/>
    <w:rsid w:val="007F7A87"/>
    <w:rsid w:val="008003FA"/>
    <w:rsid w:val="00803ABE"/>
    <w:rsid w:val="0080632B"/>
    <w:rsid w:val="00811E1E"/>
    <w:rsid w:val="00812099"/>
    <w:rsid w:val="00812E83"/>
    <w:rsid w:val="00813091"/>
    <w:rsid w:val="0081327D"/>
    <w:rsid w:val="008136B3"/>
    <w:rsid w:val="008144DC"/>
    <w:rsid w:val="00814606"/>
    <w:rsid w:val="00814768"/>
    <w:rsid w:val="0081516D"/>
    <w:rsid w:val="00816130"/>
    <w:rsid w:val="00824B8C"/>
    <w:rsid w:val="0082609A"/>
    <w:rsid w:val="008276AA"/>
    <w:rsid w:val="008278B8"/>
    <w:rsid w:val="008325D4"/>
    <w:rsid w:val="00835A57"/>
    <w:rsid w:val="00835D46"/>
    <w:rsid w:val="00836D37"/>
    <w:rsid w:val="008424EB"/>
    <w:rsid w:val="00845830"/>
    <w:rsid w:val="008469FB"/>
    <w:rsid w:val="00847413"/>
    <w:rsid w:val="0085067E"/>
    <w:rsid w:val="008508B7"/>
    <w:rsid w:val="0085310C"/>
    <w:rsid w:val="008556B2"/>
    <w:rsid w:val="00855D1C"/>
    <w:rsid w:val="00855E8B"/>
    <w:rsid w:val="00856DBD"/>
    <w:rsid w:val="008621BA"/>
    <w:rsid w:val="00863FF1"/>
    <w:rsid w:val="00864BE8"/>
    <w:rsid w:val="00865025"/>
    <w:rsid w:val="00865627"/>
    <w:rsid w:val="00865986"/>
    <w:rsid w:val="00870C70"/>
    <w:rsid w:val="008733CA"/>
    <w:rsid w:val="0087382D"/>
    <w:rsid w:val="00873C21"/>
    <w:rsid w:val="008741DC"/>
    <w:rsid w:val="0087432B"/>
    <w:rsid w:val="00874A74"/>
    <w:rsid w:val="008755BF"/>
    <w:rsid w:val="00875B5D"/>
    <w:rsid w:val="00880B8F"/>
    <w:rsid w:val="0088196C"/>
    <w:rsid w:val="00884AF6"/>
    <w:rsid w:val="00885BA5"/>
    <w:rsid w:val="00886FD7"/>
    <w:rsid w:val="00887393"/>
    <w:rsid w:val="0089461A"/>
    <w:rsid w:val="00894852"/>
    <w:rsid w:val="00896AF7"/>
    <w:rsid w:val="008977C0"/>
    <w:rsid w:val="008A219A"/>
    <w:rsid w:val="008A283E"/>
    <w:rsid w:val="008A3AC4"/>
    <w:rsid w:val="008A3EBF"/>
    <w:rsid w:val="008A6DDD"/>
    <w:rsid w:val="008A7764"/>
    <w:rsid w:val="008B037C"/>
    <w:rsid w:val="008B3A11"/>
    <w:rsid w:val="008B5395"/>
    <w:rsid w:val="008B53E1"/>
    <w:rsid w:val="008B556E"/>
    <w:rsid w:val="008B7641"/>
    <w:rsid w:val="008C1673"/>
    <w:rsid w:val="008C444C"/>
    <w:rsid w:val="008C5DC4"/>
    <w:rsid w:val="008C6176"/>
    <w:rsid w:val="008C73CA"/>
    <w:rsid w:val="008D4D77"/>
    <w:rsid w:val="008D6861"/>
    <w:rsid w:val="008E13AA"/>
    <w:rsid w:val="008E13F7"/>
    <w:rsid w:val="008E636E"/>
    <w:rsid w:val="008E63CE"/>
    <w:rsid w:val="008E702A"/>
    <w:rsid w:val="008E71B3"/>
    <w:rsid w:val="008E73CF"/>
    <w:rsid w:val="008E762A"/>
    <w:rsid w:val="008F16D9"/>
    <w:rsid w:val="008F4D5E"/>
    <w:rsid w:val="008F5F37"/>
    <w:rsid w:val="008F717B"/>
    <w:rsid w:val="008F7D57"/>
    <w:rsid w:val="009010D6"/>
    <w:rsid w:val="00902C60"/>
    <w:rsid w:val="00903632"/>
    <w:rsid w:val="0090578E"/>
    <w:rsid w:val="0090690E"/>
    <w:rsid w:val="00911131"/>
    <w:rsid w:val="00912EDB"/>
    <w:rsid w:val="00914988"/>
    <w:rsid w:val="009176AC"/>
    <w:rsid w:val="00920084"/>
    <w:rsid w:val="00924EC2"/>
    <w:rsid w:val="00933799"/>
    <w:rsid w:val="00933C1C"/>
    <w:rsid w:val="00934CF8"/>
    <w:rsid w:val="009365A1"/>
    <w:rsid w:val="00940404"/>
    <w:rsid w:val="009410C4"/>
    <w:rsid w:val="00941A46"/>
    <w:rsid w:val="009430DA"/>
    <w:rsid w:val="0094486C"/>
    <w:rsid w:val="00947BFF"/>
    <w:rsid w:val="00954864"/>
    <w:rsid w:val="009620D1"/>
    <w:rsid w:val="00963713"/>
    <w:rsid w:val="00965CA9"/>
    <w:rsid w:val="00970B5F"/>
    <w:rsid w:val="00971C2D"/>
    <w:rsid w:val="009721A7"/>
    <w:rsid w:val="0097700A"/>
    <w:rsid w:val="0098097A"/>
    <w:rsid w:val="00983DB5"/>
    <w:rsid w:val="00990C56"/>
    <w:rsid w:val="00991B75"/>
    <w:rsid w:val="00994837"/>
    <w:rsid w:val="009A1D30"/>
    <w:rsid w:val="009A35D0"/>
    <w:rsid w:val="009A76FC"/>
    <w:rsid w:val="009B5A35"/>
    <w:rsid w:val="009B5E83"/>
    <w:rsid w:val="009B62D6"/>
    <w:rsid w:val="009C0BCD"/>
    <w:rsid w:val="009C6A08"/>
    <w:rsid w:val="009C7ADC"/>
    <w:rsid w:val="009D0AF0"/>
    <w:rsid w:val="009D1FF3"/>
    <w:rsid w:val="009D3C36"/>
    <w:rsid w:val="009D60A0"/>
    <w:rsid w:val="009E5053"/>
    <w:rsid w:val="009E5CEE"/>
    <w:rsid w:val="009F0CC0"/>
    <w:rsid w:val="009F1061"/>
    <w:rsid w:val="009F1719"/>
    <w:rsid w:val="009F5DD6"/>
    <w:rsid w:val="00A00520"/>
    <w:rsid w:val="00A01EC2"/>
    <w:rsid w:val="00A0362A"/>
    <w:rsid w:val="00A044E8"/>
    <w:rsid w:val="00A05ACA"/>
    <w:rsid w:val="00A060D7"/>
    <w:rsid w:val="00A104E7"/>
    <w:rsid w:val="00A11020"/>
    <w:rsid w:val="00A13825"/>
    <w:rsid w:val="00A20663"/>
    <w:rsid w:val="00A21135"/>
    <w:rsid w:val="00A23651"/>
    <w:rsid w:val="00A24EBD"/>
    <w:rsid w:val="00A252BF"/>
    <w:rsid w:val="00A25A2E"/>
    <w:rsid w:val="00A26EB4"/>
    <w:rsid w:val="00A2744F"/>
    <w:rsid w:val="00A3179F"/>
    <w:rsid w:val="00A33EDA"/>
    <w:rsid w:val="00A34C3D"/>
    <w:rsid w:val="00A35245"/>
    <w:rsid w:val="00A4062D"/>
    <w:rsid w:val="00A42488"/>
    <w:rsid w:val="00A45EF3"/>
    <w:rsid w:val="00A5215F"/>
    <w:rsid w:val="00A55110"/>
    <w:rsid w:val="00A5772D"/>
    <w:rsid w:val="00A57FB2"/>
    <w:rsid w:val="00A62777"/>
    <w:rsid w:val="00A64646"/>
    <w:rsid w:val="00A64F49"/>
    <w:rsid w:val="00A75C07"/>
    <w:rsid w:val="00A813F3"/>
    <w:rsid w:val="00A8227F"/>
    <w:rsid w:val="00A823C7"/>
    <w:rsid w:val="00A86EC0"/>
    <w:rsid w:val="00A875AD"/>
    <w:rsid w:val="00A91674"/>
    <w:rsid w:val="00A92670"/>
    <w:rsid w:val="00A93C27"/>
    <w:rsid w:val="00A95F9A"/>
    <w:rsid w:val="00AA1727"/>
    <w:rsid w:val="00AA4751"/>
    <w:rsid w:val="00AA49A7"/>
    <w:rsid w:val="00AA5366"/>
    <w:rsid w:val="00AB295B"/>
    <w:rsid w:val="00AB45CF"/>
    <w:rsid w:val="00AB462E"/>
    <w:rsid w:val="00AB4C10"/>
    <w:rsid w:val="00AB6205"/>
    <w:rsid w:val="00AB6474"/>
    <w:rsid w:val="00AB6E02"/>
    <w:rsid w:val="00AC20F0"/>
    <w:rsid w:val="00AC3BD3"/>
    <w:rsid w:val="00AC4D5D"/>
    <w:rsid w:val="00AC6769"/>
    <w:rsid w:val="00AC6A1D"/>
    <w:rsid w:val="00AD1BB2"/>
    <w:rsid w:val="00AD36C9"/>
    <w:rsid w:val="00AD4906"/>
    <w:rsid w:val="00AD5B53"/>
    <w:rsid w:val="00AD69D3"/>
    <w:rsid w:val="00AE2C67"/>
    <w:rsid w:val="00AF215A"/>
    <w:rsid w:val="00AF3F3B"/>
    <w:rsid w:val="00AF596F"/>
    <w:rsid w:val="00AF7FBB"/>
    <w:rsid w:val="00B010E1"/>
    <w:rsid w:val="00B01736"/>
    <w:rsid w:val="00B04989"/>
    <w:rsid w:val="00B128CE"/>
    <w:rsid w:val="00B1332F"/>
    <w:rsid w:val="00B140A4"/>
    <w:rsid w:val="00B14CA7"/>
    <w:rsid w:val="00B15226"/>
    <w:rsid w:val="00B172AB"/>
    <w:rsid w:val="00B174B1"/>
    <w:rsid w:val="00B1792A"/>
    <w:rsid w:val="00B228EE"/>
    <w:rsid w:val="00B22E09"/>
    <w:rsid w:val="00B256F1"/>
    <w:rsid w:val="00B2584D"/>
    <w:rsid w:val="00B270CE"/>
    <w:rsid w:val="00B3170D"/>
    <w:rsid w:val="00B32519"/>
    <w:rsid w:val="00B32C20"/>
    <w:rsid w:val="00B35E2C"/>
    <w:rsid w:val="00B3652B"/>
    <w:rsid w:val="00B36D8F"/>
    <w:rsid w:val="00B401E5"/>
    <w:rsid w:val="00B41803"/>
    <w:rsid w:val="00B419C2"/>
    <w:rsid w:val="00B41C61"/>
    <w:rsid w:val="00B4211D"/>
    <w:rsid w:val="00B459EF"/>
    <w:rsid w:val="00B4716D"/>
    <w:rsid w:val="00B47F6A"/>
    <w:rsid w:val="00B53A3E"/>
    <w:rsid w:val="00B55100"/>
    <w:rsid w:val="00B57DF2"/>
    <w:rsid w:val="00B61A6C"/>
    <w:rsid w:val="00B6229A"/>
    <w:rsid w:val="00B62658"/>
    <w:rsid w:val="00B63AC5"/>
    <w:rsid w:val="00B6592B"/>
    <w:rsid w:val="00B67099"/>
    <w:rsid w:val="00B6740D"/>
    <w:rsid w:val="00B74DB9"/>
    <w:rsid w:val="00B81B67"/>
    <w:rsid w:val="00B82042"/>
    <w:rsid w:val="00B82366"/>
    <w:rsid w:val="00B82848"/>
    <w:rsid w:val="00B83DB7"/>
    <w:rsid w:val="00B87324"/>
    <w:rsid w:val="00B910BC"/>
    <w:rsid w:val="00B926D8"/>
    <w:rsid w:val="00B927B5"/>
    <w:rsid w:val="00B93094"/>
    <w:rsid w:val="00B952F9"/>
    <w:rsid w:val="00B97D97"/>
    <w:rsid w:val="00BA6A42"/>
    <w:rsid w:val="00BB0A7A"/>
    <w:rsid w:val="00BB36D7"/>
    <w:rsid w:val="00BB5E1B"/>
    <w:rsid w:val="00BC4F9E"/>
    <w:rsid w:val="00BD01B4"/>
    <w:rsid w:val="00BD0E74"/>
    <w:rsid w:val="00BD25F6"/>
    <w:rsid w:val="00BD59B9"/>
    <w:rsid w:val="00BD78CA"/>
    <w:rsid w:val="00BD7EF2"/>
    <w:rsid w:val="00BE03C1"/>
    <w:rsid w:val="00BE19C0"/>
    <w:rsid w:val="00BE2D7E"/>
    <w:rsid w:val="00BE2FE8"/>
    <w:rsid w:val="00BE378D"/>
    <w:rsid w:val="00BE3EE4"/>
    <w:rsid w:val="00BE4BB0"/>
    <w:rsid w:val="00BE6A13"/>
    <w:rsid w:val="00BE7350"/>
    <w:rsid w:val="00BF26CA"/>
    <w:rsid w:val="00BF3A86"/>
    <w:rsid w:val="00BF4A56"/>
    <w:rsid w:val="00C00AC8"/>
    <w:rsid w:val="00C02A3E"/>
    <w:rsid w:val="00C046B9"/>
    <w:rsid w:val="00C05EE5"/>
    <w:rsid w:val="00C07681"/>
    <w:rsid w:val="00C07E8A"/>
    <w:rsid w:val="00C12029"/>
    <w:rsid w:val="00C12F47"/>
    <w:rsid w:val="00C152C3"/>
    <w:rsid w:val="00C1534E"/>
    <w:rsid w:val="00C15D5A"/>
    <w:rsid w:val="00C21435"/>
    <w:rsid w:val="00C25821"/>
    <w:rsid w:val="00C27F56"/>
    <w:rsid w:val="00C305BD"/>
    <w:rsid w:val="00C36CA2"/>
    <w:rsid w:val="00C4087B"/>
    <w:rsid w:val="00C41B8D"/>
    <w:rsid w:val="00C42518"/>
    <w:rsid w:val="00C42FAA"/>
    <w:rsid w:val="00C447F2"/>
    <w:rsid w:val="00C4480B"/>
    <w:rsid w:val="00C45A4A"/>
    <w:rsid w:val="00C47B65"/>
    <w:rsid w:val="00C47C9C"/>
    <w:rsid w:val="00C47F22"/>
    <w:rsid w:val="00C5093E"/>
    <w:rsid w:val="00C529F0"/>
    <w:rsid w:val="00C52FA4"/>
    <w:rsid w:val="00C5421F"/>
    <w:rsid w:val="00C60459"/>
    <w:rsid w:val="00C604F4"/>
    <w:rsid w:val="00C62A76"/>
    <w:rsid w:val="00C63D14"/>
    <w:rsid w:val="00C6611B"/>
    <w:rsid w:val="00C6672C"/>
    <w:rsid w:val="00C6686C"/>
    <w:rsid w:val="00C67EA6"/>
    <w:rsid w:val="00C70492"/>
    <w:rsid w:val="00C779E2"/>
    <w:rsid w:val="00C80F61"/>
    <w:rsid w:val="00C81982"/>
    <w:rsid w:val="00C81FDC"/>
    <w:rsid w:val="00C86122"/>
    <w:rsid w:val="00C9079E"/>
    <w:rsid w:val="00C90982"/>
    <w:rsid w:val="00C91EDF"/>
    <w:rsid w:val="00C9706E"/>
    <w:rsid w:val="00CA049B"/>
    <w:rsid w:val="00CA1455"/>
    <w:rsid w:val="00CA1BDF"/>
    <w:rsid w:val="00CA35EA"/>
    <w:rsid w:val="00CA4912"/>
    <w:rsid w:val="00CB287B"/>
    <w:rsid w:val="00CB3AAC"/>
    <w:rsid w:val="00CB4FFB"/>
    <w:rsid w:val="00CB6248"/>
    <w:rsid w:val="00CB67F7"/>
    <w:rsid w:val="00CB6984"/>
    <w:rsid w:val="00CB7290"/>
    <w:rsid w:val="00CB7770"/>
    <w:rsid w:val="00CC02BD"/>
    <w:rsid w:val="00CC25B8"/>
    <w:rsid w:val="00CC2F12"/>
    <w:rsid w:val="00CC4879"/>
    <w:rsid w:val="00CC50CC"/>
    <w:rsid w:val="00CD325F"/>
    <w:rsid w:val="00CD45FD"/>
    <w:rsid w:val="00CD46B1"/>
    <w:rsid w:val="00CD610D"/>
    <w:rsid w:val="00CD638E"/>
    <w:rsid w:val="00CD6CEE"/>
    <w:rsid w:val="00CD6DC2"/>
    <w:rsid w:val="00CE0FC0"/>
    <w:rsid w:val="00CE368A"/>
    <w:rsid w:val="00CE5C26"/>
    <w:rsid w:val="00CF05ED"/>
    <w:rsid w:val="00CF24D1"/>
    <w:rsid w:val="00CF2D53"/>
    <w:rsid w:val="00CF4803"/>
    <w:rsid w:val="00CF50AC"/>
    <w:rsid w:val="00CF61D7"/>
    <w:rsid w:val="00CF6665"/>
    <w:rsid w:val="00D02F2C"/>
    <w:rsid w:val="00D05323"/>
    <w:rsid w:val="00D13D80"/>
    <w:rsid w:val="00D213FA"/>
    <w:rsid w:val="00D2690E"/>
    <w:rsid w:val="00D27CAA"/>
    <w:rsid w:val="00D3051D"/>
    <w:rsid w:val="00D309D4"/>
    <w:rsid w:val="00D31F3B"/>
    <w:rsid w:val="00D36985"/>
    <w:rsid w:val="00D43438"/>
    <w:rsid w:val="00D4414F"/>
    <w:rsid w:val="00D520D3"/>
    <w:rsid w:val="00D52DD7"/>
    <w:rsid w:val="00D53C3F"/>
    <w:rsid w:val="00D53ECA"/>
    <w:rsid w:val="00D56D4E"/>
    <w:rsid w:val="00D6057C"/>
    <w:rsid w:val="00D61806"/>
    <w:rsid w:val="00D61D11"/>
    <w:rsid w:val="00D62156"/>
    <w:rsid w:val="00D62C56"/>
    <w:rsid w:val="00D66E68"/>
    <w:rsid w:val="00D670DF"/>
    <w:rsid w:val="00D71C66"/>
    <w:rsid w:val="00D71D9D"/>
    <w:rsid w:val="00D72F9F"/>
    <w:rsid w:val="00D73191"/>
    <w:rsid w:val="00D749DE"/>
    <w:rsid w:val="00D76559"/>
    <w:rsid w:val="00D80126"/>
    <w:rsid w:val="00D80900"/>
    <w:rsid w:val="00D81D97"/>
    <w:rsid w:val="00D82557"/>
    <w:rsid w:val="00D83021"/>
    <w:rsid w:val="00D838F6"/>
    <w:rsid w:val="00D84C2B"/>
    <w:rsid w:val="00D87E97"/>
    <w:rsid w:val="00D94936"/>
    <w:rsid w:val="00D950B6"/>
    <w:rsid w:val="00D961A6"/>
    <w:rsid w:val="00D97833"/>
    <w:rsid w:val="00D97C6A"/>
    <w:rsid w:val="00DA30A6"/>
    <w:rsid w:val="00DA417D"/>
    <w:rsid w:val="00DA42DE"/>
    <w:rsid w:val="00DA483C"/>
    <w:rsid w:val="00DA5A37"/>
    <w:rsid w:val="00DA6A03"/>
    <w:rsid w:val="00DA6C6B"/>
    <w:rsid w:val="00DB2997"/>
    <w:rsid w:val="00DB3E88"/>
    <w:rsid w:val="00DB4F0F"/>
    <w:rsid w:val="00DC0152"/>
    <w:rsid w:val="00DC1102"/>
    <w:rsid w:val="00DC13A1"/>
    <w:rsid w:val="00DC1CD2"/>
    <w:rsid w:val="00DC68EB"/>
    <w:rsid w:val="00DD0B84"/>
    <w:rsid w:val="00DD2BD7"/>
    <w:rsid w:val="00DE0E28"/>
    <w:rsid w:val="00DE5245"/>
    <w:rsid w:val="00DF04CB"/>
    <w:rsid w:val="00DF0834"/>
    <w:rsid w:val="00DF083C"/>
    <w:rsid w:val="00DF2921"/>
    <w:rsid w:val="00DF5993"/>
    <w:rsid w:val="00DF618A"/>
    <w:rsid w:val="00DF6A05"/>
    <w:rsid w:val="00DF7A93"/>
    <w:rsid w:val="00E011E9"/>
    <w:rsid w:val="00E0365F"/>
    <w:rsid w:val="00E04177"/>
    <w:rsid w:val="00E04D21"/>
    <w:rsid w:val="00E04F0D"/>
    <w:rsid w:val="00E07644"/>
    <w:rsid w:val="00E10A4A"/>
    <w:rsid w:val="00E11D87"/>
    <w:rsid w:val="00E129AE"/>
    <w:rsid w:val="00E13260"/>
    <w:rsid w:val="00E1643B"/>
    <w:rsid w:val="00E17882"/>
    <w:rsid w:val="00E21453"/>
    <w:rsid w:val="00E2220F"/>
    <w:rsid w:val="00E27CFA"/>
    <w:rsid w:val="00E35EA2"/>
    <w:rsid w:val="00E36751"/>
    <w:rsid w:val="00E37CFB"/>
    <w:rsid w:val="00E407C0"/>
    <w:rsid w:val="00E42A54"/>
    <w:rsid w:val="00E436F8"/>
    <w:rsid w:val="00E439E9"/>
    <w:rsid w:val="00E461AA"/>
    <w:rsid w:val="00E46A7D"/>
    <w:rsid w:val="00E52013"/>
    <w:rsid w:val="00E57E9F"/>
    <w:rsid w:val="00E60371"/>
    <w:rsid w:val="00E61E8B"/>
    <w:rsid w:val="00E622A1"/>
    <w:rsid w:val="00E63832"/>
    <w:rsid w:val="00E66DF0"/>
    <w:rsid w:val="00E7007F"/>
    <w:rsid w:val="00E700FC"/>
    <w:rsid w:val="00E70C0A"/>
    <w:rsid w:val="00E74447"/>
    <w:rsid w:val="00E80125"/>
    <w:rsid w:val="00E8099F"/>
    <w:rsid w:val="00E834F8"/>
    <w:rsid w:val="00E84B4C"/>
    <w:rsid w:val="00E85A60"/>
    <w:rsid w:val="00E87D40"/>
    <w:rsid w:val="00E90AEE"/>
    <w:rsid w:val="00E9186B"/>
    <w:rsid w:val="00EA3043"/>
    <w:rsid w:val="00EA317A"/>
    <w:rsid w:val="00EA3B07"/>
    <w:rsid w:val="00EA4D64"/>
    <w:rsid w:val="00EA521C"/>
    <w:rsid w:val="00EA747D"/>
    <w:rsid w:val="00EA7711"/>
    <w:rsid w:val="00EB0AF3"/>
    <w:rsid w:val="00EB35B7"/>
    <w:rsid w:val="00EB3914"/>
    <w:rsid w:val="00EB627F"/>
    <w:rsid w:val="00EC2499"/>
    <w:rsid w:val="00EC4B8F"/>
    <w:rsid w:val="00EC72C2"/>
    <w:rsid w:val="00ED5627"/>
    <w:rsid w:val="00EF1127"/>
    <w:rsid w:val="00EF118D"/>
    <w:rsid w:val="00EF1FB1"/>
    <w:rsid w:val="00EF314F"/>
    <w:rsid w:val="00EF3F11"/>
    <w:rsid w:val="00EF4036"/>
    <w:rsid w:val="00EF4DF5"/>
    <w:rsid w:val="00EF5889"/>
    <w:rsid w:val="00EF5A1E"/>
    <w:rsid w:val="00EF5D58"/>
    <w:rsid w:val="00EF66F3"/>
    <w:rsid w:val="00F03769"/>
    <w:rsid w:val="00F05D2B"/>
    <w:rsid w:val="00F06614"/>
    <w:rsid w:val="00F06BB1"/>
    <w:rsid w:val="00F07101"/>
    <w:rsid w:val="00F102D2"/>
    <w:rsid w:val="00F10996"/>
    <w:rsid w:val="00F2289D"/>
    <w:rsid w:val="00F254EF"/>
    <w:rsid w:val="00F3246C"/>
    <w:rsid w:val="00F32482"/>
    <w:rsid w:val="00F3436B"/>
    <w:rsid w:val="00F404CC"/>
    <w:rsid w:val="00F43481"/>
    <w:rsid w:val="00F44BF5"/>
    <w:rsid w:val="00F46DB9"/>
    <w:rsid w:val="00F47C99"/>
    <w:rsid w:val="00F51A23"/>
    <w:rsid w:val="00F521A3"/>
    <w:rsid w:val="00F53435"/>
    <w:rsid w:val="00F54DCC"/>
    <w:rsid w:val="00F57C20"/>
    <w:rsid w:val="00F57D6E"/>
    <w:rsid w:val="00F602E4"/>
    <w:rsid w:val="00F631A0"/>
    <w:rsid w:val="00F678DA"/>
    <w:rsid w:val="00F713CA"/>
    <w:rsid w:val="00F72B0C"/>
    <w:rsid w:val="00F81DE9"/>
    <w:rsid w:val="00F85378"/>
    <w:rsid w:val="00F87593"/>
    <w:rsid w:val="00F87A99"/>
    <w:rsid w:val="00F908C0"/>
    <w:rsid w:val="00F915CC"/>
    <w:rsid w:val="00F91DA4"/>
    <w:rsid w:val="00F938CF"/>
    <w:rsid w:val="00F95131"/>
    <w:rsid w:val="00FB06EC"/>
    <w:rsid w:val="00FB20C9"/>
    <w:rsid w:val="00FB33BF"/>
    <w:rsid w:val="00FB45FA"/>
    <w:rsid w:val="00FB6F88"/>
    <w:rsid w:val="00FC4612"/>
    <w:rsid w:val="00FC7F58"/>
    <w:rsid w:val="00FD164E"/>
    <w:rsid w:val="00FD37AC"/>
    <w:rsid w:val="00FE0CD6"/>
    <w:rsid w:val="00FE4BDF"/>
    <w:rsid w:val="00FF10E6"/>
    <w:rsid w:val="00FF440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D8B4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C56"/>
    <w:pPr>
      <w:spacing w:after="200" w:line="276" w:lineRule="auto"/>
    </w:pPr>
  </w:style>
  <w:style w:type="paragraph" w:styleId="Heading3">
    <w:name w:val="heading 3"/>
    <w:basedOn w:val="Normal"/>
    <w:link w:val="Heading3Char"/>
    <w:uiPriority w:val="9"/>
    <w:qFormat/>
    <w:rsid w:val="00540B24"/>
    <w:pPr>
      <w:spacing w:before="100" w:beforeAutospacing="1" w:after="100" w:afterAutospacing="1" w:line="240" w:lineRule="auto"/>
      <w:outlineLvl w:val="2"/>
    </w:pPr>
    <w:rPr>
      <w:rFonts w:eastAsia="Times New Roman" w:cs="Times New Roman"/>
      <w:b/>
      <w:bCs/>
      <w:sz w:val="27"/>
      <w:szCs w:val="27"/>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2C56"/>
    <w:pPr>
      <w:spacing w:before="100" w:beforeAutospacing="1" w:after="100" w:afterAutospacing="1" w:line="240" w:lineRule="auto"/>
    </w:pPr>
    <w:rPr>
      <w:rFonts w:eastAsia="Times New Roman" w:cs="Times New Roman"/>
      <w:szCs w:val="24"/>
    </w:rPr>
  </w:style>
  <w:style w:type="paragraph" w:styleId="BodyText2">
    <w:name w:val="Body Text 2"/>
    <w:basedOn w:val="Normal"/>
    <w:link w:val="BodyText2Char"/>
    <w:uiPriority w:val="99"/>
    <w:semiHidden/>
    <w:unhideWhenUsed/>
    <w:rsid w:val="00D62C56"/>
    <w:pPr>
      <w:spacing w:after="0" w:line="240" w:lineRule="auto"/>
      <w:jc w:val="right"/>
    </w:pPr>
    <w:rPr>
      <w:rFonts w:ascii="Garamond" w:eastAsia="Times New Roman" w:hAnsi="Garamond" w:cs="Times New Roman"/>
      <w:sz w:val="28"/>
      <w:szCs w:val="28"/>
    </w:rPr>
  </w:style>
  <w:style w:type="character" w:customStyle="1" w:styleId="BodyText2Char">
    <w:name w:val="Body Text 2 Char"/>
    <w:basedOn w:val="DefaultParagraphFont"/>
    <w:link w:val="BodyText2"/>
    <w:uiPriority w:val="99"/>
    <w:semiHidden/>
    <w:rsid w:val="00D62C56"/>
    <w:rPr>
      <w:rFonts w:ascii="Garamond" w:eastAsia="Times New Roman" w:hAnsi="Garamond" w:cs="Times New Roman"/>
      <w:sz w:val="28"/>
      <w:szCs w:val="28"/>
    </w:rPr>
  </w:style>
  <w:style w:type="paragraph" w:customStyle="1" w:styleId="Default">
    <w:name w:val="Default"/>
    <w:uiPriority w:val="99"/>
    <w:rsid w:val="00D62C56"/>
    <w:pPr>
      <w:autoSpaceDE w:val="0"/>
      <w:autoSpaceDN w:val="0"/>
      <w:adjustRightInd w:val="0"/>
      <w:spacing w:after="0" w:line="240" w:lineRule="auto"/>
    </w:pPr>
    <w:rPr>
      <w:rFonts w:cs="Times New Roman"/>
      <w:color w:val="000000"/>
      <w:szCs w:val="24"/>
    </w:rPr>
  </w:style>
  <w:style w:type="paragraph" w:styleId="Header">
    <w:name w:val="header"/>
    <w:basedOn w:val="Normal"/>
    <w:link w:val="HeaderChar"/>
    <w:uiPriority w:val="99"/>
    <w:unhideWhenUsed/>
    <w:rsid w:val="00233790"/>
    <w:pPr>
      <w:tabs>
        <w:tab w:val="center" w:pos="4153"/>
        <w:tab w:val="right" w:pos="8306"/>
      </w:tabs>
      <w:spacing w:after="0" w:line="240" w:lineRule="auto"/>
    </w:pPr>
  </w:style>
  <w:style w:type="character" w:customStyle="1" w:styleId="HeaderChar">
    <w:name w:val="Header Char"/>
    <w:basedOn w:val="DefaultParagraphFont"/>
    <w:link w:val="Header"/>
    <w:uiPriority w:val="99"/>
    <w:rsid w:val="00233790"/>
    <w:rPr>
      <w:lang w:val="en-US"/>
    </w:rPr>
  </w:style>
  <w:style w:type="paragraph" w:styleId="Footer">
    <w:name w:val="footer"/>
    <w:basedOn w:val="Normal"/>
    <w:link w:val="FooterChar"/>
    <w:uiPriority w:val="99"/>
    <w:unhideWhenUsed/>
    <w:rsid w:val="00233790"/>
    <w:pPr>
      <w:tabs>
        <w:tab w:val="center" w:pos="4153"/>
        <w:tab w:val="right" w:pos="8306"/>
      </w:tabs>
      <w:spacing w:after="0" w:line="240" w:lineRule="auto"/>
    </w:pPr>
  </w:style>
  <w:style w:type="character" w:customStyle="1" w:styleId="FooterChar">
    <w:name w:val="Footer Char"/>
    <w:basedOn w:val="DefaultParagraphFont"/>
    <w:link w:val="Footer"/>
    <w:uiPriority w:val="99"/>
    <w:rsid w:val="00233790"/>
    <w:rPr>
      <w:lang w:val="en-US"/>
    </w:rPr>
  </w:style>
  <w:style w:type="character" w:styleId="Hyperlink">
    <w:name w:val="Hyperlink"/>
    <w:basedOn w:val="DefaultParagraphFont"/>
    <w:uiPriority w:val="99"/>
    <w:unhideWhenUsed/>
    <w:rsid w:val="000162A3"/>
    <w:rPr>
      <w:color w:val="0563C1" w:themeColor="hyperlink"/>
      <w:u w:val="single"/>
    </w:rPr>
  </w:style>
  <w:style w:type="paragraph" w:styleId="BalloonText">
    <w:name w:val="Balloon Text"/>
    <w:basedOn w:val="Normal"/>
    <w:link w:val="BalloonTextChar"/>
    <w:uiPriority w:val="99"/>
    <w:semiHidden/>
    <w:unhideWhenUsed/>
    <w:rsid w:val="009C0B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BCD"/>
    <w:rPr>
      <w:rFonts w:ascii="Segoe UI" w:hAnsi="Segoe UI" w:cs="Segoe UI"/>
      <w:sz w:val="18"/>
      <w:szCs w:val="18"/>
      <w:lang w:val="en-US"/>
    </w:rPr>
  </w:style>
  <w:style w:type="character" w:styleId="CommentReference">
    <w:name w:val="annotation reference"/>
    <w:basedOn w:val="DefaultParagraphFont"/>
    <w:uiPriority w:val="99"/>
    <w:semiHidden/>
    <w:unhideWhenUsed/>
    <w:rsid w:val="003C37BA"/>
    <w:rPr>
      <w:sz w:val="16"/>
      <w:szCs w:val="16"/>
    </w:rPr>
  </w:style>
  <w:style w:type="paragraph" w:styleId="CommentText">
    <w:name w:val="annotation text"/>
    <w:basedOn w:val="Normal"/>
    <w:link w:val="CommentTextChar"/>
    <w:uiPriority w:val="99"/>
    <w:semiHidden/>
    <w:unhideWhenUsed/>
    <w:rsid w:val="003C37BA"/>
    <w:pPr>
      <w:spacing w:line="240" w:lineRule="auto"/>
    </w:pPr>
    <w:rPr>
      <w:sz w:val="20"/>
      <w:szCs w:val="20"/>
    </w:rPr>
  </w:style>
  <w:style w:type="character" w:customStyle="1" w:styleId="CommentTextChar">
    <w:name w:val="Comment Text Char"/>
    <w:basedOn w:val="DefaultParagraphFont"/>
    <w:link w:val="CommentText"/>
    <w:uiPriority w:val="99"/>
    <w:semiHidden/>
    <w:rsid w:val="003C37BA"/>
    <w:rPr>
      <w:sz w:val="20"/>
      <w:szCs w:val="20"/>
    </w:rPr>
  </w:style>
  <w:style w:type="paragraph" w:styleId="CommentSubject">
    <w:name w:val="annotation subject"/>
    <w:basedOn w:val="CommentText"/>
    <w:next w:val="CommentText"/>
    <w:link w:val="CommentSubjectChar"/>
    <w:uiPriority w:val="99"/>
    <w:semiHidden/>
    <w:unhideWhenUsed/>
    <w:rsid w:val="003C37BA"/>
    <w:rPr>
      <w:b/>
      <w:bCs/>
    </w:rPr>
  </w:style>
  <w:style w:type="character" w:customStyle="1" w:styleId="CommentSubjectChar">
    <w:name w:val="Comment Subject Char"/>
    <w:basedOn w:val="CommentTextChar"/>
    <w:link w:val="CommentSubject"/>
    <w:uiPriority w:val="99"/>
    <w:semiHidden/>
    <w:rsid w:val="003C37BA"/>
    <w:rPr>
      <w:b/>
      <w:bCs/>
      <w:sz w:val="20"/>
      <w:szCs w:val="20"/>
    </w:rPr>
  </w:style>
  <w:style w:type="character" w:customStyle="1" w:styleId="CharStyle10">
    <w:name w:val="Char Style 10"/>
    <w:basedOn w:val="DefaultParagraphFont"/>
    <w:link w:val="Style2"/>
    <w:uiPriority w:val="99"/>
    <w:rsid w:val="005352DA"/>
    <w:rPr>
      <w:shd w:val="clear" w:color="auto" w:fill="FFFFFF"/>
    </w:rPr>
  </w:style>
  <w:style w:type="paragraph" w:customStyle="1" w:styleId="Style2">
    <w:name w:val="Style 2"/>
    <w:basedOn w:val="Normal"/>
    <w:link w:val="CharStyle10"/>
    <w:uiPriority w:val="99"/>
    <w:qFormat/>
    <w:rsid w:val="005352DA"/>
    <w:pPr>
      <w:widowControl w:val="0"/>
      <w:shd w:val="clear" w:color="auto" w:fill="FFFFFF"/>
      <w:spacing w:before="280" w:after="280" w:line="274" w:lineRule="exact"/>
      <w:jc w:val="both"/>
    </w:pPr>
  </w:style>
  <w:style w:type="paragraph" w:customStyle="1" w:styleId="tv213">
    <w:name w:val="tv213"/>
    <w:basedOn w:val="Normal"/>
    <w:rsid w:val="006674AD"/>
    <w:pPr>
      <w:spacing w:before="100" w:beforeAutospacing="1" w:after="100" w:afterAutospacing="1" w:line="240" w:lineRule="auto"/>
    </w:pPr>
    <w:rPr>
      <w:rFonts w:eastAsia="Times New Roman" w:cs="Times New Roman"/>
      <w:szCs w:val="24"/>
      <w:lang w:eastAsia="lv-LV"/>
    </w:rPr>
  </w:style>
  <w:style w:type="character" w:customStyle="1" w:styleId="Heading3Char">
    <w:name w:val="Heading 3 Char"/>
    <w:basedOn w:val="DefaultParagraphFont"/>
    <w:link w:val="Heading3"/>
    <w:uiPriority w:val="9"/>
    <w:rsid w:val="00540B24"/>
    <w:rPr>
      <w:rFonts w:eastAsia="Times New Roman" w:cs="Times New Roman"/>
      <w:b/>
      <w:bCs/>
      <w:sz w:val="27"/>
      <w:szCs w:val="27"/>
      <w:lang w:eastAsia="lv-LV"/>
    </w:rPr>
  </w:style>
  <w:style w:type="character" w:styleId="Strong">
    <w:name w:val="Strong"/>
    <w:basedOn w:val="DefaultParagraphFont"/>
    <w:uiPriority w:val="22"/>
    <w:qFormat/>
    <w:rsid w:val="00540B24"/>
    <w:rPr>
      <w:b/>
      <w:bCs/>
    </w:rPr>
  </w:style>
  <w:style w:type="paragraph" w:styleId="ListParagraph">
    <w:name w:val="List Paragraph"/>
    <w:basedOn w:val="Normal"/>
    <w:uiPriority w:val="34"/>
    <w:qFormat/>
    <w:rsid w:val="00DF5993"/>
    <w:pPr>
      <w:ind w:left="720"/>
      <w:contextualSpacing/>
    </w:pPr>
  </w:style>
  <w:style w:type="paragraph" w:styleId="NoSpacing">
    <w:name w:val="No Spacing"/>
    <w:uiPriority w:val="1"/>
    <w:qFormat/>
    <w:rsid w:val="007B744A"/>
    <w:pPr>
      <w:spacing w:after="0" w:line="240" w:lineRule="auto"/>
    </w:pPr>
  </w:style>
  <w:style w:type="paragraph" w:styleId="Revision">
    <w:name w:val="Revision"/>
    <w:hidden/>
    <w:uiPriority w:val="99"/>
    <w:semiHidden/>
    <w:rsid w:val="007C0FEA"/>
    <w:pPr>
      <w:spacing w:after="0" w:line="240" w:lineRule="auto"/>
    </w:pPr>
  </w:style>
  <w:style w:type="paragraph" w:styleId="ListBullet">
    <w:name w:val="List Bullet"/>
    <w:basedOn w:val="Normal"/>
    <w:uiPriority w:val="99"/>
    <w:unhideWhenUsed/>
    <w:rsid w:val="00D520D3"/>
    <w:pPr>
      <w:numPr>
        <w:numId w:val="1"/>
      </w:numPr>
      <w:contextualSpacing/>
    </w:pPr>
  </w:style>
  <w:style w:type="paragraph" w:styleId="BodyText">
    <w:name w:val="Body Text"/>
    <w:basedOn w:val="Normal"/>
    <w:link w:val="BodyTextChar"/>
    <w:uiPriority w:val="99"/>
    <w:semiHidden/>
    <w:unhideWhenUsed/>
    <w:rsid w:val="00CA35EA"/>
    <w:pPr>
      <w:spacing w:after="120"/>
    </w:pPr>
  </w:style>
  <w:style w:type="character" w:customStyle="1" w:styleId="BodyTextChar">
    <w:name w:val="Body Text Char"/>
    <w:basedOn w:val="DefaultParagraphFont"/>
    <w:link w:val="BodyText"/>
    <w:uiPriority w:val="99"/>
    <w:semiHidden/>
    <w:rsid w:val="00CA35EA"/>
  </w:style>
  <w:style w:type="paragraph" w:styleId="FootnoteText">
    <w:name w:val="footnote text"/>
    <w:basedOn w:val="Normal"/>
    <w:link w:val="FootnoteTextChar"/>
    <w:semiHidden/>
    <w:unhideWhenUsed/>
    <w:rsid w:val="00495E38"/>
    <w:pPr>
      <w:spacing w:after="0" w:line="240" w:lineRule="auto"/>
    </w:pPr>
    <w:rPr>
      <w:rFonts w:ascii="Cambria" w:eastAsia="MS Mincho" w:hAnsi="Cambria" w:cs="Times New Roman"/>
      <w:szCs w:val="24"/>
      <w:lang w:eastAsia="x-none"/>
    </w:rPr>
  </w:style>
  <w:style w:type="character" w:customStyle="1" w:styleId="FootnoteTextChar">
    <w:name w:val="Footnote Text Char"/>
    <w:basedOn w:val="DefaultParagraphFont"/>
    <w:link w:val="FootnoteText"/>
    <w:semiHidden/>
    <w:rsid w:val="00495E38"/>
    <w:rPr>
      <w:rFonts w:ascii="Cambria" w:eastAsia="MS Mincho" w:hAnsi="Cambria" w:cs="Times New Roman"/>
      <w:szCs w:val="24"/>
      <w:lang w:eastAsia="x-none"/>
    </w:rPr>
  </w:style>
  <w:style w:type="character" w:styleId="FootnoteReference">
    <w:name w:val="footnote reference"/>
    <w:semiHidden/>
    <w:unhideWhenUsed/>
    <w:rsid w:val="00495E38"/>
    <w:rPr>
      <w:vertAlign w:val="superscript"/>
    </w:rPr>
  </w:style>
  <w:style w:type="character" w:customStyle="1" w:styleId="apple-style-span">
    <w:name w:val="apple-style-span"/>
    <w:rsid w:val="00495E38"/>
  </w:style>
  <w:style w:type="character" w:styleId="UnresolvedMention">
    <w:name w:val="Unresolved Mention"/>
    <w:basedOn w:val="DefaultParagraphFont"/>
    <w:uiPriority w:val="99"/>
    <w:semiHidden/>
    <w:unhideWhenUsed/>
    <w:rsid w:val="00970B5F"/>
    <w:rPr>
      <w:color w:val="605E5C"/>
      <w:shd w:val="clear" w:color="auto" w:fill="E1DFDD"/>
    </w:rPr>
  </w:style>
  <w:style w:type="character" w:styleId="FollowedHyperlink">
    <w:name w:val="FollowedHyperlink"/>
    <w:basedOn w:val="DefaultParagraphFont"/>
    <w:uiPriority w:val="99"/>
    <w:semiHidden/>
    <w:unhideWhenUsed/>
    <w:rsid w:val="00732A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2005">
      <w:bodyDiv w:val="1"/>
      <w:marLeft w:val="0"/>
      <w:marRight w:val="0"/>
      <w:marTop w:val="0"/>
      <w:marBottom w:val="0"/>
      <w:divBdr>
        <w:top w:val="none" w:sz="0" w:space="0" w:color="auto"/>
        <w:left w:val="none" w:sz="0" w:space="0" w:color="auto"/>
        <w:bottom w:val="none" w:sz="0" w:space="0" w:color="auto"/>
        <w:right w:val="none" w:sz="0" w:space="0" w:color="auto"/>
      </w:divBdr>
    </w:div>
    <w:div w:id="88696286">
      <w:bodyDiv w:val="1"/>
      <w:marLeft w:val="0"/>
      <w:marRight w:val="0"/>
      <w:marTop w:val="0"/>
      <w:marBottom w:val="0"/>
      <w:divBdr>
        <w:top w:val="none" w:sz="0" w:space="0" w:color="auto"/>
        <w:left w:val="none" w:sz="0" w:space="0" w:color="auto"/>
        <w:bottom w:val="none" w:sz="0" w:space="0" w:color="auto"/>
        <w:right w:val="none" w:sz="0" w:space="0" w:color="auto"/>
      </w:divBdr>
    </w:div>
    <w:div w:id="352534953">
      <w:bodyDiv w:val="1"/>
      <w:marLeft w:val="0"/>
      <w:marRight w:val="0"/>
      <w:marTop w:val="0"/>
      <w:marBottom w:val="0"/>
      <w:divBdr>
        <w:top w:val="none" w:sz="0" w:space="0" w:color="auto"/>
        <w:left w:val="none" w:sz="0" w:space="0" w:color="auto"/>
        <w:bottom w:val="none" w:sz="0" w:space="0" w:color="auto"/>
        <w:right w:val="none" w:sz="0" w:space="0" w:color="auto"/>
      </w:divBdr>
    </w:div>
    <w:div w:id="428161895">
      <w:bodyDiv w:val="1"/>
      <w:marLeft w:val="0"/>
      <w:marRight w:val="0"/>
      <w:marTop w:val="0"/>
      <w:marBottom w:val="0"/>
      <w:divBdr>
        <w:top w:val="none" w:sz="0" w:space="0" w:color="auto"/>
        <w:left w:val="none" w:sz="0" w:space="0" w:color="auto"/>
        <w:bottom w:val="none" w:sz="0" w:space="0" w:color="auto"/>
        <w:right w:val="none" w:sz="0" w:space="0" w:color="auto"/>
      </w:divBdr>
    </w:div>
    <w:div w:id="473302298">
      <w:bodyDiv w:val="1"/>
      <w:marLeft w:val="0"/>
      <w:marRight w:val="0"/>
      <w:marTop w:val="0"/>
      <w:marBottom w:val="0"/>
      <w:divBdr>
        <w:top w:val="none" w:sz="0" w:space="0" w:color="auto"/>
        <w:left w:val="none" w:sz="0" w:space="0" w:color="auto"/>
        <w:bottom w:val="none" w:sz="0" w:space="0" w:color="auto"/>
        <w:right w:val="none" w:sz="0" w:space="0" w:color="auto"/>
      </w:divBdr>
    </w:div>
    <w:div w:id="697704626">
      <w:bodyDiv w:val="1"/>
      <w:marLeft w:val="0"/>
      <w:marRight w:val="0"/>
      <w:marTop w:val="0"/>
      <w:marBottom w:val="0"/>
      <w:divBdr>
        <w:top w:val="none" w:sz="0" w:space="0" w:color="auto"/>
        <w:left w:val="none" w:sz="0" w:space="0" w:color="auto"/>
        <w:bottom w:val="none" w:sz="0" w:space="0" w:color="auto"/>
        <w:right w:val="none" w:sz="0" w:space="0" w:color="auto"/>
      </w:divBdr>
    </w:div>
    <w:div w:id="776411377">
      <w:bodyDiv w:val="1"/>
      <w:marLeft w:val="0"/>
      <w:marRight w:val="0"/>
      <w:marTop w:val="0"/>
      <w:marBottom w:val="0"/>
      <w:divBdr>
        <w:top w:val="none" w:sz="0" w:space="0" w:color="auto"/>
        <w:left w:val="none" w:sz="0" w:space="0" w:color="auto"/>
        <w:bottom w:val="none" w:sz="0" w:space="0" w:color="auto"/>
        <w:right w:val="none" w:sz="0" w:space="0" w:color="auto"/>
      </w:divBdr>
    </w:div>
    <w:div w:id="829979326">
      <w:bodyDiv w:val="1"/>
      <w:marLeft w:val="0"/>
      <w:marRight w:val="0"/>
      <w:marTop w:val="0"/>
      <w:marBottom w:val="0"/>
      <w:divBdr>
        <w:top w:val="none" w:sz="0" w:space="0" w:color="auto"/>
        <w:left w:val="none" w:sz="0" w:space="0" w:color="auto"/>
        <w:bottom w:val="none" w:sz="0" w:space="0" w:color="auto"/>
        <w:right w:val="none" w:sz="0" w:space="0" w:color="auto"/>
      </w:divBdr>
    </w:div>
    <w:div w:id="864948397">
      <w:bodyDiv w:val="1"/>
      <w:marLeft w:val="0"/>
      <w:marRight w:val="0"/>
      <w:marTop w:val="0"/>
      <w:marBottom w:val="0"/>
      <w:divBdr>
        <w:top w:val="none" w:sz="0" w:space="0" w:color="auto"/>
        <w:left w:val="none" w:sz="0" w:space="0" w:color="auto"/>
        <w:bottom w:val="none" w:sz="0" w:space="0" w:color="auto"/>
        <w:right w:val="none" w:sz="0" w:space="0" w:color="auto"/>
      </w:divBdr>
    </w:div>
    <w:div w:id="970135001">
      <w:bodyDiv w:val="1"/>
      <w:marLeft w:val="0"/>
      <w:marRight w:val="0"/>
      <w:marTop w:val="0"/>
      <w:marBottom w:val="0"/>
      <w:divBdr>
        <w:top w:val="none" w:sz="0" w:space="0" w:color="auto"/>
        <w:left w:val="none" w:sz="0" w:space="0" w:color="auto"/>
        <w:bottom w:val="none" w:sz="0" w:space="0" w:color="auto"/>
        <w:right w:val="none" w:sz="0" w:space="0" w:color="auto"/>
      </w:divBdr>
    </w:div>
    <w:div w:id="1226143539">
      <w:bodyDiv w:val="1"/>
      <w:marLeft w:val="0"/>
      <w:marRight w:val="0"/>
      <w:marTop w:val="0"/>
      <w:marBottom w:val="0"/>
      <w:divBdr>
        <w:top w:val="none" w:sz="0" w:space="0" w:color="auto"/>
        <w:left w:val="none" w:sz="0" w:space="0" w:color="auto"/>
        <w:bottom w:val="none" w:sz="0" w:space="0" w:color="auto"/>
        <w:right w:val="none" w:sz="0" w:space="0" w:color="auto"/>
      </w:divBdr>
    </w:div>
    <w:div w:id="1229342224">
      <w:bodyDiv w:val="1"/>
      <w:marLeft w:val="0"/>
      <w:marRight w:val="0"/>
      <w:marTop w:val="0"/>
      <w:marBottom w:val="0"/>
      <w:divBdr>
        <w:top w:val="none" w:sz="0" w:space="0" w:color="auto"/>
        <w:left w:val="none" w:sz="0" w:space="0" w:color="auto"/>
        <w:bottom w:val="none" w:sz="0" w:space="0" w:color="auto"/>
        <w:right w:val="none" w:sz="0" w:space="0" w:color="auto"/>
      </w:divBdr>
    </w:div>
    <w:div w:id="1249190386">
      <w:bodyDiv w:val="1"/>
      <w:marLeft w:val="0"/>
      <w:marRight w:val="0"/>
      <w:marTop w:val="0"/>
      <w:marBottom w:val="0"/>
      <w:divBdr>
        <w:top w:val="none" w:sz="0" w:space="0" w:color="auto"/>
        <w:left w:val="none" w:sz="0" w:space="0" w:color="auto"/>
        <w:bottom w:val="none" w:sz="0" w:space="0" w:color="auto"/>
        <w:right w:val="none" w:sz="0" w:space="0" w:color="auto"/>
      </w:divBdr>
    </w:div>
    <w:div w:id="1365793768">
      <w:bodyDiv w:val="1"/>
      <w:marLeft w:val="0"/>
      <w:marRight w:val="0"/>
      <w:marTop w:val="0"/>
      <w:marBottom w:val="0"/>
      <w:divBdr>
        <w:top w:val="none" w:sz="0" w:space="0" w:color="auto"/>
        <w:left w:val="none" w:sz="0" w:space="0" w:color="auto"/>
        <w:bottom w:val="none" w:sz="0" w:space="0" w:color="auto"/>
        <w:right w:val="none" w:sz="0" w:space="0" w:color="auto"/>
      </w:divBdr>
    </w:div>
    <w:div w:id="1434517685">
      <w:bodyDiv w:val="1"/>
      <w:marLeft w:val="0"/>
      <w:marRight w:val="0"/>
      <w:marTop w:val="0"/>
      <w:marBottom w:val="0"/>
      <w:divBdr>
        <w:top w:val="none" w:sz="0" w:space="0" w:color="auto"/>
        <w:left w:val="none" w:sz="0" w:space="0" w:color="auto"/>
        <w:bottom w:val="none" w:sz="0" w:space="0" w:color="auto"/>
        <w:right w:val="none" w:sz="0" w:space="0" w:color="auto"/>
      </w:divBdr>
    </w:div>
    <w:div w:id="1609658709">
      <w:bodyDiv w:val="1"/>
      <w:marLeft w:val="0"/>
      <w:marRight w:val="0"/>
      <w:marTop w:val="0"/>
      <w:marBottom w:val="0"/>
      <w:divBdr>
        <w:top w:val="none" w:sz="0" w:space="0" w:color="auto"/>
        <w:left w:val="none" w:sz="0" w:space="0" w:color="auto"/>
        <w:bottom w:val="none" w:sz="0" w:space="0" w:color="auto"/>
        <w:right w:val="none" w:sz="0" w:space="0" w:color="auto"/>
      </w:divBdr>
    </w:div>
    <w:div w:id="20935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02087.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C4218-D365-4848-9FE2-408AF8D3E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27955</Words>
  <Characters>15935</Characters>
  <Application>Microsoft Office Word</Application>
  <DocSecurity>0</DocSecurity>
  <Lines>132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2023-08-07T12:10:00Z</dcterms:created>
  <dcterms:modified xsi:type="dcterms:W3CDTF">2023-08-07T12:10:00Z</dcterms:modified>
</cp:coreProperties>
</file>