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53F22" w14:textId="70829725" w:rsidR="00D960BD" w:rsidRPr="003A6B35" w:rsidRDefault="003A6B35" w:rsidP="003A6B35">
      <w:pPr>
        <w:spacing w:line="276" w:lineRule="auto"/>
        <w:jc w:val="both"/>
        <w:rPr>
          <w:b/>
          <w:bCs/>
          <w:shd w:val="clear" w:color="auto" w:fill="FFFFFF"/>
          <w:lang w:eastAsia="en-US"/>
        </w:rPr>
      </w:pPr>
      <w:r>
        <w:rPr>
          <w:b/>
          <w:bCs/>
          <w:color w:val="000000"/>
          <w:shd w:val="clear" w:color="auto" w:fill="FFFFFF"/>
        </w:rPr>
        <w:t xml:space="preserve">Latvijas Republikas Uzņēmumu reģistra atteikums zvērinātam advokātam iepazīties ar akciju sabiedrības reģistrācijas lietas materiāliem ir pakļauts administratīvo tiesu kontrolei </w:t>
      </w:r>
    </w:p>
    <w:p w14:paraId="7E439A71" w14:textId="14C33932" w:rsidR="00D960BD" w:rsidRPr="003A6B35" w:rsidRDefault="001F5B84" w:rsidP="003A6B35">
      <w:pPr>
        <w:spacing w:before="240" w:line="276" w:lineRule="auto"/>
        <w:jc w:val="center"/>
        <w:rPr>
          <w:b/>
        </w:rPr>
      </w:pPr>
      <w:r>
        <w:rPr>
          <w:b/>
        </w:rPr>
        <w:t>Latvijas Republikas Senāta</w:t>
      </w:r>
      <w:bookmarkStart w:id="0" w:name="_GoBack"/>
      <w:bookmarkEnd w:id="0"/>
      <w:r w:rsidR="003A6B35" w:rsidRPr="003A6B35">
        <w:rPr>
          <w:b/>
        </w:rPr>
        <w:br/>
        <w:t xml:space="preserve">Administratīvo lietu departamenta </w:t>
      </w:r>
      <w:r w:rsidR="003A6B35" w:rsidRPr="003A6B35">
        <w:rPr>
          <w:b/>
        </w:rPr>
        <w:br/>
        <w:t>2023.gada 2.maija</w:t>
      </w:r>
    </w:p>
    <w:p w14:paraId="0288EFDF" w14:textId="7BF87D35" w:rsidR="00D960BD" w:rsidRPr="003A6B35" w:rsidRDefault="00D960BD" w:rsidP="003A6B35">
      <w:pPr>
        <w:spacing w:line="276" w:lineRule="auto"/>
        <w:jc w:val="center"/>
        <w:rPr>
          <w:b/>
        </w:rPr>
      </w:pPr>
      <w:r w:rsidRPr="003A6B35">
        <w:rPr>
          <w:b/>
        </w:rPr>
        <w:t>LĒMUMS</w:t>
      </w:r>
    </w:p>
    <w:p w14:paraId="35B8A3EE" w14:textId="77777777" w:rsidR="003A6B35" w:rsidRPr="003A6B35" w:rsidRDefault="003A6B35" w:rsidP="003A6B35">
      <w:pPr>
        <w:spacing w:line="276" w:lineRule="auto"/>
        <w:ind w:firstLine="567"/>
        <w:jc w:val="center"/>
        <w:rPr>
          <w:b/>
        </w:rPr>
      </w:pPr>
      <w:r w:rsidRPr="003A6B35">
        <w:rPr>
          <w:b/>
        </w:rPr>
        <w:t xml:space="preserve">Lieta </w:t>
      </w:r>
      <w:r w:rsidRPr="003A6B35">
        <w:rPr>
          <w:b/>
        </w:rPr>
        <w:t>Nr. 670003523, SKA-640/2023</w:t>
      </w:r>
    </w:p>
    <w:p w14:paraId="5CED53FC" w14:textId="190A99C7" w:rsidR="003A6B35" w:rsidRPr="003A6B35" w:rsidRDefault="003A6B35" w:rsidP="003A6B35">
      <w:pPr>
        <w:spacing w:line="276" w:lineRule="auto"/>
        <w:jc w:val="center"/>
      </w:pPr>
      <w:hyperlink r:id="rId8" w:history="1">
        <w:r w:rsidRPr="003A6B35">
          <w:rPr>
            <w:rStyle w:val="Hyperlink"/>
            <w:rFonts w:ascii="TimesNewRomanPSMT" w:eastAsiaTheme="minorHAnsi" w:hAnsi="TimesNewRomanPSMT" w:cs="TimesNewRomanPSMT"/>
            <w:lang w:val="en-US" w:eastAsia="en-US"/>
          </w:rPr>
          <w:t>ECLI:LV:AT:2023:0502.SKA064023.3.L</w:t>
        </w:r>
      </w:hyperlink>
    </w:p>
    <w:p w14:paraId="037F60E9" w14:textId="6B1F80BC" w:rsidR="00BB4FEE" w:rsidRDefault="00BB4FEE" w:rsidP="003A6B35">
      <w:pPr>
        <w:spacing w:line="276" w:lineRule="auto"/>
        <w:jc w:val="center"/>
      </w:pPr>
    </w:p>
    <w:p w14:paraId="48B58BE8" w14:textId="77777777" w:rsidR="00BB4FEE" w:rsidRPr="00F902DB" w:rsidRDefault="00BB4FEE" w:rsidP="003A6B35">
      <w:pPr>
        <w:spacing w:line="276" w:lineRule="auto"/>
        <w:ind w:firstLine="567"/>
        <w:jc w:val="center"/>
      </w:pPr>
    </w:p>
    <w:p w14:paraId="77C52522" w14:textId="01D8EEDC" w:rsidR="00BB4FEE" w:rsidRPr="00A42959" w:rsidRDefault="005341BE" w:rsidP="003A6B35">
      <w:pPr>
        <w:spacing w:line="276" w:lineRule="auto"/>
        <w:ind w:firstLine="720"/>
        <w:jc w:val="both"/>
      </w:pPr>
      <w:r>
        <w:t>Senāts</w:t>
      </w:r>
      <w:r w:rsidR="00BB4FEE" w:rsidRPr="00A42959">
        <w:t xml:space="preserve"> šādā sastāvā: senatore</w:t>
      </w:r>
      <w:r w:rsidR="00BB4FEE">
        <w:t xml:space="preserve"> referente </w:t>
      </w:r>
      <w:r>
        <w:t>Indra Meldere</w:t>
      </w:r>
      <w:r w:rsidR="00BB4FEE" w:rsidRPr="00A42959">
        <w:t xml:space="preserve">, </w:t>
      </w:r>
      <w:r w:rsidR="00BB4FEE">
        <w:t xml:space="preserve">senatores </w:t>
      </w:r>
      <w:r>
        <w:t>Veronika Krūmi</w:t>
      </w:r>
      <w:r w:rsidR="002F4661">
        <w:t>ņ</w:t>
      </w:r>
      <w:r>
        <w:t>a</w:t>
      </w:r>
      <w:r w:rsidR="00BB4FEE">
        <w:t xml:space="preserve"> un </w:t>
      </w:r>
      <w:r>
        <w:t>Līvija Slica</w:t>
      </w:r>
    </w:p>
    <w:p w14:paraId="612E9218" w14:textId="77777777" w:rsidR="00BB4FEE" w:rsidRPr="00A42959" w:rsidRDefault="00BB4FEE" w:rsidP="003A6B35">
      <w:pPr>
        <w:spacing w:line="276" w:lineRule="auto"/>
        <w:ind w:firstLine="720"/>
        <w:jc w:val="both"/>
      </w:pPr>
    </w:p>
    <w:p w14:paraId="52A78F97" w14:textId="687D5383" w:rsidR="00BB4FEE" w:rsidRDefault="00BB4FEE" w:rsidP="003A6B35">
      <w:pPr>
        <w:spacing w:line="276" w:lineRule="auto"/>
        <w:ind w:firstLine="720"/>
        <w:jc w:val="both"/>
      </w:pPr>
      <w:r w:rsidRPr="00A42959">
        <w:t xml:space="preserve">rakstveida procesā izskatīja </w:t>
      </w:r>
      <w:r w:rsidR="005341BE">
        <w:t>Jāņa Tiesnieka</w:t>
      </w:r>
      <w:r w:rsidRPr="00A42959">
        <w:t xml:space="preserve"> blakus sūdzību par Administratīvās rajona tiesas tiesneša 202</w:t>
      </w:r>
      <w:r w:rsidR="005341BE">
        <w:t>3</w:t>
      </w:r>
      <w:r w:rsidRPr="00A42959">
        <w:t xml:space="preserve">.gada </w:t>
      </w:r>
      <w:r w:rsidR="005341BE">
        <w:t xml:space="preserve">7.marta </w:t>
      </w:r>
      <w:r w:rsidRPr="00A42959">
        <w:t>lēmumu, ar kuru atteikts pieņemt pieteikumu.</w:t>
      </w:r>
    </w:p>
    <w:p w14:paraId="013C6AC7" w14:textId="77777777" w:rsidR="00BB4FEE" w:rsidRDefault="00BB4FEE" w:rsidP="003A6B35">
      <w:pPr>
        <w:spacing w:line="276" w:lineRule="auto"/>
        <w:ind w:firstLine="567"/>
        <w:jc w:val="both"/>
      </w:pPr>
    </w:p>
    <w:p w14:paraId="05D8FC62" w14:textId="77777777" w:rsidR="00BB4FEE" w:rsidRPr="009D6594" w:rsidRDefault="00BB4FEE" w:rsidP="003A6B35">
      <w:pPr>
        <w:spacing w:line="276" w:lineRule="auto"/>
        <w:jc w:val="center"/>
        <w:rPr>
          <w:b/>
        </w:rPr>
      </w:pPr>
      <w:r w:rsidRPr="009D6594">
        <w:rPr>
          <w:b/>
        </w:rPr>
        <w:t>Aprakstošā daļa</w:t>
      </w:r>
    </w:p>
    <w:p w14:paraId="7056F5E5" w14:textId="77777777" w:rsidR="00BB4FEE" w:rsidRDefault="00BB4FEE" w:rsidP="003A6B35">
      <w:pPr>
        <w:spacing w:line="276" w:lineRule="auto"/>
        <w:ind w:firstLine="567"/>
        <w:jc w:val="both"/>
      </w:pPr>
    </w:p>
    <w:p w14:paraId="5461D03D" w14:textId="4C9ACC1A" w:rsidR="0015196D" w:rsidRDefault="00BB4FEE" w:rsidP="003A6B35">
      <w:pPr>
        <w:pStyle w:val="Default"/>
        <w:spacing w:line="276" w:lineRule="auto"/>
        <w:ind w:firstLine="720"/>
        <w:jc w:val="both"/>
      </w:pPr>
      <w:r w:rsidRPr="004D1202">
        <w:t>[1] </w:t>
      </w:r>
      <w:r w:rsidR="00826413">
        <w:t xml:space="preserve">Pieteicējs </w:t>
      </w:r>
      <w:r w:rsidR="002F4661">
        <w:t xml:space="preserve">zvērināts advokāts </w:t>
      </w:r>
      <w:r w:rsidR="00826413">
        <w:t>Jānis Tiesnieks vērsās Uzņēmumu reģistrā</w:t>
      </w:r>
      <w:r w:rsidR="002F4661">
        <w:t xml:space="preserve"> (turpmāk – reģistrs)</w:t>
      </w:r>
      <w:r w:rsidR="00826413">
        <w:t xml:space="preserve"> ar lūgumu iepazīties ar akciju sabiedrības </w:t>
      </w:r>
      <w:r w:rsidR="002F4661" w:rsidRPr="001A7DEF">
        <w:t>„</w:t>
      </w:r>
      <w:r w:rsidR="00826413">
        <w:t>LPB”</w:t>
      </w:r>
      <w:r w:rsidR="002F4661">
        <w:t xml:space="preserve"> (turpmāk – sabiedrība)</w:t>
      </w:r>
      <w:r w:rsidR="00826413">
        <w:t xml:space="preserve"> reģistrācijas lietas materiāliem</w:t>
      </w:r>
      <w:r w:rsidR="0015196D">
        <w:t xml:space="preserve">. Pieteicējam </w:t>
      </w:r>
      <w:r w:rsidR="00C72757">
        <w:t xml:space="preserve">esot </w:t>
      </w:r>
      <w:r w:rsidR="0015196D">
        <w:t xml:space="preserve">nepieciešams iepazīties ar šiem materiāliem </w:t>
      </w:r>
      <w:r w:rsidR="002F4661">
        <w:t>klienta uzdevumā</w:t>
      </w:r>
      <w:r w:rsidR="0015196D">
        <w:t xml:space="preserve"> mantojuma lietas ietvaros, lai precīzi konstatētu mantojuma masas apmēru.</w:t>
      </w:r>
    </w:p>
    <w:p w14:paraId="5989260E" w14:textId="1198EB99" w:rsidR="00C41E77" w:rsidRDefault="002F4661" w:rsidP="003A6B35">
      <w:pPr>
        <w:pStyle w:val="Default"/>
        <w:spacing w:line="276" w:lineRule="auto"/>
        <w:ind w:firstLine="720"/>
        <w:jc w:val="both"/>
      </w:pPr>
      <w:r>
        <w:t>Ar reģistra galvenā</w:t>
      </w:r>
      <w:r w:rsidR="003E2C97">
        <w:t xml:space="preserve"> valsts</w:t>
      </w:r>
      <w:r>
        <w:t xml:space="preserve"> notāra 2023.gada </w:t>
      </w:r>
      <w:r w:rsidR="00E62FBE">
        <w:t>2</w:t>
      </w:r>
      <w:r>
        <w:t xml:space="preserve">7.janvāra lēmumu Nr. 1-5n/21 </w:t>
      </w:r>
      <w:r w:rsidR="00E62FBE">
        <w:t xml:space="preserve">pieteicējam </w:t>
      </w:r>
      <w:r>
        <w:t xml:space="preserve">atteikts iepazīties ar sabiedrības reģistrācijas lietas materiāliem. </w:t>
      </w:r>
      <w:r w:rsidR="00C72757">
        <w:t xml:space="preserve">Lēmumā norādīts, ka </w:t>
      </w:r>
      <w:r w:rsidR="00DF1E3D">
        <w:t xml:space="preserve">reģistrācijas lietā esošie dokumenti sadalīti publiskajos un nepubliskajos dokumentos. Ar publiskās daļas dokumentiem iespējams iepazīties bez maksas reģistra tīmekļvietnē. Savukārt nepubliskās daļas dokumenti </w:t>
      </w:r>
      <w:r w:rsidR="00C72757">
        <w:t>ir</w:t>
      </w:r>
      <w:r w:rsidR="00DF1E3D">
        <w:t xml:space="preserve"> ierobežotas pieejamības informācija, kas pieprasāma Informācijas atklātības likumā noteiktajā kārtībā.</w:t>
      </w:r>
      <w:r w:rsidR="00C72757">
        <w:t xml:space="preserve"> </w:t>
      </w:r>
      <w:r w:rsidR="00C41E77">
        <w:t xml:space="preserve">Ņemot vērā, ka sabiedrības reģistrācijas lieta sastāv no 231 lapas un </w:t>
      </w:r>
      <w:r w:rsidR="00C41E77">
        <w:lastRenderedPageBreak/>
        <w:t xml:space="preserve">reģistra darbiniekam būtu jāizvērtē katra dokumenta statusu, reģistrācijas lietas apskates sagatavošana </w:t>
      </w:r>
      <w:r w:rsidR="00C72757">
        <w:t xml:space="preserve">pieteicējam </w:t>
      </w:r>
      <w:r w:rsidR="00C41E77">
        <w:t>prasītu nesamērīgus resursus.</w:t>
      </w:r>
    </w:p>
    <w:p w14:paraId="2E123CD3" w14:textId="402647AD" w:rsidR="007A4E92" w:rsidRDefault="007A4E92" w:rsidP="003A6B35">
      <w:pPr>
        <w:pStyle w:val="Default"/>
        <w:spacing w:line="276" w:lineRule="auto"/>
        <w:ind w:firstLine="720"/>
        <w:jc w:val="both"/>
      </w:pPr>
      <w:r>
        <w:t>Pieteicējs minēto lēmumu pārsūdzēja tiesā.</w:t>
      </w:r>
    </w:p>
    <w:p w14:paraId="042FCED0" w14:textId="6E02D377" w:rsidR="00826413" w:rsidRDefault="00826413" w:rsidP="003A6B35">
      <w:pPr>
        <w:pStyle w:val="Default"/>
        <w:spacing w:line="276" w:lineRule="auto"/>
        <w:ind w:firstLine="720"/>
        <w:jc w:val="both"/>
      </w:pPr>
    </w:p>
    <w:p w14:paraId="7FC79146" w14:textId="2C97E228" w:rsidR="00570C27" w:rsidRDefault="00570C27" w:rsidP="003A6B35">
      <w:pPr>
        <w:pStyle w:val="Default"/>
        <w:spacing w:line="276" w:lineRule="auto"/>
        <w:ind w:firstLine="720"/>
        <w:jc w:val="both"/>
      </w:pPr>
      <w:r>
        <w:t xml:space="preserve">[2] Ar Administratīvās rajona tiesas tiesneša 2023.gada 7.marta lēmumu </w:t>
      </w:r>
      <w:r w:rsidR="00C97963">
        <w:t xml:space="preserve">atteikts pieņemt </w:t>
      </w:r>
      <w:r w:rsidR="007924F7">
        <w:t>pieteikumu</w:t>
      </w:r>
      <w:r>
        <w:t xml:space="preserve">, </w:t>
      </w:r>
      <w:r w:rsidR="00945D77">
        <w:t>jo</w:t>
      </w:r>
      <w:r>
        <w:t xml:space="preserve"> lieta nav izskatāma administratīvā procesa kārtībā (Administratīvā procesa likuma 191.panta pirmās daļas 1.punkts).</w:t>
      </w:r>
    </w:p>
    <w:p w14:paraId="1129AC3B" w14:textId="61D10C1B" w:rsidR="00540239" w:rsidRDefault="00570C27" w:rsidP="003A6B35">
      <w:pPr>
        <w:pStyle w:val="Default"/>
        <w:spacing w:line="276" w:lineRule="auto"/>
        <w:ind w:firstLine="720"/>
        <w:jc w:val="both"/>
      </w:pPr>
      <w:r>
        <w:t xml:space="preserve">Tiesneša lēmumā </w:t>
      </w:r>
      <w:r w:rsidR="007924F7">
        <w:t>norādīts, ka reģistrs</w:t>
      </w:r>
      <w:r>
        <w:t xml:space="preserve"> atteicis</w:t>
      </w:r>
      <w:r w:rsidR="00ED74C5">
        <w:t xml:space="preserve"> pieteicējam</w:t>
      </w:r>
      <w:r>
        <w:t xml:space="preserve"> nodrošināt iespēju iepazīties ar nepieciešamajiem dokumentiem klātienē. Vienlaikus </w:t>
      </w:r>
      <w:r w:rsidR="00ED74C5">
        <w:t xml:space="preserve">pieteicējs informēts </w:t>
      </w:r>
      <w:r>
        <w:t xml:space="preserve">par veidu, kā var saņemt nepieciešamo informāciju un ar to iepazīties. No tā tiesnesis secināja, ka </w:t>
      </w:r>
      <w:r w:rsidR="007924F7">
        <w:t>reģistra lēmums</w:t>
      </w:r>
      <w:r>
        <w:t xml:space="preserve"> nav atteikums pēc būtības sniegt pieprasīto informāciju,</w:t>
      </w:r>
      <w:r w:rsidR="007924F7">
        <w:t xml:space="preserve"> </w:t>
      </w:r>
      <w:r>
        <w:t xml:space="preserve">proti, tam nav galīga noregulējuma rakstura. </w:t>
      </w:r>
      <w:r w:rsidR="00ED74C5">
        <w:t>Tas</w:t>
      </w:r>
      <w:r>
        <w:t xml:space="preserve"> ir uzskatāms par starplēmumu, jo ar to nav sasniegts mērķis, kura dēļ </w:t>
      </w:r>
      <w:r>
        <w:lastRenderedPageBreak/>
        <w:t xml:space="preserve">uzsākts administratīvais process – nav izlemts pēc būtības jautājums par informācijas sniegšanu pieteicējam. </w:t>
      </w:r>
      <w:r w:rsidR="00C97963">
        <w:t>Ar</w:t>
      </w:r>
      <w:r>
        <w:t xml:space="preserve"> </w:t>
      </w:r>
      <w:r w:rsidR="00ED74C5">
        <w:t>reģistra</w:t>
      </w:r>
      <w:r>
        <w:t xml:space="preserve"> lēmumu atteikts sniegt informāciju pieteicēja pieprasītajā veidā. Galīgais noregulējums būs iespēja pieteicēja</w:t>
      </w:r>
      <w:r w:rsidR="00540239">
        <w:t xml:space="preserve">m iepazīties ar </w:t>
      </w:r>
      <w:r w:rsidR="00C97963">
        <w:t xml:space="preserve">nepieciešamo </w:t>
      </w:r>
      <w:r w:rsidR="00540239">
        <w:t>informāciju</w:t>
      </w:r>
      <w:r w:rsidR="00C97963">
        <w:t xml:space="preserve">, </w:t>
      </w:r>
      <w:r w:rsidR="00C13D7A">
        <w:t>ja</w:t>
      </w:r>
      <w:r w:rsidR="00540239">
        <w:t xml:space="preserve"> </w:t>
      </w:r>
      <w:r w:rsidR="00C97963">
        <w:t xml:space="preserve">tā būs </w:t>
      </w:r>
      <w:r w:rsidR="00540239">
        <w:t>pieteicējam pieejama.</w:t>
      </w:r>
      <w:r w:rsidR="00C97963">
        <w:t xml:space="preserve"> Vienlaikus tiesnesis nekonstatēja apstākļus</w:t>
      </w:r>
      <w:r w:rsidR="00540239">
        <w:t>, kas liecinātu, ka reģistra starplēmums pats par sevi skartu būtiskas pieteicēja tiesības vai tiesiskās intereses un tā tiesiskumu būtu nepieciešams pārbaudīt atsevišķi no galīgās faktiskās rīcības.</w:t>
      </w:r>
    </w:p>
    <w:p w14:paraId="41058E03" w14:textId="77777777" w:rsidR="00CE29C2" w:rsidRDefault="00CE29C2" w:rsidP="003A6B35">
      <w:pPr>
        <w:autoSpaceDE w:val="0"/>
        <w:autoSpaceDN w:val="0"/>
        <w:adjustRightInd w:val="0"/>
        <w:spacing w:line="276" w:lineRule="auto"/>
        <w:jc w:val="both"/>
        <w:rPr>
          <w:rFonts w:eastAsiaTheme="minorHAnsi"/>
          <w:lang w:eastAsia="en-US"/>
        </w:rPr>
      </w:pPr>
    </w:p>
    <w:p w14:paraId="267F6BD8" w14:textId="422CCE24" w:rsidR="00BB4FEE" w:rsidRDefault="00BB4FEE" w:rsidP="003A6B35">
      <w:pPr>
        <w:spacing w:line="276" w:lineRule="auto"/>
        <w:ind w:firstLine="720"/>
        <w:jc w:val="both"/>
      </w:pPr>
      <w:r>
        <w:t>[</w:t>
      </w:r>
      <w:r w:rsidR="00540239">
        <w:t>3</w:t>
      </w:r>
      <w:r>
        <w:t>] Pieteicēj</w:t>
      </w:r>
      <w:r w:rsidR="00A21B57">
        <w:t>s</w:t>
      </w:r>
      <w:r w:rsidR="00C97963">
        <w:t xml:space="preserve"> par minēto lēmumu</w:t>
      </w:r>
      <w:r>
        <w:t xml:space="preserve"> iesniedza blakus sūdzību</w:t>
      </w:r>
      <w:r w:rsidR="00C97963">
        <w:t>.</w:t>
      </w:r>
    </w:p>
    <w:p w14:paraId="66983075" w14:textId="4DB563F6" w:rsidR="00ED74C5" w:rsidRDefault="00C97963" w:rsidP="003A6B35">
      <w:pPr>
        <w:spacing w:line="276" w:lineRule="auto"/>
        <w:ind w:firstLine="720"/>
        <w:jc w:val="both"/>
      </w:pPr>
      <w:r>
        <w:t xml:space="preserve">Blakus sūdzībā norādīts, ka pieprasīt var tikai tādus dokumentus, kas ir zināmi. </w:t>
      </w:r>
      <w:r w:rsidR="002213D9">
        <w:t>Tīmekļvietnē redzams</w:t>
      </w:r>
      <w:r w:rsidR="00540239">
        <w:t xml:space="preserve"> dokumenta datum</w:t>
      </w:r>
      <w:r w:rsidR="002213D9">
        <w:t>s</w:t>
      </w:r>
      <w:r w:rsidR="00540239">
        <w:t xml:space="preserve"> un nosaukum</w:t>
      </w:r>
      <w:r w:rsidR="002213D9">
        <w:t>s</w:t>
      </w:r>
      <w:r w:rsidR="00540239">
        <w:t xml:space="preserve">, kas parasti </w:t>
      </w:r>
      <w:r w:rsidR="00945D77">
        <w:t xml:space="preserve">to raksturo </w:t>
      </w:r>
      <w:r w:rsidR="00540239">
        <w:t xml:space="preserve">tikai ļoti vispārīgi. </w:t>
      </w:r>
      <w:r w:rsidR="00AA163F">
        <w:t>Pieteicējs var</w:t>
      </w:r>
      <w:r w:rsidR="00945D77">
        <w:t>ētu</w:t>
      </w:r>
      <w:r w:rsidR="00AA163F">
        <w:t xml:space="preserve"> pamatot pieprasījumu saņemt konkrēto dokumentu</w:t>
      </w:r>
      <w:r w:rsidR="00423C6A">
        <w:t xml:space="preserve"> </w:t>
      </w:r>
      <w:r w:rsidR="00AA163F">
        <w:t xml:space="preserve">tikai tad, </w:t>
      </w:r>
      <w:r w:rsidR="00423C6A">
        <w:t xml:space="preserve">ja </w:t>
      </w:r>
      <w:r w:rsidR="00AA163F">
        <w:t xml:space="preserve">būtu iepazinies ar </w:t>
      </w:r>
      <w:r w:rsidR="00AA163F">
        <w:lastRenderedPageBreak/>
        <w:t>reģistr</w:t>
      </w:r>
      <w:r w:rsidR="00423C6A">
        <w:t>ācijas</w:t>
      </w:r>
      <w:r w:rsidR="00AA163F">
        <w:t xml:space="preserve"> lietu un varētu identificēt, kurš dokuments satur pieteicējam nepieciešamo informāciju.</w:t>
      </w:r>
      <w:r w:rsidR="00423C6A">
        <w:t xml:space="preserve"> Tas</w:t>
      </w:r>
      <w:r w:rsidR="00AA163F">
        <w:t xml:space="preserve"> padara informācijas pieprasīšanu neiespējamu. Pat ja pieteicējs varētu pamatot visas reģistrācijas lietas dokumentu pieprasījumu, </w:t>
      </w:r>
      <w:r w:rsidR="00423C6A">
        <w:t xml:space="preserve">tā </w:t>
      </w:r>
      <w:r w:rsidR="00AA163F">
        <w:t>izsniegšanas izmaksas būtu vismaz 1674</w:t>
      </w:r>
      <w:r w:rsidR="00423C6A">
        <w:t> </w:t>
      </w:r>
      <w:r w:rsidR="00AA163F" w:rsidRPr="00423C6A">
        <w:rPr>
          <w:i/>
          <w:iCs/>
        </w:rPr>
        <w:t>euro</w:t>
      </w:r>
      <w:r w:rsidR="00ED74C5">
        <w:rPr>
          <w:i/>
          <w:iCs/>
        </w:rPr>
        <w:t>.</w:t>
      </w:r>
      <w:r w:rsidR="00AA163F">
        <w:t xml:space="preserve"> </w:t>
      </w:r>
      <w:r w:rsidR="00ED74C5">
        <w:t>Tā ir</w:t>
      </w:r>
      <w:r w:rsidR="00AA163F">
        <w:t xml:space="preserve"> neadekvāti augsta maksa par informācijas iegūšanu no publiskā reģistra</w:t>
      </w:r>
      <w:r w:rsidR="00ED74C5">
        <w:t>,</w:t>
      </w:r>
      <w:r w:rsidR="00AA163F">
        <w:t xml:space="preserve"> un būtiski apgrūtina tiesību īstenošanu informācijas pieprasīšanā</w:t>
      </w:r>
      <w:r w:rsidR="00945D77">
        <w:t>.</w:t>
      </w:r>
      <w:r w:rsidR="00AA163F">
        <w:t xml:space="preserve"> </w:t>
      </w:r>
      <w:r w:rsidR="00945D77">
        <w:t>F</w:t>
      </w:r>
      <w:r w:rsidR="00AA163F">
        <w:t>aktiski pieteicējam nav nepieciešams saņemt visu reģistrācijas lietu, bet gan, iespējams, tikai atsevišķus dokumentus no tās.</w:t>
      </w:r>
      <w:r w:rsidR="005E262B">
        <w:t xml:space="preserve"> Līdz šim vienmēr bija iespējams iepazīties ar reģistrācijas lietām klātienē, jo tikai tā tika nodrošināts reģistra publiskums. </w:t>
      </w:r>
    </w:p>
    <w:p w14:paraId="667282FF" w14:textId="77777777" w:rsidR="008B617D" w:rsidRDefault="008B617D" w:rsidP="003A6B35">
      <w:pPr>
        <w:pStyle w:val="Default"/>
        <w:spacing w:line="276" w:lineRule="auto"/>
        <w:ind w:firstLine="567"/>
        <w:jc w:val="both"/>
      </w:pPr>
    </w:p>
    <w:p w14:paraId="5144CA5B" w14:textId="77777777" w:rsidR="00BB4FEE" w:rsidRDefault="00BB4FEE" w:rsidP="003A6B35">
      <w:pPr>
        <w:spacing w:line="276" w:lineRule="auto"/>
        <w:jc w:val="center"/>
        <w:rPr>
          <w:b/>
        </w:rPr>
      </w:pPr>
      <w:r>
        <w:rPr>
          <w:b/>
        </w:rPr>
        <w:t>Motīvu daļa</w:t>
      </w:r>
    </w:p>
    <w:p w14:paraId="5713D6CE" w14:textId="77777777" w:rsidR="00BB4FEE" w:rsidRPr="00207638" w:rsidRDefault="00BB4FEE" w:rsidP="003A6B35">
      <w:pPr>
        <w:spacing w:line="276" w:lineRule="auto"/>
        <w:jc w:val="center"/>
      </w:pPr>
    </w:p>
    <w:p w14:paraId="0A15EBD7" w14:textId="1F6EA5FE" w:rsidR="00E75D6A" w:rsidRDefault="00A13185" w:rsidP="003A6B35">
      <w:pPr>
        <w:spacing w:line="276" w:lineRule="auto"/>
        <w:ind w:firstLine="720"/>
        <w:jc w:val="both"/>
      </w:pPr>
      <w:r w:rsidRPr="00DB28D1">
        <w:lastRenderedPageBreak/>
        <w:t>[</w:t>
      </w:r>
      <w:r w:rsidR="00423C6A" w:rsidRPr="00DB28D1">
        <w:t>4</w:t>
      </w:r>
      <w:r w:rsidRPr="00DB28D1">
        <w:t>]</w:t>
      </w:r>
      <w:r w:rsidR="00F1307F">
        <w:t> </w:t>
      </w:r>
      <w:r w:rsidR="00E75D6A">
        <w:t xml:space="preserve">Tiesnesis lēmumā identificējis pieteicēja mērķi, vēršoties reģistrā ar </w:t>
      </w:r>
      <w:r w:rsidR="0052450F">
        <w:t>informācijas pieprasījumu</w:t>
      </w:r>
      <w:r w:rsidR="00E75D6A">
        <w:t xml:space="preserve"> – iepazīties ar sabiedrības reģistrācijas lietas materiāliem</w:t>
      </w:r>
      <w:r w:rsidR="00C859B5">
        <w:t xml:space="preserve"> klātienē</w:t>
      </w:r>
      <w:r w:rsidR="00E75D6A">
        <w:t xml:space="preserve">. Taču reģistra atteikumu iepazīties ar nepieciešamajiem materiāliem tiesnesis atzinis par tādu, kam nav galīga noregulējuma rakstura. Senāts tam </w:t>
      </w:r>
      <w:r w:rsidR="00945D77">
        <w:t>nepiekrīt</w:t>
      </w:r>
      <w:r w:rsidR="00E75D6A">
        <w:t xml:space="preserve">. </w:t>
      </w:r>
    </w:p>
    <w:p w14:paraId="7847E49C" w14:textId="77777777" w:rsidR="00E75D6A" w:rsidRDefault="00E75D6A" w:rsidP="003A6B35">
      <w:pPr>
        <w:spacing w:line="276" w:lineRule="auto"/>
        <w:ind w:firstLine="720"/>
        <w:jc w:val="both"/>
      </w:pPr>
    </w:p>
    <w:p w14:paraId="79B7E216" w14:textId="177CEB1D" w:rsidR="00E75D6A" w:rsidRDefault="00E75D6A" w:rsidP="003A6B35">
      <w:pPr>
        <w:spacing w:line="276" w:lineRule="auto"/>
        <w:ind w:firstLine="720"/>
        <w:jc w:val="both"/>
        <w:rPr>
          <w:rFonts w:asciiTheme="majorBidi" w:hAnsiTheme="majorBidi" w:cstheme="majorBidi"/>
        </w:rPr>
      </w:pPr>
      <w:r>
        <w:t>[5]</w:t>
      </w:r>
      <w:r w:rsidR="001D5BA9">
        <w:t> </w:t>
      </w:r>
      <w:r w:rsidRPr="00DB28D1">
        <w:rPr>
          <w:rFonts w:asciiTheme="majorBidi" w:hAnsiTheme="majorBidi" w:cstheme="majorBidi"/>
        </w:rPr>
        <w:t xml:space="preserve">No likuma </w:t>
      </w:r>
      <w:r w:rsidRPr="00962550">
        <w:rPr>
          <w:rFonts w:eastAsiaTheme="minorHAnsi"/>
          <w:lang w:eastAsia="en-US"/>
        </w:rPr>
        <w:t>„</w:t>
      </w:r>
      <w:r w:rsidRPr="00DB28D1">
        <w:rPr>
          <w:rFonts w:asciiTheme="majorBidi" w:hAnsiTheme="majorBidi" w:cstheme="majorBidi"/>
        </w:rPr>
        <w:t>Par Latvijas Republikas Uzņēmumu reģistru” 4.</w:t>
      </w:r>
      <w:r w:rsidRPr="00C5440C">
        <w:rPr>
          <w:rFonts w:asciiTheme="majorBidi" w:hAnsiTheme="majorBidi" w:cstheme="majorBidi"/>
          <w:vertAlign w:val="superscript"/>
        </w:rPr>
        <w:t>15</w:t>
      </w:r>
      <w:r w:rsidRPr="00DB28D1">
        <w:rPr>
          <w:rFonts w:asciiTheme="majorBidi" w:hAnsiTheme="majorBidi" w:cstheme="majorBidi"/>
        </w:rPr>
        <w:t>panta izriet, ka reģistrācijas lieta iedalāma publiskajā un nepubliskajā daļā</w:t>
      </w:r>
      <w:r w:rsidR="00C5440C">
        <w:rPr>
          <w:rFonts w:asciiTheme="majorBidi" w:hAnsiTheme="majorBidi" w:cstheme="majorBidi"/>
        </w:rPr>
        <w:t>.</w:t>
      </w:r>
    </w:p>
    <w:p w14:paraId="424AF68D" w14:textId="696E0998" w:rsidR="003C41EB" w:rsidRDefault="00C859B5" w:rsidP="003A6B35">
      <w:pPr>
        <w:spacing w:line="276" w:lineRule="auto"/>
        <w:ind w:firstLine="720"/>
        <w:jc w:val="both"/>
        <w:rPr>
          <w:rFonts w:asciiTheme="majorBidi" w:hAnsiTheme="majorBidi" w:cstheme="majorBidi"/>
          <w:color w:val="000000" w:themeColor="text1"/>
          <w:shd w:val="clear" w:color="auto" w:fill="FFFFFF"/>
        </w:rPr>
      </w:pPr>
      <w:r>
        <w:rPr>
          <w:rFonts w:asciiTheme="majorBidi" w:hAnsiTheme="majorBidi" w:cstheme="majorBidi"/>
        </w:rPr>
        <w:t>Šā p</w:t>
      </w:r>
      <w:r w:rsidR="00C5440C">
        <w:rPr>
          <w:rFonts w:asciiTheme="majorBidi" w:hAnsiTheme="majorBidi" w:cstheme="majorBidi"/>
        </w:rPr>
        <w:t>anta pirmajā daļ</w:t>
      </w:r>
      <w:r w:rsidR="00945D77">
        <w:rPr>
          <w:rFonts w:asciiTheme="majorBidi" w:hAnsiTheme="majorBidi" w:cstheme="majorBidi"/>
        </w:rPr>
        <w:t>ā</w:t>
      </w:r>
      <w:r w:rsidR="00C5440C">
        <w:rPr>
          <w:rFonts w:asciiTheme="majorBidi" w:hAnsiTheme="majorBidi" w:cstheme="majorBidi"/>
        </w:rPr>
        <w:t xml:space="preserve"> uzskaitī</w:t>
      </w:r>
      <w:r w:rsidR="00945D77">
        <w:rPr>
          <w:rFonts w:asciiTheme="majorBidi" w:hAnsiTheme="majorBidi" w:cstheme="majorBidi"/>
        </w:rPr>
        <w:t>ts</w:t>
      </w:r>
      <w:r w:rsidR="00C5440C">
        <w:rPr>
          <w:rFonts w:asciiTheme="majorBidi" w:hAnsiTheme="majorBidi" w:cstheme="majorBidi"/>
        </w:rPr>
        <w:t>, kādas ziņas un dokumenti ir ietverami reģistrācijas lietas publisk</w:t>
      </w:r>
      <w:r w:rsidR="00C13D7A">
        <w:rPr>
          <w:rFonts w:asciiTheme="majorBidi" w:hAnsiTheme="majorBidi" w:cstheme="majorBidi"/>
        </w:rPr>
        <w:t>aj</w:t>
      </w:r>
      <w:r w:rsidR="00C5440C">
        <w:rPr>
          <w:rFonts w:asciiTheme="majorBidi" w:hAnsiTheme="majorBidi" w:cstheme="majorBidi"/>
        </w:rPr>
        <w:t>ā daļā. Savukārt otrajā daļā noteikts, ka r</w:t>
      </w:r>
      <w:r w:rsidR="003C41EB" w:rsidRPr="00DB28D1">
        <w:rPr>
          <w:rFonts w:asciiTheme="majorBidi" w:hAnsiTheme="majorBidi" w:cstheme="majorBidi"/>
          <w:shd w:val="clear" w:color="auto" w:fill="FFFFFF"/>
        </w:rPr>
        <w:t xml:space="preserve">eģistrācijas lietā esošos </w:t>
      </w:r>
      <w:r w:rsidR="003C41EB" w:rsidRPr="00061868">
        <w:rPr>
          <w:rFonts w:asciiTheme="majorBidi" w:hAnsiTheme="majorBidi" w:cstheme="majorBidi"/>
          <w:color w:val="000000" w:themeColor="text1"/>
          <w:shd w:val="clear" w:color="auto" w:fill="FFFFFF"/>
        </w:rPr>
        <w:t>dokumentus un ziņas, kas nav norādītas šā panta pirmajā daļā, iekļauj reģistrācijas lietas nepubliskajā daļā</w:t>
      </w:r>
      <w:r w:rsidR="00C5440C" w:rsidRPr="00061868">
        <w:rPr>
          <w:rFonts w:asciiTheme="majorBidi" w:hAnsiTheme="majorBidi" w:cstheme="majorBidi"/>
          <w:color w:val="000000" w:themeColor="text1"/>
          <w:shd w:val="clear" w:color="auto" w:fill="FFFFFF"/>
        </w:rPr>
        <w:t>.</w:t>
      </w:r>
      <w:r w:rsidR="003C41EB" w:rsidRPr="00061868">
        <w:rPr>
          <w:rFonts w:asciiTheme="majorBidi" w:hAnsiTheme="majorBidi" w:cstheme="majorBidi"/>
          <w:color w:val="000000" w:themeColor="text1"/>
          <w:shd w:val="clear" w:color="auto" w:fill="FFFFFF"/>
        </w:rPr>
        <w:t xml:space="preserve"> Attiecībā uz nepubliskajā daļā ietvertajām ziņām un dokumentiem panta ceturtajā daļā skaidrots, ka tā ir ierobežotas pieejamības informācija. Privātpersonas reģistrācijas lietu </w:t>
      </w:r>
      <w:r w:rsidR="003C41EB" w:rsidRPr="00061868">
        <w:rPr>
          <w:rFonts w:asciiTheme="majorBidi" w:hAnsiTheme="majorBidi" w:cstheme="majorBidi"/>
          <w:color w:val="000000" w:themeColor="text1"/>
          <w:shd w:val="clear" w:color="auto" w:fill="FFFFFF"/>
        </w:rPr>
        <w:lastRenderedPageBreak/>
        <w:t xml:space="preserve">nepubliskās daļas ziņas un dokumentus pieprasa </w:t>
      </w:r>
      <w:hyperlink r:id="rId9" w:tgtFrame="_blank" w:history="1">
        <w:r w:rsidR="003C41EB" w:rsidRPr="00061868">
          <w:rPr>
            <w:rStyle w:val="Hyperlink"/>
            <w:rFonts w:asciiTheme="majorBidi" w:hAnsiTheme="majorBidi" w:cstheme="majorBidi"/>
            <w:color w:val="000000" w:themeColor="text1"/>
            <w:u w:val="none"/>
            <w:shd w:val="clear" w:color="auto" w:fill="FFFFFF"/>
          </w:rPr>
          <w:t>Informācijas atklātības likumā</w:t>
        </w:r>
      </w:hyperlink>
      <w:r w:rsidR="003C41EB" w:rsidRPr="00061868">
        <w:rPr>
          <w:rFonts w:asciiTheme="majorBidi" w:hAnsiTheme="majorBidi" w:cstheme="majorBidi"/>
          <w:color w:val="000000" w:themeColor="text1"/>
          <w:shd w:val="clear" w:color="auto" w:fill="FFFFFF"/>
        </w:rPr>
        <w:t xml:space="preserve"> noteiktajā ierobežotas pieejamības informācijas pieprasīšanas kārtībā.</w:t>
      </w:r>
    </w:p>
    <w:p w14:paraId="09916DFA" w14:textId="2A4DAFFB" w:rsidR="00061868" w:rsidRPr="00061868" w:rsidRDefault="00061868" w:rsidP="003A6B35">
      <w:pPr>
        <w:spacing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shd w:val="clear" w:color="auto" w:fill="FFFFFF"/>
        </w:rPr>
        <w:t xml:space="preserve">Atbilstoši Informācijas atklātības likuma 15.panta pirmajai daļai iestādes izdoto administratīvo aktu par atteikumu sniegt informāciju vai izpildīt informācijas pieprasījumu, kā arī faktisko rīcību, kas izpaudusies kā informācijas nesniegšana vai nepienācīga sniegšana, var apstrīdēt un pārsūdzēt Administratīvā procesa likumā noteiktajā kārtībā. </w:t>
      </w:r>
    </w:p>
    <w:p w14:paraId="58408719" w14:textId="77777777" w:rsidR="00061868" w:rsidRDefault="00061868" w:rsidP="003A6B35">
      <w:pPr>
        <w:spacing w:line="276" w:lineRule="auto"/>
        <w:ind w:firstLine="720"/>
        <w:jc w:val="both"/>
        <w:rPr>
          <w:rFonts w:asciiTheme="majorBidi" w:hAnsiTheme="majorBidi" w:cstheme="majorBidi"/>
          <w:color w:val="000000" w:themeColor="text1"/>
          <w:shd w:val="clear" w:color="auto" w:fill="FFFFFF"/>
        </w:rPr>
      </w:pPr>
    </w:p>
    <w:p w14:paraId="48C09971" w14:textId="1DEC92E1" w:rsidR="00CC2A90" w:rsidRDefault="00CC2A90" w:rsidP="003A6B35">
      <w:pPr>
        <w:spacing w:line="276" w:lineRule="auto"/>
        <w:ind w:firstLine="720"/>
        <w:jc w:val="both"/>
        <w:rPr>
          <w:rFonts w:asciiTheme="majorBidi" w:hAnsiTheme="majorBidi" w:cstheme="majorBidi"/>
        </w:rPr>
      </w:pPr>
      <w:r>
        <w:rPr>
          <w:rFonts w:asciiTheme="majorBidi" w:hAnsiTheme="majorBidi" w:cstheme="majorBidi"/>
          <w:shd w:val="clear" w:color="auto" w:fill="FFFFFF"/>
        </w:rPr>
        <w:t>[6]</w:t>
      </w:r>
      <w:r w:rsidR="00945D77">
        <w:rPr>
          <w:rFonts w:asciiTheme="majorBidi" w:hAnsiTheme="majorBidi" w:cstheme="majorBidi"/>
          <w:shd w:val="clear" w:color="auto" w:fill="FFFFFF"/>
        </w:rPr>
        <w:t> </w:t>
      </w:r>
      <w:r>
        <w:rPr>
          <w:rFonts w:asciiTheme="majorBidi" w:hAnsiTheme="majorBidi" w:cstheme="majorBidi"/>
          <w:shd w:val="clear" w:color="auto" w:fill="FFFFFF"/>
        </w:rPr>
        <w:t xml:space="preserve">No reģistra galvenā </w:t>
      </w:r>
      <w:r w:rsidR="00945D77">
        <w:rPr>
          <w:rFonts w:asciiTheme="majorBidi" w:hAnsiTheme="majorBidi" w:cstheme="majorBidi"/>
          <w:shd w:val="clear" w:color="auto" w:fill="FFFFFF"/>
        </w:rPr>
        <w:t xml:space="preserve">valsts </w:t>
      </w:r>
      <w:r>
        <w:rPr>
          <w:rFonts w:asciiTheme="majorBidi" w:hAnsiTheme="majorBidi" w:cstheme="majorBidi"/>
          <w:shd w:val="clear" w:color="auto" w:fill="FFFFFF"/>
        </w:rPr>
        <w:t>notāra lēmum</w:t>
      </w:r>
      <w:r w:rsidR="0052450F">
        <w:rPr>
          <w:rFonts w:asciiTheme="majorBidi" w:hAnsiTheme="majorBidi" w:cstheme="majorBidi"/>
          <w:shd w:val="clear" w:color="auto" w:fill="FFFFFF"/>
        </w:rPr>
        <w:t xml:space="preserve">ā norādītā </w:t>
      </w:r>
      <w:r w:rsidR="003053CE">
        <w:rPr>
          <w:rFonts w:asciiTheme="majorBidi" w:hAnsiTheme="majorBidi" w:cstheme="majorBidi"/>
          <w:shd w:val="clear" w:color="auto" w:fill="FFFFFF"/>
        </w:rPr>
        <w:t>izriet</w:t>
      </w:r>
      <w:r>
        <w:rPr>
          <w:rFonts w:asciiTheme="majorBidi" w:hAnsiTheme="majorBidi" w:cstheme="majorBidi"/>
          <w:shd w:val="clear" w:color="auto" w:fill="FFFFFF"/>
        </w:rPr>
        <w:t xml:space="preserve">, ka </w:t>
      </w:r>
      <w:r w:rsidRPr="0094390B">
        <w:rPr>
          <w:rFonts w:asciiTheme="majorBidi" w:hAnsiTheme="majorBidi" w:cstheme="majorBidi"/>
          <w:shd w:val="clear" w:color="auto" w:fill="FFFFFF"/>
        </w:rPr>
        <w:t>pieteicējam</w:t>
      </w:r>
      <w:r>
        <w:rPr>
          <w:rFonts w:asciiTheme="majorBidi" w:hAnsiTheme="majorBidi" w:cstheme="majorBidi"/>
          <w:shd w:val="clear" w:color="auto" w:fill="FFFFFF"/>
        </w:rPr>
        <w:t xml:space="preserve"> atteikts</w:t>
      </w:r>
      <w:r w:rsidRPr="0094390B">
        <w:rPr>
          <w:rFonts w:asciiTheme="majorBidi" w:hAnsiTheme="majorBidi" w:cstheme="majorBidi"/>
          <w:shd w:val="clear" w:color="auto" w:fill="FFFFFF"/>
        </w:rPr>
        <w:t xml:space="preserve"> iepazīties ar </w:t>
      </w:r>
      <w:r>
        <w:rPr>
          <w:rFonts w:asciiTheme="majorBidi" w:hAnsiTheme="majorBidi" w:cstheme="majorBidi"/>
          <w:shd w:val="clear" w:color="auto" w:fill="FFFFFF"/>
        </w:rPr>
        <w:t xml:space="preserve">sabiedrības </w:t>
      </w:r>
      <w:r w:rsidRPr="0094390B">
        <w:rPr>
          <w:rFonts w:asciiTheme="majorBidi" w:hAnsiTheme="majorBidi" w:cstheme="majorBidi"/>
          <w:shd w:val="clear" w:color="auto" w:fill="FFFFFF"/>
        </w:rPr>
        <w:t>reģistrācijas lietas materiāliem</w:t>
      </w:r>
      <w:r w:rsidR="00593EFA">
        <w:rPr>
          <w:rFonts w:asciiTheme="majorBidi" w:hAnsiTheme="majorBidi" w:cstheme="majorBidi"/>
          <w:shd w:val="clear" w:color="auto" w:fill="FFFFFF"/>
        </w:rPr>
        <w:t xml:space="preserve"> klātienē</w:t>
      </w:r>
      <w:r w:rsidRPr="0094390B">
        <w:rPr>
          <w:rFonts w:asciiTheme="majorBidi" w:hAnsiTheme="majorBidi" w:cstheme="majorBidi"/>
          <w:shd w:val="clear" w:color="auto" w:fill="FFFFFF"/>
        </w:rPr>
        <w:t>, pamatojoties uz Informācijas atklātības likuma 11.</w:t>
      </w:r>
      <w:r w:rsidRPr="0094390B">
        <w:rPr>
          <w:rFonts w:asciiTheme="majorBidi" w:hAnsiTheme="majorBidi" w:cstheme="majorBidi"/>
          <w:shd w:val="clear" w:color="auto" w:fill="FFFFFF"/>
          <w:vertAlign w:val="superscript"/>
        </w:rPr>
        <w:t>2</w:t>
      </w:r>
      <w:r w:rsidRPr="0094390B">
        <w:rPr>
          <w:rFonts w:asciiTheme="majorBidi" w:hAnsiTheme="majorBidi" w:cstheme="majorBidi"/>
          <w:shd w:val="clear" w:color="auto" w:fill="FFFFFF"/>
        </w:rPr>
        <w:t>panta trešo daļu, saskaņā ar kuru iestāde var atteikties izpildīt informācijas pieprasījumu vai tā izpildes nosacījumus, ja informācijas piepra</w:t>
      </w:r>
      <w:r w:rsidRPr="0094390B">
        <w:rPr>
          <w:rFonts w:asciiTheme="majorBidi" w:hAnsiTheme="majorBidi" w:cstheme="majorBidi"/>
          <w:shd w:val="clear" w:color="auto" w:fill="FFFFFF"/>
        </w:rPr>
        <w:lastRenderedPageBreak/>
        <w:t>sījums vai tā izpildes nosacījumi nav samērojami ar iestādes rīcībā esošajiem resursiem, proti, informācijas pieprasījuma vai tā izpildes nosacījumu izpildes rezultātā ir apdraudēts iestādes darbs vai citu personu tiesības. Reģistrs norāda, ka iepazīšano</w:t>
      </w:r>
      <w:r w:rsidR="00593EFA">
        <w:rPr>
          <w:rFonts w:asciiTheme="majorBidi" w:hAnsiTheme="majorBidi" w:cstheme="majorBidi"/>
          <w:shd w:val="clear" w:color="auto" w:fill="FFFFFF"/>
        </w:rPr>
        <w:t>s ar reģistrācijas lietas materiāliem</w:t>
      </w:r>
      <w:r w:rsidRPr="0094390B">
        <w:rPr>
          <w:rFonts w:asciiTheme="majorBidi" w:hAnsiTheme="majorBidi" w:cstheme="majorBidi"/>
          <w:shd w:val="clear" w:color="auto" w:fill="FFFFFF"/>
        </w:rPr>
        <w:t xml:space="preserve"> nevar nodrošināt </w:t>
      </w:r>
      <w:r w:rsidRPr="0094390B">
        <w:rPr>
          <w:rFonts w:asciiTheme="majorBidi" w:hAnsiTheme="majorBidi" w:cstheme="majorBidi"/>
        </w:rPr>
        <w:t xml:space="preserve">atbilstoši Informācijas atklātības likumā noteiktajai ierobežotas pieejamības informācijas pieprasīšanas kārtībai. Sabiedrības reģistrācijas lietas apskates sagatavošana </w:t>
      </w:r>
      <w:r>
        <w:rPr>
          <w:rFonts w:asciiTheme="majorBidi" w:hAnsiTheme="majorBidi" w:cstheme="majorBidi"/>
        </w:rPr>
        <w:t>pieteicējam</w:t>
      </w:r>
      <w:r w:rsidRPr="0094390B">
        <w:rPr>
          <w:rFonts w:asciiTheme="majorBidi" w:hAnsiTheme="majorBidi" w:cstheme="majorBidi"/>
        </w:rPr>
        <w:t>, izvērtējot katra dokumenta statusu</w:t>
      </w:r>
      <w:r w:rsidR="00593EFA">
        <w:rPr>
          <w:rFonts w:asciiTheme="majorBidi" w:hAnsiTheme="majorBidi" w:cstheme="majorBidi"/>
        </w:rPr>
        <w:t>,</w:t>
      </w:r>
      <w:r>
        <w:rPr>
          <w:rFonts w:asciiTheme="majorBidi" w:hAnsiTheme="majorBidi" w:cstheme="majorBidi"/>
        </w:rPr>
        <w:t xml:space="preserve"> </w:t>
      </w:r>
      <w:r w:rsidRPr="0094390B">
        <w:rPr>
          <w:rFonts w:asciiTheme="majorBidi" w:hAnsiTheme="majorBidi" w:cstheme="majorBidi"/>
        </w:rPr>
        <w:t>prasītu nesamērīgus resursus.</w:t>
      </w:r>
    </w:p>
    <w:p w14:paraId="554EEA56" w14:textId="77777777" w:rsidR="003053CE" w:rsidRDefault="00CC2A90" w:rsidP="003A6B35">
      <w:pPr>
        <w:spacing w:line="276" w:lineRule="auto"/>
        <w:ind w:firstLine="720"/>
        <w:jc w:val="both"/>
        <w:rPr>
          <w:rFonts w:asciiTheme="majorBidi" w:hAnsiTheme="majorBidi" w:cstheme="majorBidi"/>
          <w:shd w:val="clear" w:color="auto" w:fill="FFFFFF"/>
        </w:rPr>
      </w:pPr>
      <w:r w:rsidRPr="0094390B">
        <w:rPr>
          <w:rFonts w:asciiTheme="majorBidi" w:hAnsiTheme="majorBidi" w:cstheme="majorBidi"/>
          <w:shd w:val="clear" w:color="auto" w:fill="FFFFFF"/>
        </w:rPr>
        <w:t>Pieteicējs</w:t>
      </w:r>
      <w:r>
        <w:rPr>
          <w:rFonts w:asciiTheme="majorBidi" w:hAnsiTheme="majorBidi" w:cstheme="majorBidi"/>
          <w:shd w:val="clear" w:color="auto" w:fill="FFFFFF"/>
        </w:rPr>
        <w:t xml:space="preserve"> savukārt</w:t>
      </w:r>
      <w:r w:rsidRPr="0094390B">
        <w:rPr>
          <w:rFonts w:asciiTheme="majorBidi" w:hAnsiTheme="majorBidi" w:cstheme="majorBidi"/>
          <w:shd w:val="clear" w:color="auto" w:fill="FFFFFF"/>
        </w:rPr>
        <w:t xml:space="preserve"> ir skaidrojis savu nepieciešamību iepazīties ar reģistrācijas lietas materiāliem tieši klātienē. Pieteicējs </w:t>
      </w:r>
      <w:r w:rsidR="0052450F">
        <w:rPr>
          <w:rFonts w:asciiTheme="majorBidi" w:hAnsiTheme="majorBidi" w:cstheme="majorBidi"/>
          <w:shd w:val="clear" w:color="auto" w:fill="FFFFFF"/>
        </w:rPr>
        <w:t>norādījis</w:t>
      </w:r>
      <w:r w:rsidRPr="0094390B">
        <w:rPr>
          <w:rFonts w:asciiTheme="majorBidi" w:hAnsiTheme="majorBidi" w:cstheme="majorBidi"/>
          <w:shd w:val="clear" w:color="auto" w:fill="FFFFFF"/>
        </w:rPr>
        <w:t>, ka no tīmekļvietn</w:t>
      </w:r>
      <w:r>
        <w:rPr>
          <w:rFonts w:asciiTheme="majorBidi" w:hAnsiTheme="majorBidi" w:cstheme="majorBidi"/>
          <w:shd w:val="clear" w:color="auto" w:fill="FFFFFF"/>
        </w:rPr>
        <w:t>ē</w:t>
      </w:r>
      <w:r w:rsidRPr="0094390B">
        <w:rPr>
          <w:rFonts w:asciiTheme="majorBidi" w:hAnsiTheme="majorBidi" w:cstheme="majorBidi"/>
          <w:shd w:val="clear" w:color="auto" w:fill="FFFFFF"/>
        </w:rPr>
        <w:t xml:space="preserve"> pieejamās informācijas par reģistrācijas lietu nav izsecināms, kuri tieši dokumenti pieteicējam būtu nepieciešami klienta interešu pārstāvībai.</w:t>
      </w:r>
      <w:r w:rsidR="00990C93">
        <w:rPr>
          <w:rFonts w:asciiTheme="majorBidi" w:hAnsiTheme="majorBidi" w:cstheme="majorBidi"/>
          <w:shd w:val="clear" w:color="auto" w:fill="FFFFFF"/>
        </w:rPr>
        <w:t xml:space="preserve"> </w:t>
      </w:r>
    </w:p>
    <w:p w14:paraId="43EDE18B" w14:textId="5ADFC329" w:rsidR="00593EFA" w:rsidRDefault="00CC2A90" w:rsidP="003A6B35">
      <w:pPr>
        <w:spacing w:line="276" w:lineRule="auto"/>
        <w:ind w:firstLine="720"/>
        <w:jc w:val="both"/>
        <w:rPr>
          <w:rFonts w:asciiTheme="majorBidi" w:hAnsiTheme="majorBidi" w:cstheme="majorBidi"/>
          <w:shd w:val="clear" w:color="auto" w:fill="FFFFFF"/>
        </w:rPr>
      </w:pPr>
      <w:r w:rsidRPr="0094390B">
        <w:rPr>
          <w:rFonts w:asciiTheme="majorBidi" w:hAnsiTheme="majorBidi" w:cstheme="majorBidi"/>
          <w:shd w:val="clear" w:color="auto" w:fill="FFFFFF"/>
        </w:rPr>
        <w:lastRenderedPageBreak/>
        <w:t>Tātad pieteicējs vēlas iepazīties ar</w:t>
      </w:r>
      <w:r w:rsidR="00593EFA">
        <w:rPr>
          <w:rFonts w:asciiTheme="majorBidi" w:hAnsiTheme="majorBidi" w:cstheme="majorBidi"/>
          <w:shd w:val="clear" w:color="auto" w:fill="FFFFFF"/>
        </w:rPr>
        <w:t xml:space="preserve"> sabiedrības</w:t>
      </w:r>
      <w:r w:rsidRPr="0094390B">
        <w:rPr>
          <w:rFonts w:asciiTheme="majorBidi" w:hAnsiTheme="majorBidi" w:cstheme="majorBidi"/>
          <w:shd w:val="clear" w:color="auto" w:fill="FFFFFF"/>
        </w:rPr>
        <w:t xml:space="preserve"> reģistrācijas lietas materiāliem, lai saprastu, kādus konkrēti dokumentus lūgt reģistram izsniegt.</w:t>
      </w:r>
      <w:r w:rsidR="00990C93">
        <w:rPr>
          <w:rFonts w:asciiTheme="majorBidi" w:hAnsiTheme="majorBidi" w:cstheme="majorBidi"/>
          <w:shd w:val="clear" w:color="auto" w:fill="FFFFFF"/>
        </w:rPr>
        <w:t xml:space="preserve"> </w:t>
      </w:r>
      <w:r w:rsidR="008E7F02">
        <w:rPr>
          <w:rFonts w:asciiTheme="majorBidi" w:hAnsiTheme="majorBidi" w:cstheme="majorBidi"/>
          <w:shd w:val="clear" w:color="auto" w:fill="FFFFFF"/>
        </w:rPr>
        <w:t xml:space="preserve">Attiecīgi reģistra </w:t>
      </w:r>
      <w:r w:rsidR="00990C93">
        <w:rPr>
          <w:rFonts w:asciiTheme="majorBidi" w:hAnsiTheme="majorBidi" w:cstheme="majorBidi"/>
          <w:shd w:val="clear" w:color="auto" w:fill="FFFFFF"/>
        </w:rPr>
        <w:t xml:space="preserve">atteikums iepazīties ar sabiedrības reģistrācijas lietas materiāliem attiecībā pret pieteicēja mērķi, vēršoties iestādē, pats par sevi ir rezultāts. </w:t>
      </w:r>
      <w:r w:rsidR="00CE27F4">
        <w:rPr>
          <w:rFonts w:asciiTheme="majorBidi" w:hAnsiTheme="majorBidi" w:cstheme="majorBidi"/>
          <w:shd w:val="clear" w:color="auto" w:fill="FFFFFF"/>
        </w:rPr>
        <w:t>Šāds atteikums, liedzot pieteicējam tiesības iepazīties ar reģistrācijas lietas materiāliem</w:t>
      </w:r>
      <w:r w:rsidR="002233DF">
        <w:rPr>
          <w:rFonts w:asciiTheme="majorBidi" w:hAnsiTheme="majorBidi" w:cstheme="majorBidi"/>
          <w:shd w:val="clear" w:color="auto" w:fill="FFFFFF"/>
        </w:rPr>
        <w:t xml:space="preserve"> pieteicēja vēlamajā veidā</w:t>
      </w:r>
      <w:r w:rsidR="00CE27F4">
        <w:rPr>
          <w:rFonts w:asciiTheme="majorBidi" w:hAnsiTheme="majorBidi" w:cstheme="majorBidi"/>
          <w:shd w:val="clear" w:color="auto" w:fill="FFFFFF"/>
        </w:rPr>
        <w:t xml:space="preserve">, rada pieteicējam tiesiskas sekas un ir ar galīga noregulējuma raksturu. </w:t>
      </w:r>
      <w:r w:rsidR="00593EFA">
        <w:rPr>
          <w:rFonts w:asciiTheme="majorBidi" w:hAnsiTheme="majorBidi" w:cstheme="majorBidi"/>
          <w:shd w:val="clear" w:color="auto" w:fill="FFFFFF"/>
        </w:rPr>
        <w:t>Līdz ar to tas ir atzīstams par atteikumu sniegt informāciju Informācijas atklātības likuma izpratnē.</w:t>
      </w:r>
    </w:p>
    <w:p w14:paraId="5C0BC5D4" w14:textId="562A8292" w:rsidR="00CE27F4" w:rsidRDefault="00CE27F4" w:rsidP="003A6B35">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Savukārt tiesneša lēmumā </w:t>
      </w:r>
      <w:r w:rsidR="00593EFA">
        <w:rPr>
          <w:rFonts w:asciiTheme="majorBidi" w:hAnsiTheme="majorBidi" w:cstheme="majorBidi"/>
          <w:shd w:val="clear" w:color="auto" w:fill="FFFFFF"/>
        </w:rPr>
        <w:t>ietvertie</w:t>
      </w:r>
      <w:r>
        <w:rPr>
          <w:rFonts w:asciiTheme="majorBidi" w:hAnsiTheme="majorBidi" w:cstheme="majorBidi"/>
          <w:shd w:val="clear" w:color="auto" w:fill="FFFFFF"/>
        </w:rPr>
        <w:t xml:space="preserve"> argumenti, ka reģistrs ir norādījis veidu, kā pieteicējs var saņemt nepieciešamo informāciju, ka reģistra darbībai ir jābūt efektīvai un ka nebūtu akceptējams, ja reģistra amatpersonas organizētu privātpersonu pieņemšanu pretēji tiesību normās noteiktajam, ir tādi, kas vērsti uz pieteikuma noraidīšanu pēc būtības, nevis pamato secinājumu par </w:t>
      </w:r>
      <w:r w:rsidR="002233DF">
        <w:rPr>
          <w:rFonts w:asciiTheme="majorBidi" w:hAnsiTheme="majorBidi" w:cstheme="majorBidi"/>
          <w:shd w:val="clear" w:color="auto" w:fill="FFFFFF"/>
        </w:rPr>
        <w:t xml:space="preserve">to, ka </w:t>
      </w:r>
      <w:r>
        <w:rPr>
          <w:rFonts w:asciiTheme="majorBidi" w:hAnsiTheme="majorBidi" w:cstheme="majorBidi"/>
          <w:shd w:val="clear" w:color="auto" w:fill="FFFFFF"/>
        </w:rPr>
        <w:t>pieteikum</w:t>
      </w:r>
      <w:r w:rsidR="002233DF">
        <w:rPr>
          <w:rFonts w:asciiTheme="majorBidi" w:hAnsiTheme="majorBidi" w:cstheme="majorBidi"/>
          <w:shd w:val="clear" w:color="auto" w:fill="FFFFFF"/>
        </w:rPr>
        <w:t xml:space="preserve">s </w:t>
      </w:r>
      <w:r w:rsidR="002233DF">
        <w:rPr>
          <w:rFonts w:asciiTheme="majorBidi" w:hAnsiTheme="majorBidi" w:cstheme="majorBidi"/>
          <w:shd w:val="clear" w:color="auto" w:fill="FFFFFF"/>
        </w:rPr>
        <w:lastRenderedPageBreak/>
        <w:t xml:space="preserve">nav </w:t>
      </w:r>
      <w:r>
        <w:rPr>
          <w:rFonts w:asciiTheme="majorBidi" w:hAnsiTheme="majorBidi" w:cstheme="majorBidi"/>
          <w:shd w:val="clear" w:color="auto" w:fill="FFFFFF"/>
        </w:rPr>
        <w:t>pieļaujam</w:t>
      </w:r>
      <w:r w:rsidR="002233DF">
        <w:rPr>
          <w:rFonts w:asciiTheme="majorBidi" w:hAnsiTheme="majorBidi" w:cstheme="majorBidi"/>
          <w:shd w:val="clear" w:color="auto" w:fill="FFFFFF"/>
        </w:rPr>
        <w:t>s.</w:t>
      </w:r>
      <w:r w:rsidR="00593EFA">
        <w:rPr>
          <w:rFonts w:asciiTheme="majorBidi" w:hAnsiTheme="majorBidi" w:cstheme="majorBidi"/>
          <w:shd w:val="clear" w:color="auto" w:fill="FFFFFF"/>
        </w:rPr>
        <w:t xml:space="preserve"> </w:t>
      </w:r>
      <w:r>
        <w:rPr>
          <w:rFonts w:asciiTheme="majorBidi" w:hAnsiTheme="majorBidi" w:cstheme="majorBidi"/>
          <w:shd w:val="clear" w:color="auto" w:fill="FFFFFF"/>
        </w:rPr>
        <w:t>Tas, vai pieteicējam ir tiesības iepazīties ar</w:t>
      </w:r>
      <w:r w:rsidR="002233DF">
        <w:rPr>
          <w:rFonts w:asciiTheme="majorBidi" w:hAnsiTheme="majorBidi" w:cstheme="majorBidi"/>
          <w:shd w:val="clear" w:color="auto" w:fill="FFFFFF"/>
        </w:rPr>
        <w:t xml:space="preserve"> sabiedrības</w:t>
      </w:r>
      <w:r>
        <w:rPr>
          <w:rFonts w:asciiTheme="majorBidi" w:hAnsiTheme="majorBidi" w:cstheme="majorBidi"/>
          <w:shd w:val="clear" w:color="auto" w:fill="FFFFFF"/>
        </w:rPr>
        <w:t xml:space="preserve"> reģistrācijas lietas materiāliem</w:t>
      </w:r>
      <w:r w:rsidR="002233DF">
        <w:rPr>
          <w:rFonts w:asciiTheme="majorBidi" w:hAnsiTheme="majorBidi" w:cstheme="majorBidi"/>
          <w:shd w:val="clear" w:color="auto" w:fill="FFFFFF"/>
        </w:rPr>
        <w:t xml:space="preserve"> klātienē</w:t>
      </w:r>
      <w:r>
        <w:rPr>
          <w:rFonts w:asciiTheme="majorBidi" w:hAnsiTheme="majorBidi" w:cstheme="majorBidi"/>
          <w:shd w:val="clear" w:color="auto" w:fill="FFFFFF"/>
        </w:rPr>
        <w:t xml:space="preserve">, ir </w:t>
      </w:r>
      <w:r w:rsidR="002233DF">
        <w:rPr>
          <w:rFonts w:asciiTheme="majorBidi" w:hAnsiTheme="majorBidi" w:cstheme="majorBidi"/>
          <w:shd w:val="clear" w:color="auto" w:fill="FFFFFF"/>
        </w:rPr>
        <w:t>izvērtējams</w:t>
      </w:r>
      <w:r>
        <w:rPr>
          <w:rFonts w:asciiTheme="majorBidi" w:hAnsiTheme="majorBidi" w:cstheme="majorBidi"/>
          <w:shd w:val="clear" w:color="auto" w:fill="FFFFFF"/>
        </w:rPr>
        <w:t>, izskatot lietu pēc būtības</w:t>
      </w:r>
      <w:r w:rsidR="00593EFA">
        <w:rPr>
          <w:rFonts w:asciiTheme="majorBidi" w:hAnsiTheme="majorBidi" w:cstheme="majorBidi"/>
          <w:shd w:val="clear" w:color="auto" w:fill="FFFFFF"/>
        </w:rPr>
        <w:t xml:space="preserve">. </w:t>
      </w:r>
    </w:p>
    <w:p w14:paraId="110F211C" w14:textId="77777777" w:rsidR="001D5BA9" w:rsidRDefault="001D5BA9" w:rsidP="003A6B35">
      <w:pPr>
        <w:spacing w:line="276" w:lineRule="auto"/>
        <w:ind w:firstLine="720"/>
        <w:jc w:val="both"/>
        <w:rPr>
          <w:rFonts w:asciiTheme="majorBidi" w:hAnsiTheme="majorBidi" w:cstheme="majorBidi"/>
          <w:shd w:val="clear" w:color="auto" w:fill="FFFFFF"/>
        </w:rPr>
      </w:pPr>
    </w:p>
    <w:p w14:paraId="15E5F99B" w14:textId="0F0E7438" w:rsidR="0076710F" w:rsidRDefault="001D5BA9" w:rsidP="003A6B35">
      <w:pPr>
        <w:spacing w:line="276" w:lineRule="auto"/>
        <w:ind w:firstLine="720"/>
        <w:jc w:val="both"/>
      </w:pPr>
      <w:r w:rsidRPr="0094390B">
        <w:rPr>
          <w:rFonts w:asciiTheme="majorBidi" w:hAnsiTheme="majorBidi" w:cstheme="majorBidi"/>
          <w:shd w:val="clear" w:color="auto" w:fill="FFFFFF"/>
        </w:rPr>
        <w:t>[</w:t>
      </w:r>
      <w:r w:rsidR="002233DF">
        <w:rPr>
          <w:rFonts w:asciiTheme="majorBidi" w:hAnsiTheme="majorBidi" w:cstheme="majorBidi"/>
          <w:shd w:val="clear" w:color="auto" w:fill="FFFFFF"/>
        </w:rPr>
        <w:t>7</w:t>
      </w:r>
      <w:r w:rsidRPr="0094390B">
        <w:rPr>
          <w:rFonts w:asciiTheme="majorBidi" w:hAnsiTheme="majorBidi" w:cstheme="majorBidi"/>
          <w:shd w:val="clear" w:color="auto" w:fill="FFFFFF"/>
        </w:rPr>
        <w:t>]</w:t>
      </w:r>
      <w:r w:rsidR="003E5B7D" w:rsidRPr="0094390B">
        <w:rPr>
          <w:rFonts w:asciiTheme="majorBidi" w:hAnsiTheme="majorBidi" w:cstheme="majorBidi"/>
          <w:shd w:val="clear" w:color="auto" w:fill="FFFFFF"/>
        </w:rPr>
        <w:t> </w:t>
      </w:r>
      <w:r w:rsidR="0076710F">
        <w:t>Ievērojot minēto, rajona tiesas tiesnesis nepamatoti atteic</w:t>
      </w:r>
      <w:r w:rsidR="00002DAD">
        <w:t>is</w:t>
      </w:r>
      <w:r w:rsidR="0076710F">
        <w:t xml:space="preserve"> pieņemt pieteikumu</w:t>
      </w:r>
      <w:r w:rsidR="00002DAD">
        <w:t xml:space="preserve">, un tas ir pamats lēmuma atcelšanai. </w:t>
      </w:r>
    </w:p>
    <w:p w14:paraId="182575B9" w14:textId="77777777" w:rsidR="0076710F" w:rsidRDefault="0076710F" w:rsidP="003A6B35">
      <w:pPr>
        <w:spacing w:line="276" w:lineRule="auto"/>
        <w:ind w:firstLine="720"/>
        <w:jc w:val="both"/>
      </w:pPr>
    </w:p>
    <w:p w14:paraId="5D4452C5" w14:textId="7EB3E679" w:rsidR="004D1717" w:rsidRDefault="0076710F" w:rsidP="003A6B35">
      <w:pPr>
        <w:spacing w:line="276" w:lineRule="auto"/>
        <w:ind w:firstLine="720"/>
        <w:jc w:val="both"/>
      </w:pPr>
      <w:r>
        <w:t>[8] Pieteicējs</w:t>
      </w:r>
      <w:r w:rsidR="0013300B">
        <w:t xml:space="preserve"> </w:t>
      </w:r>
      <w:r>
        <w:t>pieteikumā</w:t>
      </w:r>
      <w:r w:rsidR="0013300B">
        <w:t xml:space="preserve"> un</w:t>
      </w:r>
      <w:r>
        <w:t xml:space="preserve"> arī blakus sūdzībā lūdzis piemērot pagaidu noregulējumu</w:t>
      </w:r>
      <w:r w:rsidR="00AF47CD">
        <w:t>, uzliekot par pienākumu reģistram nodrošināt iespēju iepazīties ar sabiedrības reģistrācijas lietu klātienē.</w:t>
      </w:r>
    </w:p>
    <w:p w14:paraId="1B478C4F" w14:textId="7DFBD498" w:rsidR="0076710F" w:rsidRDefault="0076710F" w:rsidP="003A6B35">
      <w:pPr>
        <w:spacing w:line="276" w:lineRule="auto"/>
        <w:ind w:firstLine="720"/>
        <w:jc w:val="both"/>
        <w:rPr>
          <w:iCs/>
        </w:rPr>
      </w:pPr>
      <w:r>
        <w:t xml:space="preserve">Atbilstoši Administratīvā procesa likuma 195.panta trešajai daļai lūgumu par pagaidu noregulējumu iesniedz tās instances tiesai, </w:t>
      </w:r>
      <w:r w:rsidRPr="00105FC6">
        <w:rPr>
          <w:iCs/>
        </w:rPr>
        <w:t>kura izskata lietu.</w:t>
      </w:r>
    </w:p>
    <w:p w14:paraId="0E0A1796" w14:textId="2677D36F" w:rsidR="002233DF" w:rsidRDefault="00B74CAF" w:rsidP="003A6B35">
      <w:pPr>
        <w:spacing w:line="276" w:lineRule="auto"/>
        <w:ind w:firstLine="720"/>
        <w:jc w:val="both"/>
      </w:pPr>
      <w:r>
        <w:t xml:space="preserve">Lūgumu par </w:t>
      </w:r>
      <w:r w:rsidR="0013300B">
        <w:t>pagaidu noregulējuma</w:t>
      </w:r>
      <w:r>
        <w:t xml:space="preserve"> piemērošanu tiesa izskata tikai pēc tam, kad pieņemts lēmums par pieteikuma pieņemšanu un lietas ierosināšanu. Senāts šobrīd </w:t>
      </w:r>
      <w:r>
        <w:lastRenderedPageBreak/>
        <w:t>nav tā tiesa, kura izskata lietu minētās tiesību normas izpratnē (</w:t>
      </w:r>
      <w:r w:rsidRPr="002233DF">
        <w:t>s</w:t>
      </w:r>
      <w:r w:rsidR="002233DF" w:rsidRPr="002233DF">
        <w:t>al.</w:t>
      </w:r>
      <w:r w:rsidR="002233DF">
        <w:rPr>
          <w:i/>
          <w:iCs/>
        </w:rPr>
        <w:t> </w:t>
      </w:r>
      <w:r w:rsidRPr="00B74CAF">
        <w:rPr>
          <w:i/>
          <w:iCs/>
        </w:rPr>
        <w:t>Senāta 2010.gada 14.aprīļa lēmuma lietā Nr.</w:t>
      </w:r>
      <w:r w:rsidR="00C13D7A">
        <w:rPr>
          <w:i/>
          <w:iCs/>
        </w:rPr>
        <w:t> </w:t>
      </w:r>
      <w:r w:rsidRPr="00B74CAF">
        <w:rPr>
          <w:i/>
          <w:iCs/>
        </w:rPr>
        <w:t>SKA-364/2010 14.punkt</w:t>
      </w:r>
      <w:r w:rsidR="002233DF">
        <w:rPr>
          <w:i/>
          <w:iCs/>
        </w:rPr>
        <w:t>s</w:t>
      </w:r>
      <w:r>
        <w:t xml:space="preserve">). </w:t>
      </w:r>
      <w:r w:rsidR="0013300B">
        <w:t>Līdz ar to rajona tiesai pēc</w:t>
      </w:r>
      <w:r w:rsidR="008E7F02">
        <w:t xml:space="preserve"> </w:t>
      </w:r>
      <w:r w:rsidR="0013300B">
        <w:t xml:space="preserve">lietas ierosināšanas </w:t>
      </w:r>
      <w:r w:rsidR="00B91D64">
        <w:t>būs</w:t>
      </w:r>
      <w:r w:rsidR="0013300B">
        <w:t xml:space="preserve"> pamats lemt par minētā lūguma virzību.</w:t>
      </w:r>
    </w:p>
    <w:p w14:paraId="3CCCACAD" w14:textId="77777777" w:rsidR="009B4BE8" w:rsidRDefault="009B4BE8" w:rsidP="003A6B35">
      <w:pPr>
        <w:spacing w:line="276" w:lineRule="auto"/>
        <w:ind w:firstLine="720"/>
        <w:jc w:val="both"/>
      </w:pPr>
    </w:p>
    <w:p w14:paraId="10E76985" w14:textId="77777777" w:rsidR="008E7F02" w:rsidRDefault="008E7F02" w:rsidP="003A6B35">
      <w:pPr>
        <w:spacing w:line="276" w:lineRule="auto"/>
        <w:ind w:firstLine="720"/>
        <w:jc w:val="both"/>
      </w:pPr>
    </w:p>
    <w:p w14:paraId="3C249906" w14:textId="77777777" w:rsidR="009B4BE8" w:rsidRDefault="009B4BE8" w:rsidP="003A6B35">
      <w:pPr>
        <w:shd w:val="clear" w:color="auto" w:fill="FFFFFF"/>
        <w:spacing w:line="276" w:lineRule="auto"/>
        <w:jc w:val="center"/>
        <w:rPr>
          <w:b/>
        </w:rPr>
      </w:pPr>
      <w:r w:rsidRPr="00847F44">
        <w:rPr>
          <w:b/>
        </w:rPr>
        <w:t>Rezolutīvā daļa</w:t>
      </w:r>
    </w:p>
    <w:p w14:paraId="630F4774" w14:textId="77777777" w:rsidR="009B4BE8" w:rsidRPr="00847F44" w:rsidRDefault="009B4BE8" w:rsidP="003A6B35">
      <w:pPr>
        <w:shd w:val="clear" w:color="auto" w:fill="FFFFFF"/>
        <w:spacing w:line="276" w:lineRule="auto"/>
        <w:rPr>
          <w:b/>
        </w:rPr>
      </w:pPr>
    </w:p>
    <w:p w14:paraId="5C3529E5" w14:textId="5D6E184A" w:rsidR="009B4BE8" w:rsidRDefault="009B4BE8" w:rsidP="003A6B35">
      <w:pPr>
        <w:shd w:val="clear" w:color="auto" w:fill="FFFFFF"/>
        <w:spacing w:line="276" w:lineRule="auto"/>
        <w:ind w:firstLine="720"/>
        <w:jc w:val="both"/>
      </w:pPr>
      <w:r w:rsidRPr="00525618">
        <w:t>Pamatojoties uz Administratīvā procesa likuma 129.</w:t>
      </w:r>
      <w:r w:rsidRPr="0031747F">
        <w:rPr>
          <w:vertAlign w:val="superscript"/>
        </w:rPr>
        <w:t>1</w:t>
      </w:r>
      <w:r w:rsidRPr="00525618">
        <w:t>panta pirmās daļas 1.punktu, 323.panta pirmās daļas 2.punktu un 324.panta pirmo daļu, Senāts</w:t>
      </w:r>
    </w:p>
    <w:p w14:paraId="7E952096" w14:textId="77777777" w:rsidR="009B4BE8" w:rsidRPr="003851B6" w:rsidRDefault="009B4BE8" w:rsidP="003A6B35">
      <w:pPr>
        <w:shd w:val="clear" w:color="auto" w:fill="FFFFFF"/>
        <w:spacing w:line="276" w:lineRule="auto"/>
        <w:ind w:firstLine="720"/>
        <w:jc w:val="both"/>
      </w:pPr>
    </w:p>
    <w:p w14:paraId="3A1017FF" w14:textId="77777777" w:rsidR="009B4BE8" w:rsidRDefault="009B4BE8" w:rsidP="003A6B35">
      <w:pPr>
        <w:shd w:val="clear" w:color="auto" w:fill="FFFFFF"/>
        <w:spacing w:line="276" w:lineRule="auto"/>
        <w:jc w:val="center"/>
        <w:rPr>
          <w:b/>
        </w:rPr>
      </w:pPr>
      <w:r w:rsidRPr="00A53E41">
        <w:rPr>
          <w:b/>
        </w:rPr>
        <w:t>no</w:t>
      </w:r>
      <w:r>
        <w:rPr>
          <w:b/>
        </w:rPr>
        <w:t>lēma</w:t>
      </w:r>
    </w:p>
    <w:p w14:paraId="16757512" w14:textId="77777777" w:rsidR="009B4BE8" w:rsidRPr="00A53E41" w:rsidRDefault="009B4BE8" w:rsidP="003A6B35">
      <w:pPr>
        <w:shd w:val="clear" w:color="auto" w:fill="FFFFFF"/>
        <w:spacing w:line="276" w:lineRule="auto"/>
        <w:rPr>
          <w:b/>
        </w:rPr>
      </w:pPr>
    </w:p>
    <w:p w14:paraId="3318E871" w14:textId="1D0C3F10" w:rsidR="009B4BE8" w:rsidRDefault="009B4BE8" w:rsidP="003A6B35">
      <w:pPr>
        <w:spacing w:line="276" w:lineRule="auto"/>
        <w:ind w:firstLine="709"/>
      </w:pPr>
      <w:r>
        <w:lastRenderedPageBreak/>
        <w:t>atcelt Administratīvās rajona tiesas tiesneša 2023.gada 7.marta</w:t>
      </w:r>
      <w:r w:rsidRPr="00525618">
        <w:t xml:space="preserve"> </w:t>
      </w:r>
      <w:r>
        <w:t>lēmumu un nodot jautājumu par pieteikuma virzību jaunai izskatīšanai Administratīvajai rajona tiesai;</w:t>
      </w:r>
    </w:p>
    <w:p w14:paraId="5D99F3AB" w14:textId="5E2C0D0A" w:rsidR="009B4BE8" w:rsidRDefault="009B4BE8" w:rsidP="003A6B35">
      <w:pPr>
        <w:spacing w:line="276" w:lineRule="auto"/>
        <w:ind w:firstLine="709"/>
        <w:jc w:val="both"/>
      </w:pPr>
      <w:r w:rsidRPr="00D67DB2">
        <w:t xml:space="preserve">atmaksāt </w:t>
      </w:r>
      <w:r>
        <w:t>Jānim Tiesniekam</w:t>
      </w:r>
      <w:r w:rsidRPr="00D67DB2">
        <w:t xml:space="preserve"> drošības naudu 15 </w:t>
      </w:r>
      <w:r w:rsidRPr="00D67DB2">
        <w:rPr>
          <w:i/>
          <w:iCs/>
        </w:rPr>
        <w:t>euro</w:t>
      </w:r>
      <w:r w:rsidRPr="00D67DB2">
        <w:t>.</w:t>
      </w:r>
    </w:p>
    <w:p w14:paraId="7625BEEF" w14:textId="77777777" w:rsidR="009B4BE8" w:rsidRDefault="009B4BE8" w:rsidP="003A6B35">
      <w:pPr>
        <w:spacing w:line="276" w:lineRule="auto"/>
        <w:ind w:firstLine="709"/>
      </w:pPr>
    </w:p>
    <w:p w14:paraId="211AD288" w14:textId="77777777" w:rsidR="009B4BE8" w:rsidRDefault="009B4BE8" w:rsidP="003A6B35">
      <w:pPr>
        <w:spacing w:line="276" w:lineRule="auto"/>
        <w:ind w:firstLine="709"/>
      </w:pPr>
      <w:r>
        <w:t>Lēmums nav pārsūdzams.</w:t>
      </w:r>
    </w:p>
    <w:p w14:paraId="1D0B810D" w14:textId="77777777" w:rsidR="009B4BE8" w:rsidRDefault="009B4BE8" w:rsidP="009B4BE8">
      <w:pPr>
        <w:spacing w:line="276" w:lineRule="auto"/>
        <w:ind w:firstLine="709"/>
      </w:pPr>
    </w:p>
    <w:p w14:paraId="24DFBC3E" w14:textId="20AECC4E" w:rsidR="004A10F0" w:rsidRDefault="004A10F0" w:rsidP="00B74CAF">
      <w:pPr>
        <w:spacing w:line="276" w:lineRule="auto"/>
        <w:ind w:firstLine="720"/>
        <w:jc w:val="both"/>
      </w:pPr>
    </w:p>
    <w:sectPr w:rsidR="004A10F0" w:rsidSect="00D74212">
      <w:footerReference w:type="default" r:id="rId10"/>
      <w:pgSz w:w="11906" w:h="16838" w:code="9"/>
      <w:pgMar w:top="1162" w:right="1701" w:bottom="116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9E3F0" w14:textId="77777777" w:rsidR="00194EF4" w:rsidRDefault="00194EF4">
      <w:r>
        <w:separator/>
      </w:r>
    </w:p>
  </w:endnote>
  <w:endnote w:type="continuationSeparator" w:id="0">
    <w:p w14:paraId="7A97E309" w14:textId="77777777" w:rsidR="00194EF4" w:rsidRDefault="0019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0B34D" w14:textId="03B263CF" w:rsidR="00C2172A" w:rsidRPr="00B147BF" w:rsidRDefault="00C84288" w:rsidP="00F43FAD">
    <w:pPr>
      <w:pStyle w:val="Footer"/>
      <w:tabs>
        <w:tab w:val="clear" w:pos="4153"/>
        <w:tab w:val="clear" w:pos="8306"/>
      </w:tabs>
      <w:jc w:val="center"/>
      <w:rPr>
        <w:sz w:val="20"/>
        <w:szCs w:val="20"/>
      </w:rPr>
    </w:pPr>
    <w:r w:rsidRPr="00B147BF">
      <w:rPr>
        <w:rStyle w:val="PageNumber"/>
        <w:sz w:val="20"/>
        <w:szCs w:val="20"/>
      </w:rPr>
      <w:fldChar w:fldCharType="begin"/>
    </w:r>
    <w:r w:rsidRPr="00B147BF">
      <w:rPr>
        <w:rStyle w:val="PageNumber"/>
        <w:sz w:val="20"/>
        <w:szCs w:val="20"/>
      </w:rPr>
      <w:instrText xml:space="preserve">PAGE  </w:instrText>
    </w:r>
    <w:r w:rsidRPr="00B147BF">
      <w:rPr>
        <w:rStyle w:val="PageNumber"/>
        <w:sz w:val="20"/>
        <w:szCs w:val="20"/>
      </w:rPr>
      <w:fldChar w:fldCharType="separate"/>
    </w:r>
    <w:r w:rsidR="00F700B2">
      <w:rPr>
        <w:rStyle w:val="PageNumber"/>
        <w:noProof/>
        <w:sz w:val="20"/>
        <w:szCs w:val="20"/>
      </w:rPr>
      <w:t>2</w:t>
    </w:r>
    <w:r w:rsidRPr="00B147BF">
      <w:rPr>
        <w:rStyle w:val="PageNumber"/>
        <w:sz w:val="20"/>
        <w:szCs w:val="20"/>
      </w:rPr>
      <w:fldChar w:fldCharType="end"/>
    </w:r>
    <w:r w:rsidRPr="00B147BF">
      <w:rPr>
        <w:rStyle w:val="PageNumber"/>
        <w:sz w:val="20"/>
        <w:szCs w:val="20"/>
      </w:rPr>
      <w:t xml:space="preserve"> no </w:t>
    </w:r>
    <w:r w:rsidRPr="00B147BF">
      <w:rPr>
        <w:rStyle w:val="PageNumber"/>
        <w:noProof/>
        <w:sz w:val="20"/>
        <w:szCs w:val="20"/>
      </w:rPr>
      <w:fldChar w:fldCharType="begin"/>
    </w:r>
    <w:r w:rsidRPr="00B147BF">
      <w:rPr>
        <w:rStyle w:val="PageNumber"/>
        <w:noProof/>
        <w:sz w:val="20"/>
        <w:szCs w:val="20"/>
      </w:rPr>
      <w:instrText xml:space="preserve"> SECTIONPAGES   \* MERGEFORMAT </w:instrText>
    </w:r>
    <w:r w:rsidRPr="00B147BF">
      <w:rPr>
        <w:rStyle w:val="PageNumber"/>
        <w:noProof/>
        <w:sz w:val="20"/>
        <w:szCs w:val="20"/>
      </w:rPr>
      <w:fldChar w:fldCharType="separate"/>
    </w:r>
    <w:r w:rsidR="00F700B2">
      <w:rPr>
        <w:rStyle w:val="PageNumber"/>
        <w:noProof/>
        <w:sz w:val="20"/>
        <w:szCs w:val="20"/>
      </w:rPr>
      <w:t>4</w:t>
    </w:r>
    <w:r w:rsidRPr="00B147BF">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4C62F" w14:textId="77777777" w:rsidR="00194EF4" w:rsidRDefault="00194EF4">
      <w:r>
        <w:separator/>
      </w:r>
    </w:p>
  </w:footnote>
  <w:footnote w:type="continuationSeparator" w:id="0">
    <w:p w14:paraId="2285DAC7" w14:textId="77777777" w:rsidR="00194EF4" w:rsidRDefault="00194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36DDE"/>
    <w:multiLevelType w:val="multilevel"/>
    <w:tmpl w:val="3C3C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EE"/>
    <w:rsid w:val="00002DAD"/>
    <w:rsid w:val="000120F3"/>
    <w:rsid w:val="00015F07"/>
    <w:rsid w:val="00021D58"/>
    <w:rsid w:val="00031A91"/>
    <w:rsid w:val="00035799"/>
    <w:rsid w:val="000359B9"/>
    <w:rsid w:val="00045689"/>
    <w:rsid w:val="00061868"/>
    <w:rsid w:val="00062A82"/>
    <w:rsid w:val="00084C2B"/>
    <w:rsid w:val="00085EF1"/>
    <w:rsid w:val="000A1A7B"/>
    <w:rsid w:val="000A5974"/>
    <w:rsid w:val="000A724B"/>
    <w:rsid w:val="000D45DF"/>
    <w:rsid w:val="00100D3B"/>
    <w:rsid w:val="00103611"/>
    <w:rsid w:val="00105FC6"/>
    <w:rsid w:val="0013300B"/>
    <w:rsid w:val="00133707"/>
    <w:rsid w:val="0014306D"/>
    <w:rsid w:val="0015196D"/>
    <w:rsid w:val="00161DC1"/>
    <w:rsid w:val="00174349"/>
    <w:rsid w:val="00194EF4"/>
    <w:rsid w:val="001B5945"/>
    <w:rsid w:val="001D5BA9"/>
    <w:rsid w:val="001F5B84"/>
    <w:rsid w:val="002213D9"/>
    <w:rsid w:val="002233DF"/>
    <w:rsid w:val="002571BD"/>
    <w:rsid w:val="00262204"/>
    <w:rsid w:val="0027273E"/>
    <w:rsid w:val="00290F0B"/>
    <w:rsid w:val="002A131A"/>
    <w:rsid w:val="002A6869"/>
    <w:rsid w:val="002B550A"/>
    <w:rsid w:val="002D7550"/>
    <w:rsid w:val="002F3B63"/>
    <w:rsid w:val="002F4661"/>
    <w:rsid w:val="002F4967"/>
    <w:rsid w:val="00300C63"/>
    <w:rsid w:val="003053CE"/>
    <w:rsid w:val="00323D7F"/>
    <w:rsid w:val="003544FD"/>
    <w:rsid w:val="00354C26"/>
    <w:rsid w:val="003676EB"/>
    <w:rsid w:val="003832E9"/>
    <w:rsid w:val="00384AC9"/>
    <w:rsid w:val="0038616D"/>
    <w:rsid w:val="003906A5"/>
    <w:rsid w:val="00391DB8"/>
    <w:rsid w:val="0039625E"/>
    <w:rsid w:val="003A6B35"/>
    <w:rsid w:val="003B17C6"/>
    <w:rsid w:val="003B3133"/>
    <w:rsid w:val="003C41EB"/>
    <w:rsid w:val="003D3145"/>
    <w:rsid w:val="003D46FC"/>
    <w:rsid w:val="003D53C1"/>
    <w:rsid w:val="003D754B"/>
    <w:rsid w:val="003E2C97"/>
    <w:rsid w:val="003E5B7D"/>
    <w:rsid w:val="003E77CD"/>
    <w:rsid w:val="003F372A"/>
    <w:rsid w:val="004005C7"/>
    <w:rsid w:val="00404FC5"/>
    <w:rsid w:val="00423C6A"/>
    <w:rsid w:val="00431FEF"/>
    <w:rsid w:val="00450BDE"/>
    <w:rsid w:val="00453A56"/>
    <w:rsid w:val="0045497F"/>
    <w:rsid w:val="004566FC"/>
    <w:rsid w:val="00461F87"/>
    <w:rsid w:val="00464F77"/>
    <w:rsid w:val="00470220"/>
    <w:rsid w:val="004738EE"/>
    <w:rsid w:val="00476731"/>
    <w:rsid w:val="00481246"/>
    <w:rsid w:val="004A10F0"/>
    <w:rsid w:val="004A2D7D"/>
    <w:rsid w:val="004B4CF2"/>
    <w:rsid w:val="004C4165"/>
    <w:rsid w:val="004C6066"/>
    <w:rsid w:val="004D0253"/>
    <w:rsid w:val="004D1202"/>
    <w:rsid w:val="004D1717"/>
    <w:rsid w:val="004E036C"/>
    <w:rsid w:val="004E5073"/>
    <w:rsid w:val="004F4943"/>
    <w:rsid w:val="004F4C4E"/>
    <w:rsid w:val="004F7711"/>
    <w:rsid w:val="00510116"/>
    <w:rsid w:val="0051587B"/>
    <w:rsid w:val="0052450F"/>
    <w:rsid w:val="005341BE"/>
    <w:rsid w:val="00540239"/>
    <w:rsid w:val="00545E7C"/>
    <w:rsid w:val="00553BA3"/>
    <w:rsid w:val="00570C27"/>
    <w:rsid w:val="00570CFC"/>
    <w:rsid w:val="00571E81"/>
    <w:rsid w:val="00580CC7"/>
    <w:rsid w:val="005867D0"/>
    <w:rsid w:val="00593EFA"/>
    <w:rsid w:val="0059615C"/>
    <w:rsid w:val="005B6AE1"/>
    <w:rsid w:val="005C3853"/>
    <w:rsid w:val="005C74F3"/>
    <w:rsid w:val="005E262B"/>
    <w:rsid w:val="00604FAF"/>
    <w:rsid w:val="006270E2"/>
    <w:rsid w:val="00675A71"/>
    <w:rsid w:val="006A0911"/>
    <w:rsid w:val="006B63EF"/>
    <w:rsid w:val="006F313A"/>
    <w:rsid w:val="006F7A5F"/>
    <w:rsid w:val="007465FB"/>
    <w:rsid w:val="0076710F"/>
    <w:rsid w:val="00770C0F"/>
    <w:rsid w:val="00776005"/>
    <w:rsid w:val="007924F7"/>
    <w:rsid w:val="007A4E92"/>
    <w:rsid w:val="007B4480"/>
    <w:rsid w:val="007C041E"/>
    <w:rsid w:val="007D208F"/>
    <w:rsid w:val="007D2330"/>
    <w:rsid w:val="008165B2"/>
    <w:rsid w:val="00826413"/>
    <w:rsid w:val="0084357D"/>
    <w:rsid w:val="00852B26"/>
    <w:rsid w:val="00891A56"/>
    <w:rsid w:val="008A080B"/>
    <w:rsid w:val="008B617D"/>
    <w:rsid w:val="008D192A"/>
    <w:rsid w:val="008D7CFB"/>
    <w:rsid w:val="008E7087"/>
    <w:rsid w:val="008E7F02"/>
    <w:rsid w:val="00904568"/>
    <w:rsid w:val="009216A4"/>
    <w:rsid w:val="00921D8B"/>
    <w:rsid w:val="00924F51"/>
    <w:rsid w:val="0094390B"/>
    <w:rsid w:val="00945D77"/>
    <w:rsid w:val="0096535F"/>
    <w:rsid w:val="00970F52"/>
    <w:rsid w:val="009750A6"/>
    <w:rsid w:val="00990C93"/>
    <w:rsid w:val="00997C33"/>
    <w:rsid w:val="009A15EE"/>
    <w:rsid w:val="009B4BE8"/>
    <w:rsid w:val="009D5622"/>
    <w:rsid w:val="009F178C"/>
    <w:rsid w:val="00A0720F"/>
    <w:rsid w:val="00A13185"/>
    <w:rsid w:val="00A21B57"/>
    <w:rsid w:val="00A23236"/>
    <w:rsid w:val="00A37CDD"/>
    <w:rsid w:val="00A45F93"/>
    <w:rsid w:val="00A71215"/>
    <w:rsid w:val="00A71C9A"/>
    <w:rsid w:val="00A764EB"/>
    <w:rsid w:val="00A91C9B"/>
    <w:rsid w:val="00AA003F"/>
    <w:rsid w:val="00AA163F"/>
    <w:rsid w:val="00AF47CD"/>
    <w:rsid w:val="00B0483F"/>
    <w:rsid w:val="00B147BF"/>
    <w:rsid w:val="00B170F6"/>
    <w:rsid w:val="00B30E1A"/>
    <w:rsid w:val="00B31BE6"/>
    <w:rsid w:val="00B53591"/>
    <w:rsid w:val="00B62623"/>
    <w:rsid w:val="00B63FB0"/>
    <w:rsid w:val="00B74CAF"/>
    <w:rsid w:val="00B84DD0"/>
    <w:rsid w:val="00B877D4"/>
    <w:rsid w:val="00B91D64"/>
    <w:rsid w:val="00B924BF"/>
    <w:rsid w:val="00BA0703"/>
    <w:rsid w:val="00BB4FEE"/>
    <w:rsid w:val="00BB7677"/>
    <w:rsid w:val="00BD7F7B"/>
    <w:rsid w:val="00C067EB"/>
    <w:rsid w:val="00C11FF1"/>
    <w:rsid w:val="00C13D7A"/>
    <w:rsid w:val="00C14CDC"/>
    <w:rsid w:val="00C244D9"/>
    <w:rsid w:val="00C30247"/>
    <w:rsid w:val="00C41E77"/>
    <w:rsid w:val="00C5440C"/>
    <w:rsid w:val="00C72757"/>
    <w:rsid w:val="00C83AAE"/>
    <w:rsid w:val="00C84288"/>
    <w:rsid w:val="00C859B5"/>
    <w:rsid w:val="00C97392"/>
    <w:rsid w:val="00C97963"/>
    <w:rsid w:val="00CA0D68"/>
    <w:rsid w:val="00CB052D"/>
    <w:rsid w:val="00CB4C2E"/>
    <w:rsid w:val="00CC2A90"/>
    <w:rsid w:val="00CC31C9"/>
    <w:rsid w:val="00CD1315"/>
    <w:rsid w:val="00CD5A1C"/>
    <w:rsid w:val="00CE27F4"/>
    <w:rsid w:val="00CE29C2"/>
    <w:rsid w:val="00CF4FF2"/>
    <w:rsid w:val="00D653A9"/>
    <w:rsid w:val="00D71906"/>
    <w:rsid w:val="00D74212"/>
    <w:rsid w:val="00D80C7A"/>
    <w:rsid w:val="00D960BD"/>
    <w:rsid w:val="00DB1EC7"/>
    <w:rsid w:val="00DB28D1"/>
    <w:rsid w:val="00DB3F32"/>
    <w:rsid w:val="00DB5B20"/>
    <w:rsid w:val="00DE1343"/>
    <w:rsid w:val="00DE797F"/>
    <w:rsid w:val="00DE7F38"/>
    <w:rsid w:val="00DF1E3D"/>
    <w:rsid w:val="00DF2107"/>
    <w:rsid w:val="00E05FC6"/>
    <w:rsid w:val="00E21E8F"/>
    <w:rsid w:val="00E40E4E"/>
    <w:rsid w:val="00E54874"/>
    <w:rsid w:val="00E603E4"/>
    <w:rsid w:val="00E62FBE"/>
    <w:rsid w:val="00E75D6A"/>
    <w:rsid w:val="00E84C5F"/>
    <w:rsid w:val="00E865B9"/>
    <w:rsid w:val="00E9058C"/>
    <w:rsid w:val="00EA6CCE"/>
    <w:rsid w:val="00EB43D1"/>
    <w:rsid w:val="00ED74C5"/>
    <w:rsid w:val="00EE6ADB"/>
    <w:rsid w:val="00F10353"/>
    <w:rsid w:val="00F1307F"/>
    <w:rsid w:val="00F33CE8"/>
    <w:rsid w:val="00F47C83"/>
    <w:rsid w:val="00F5011B"/>
    <w:rsid w:val="00F50F3E"/>
    <w:rsid w:val="00F511C0"/>
    <w:rsid w:val="00F5501D"/>
    <w:rsid w:val="00F56E33"/>
    <w:rsid w:val="00F649E8"/>
    <w:rsid w:val="00F700B2"/>
    <w:rsid w:val="00F76F6A"/>
    <w:rsid w:val="00F91426"/>
    <w:rsid w:val="00FB729B"/>
    <w:rsid w:val="00FD5710"/>
    <w:rsid w:val="00FF6A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EE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FEE"/>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link w:val="Heading2Char"/>
    <w:uiPriority w:val="9"/>
    <w:qFormat/>
    <w:rsid w:val="00002DAD"/>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4FEE"/>
    <w:pPr>
      <w:tabs>
        <w:tab w:val="center" w:pos="4320"/>
        <w:tab w:val="right" w:pos="8640"/>
      </w:tabs>
    </w:pPr>
    <w:rPr>
      <w:lang w:val="x-none"/>
    </w:rPr>
  </w:style>
  <w:style w:type="character" w:customStyle="1" w:styleId="HeaderChar">
    <w:name w:val="Header Char"/>
    <w:basedOn w:val="DefaultParagraphFont"/>
    <w:link w:val="Header"/>
    <w:rsid w:val="00BB4FEE"/>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BB4FEE"/>
    <w:pPr>
      <w:spacing w:after="120" w:line="480" w:lineRule="auto"/>
    </w:pPr>
    <w:rPr>
      <w:lang w:val="x-none"/>
    </w:rPr>
  </w:style>
  <w:style w:type="character" w:customStyle="1" w:styleId="BodyText2Char">
    <w:name w:val="Body Text 2 Char"/>
    <w:basedOn w:val="DefaultParagraphFont"/>
    <w:link w:val="BodyText2"/>
    <w:rsid w:val="00BB4FEE"/>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BB4FEE"/>
    <w:pPr>
      <w:tabs>
        <w:tab w:val="center" w:pos="4153"/>
        <w:tab w:val="right" w:pos="8306"/>
      </w:tabs>
    </w:pPr>
  </w:style>
  <w:style w:type="character" w:customStyle="1" w:styleId="FooterChar">
    <w:name w:val="Footer Char"/>
    <w:basedOn w:val="DefaultParagraphFont"/>
    <w:link w:val="Footer"/>
    <w:rsid w:val="00BB4FEE"/>
    <w:rPr>
      <w:rFonts w:ascii="Times New Roman" w:eastAsia="Times New Roman" w:hAnsi="Times New Roman" w:cs="Times New Roman"/>
      <w:sz w:val="24"/>
      <w:szCs w:val="24"/>
      <w:lang w:eastAsia="ru-RU"/>
    </w:rPr>
  </w:style>
  <w:style w:type="character" w:styleId="PageNumber">
    <w:name w:val="page number"/>
    <w:basedOn w:val="DefaultParagraphFont"/>
    <w:rsid w:val="00BB4FEE"/>
  </w:style>
  <w:style w:type="character" w:styleId="Hyperlink">
    <w:name w:val="Hyperlink"/>
    <w:basedOn w:val="DefaultParagraphFont"/>
    <w:uiPriority w:val="99"/>
    <w:unhideWhenUsed/>
    <w:rsid w:val="00BB4FEE"/>
    <w:rPr>
      <w:color w:val="0000FF"/>
      <w:u w:val="single"/>
    </w:rPr>
  </w:style>
  <w:style w:type="paragraph" w:customStyle="1" w:styleId="Default">
    <w:name w:val="Default"/>
    <w:rsid w:val="00BB4FE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675A71"/>
    <w:pPr>
      <w:spacing w:before="75" w:after="75"/>
    </w:pPr>
    <w:rPr>
      <w:lang w:val="en-US" w:eastAsia="en-US"/>
    </w:rPr>
  </w:style>
  <w:style w:type="paragraph" w:customStyle="1" w:styleId="tv213">
    <w:name w:val="tv213"/>
    <w:basedOn w:val="Normal"/>
    <w:rsid w:val="005C3853"/>
    <w:pPr>
      <w:spacing w:before="100" w:beforeAutospacing="1" w:after="100" w:afterAutospacing="1"/>
    </w:pPr>
    <w:rPr>
      <w:lang w:eastAsia="lv-LV"/>
    </w:rPr>
  </w:style>
  <w:style w:type="character" w:styleId="CommentReference">
    <w:name w:val="annotation reference"/>
    <w:semiHidden/>
    <w:rsid w:val="00E84C5F"/>
    <w:rPr>
      <w:sz w:val="16"/>
      <w:szCs w:val="16"/>
    </w:rPr>
  </w:style>
  <w:style w:type="paragraph" w:styleId="CommentText">
    <w:name w:val="annotation text"/>
    <w:basedOn w:val="Normal"/>
    <w:link w:val="CommentTextChar"/>
    <w:uiPriority w:val="99"/>
    <w:semiHidden/>
    <w:unhideWhenUsed/>
    <w:rsid w:val="00300C63"/>
    <w:rPr>
      <w:sz w:val="20"/>
      <w:szCs w:val="20"/>
    </w:rPr>
  </w:style>
  <w:style w:type="character" w:customStyle="1" w:styleId="CommentTextChar">
    <w:name w:val="Comment Text Char"/>
    <w:basedOn w:val="DefaultParagraphFont"/>
    <w:link w:val="CommentText"/>
    <w:uiPriority w:val="99"/>
    <w:semiHidden/>
    <w:rsid w:val="00300C63"/>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00C63"/>
    <w:rPr>
      <w:b/>
      <w:bCs/>
    </w:rPr>
  </w:style>
  <w:style w:type="character" w:customStyle="1" w:styleId="CommentSubjectChar">
    <w:name w:val="Comment Subject Char"/>
    <w:basedOn w:val="CommentTextChar"/>
    <w:link w:val="CommentSubject"/>
    <w:uiPriority w:val="99"/>
    <w:semiHidden/>
    <w:rsid w:val="00300C63"/>
    <w:rPr>
      <w:rFonts w:ascii="Times New Roman" w:eastAsia="Times New Roman" w:hAnsi="Times New Roman" w:cs="Times New Roman"/>
      <w:b/>
      <w:bCs/>
      <w:sz w:val="20"/>
      <w:szCs w:val="20"/>
      <w:lang w:eastAsia="ru-RU"/>
    </w:rPr>
  </w:style>
  <w:style w:type="paragraph" w:styleId="Revision">
    <w:name w:val="Revision"/>
    <w:hidden/>
    <w:uiPriority w:val="99"/>
    <w:semiHidden/>
    <w:rsid w:val="00571E81"/>
    <w:pPr>
      <w:spacing w:after="0"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DefaultParagraphFont"/>
    <w:uiPriority w:val="99"/>
    <w:semiHidden/>
    <w:unhideWhenUsed/>
    <w:rsid w:val="00DF2107"/>
    <w:rPr>
      <w:color w:val="605E5C"/>
      <w:shd w:val="clear" w:color="auto" w:fill="E1DFDD"/>
    </w:rPr>
  </w:style>
  <w:style w:type="character" w:customStyle="1" w:styleId="Heading2Char">
    <w:name w:val="Heading 2 Char"/>
    <w:basedOn w:val="DefaultParagraphFont"/>
    <w:link w:val="Heading2"/>
    <w:uiPriority w:val="9"/>
    <w:rsid w:val="00002DAD"/>
    <w:rPr>
      <w:rFonts w:ascii="Times New Roman" w:eastAsia="Times New Roman" w:hAnsi="Times New Roman" w:cs="Times New Roman"/>
      <w:b/>
      <w:bCs/>
      <w:sz w:val="36"/>
      <w:szCs w:val="36"/>
      <w:lang w:eastAsia="lv-LV"/>
    </w:rPr>
  </w:style>
  <w:style w:type="character" w:styleId="Strong">
    <w:name w:val="Strong"/>
    <w:basedOn w:val="DefaultParagraphFont"/>
    <w:uiPriority w:val="22"/>
    <w:qFormat/>
    <w:rsid w:val="00002DAD"/>
    <w:rPr>
      <w:b/>
      <w:bCs/>
    </w:rPr>
  </w:style>
  <w:style w:type="character" w:customStyle="1" w:styleId="cmcaret">
    <w:name w:val="cmcaret"/>
    <w:basedOn w:val="DefaultParagraphFont"/>
    <w:rsid w:val="00002DAD"/>
  </w:style>
  <w:style w:type="table" w:styleId="TableGrid">
    <w:name w:val="Table Grid"/>
    <w:basedOn w:val="TableNormal"/>
    <w:rsid w:val="009B4BE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452">
      <w:bodyDiv w:val="1"/>
      <w:marLeft w:val="0"/>
      <w:marRight w:val="0"/>
      <w:marTop w:val="0"/>
      <w:marBottom w:val="0"/>
      <w:divBdr>
        <w:top w:val="none" w:sz="0" w:space="0" w:color="auto"/>
        <w:left w:val="none" w:sz="0" w:space="0" w:color="auto"/>
        <w:bottom w:val="none" w:sz="0" w:space="0" w:color="auto"/>
        <w:right w:val="none" w:sz="0" w:space="0" w:color="auto"/>
      </w:divBdr>
    </w:div>
    <w:div w:id="138112637">
      <w:bodyDiv w:val="1"/>
      <w:marLeft w:val="0"/>
      <w:marRight w:val="0"/>
      <w:marTop w:val="0"/>
      <w:marBottom w:val="0"/>
      <w:divBdr>
        <w:top w:val="none" w:sz="0" w:space="0" w:color="auto"/>
        <w:left w:val="none" w:sz="0" w:space="0" w:color="auto"/>
        <w:bottom w:val="none" w:sz="0" w:space="0" w:color="auto"/>
        <w:right w:val="none" w:sz="0" w:space="0" w:color="auto"/>
      </w:divBdr>
    </w:div>
    <w:div w:id="242876682">
      <w:bodyDiv w:val="1"/>
      <w:marLeft w:val="0"/>
      <w:marRight w:val="0"/>
      <w:marTop w:val="0"/>
      <w:marBottom w:val="0"/>
      <w:divBdr>
        <w:top w:val="none" w:sz="0" w:space="0" w:color="auto"/>
        <w:left w:val="none" w:sz="0" w:space="0" w:color="auto"/>
        <w:bottom w:val="none" w:sz="0" w:space="0" w:color="auto"/>
        <w:right w:val="none" w:sz="0" w:space="0" w:color="auto"/>
      </w:divBdr>
    </w:div>
    <w:div w:id="504634294">
      <w:bodyDiv w:val="1"/>
      <w:marLeft w:val="0"/>
      <w:marRight w:val="0"/>
      <w:marTop w:val="0"/>
      <w:marBottom w:val="0"/>
      <w:divBdr>
        <w:top w:val="none" w:sz="0" w:space="0" w:color="auto"/>
        <w:left w:val="none" w:sz="0" w:space="0" w:color="auto"/>
        <w:bottom w:val="none" w:sz="0" w:space="0" w:color="auto"/>
        <w:right w:val="none" w:sz="0" w:space="0" w:color="auto"/>
      </w:divBdr>
    </w:div>
    <w:div w:id="653146735">
      <w:bodyDiv w:val="1"/>
      <w:marLeft w:val="0"/>
      <w:marRight w:val="0"/>
      <w:marTop w:val="0"/>
      <w:marBottom w:val="0"/>
      <w:divBdr>
        <w:top w:val="none" w:sz="0" w:space="0" w:color="auto"/>
        <w:left w:val="none" w:sz="0" w:space="0" w:color="auto"/>
        <w:bottom w:val="none" w:sz="0" w:space="0" w:color="auto"/>
        <w:right w:val="none" w:sz="0" w:space="0" w:color="auto"/>
      </w:divBdr>
    </w:div>
    <w:div w:id="818352579">
      <w:bodyDiv w:val="1"/>
      <w:marLeft w:val="0"/>
      <w:marRight w:val="0"/>
      <w:marTop w:val="0"/>
      <w:marBottom w:val="0"/>
      <w:divBdr>
        <w:top w:val="none" w:sz="0" w:space="0" w:color="auto"/>
        <w:left w:val="none" w:sz="0" w:space="0" w:color="auto"/>
        <w:bottom w:val="none" w:sz="0" w:space="0" w:color="auto"/>
        <w:right w:val="none" w:sz="0" w:space="0" w:color="auto"/>
      </w:divBdr>
      <w:divsChild>
        <w:div w:id="1601454699">
          <w:marLeft w:val="0"/>
          <w:marRight w:val="0"/>
          <w:marTop w:val="0"/>
          <w:marBottom w:val="0"/>
          <w:divBdr>
            <w:top w:val="none" w:sz="0" w:space="0" w:color="auto"/>
            <w:left w:val="none" w:sz="0" w:space="0" w:color="auto"/>
            <w:bottom w:val="none" w:sz="0" w:space="0" w:color="auto"/>
            <w:right w:val="none" w:sz="0" w:space="0" w:color="auto"/>
          </w:divBdr>
        </w:div>
        <w:div w:id="424231918">
          <w:marLeft w:val="0"/>
          <w:marRight w:val="0"/>
          <w:marTop w:val="0"/>
          <w:marBottom w:val="0"/>
          <w:divBdr>
            <w:top w:val="none" w:sz="0" w:space="0" w:color="auto"/>
            <w:left w:val="none" w:sz="0" w:space="0" w:color="auto"/>
            <w:bottom w:val="none" w:sz="0" w:space="0" w:color="auto"/>
            <w:right w:val="none" w:sz="0" w:space="0" w:color="auto"/>
          </w:divBdr>
        </w:div>
      </w:divsChild>
    </w:div>
    <w:div w:id="913708141">
      <w:bodyDiv w:val="1"/>
      <w:marLeft w:val="0"/>
      <w:marRight w:val="0"/>
      <w:marTop w:val="0"/>
      <w:marBottom w:val="0"/>
      <w:divBdr>
        <w:top w:val="none" w:sz="0" w:space="0" w:color="auto"/>
        <w:left w:val="none" w:sz="0" w:space="0" w:color="auto"/>
        <w:bottom w:val="none" w:sz="0" w:space="0" w:color="auto"/>
        <w:right w:val="none" w:sz="0" w:space="0" w:color="auto"/>
      </w:divBdr>
    </w:div>
    <w:div w:id="1070617083">
      <w:bodyDiv w:val="1"/>
      <w:marLeft w:val="0"/>
      <w:marRight w:val="0"/>
      <w:marTop w:val="0"/>
      <w:marBottom w:val="0"/>
      <w:divBdr>
        <w:top w:val="none" w:sz="0" w:space="0" w:color="auto"/>
        <w:left w:val="none" w:sz="0" w:space="0" w:color="auto"/>
        <w:bottom w:val="none" w:sz="0" w:space="0" w:color="auto"/>
        <w:right w:val="none" w:sz="0" w:space="0" w:color="auto"/>
      </w:divBdr>
    </w:div>
    <w:div w:id="1638563286">
      <w:bodyDiv w:val="1"/>
      <w:marLeft w:val="0"/>
      <w:marRight w:val="0"/>
      <w:marTop w:val="0"/>
      <w:marBottom w:val="0"/>
      <w:divBdr>
        <w:top w:val="none" w:sz="0" w:space="0" w:color="auto"/>
        <w:left w:val="none" w:sz="0" w:space="0" w:color="auto"/>
        <w:bottom w:val="none" w:sz="0" w:space="0" w:color="auto"/>
        <w:right w:val="none" w:sz="0" w:space="0" w:color="auto"/>
      </w:divBdr>
    </w:div>
    <w:div w:id="1664353198">
      <w:bodyDiv w:val="1"/>
      <w:marLeft w:val="0"/>
      <w:marRight w:val="0"/>
      <w:marTop w:val="0"/>
      <w:marBottom w:val="0"/>
      <w:divBdr>
        <w:top w:val="none" w:sz="0" w:space="0" w:color="auto"/>
        <w:left w:val="none" w:sz="0" w:space="0" w:color="auto"/>
        <w:bottom w:val="none" w:sz="0" w:space="0" w:color="auto"/>
        <w:right w:val="none" w:sz="0" w:space="0" w:color="auto"/>
      </w:divBdr>
      <w:divsChild>
        <w:div w:id="542640648">
          <w:marLeft w:val="0"/>
          <w:marRight w:val="0"/>
          <w:marTop w:val="0"/>
          <w:marBottom w:val="0"/>
          <w:divBdr>
            <w:top w:val="none" w:sz="0" w:space="0" w:color="auto"/>
            <w:left w:val="none" w:sz="0" w:space="0" w:color="auto"/>
            <w:bottom w:val="none" w:sz="0" w:space="0" w:color="auto"/>
            <w:right w:val="none" w:sz="0" w:space="0" w:color="auto"/>
          </w:divBdr>
        </w:div>
      </w:divsChild>
    </w:div>
    <w:div w:id="21155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543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0601-informacijas-atklat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FD16B-30C9-44E2-B1DC-72332C2F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2023-08-24T14:00:00Z</dcterms:created>
  <dcterms:modified xsi:type="dcterms:W3CDTF">2023-08-24T14:00:00Z</dcterms:modified>
</cp:coreProperties>
</file>