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4387D" w14:textId="2CF21AEF" w:rsidR="00065A7A" w:rsidRPr="00C51833" w:rsidRDefault="00065A7A" w:rsidP="00C51833">
      <w:pPr>
        <w:spacing w:line="276" w:lineRule="auto"/>
        <w:jc w:val="both"/>
        <w:rPr>
          <w:b/>
          <w:bCs/>
          <w:lang w:eastAsia="zh-CN"/>
        </w:rPr>
      </w:pPr>
      <w:r w:rsidRPr="00C51833">
        <w:rPr>
          <w:b/>
          <w:bCs/>
          <w:lang w:eastAsia="zh-CN"/>
        </w:rPr>
        <w:t xml:space="preserve">Adrese, uz kuru nosūtāms kreditora atgādinājums </w:t>
      </w:r>
    </w:p>
    <w:p w14:paraId="6E27B341" w14:textId="0B24EDCC" w:rsidR="00065A7A" w:rsidRPr="00C51833" w:rsidRDefault="00065A7A" w:rsidP="00C51833">
      <w:pPr>
        <w:spacing w:line="276" w:lineRule="auto"/>
        <w:jc w:val="both"/>
        <w:rPr>
          <w:lang w:eastAsia="zh-CN"/>
        </w:rPr>
      </w:pPr>
      <w:r w:rsidRPr="00C51833">
        <w:rPr>
          <w:lang w:eastAsia="zh-CN"/>
        </w:rPr>
        <w:t>Kreditors, lai tā atgādinājums būtu parādniekam pienācīgi paziņots, ir tiesīgs sūtīt atgādinājumu uz līgumā norādīto parādnieka adresi, ja vien puses nav vienojušās citādi vai ja parādnieks nav paziņojis citu adresi. Ja kreditors konstatē vai viņam vajadzēja konstatēt, ka parādnieks nav sasniedzams līgumā norādītajā vai parādnieka paziņotajā adresē, tad atgādinājums sūtāms uz parādnieka deklarēto dzīvesvietu.</w:t>
      </w:r>
    </w:p>
    <w:p w14:paraId="0414A607" w14:textId="04F479BD" w:rsidR="00065A7A" w:rsidRPr="00C51833" w:rsidRDefault="00065A7A" w:rsidP="00C51833">
      <w:pPr>
        <w:spacing w:line="276" w:lineRule="auto"/>
        <w:jc w:val="both"/>
        <w:rPr>
          <w:lang w:eastAsia="zh-CN"/>
        </w:rPr>
      </w:pPr>
    </w:p>
    <w:p w14:paraId="38302925" w14:textId="117162F7" w:rsidR="00900281" w:rsidRPr="00C51833" w:rsidRDefault="00900281" w:rsidP="00C51833">
      <w:pPr>
        <w:spacing w:line="276" w:lineRule="auto"/>
        <w:jc w:val="both"/>
        <w:rPr>
          <w:b/>
          <w:bCs/>
          <w:lang w:eastAsia="zh-CN"/>
        </w:rPr>
      </w:pPr>
      <w:r w:rsidRPr="00C51833">
        <w:rPr>
          <w:b/>
          <w:bCs/>
          <w:lang w:eastAsia="zh-CN"/>
        </w:rPr>
        <w:t xml:space="preserve">Adreses, kurā līgumslēdzēja puse ir sasniedzama, paziņošanas pienākums kā līgumslēdzēju sadarbošanās pienākuma izpausme </w:t>
      </w:r>
    </w:p>
    <w:p w14:paraId="445BD958" w14:textId="537F5896" w:rsidR="00900281" w:rsidRPr="00C51833" w:rsidRDefault="001F35D4" w:rsidP="00C51833">
      <w:pPr>
        <w:spacing w:line="276" w:lineRule="auto"/>
        <w:jc w:val="both"/>
        <w:rPr>
          <w:lang w:eastAsia="zh-CN"/>
        </w:rPr>
      </w:pPr>
      <w:r w:rsidRPr="00C51833">
        <w:t>Arī tad, j</w:t>
      </w:r>
      <w:r w:rsidR="00900281" w:rsidRPr="00C51833">
        <w:t>a līgumā nav noteikts parādnieka pienākums informēt kreditoru par adreses maiņu, šāds pienākums līguma darbības laikā, kā arī laikā, kad parādniekam pastāv neizpildītas un nenoilgušas saistības, izriet no līgumslēdzēju sadarbošanās pienākuma.</w:t>
      </w:r>
    </w:p>
    <w:p w14:paraId="78322E89" w14:textId="77777777" w:rsidR="00900281" w:rsidRPr="00C51833" w:rsidRDefault="00900281" w:rsidP="00C51833">
      <w:pPr>
        <w:spacing w:line="276" w:lineRule="auto"/>
        <w:jc w:val="both"/>
        <w:rPr>
          <w:lang w:eastAsia="zh-CN"/>
        </w:rPr>
      </w:pPr>
    </w:p>
    <w:p w14:paraId="4F24570A" w14:textId="4F71707D" w:rsidR="00065A7A" w:rsidRPr="00C51833" w:rsidRDefault="008C1E44" w:rsidP="00C51833">
      <w:pPr>
        <w:spacing w:line="276" w:lineRule="auto"/>
        <w:jc w:val="both"/>
        <w:rPr>
          <w:b/>
          <w:bCs/>
          <w:lang w:eastAsia="zh-CN"/>
        </w:rPr>
      </w:pPr>
      <w:r w:rsidRPr="00C51833">
        <w:rPr>
          <w:b/>
          <w:bCs/>
          <w:lang w:eastAsia="zh-CN"/>
        </w:rPr>
        <w:t>Personas, kas nav pasta komersants, apliecinājums par atgādinājuma paziņošanu</w:t>
      </w:r>
      <w:r w:rsidR="00065A7A" w:rsidRPr="00C51833">
        <w:rPr>
          <w:b/>
          <w:bCs/>
          <w:lang w:eastAsia="zh-CN"/>
        </w:rPr>
        <w:t xml:space="preserve"> </w:t>
      </w:r>
    </w:p>
    <w:p w14:paraId="7AC508D2" w14:textId="2D135E44" w:rsidR="00065A7A" w:rsidRPr="00C51833" w:rsidRDefault="00065A7A" w:rsidP="00C51833">
      <w:pPr>
        <w:spacing w:line="276" w:lineRule="auto"/>
        <w:jc w:val="both"/>
      </w:pPr>
      <w:r w:rsidRPr="00C51833">
        <w:t>Personas, kas nav pasta komersant</w:t>
      </w:r>
      <w:r w:rsidR="000B0CF9" w:rsidRPr="00C51833">
        <w:t xml:space="preserve">s vai </w:t>
      </w:r>
      <w:proofErr w:type="gramStart"/>
      <w:r w:rsidR="000B0CF9" w:rsidRPr="00C51833">
        <w:t>cits speciālais subjekts</w:t>
      </w:r>
      <w:proofErr w:type="gramEnd"/>
      <w:r w:rsidRPr="00C51833">
        <w:t>, apliecinājums par vēstules nodošanu pasta iestādē nav pietiekams pierādījums atgādinājuma paziņošanai parādniekam.</w:t>
      </w:r>
    </w:p>
    <w:p w14:paraId="5C1304B1" w14:textId="708BCE00" w:rsidR="00065A7A" w:rsidRPr="00C51833" w:rsidRDefault="00E01019" w:rsidP="00E01019">
      <w:pPr>
        <w:tabs>
          <w:tab w:val="left" w:pos="3465"/>
        </w:tabs>
        <w:spacing w:line="276" w:lineRule="auto"/>
      </w:pPr>
      <w:r>
        <w:tab/>
      </w:r>
    </w:p>
    <w:p w14:paraId="1D9FB93E" w14:textId="28FB2076" w:rsidR="00746ABE" w:rsidRPr="00C51833" w:rsidRDefault="00BF43AD" w:rsidP="00C51833">
      <w:pPr>
        <w:spacing w:line="276" w:lineRule="auto"/>
        <w:jc w:val="center"/>
        <w:rPr>
          <w:b/>
        </w:rPr>
      </w:pPr>
      <w:r w:rsidRPr="00C51833">
        <w:rPr>
          <w:b/>
        </w:rPr>
        <w:t>Latvijas Republikas Senāt</w:t>
      </w:r>
      <w:r w:rsidR="00C51833" w:rsidRPr="00C51833">
        <w:rPr>
          <w:b/>
        </w:rPr>
        <w:t>a</w:t>
      </w:r>
    </w:p>
    <w:p w14:paraId="6EE59453" w14:textId="42C217E3" w:rsidR="00C51833" w:rsidRPr="00C51833" w:rsidRDefault="00C51833" w:rsidP="00C51833">
      <w:pPr>
        <w:spacing w:line="276" w:lineRule="auto"/>
        <w:jc w:val="center"/>
        <w:rPr>
          <w:b/>
        </w:rPr>
      </w:pPr>
      <w:r w:rsidRPr="00C51833">
        <w:rPr>
          <w:b/>
        </w:rPr>
        <w:t>Civillietu departamenta</w:t>
      </w:r>
    </w:p>
    <w:p w14:paraId="4BC615C9" w14:textId="5CF19500" w:rsidR="00C51833" w:rsidRPr="00C51833" w:rsidRDefault="00C51833" w:rsidP="00C51833">
      <w:pPr>
        <w:spacing w:line="276" w:lineRule="auto"/>
        <w:jc w:val="center"/>
        <w:rPr>
          <w:b/>
          <w:bCs/>
        </w:rPr>
      </w:pPr>
      <w:r w:rsidRPr="00C51833">
        <w:rPr>
          <w:b/>
          <w:bCs/>
        </w:rPr>
        <w:t>2023. gada 6. jūlija</w:t>
      </w:r>
    </w:p>
    <w:p w14:paraId="13923925" w14:textId="77777777" w:rsidR="00746ABE" w:rsidRPr="00C51833" w:rsidRDefault="00BF43AD" w:rsidP="00C51833">
      <w:pPr>
        <w:spacing w:line="276" w:lineRule="auto"/>
        <w:jc w:val="center"/>
        <w:rPr>
          <w:b/>
        </w:rPr>
      </w:pPr>
      <w:r w:rsidRPr="00C51833">
        <w:rPr>
          <w:b/>
        </w:rPr>
        <w:t>SPRIEDUMS</w:t>
      </w:r>
    </w:p>
    <w:p w14:paraId="08926B5A" w14:textId="77777777" w:rsidR="00C51833" w:rsidRPr="00C51833" w:rsidRDefault="00C51833" w:rsidP="00C51833">
      <w:pPr>
        <w:spacing w:line="276" w:lineRule="auto"/>
        <w:jc w:val="center"/>
        <w:rPr>
          <w:b/>
          <w:bCs/>
        </w:rPr>
      </w:pPr>
      <w:r w:rsidRPr="00C51833">
        <w:rPr>
          <w:b/>
          <w:bCs/>
        </w:rPr>
        <w:t>Lieta Nr. C30640718, SKC-81/2023</w:t>
      </w:r>
    </w:p>
    <w:p w14:paraId="6F581F00" w14:textId="475A227C" w:rsidR="00074AA5" w:rsidRPr="00C51833" w:rsidRDefault="00E01019" w:rsidP="00C51833">
      <w:pPr>
        <w:spacing w:line="276" w:lineRule="auto"/>
        <w:jc w:val="center"/>
      </w:pPr>
      <w:hyperlink r:id="rId8" w:history="1">
        <w:r w:rsidR="00074AA5" w:rsidRPr="00C51833">
          <w:rPr>
            <w:rStyle w:val="Hyperlink"/>
            <w:shd w:val="clear" w:color="auto" w:fill="FFFFFF"/>
          </w:rPr>
          <w:t>ECLI:LV:AT:2023:0706.C30640718.16.S</w:t>
        </w:r>
      </w:hyperlink>
    </w:p>
    <w:p w14:paraId="02D382EA" w14:textId="77777777" w:rsidR="00746ABE" w:rsidRPr="00C51833" w:rsidRDefault="00746ABE" w:rsidP="00C51833">
      <w:pPr>
        <w:spacing w:line="276" w:lineRule="auto"/>
        <w:jc w:val="center"/>
      </w:pPr>
    </w:p>
    <w:p w14:paraId="3889A029" w14:textId="6C674707" w:rsidR="001D62B0" w:rsidRPr="00C51833" w:rsidRDefault="00BF43AD" w:rsidP="00C51833">
      <w:pPr>
        <w:spacing w:line="276" w:lineRule="auto"/>
        <w:ind w:firstLine="709"/>
        <w:jc w:val="both"/>
      </w:pPr>
      <w:r w:rsidRPr="00C51833">
        <w:t xml:space="preserve">Senāts šādā sastāvā: </w:t>
      </w:r>
      <w:r w:rsidR="000973BA" w:rsidRPr="00C51833">
        <w:t>senatore referente Zane Pētersone</w:t>
      </w:r>
      <w:r w:rsidR="002428AB" w:rsidRPr="00C51833">
        <w:t>,</w:t>
      </w:r>
      <w:r w:rsidR="00B0239D" w:rsidRPr="00C51833">
        <w:t xml:space="preserve"> </w:t>
      </w:r>
      <w:r w:rsidR="00BD0C64" w:rsidRPr="00C51833">
        <w:t>senator</w:t>
      </w:r>
      <w:r w:rsidR="00B0239D" w:rsidRPr="00C51833">
        <w:t>i</w:t>
      </w:r>
      <w:r w:rsidR="00BD0C64" w:rsidRPr="00C51833">
        <w:t xml:space="preserve"> </w:t>
      </w:r>
      <w:r w:rsidR="002668F2" w:rsidRPr="00C51833">
        <w:t>Aivars Keišs</w:t>
      </w:r>
      <w:r w:rsidR="00237BE9" w:rsidRPr="00C51833">
        <w:t xml:space="preserve"> un </w:t>
      </w:r>
      <w:r w:rsidR="00FC498A" w:rsidRPr="00C51833">
        <w:t>Marika Senkāne</w:t>
      </w:r>
      <w:r w:rsidR="00B0239D" w:rsidRPr="00C51833">
        <w:t xml:space="preserve"> </w:t>
      </w:r>
    </w:p>
    <w:p w14:paraId="511CD1FA" w14:textId="77777777" w:rsidR="00836761" w:rsidRPr="00C51833" w:rsidRDefault="00836761" w:rsidP="00C51833">
      <w:pPr>
        <w:spacing w:line="276" w:lineRule="auto"/>
        <w:ind w:firstLine="709"/>
        <w:jc w:val="both"/>
      </w:pPr>
    </w:p>
    <w:p w14:paraId="608568EF" w14:textId="21A4F8A7" w:rsidR="00A95998" w:rsidRPr="00C51833" w:rsidRDefault="00BF43AD" w:rsidP="00C51833">
      <w:pPr>
        <w:spacing w:line="276" w:lineRule="auto"/>
        <w:ind w:firstLine="709"/>
        <w:jc w:val="both"/>
      </w:pPr>
      <w:r w:rsidRPr="00C51833">
        <w:t xml:space="preserve">izskatīja rakstveida procesā </w:t>
      </w:r>
      <w:r w:rsidR="004A1046" w:rsidRPr="00C51833">
        <w:t>civil</w:t>
      </w:r>
      <w:r w:rsidRPr="00C51833">
        <w:t xml:space="preserve">lietu </w:t>
      </w:r>
      <w:r w:rsidR="00926DDB" w:rsidRPr="00C51833">
        <w:t>SIA „</w:t>
      </w:r>
      <w:proofErr w:type="spellStart"/>
      <w:r w:rsidR="00926DDB" w:rsidRPr="00C51833">
        <w:t>GelvoraSergel</w:t>
      </w:r>
      <w:proofErr w:type="spellEnd"/>
      <w:r w:rsidR="00926DDB" w:rsidRPr="00C51833">
        <w:t>”</w:t>
      </w:r>
      <w:r w:rsidR="003A2938" w:rsidRPr="00C51833">
        <w:t xml:space="preserve"> prasībā pret </w:t>
      </w:r>
      <w:r w:rsidR="00C51833">
        <w:t xml:space="preserve">[pers. A] </w:t>
      </w:r>
      <w:r w:rsidR="00191F95" w:rsidRPr="00C51833">
        <w:t>par parāda piedziņu</w:t>
      </w:r>
      <w:r w:rsidR="00E67C3A" w:rsidRPr="00C51833">
        <w:t xml:space="preserve"> </w:t>
      </w:r>
      <w:r w:rsidR="00A67872" w:rsidRPr="00C51833">
        <w:t>sakarā</w:t>
      </w:r>
      <w:r w:rsidR="00D42856" w:rsidRPr="00C51833">
        <w:t xml:space="preserve"> ar</w:t>
      </w:r>
      <w:r w:rsidR="00A67872" w:rsidRPr="00C51833">
        <w:t xml:space="preserve"> </w:t>
      </w:r>
      <w:r w:rsidR="00191F95" w:rsidRPr="00C51833">
        <w:t>SIA „</w:t>
      </w:r>
      <w:proofErr w:type="spellStart"/>
      <w:r w:rsidR="00191F95" w:rsidRPr="00C51833">
        <w:t>GelvoraSergel</w:t>
      </w:r>
      <w:proofErr w:type="spellEnd"/>
      <w:r w:rsidR="00191F95" w:rsidRPr="00C51833">
        <w:t>”</w:t>
      </w:r>
      <w:r w:rsidR="002668F2" w:rsidRPr="00C51833">
        <w:t xml:space="preserve"> </w:t>
      </w:r>
      <w:r w:rsidR="003A2938" w:rsidRPr="00C51833">
        <w:t xml:space="preserve">kasācijas sūdzību par </w:t>
      </w:r>
      <w:r w:rsidR="00191F95" w:rsidRPr="00C51833">
        <w:t>Kurzeme</w:t>
      </w:r>
      <w:r w:rsidR="002668F2" w:rsidRPr="00C51833">
        <w:t>s</w:t>
      </w:r>
      <w:r w:rsidR="003A2938" w:rsidRPr="00C51833">
        <w:t xml:space="preserve"> apgabaltiesas 202</w:t>
      </w:r>
      <w:r w:rsidR="00191F95" w:rsidRPr="00C51833">
        <w:t>1</w:t>
      </w:r>
      <w:r w:rsidR="003A2938" w:rsidRPr="00C51833">
        <w:t>.</w:t>
      </w:r>
      <w:r w:rsidR="00C51833">
        <w:t> </w:t>
      </w:r>
      <w:r w:rsidR="003A2938" w:rsidRPr="00C51833">
        <w:t xml:space="preserve">gada </w:t>
      </w:r>
      <w:r w:rsidR="00191F95" w:rsidRPr="00C51833">
        <w:t>29.</w:t>
      </w:r>
      <w:r w:rsidR="00C51833">
        <w:t> </w:t>
      </w:r>
      <w:r w:rsidR="00191F95" w:rsidRPr="00C51833">
        <w:t>novembra</w:t>
      </w:r>
      <w:r w:rsidR="003A2938" w:rsidRPr="00C51833">
        <w:t xml:space="preserve"> spriedumu</w:t>
      </w:r>
      <w:r w:rsidR="00D42856" w:rsidRPr="00C51833">
        <w:t>.</w:t>
      </w:r>
    </w:p>
    <w:p w14:paraId="7D515D14" w14:textId="77777777" w:rsidR="003A2938" w:rsidRPr="00C51833" w:rsidRDefault="003A2938" w:rsidP="00C51833">
      <w:pPr>
        <w:spacing w:line="276" w:lineRule="auto"/>
        <w:ind w:firstLine="709"/>
        <w:jc w:val="both"/>
      </w:pPr>
    </w:p>
    <w:p w14:paraId="4079C60D" w14:textId="5E441B17" w:rsidR="00746ABE" w:rsidRPr="00C51833" w:rsidRDefault="00BF43AD" w:rsidP="00C51833">
      <w:pPr>
        <w:spacing w:line="276" w:lineRule="auto"/>
        <w:jc w:val="center"/>
        <w:rPr>
          <w:b/>
        </w:rPr>
      </w:pPr>
      <w:r w:rsidRPr="00C51833">
        <w:rPr>
          <w:b/>
        </w:rPr>
        <w:t>Aprakstošā daļa</w:t>
      </w:r>
    </w:p>
    <w:p w14:paraId="75D0295A" w14:textId="77777777" w:rsidR="00A95998" w:rsidRPr="00C51833" w:rsidRDefault="00A95998" w:rsidP="00C51833">
      <w:pPr>
        <w:spacing w:line="276" w:lineRule="auto"/>
        <w:jc w:val="center"/>
        <w:rPr>
          <w:b/>
        </w:rPr>
      </w:pPr>
    </w:p>
    <w:p w14:paraId="6F40FBFE" w14:textId="0BA4A715" w:rsidR="000020EF" w:rsidRPr="00C51833" w:rsidRDefault="00BF0A75" w:rsidP="00C51833">
      <w:pPr>
        <w:spacing w:line="276" w:lineRule="auto"/>
        <w:ind w:right="-2" w:firstLine="709"/>
        <w:jc w:val="both"/>
        <w:rPr>
          <w:bCs/>
        </w:rPr>
      </w:pPr>
      <w:r w:rsidRPr="00C51833">
        <w:t>[1]</w:t>
      </w:r>
      <w:r w:rsidR="00746738" w:rsidRPr="00C51833">
        <w:t> </w:t>
      </w:r>
      <w:r w:rsidR="000D04E5" w:rsidRPr="00C51833">
        <w:rPr>
          <w:bCs/>
        </w:rPr>
        <w:t>SIA „</w:t>
      </w:r>
      <w:proofErr w:type="spellStart"/>
      <w:r w:rsidR="000D04E5" w:rsidRPr="00C51833">
        <w:rPr>
          <w:bCs/>
        </w:rPr>
        <w:t>GelvoraSergel</w:t>
      </w:r>
      <w:proofErr w:type="spellEnd"/>
      <w:r w:rsidR="000D04E5" w:rsidRPr="00C51833">
        <w:rPr>
          <w:bCs/>
        </w:rPr>
        <w:t>” (pirms nosaukuma maiņas – SIA „</w:t>
      </w:r>
      <w:proofErr w:type="spellStart"/>
      <w:r w:rsidR="000D04E5" w:rsidRPr="00C51833">
        <w:rPr>
          <w:bCs/>
        </w:rPr>
        <w:t>Gelvora</w:t>
      </w:r>
      <w:proofErr w:type="spellEnd"/>
      <w:r w:rsidR="000D04E5" w:rsidRPr="00C51833">
        <w:rPr>
          <w:bCs/>
        </w:rPr>
        <w:t>”)</w:t>
      </w:r>
      <w:r w:rsidR="003A2938" w:rsidRPr="00C51833">
        <w:rPr>
          <w:bCs/>
        </w:rPr>
        <w:t xml:space="preserve"> 20</w:t>
      </w:r>
      <w:r w:rsidR="000D04E5" w:rsidRPr="00C51833">
        <w:rPr>
          <w:bCs/>
        </w:rPr>
        <w:t>18</w:t>
      </w:r>
      <w:r w:rsidR="003A2938" w:rsidRPr="00C51833">
        <w:rPr>
          <w:bCs/>
        </w:rPr>
        <w:t>.</w:t>
      </w:r>
      <w:r w:rsidR="003C1D5B">
        <w:rPr>
          <w:bCs/>
        </w:rPr>
        <w:t> </w:t>
      </w:r>
      <w:r w:rsidR="003A2938" w:rsidRPr="00C51833">
        <w:rPr>
          <w:bCs/>
        </w:rPr>
        <w:t xml:space="preserve">gada </w:t>
      </w:r>
      <w:r w:rsidR="002668F2" w:rsidRPr="00C51833">
        <w:rPr>
          <w:bCs/>
        </w:rPr>
        <w:t>1</w:t>
      </w:r>
      <w:r w:rsidR="00DA5D16" w:rsidRPr="00C51833">
        <w:rPr>
          <w:bCs/>
        </w:rPr>
        <w:t>8</w:t>
      </w:r>
      <w:r w:rsidR="000D04E5" w:rsidRPr="00C51833">
        <w:rPr>
          <w:bCs/>
        </w:rPr>
        <w:t>.</w:t>
      </w:r>
      <w:r w:rsidR="003C1D5B">
        <w:rPr>
          <w:bCs/>
        </w:rPr>
        <w:t> </w:t>
      </w:r>
      <w:r w:rsidR="000D04E5" w:rsidRPr="00C51833">
        <w:rPr>
          <w:bCs/>
        </w:rPr>
        <w:t>jūnijā</w:t>
      </w:r>
      <w:r w:rsidR="003A2938" w:rsidRPr="00C51833">
        <w:rPr>
          <w:bCs/>
        </w:rPr>
        <w:t xml:space="preserve"> cēla tiesā prasību</w:t>
      </w:r>
      <w:r w:rsidR="00D84E73" w:rsidRPr="00C51833">
        <w:rPr>
          <w:bCs/>
        </w:rPr>
        <w:t>, kuru vēlāk precizēja,</w:t>
      </w:r>
      <w:r w:rsidR="003A2938" w:rsidRPr="00C51833">
        <w:rPr>
          <w:bCs/>
        </w:rPr>
        <w:t xml:space="preserve"> pret </w:t>
      </w:r>
      <w:r w:rsidR="00C51833">
        <w:t>[pers. A]</w:t>
      </w:r>
      <w:r w:rsidR="006A7C11" w:rsidRPr="00C51833">
        <w:rPr>
          <w:bCs/>
        </w:rPr>
        <w:t>, lūdzot</w:t>
      </w:r>
      <w:r w:rsidR="000020EF" w:rsidRPr="00C51833">
        <w:rPr>
          <w:bCs/>
        </w:rPr>
        <w:t>:</w:t>
      </w:r>
    </w:p>
    <w:p w14:paraId="12327798" w14:textId="17115284" w:rsidR="008609F7" w:rsidRPr="00C51833" w:rsidRDefault="008609F7" w:rsidP="00C51833">
      <w:pPr>
        <w:spacing w:line="276" w:lineRule="auto"/>
        <w:ind w:right="-2" w:firstLine="709"/>
        <w:jc w:val="both"/>
      </w:pPr>
      <w:r w:rsidRPr="00C51833">
        <w:rPr>
          <w:bCs/>
        </w:rPr>
        <w:t xml:space="preserve">1) piedzīt no atbildētāja prasītājas labā </w:t>
      </w:r>
      <w:r w:rsidRPr="00C51833">
        <w:t>parādu 4268,62</w:t>
      </w:r>
      <w:r w:rsidR="00D84E73" w:rsidRPr="00C51833">
        <w:t> </w:t>
      </w:r>
      <w:proofErr w:type="spellStart"/>
      <w:r w:rsidR="00D84E73" w:rsidRPr="00C51833">
        <w:rPr>
          <w:i/>
          <w:iCs/>
        </w:rPr>
        <w:t>euro</w:t>
      </w:r>
      <w:proofErr w:type="spellEnd"/>
      <w:r w:rsidRPr="00C51833">
        <w:t>, parāda atgūšanas izdevum</w:t>
      </w:r>
      <w:r w:rsidR="00D84E73" w:rsidRPr="00C51833">
        <w:t>us</w:t>
      </w:r>
      <w:r w:rsidRPr="00C51833">
        <w:t xml:space="preserve"> 17</w:t>
      </w:r>
      <w:r w:rsidR="00D84E73" w:rsidRPr="00C51833">
        <w:t xml:space="preserve"> </w:t>
      </w:r>
      <w:proofErr w:type="spellStart"/>
      <w:r w:rsidR="00D84E73" w:rsidRPr="00C51833">
        <w:rPr>
          <w:i/>
          <w:iCs/>
        </w:rPr>
        <w:t>euro</w:t>
      </w:r>
      <w:proofErr w:type="spellEnd"/>
      <w:r w:rsidRPr="00C51833">
        <w:t>, līgumisk</w:t>
      </w:r>
      <w:r w:rsidR="00D84E73" w:rsidRPr="00C51833">
        <w:t>os</w:t>
      </w:r>
      <w:r w:rsidRPr="00C51833">
        <w:t xml:space="preserve"> procent</w:t>
      </w:r>
      <w:r w:rsidR="00D84E73" w:rsidRPr="00C51833">
        <w:t>us</w:t>
      </w:r>
      <w:r w:rsidRPr="00C51833">
        <w:t xml:space="preserve"> 309,06</w:t>
      </w:r>
      <w:r w:rsidR="00D84E73" w:rsidRPr="00C51833">
        <w:t> </w:t>
      </w:r>
      <w:proofErr w:type="spellStart"/>
      <w:r w:rsidR="00D84E73" w:rsidRPr="00C51833">
        <w:rPr>
          <w:i/>
          <w:iCs/>
        </w:rPr>
        <w:t>euro</w:t>
      </w:r>
      <w:proofErr w:type="spellEnd"/>
      <w:r w:rsidR="00D84E73" w:rsidRPr="00C51833">
        <w:t xml:space="preserve"> </w:t>
      </w:r>
      <w:r w:rsidRPr="00C51833">
        <w:t>par laiku līdz 2009.</w:t>
      </w:r>
      <w:r w:rsidR="003C1D5B">
        <w:t> </w:t>
      </w:r>
      <w:r w:rsidRPr="00C51833">
        <w:t>gada 8.</w:t>
      </w:r>
      <w:r w:rsidR="003C1D5B">
        <w:t> </w:t>
      </w:r>
      <w:r w:rsidRPr="00C51833">
        <w:t>jūnijam, likumisk</w:t>
      </w:r>
      <w:r w:rsidR="00D84E73" w:rsidRPr="00C51833">
        <w:t>os</w:t>
      </w:r>
      <w:r w:rsidRPr="00C51833">
        <w:t xml:space="preserve"> nokavējuma procent</w:t>
      </w:r>
      <w:r w:rsidR="00D84E73" w:rsidRPr="00C51833">
        <w:t>us</w:t>
      </w:r>
      <w:r w:rsidRPr="00C51833">
        <w:t xml:space="preserve"> 2285,40</w:t>
      </w:r>
      <w:r w:rsidR="00D84E73" w:rsidRPr="00C51833">
        <w:t xml:space="preserve"> </w:t>
      </w:r>
      <w:proofErr w:type="spellStart"/>
      <w:r w:rsidR="00D84E73" w:rsidRPr="00C51833">
        <w:rPr>
          <w:i/>
          <w:iCs/>
        </w:rPr>
        <w:t>euro</w:t>
      </w:r>
      <w:proofErr w:type="spellEnd"/>
      <w:r w:rsidR="00D84E73" w:rsidRPr="00C51833">
        <w:t xml:space="preserve"> </w:t>
      </w:r>
      <w:r w:rsidRPr="00C51833">
        <w:t>par laiku līdz 2018.</w:t>
      </w:r>
      <w:r w:rsidR="003C1D5B">
        <w:t> </w:t>
      </w:r>
      <w:r w:rsidRPr="00C51833">
        <w:t>gada 11.</w:t>
      </w:r>
      <w:r w:rsidR="003C1D5B">
        <w:t> </w:t>
      </w:r>
      <w:r w:rsidRPr="00C51833">
        <w:t>maijam</w:t>
      </w:r>
      <w:r w:rsidR="00D84E73" w:rsidRPr="00C51833">
        <w:t xml:space="preserve"> un </w:t>
      </w:r>
      <w:r w:rsidRPr="00C51833">
        <w:t>līgumsod</w:t>
      </w:r>
      <w:r w:rsidR="00D84E73" w:rsidRPr="00C51833">
        <w:t>u 15,17 </w:t>
      </w:r>
      <w:proofErr w:type="spellStart"/>
      <w:r w:rsidR="00D84E73" w:rsidRPr="00C51833">
        <w:rPr>
          <w:i/>
          <w:iCs/>
        </w:rPr>
        <w:t>euro</w:t>
      </w:r>
      <w:proofErr w:type="spellEnd"/>
      <w:r w:rsidRPr="00C51833">
        <w:t xml:space="preserve"> par procentu samaksas kavējumu par laiku līdz 2009.</w:t>
      </w:r>
      <w:r w:rsidR="003C1D5B">
        <w:t> </w:t>
      </w:r>
      <w:r w:rsidRPr="00C51833">
        <w:t>gada 8.</w:t>
      </w:r>
      <w:r w:rsidR="003C1D5B">
        <w:t> </w:t>
      </w:r>
      <w:r w:rsidRPr="00C51833">
        <w:t>jūnijam</w:t>
      </w:r>
      <w:r w:rsidR="0097790A" w:rsidRPr="00C51833">
        <w:t>, kopā 6895,25 </w:t>
      </w:r>
      <w:proofErr w:type="spellStart"/>
      <w:r w:rsidR="0097790A" w:rsidRPr="00C51833">
        <w:rPr>
          <w:i/>
          <w:iCs/>
        </w:rPr>
        <w:t>euro</w:t>
      </w:r>
      <w:proofErr w:type="spellEnd"/>
      <w:r w:rsidR="0097790A" w:rsidRPr="00C51833">
        <w:t>, kā arī visus tiesāšanās izdevumus;</w:t>
      </w:r>
    </w:p>
    <w:p w14:paraId="424BCE72" w14:textId="37EA73FB" w:rsidR="0097790A" w:rsidRPr="00C51833" w:rsidRDefault="0097790A" w:rsidP="00C51833">
      <w:pPr>
        <w:spacing w:line="276" w:lineRule="auto"/>
        <w:ind w:firstLine="720"/>
        <w:jc w:val="both"/>
      </w:pPr>
      <w:r w:rsidRPr="00C51833">
        <w:t xml:space="preserve">2) noteikt prasītājai tiesības saņemt no </w:t>
      </w:r>
      <w:r w:rsidR="00C51833">
        <w:t xml:space="preserve">[pers. A] </w:t>
      </w:r>
      <w:r w:rsidRPr="00C51833">
        <w:t>likumiskos sešus procentus gadā no nesamaksātās parāda summas par laiku līdz sprieduma izpildei (izsoles dienai)</w:t>
      </w:r>
      <w:r w:rsidR="00030262" w:rsidRPr="00C51833">
        <w:t>.</w:t>
      </w:r>
    </w:p>
    <w:p w14:paraId="78FB11A9" w14:textId="77777777" w:rsidR="008609F7" w:rsidRPr="00C51833" w:rsidRDefault="008609F7" w:rsidP="00C51833">
      <w:pPr>
        <w:spacing w:line="276" w:lineRule="auto"/>
        <w:ind w:firstLine="709"/>
        <w:jc w:val="both"/>
      </w:pPr>
      <w:r w:rsidRPr="00C51833">
        <w:t xml:space="preserve">Prasības pieteikumā norādīti šādi apstākļi. </w:t>
      </w:r>
    </w:p>
    <w:p w14:paraId="769C631C" w14:textId="4589AF90" w:rsidR="000D6460" w:rsidRPr="00C51833" w:rsidRDefault="008609F7" w:rsidP="00C51833">
      <w:pPr>
        <w:spacing w:line="276" w:lineRule="auto"/>
        <w:ind w:firstLine="709"/>
        <w:jc w:val="both"/>
      </w:pPr>
      <w:r w:rsidRPr="00C51833">
        <w:lastRenderedPageBreak/>
        <w:t>[1.1]</w:t>
      </w:r>
      <w:r w:rsidR="000D6460" w:rsidRPr="00C51833">
        <w:t> </w:t>
      </w:r>
      <w:r w:rsidRPr="00C51833">
        <w:t>Starp AS</w:t>
      </w:r>
      <w:r w:rsidR="00030262" w:rsidRPr="00C51833">
        <w:t> </w:t>
      </w:r>
      <w:r w:rsidRPr="00C51833">
        <w:t>„</w:t>
      </w:r>
      <w:proofErr w:type="spellStart"/>
      <w:r w:rsidRPr="00C51833">
        <w:t>Swedbank</w:t>
      </w:r>
      <w:proofErr w:type="spellEnd"/>
      <w:r w:rsidRPr="00C51833">
        <w:t xml:space="preserve">” </w:t>
      </w:r>
      <w:r w:rsidR="00CF76D0" w:rsidRPr="00C51833">
        <w:t>(pirms nosaukuma maiņas – AS „Hansabanka”</w:t>
      </w:r>
      <w:r w:rsidR="002F5D90" w:rsidRPr="00C51833">
        <w:t>, turpmāk – banka</w:t>
      </w:r>
      <w:r w:rsidR="00CF76D0" w:rsidRPr="00C51833">
        <w:t xml:space="preserve">) </w:t>
      </w:r>
      <w:r w:rsidR="000D6460" w:rsidRPr="00C51833">
        <w:t xml:space="preserve">un </w:t>
      </w:r>
      <w:r w:rsidR="00C51833">
        <w:t>[pers. A]</w:t>
      </w:r>
      <w:r w:rsidR="000D6460" w:rsidRPr="00C51833">
        <w:t xml:space="preserve"> </w:t>
      </w:r>
      <w:r w:rsidRPr="00C51833">
        <w:t>2005.</w:t>
      </w:r>
      <w:r w:rsidR="003C1D5B">
        <w:t> </w:t>
      </w:r>
      <w:r w:rsidRPr="00C51833">
        <w:t xml:space="preserve">gada </w:t>
      </w:r>
      <w:r w:rsidR="003C1D5B">
        <w:t xml:space="preserve">[..] </w:t>
      </w:r>
      <w:r w:rsidRPr="00C51833">
        <w:t>jūnijā noslēgts kredītlīnijas līgums Nr</w:t>
      </w:r>
      <w:r w:rsidR="00C51833">
        <w:t>. [..</w:t>
      </w:r>
      <w:r w:rsidR="003C1D5B">
        <w:t>]</w:t>
      </w:r>
      <w:r w:rsidRPr="00C51833">
        <w:t>, ar kuru atbildētājam piešķirts kredīta limits 4268,62</w:t>
      </w:r>
      <w:r w:rsidR="000D6460" w:rsidRPr="00C51833">
        <w:t> </w:t>
      </w:r>
      <w:proofErr w:type="spellStart"/>
      <w:r w:rsidR="000D6460" w:rsidRPr="00C51833">
        <w:rPr>
          <w:i/>
          <w:iCs/>
        </w:rPr>
        <w:t>euro</w:t>
      </w:r>
      <w:proofErr w:type="spellEnd"/>
      <w:r w:rsidRPr="00C51833">
        <w:t>.</w:t>
      </w:r>
    </w:p>
    <w:p w14:paraId="6BD042D8" w14:textId="727703F3" w:rsidR="008609F7" w:rsidRPr="00C51833" w:rsidRDefault="008609F7" w:rsidP="00C51833">
      <w:pPr>
        <w:spacing w:line="276" w:lineRule="auto"/>
        <w:ind w:firstLine="709"/>
        <w:jc w:val="both"/>
      </w:pPr>
      <w:r w:rsidRPr="00C51833">
        <w:t>Atbildētājs savas saistības pienācīgi nepildīja</w:t>
      </w:r>
      <w:r w:rsidR="000D6460" w:rsidRPr="00C51833">
        <w:t xml:space="preserve">, ikmēneša maksājumus </w:t>
      </w:r>
      <w:r w:rsidRPr="00C51833">
        <w:t>neveica, tādēļ bank</w:t>
      </w:r>
      <w:r w:rsidR="002F5D90" w:rsidRPr="00C51833">
        <w:t>a</w:t>
      </w:r>
      <w:r w:rsidRPr="00C51833">
        <w:t xml:space="preserve"> 2009.</w:t>
      </w:r>
      <w:r w:rsidR="003C1D5B">
        <w:t> </w:t>
      </w:r>
      <w:r w:rsidRPr="00C51833">
        <w:t>gada 8.</w:t>
      </w:r>
      <w:r w:rsidR="000A7774">
        <w:t> </w:t>
      </w:r>
      <w:r w:rsidRPr="00C51833">
        <w:t>jūnijā vienpusēji atkāpās no līguma.</w:t>
      </w:r>
    </w:p>
    <w:p w14:paraId="423D9C74" w14:textId="48E1FB2D" w:rsidR="000D6460" w:rsidRPr="00C51833" w:rsidRDefault="008609F7" w:rsidP="00C51833">
      <w:pPr>
        <w:spacing w:line="276" w:lineRule="auto"/>
        <w:ind w:firstLine="709"/>
        <w:jc w:val="both"/>
      </w:pPr>
      <w:r w:rsidRPr="00C51833">
        <w:t>[1.2]</w:t>
      </w:r>
      <w:r w:rsidR="000D6460" w:rsidRPr="00C51833">
        <w:t> Ar 2010.</w:t>
      </w:r>
      <w:r w:rsidR="000A7774">
        <w:t> </w:t>
      </w:r>
      <w:r w:rsidR="000D6460" w:rsidRPr="00C51833">
        <w:t>gada 26.</w:t>
      </w:r>
      <w:r w:rsidR="000A7774">
        <w:t> </w:t>
      </w:r>
      <w:r w:rsidR="000D6460" w:rsidRPr="00C51833">
        <w:t>novembra cesijas līgumu bank</w:t>
      </w:r>
      <w:r w:rsidR="002F5D90" w:rsidRPr="00C51833">
        <w:t>a</w:t>
      </w:r>
      <w:r w:rsidR="000D6460" w:rsidRPr="00C51833">
        <w:t xml:space="preserve"> prasījuma tiesības pret </w:t>
      </w:r>
      <w:r w:rsidR="00C51833">
        <w:t>[pers. A]</w:t>
      </w:r>
      <w:r w:rsidR="000D6460" w:rsidRPr="00C51833">
        <w:t xml:space="preserve"> cedē</w:t>
      </w:r>
      <w:r w:rsidR="000D21F6" w:rsidRPr="00C51833">
        <w:t>j</w:t>
      </w:r>
      <w:r w:rsidR="000D6460" w:rsidRPr="00C51833">
        <w:t>a UAB „</w:t>
      </w:r>
      <w:proofErr w:type="spellStart"/>
      <w:r w:rsidR="000D6460" w:rsidRPr="00C51833">
        <w:t>Gelvora</w:t>
      </w:r>
      <w:proofErr w:type="spellEnd"/>
      <w:r w:rsidR="000D6460" w:rsidRPr="00C51833">
        <w:t>” filiālei Latvijā. Cesionāra uzņēmums kā organizatoriski saimnieciska vienība mantiska ieguldījuma veidā 2014.</w:t>
      </w:r>
      <w:r w:rsidR="003C1D5B">
        <w:t> </w:t>
      </w:r>
      <w:r w:rsidR="000D6460" w:rsidRPr="00C51833">
        <w:t>gada 18.</w:t>
      </w:r>
      <w:r w:rsidR="003C1D5B">
        <w:t> </w:t>
      </w:r>
      <w:r w:rsidR="000D6460" w:rsidRPr="00C51833">
        <w:t>decembrī ieguldīta SIA</w:t>
      </w:r>
      <w:r w:rsidR="00030262" w:rsidRPr="00C51833">
        <w:t> „</w:t>
      </w:r>
      <w:proofErr w:type="spellStart"/>
      <w:r w:rsidR="000D6460" w:rsidRPr="00C51833">
        <w:t>Gelvora</w:t>
      </w:r>
      <w:proofErr w:type="spellEnd"/>
      <w:r w:rsidR="000D6460" w:rsidRPr="00C51833">
        <w:t>”, līdz ar to prasījuma tiesības, kas bija cesionāra uzņēmumam</w:t>
      </w:r>
      <w:r w:rsidR="00030262" w:rsidRPr="00C51833">
        <w:t>,</w:t>
      </w:r>
      <w:r w:rsidR="000D6460" w:rsidRPr="00C51833">
        <w:t xml:space="preserve"> pārgājušas prasītājai.</w:t>
      </w:r>
    </w:p>
    <w:p w14:paraId="492FCF2E" w14:textId="193AD715" w:rsidR="000D21F6" w:rsidRPr="00C51833" w:rsidRDefault="000D21F6" w:rsidP="00C51833">
      <w:pPr>
        <w:spacing w:line="276" w:lineRule="auto"/>
        <w:ind w:firstLine="709"/>
        <w:jc w:val="both"/>
      </w:pPr>
      <w:r w:rsidRPr="00C51833">
        <w:t xml:space="preserve">[1.3] Noilgums nav iestājies, jo tas ticis pārtraukts ar atgādinājumiem. </w:t>
      </w:r>
    </w:p>
    <w:p w14:paraId="040ED007" w14:textId="41905273" w:rsidR="008609F7" w:rsidRPr="00C51833" w:rsidRDefault="008609F7" w:rsidP="00C51833">
      <w:pPr>
        <w:spacing w:line="276" w:lineRule="auto"/>
        <w:ind w:firstLine="709"/>
        <w:jc w:val="both"/>
      </w:pPr>
      <w:r w:rsidRPr="00C51833">
        <w:t>[1.</w:t>
      </w:r>
      <w:r w:rsidR="000D21F6" w:rsidRPr="00C51833">
        <w:t>4</w:t>
      </w:r>
      <w:r w:rsidRPr="00C51833">
        <w:t>] Prasība pamatota ar Civillikuma 1., 1587., 1589., 1651.</w:t>
      </w:r>
      <w:r w:rsidR="000A7774">
        <w:t> </w:t>
      </w:r>
      <w:r w:rsidRPr="00C51833">
        <w:t>pantu, 1652.</w:t>
      </w:r>
      <w:r w:rsidR="000A7774">
        <w:t> </w:t>
      </w:r>
      <w:r w:rsidRPr="00C51833">
        <w:t>panta 3.punktu, 1662., 1716., 1717., 1720., 1753., 1756., 1759., 1765., 1770., 1773., 1775., 1779., 1793., 1801., 1828., 1838., 1934., 1943., 1946. un 2021.</w:t>
      </w:r>
      <w:r w:rsidR="000A7774">
        <w:t> </w:t>
      </w:r>
      <w:r w:rsidRPr="00C51833">
        <w:t>pantu.</w:t>
      </w:r>
    </w:p>
    <w:p w14:paraId="4DCB30FD" w14:textId="77777777" w:rsidR="00030262" w:rsidRPr="00C51833" w:rsidRDefault="00030262" w:rsidP="00C51833">
      <w:pPr>
        <w:spacing w:line="276" w:lineRule="auto"/>
        <w:ind w:firstLine="720"/>
        <w:jc w:val="both"/>
      </w:pPr>
    </w:p>
    <w:p w14:paraId="64BFD107" w14:textId="6A0EE36E" w:rsidR="00030262" w:rsidRPr="00C51833" w:rsidRDefault="00030262" w:rsidP="00C51833">
      <w:pPr>
        <w:spacing w:line="276" w:lineRule="auto"/>
        <w:ind w:firstLine="720"/>
        <w:jc w:val="both"/>
      </w:pPr>
      <w:r w:rsidRPr="00C51833">
        <w:t xml:space="preserve">[2] Atbildētājs </w:t>
      </w:r>
      <w:r w:rsidR="00C51833">
        <w:t xml:space="preserve">[pers. A] </w:t>
      </w:r>
      <w:r w:rsidRPr="00C51833">
        <w:t>iesniedza rakstveida paskaidrojumus, prasību neatzīst</w:t>
      </w:r>
      <w:r w:rsidR="00A038A5" w:rsidRPr="00C51833">
        <w:t xml:space="preserve">ot un </w:t>
      </w:r>
      <w:proofErr w:type="spellStart"/>
      <w:r w:rsidR="00A038A5" w:rsidRPr="00C51833">
        <w:t>citstarp</w:t>
      </w:r>
      <w:proofErr w:type="spellEnd"/>
      <w:r w:rsidR="00A038A5" w:rsidRPr="00C51833">
        <w:t xml:space="preserve"> norādot uz noilguma iestāšanos</w:t>
      </w:r>
      <w:r w:rsidR="00CF76D0" w:rsidRPr="00C51833">
        <w:t>.</w:t>
      </w:r>
    </w:p>
    <w:p w14:paraId="0E243403" w14:textId="1DEBFECE" w:rsidR="006A7C11" w:rsidRPr="00C51833" w:rsidRDefault="006A7C11" w:rsidP="00C51833">
      <w:pPr>
        <w:spacing w:line="276" w:lineRule="auto"/>
        <w:jc w:val="both"/>
      </w:pPr>
    </w:p>
    <w:p w14:paraId="34940958" w14:textId="21833CA4" w:rsidR="00D8019C" w:rsidRPr="00C51833" w:rsidRDefault="00FC1BC8" w:rsidP="00C51833">
      <w:pPr>
        <w:spacing w:line="276" w:lineRule="auto"/>
        <w:ind w:firstLine="720"/>
        <w:jc w:val="both"/>
      </w:pPr>
      <w:r w:rsidRPr="00C51833">
        <w:t>[</w:t>
      </w:r>
      <w:r w:rsidR="00030262" w:rsidRPr="00C51833">
        <w:t>3</w:t>
      </w:r>
      <w:r w:rsidRPr="00C51833">
        <w:t>] </w:t>
      </w:r>
      <w:r w:rsidR="006A7C11" w:rsidRPr="00C51833">
        <w:t xml:space="preserve">Ar </w:t>
      </w:r>
      <w:r w:rsidR="00030262" w:rsidRPr="00C51833">
        <w:t>Rīgas pilsētas Vidzemes priekšpilsētas tiesas 2019.</w:t>
      </w:r>
      <w:r w:rsidR="000A7774">
        <w:t> </w:t>
      </w:r>
      <w:r w:rsidR="00030262" w:rsidRPr="00C51833">
        <w:t>gada 27.</w:t>
      </w:r>
      <w:r w:rsidR="000A7774">
        <w:t> </w:t>
      </w:r>
      <w:r w:rsidR="00030262" w:rsidRPr="00C51833">
        <w:t>maija spriedumu prasība apmierināta.</w:t>
      </w:r>
    </w:p>
    <w:p w14:paraId="1E06FE69" w14:textId="67EF53E0" w:rsidR="000B45AD" w:rsidRPr="00C51833" w:rsidRDefault="000B45AD" w:rsidP="00C51833">
      <w:pPr>
        <w:spacing w:line="276" w:lineRule="auto"/>
        <w:jc w:val="both"/>
      </w:pPr>
    </w:p>
    <w:p w14:paraId="1E4074E8" w14:textId="1EC4B062" w:rsidR="00030262" w:rsidRPr="00C51833" w:rsidRDefault="000B45AD" w:rsidP="00C51833">
      <w:pPr>
        <w:spacing w:line="276" w:lineRule="auto"/>
        <w:ind w:firstLine="720"/>
        <w:jc w:val="both"/>
      </w:pPr>
      <w:r w:rsidRPr="00C51833">
        <w:t>[4] </w:t>
      </w:r>
      <w:r w:rsidR="00030262" w:rsidRPr="00C51833">
        <w:t xml:space="preserve">Atbildētājs </w:t>
      </w:r>
      <w:r w:rsidR="00C51833">
        <w:t xml:space="preserve">[pers. A] </w:t>
      </w:r>
      <w:r w:rsidR="00613ED6" w:rsidRPr="00C51833">
        <w:t>iesniedza apelācijas sūdzību</w:t>
      </w:r>
      <w:r w:rsidR="00030262" w:rsidRPr="00C51833">
        <w:t xml:space="preserve"> par minēto spriedumu</w:t>
      </w:r>
      <w:r w:rsidR="00613ED6" w:rsidRPr="00C51833">
        <w:t xml:space="preserve">, </w:t>
      </w:r>
      <w:r w:rsidR="00030262" w:rsidRPr="00C51833">
        <w:t>pārsūdzot to pilnā apjomā.</w:t>
      </w:r>
    </w:p>
    <w:p w14:paraId="637A2F5A" w14:textId="77777777" w:rsidR="00030262" w:rsidRPr="00C51833" w:rsidRDefault="00030262" w:rsidP="00C51833">
      <w:pPr>
        <w:spacing w:line="276" w:lineRule="auto"/>
        <w:ind w:firstLine="720"/>
        <w:jc w:val="both"/>
      </w:pPr>
    </w:p>
    <w:p w14:paraId="0DFF032F" w14:textId="5D99C670" w:rsidR="00030262" w:rsidRPr="00C51833" w:rsidRDefault="00613ED6" w:rsidP="00C51833">
      <w:pPr>
        <w:spacing w:line="276" w:lineRule="auto"/>
        <w:ind w:firstLine="720"/>
        <w:jc w:val="both"/>
      </w:pPr>
      <w:r w:rsidRPr="00C51833">
        <w:t>[</w:t>
      </w:r>
      <w:r w:rsidR="000A6979" w:rsidRPr="00C51833">
        <w:t>5</w:t>
      </w:r>
      <w:r w:rsidRPr="00C51833">
        <w:t xml:space="preserve">] Ar </w:t>
      </w:r>
      <w:r w:rsidR="00030262" w:rsidRPr="00C51833">
        <w:t>Kurzemes</w:t>
      </w:r>
      <w:r w:rsidR="00ED6A5B" w:rsidRPr="00C51833">
        <w:t xml:space="preserve"> apgabaltiesa</w:t>
      </w:r>
      <w:r w:rsidRPr="00C51833">
        <w:t>s</w:t>
      </w:r>
      <w:r w:rsidR="00ED6A5B" w:rsidRPr="00C51833">
        <w:t xml:space="preserve"> 202</w:t>
      </w:r>
      <w:r w:rsidR="00030262" w:rsidRPr="00C51833">
        <w:t>0</w:t>
      </w:r>
      <w:r w:rsidR="00ED6A5B" w:rsidRPr="00C51833">
        <w:t>.</w:t>
      </w:r>
      <w:r w:rsidR="003C1D5B">
        <w:t> </w:t>
      </w:r>
      <w:r w:rsidR="00ED6A5B" w:rsidRPr="00C51833">
        <w:t xml:space="preserve">gada </w:t>
      </w:r>
      <w:r w:rsidR="00030262" w:rsidRPr="00C51833">
        <w:t>2.</w:t>
      </w:r>
      <w:r w:rsidR="003C1D5B">
        <w:t> </w:t>
      </w:r>
      <w:r w:rsidR="00030262" w:rsidRPr="00C51833">
        <w:t>marta</w:t>
      </w:r>
      <w:r w:rsidR="00ED6A5B" w:rsidRPr="00C51833">
        <w:t xml:space="preserve"> spriedumu </w:t>
      </w:r>
      <w:r w:rsidR="000D6B28" w:rsidRPr="00C51833">
        <w:t>prasīb</w:t>
      </w:r>
      <w:r w:rsidRPr="00C51833">
        <w:t>a</w:t>
      </w:r>
      <w:r w:rsidR="000D6B28" w:rsidRPr="00C51833">
        <w:t xml:space="preserve"> noraidī</w:t>
      </w:r>
      <w:r w:rsidRPr="00C51833">
        <w:t>t</w:t>
      </w:r>
      <w:r w:rsidR="000D6B28" w:rsidRPr="00C51833">
        <w:t>a</w:t>
      </w:r>
      <w:r w:rsidR="00030262" w:rsidRPr="00C51833">
        <w:t>.</w:t>
      </w:r>
    </w:p>
    <w:p w14:paraId="495F5B8E" w14:textId="77777777" w:rsidR="00C6340F" w:rsidRPr="00C51833" w:rsidRDefault="00C6340F" w:rsidP="00C51833">
      <w:pPr>
        <w:spacing w:line="276" w:lineRule="auto"/>
        <w:ind w:firstLine="720"/>
        <w:jc w:val="both"/>
      </w:pPr>
    </w:p>
    <w:p w14:paraId="63243C72" w14:textId="4BE6CD05" w:rsidR="00030262" w:rsidRPr="00C51833" w:rsidRDefault="00C6340F" w:rsidP="00C51833">
      <w:pPr>
        <w:spacing w:line="276" w:lineRule="auto"/>
        <w:ind w:firstLine="720"/>
        <w:jc w:val="both"/>
      </w:pPr>
      <w:r w:rsidRPr="00C51833">
        <w:t xml:space="preserve">[6] Ar </w:t>
      </w:r>
      <w:r w:rsidR="00030262" w:rsidRPr="00C51833">
        <w:t>Senāt</w:t>
      </w:r>
      <w:r w:rsidRPr="00C51833">
        <w:t>a</w:t>
      </w:r>
      <w:r w:rsidR="00030262" w:rsidRPr="00C51833">
        <w:t xml:space="preserve"> 2021.</w:t>
      </w:r>
      <w:r w:rsidR="003C1D5B">
        <w:t> </w:t>
      </w:r>
      <w:r w:rsidR="00030262" w:rsidRPr="00C51833">
        <w:t>gada 10.</w:t>
      </w:r>
      <w:r w:rsidR="003C1D5B">
        <w:t> </w:t>
      </w:r>
      <w:r w:rsidR="00030262" w:rsidRPr="00C51833">
        <w:t>septembra spriedumu</w:t>
      </w:r>
      <w:r w:rsidR="00611615" w:rsidRPr="00C51833">
        <w:t>, izskatot SIA „</w:t>
      </w:r>
      <w:proofErr w:type="spellStart"/>
      <w:r w:rsidR="00611615" w:rsidRPr="00C51833">
        <w:t>GelvoraSergel</w:t>
      </w:r>
      <w:proofErr w:type="spellEnd"/>
      <w:r w:rsidR="00611615" w:rsidRPr="00C51833">
        <w:t xml:space="preserve">” kasācijas sūdzību, </w:t>
      </w:r>
      <w:r w:rsidR="00030262" w:rsidRPr="00C51833">
        <w:t>Kurzemes apgabaltiesas 2020.</w:t>
      </w:r>
      <w:r w:rsidR="003C1D5B">
        <w:t> </w:t>
      </w:r>
      <w:r w:rsidR="00030262" w:rsidRPr="00C51833">
        <w:t>gada 2.</w:t>
      </w:r>
      <w:r w:rsidR="003C1D5B">
        <w:t> </w:t>
      </w:r>
      <w:r w:rsidR="00030262" w:rsidRPr="00C51833">
        <w:t>marta spriedum</w:t>
      </w:r>
      <w:r w:rsidRPr="00C51833">
        <w:t>s</w:t>
      </w:r>
      <w:r w:rsidR="00030262" w:rsidRPr="00C51833">
        <w:t xml:space="preserve"> </w:t>
      </w:r>
      <w:r w:rsidR="003F1FC5" w:rsidRPr="00C51833">
        <w:t xml:space="preserve">atcelts </w:t>
      </w:r>
      <w:r w:rsidR="00030262" w:rsidRPr="00C51833">
        <w:t>un liet</w:t>
      </w:r>
      <w:r w:rsidRPr="00C51833">
        <w:t xml:space="preserve">a </w:t>
      </w:r>
      <w:r w:rsidR="00030262" w:rsidRPr="00C51833">
        <w:t>nod</w:t>
      </w:r>
      <w:r w:rsidRPr="00C51833">
        <w:t>ota</w:t>
      </w:r>
      <w:r w:rsidR="00030262" w:rsidRPr="00C51833">
        <w:t xml:space="preserve"> jaunai izskatīšanai apelācijas instances tiesā.</w:t>
      </w:r>
    </w:p>
    <w:p w14:paraId="7D5E809D" w14:textId="77777777" w:rsidR="00CF76D0" w:rsidRPr="00C51833" w:rsidRDefault="00CF76D0" w:rsidP="00C51833">
      <w:pPr>
        <w:spacing w:line="276" w:lineRule="auto"/>
        <w:ind w:firstLine="720"/>
        <w:jc w:val="both"/>
      </w:pPr>
    </w:p>
    <w:p w14:paraId="262D599B" w14:textId="42BA2556" w:rsidR="00C6340F" w:rsidRPr="00C51833" w:rsidRDefault="009A5821" w:rsidP="00C51833">
      <w:pPr>
        <w:shd w:val="clear" w:color="auto" w:fill="FFFFFF"/>
        <w:spacing w:line="276" w:lineRule="auto"/>
        <w:ind w:firstLine="709"/>
        <w:jc w:val="both"/>
      </w:pPr>
      <w:r w:rsidRPr="00C51833">
        <w:t>[</w:t>
      </w:r>
      <w:r w:rsidR="00C6340F" w:rsidRPr="00C51833">
        <w:t>7</w:t>
      </w:r>
      <w:r w:rsidR="00996895" w:rsidRPr="00C51833">
        <w:t>]</w:t>
      </w:r>
      <w:r w:rsidR="00AC60C8" w:rsidRPr="00C51833">
        <w:t> </w:t>
      </w:r>
      <w:r w:rsidR="00CF76D0" w:rsidRPr="00C51833">
        <w:t>Izskat</w:t>
      </w:r>
      <w:r w:rsidR="00C6340F" w:rsidRPr="00C51833">
        <w:t>ījusi</w:t>
      </w:r>
      <w:r w:rsidR="00CF76D0" w:rsidRPr="00C51833">
        <w:t xml:space="preserve"> lietu atkārtoti, Kurzemes apgabaltiesa 2021.</w:t>
      </w:r>
      <w:r w:rsidR="000A7774">
        <w:t> </w:t>
      </w:r>
      <w:r w:rsidR="00CF76D0" w:rsidRPr="00C51833">
        <w:t xml:space="preserve">gada </w:t>
      </w:r>
      <w:proofErr w:type="gramStart"/>
      <w:r w:rsidR="00CF76D0" w:rsidRPr="00C51833">
        <w:t>29.novembrī</w:t>
      </w:r>
      <w:proofErr w:type="gramEnd"/>
      <w:r w:rsidR="00CF76D0" w:rsidRPr="00C51833">
        <w:t xml:space="preserve"> nosprieda prasību noraidīt un piedzīt no SIA „</w:t>
      </w:r>
      <w:proofErr w:type="spellStart"/>
      <w:r w:rsidR="00CF76D0" w:rsidRPr="00C51833">
        <w:t>GelvoraSergel</w:t>
      </w:r>
      <w:proofErr w:type="spellEnd"/>
      <w:r w:rsidR="00CF76D0" w:rsidRPr="00C51833">
        <w:t xml:space="preserve">” </w:t>
      </w:r>
      <w:r w:rsidR="00C51833">
        <w:t xml:space="preserve">[pers. A] </w:t>
      </w:r>
      <w:r w:rsidR="00CF76D0" w:rsidRPr="00C51833">
        <w:t>labā tiesas izdevumus 100 </w:t>
      </w:r>
      <w:proofErr w:type="spellStart"/>
      <w:r w:rsidR="00CF76D0" w:rsidRPr="00C51833">
        <w:rPr>
          <w:i/>
          <w:iCs/>
        </w:rPr>
        <w:t>euro</w:t>
      </w:r>
      <w:proofErr w:type="spellEnd"/>
      <w:r w:rsidR="00CF76D0" w:rsidRPr="00C51833">
        <w:t xml:space="preserve">, bet valsts </w:t>
      </w:r>
      <w:r w:rsidR="00611615" w:rsidRPr="00C51833">
        <w:t>labā</w:t>
      </w:r>
      <w:r w:rsidR="00CF76D0" w:rsidRPr="00C51833">
        <w:t xml:space="preserve"> – tiesas izdevumus 144,76 </w:t>
      </w:r>
      <w:proofErr w:type="spellStart"/>
      <w:r w:rsidR="00CF76D0" w:rsidRPr="00C51833">
        <w:rPr>
          <w:i/>
          <w:iCs/>
        </w:rPr>
        <w:t>euro</w:t>
      </w:r>
      <w:proofErr w:type="spellEnd"/>
      <w:r w:rsidR="00CF76D0" w:rsidRPr="00C51833">
        <w:t>.</w:t>
      </w:r>
    </w:p>
    <w:p w14:paraId="70828083" w14:textId="6C9D8B4B" w:rsidR="00C6340F" w:rsidRPr="00C51833" w:rsidRDefault="00C6340F" w:rsidP="00C51833">
      <w:pPr>
        <w:shd w:val="clear" w:color="auto" w:fill="FFFFFF"/>
        <w:spacing w:line="276" w:lineRule="auto"/>
        <w:ind w:firstLine="709"/>
        <w:jc w:val="both"/>
      </w:pPr>
      <w:r w:rsidRPr="00C51833">
        <w:t>Spriedum</w:t>
      </w:r>
      <w:r w:rsidR="00611615" w:rsidRPr="00C51833">
        <w:t xml:space="preserve">s pamatots ar </w:t>
      </w:r>
      <w:r w:rsidRPr="00C51833">
        <w:t>šādi</w:t>
      </w:r>
      <w:r w:rsidR="00611615" w:rsidRPr="00C51833">
        <w:t>em</w:t>
      </w:r>
      <w:r w:rsidRPr="00C51833">
        <w:t xml:space="preserve"> motīvi</w:t>
      </w:r>
      <w:r w:rsidR="00611615" w:rsidRPr="00C51833">
        <w:t>em</w:t>
      </w:r>
      <w:r w:rsidRPr="00C51833">
        <w:t>.</w:t>
      </w:r>
    </w:p>
    <w:p w14:paraId="6338FBAF" w14:textId="328DC630" w:rsidR="00951796" w:rsidRPr="00C51833" w:rsidRDefault="00C6340F" w:rsidP="00C51833">
      <w:pPr>
        <w:shd w:val="clear" w:color="auto" w:fill="FFFFFF"/>
        <w:spacing w:line="276" w:lineRule="auto"/>
        <w:ind w:firstLine="709"/>
        <w:jc w:val="both"/>
      </w:pPr>
      <w:r w:rsidRPr="00C51833">
        <w:t>[7.1] </w:t>
      </w:r>
      <w:r w:rsidR="00CE3621" w:rsidRPr="00C51833">
        <w:t xml:space="preserve">Nav strīda, ka </w:t>
      </w:r>
      <w:r w:rsidR="00951796" w:rsidRPr="00C51833">
        <w:t>bank</w:t>
      </w:r>
      <w:r w:rsidR="002F5D90" w:rsidRPr="00C51833">
        <w:t>a</w:t>
      </w:r>
      <w:r w:rsidR="00951796" w:rsidRPr="00C51833">
        <w:t xml:space="preserve"> </w:t>
      </w:r>
      <w:r w:rsidRPr="00C51833">
        <w:t>no kredītlīnijas līguma</w:t>
      </w:r>
      <w:r w:rsidR="00B642B1" w:rsidRPr="00C51833">
        <w:t xml:space="preserve"> </w:t>
      </w:r>
      <w:r w:rsidR="00CE3621" w:rsidRPr="00C51833">
        <w:t xml:space="preserve">vienpusēji atkāpās </w:t>
      </w:r>
      <w:r w:rsidR="00B642B1" w:rsidRPr="00C51833">
        <w:t>2009.</w:t>
      </w:r>
      <w:r w:rsidR="003C1D5B">
        <w:t> </w:t>
      </w:r>
      <w:r w:rsidR="00B642B1" w:rsidRPr="00C51833">
        <w:t>gada 8.</w:t>
      </w:r>
      <w:r w:rsidR="003C1D5B">
        <w:t> </w:t>
      </w:r>
      <w:r w:rsidR="00B642B1" w:rsidRPr="00C51833">
        <w:t>jūnijā</w:t>
      </w:r>
      <w:r w:rsidRPr="00C51833">
        <w:t>. Tā</w:t>
      </w:r>
      <w:r w:rsidR="00951796" w:rsidRPr="00C51833">
        <w:t xml:space="preserve">tad </w:t>
      </w:r>
      <w:r w:rsidRPr="00C51833">
        <w:t>saskaņā ar līguma 8.2.</w:t>
      </w:r>
      <w:r w:rsidR="003C1D5B">
        <w:t> </w:t>
      </w:r>
      <w:r w:rsidRPr="00C51833">
        <w:t>punktu prasījuma tiesību noilguma termiņa sākuma datums ir 2009.</w:t>
      </w:r>
      <w:r w:rsidR="000A7774">
        <w:t> </w:t>
      </w:r>
      <w:r w:rsidRPr="00C51833">
        <w:t>gada 16.</w:t>
      </w:r>
      <w:r w:rsidR="000A7774">
        <w:t> </w:t>
      </w:r>
      <w:r w:rsidRPr="00C51833">
        <w:t>jūnijs, kad atbildētājam iestājās parāda samaksas pienākums.</w:t>
      </w:r>
    </w:p>
    <w:p w14:paraId="63F2F5FB" w14:textId="40D3BA81" w:rsidR="00951796" w:rsidRPr="00C51833" w:rsidRDefault="00B642B1" w:rsidP="00C51833">
      <w:pPr>
        <w:shd w:val="clear" w:color="auto" w:fill="FFFFFF"/>
        <w:spacing w:line="276" w:lineRule="auto"/>
        <w:ind w:firstLine="709"/>
        <w:jc w:val="both"/>
      </w:pPr>
      <w:r w:rsidRPr="00C51833">
        <w:t xml:space="preserve">Kredītlīnijas līgums </w:t>
      </w:r>
      <w:r w:rsidR="00951796" w:rsidRPr="00C51833">
        <w:t>atbilstoši Komerclikuma 388.</w:t>
      </w:r>
      <w:r w:rsidR="003C1D5B">
        <w:t> </w:t>
      </w:r>
      <w:r w:rsidR="00951796" w:rsidRPr="00C51833">
        <w:t xml:space="preserve">pantam ir vienpusējs komercdarījums, uz kuru attiecināms </w:t>
      </w:r>
      <w:r w:rsidR="00FC4052" w:rsidRPr="00C51833">
        <w:t>Komerc</w:t>
      </w:r>
      <w:r w:rsidR="00951796" w:rsidRPr="00C51833">
        <w:t>likuma 406.</w:t>
      </w:r>
      <w:r w:rsidR="003C1D5B">
        <w:t> </w:t>
      </w:r>
      <w:r w:rsidR="00951796" w:rsidRPr="00C51833">
        <w:t xml:space="preserve">pantā paredzētais trīs gadu noilguma termiņš, kā arī </w:t>
      </w:r>
      <w:r w:rsidR="00FC4052" w:rsidRPr="00C51833">
        <w:t xml:space="preserve">šī </w:t>
      </w:r>
      <w:r w:rsidR="00951796" w:rsidRPr="00C51833">
        <w:t>likuma pārejas noteikumu 16.</w:t>
      </w:r>
      <w:r w:rsidR="003C1D5B">
        <w:t> </w:t>
      </w:r>
      <w:r w:rsidR="00951796" w:rsidRPr="00C51833">
        <w:t>punkts</w:t>
      </w:r>
      <w:r w:rsidR="00FC4052" w:rsidRPr="00C51833">
        <w:t>, saskaņā ar kuru noilguma termiņš skaitāms no 2010.</w:t>
      </w:r>
      <w:r w:rsidR="000A7774">
        <w:t> </w:t>
      </w:r>
      <w:r w:rsidR="00FC4052" w:rsidRPr="00C51833">
        <w:t>gada 1.</w:t>
      </w:r>
      <w:r w:rsidR="000A7774">
        <w:t> </w:t>
      </w:r>
      <w:r w:rsidR="00FC4052" w:rsidRPr="00C51833">
        <w:t>janvāra</w:t>
      </w:r>
      <w:r w:rsidR="00951796" w:rsidRPr="00C51833">
        <w:t xml:space="preserve">. </w:t>
      </w:r>
      <w:r w:rsidR="00562613" w:rsidRPr="00C51833">
        <w:t xml:space="preserve">Līdz ar to </w:t>
      </w:r>
      <w:r w:rsidR="00951796" w:rsidRPr="00C51833">
        <w:t xml:space="preserve">noilgums no </w:t>
      </w:r>
      <w:r w:rsidRPr="00C51833">
        <w:t xml:space="preserve">kredītlīnijas </w:t>
      </w:r>
      <w:r w:rsidR="00951796" w:rsidRPr="00C51833">
        <w:t>līguma izrietošajiem prasījumiem iestājās 2013.</w:t>
      </w:r>
      <w:r w:rsidR="000A7774">
        <w:t> </w:t>
      </w:r>
      <w:r w:rsidR="00951796" w:rsidRPr="00C51833">
        <w:t>gada 1.</w:t>
      </w:r>
      <w:r w:rsidR="000A7774">
        <w:t> </w:t>
      </w:r>
      <w:r w:rsidR="00951796" w:rsidRPr="00C51833">
        <w:t>janvārī.</w:t>
      </w:r>
    </w:p>
    <w:p w14:paraId="6EC5E7FA" w14:textId="281ABFAA" w:rsidR="00C6340F" w:rsidRPr="00C51833" w:rsidRDefault="00B642B1" w:rsidP="00C51833">
      <w:pPr>
        <w:shd w:val="clear" w:color="auto" w:fill="FFFFFF"/>
        <w:spacing w:line="276" w:lineRule="auto"/>
        <w:ind w:firstLine="709"/>
        <w:jc w:val="both"/>
      </w:pPr>
      <w:r w:rsidRPr="00C51833">
        <w:t>[7.2] </w:t>
      </w:r>
      <w:r w:rsidR="00C6340F" w:rsidRPr="00C51833">
        <w:t>Prasītāja</w:t>
      </w:r>
      <w:r w:rsidR="00F14BBE" w:rsidRPr="00C51833">
        <w:t xml:space="preserve">s ieskatā noilgumu pārtrauc </w:t>
      </w:r>
      <w:r w:rsidR="00C6340F" w:rsidRPr="00C51833">
        <w:t>vairāk</w:t>
      </w:r>
      <w:r w:rsidR="00F14BBE" w:rsidRPr="00C51833">
        <w:t>i</w:t>
      </w:r>
      <w:r w:rsidR="00C6340F" w:rsidRPr="00C51833">
        <w:t xml:space="preserve"> </w:t>
      </w:r>
      <w:r w:rsidRPr="00C51833">
        <w:t>atbildētājam nosūtīt</w:t>
      </w:r>
      <w:r w:rsidR="00F14BBE" w:rsidRPr="00C51833">
        <w:t>i</w:t>
      </w:r>
      <w:r w:rsidRPr="00C51833">
        <w:t xml:space="preserve"> </w:t>
      </w:r>
      <w:r w:rsidR="00C6340F" w:rsidRPr="00C51833">
        <w:t>atgādinājum</w:t>
      </w:r>
      <w:r w:rsidR="00F14BBE" w:rsidRPr="00C51833">
        <w:t>i</w:t>
      </w:r>
      <w:r w:rsidR="00C6340F" w:rsidRPr="00C51833">
        <w:t xml:space="preserve"> par saistību izpildi.</w:t>
      </w:r>
    </w:p>
    <w:p w14:paraId="33319989" w14:textId="49E01640" w:rsidR="00C6340F" w:rsidRPr="00C51833" w:rsidRDefault="00C6340F" w:rsidP="00C51833">
      <w:pPr>
        <w:shd w:val="clear" w:color="auto" w:fill="FFFFFF"/>
        <w:spacing w:line="276" w:lineRule="auto"/>
        <w:ind w:firstLine="709"/>
        <w:jc w:val="both"/>
      </w:pPr>
      <w:r w:rsidRPr="00C51833">
        <w:t xml:space="preserve">Kreditora atgādinājumam, lai tas </w:t>
      </w:r>
      <w:r w:rsidR="006534E4" w:rsidRPr="00C51833">
        <w:t>atbilstu</w:t>
      </w:r>
      <w:r w:rsidRPr="00C51833">
        <w:t xml:space="preserve"> Civillikuma 1905.</w:t>
      </w:r>
      <w:r w:rsidR="000A7774">
        <w:t> </w:t>
      </w:r>
      <w:r w:rsidRPr="00C51833">
        <w:t>pant</w:t>
      </w:r>
      <w:r w:rsidR="006534E4" w:rsidRPr="00C51833">
        <w:t>a prasībām</w:t>
      </w:r>
      <w:r w:rsidRPr="00C51833">
        <w:t xml:space="preserve">, ir jābūt nogādātam parādnieka </w:t>
      </w:r>
      <w:r w:rsidR="00B642B1" w:rsidRPr="00C51833">
        <w:t>„</w:t>
      </w:r>
      <w:r w:rsidRPr="00C51833">
        <w:t>varas sfērā”. Proti, kā tas atzīts Senāta 2020.</w:t>
      </w:r>
      <w:r w:rsidR="000A7774">
        <w:t> </w:t>
      </w:r>
      <w:r w:rsidRPr="00C51833">
        <w:t xml:space="preserve">gada </w:t>
      </w:r>
      <w:r w:rsidRPr="00C51833">
        <w:lastRenderedPageBreak/>
        <w:t>3.</w:t>
      </w:r>
      <w:r w:rsidR="000A7774">
        <w:t> </w:t>
      </w:r>
      <w:r w:rsidRPr="00C51833">
        <w:t>decembra spriedumā lietā Nr.</w:t>
      </w:r>
      <w:r w:rsidR="00B642B1" w:rsidRPr="00C51833">
        <w:t> </w:t>
      </w:r>
      <w:r w:rsidRPr="00C51833">
        <w:t>SKC-12/2020, esot pierādījumiem par kreditora atgādinājuma nosūtīšanu parādniekam</w:t>
      </w:r>
      <w:r w:rsidR="00140F0D" w:rsidRPr="00C51833">
        <w:t>,</w:t>
      </w:r>
      <w:r w:rsidRPr="00C51833">
        <w:t xml:space="preserve"> neatkarīgi no tā, kādā veidā tiesīgā persona veikusi minētās darbības, ir pamats konstatējumam – kreditora gribas izteikums adresātam paziņots pienācīgā kārtā jeb nogādāts parādnieka </w:t>
      </w:r>
      <w:r w:rsidR="00B642B1" w:rsidRPr="00C51833">
        <w:t>„</w:t>
      </w:r>
      <w:r w:rsidRPr="00C51833">
        <w:t xml:space="preserve">varas sfērā”. </w:t>
      </w:r>
      <w:r w:rsidR="002F5D90" w:rsidRPr="00C51833">
        <w:t>N</w:t>
      </w:r>
      <w:r w:rsidRPr="00C51833">
        <w:t>eviena tiesību norma neuzliek kreditoram pienākumu pierādīt faktu, ka parādniekam nosūtīto atgādinājumu pēdējais patiešām saņēmis. Respektīvi, likumdevējs izšķīries par tādu civiltiesību sistēmai atbilstošu un uz Civillikuma 1587.</w:t>
      </w:r>
      <w:r w:rsidR="000A7774">
        <w:t> </w:t>
      </w:r>
      <w:r w:rsidRPr="00C51833">
        <w:t xml:space="preserve">pantā nostiprinātā </w:t>
      </w:r>
      <w:proofErr w:type="spellStart"/>
      <w:r w:rsidRPr="00C51833">
        <w:rPr>
          <w:i/>
          <w:iCs/>
        </w:rPr>
        <w:t>pacta</w:t>
      </w:r>
      <w:proofErr w:type="spellEnd"/>
      <w:r w:rsidRPr="00C51833">
        <w:rPr>
          <w:i/>
          <w:iCs/>
        </w:rPr>
        <w:t xml:space="preserve"> </w:t>
      </w:r>
      <w:proofErr w:type="spellStart"/>
      <w:r w:rsidRPr="00C51833">
        <w:rPr>
          <w:i/>
          <w:iCs/>
        </w:rPr>
        <w:t>sunt</w:t>
      </w:r>
      <w:proofErr w:type="spellEnd"/>
      <w:r w:rsidRPr="00C51833">
        <w:rPr>
          <w:i/>
          <w:iCs/>
        </w:rPr>
        <w:t xml:space="preserve"> </w:t>
      </w:r>
      <w:proofErr w:type="spellStart"/>
      <w:r w:rsidRPr="00C51833">
        <w:rPr>
          <w:i/>
          <w:iCs/>
        </w:rPr>
        <w:t>servanda</w:t>
      </w:r>
      <w:proofErr w:type="spellEnd"/>
      <w:r w:rsidRPr="00C51833">
        <w:t xml:space="preserve"> principa ievērošanu vērstu darījuma dalībnieku savstarpējo tiesisko attiecību noregulējumu, kas nepieļauj situāciju, kad tiesas aizsardzību varētu baudīt parādnieks, kurš, pārkāpdams noslēgtās vienošanās noteikumus, nepaziņo kreditoram par izmaiņām līgumā atspoguļotajā kontaktinformācijā vai citādi izvairās no jebkādas komunikācijas ar kreditoru, tādējādi</w:t>
      </w:r>
      <w:r w:rsidR="00F70C67" w:rsidRPr="00C51833">
        <w:t>,</w:t>
      </w:r>
      <w:r w:rsidRPr="00C51833">
        <w:t xml:space="preserve"> ignorējot sadarbošanās pienākumu, ir rīkojies acīmredzami negodprātīgi</w:t>
      </w:r>
      <w:r w:rsidR="00B642B1" w:rsidRPr="00C51833">
        <w:t>.</w:t>
      </w:r>
    </w:p>
    <w:p w14:paraId="071F1559" w14:textId="77777777" w:rsidR="000C58D4" w:rsidRPr="00C51833" w:rsidRDefault="00562613" w:rsidP="00C51833">
      <w:pPr>
        <w:shd w:val="clear" w:color="auto" w:fill="FFFFFF"/>
        <w:spacing w:line="276" w:lineRule="auto"/>
        <w:ind w:firstLine="709"/>
        <w:jc w:val="both"/>
      </w:pPr>
      <w:r w:rsidRPr="00C51833">
        <w:t>Līdz ar to</w:t>
      </w:r>
      <w:r w:rsidR="00C6340F" w:rsidRPr="00C51833">
        <w:t>, lai noilgum</w:t>
      </w:r>
      <w:r w:rsidR="00F70C67" w:rsidRPr="00C51833">
        <w:t>s</w:t>
      </w:r>
      <w:r w:rsidR="00C6340F" w:rsidRPr="00C51833">
        <w:t xml:space="preserve"> būtu atzīstams par pārtrauktu, ir jāpierāda kreditora brīdinājuma (atgādinājuma) nosūtīšanas fakts.</w:t>
      </w:r>
      <w:r w:rsidRPr="00C51833">
        <w:t xml:space="preserve"> </w:t>
      </w:r>
    </w:p>
    <w:p w14:paraId="6ADA650A" w14:textId="1355E277" w:rsidR="00562613" w:rsidRPr="00C51833" w:rsidRDefault="006D08A3" w:rsidP="00C51833">
      <w:pPr>
        <w:shd w:val="clear" w:color="auto" w:fill="FFFFFF"/>
        <w:spacing w:line="276" w:lineRule="auto"/>
        <w:ind w:firstLine="709"/>
        <w:jc w:val="both"/>
      </w:pPr>
      <w:r w:rsidRPr="00C51833">
        <w:t xml:space="preserve">[7.3] </w:t>
      </w:r>
      <w:r w:rsidR="000C58D4" w:rsidRPr="00C51833">
        <w:t>P</w:t>
      </w:r>
      <w:r w:rsidR="00D07A65" w:rsidRPr="00C51833">
        <w:t xml:space="preserve">rasītāja iesniedza </w:t>
      </w:r>
      <w:r w:rsidR="00C6340F" w:rsidRPr="00C51833">
        <w:t>rakstveida pierādījum</w:t>
      </w:r>
      <w:r w:rsidR="00D07A65" w:rsidRPr="00C51833">
        <w:t>us</w:t>
      </w:r>
      <w:r w:rsidR="00C6340F" w:rsidRPr="00C51833">
        <w:t xml:space="preserve"> par brīdinājuma nosūtīšanu</w:t>
      </w:r>
      <w:r w:rsidR="00562613" w:rsidRPr="00C51833">
        <w:t xml:space="preserve"> 2010.</w:t>
      </w:r>
      <w:r w:rsidR="000A7774">
        <w:t> </w:t>
      </w:r>
      <w:r w:rsidR="00562613" w:rsidRPr="00C51833">
        <w:t>gada 10.</w:t>
      </w:r>
      <w:r w:rsidR="000A7774">
        <w:t> </w:t>
      </w:r>
      <w:r w:rsidR="00562613" w:rsidRPr="00C51833">
        <w:t>decembrī, 2013.</w:t>
      </w:r>
      <w:r w:rsidR="000A7774">
        <w:t> </w:t>
      </w:r>
      <w:r w:rsidR="00562613" w:rsidRPr="00C51833">
        <w:t>gada 4.</w:t>
      </w:r>
      <w:r w:rsidR="000A7774">
        <w:t> </w:t>
      </w:r>
      <w:r w:rsidR="00562613" w:rsidRPr="00C51833">
        <w:t>septembrī, 2014.</w:t>
      </w:r>
      <w:r w:rsidR="000A7774">
        <w:t> </w:t>
      </w:r>
      <w:r w:rsidR="00562613" w:rsidRPr="00C51833">
        <w:t>gada 3.</w:t>
      </w:r>
      <w:r w:rsidR="000A7774">
        <w:t> </w:t>
      </w:r>
      <w:r w:rsidR="00562613" w:rsidRPr="00C51833">
        <w:t>decembrī, 2016.</w:t>
      </w:r>
      <w:r w:rsidR="000A7774">
        <w:t> </w:t>
      </w:r>
      <w:r w:rsidR="00562613" w:rsidRPr="00C51833">
        <w:t>gada 10.</w:t>
      </w:r>
      <w:r w:rsidR="000A7774">
        <w:t> </w:t>
      </w:r>
      <w:r w:rsidR="00562613" w:rsidRPr="00C51833">
        <w:t>februārī un 2016.</w:t>
      </w:r>
      <w:r w:rsidR="000A7774">
        <w:t> </w:t>
      </w:r>
      <w:r w:rsidR="00562613" w:rsidRPr="00C51833">
        <w:t>gada 5.</w:t>
      </w:r>
      <w:r w:rsidR="000A7774">
        <w:t> </w:t>
      </w:r>
      <w:r w:rsidR="00562613" w:rsidRPr="00C51833">
        <w:t>jūlijā.</w:t>
      </w:r>
    </w:p>
    <w:p w14:paraId="2FEB9759" w14:textId="20D54C99" w:rsidR="00562613" w:rsidRPr="00C51833" w:rsidRDefault="002F5D90" w:rsidP="00C51833">
      <w:pPr>
        <w:shd w:val="clear" w:color="auto" w:fill="FFFFFF"/>
        <w:spacing w:line="276" w:lineRule="auto"/>
        <w:ind w:firstLine="709"/>
        <w:jc w:val="both"/>
      </w:pPr>
      <w:r w:rsidRPr="00C51833">
        <w:t>Pirmie divi</w:t>
      </w:r>
      <w:r w:rsidR="00C6340F" w:rsidRPr="00C51833">
        <w:t xml:space="preserve"> atgādinājumi </w:t>
      </w:r>
      <w:r w:rsidR="00D07A65" w:rsidRPr="00C51833">
        <w:t xml:space="preserve">atbildētājam </w:t>
      </w:r>
      <w:r w:rsidR="00C6340F" w:rsidRPr="00C51833">
        <w:t xml:space="preserve">nosūtīti uz kredītlīnijas līgumā norādīto adresi, kas </w:t>
      </w:r>
      <w:r w:rsidR="00CE3621" w:rsidRPr="00C51833">
        <w:t xml:space="preserve">šo </w:t>
      </w:r>
      <w:r w:rsidR="00C6340F" w:rsidRPr="00C51833">
        <w:t>atgādinājumu nosūtīšanas brīdī nebija ne</w:t>
      </w:r>
      <w:r w:rsidR="00562613" w:rsidRPr="00C51833">
        <w:t>dz</w:t>
      </w:r>
      <w:r w:rsidR="00C6340F" w:rsidRPr="00C51833">
        <w:t xml:space="preserve"> viņa faktiskā, ne</w:t>
      </w:r>
      <w:r w:rsidR="00562613" w:rsidRPr="00C51833">
        <w:t>dz</w:t>
      </w:r>
      <w:r w:rsidR="00C6340F" w:rsidRPr="00C51833">
        <w:t xml:space="preserve"> deklarētā dzīvesvietas adrese.</w:t>
      </w:r>
    </w:p>
    <w:p w14:paraId="7BC66FFD" w14:textId="01BC1883" w:rsidR="00C6340F" w:rsidRPr="00C51833" w:rsidRDefault="00C6340F" w:rsidP="00C51833">
      <w:pPr>
        <w:shd w:val="clear" w:color="auto" w:fill="FFFFFF"/>
        <w:spacing w:line="276" w:lineRule="auto"/>
        <w:ind w:firstLine="709"/>
        <w:jc w:val="both"/>
      </w:pPr>
      <w:r w:rsidRPr="00C51833">
        <w:t>2010.</w:t>
      </w:r>
      <w:r w:rsidR="000A7774">
        <w:t> </w:t>
      </w:r>
      <w:r w:rsidRPr="00C51833">
        <w:t>gada 10.</w:t>
      </w:r>
      <w:r w:rsidR="000A7774">
        <w:t> </w:t>
      </w:r>
      <w:r w:rsidRPr="00C51833">
        <w:t>decembra atgādinājuma nosūtīšanu</w:t>
      </w:r>
      <w:r w:rsidR="00562613" w:rsidRPr="00C51833">
        <w:t xml:space="preserve"> </w:t>
      </w:r>
      <w:r w:rsidRPr="00C51833">
        <w:t xml:space="preserve">apliecina saraksts ar </w:t>
      </w:r>
      <w:r w:rsidR="000C58D4" w:rsidRPr="00C51833">
        <w:t xml:space="preserve">valsts </w:t>
      </w:r>
      <w:r w:rsidRPr="00C51833">
        <w:t>AS</w:t>
      </w:r>
      <w:r w:rsidR="00562613" w:rsidRPr="00C51833">
        <w:t> „</w:t>
      </w:r>
      <w:r w:rsidRPr="00C51833">
        <w:t>Latvijas Pasts” vēstuļu šķirošanas cehā nodot</w:t>
      </w:r>
      <w:r w:rsidR="000C58D4" w:rsidRPr="00C51833">
        <w:t>aj</w:t>
      </w:r>
      <w:r w:rsidRPr="00C51833">
        <w:t xml:space="preserve">ām vēstulēm un </w:t>
      </w:r>
      <w:r w:rsidR="000C58D4" w:rsidRPr="00C51833">
        <w:t xml:space="preserve">valsts </w:t>
      </w:r>
      <w:r w:rsidRPr="00C51833">
        <w:t>AS</w:t>
      </w:r>
      <w:r w:rsidR="00562613" w:rsidRPr="00C51833">
        <w:t> „</w:t>
      </w:r>
      <w:r w:rsidRPr="00C51833">
        <w:t>Latvijas Pasts” vairumā nodoto reģistrēto sūtījumu saraksts</w:t>
      </w:r>
      <w:r w:rsidR="000C58D4" w:rsidRPr="00C51833">
        <w:t xml:space="preserve"> (liet</w:t>
      </w:r>
      <w:r w:rsidR="009A0F3A" w:rsidRPr="00C51833">
        <w:t>a</w:t>
      </w:r>
      <w:r w:rsidR="000C58D4" w:rsidRPr="00C51833">
        <w:t>s 1.</w:t>
      </w:r>
      <w:r w:rsidR="000A7774">
        <w:t> </w:t>
      </w:r>
      <w:r w:rsidR="000C58D4" w:rsidRPr="00C51833">
        <w:t>sējuma 36., 37., 228.</w:t>
      </w:r>
      <w:r w:rsidR="000A7774">
        <w:t> </w:t>
      </w:r>
      <w:r w:rsidR="000C58D4" w:rsidRPr="00C51833">
        <w:t>lapa).</w:t>
      </w:r>
      <w:r w:rsidRPr="00C51833">
        <w:t xml:space="preserve"> </w:t>
      </w:r>
      <w:r w:rsidR="000C58D4" w:rsidRPr="00C51833">
        <w:t>P</w:t>
      </w:r>
      <w:r w:rsidRPr="00C51833">
        <w:t>ārējo atgādinājumu nosūtīšanu apliecina AS</w:t>
      </w:r>
      <w:r w:rsidR="00562613" w:rsidRPr="00C51833">
        <w:t> „</w:t>
      </w:r>
      <w:proofErr w:type="spellStart"/>
      <w:r w:rsidRPr="00C51833">
        <w:t>Fitek</w:t>
      </w:r>
      <w:proofErr w:type="spellEnd"/>
      <w:r w:rsidRPr="00C51833">
        <w:t>” izziņas, no kurām izriet, ka tā saskaņā ar sadarbības līgumu saņēm</w:t>
      </w:r>
      <w:r w:rsidR="00562613" w:rsidRPr="00C51833">
        <w:t>a</w:t>
      </w:r>
      <w:r w:rsidRPr="00C51833">
        <w:t xml:space="preserve"> no SIA</w:t>
      </w:r>
      <w:r w:rsidR="00562613" w:rsidRPr="00C51833">
        <w:t> „</w:t>
      </w:r>
      <w:proofErr w:type="spellStart"/>
      <w:r w:rsidRPr="00C51833">
        <w:t>Gelvora</w:t>
      </w:r>
      <w:proofErr w:type="spellEnd"/>
      <w:r w:rsidRPr="00C51833">
        <w:t xml:space="preserve">” nosūtāmo vēstuļu tekstus un informāciju vēstuļu nosūtīšanai un apliecina, ka vēstules tika sagatavotas un nodotas </w:t>
      </w:r>
      <w:r w:rsidR="000C58D4" w:rsidRPr="00C51833">
        <w:t xml:space="preserve">valsts </w:t>
      </w:r>
      <w:r w:rsidRPr="00C51833">
        <w:t xml:space="preserve">AS </w:t>
      </w:r>
      <w:r w:rsidR="00562613" w:rsidRPr="00C51833">
        <w:t>„</w:t>
      </w:r>
      <w:r w:rsidRPr="00C51833">
        <w:t xml:space="preserve">Latvijas Pasts” piegādei </w:t>
      </w:r>
      <w:r w:rsidR="00C51833">
        <w:t>[pers. A]</w:t>
      </w:r>
      <w:r w:rsidRPr="00C51833">
        <w:t>.</w:t>
      </w:r>
    </w:p>
    <w:p w14:paraId="0E62BDCC" w14:textId="7DAD93B1" w:rsidR="00D07A65" w:rsidRPr="00C51833" w:rsidRDefault="00C6340F" w:rsidP="00C51833">
      <w:pPr>
        <w:shd w:val="clear" w:color="auto" w:fill="FFFFFF"/>
        <w:spacing w:line="276" w:lineRule="auto"/>
        <w:ind w:firstLine="709"/>
        <w:jc w:val="both"/>
      </w:pPr>
      <w:r w:rsidRPr="00C51833">
        <w:t>Ņemot vērā, ka lietā pastāv strīds par parāda saistību paziņošanas faktu, proti, atbildētājs apgalvo, ka viņam sūtītos kreditor</w:t>
      </w:r>
      <w:r w:rsidR="00811E4D" w:rsidRPr="00C51833">
        <w:t>es</w:t>
      </w:r>
      <w:r w:rsidRPr="00C51833">
        <w:t xml:space="preserve"> paziņojumus nav saņēmis, uz kreditor</w:t>
      </w:r>
      <w:r w:rsidR="00811E4D" w:rsidRPr="00C51833">
        <w:t>i</w:t>
      </w:r>
      <w:r w:rsidRPr="00C51833">
        <w:t xml:space="preserve"> gulstas paziņošanas fakta pierādīšanas nasta.</w:t>
      </w:r>
      <w:r w:rsidR="00D07A65" w:rsidRPr="00C51833">
        <w:t xml:space="preserve"> </w:t>
      </w:r>
      <w:r w:rsidR="0035471F" w:rsidRPr="00C51833">
        <w:t>Šādos apstākļos</w:t>
      </w:r>
      <w:r w:rsidRPr="00C51833">
        <w:t xml:space="preserve"> tieši prasītājai ir pienākums pierādīt, ka atgādinājumi atbildētājam</w:t>
      </w:r>
      <w:proofErr w:type="gramStart"/>
      <w:r w:rsidR="00D07A65" w:rsidRPr="00C51833">
        <w:t xml:space="preserve"> patiešām nosūtīti likumā noteiktajā kārtībā</w:t>
      </w:r>
      <w:proofErr w:type="gramEnd"/>
      <w:r w:rsidRPr="00C51833">
        <w:t xml:space="preserve">, </w:t>
      </w:r>
      <w:r w:rsidR="00D07A65" w:rsidRPr="00C51833">
        <w:t>t. i.</w:t>
      </w:r>
      <w:r w:rsidRPr="00C51833">
        <w:t xml:space="preserve">, nogādāti atbildētāja </w:t>
      </w:r>
      <w:r w:rsidR="00D07A65" w:rsidRPr="00C51833">
        <w:t>„</w:t>
      </w:r>
      <w:r w:rsidRPr="00C51833">
        <w:t>varas sfērā”.</w:t>
      </w:r>
    </w:p>
    <w:p w14:paraId="6F134CCF" w14:textId="70F354DE" w:rsidR="00D07A65" w:rsidRPr="00C51833" w:rsidRDefault="00D07A65" w:rsidP="00C51833">
      <w:pPr>
        <w:shd w:val="clear" w:color="auto" w:fill="FFFFFF"/>
        <w:spacing w:line="276" w:lineRule="auto"/>
        <w:ind w:firstLine="709"/>
        <w:jc w:val="both"/>
      </w:pPr>
      <w:r w:rsidRPr="00C51833">
        <w:t>[7.</w:t>
      </w:r>
      <w:r w:rsidR="006D08A3" w:rsidRPr="00C51833">
        <w:t>4</w:t>
      </w:r>
      <w:r w:rsidRPr="00C51833">
        <w:t>] </w:t>
      </w:r>
      <w:r w:rsidR="0035471F" w:rsidRPr="00C51833">
        <w:t>K</w:t>
      </w:r>
      <w:r w:rsidR="00C6340F" w:rsidRPr="00C51833">
        <w:t xml:space="preserve">redītlīnijas līgumā ir norādīti līguma slēdzēju rekvizīti, tostarp </w:t>
      </w:r>
      <w:r w:rsidR="00C51833">
        <w:t>[pers. A]</w:t>
      </w:r>
      <w:r w:rsidR="00C6340F" w:rsidRPr="00C51833">
        <w:t xml:space="preserve"> dzīvesvietas adrese, taču no pušu līguma neizriet atbildētāja pienākums paziņot kreditor</w:t>
      </w:r>
      <w:r w:rsidR="00811E4D" w:rsidRPr="00C51833">
        <w:t>ei</w:t>
      </w:r>
      <w:r w:rsidR="00C6340F" w:rsidRPr="00C51833">
        <w:t xml:space="preserve"> par savas dzīvesvietas maiņu.</w:t>
      </w:r>
    </w:p>
    <w:p w14:paraId="6EA7E713" w14:textId="283694A6" w:rsidR="00C6340F" w:rsidRPr="00C51833" w:rsidRDefault="00C6340F" w:rsidP="00C51833">
      <w:pPr>
        <w:shd w:val="clear" w:color="auto" w:fill="FFFFFF"/>
        <w:spacing w:line="276" w:lineRule="auto"/>
        <w:ind w:firstLine="709"/>
        <w:jc w:val="both"/>
      </w:pPr>
      <w:r w:rsidRPr="00C51833">
        <w:t>Līgums izbeigts ar bankas vienpusēju atkāpšanos no līguma 2009.</w:t>
      </w:r>
      <w:r w:rsidR="000A7774">
        <w:t> </w:t>
      </w:r>
      <w:r w:rsidRPr="00C51833">
        <w:t>gada 8.</w:t>
      </w:r>
      <w:r w:rsidR="000A7774">
        <w:t> </w:t>
      </w:r>
      <w:r w:rsidRPr="00C51833">
        <w:t>jūnijā. Cesijas līgums noslēgts 2010.</w:t>
      </w:r>
      <w:r w:rsidR="000A7774">
        <w:t> </w:t>
      </w:r>
      <w:r w:rsidRPr="00C51833">
        <w:t>gada 26.</w:t>
      </w:r>
      <w:r w:rsidR="000A7774">
        <w:t> </w:t>
      </w:r>
      <w:r w:rsidRPr="00C51833">
        <w:t>novembrī, bet paziņojums par cesiju un parādu parādniekam nosūtīts 2010.</w:t>
      </w:r>
      <w:r w:rsidR="000A7774">
        <w:t> </w:t>
      </w:r>
      <w:r w:rsidRPr="00C51833">
        <w:t>gada 10.</w:t>
      </w:r>
      <w:r w:rsidR="000A7774">
        <w:t> </w:t>
      </w:r>
      <w:r w:rsidRPr="00C51833">
        <w:t>decembrī, proti</w:t>
      </w:r>
      <w:r w:rsidR="00D07A65" w:rsidRPr="00C51833">
        <w:t>,</w:t>
      </w:r>
      <w:r w:rsidRPr="00C51833">
        <w:t xml:space="preserve"> </w:t>
      </w:r>
      <w:proofErr w:type="gramStart"/>
      <w:r w:rsidRPr="00C51833">
        <w:t>vairāk kā</w:t>
      </w:r>
      <w:proofErr w:type="gramEnd"/>
      <w:r w:rsidRPr="00C51833">
        <w:t xml:space="preserve"> gadu pēc bankas atkāpšanās no līguma. Tādējādi no prasītājas kā kreditor</w:t>
      </w:r>
      <w:r w:rsidR="00811E4D" w:rsidRPr="00C51833">
        <w:t>es</w:t>
      </w:r>
      <w:r w:rsidRPr="00C51833">
        <w:t xml:space="preserve"> bija pamats sagaidīt, ka </w:t>
      </w:r>
      <w:r w:rsidR="00D07A65" w:rsidRPr="00C51833">
        <w:t>tā</w:t>
      </w:r>
      <w:r w:rsidRPr="00C51833">
        <w:t xml:space="preserve"> pārliecināsies par līgumā norādīto parādnieka rekvizītu atbilstību reālajai situācijai.</w:t>
      </w:r>
    </w:p>
    <w:p w14:paraId="7908A4BF" w14:textId="46865348" w:rsidR="00A61166" w:rsidRPr="00C51833" w:rsidRDefault="00C6340F" w:rsidP="00C51833">
      <w:pPr>
        <w:shd w:val="clear" w:color="auto" w:fill="FFFFFF"/>
        <w:spacing w:line="276" w:lineRule="auto"/>
        <w:ind w:firstLine="709"/>
        <w:jc w:val="both"/>
      </w:pPr>
      <w:r w:rsidRPr="00C51833">
        <w:t>Saskaņā ar Dzīvesvietas deklarēšanas likuma 3</w:t>
      </w:r>
      <w:proofErr w:type="gramStart"/>
      <w:r w:rsidR="0038400B">
        <w:t> </w:t>
      </w:r>
      <w:r w:rsidRPr="00C51833">
        <w:t>.</w:t>
      </w:r>
      <w:proofErr w:type="gramEnd"/>
      <w:r w:rsidRPr="00C51833">
        <w:t>panta pirmo daļu dzīvesvieta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w:t>
      </w:r>
      <w:r w:rsidR="00A61166" w:rsidRPr="00C51833">
        <w:t xml:space="preserve"> Atbilstoši </w:t>
      </w:r>
      <w:r w:rsidRPr="00C51833">
        <w:t>Paziņošanas likuma 4.</w:t>
      </w:r>
      <w:r w:rsidR="0038400B">
        <w:t> </w:t>
      </w:r>
      <w:r w:rsidRPr="00C51833">
        <w:t>panta pirm</w:t>
      </w:r>
      <w:r w:rsidR="00A61166" w:rsidRPr="00C51833">
        <w:t>ajai</w:t>
      </w:r>
      <w:r w:rsidRPr="00C51833">
        <w:t xml:space="preserve"> daļ</w:t>
      </w:r>
      <w:r w:rsidR="00A61166" w:rsidRPr="00C51833">
        <w:t>ai</w:t>
      </w:r>
      <w:r w:rsidRPr="00C51833">
        <w:t xml:space="preserve"> </w:t>
      </w:r>
      <w:r w:rsidRPr="00C51833">
        <w:lastRenderedPageBreak/>
        <w:t>fiziskajai personai dokumentu paziņo uz deklarētās dzīvesvietas adresi vai deklarācijā norādīto papildu adresi.</w:t>
      </w:r>
    </w:p>
    <w:p w14:paraId="6D4E06E2" w14:textId="6E0F7AEB" w:rsidR="00EE4DC5" w:rsidRPr="00C51833" w:rsidRDefault="00EE4DC5" w:rsidP="00C51833">
      <w:pPr>
        <w:shd w:val="clear" w:color="auto" w:fill="FFFFFF"/>
        <w:spacing w:line="276" w:lineRule="auto"/>
        <w:ind w:firstLine="709"/>
        <w:jc w:val="both"/>
      </w:pPr>
      <w:r w:rsidRPr="00C51833">
        <w:t>No Dzīvesvietas deklarēšanas likuma 3.</w:t>
      </w:r>
      <w:r w:rsidR="0038400B">
        <w:t> </w:t>
      </w:r>
      <w:r w:rsidRPr="00C51833">
        <w:t>panta pirmās daļas un 6.</w:t>
      </w:r>
      <w:r w:rsidR="0038400B">
        <w:t> </w:t>
      </w:r>
      <w:r w:rsidRPr="00C51833">
        <w:t>panta izriet prezumpcija, ka persona deklarētajā dzīvesvietā arī dzīvo.</w:t>
      </w:r>
    </w:p>
    <w:p w14:paraId="52550BC6" w14:textId="2658ADBC" w:rsidR="00507C95" w:rsidRPr="00C51833" w:rsidRDefault="00976949" w:rsidP="00C51833">
      <w:pPr>
        <w:shd w:val="clear" w:color="auto" w:fill="FFFFFF"/>
        <w:spacing w:line="276" w:lineRule="auto"/>
        <w:ind w:firstLine="709"/>
        <w:jc w:val="both"/>
      </w:pPr>
      <w:r w:rsidRPr="00C51833">
        <w:t>Tādējādi</w:t>
      </w:r>
      <w:r w:rsidR="004B4B00" w:rsidRPr="00C51833">
        <w:t xml:space="preserve"> </w:t>
      </w:r>
      <w:r w:rsidR="00C6340F" w:rsidRPr="00C51833">
        <w:t>paziņojumi atbildētājam bija jānosūta uz viņa deklarēt</w:t>
      </w:r>
      <w:r w:rsidR="004B4B00" w:rsidRPr="00C51833">
        <w:t>ās dzīvesvietas</w:t>
      </w:r>
      <w:r w:rsidR="00C6340F" w:rsidRPr="00C51833">
        <w:t xml:space="preserve"> adresi, nevis līgumā norādīto adresi (kurā viņš nav deklarēts), lai prasītājai būtu pamats paļauties uz adresāta sasniedzamību. </w:t>
      </w:r>
    </w:p>
    <w:p w14:paraId="7F91DD8D" w14:textId="7C77B2B5" w:rsidR="00C6340F" w:rsidRPr="00C51833" w:rsidRDefault="00C6340F" w:rsidP="00C51833">
      <w:pPr>
        <w:shd w:val="clear" w:color="auto" w:fill="FFFFFF"/>
        <w:spacing w:line="276" w:lineRule="auto"/>
        <w:ind w:firstLine="709"/>
        <w:jc w:val="both"/>
      </w:pPr>
      <w:r w:rsidRPr="00C51833">
        <w:t>Līdzīgs viedoklis izteikts arī juridiskajā literatūr</w:t>
      </w:r>
      <w:r w:rsidR="00A61166" w:rsidRPr="00C51833">
        <w:t>ā</w:t>
      </w:r>
      <w:r w:rsidRPr="00C51833">
        <w:t>, kurā norādīts, ka gribas izteikumam ne vien jābūt vērstam parādnieka virzienā, bet tam turklāt jābūt izteiktam tādā veidā, lai adresāts parastos apstākļos varētu rēķināties ar tā saņemšanu</w:t>
      </w:r>
      <w:r w:rsidR="00A61166" w:rsidRPr="00C51833">
        <w:t xml:space="preserve"> </w:t>
      </w:r>
      <w:proofErr w:type="gramStart"/>
      <w:r w:rsidR="00A61166" w:rsidRPr="00C51833">
        <w:t>(</w:t>
      </w:r>
      <w:proofErr w:type="gramEnd"/>
      <w:r w:rsidR="00A61166" w:rsidRPr="00C51833">
        <w:t xml:space="preserve">sk. </w:t>
      </w:r>
      <w:r w:rsidR="00A61166" w:rsidRPr="00C51833">
        <w:rPr>
          <w:i/>
          <w:iCs/>
        </w:rPr>
        <w:t>Balodis</w:t>
      </w:r>
      <w:r w:rsidR="006D08A3" w:rsidRPr="00C51833">
        <w:rPr>
          <w:i/>
          <w:iCs/>
        </w:rPr>
        <w:t> </w:t>
      </w:r>
      <w:r w:rsidR="00A61166" w:rsidRPr="00C51833">
        <w:rPr>
          <w:i/>
          <w:iCs/>
        </w:rPr>
        <w:t>K. Ievads civiltiesībās. Rīga: Apgāds Zvaigzne ABC, 2007, 157.lpp.</w:t>
      </w:r>
      <w:r w:rsidR="00A61166" w:rsidRPr="00C51833">
        <w:t xml:space="preserve">). </w:t>
      </w:r>
      <w:r w:rsidRPr="00C51833">
        <w:t xml:space="preserve">Gribas izteikums starp klāt neesošiem ir nonācis pie saņēmēja, tiklīdz tas apgrozībai parastā veidā nokļuvis saņēmēja faktiskās varas sfērā un saņēmējam ierasto notikumu ietvaros pastāv iespēja ar to iepazīties. Iespēja iepazīties ir saprotama vispārīgā, abstraktā izpratnē, un tādēļ faktiska iepazīšanās nav nepieciešama. Pietiek ar to, ka gribas izteikums ir sasniedzis saņēmēju, un sagaidāms, ka ar to saņēmējs parastā kārtā varēs iepazīties </w:t>
      </w:r>
      <w:proofErr w:type="gramStart"/>
      <w:r w:rsidRPr="00C51833">
        <w:t>(</w:t>
      </w:r>
      <w:proofErr w:type="gramEnd"/>
      <w:r w:rsidRPr="00C51833">
        <w:t xml:space="preserve">sk. </w:t>
      </w:r>
      <w:r w:rsidRPr="00C51833">
        <w:rPr>
          <w:i/>
        </w:rPr>
        <w:t>Senāta 2020.</w:t>
      </w:r>
      <w:r w:rsidR="0038400B">
        <w:rPr>
          <w:i/>
        </w:rPr>
        <w:t> </w:t>
      </w:r>
      <w:r w:rsidRPr="00C51833">
        <w:rPr>
          <w:i/>
        </w:rPr>
        <w:t>gada 3.</w:t>
      </w:r>
      <w:r w:rsidR="0038400B">
        <w:rPr>
          <w:i/>
        </w:rPr>
        <w:t> </w:t>
      </w:r>
      <w:r w:rsidRPr="00C51833">
        <w:rPr>
          <w:i/>
        </w:rPr>
        <w:t>jūnija spriedumu lietā Nr.</w:t>
      </w:r>
      <w:r w:rsidR="00A61166" w:rsidRPr="00C51833">
        <w:rPr>
          <w:i/>
        </w:rPr>
        <w:t> </w:t>
      </w:r>
      <w:r w:rsidRPr="00C51833">
        <w:rPr>
          <w:i/>
        </w:rPr>
        <w:t>SKC-190/2020</w:t>
      </w:r>
      <w:r w:rsidR="00507C95" w:rsidRPr="00C51833">
        <w:rPr>
          <w:i/>
        </w:rPr>
        <w:t xml:space="preserve">, </w:t>
      </w:r>
      <w:r w:rsidR="00507C95" w:rsidRPr="00C51833">
        <w:rPr>
          <w:i/>
          <w:iCs/>
        </w:rPr>
        <w:t>ECLI:LV:AT:2020:0603.C29383616.9.S</w:t>
      </w:r>
      <w:r w:rsidRPr="00C51833">
        <w:t>).</w:t>
      </w:r>
    </w:p>
    <w:p w14:paraId="187A0B91" w14:textId="77777777" w:rsidR="006D08A3" w:rsidRPr="00C51833" w:rsidRDefault="004B4B00" w:rsidP="00C51833">
      <w:pPr>
        <w:shd w:val="clear" w:color="auto" w:fill="FFFFFF"/>
        <w:spacing w:line="276" w:lineRule="auto"/>
        <w:ind w:firstLine="709"/>
        <w:jc w:val="both"/>
      </w:pPr>
      <w:r w:rsidRPr="00C51833">
        <w:t>P</w:t>
      </w:r>
      <w:r w:rsidR="00C6340F" w:rsidRPr="00C51833">
        <w:t xml:space="preserve">rasītājai, nosūtot atbildētājam atgādinājumus uz līgumā norādīto adresi, kas nav viņa deklarētā adrese, nebija pamata paļauties, ka atgādinājumi nodoti atbildētāja </w:t>
      </w:r>
      <w:r w:rsidR="00A61166" w:rsidRPr="00C51833">
        <w:t>„</w:t>
      </w:r>
      <w:r w:rsidR="00C6340F" w:rsidRPr="00C51833">
        <w:t>varas sfērā</w:t>
      </w:r>
      <w:r w:rsidR="00A61166" w:rsidRPr="00C51833">
        <w:t>”</w:t>
      </w:r>
      <w:r w:rsidR="00C6340F" w:rsidRPr="00C51833">
        <w:t xml:space="preserve">. </w:t>
      </w:r>
    </w:p>
    <w:p w14:paraId="5910C40C" w14:textId="52174118" w:rsidR="00C6340F" w:rsidRPr="00C51833" w:rsidRDefault="006D08A3" w:rsidP="00C51833">
      <w:pPr>
        <w:shd w:val="clear" w:color="auto" w:fill="FFFFFF"/>
        <w:spacing w:line="276" w:lineRule="auto"/>
        <w:ind w:firstLine="709"/>
        <w:jc w:val="both"/>
      </w:pPr>
      <w:r w:rsidRPr="00C51833">
        <w:t>[7.5] </w:t>
      </w:r>
      <w:r w:rsidR="00C6340F" w:rsidRPr="00C51833">
        <w:t>Turklāt arī gadījumā, ja būtu pamats uzskatīt, ka 2010.</w:t>
      </w:r>
      <w:r w:rsidR="0038400B">
        <w:t> </w:t>
      </w:r>
      <w:r w:rsidR="00C6340F" w:rsidRPr="00C51833">
        <w:t>gada 10.</w:t>
      </w:r>
      <w:r w:rsidR="0038400B">
        <w:t> </w:t>
      </w:r>
      <w:r w:rsidR="00C6340F" w:rsidRPr="00C51833">
        <w:t>decembra atgādinājums atbildētājam nosūtīts pienācīgi, ko apliecina pierādījumi par tā reālu nosūtīšanu uz līgumā norādīto adresi, par pārējo paziņojumu pienācīgu nosūtīšanu pierādījumi lietā nav iesniegti. Uz atgādinājumu nosūtīšanu norāda tikai AS</w:t>
      </w:r>
      <w:r w:rsidR="00A61166" w:rsidRPr="00C51833">
        <w:t> „</w:t>
      </w:r>
      <w:proofErr w:type="spellStart"/>
      <w:r w:rsidR="00C6340F" w:rsidRPr="00C51833">
        <w:t>Fitek</w:t>
      </w:r>
      <w:proofErr w:type="spellEnd"/>
      <w:r w:rsidR="00C6340F" w:rsidRPr="00C51833">
        <w:t>” apliecinājumi, kas ir nepietiekams pierādījums paziņojumu nosūtīšanai.</w:t>
      </w:r>
    </w:p>
    <w:p w14:paraId="193C29F5" w14:textId="77777777" w:rsidR="006D08A3" w:rsidRPr="00C51833" w:rsidRDefault="00A61166" w:rsidP="00C51833">
      <w:pPr>
        <w:shd w:val="clear" w:color="auto" w:fill="FFFFFF"/>
        <w:spacing w:line="276" w:lineRule="auto"/>
        <w:ind w:firstLine="709"/>
        <w:jc w:val="both"/>
      </w:pPr>
      <w:r w:rsidRPr="00C51833">
        <w:t>Lai gan</w:t>
      </w:r>
      <w:r w:rsidR="00C6340F" w:rsidRPr="00C51833">
        <w:t xml:space="preserve"> visas tiesvedības gaitā ir pastāvējis strīds par paziņojumu (atgādinājumu) saņemšanu, lietā nav iesniegti nekādi papildu pierādījumi, ka paziņojumi tiešām nodoti sakaru iestādē nosūtīšanai atbildētājam (piemēram, saraksti par nodošanu nosūtīšanai).</w:t>
      </w:r>
    </w:p>
    <w:p w14:paraId="02905024" w14:textId="2A950925" w:rsidR="00A61166" w:rsidRPr="00C51833" w:rsidRDefault="00C6340F" w:rsidP="00C51833">
      <w:pPr>
        <w:shd w:val="clear" w:color="auto" w:fill="FFFFFF"/>
        <w:spacing w:line="276" w:lineRule="auto"/>
        <w:ind w:firstLine="709"/>
        <w:jc w:val="both"/>
      </w:pPr>
      <w:r w:rsidRPr="00C51833">
        <w:t>Tādējādi arī pēc pirmā atgādinājuma nosūtīšanas 2010.</w:t>
      </w:r>
      <w:r w:rsidR="0038400B">
        <w:t> </w:t>
      </w:r>
      <w:r w:rsidRPr="00C51833">
        <w:t>gada 10.</w:t>
      </w:r>
      <w:r w:rsidR="0038400B">
        <w:t> </w:t>
      </w:r>
      <w:r w:rsidRPr="00C51833">
        <w:t>decembrī līdz prasības celšanai tiesā ir pagājis trīs gadu noilguma termiņš prasības celšanai.</w:t>
      </w:r>
      <w:r w:rsidR="006D08A3" w:rsidRPr="00C51833">
        <w:t xml:space="preserve"> Atbilstoši Civillikuma 1910.</w:t>
      </w:r>
      <w:r w:rsidR="0038400B">
        <w:t> </w:t>
      </w:r>
      <w:r w:rsidR="006D08A3" w:rsidRPr="00C51833">
        <w:t xml:space="preserve">pantam noilguma iestāšanās tiesiskās sekas ir saistību tiesības izbeigšanās, līdz ar to prasība noraidāma. </w:t>
      </w:r>
    </w:p>
    <w:p w14:paraId="14A5130A" w14:textId="77777777" w:rsidR="00CF76D0" w:rsidRPr="00C51833" w:rsidRDefault="00CF76D0" w:rsidP="00C51833">
      <w:pPr>
        <w:shd w:val="clear" w:color="auto" w:fill="FFFFFF"/>
        <w:spacing w:line="276" w:lineRule="auto"/>
        <w:jc w:val="both"/>
      </w:pPr>
    </w:p>
    <w:p w14:paraId="0DAC9C65" w14:textId="39FF5FD3" w:rsidR="00D35CAC" w:rsidRPr="00C51833" w:rsidRDefault="00951796" w:rsidP="00C51833">
      <w:pPr>
        <w:shd w:val="clear" w:color="auto" w:fill="FFFFFF"/>
        <w:spacing w:line="276" w:lineRule="auto"/>
        <w:ind w:firstLine="709"/>
        <w:jc w:val="both"/>
      </w:pPr>
      <w:r w:rsidRPr="00C51833">
        <w:t>[8] </w:t>
      </w:r>
      <w:r w:rsidR="003A2938" w:rsidRPr="00C51833">
        <w:t>Prasītāj</w:t>
      </w:r>
      <w:r w:rsidR="00E3648E" w:rsidRPr="00C51833">
        <w:t xml:space="preserve">a </w:t>
      </w:r>
      <w:r w:rsidRPr="00C51833">
        <w:t>SIA „</w:t>
      </w:r>
      <w:proofErr w:type="spellStart"/>
      <w:r w:rsidRPr="00C51833">
        <w:t>GelvoraSergel</w:t>
      </w:r>
      <w:proofErr w:type="spellEnd"/>
      <w:r w:rsidR="00121529" w:rsidRPr="00C51833">
        <w:t>”</w:t>
      </w:r>
      <w:r w:rsidR="00AE4D0B" w:rsidRPr="00C51833">
        <w:t xml:space="preserve"> </w:t>
      </w:r>
      <w:r w:rsidR="005C4541" w:rsidRPr="00C51833">
        <w:t xml:space="preserve">iesniedza </w:t>
      </w:r>
      <w:r w:rsidR="005C5029" w:rsidRPr="00C51833">
        <w:t xml:space="preserve">kasācijas sūdzību par </w:t>
      </w:r>
      <w:r w:rsidR="005A67F4" w:rsidRPr="00C51833">
        <w:t>minēto</w:t>
      </w:r>
      <w:r w:rsidR="00AC60C8" w:rsidRPr="00C51833">
        <w:t xml:space="preserve"> </w:t>
      </w:r>
      <w:r w:rsidR="005C5029" w:rsidRPr="00C51833">
        <w:t xml:space="preserve">spriedumu, </w:t>
      </w:r>
      <w:r w:rsidR="005A67F4" w:rsidRPr="00C51833">
        <w:t>pārsūdzot to pilnā apjomā</w:t>
      </w:r>
      <w:r w:rsidR="00916723" w:rsidRPr="00C51833">
        <w:t xml:space="preserve"> un norādot </w:t>
      </w:r>
      <w:r w:rsidR="005A67F4" w:rsidRPr="00C51833">
        <w:t>šād</w:t>
      </w:r>
      <w:r w:rsidR="00916723" w:rsidRPr="00C51833">
        <w:t>us</w:t>
      </w:r>
      <w:r w:rsidR="005A67F4" w:rsidRPr="00C51833">
        <w:t xml:space="preserve"> </w:t>
      </w:r>
      <w:r w:rsidR="00D35CAC" w:rsidRPr="00C51833">
        <w:t>argument</w:t>
      </w:r>
      <w:r w:rsidR="00916723" w:rsidRPr="00C51833">
        <w:t>us</w:t>
      </w:r>
      <w:r w:rsidR="00D35CAC" w:rsidRPr="00C51833">
        <w:t>.</w:t>
      </w:r>
    </w:p>
    <w:p w14:paraId="0F03425E" w14:textId="56768B78" w:rsidR="000200CD" w:rsidRPr="00C51833" w:rsidRDefault="005A67F4" w:rsidP="00C51833">
      <w:pPr>
        <w:shd w:val="clear" w:color="auto" w:fill="FFFFFF"/>
        <w:spacing w:line="276" w:lineRule="auto"/>
        <w:ind w:firstLine="709"/>
        <w:jc w:val="both"/>
      </w:pPr>
      <w:r w:rsidRPr="00C51833">
        <w:t>[</w:t>
      </w:r>
      <w:r w:rsidR="00951796" w:rsidRPr="00C51833">
        <w:t>8</w:t>
      </w:r>
      <w:r w:rsidRPr="00C51833">
        <w:t>.1] </w:t>
      </w:r>
      <w:r w:rsidR="008410B0" w:rsidRPr="00C51833">
        <w:t>Tiesa pārkāp</w:t>
      </w:r>
      <w:r w:rsidR="000200CD" w:rsidRPr="00C51833">
        <w:t>usi</w:t>
      </w:r>
      <w:r w:rsidR="008410B0" w:rsidRPr="00C51833">
        <w:t xml:space="preserve"> Civilprocesa likuma 8., 9.</w:t>
      </w:r>
      <w:r w:rsidR="0038400B">
        <w:t> </w:t>
      </w:r>
      <w:r w:rsidR="008410B0" w:rsidRPr="00C51833">
        <w:t>pant</w:t>
      </w:r>
      <w:r w:rsidR="000200CD" w:rsidRPr="00C51833">
        <w:t>u</w:t>
      </w:r>
      <w:r w:rsidR="008410B0" w:rsidRPr="00C51833">
        <w:t xml:space="preserve"> un 93.</w:t>
      </w:r>
      <w:r w:rsidR="0038400B">
        <w:t> </w:t>
      </w:r>
      <w:r w:rsidR="008410B0" w:rsidRPr="00C51833">
        <w:t>panta ceturt</w:t>
      </w:r>
      <w:r w:rsidR="000200CD" w:rsidRPr="00C51833">
        <w:t>o</w:t>
      </w:r>
      <w:r w:rsidR="008410B0" w:rsidRPr="00C51833">
        <w:t xml:space="preserve"> daļ</w:t>
      </w:r>
      <w:r w:rsidR="000200CD" w:rsidRPr="00C51833">
        <w:t>u</w:t>
      </w:r>
      <w:r w:rsidR="008410B0" w:rsidRPr="00C51833">
        <w:t>, jo nav paziņojusi prasītājai par pierādījumu nepietiekamību noilguma pārtraukšanai</w:t>
      </w:r>
      <w:r w:rsidR="000200CD" w:rsidRPr="00C51833">
        <w:t>, kas bija iemesl</w:t>
      </w:r>
      <w:r w:rsidR="00CD11CE" w:rsidRPr="00C51833">
        <w:t xml:space="preserve">s </w:t>
      </w:r>
      <w:r w:rsidR="000200CD" w:rsidRPr="00C51833">
        <w:t>prasības noraidīšanai.</w:t>
      </w:r>
    </w:p>
    <w:p w14:paraId="7E878F2E" w14:textId="2299D836" w:rsidR="000200CD" w:rsidRPr="00C51833" w:rsidRDefault="00303942" w:rsidP="00C51833">
      <w:pPr>
        <w:shd w:val="clear" w:color="auto" w:fill="FFFFFF"/>
        <w:spacing w:line="276" w:lineRule="auto"/>
        <w:ind w:firstLine="709"/>
        <w:jc w:val="both"/>
      </w:pPr>
      <w:r w:rsidRPr="00C51833">
        <w:t>Šajā lietā</w:t>
      </w:r>
      <w:r w:rsidR="00641A2D" w:rsidRPr="00C51833">
        <w:t xml:space="preserve"> pirmās instances tiesa </w:t>
      </w:r>
      <w:r w:rsidR="000200CD" w:rsidRPr="00C51833">
        <w:t>prasīb</w:t>
      </w:r>
      <w:r w:rsidR="00641A2D" w:rsidRPr="00C51833">
        <w:t xml:space="preserve">u </w:t>
      </w:r>
      <w:r w:rsidRPr="00C51833">
        <w:t xml:space="preserve">bija </w:t>
      </w:r>
      <w:r w:rsidR="000200CD" w:rsidRPr="00C51833">
        <w:t>apmierinā</w:t>
      </w:r>
      <w:r w:rsidR="00641A2D" w:rsidRPr="00C51833">
        <w:t>j</w:t>
      </w:r>
      <w:r w:rsidRPr="00C51833">
        <w:t>usi</w:t>
      </w:r>
      <w:r w:rsidR="00641A2D" w:rsidRPr="00C51833">
        <w:t xml:space="preserve">, </w:t>
      </w:r>
      <w:r w:rsidR="000200CD" w:rsidRPr="00C51833">
        <w:t>pilnībā noraidot atbildētāja izteiktos iebildumus</w:t>
      </w:r>
      <w:r w:rsidRPr="00C51833">
        <w:t xml:space="preserve"> par noilgumu</w:t>
      </w:r>
      <w:r w:rsidR="000200CD" w:rsidRPr="00C51833">
        <w:t>. Savukārt Senāt</w:t>
      </w:r>
      <w:r w:rsidR="00641A2D" w:rsidRPr="00C51833">
        <w:t>s</w:t>
      </w:r>
      <w:r w:rsidR="0074272A" w:rsidRPr="00C51833">
        <w:t>, izskatot prasītājas kasācijas sūdzību,</w:t>
      </w:r>
      <w:r w:rsidR="00641A2D" w:rsidRPr="00C51833">
        <w:t xml:space="preserve"> </w:t>
      </w:r>
      <w:r w:rsidR="000200CD" w:rsidRPr="00C51833">
        <w:t>atc</w:t>
      </w:r>
      <w:r w:rsidR="00641A2D" w:rsidRPr="00C51833">
        <w:t>ēla</w:t>
      </w:r>
      <w:r w:rsidR="000200CD" w:rsidRPr="00C51833">
        <w:t xml:space="preserve"> </w:t>
      </w:r>
      <w:r w:rsidRPr="00C51833">
        <w:t xml:space="preserve">pirmo </w:t>
      </w:r>
      <w:r w:rsidR="00641A2D" w:rsidRPr="00C51833">
        <w:t xml:space="preserve">apgabaltiesas spriedumu </w:t>
      </w:r>
      <w:r w:rsidR="000200CD" w:rsidRPr="00C51833">
        <w:t>par prasības noraidīšanu, konstatējot, ka apelācijas instances tiesa nav pienācīgi novērtējusi pierādījumus un nav ņēmusi vērā judikatūru jautājumā par noilgumu.</w:t>
      </w:r>
      <w:r w:rsidR="00641A2D" w:rsidRPr="00C51833">
        <w:t xml:space="preserve"> Skatot lietu no jauna, apgabaltiesa nolēma </w:t>
      </w:r>
      <w:r w:rsidR="000200CD" w:rsidRPr="00C51833">
        <w:t>lietu izskatīt rakstveida procesā,</w:t>
      </w:r>
      <w:r w:rsidR="00641A2D" w:rsidRPr="00C51833">
        <w:t xml:space="preserve"> atzī</w:t>
      </w:r>
      <w:r w:rsidRPr="00C51833">
        <w:t>dama</w:t>
      </w:r>
      <w:r w:rsidR="00641A2D" w:rsidRPr="00C51833">
        <w:t xml:space="preserve">, ka </w:t>
      </w:r>
      <w:r w:rsidR="000200CD" w:rsidRPr="00C51833">
        <w:t>lietas izskatīšana rakstveida procesā nevar ietekmēt lietas faktisko apstākļu noskaidrošanu un strīda izšķiršanu.</w:t>
      </w:r>
    </w:p>
    <w:p w14:paraId="73AC2DE8" w14:textId="590A78F8" w:rsidR="000200CD" w:rsidRPr="00C51833" w:rsidRDefault="00303942" w:rsidP="00C51833">
      <w:pPr>
        <w:shd w:val="clear" w:color="auto" w:fill="FFFFFF"/>
        <w:spacing w:line="276" w:lineRule="auto"/>
        <w:ind w:firstLine="709"/>
        <w:jc w:val="both"/>
      </w:pPr>
      <w:proofErr w:type="gramStart"/>
      <w:r w:rsidRPr="00C51833">
        <w:lastRenderedPageBreak/>
        <w:t>Tādējādi,</w:t>
      </w:r>
      <w:proofErr w:type="gramEnd"/>
      <w:r w:rsidRPr="00C51833">
        <w:t xml:space="preserve"> i</w:t>
      </w:r>
      <w:r w:rsidR="000200CD" w:rsidRPr="00C51833">
        <w:t>evērojot gan līdzšinējos tiesvedības gaitā pieņemtos spriedumus, gan a</w:t>
      </w:r>
      <w:r w:rsidR="00641A2D" w:rsidRPr="00C51833">
        <w:t>pe</w:t>
      </w:r>
      <w:r w:rsidR="000200CD" w:rsidRPr="00C51833">
        <w:t>lācijas instances tiesas izvēlēto lietas izskatīšanas veidu, prasītāja</w:t>
      </w:r>
      <w:r w:rsidR="00641A2D" w:rsidRPr="00C51833">
        <w:t>i</w:t>
      </w:r>
      <w:r w:rsidR="000200CD" w:rsidRPr="00C51833">
        <w:t xml:space="preserve"> bija pamats paļauties, ka lietā esošo pierādījumu apjoms, forma un saturs ir pietiekams noilguma pārtraukšanas pierādīšanai. To, ka lietā būtu </w:t>
      </w:r>
      <w:r w:rsidR="00F96158" w:rsidRPr="00C51833">
        <w:t>bijuši jāiesniedz</w:t>
      </w:r>
      <w:r w:rsidR="000200CD" w:rsidRPr="00C51833">
        <w:t xml:space="preserve"> vēl kādi citi pierādījumi, prasītāj</w:t>
      </w:r>
      <w:r w:rsidR="007D1EA1" w:rsidRPr="00C51833">
        <w:t xml:space="preserve">a </w:t>
      </w:r>
      <w:r w:rsidR="000200CD" w:rsidRPr="00C51833">
        <w:t>uzzināja tikai no sprieduma.</w:t>
      </w:r>
      <w:r w:rsidR="0074272A" w:rsidRPr="00C51833">
        <w:t xml:space="preserve"> </w:t>
      </w:r>
      <w:r w:rsidRPr="00C51833">
        <w:t>P</w:t>
      </w:r>
      <w:r w:rsidR="000200CD" w:rsidRPr="00C51833">
        <w:t>rasītāja</w:t>
      </w:r>
      <w:r w:rsidR="007D1EA1" w:rsidRPr="00C51833">
        <w:t>i</w:t>
      </w:r>
      <w:r w:rsidR="000200CD" w:rsidRPr="00C51833">
        <w:t xml:space="preserve"> </w:t>
      </w:r>
      <w:r w:rsidR="00611E89" w:rsidRPr="00C51833">
        <w:t xml:space="preserve">lietas izskatīšanas laikā </w:t>
      </w:r>
      <w:r w:rsidR="000200CD" w:rsidRPr="00C51833">
        <w:t>nebija zināms par jebkādām nepilnībām vai trūkumiem jau iesniegtajos pierādījumos</w:t>
      </w:r>
      <w:r w:rsidRPr="00C51833">
        <w:t>, jo tiesa par to prasītāju nebija informējusi.</w:t>
      </w:r>
    </w:p>
    <w:p w14:paraId="5B7CF632" w14:textId="02B1D273" w:rsidR="00724B80" w:rsidRPr="00C51833" w:rsidRDefault="007D1EA1" w:rsidP="00C51833">
      <w:pPr>
        <w:shd w:val="clear" w:color="auto" w:fill="FFFFFF"/>
        <w:spacing w:line="276" w:lineRule="auto"/>
        <w:ind w:firstLine="709"/>
        <w:jc w:val="both"/>
      </w:pPr>
      <w:r w:rsidRPr="00C51833">
        <w:t>[8.2] </w:t>
      </w:r>
      <w:r w:rsidR="0074272A" w:rsidRPr="00C51833">
        <w:t>Tiesa pretēji Civilprocesa likuma 97.</w:t>
      </w:r>
      <w:r w:rsidR="0038400B">
        <w:t> </w:t>
      </w:r>
      <w:r w:rsidR="0074272A" w:rsidRPr="00C51833">
        <w:t>pantā noteiktajam nav objektīvi, vispusīgi un savstarpējā kopsakarībā novērtējusi lietā esošos pierādījumus</w:t>
      </w:r>
      <w:proofErr w:type="gramStart"/>
      <w:r w:rsidR="0074272A" w:rsidRPr="00C51833">
        <w:t xml:space="preserve"> un</w:t>
      </w:r>
      <w:proofErr w:type="gramEnd"/>
      <w:r w:rsidR="0074272A" w:rsidRPr="00C51833">
        <w:t xml:space="preserve"> nepareizi piemērojusi materiālo tiesību normas, </w:t>
      </w:r>
      <w:r w:rsidR="00D852EA" w:rsidRPr="00C51833">
        <w:t>līdz ar to</w:t>
      </w:r>
      <w:r w:rsidR="0074272A" w:rsidRPr="00C51833">
        <w:t xml:space="preserve"> spriedums neatbilst Civilprocesa likuma 189.</w:t>
      </w:r>
      <w:r w:rsidR="0038400B">
        <w:t> </w:t>
      </w:r>
      <w:r w:rsidR="0074272A" w:rsidRPr="00C51833">
        <w:t>panta trešās daļas, 190.</w:t>
      </w:r>
      <w:r w:rsidR="0038400B">
        <w:t> </w:t>
      </w:r>
      <w:r w:rsidR="0074272A" w:rsidRPr="00C51833">
        <w:t>panta un 193.</w:t>
      </w:r>
      <w:r w:rsidR="0038400B">
        <w:t> </w:t>
      </w:r>
      <w:r w:rsidR="0074272A" w:rsidRPr="00C51833">
        <w:t>panta piektās daļas prasībām.</w:t>
      </w:r>
    </w:p>
    <w:p w14:paraId="53064954" w14:textId="1CD9587A" w:rsidR="00724B80" w:rsidRPr="00C51833" w:rsidRDefault="00724B80" w:rsidP="00C51833">
      <w:pPr>
        <w:shd w:val="clear" w:color="auto" w:fill="FFFFFF"/>
        <w:spacing w:line="276" w:lineRule="auto"/>
        <w:ind w:firstLine="709"/>
        <w:jc w:val="both"/>
      </w:pPr>
      <w:r w:rsidRPr="00C51833">
        <w:t>[8.2.1] </w:t>
      </w:r>
      <w:proofErr w:type="gramStart"/>
      <w:r w:rsidR="00AA4B60" w:rsidRPr="00C51833">
        <w:t>Nav pareizs tiesas</w:t>
      </w:r>
      <w:proofErr w:type="gramEnd"/>
      <w:r w:rsidR="00AA4B60" w:rsidRPr="00C51833">
        <w:t xml:space="preserve"> viedoklis, ka, tā kā </w:t>
      </w:r>
      <w:r w:rsidRPr="00C51833">
        <w:t>2010.</w:t>
      </w:r>
      <w:r w:rsidR="0038400B">
        <w:t> </w:t>
      </w:r>
      <w:r w:rsidRPr="00C51833">
        <w:t>gada 10.</w:t>
      </w:r>
      <w:r w:rsidR="0038400B">
        <w:t> </w:t>
      </w:r>
      <w:r w:rsidRPr="00C51833">
        <w:t>decembra un 2013.</w:t>
      </w:r>
      <w:r w:rsidR="0038400B">
        <w:t> </w:t>
      </w:r>
      <w:r w:rsidRPr="00C51833">
        <w:t>gada 4.</w:t>
      </w:r>
      <w:r w:rsidR="003707A9">
        <w:t> </w:t>
      </w:r>
      <w:r w:rsidRPr="00C51833">
        <w:t xml:space="preserve">septembra atgādinājumi ir nosūtīti uz atbildētāja kredītlīnijas līgumā norādīto adresi, nevis uz viņa tā brīža deklarēto dzīvesvietas adresi, </w:t>
      </w:r>
      <w:r w:rsidR="00AA4B60" w:rsidRPr="00C51833">
        <w:t xml:space="preserve">tad </w:t>
      </w:r>
      <w:r w:rsidRPr="00C51833">
        <w:t xml:space="preserve">atgādinājumi nav pienācīgi nogādāti atbildētāja „varas sfērā” un prasītājai nebija pamata paļauties uz adresāta sasniedzamību. </w:t>
      </w:r>
    </w:p>
    <w:p w14:paraId="3B2E31C0" w14:textId="55528573" w:rsidR="00724B80" w:rsidRPr="00C51833" w:rsidRDefault="00057DCD" w:rsidP="00C51833">
      <w:pPr>
        <w:shd w:val="clear" w:color="auto" w:fill="FFFFFF"/>
        <w:spacing w:line="276" w:lineRule="auto"/>
        <w:ind w:firstLine="709"/>
        <w:jc w:val="both"/>
      </w:pPr>
      <w:r w:rsidRPr="00C51833">
        <w:t xml:space="preserve">[8.2.1.1] </w:t>
      </w:r>
      <w:r w:rsidR="00724B80" w:rsidRPr="00C51833">
        <w:t xml:space="preserve">Latvijas tiesu praksē ir atrodami vairāki piemēri, kad tiesa, </w:t>
      </w:r>
      <w:r w:rsidR="00140F0D" w:rsidRPr="00C51833">
        <w:t>atsaucoties uz</w:t>
      </w:r>
      <w:r w:rsidR="00724B80" w:rsidRPr="00C51833">
        <w:t xml:space="preserve"> labas ticības principu un vispārīg</w:t>
      </w:r>
      <w:r w:rsidR="00AA4B60" w:rsidRPr="00C51833">
        <w:t>o</w:t>
      </w:r>
      <w:r w:rsidR="00724B80" w:rsidRPr="00C51833">
        <w:t xml:space="preserve"> taisnīguma apziņ</w:t>
      </w:r>
      <w:r w:rsidR="00AA4B60" w:rsidRPr="00C51833">
        <w:t>u</w:t>
      </w:r>
      <w:r w:rsidR="00724B80" w:rsidRPr="00C51833">
        <w:t>, ir atzinusi, ka kreditoram ir tiesības parādniekam adresētus paziņojumus sūtīt tieši uz pušu starpā noslēgtajā līgumā norādīto adresi, ja vien pats parādnieks nav lūdzis kreditoru sev adresēto korespondenci sūtīt uz kādu citu adresi</w:t>
      </w:r>
      <w:r w:rsidR="00A43D22" w:rsidRPr="00C51833">
        <w:t>, un ka g</w:t>
      </w:r>
      <w:r w:rsidR="00724B80" w:rsidRPr="00C51833">
        <w:t>adījumā, ja paziņojums ir nosūtīts parādniekam uz līgumā norādīto adresi un vienlaikus parādnieks nav informējis kreditoru par savas adreses maiņu, ir uzskatāms, ka attiecīgais paziņojums parādniekam ir nosūtīts pienācīgā kārtā.</w:t>
      </w:r>
    </w:p>
    <w:p w14:paraId="195ED966" w14:textId="32B1EE54" w:rsidR="00A43D22" w:rsidRPr="00C51833" w:rsidRDefault="00724B80" w:rsidP="00C51833">
      <w:pPr>
        <w:shd w:val="clear" w:color="auto" w:fill="FFFFFF"/>
        <w:spacing w:line="276" w:lineRule="auto"/>
        <w:ind w:firstLine="709"/>
        <w:jc w:val="both"/>
      </w:pPr>
      <w:r w:rsidRPr="00C51833">
        <w:t xml:space="preserve">Šāda tiesu praksē nostiprinātā atziņa uzskatāma par pamatotu, tiesisku un loģisku, jo nav saprātīgi un samērīgi pieprasīt no kreditora veikt „izmeklēšanas vai uzraugošās iestādes funkcijas”, regulāri sekojot līdzi parādnieka deklarētās dzīvesvietas maiņai apstākļos, </w:t>
      </w:r>
      <w:r w:rsidR="00140F0D" w:rsidRPr="00C51833">
        <w:t>k</w:t>
      </w:r>
      <w:r w:rsidRPr="00C51833">
        <w:t>a</w:t>
      </w:r>
      <w:r w:rsidR="00140F0D" w:rsidRPr="00C51833">
        <w:t>d</w:t>
      </w:r>
      <w:r w:rsidRPr="00C51833">
        <w:t xml:space="preserve"> parādnieks no saziņas izvairās. Turklāt mūsdienās, kad notiek valsts sniegto pakalpojumu digitalizācija, deklarētās dzīvesvietas adrese</w:t>
      </w:r>
      <w:r w:rsidR="00744101" w:rsidRPr="00C51833">
        <w:t xml:space="preserve"> vienkārši nomaināma </w:t>
      </w:r>
      <w:r w:rsidRPr="00C51833">
        <w:t>pāris minūšu laikā. Tas nozīmē, ka persona savu deklarētās dzīvesvietas adresi var mainīt, cik bieži un kad vēlas. Tādēļ svarīgi katrā šādā gadījumā izvērtēt, vai deklarētās dzīvesvietas adreses maiņa notiek labā ticībā.</w:t>
      </w:r>
    </w:p>
    <w:p w14:paraId="26C735BF" w14:textId="5308DE9C" w:rsidR="00724B80" w:rsidRPr="00C51833" w:rsidRDefault="00A43D22" w:rsidP="00C51833">
      <w:pPr>
        <w:shd w:val="clear" w:color="auto" w:fill="FFFFFF"/>
        <w:spacing w:line="276" w:lineRule="auto"/>
        <w:ind w:firstLine="709"/>
        <w:jc w:val="both"/>
      </w:pPr>
      <w:r w:rsidRPr="00C51833">
        <w:t>[8.2.</w:t>
      </w:r>
      <w:r w:rsidR="00057DCD" w:rsidRPr="00C51833">
        <w:t>1.2</w:t>
      </w:r>
      <w:r w:rsidRPr="00C51833">
        <w:t>] </w:t>
      </w:r>
      <w:r w:rsidR="00724B80" w:rsidRPr="00C51833">
        <w:t xml:space="preserve">Atbildētājs, noslēdzot </w:t>
      </w:r>
      <w:r w:rsidRPr="00C51833">
        <w:t>k</w:t>
      </w:r>
      <w:r w:rsidR="00724B80" w:rsidRPr="00C51833">
        <w:t>redītlīnijas līgumu ar banku, norādīj</w:t>
      </w:r>
      <w:r w:rsidRPr="00C51833">
        <w:t>a</w:t>
      </w:r>
      <w:r w:rsidR="00724B80" w:rsidRPr="00C51833">
        <w:t xml:space="preserve"> konkrētu adresi saziņai ar kreditor</w:t>
      </w:r>
      <w:r w:rsidR="00057DCD" w:rsidRPr="00C51833">
        <w:t>i</w:t>
      </w:r>
      <w:r w:rsidR="00724B80" w:rsidRPr="00C51833">
        <w:t>, u</w:t>
      </w:r>
      <w:r w:rsidR="00140F0D" w:rsidRPr="00C51833">
        <w:t>n t</w:t>
      </w:r>
      <w:r w:rsidR="00724B80" w:rsidRPr="00C51833">
        <w:t>a</w:t>
      </w:r>
      <w:r w:rsidR="00057DCD" w:rsidRPr="00C51833">
        <w:t>i</w:t>
      </w:r>
      <w:r w:rsidR="00724B80" w:rsidRPr="00C51833">
        <w:t xml:space="preserve"> bija tiesības paļauties, ka nepieciešamības gadījumā </w:t>
      </w:r>
      <w:r w:rsidR="00140F0D" w:rsidRPr="00C51833">
        <w:t xml:space="preserve">tā </w:t>
      </w:r>
      <w:r w:rsidR="00724B80" w:rsidRPr="00C51833">
        <w:t xml:space="preserve">varēs sazināties ar atbildētāju, izmantojot </w:t>
      </w:r>
      <w:r w:rsidRPr="00C51833">
        <w:t>šo</w:t>
      </w:r>
      <w:r w:rsidR="00724B80" w:rsidRPr="00C51833">
        <w:t xml:space="preserve"> adresi. Šādu paļāvību bauda arī </w:t>
      </w:r>
      <w:proofErr w:type="spellStart"/>
      <w:r w:rsidR="00724B80" w:rsidRPr="00C51833">
        <w:t>cesionār</w:t>
      </w:r>
      <w:r w:rsidR="00057DCD" w:rsidRPr="00C51833">
        <w:t>e</w:t>
      </w:r>
      <w:proofErr w:type="spellEnd"/>
      <w:r w:rsidR="00724B80" w:rsidRPr="00C51833">
        <w:t>, kur</w:t>
      </w:r>
      <w:r w:rsidR="00DC78A4" w:rsidRPr="00C51833">
        <w:t>a</w:t>
      </w:r>
      <w:r w:rsidR="00724B80" w:rsidRPr="00C51833">
        <w:t xml:space="preserve"> prasījuma tiesības no bankas ieguva cesijas ceļā. </w:t>
      </w:r>
      <w:r w:rsidRPr="00C51833">
        <w:t>A</w:t>
      </w:r>
      <w:r w:rsidR="00724B80" w:rsidRPr="00C51833">
        <w:t>tbildētājs</w:t>
      </w:r>
      <w:r w:rsidRPr="00C51833">
        <w:t xml:space="preserve">, </w:t>
      </w:r>
      <w:r w:rsidR="00724B80" w:rsidRPr="00C51833">
        <w:t>main</w:t>
      </w:r>
      <w:r w:rsidRPr="00C51833">
        <w:t>ot</w:t>
      </w:r>
      <w:r w:rsidR="00724B80" w:rsidRPr="00C51833">
        <w:t xml:space="preserve"> savu deklarēto dzīvesvietu, tiesisko attiecību pastāvēšanas laikā vairāku gadu garumā nav uzskatījis par nepieciešamu informēt kreditor</w:t>
      </w:r>
      <w:r w:rsidR="00057DCD" w:rsidRPr="00C51833">
        <w:t>e</w:t>
      </w:r>
      <w:r w:rsidR="00724B80" w:rsidRPr="00C51833">
        <w:t xml:space="preserve">s par savas adreses un citas kontaktinformācijas maiņu. </w:t>
      </w:r>
      <w:r w:rsidRPr="00C51833">
        <w:t xml:space="preserve">Līdz ar to atbildētājs nav rīkojies </w:t>
      </w:r>
      <w:r w:rsidR="00057DCD" w:rsidRPr="00C51833">
        <w:t xml:space="preserve">atbilstoši </w:t>
      </w:r>
      <w:r w:rsidRPr="00C51833">
        <w:t>Civillikuma 1.</w:t>
      </w:r>
      <w:r w:rsidR="0038400B">
        <w:t> </w:t>
      </w:r>
      <w:r w:rsidRPr="00C51833">
        <w:t>pantam.</w:t>
      </w:r>
    </w:p>
    <w:p w14:paraId="4CFD99B2" w14:textId="38EFA5AF" w:rsidR="00724B80" w:rsidRPr="00C51833" w:rsidRDefault="00724B80" w:rsidP="00C51833">
      <w:pPr>
        <w:shd w:val="clear" w:color="auto" w:fill="FFFFFF"/>
        <w:spacing w:line="276" w:lineRule="auto"/>
        <w:ind w:firstLine="709"/>
        <w:jc w:val="both"/>
      </w:pPr>
      <w:r w:rsidRPr="00C51833">
        <w:t xml:space="preserve">Lai arī </w:t>
      </w:r>
      <w:r w:rsidR="00A43D22" w:rsidRPr="00C51833">
        <w:t>k</w:t>
      </w:r>
      <w:r w:rsidRPr="00C51833">
        <w:t>redītlīnijas līgumā tiešā tekstā nav noteikts atbildētāja pienākums informēt kreditor</w:t>
      </w:r>
      <w:r w:rsidR="00057DCD" w:rsidRPr="00C51833">
        <w:t>i</w:t>
      </w:r>
      <w:r w:rsidRPr="00C51833">
        <w:t xml:space="preserve"> par adreses maiņu, šāds blakus noteikums (Civillikuma 1472.</w:t>
      </w:r>
      <w:r w:rsidR="0038400B">
        <w:t> </w:t>
      </w:r>
      <w:r w:rsidRPr="00C51833">
        <w:t xml:space="preserve">pants) ir spēkā arī bez pušu sevišķas norunas kā no darījuma būtisko un dabisko sastāvdaļu izrietošo pienākumu paplašinājums. </w:t>
      </w:r>
      <w:r w:rsidR="00870FC4" w:rsidRPr="00C51833">
        <w:t xml:space="preserve">Tāpat atbildētāja </w:t>
      </w:r>
      <w:r w:rsidRPr="00C51833">
        <w:t>pienākums sadarboties ar kreditor</w:t>
      </w:r>
      <w:r w:rsidR="00057DCD" w:rsidRPr="00C51833">
        <w:t>i</w:t>
      </w:r>
      <w:r w:rsidRPr="00C51833">
        <w:t xml:space="preserve"> izriet no Parādu ārpustiesas atgūšanas likuma 8.</w:t>
      </w:r>
      <w:r w:rsidR="0038400B">
        <w:t> </w:t>
      </w:r>
      <w:r w:rsidRPr="00C51833">
        <w:t>panta pirmās daļas</w:t>
      </w:r>
      <w:r w:rsidR="00870FC4" w:rsidRPr="00C51833">
        <w:t>, taču t</w:t>
      </w:r>
      <w:r w:rsidRPr="00C51833">
        <w:t xml:space="preserve">iesa šo normatīvo aktu un tajā ietvertos atbildētāja kā parādnieka pienākumus spriedumā </w:t>
      </w:r>
      <w:r w:rsidR="00870FC4" w:rsidRPr="00C51833">
        <w:t xml:space="preserve">vispār </w:t>
      </w:r>
      <w:r w:rsidRPr="00C51833">
        <w:t>nav vērtējus</w:t>
      </w:r>
      <w:r w:rsidR="00870FC4" w:rsidRPr="00C51833">
        <w:t>i</w:t>
      </w:r>
      <w:r w:rsidRPr="00C51833">
        <w:t>.</w:t>
      </w:r>
      <w:r w:rsidR="00AB793A" w:rsidRPr="00C51833">
        <w:t xml:space="preserve"> Apstāklis, ka kreditore izrādīja iniciatīvu un pati ieguva ziņas par atbildētāja jauno deklarēt</w:t>
      </w:r>
      <w:r w:rsidR="00AF076E" w:rsidRPr="00C51833">
        <w:t>ās</w:t>
      </w:r>
      <w:r w:rsidR="00AB793A" w:rsidRPr="00C51833">
        <w:t xml:space="preserve"> dzīvesvietas adresi, neatbrīvo atbildētāju no informēšanas pienākuma.</w:t>
      </w:r>
    </w:p>
    <w:p w14:paraId="64B39F4D" w14:textId="3FDCBD0D" w:rsidR="00724B80" w:rsidRPr="00C51833" w:rsidRDefault="007D65A7" w:rsidP="00C51833">
      <w:pPr>
        <w:shd w:val="clear" w:color="auto" w:fill="FFFFFF"/>
        <w:spacing w:line="276" w:lineRule="auto"/>
        <w:ind w:firstLine="709"/>
        <w:jc w:val="both"/>
      </w:pPr>
      <w:r w:rsidRPr="00C51833">
        <w:lastRenderedPageBreak/>
        <w:t>[8.2.</w:t>
      </w:r>
      <w:r w:rsidR="00AB793A" w:rsidRPr="00C51833">
        <w:t>1.3</w:t>
      </w:r>
      <w:r w:rsidRPr="00C51833">
        <w:t>] T</w:t>
      </w:r>
      <w:r w:rsidR="00724B80" w:rsidRPr="00C51833">
        <w:t>iesa</w:t>
      </w:r>
      <w:r w:rsidRPr="00C51833">
        <w:t xml:space="preserve"> </w:t>
      </w:r>
      <w:r w:rsidR="00724B80" w:rsidRPr="00C51833">
        <w:t>nepamatoti piemērojusi Paziņošanas likumu un Dzīvesvietas deklarēšan</w:t>
      </w:r>
      <w:r w:rsidR="00826175" w:rsidRPr="00C51833">
        <w:t>a</w:t>
      </w:r>
      <w:r w:rsidR="00724B80" w:rsidRPr="00C51833">
        <w:t>s likumu,</w:t>
      </w:r>
      <w:r w:rsidRPr="00C51833">
        <w:t xml:space="preserve"> jo šie </w:t>
      </w:r>
      <w:r w:rsidR="00724B80" w:rsidRPr="00C51833">
        <w:t>normatīvie akti regulē attiecības starp valsti un privātpersonu.</w:t>
      </w:r>
    </w:p>
    <w:p w14:paraId="124D0E4E" w14:textId="50F821FC" w:rsidR="00611E89" w:rsidRPr="00C51833" w:rsidRDefault="007D65A7" w:rsidP="00C51833">
      <w:pPr>
        <w:shd w:val="clear" w:color="auto" w:fill="FFFFFF"/>
        <w:spacing w:line="276" w:lineRule="auto"/>
        <w:ind w:firstLine="709"/>
        <w:jc w:val="both"/>
      </w:pPr>
      <w:r w:rsidRPr="00C51833">
        <w:t>[8.</w:t>
      </w:r>
      <w:r w:rsidR="006B7F5C" w:rsidRPr="00C51833">
        <w:t>2.</w:t>
      </w:r>
      <w:r w:rsidR="00AB793A" w:rsidRPr="00C51833">
        <w:t>2</w:t>
      </w:r>
      <w:r w:rsidRPr="00C51833">
        <w:t>]</w:t>
      </w:r>
      <w:r w:rsidR="00EE0178" w:rsidRPr="00C51833">
        <w:t> </w:t>
      </w:r>
      <w:r w:rsidR="00935A76" w:rsidRPr="00C51833">
        <w:t xml:space="preserve">Spriedumā izteikts vispārīgs apgalvojums, ka </w:t>
      </w:r>
      <w:r w:rsidR="00EE0178" w:rsidRPr="00C51833">
        <w:t xml:space="preserve">lietā </w:t>
      </w:r>
      <w:r w:rsidR="00935A76" w:rsidRPr="00C51833">
        <w:t>iesniegtie AS</w:t>
      </w:r>
      <w:r w:rsidR="00EE0178" w:rsidRPr="00C51833">
        <w:t> „</w:t>
      </w:r>
      <w:proofErr w:type="spellStart"/>
      <w:r w:rsidR="00935A76" w:rsidRPr="00C51833">
        <w:t>Fitek</w:t>
      </w:r>
      <w:proofErr w:type="spellEnd"/>
      <w:r w:rsidR="00935A76" w:rsidRPr="00C51833">
        <w:t>” apliecinājumi ir nepietiekams pierādījums paziņojuma nosūtīšanas pierādīšanai, taču tiesa nav motivējusi, kādēļ prasītāja</w:t>
      </w:r>
      <w:r w:rsidR="00EE0178" w:rsidRPr="00C51833">
        <w:t>s</w:t>
      </w:r>
      <w:r w:rsidR="00935A76" w:rsidRPr="00C51833">
        <w:t xml:space="preserve"> izvēlētais paziņojuma piegādāšanas veids (</w:t>
      </w:r>
      <w:r w:rsidR="00AB793A" w:rsidRPr="00C51833">
        <w:t xml:space="preserve">valsts </w:t>
      </w:r>
      <w:r w:rsidR="00935A76" w:rsidRPr="00C51833">
        <w:t>AS</w:t>
      </w:r>
      <w:r w:rsidR="00AB793A" w:rsidRPr="00C51833">
        <w:t> </w:t>
      </w:r>
      <w:r w:rsidR="00EE0178" w:rsidRPr="00C51833">
        <w:t>„</w:t>
      </w:r>
      <w:r w:rsidR="00935A76" w:rsidRPr="00C51833">
        <w:t>Latvijas Pasts” nosūtīt</w:t>
      </w:r>
      <w:r w:rsidR="00477698" w:rsidRPr="00C51833">
        <w:t>s</w:t>
      </w:r>
      <w:r w:rsidR="00935A76" w:rsidRPr="00C51833">
        <w:t xml:space="preserve"> vienkārš</w:t>
      </w:r>
      <w:r w:rsidR="00AB793A" w:rsidRPr="00C51833">
        <w:t>s</w:t>
      </w:r>
      <w:r w:rsidR="00935A76" w:rsidRPr="00C51833">
        <w:t xml:space="preserve"> pasta sūtījums, kura druk</w:t>
      </w:r>
      <w:r w:rsidR="00EE0178" w:rsidRPr="00C51833">
        <w:t>ā</w:t>
      </w:r>
      <w:r w:rsidR="00935A76" w:rsidRPr="00C51833">
        <w:t>š</w:t>
      </w:r>
      <w:r w:rsidR="00EE0178" w:rsidRPr="00C51833">
        <w:t>a</w:t>
      </w:r>
      <w:r w:rsidR="00935A76" w:rsidRPr="00C51833">
        <w:t>nu, šķirošanu un pakošanu prasītāja</w:t>
      </w:r>
      <w:r w:rsidR="00EE0178" w:rsidRPr="00C51833">
        <w:t>s</w:t>
      </w:r>
      <w:r w:rsidR="00935A76" w:rsidRPr="00C51833">
        <w:t xml:space="preserve"> uzdevumā un interesēs vei</w:t>
      </w:r>
      <w:r w:rsidR="00477698" w:rsidRPr="00C51833">
        <w:t>ca</w:t>
      </w:r>
      <w:r w:rsidR="00935A76" w:rsidRPr="00C51833">
        <w:t xml:space="preserve"> AS</w:t>
      </w:r>
      <w:r w:rsidR="00EE0178" w:rsidRPr="00C51833">
        <w:t> „</w:t>
      </w:r>
      <w:proofErr w:type="spellStart"/>
      <w:r w:rsidR="00935A76" w:rsidRPr="00C51833">
        <w:t>Fitek</w:t>
      </w:r>
      <w:proofErr w:type="spellEnd"/>
      <w:r w:rsidR="00935A76" w:rsidRPr="00C51833">
        <w:t xml:space="preserve">”) nav pietiekams pierādījums. </w:t>
      </w:r>
      <w:r w:rsidR="00EE0178" w:rsidRPr="00C51833">
        <w:t>I</w:t>
      </w:r>
      <w:r w:rsidR="00935A76" w:rsidRPr="00C51833">
        <w:t xml:space="preserve">zdarot šo secinājumu, </w:t>
      </w:r>
      <w:r w:rsidR="00EE0178" w:rsidRPr="00C51833">
        <w:t xml:space="preserve">tiesa </w:t>
      </w:r>
      <w:r w:rsidR="00935A76" w:rsidRPr="00C51833">
        <w:t>nav atsaukusies ne uz vienu normatīvo aktu, kas uzliktu prasītāja</w:t>
      </w:r>
      <w:r w:rsidR="00EE0178" w:rsidRPr="00C51833">
        <w:t>i</w:t>
      </w:r>
      <w:r w:rsidR="00935A76" w:rsidRPr="00C51833">
        <w:t xml:space="preserve"> pienākumu izmantot kādu konkrētu paziņojuma nosūtīšanas veidu vai ievērot īpašu kārtību paziņojuma nosūtīšanai.</w:t>
      </w:r>
      <w:r w:rsidR="00611E89" w:rsidRPr="00C51833">
        <w:t xml:space="preserve"> </w:t>
      </w:r>
    </w:p>
    <w:p w14:paraId="58BFC498" w14:textId="7F6DDB72" w:rsidR="00935A76" w:rsidRPr="00C51833" w:rsidRDefault="00935A76" w:rsidP="00C51833">
      <w:pPr>
        <w:shd w:val="clear" w:color="auto" w:fill="FFFFFF"/>
        <w:spacing w:line="276" w:lineRule="auto"/>
        <w:ind w:firstLine="709"/>
        <w:jc w:val="both"/>
      </w:pPr>
      <w:r w:rsidRPr="00C51833">
        <w:t>Civillikuma 1905.</w:t>
      </w:r>
      <w:r w:rsidR="0038400B">
        <w:t> </w:t>
      </w:r>
      <w:r w:rsidRPr="00C51833">
        <w:t>pant</w:t>
      </w:r>
      <w:r w:rsidR="00AB793A" w:rsidRPr="00C51833">
        <w:t>s neizvirza kreditora atgādinājuma</w:t>
      </w:r>
      <w:r w:rsidR="00E71237" w:rsidRPr="00C51833">
        <w:t>m</w:t>
      </w:r>
      <w:r w:rsidR="00AB793A" w:rsidRPr="00C51833">
        <w:t xml:space="preserve"> nekādas satura un formas prasības.</w:t>
      </w:r>
      <w:r w:rsidR="00611E89" w:rsidRPr="00C51833">
        <w:t xml:space="preserve"> </w:t>
      </w:r>
      <w:r w:rsidR="00AB793A" w:rsidRPr="00C51833">
        <w:t>Latvijas tiesību sistēma ļauj kreditoram atgādināt parādniekam par saistību izpildi jebkādā formā un veidā, tostarp nosūtot atgādinājumu pa pastu kā vienkāršu vēstuli. Savukārt apgabalti</w:t>
      </w:r>
      <w:r w:rsidRPr="00C51833">
        <w:t>esas secinājum</w:t>
      </w:r>
      <w:r w:rsidR="00AB793A" w:rsidRPr="00C51833">
        <w:t>i ir</w:t>
      </w:r>
      <w:r w:rsidRPr="00C51833">
        <w:t xml:space="preserve"> nepamatot</w:t>
      </w:r>
      <w:r w:rsidR="00611E89" w:rsidRPr="00C51833">
        <w:t>i</w:t>
      </w:r>
      <w:r w:rsidRPr="00C51833">
        <w:t xml:space="preserve"> un neatbilstoši ne tikai tiesību doktrīnā un juridiskajā literatūrā sniegtajam Civillikuma 1905.</w:t>
      </w:r>
      <w:r w:rsidR="0038400B">
        <w:t> </w:t>
      </w:r>
      <w:r w:rsidRPr="00C51833">
        <w:t>panta iztulkojumam, bet arī judikatūrai.</w:t>
      </w:r>
      <w:r w:rsidR="00611E89" w:rsidRPr="00C51833">
        <w:t xml:space="preserve"> </w:t>
      </w:r>
    </w:p>
    <w:p w14:paraId="5A0BA36D" w14:textId="0FD72FCD" w:rsidR="00E72D75" w:rsidRPr="00C51833" w:rsidRDefault="00AB793A" w:rsidP="00C51833">
      <w:pPr>
        <w:shd w:val="clear" w:color="auto" w:fill="FFFFFF"/>
        <w:spacing w:line="276" w:lineRule="auto"/>
        <w:ind w:firstLine="709"/>
        <w:jc w:val="both"/>
      </w:pPr>
      <w:r w:rsidRPr="00C51833">
        <w:t>P</w:t>
      </w:r>
      <w:r w:rsidR="00E72D75" w:rsidRPr="00C51833">
        <w:t>rasītāja ir vairākkārt aktīvi izrādījusi ieinteresētību saistības izpildījuma saņemšanā</w:t>
      </w:r>
      <w:r w:rsidRPr="00C51833">
        <w:t xml:space="preserve"> </w:t>
      </w:r>
      <w:r w:rsidR="00E72D75" w:rsidRPr="00C51833">
        <w:t xml:space="preserve">likumā noteiktā noilguma termiņa ietvaros. </w:t>
      </w:r>
      <w:r w:rsidRPr="00C51833">
        <w:t>L</w:t>
      </w:r>
      <w:r w:rsidR="00E72D75" w:rsidRPr="00C51833">
        <w:t>ietā jau esošo pierādījumu apjoms un saturs ir pietiekams, lai konstatētu, ka prasītāja ar savām darbībām pārtrau</w:t>
      </w:r>
      <w:r w:rsidR="00611E89" w:rsidRPr="00C51833">
        <w:t>ca</w:t>
      </w:r>
      <w:r w:rsidR="00E72D75" w:rsidRPr="00C51833">
        <w:t xml:space="preserve"> noilguma termiņa tecējumu. Prasītājas rīcībā ir arī citi pierādījumi, </w:t>
      </w:r>
      <w:r w:rsidR="00611E89" w:rsidRPr="00C51833">
        <w:t xml:space="preserve">kas to apliecina un </w:t>
      </w:r>
      <w:r w:rsidR="00E72D75" w:rsidRPr="00C51833">
        <w:t xml:space="preserve">kuri būtu iesniegti, ja vien tiesa būtu informējusi </w:t>
      </w:r>
      <w:r w:rsidR="00784EE6" w:rsidRPr="00C51833">
        <w:t xml:space="preserve">prasītāju </w:t>
      </w:r>
      <w:r w:rsidR="00E72D75" w:rsidRPr="00C51833">
        <w:t>par esošo pierādījumu nepietiekamību.</w:t>
      </w:r>
    </w:p>
    <w:p w14:paraId="159367F3" w14:textId="77777777" w:rsidR="00E87B99" w:rsidRPr="00C51833" w:rsidRDefault="00E87B99" w:rsidP="00C51833">
      <w:pPr>
        <w:shd w:val="clear" w:color="auto" w:fill="FFFFFF"/>
        <w:spacing w:line="276" w:lineRule="auto"/>
        <w:ind w:firstLine="709"/>
        <w:jc w:val="both"/>
      </w:pPr>
    </w:p>
    <w:p w14:paraId="69085280" w14:textId="2ED60AD0" w:rsidR="00746ABE" w:rsidRPr="00C51833" w:rsidRDefault="00BF43AD" w:rsidP="00C51833">
      <w:pPr>
        <w:spacing w:line="276" w:lineRule="auto"/>
        <w:jc w:val="center"/>
        <w:rPr>
          <w:b/>
        </w:rPr>
      </w:pPr>
      <w:r w:rsidRPr="00C51833">
        <w:rPr>
          <w:b/>
        </w:rPr>
        <w:t>Motīvu daļa</w:t>
      </w:r>
    </w:p>
    <w:p w14:paraId="64699F4F" w14:textId="77777777" w:rsidR="00A95998" w:rsidRPr="00C51833" w:rsidRDefault="00A95998" w:rsidP="00C51833">
      <w:pPr>
        <w:spacing w:line="276" w:lineRule="auto"/>
        <w:jc w:val="center"/>
        <w:rPr>
          <w:b/>
        </w:rPr>
      </w:pPr>
    </w:p>
    <w:p w14:paraId="6CE4FF69" w14:textId="3488A465" w:rsidR="002668F2" w:rsidRPr="00C51833" w:rsidRDefault="00BF43AD" w:rsidP="00C51833">
      <w:pPr>
        <w:shd w:val="clear" w:color="auto" w:fill="FFFFFF"/>
        <w:spacing w:line="276" w:lineRule="auto"/>
        <w:ind w:firstLine="709"/>
        <w:jc w:val="both"/>
      </w:pPr>
      <w:bookmarkStart w:id="0" w:name="_1fob9te" w:colFirst="0" w:colLast="0"/>
      <w:bookmarkEnd w:id="0"/>
      <w:r w:rsidRPr="00C51833">
        <w:t>[</w:t>
      </w:r>
      <w:r w:rsidR="00951796" w:rsidRPr="00C51833">
        <w:t>9</w:t>
      </w:r>
      <w:r w:rsidRPr="00C51833">
        <w:t>] Pārbaudījis sprieduma likumību attiecībā uz argumentiem, kas minēti</w:t>
      </w:r>
      <w:r w:rsidR="00FC7CDB" w:rsidRPr="00C51833">
        <w:t xml:space="preserve"> </w:t>
      </w:r>
      <w:r w:rsidRPr="00C51833">
        <w:t>kasācijas sūdzībā, kā to nosaka Civilprocesa likuma 473.</w:t>
      </w:r>
      <w:r w:rsidR="0038400B">
        <w:t> </w:t>
      </w:r>
      <w:r w:rsidRPr="00C51833">
        <w:t>panta pirmā daļa, Senāts atzīst, ka</w:t>
      </w:r>
      <w:r w:rsidR="005732D9" w:rsidRPr="00C51833">
        <w:t xml:space="preserve"> </w:t>
      </w:r>
      <w:r w:rsidR="002668F2" w:rsidRPr="00C51833">
        <w:t xml:space="preserve">apelācijas instances tiesas spriedums ir </w:t>
      </w:r>
      <w:r w:rsidR="003B1143" w:rsidRPr="00C51833">
        <w:t>atstājams negrozīts, bet kasācijas sūdzība noraidāma</w:t>
      </w:r>
      <w:r w:rsidR="002668F2" w:rsidRPr="00C51833">
        <w:t>.</w:t>
      </w:r>
    </w:p>
    <w:p w14:paraId="61304228" w14:textId="77777777" w:rsidR="003B1143" w:rsidRPr="00C51833" w:rsidRDefault="003B1143" w:rsidP="00C51833">
      <w:pPr>
        <w:shd w:val="clear" w:color="auto" w:fill="FFFFFF"/>
        <w:spacing w:line="276" w:lineRule="auto"/>
        <w:ind w:firstLine="709"/>
        <w:jc w:val="both"/>
      </w:pPr>
    </w:p>
    <w:p w14:paraId="77A1574B" w14:textId="502F294D" w:rsidR="00E55CD8" w:rsidRPr="00C51833" w:rsidRDefault="003B1143" w:rsidP="00C51833">
      <w:pPr>
        <w:shd w:val="clear" w:color="auto" w:fill="FFFFFF"/>
        <w:spacing w:line="276" w:lineRule="auto"/>
        <w:ind w:firstLine="709"/>
        <w:jc w:val="both"/>
      </w:pPr>
      <w:r w:rsidRPr="00C51833">
        <w:t>[10]</w:t>
      </w:r>
      <w:r w:rsidR="0098095C" w:rsidRPr="00C51833">
        <w:t xml:space="preserve"> </w:t>
      </w:r>
      <w:r w:rsidR="00B208B8" w:rsidRPr="00C51833">
        <w:t>Kasācijas kārtībā nav apstrīdēts apgabaltiesas atzinums, ka konkrēto prasījumu, kas izriet no komercdarījuma, noilguma termiņš atbilstoši Komerclikuma 406.</w:t>
      </w:r>
      <w:r w:rsidR="0038400B">
        <w:t> </w:t>
      </w:r>
      <w:r w:rsidR="00B208B8" w:rsidRPr="00C51833">
        <w:t>pantam ir trīs gadi un ka saskaņā ar Komerclikuma pārejas noteikumu 16.</w:t>
      </w:r>
      <w:r w:rsidR="0038400B">
        <w:t> </w:t>
      </w:r>
      <w:r w:rsidR="00B208B8" w:rsidRPr="00C51833">
        <w:t>punktu noilguma termiņš skaitāms no 2010.</w:t>
      </w:r>
      <w:r w:rsidR="0038400B">
        <w:t> </w:t>
      </w:r>
      <w:r w:rsidR="00B208B8" w:rsidRPr="00C51833">
        <w:t>gada 1.</w:t>
      </w:r>
      <w:r w:rsidR="00087EFD">
        <w:t> </w:t>
      </w:r>
      <w:r w:rsidR="00B208B8" w:rsidRPr="00C51833">
        <w:t xml:space="preserve">janvāra. </w:t>
      </w:r>
      <w:r w:rsidR="00894A35" w:rsidRPr="00C51833">
        <w:t xml:space="preserve">Tādējādi </w:t>
      </w:r>
      <w:r w:rsidR="00B208B8" w:rsidRPr="00C51833">
        <w:t>noilgum</w:t>
      </w:r>
      <w:r w:rsidR="00965AB1" w:rsidRPr="00C51833">
        <w:t>a termiņš</w:t>
      </w:r>
      <w:r w:rsidR="00B208B8" w:rsidRPr="00C51833">
        <w:t xml:space="preserve"> no kredītlīnijas līguma izrietošajiem prasījumiem iestājās 2013.</w:t>
      </w:r>
      <w:r w:rsidR="00087EFD">
        <w:t> </w:t>
      </w:r>
      <w:r w:rsidR="00B208B8" w:rsidRPr="00C51833">
        <w:t>gada 1.</w:t>
      </w:r>
      <w:r w:rsidR="00087EFD">
        <w:t> </w:t>
      </w:r>
      <w:r w:rsidR="00B208B8" w:rsidRPr="00C51833">
        <w:t>janvārī. Prasība celta 2018.</w:t>
      </w:r>
      <w:r w:rsidR="00087EFD">
        <w:t> </w:t>
      </w:r>
      <w:r w:rsidR="00B208B8" w:rsidRPr="00C51833">
        <w:t>gada 18.</w:t>
      </w:r>
      <w:r w:rsidR="00087EFD">
        <w:t> </w:t>
      </w:r>
      <w:r w:rsidR="00B208B8" w:rsidRPr="00C51833">
        <w:t>jūnijā.</w:t>
      </w:r>
      <w:r w:rsidR="00E55CD8" w:rsidRPr="00C51833">
        <w:t xml:space="preserve"> </w:t>
      </w:r>
    </w:p>
    <w:p w14:paraId="61F77340" w14:textId="0384DCDB" w:rsidR="009A0F3A" w:rsidRPr="00C51833" w:rsidRDefault="00E55CD8" w:rsidP="00C51833">
      <w:pPr>
        <w:shd w:val="clear" w:color="auto" w:fill="FFFFFF"/>
        <w:spacing w:line="276" w:lineRule="auto"/>
        <w:ind w:firstLine="709"/>
        <w:jc w:val="both"/>
      </w:pPr>
      <w:r w:rsidRPr="00C51833">
        <w:t xml:space="preserve">Atbildētājs abu instanču tiesās </w:t>
      </w:r>
      <w:r w:rsidR="00200C30" w:rsidRPr="00C51833">
        <w:t xml:space="preserve">konsekventi </w:t>
      </w:r>
      <w:r w:rsidRPr="00C51833">
        <w:t xml:space="preserve">uzturējis iebildumu, ka prasījumi ir noilguši. </w:t>
      </w:r>
      <w:r w:rsidR="00894A35" w:rsidRPr="00C51833">
        <w:t>Līdz ar to</w:t>
      </w:r>
      <w:r w:rsidRPr="00C51833">
        <w:t xml:space="preserve"> apgabaltiesa pareizi atzinusi, ka, lai prasība varētu tikt apmierināta, vispirms jāpārbauda, vai noilguma termiņa tecējums ir bijis pārtraukts. </w:t>
      </w:r>
    </w:p>
    <w:p w14:paraId="4EC7D387" w14:textId="3EF0AE1B" w:rsidR="00822409" w:rsidRPr="00C51833" w:rsidRDefault="00E55CD8" w:rsidP="00C51833">
      <w:pPr>
        <w:shd w:val="clear" w:color="auto" w:fill="FFFFFF"/>
        <w:spacing w:line="276" w:lineRule="auto"/>
        <w:ind w:firstLine="709"/>
        <w:jc w:val="both"/>
      </w:pPr>
      <w:r w:rsidRPr="00C51833">
        <w:t>Noilguma pārtraukumu prasītāja pamatojusi ar Civillikuma 1905.</w:t>
      </w:r>
      <w:r w:rsidR="00087EFD">
        <w:t> </w:t>
      </w:r>
      <w:r w:rsidRPr="00C51833">
        <w:t xml:space="preserve">pantu – parādniekam </w:t>
      </w:r>
      <w:r w:rsidR="009A0F3A" w:rsidRPr="00C51833">
        <w:t>2010.</w:t>
      </w:r>
      <w:r w:rsidR="00087EFD">
        <w:t> </w:t>
      </w:r>
      <w:r w:rsidR="009A0F3A" w:rsidRPr="00C51833">
        <w:t>gada 10.</w:t>
      </w:r>
      <w:r w:rsidR="00087EFD">
        <w:t> </w:t>
      </w:r>
      <w:r w:rsidR="009A0F3A" w:rsidRPr="00C51833">
        <w:t>decembrī, 2013.</w:t>
      </w:r>
      <w:r w:rsidR="00087EFD">
        <w:t> </w:t>
      </w:r>
      <w:r w:rsidR="009A0F3A" w:rsidRPr="00C51833">
        <w:t>gada 4.</w:t>
      </w:r>
      <w:r w:rsidR="00087EFD">
        <w:t> </w:t>
      </w:r>
      <w:r w:rsidR="009A0F3A" w:rsidRPr="00C51833">
        <w:t>septembrī, 2014.</w:t>
      </w:r>
      <w:r w:rsidR="00087EFD">
        <w:t> </w:t>
      </w:r>
      <w:r w:rsidR="009A0F3A" w:rsidRPr="00C51833">
        <w:t>gada 3.</w:t>
      </w:r>
      <w:r w:rsidR="00087EFD">
        <w:t> </w:t>
      </w:r>
      <w:r w:rsidR="009A0F3A" w:rsidRPr="00C51833">
        <w:t>decembrī, 2016.</w:t>
      </w:r>
      <w:r w:rsidR="00087EFD">
        <w:t> </w:t>
      </w:r>
      <w:r w:rsidR="009A0F3A" w:rsidRPr="00C51833">
        <w:t>gada 10.</w:t>
      </w:r>
      <w:r w:rsidR="00087EFD">
        <w:t> </w:t>
      </w:r>
      <w:r w:rsidR="009A0F3A" w:rsidRPr="00C51833">
        <w:t>februārī un 2016.</w:t>
      </w:r>
      <w:r w:rsidR="00087EFD">
        <w:t> </w:t>
      </w:r>
      <w:r w:rsidR="009A0F3A" w:rsidRPr="00C51833">
        <w:t>gada 5.</w:t>
      </w:r>
      <w:r w:rsidR="00087EFD">
        <w:t> </w:t>
      </w:r>
      <w:r w:rsidR="009A0F3A" w:rsidRPr="00C51833">
        <w:t xml:space="preserve">jūlijā </w:t>
      </w:r>
      <w:r w:rsidRPr="00C51833">
        <w:t>nosūtītiem atgādinājumiem.</w:t>
      </w:r>
      <w:r w:rsidR="009A0F3A" w:rsidRPr="00C51833">
        <w:t xml:space="preserve"> Savukārt tiesa atzinusi, ka pirmie divi atgādinājumi atbildētājam n</w:t>
      </w:r>
      <w:r w:rsidR="00AE6720" w:rsidRPr="00C51833">
        <w:t xml:space="preserve">ebija nosūtīti uz īsto adresi (jo tie sūtīti uz līgumā norādīto adresi, kas nebija parādnieka dzīvesvieta) un ka visu atgādinājumu, izņemot pirmo, nosūtīšana nav pierādīta </w:t>
      </w:r>
      <w:proofErr w:type="gramStart"/>
      <w:r w:rsidR="00AE6720" w:rsidRPr="00C51833">
        <w:t>(</w:t>
      </w:r>
      <w:proofErr w:type="gramEnd"/>
      <w:r w:rsidR="00AE6720" w:rsidRPr="00C51833">
        <w:t>jo AS „</w:t>
      </w:r>
      <w:proofErr w:type="spellStart"/>
      <w:r w:rsidR="00AE6720" w:rsidRPr="00C51833">
        <w:t>Fitek</w:t>
      </w:r>
      <w:proofErr w:type="spellEnd"/>
      <w:r w:rsidR="00AE6720" w:rsidRPr="00C51833">
        <w:t xml:space="preserve">”, kas nav pasta komersante, apliecinājumi nav pietiekami pierādījumi). </w:t>
      </w:r>
    </w:p>
    <w:p w14:paraId="4995DC0F" w14:textId="5923F225" w:rsidR="0051678F" w:rsidRPr="00C51833" w:rsidRDefault="0051678F" w:rsidP="00C51833">
      <w:pPr>
        <w:shd w:val="clear" w:color="auto" w:fill="FFFFFF"/>
        <w:spacing w:line="276" w:lineRule="auto"/>
        <w:ind w:firstLine="709"/>
        <w:jc w:val="both"/>
      </w:pPr>
      <w:r w:rsidRPr="00C51833">
        <w:lastRenderedPageBreak/>
        <w:t>Senāts paplašinātā sastāvā, iztulkojot Civillikuma 1905.</w:t>
      </w:r>
      <w:r w:rsidR="00087EFD">
        <w:t> </w:t>
      </w:r>
      <w:r w:rsidRPr="00C51833">
        <w:t>pantu, atzinis, ka kreditoram jāpierāda atgādinājuma nosūtīšana parādniekam</w:t>
      </w:r>
      <w:r w:rsidR="00822409" w:rsidRPr="00C51833">
        <w:t xml:space="preserve">, nevis tas, ka parādniekam nosūtīto atgādinājumu pēdējais patiešām saņēmis </w:t>
      </w:r>
      <w:proofErr w:type="gramStart"/>
      <w:r w:rsidRPr="00C51833">
        <w:t>(</w:t>
      </w:r>
      <w:proofErr w:type="gramEnd"/>
      <w:r w:rsidRPr="00C51833">
        <w:t xml:space="preserve">sk. </w:t>
      </w:r>
      <w:r w:rsidRPr="00C51833">
        <w:rPr>
          <w:i/>
          <w:iCs/>
        </w:rPr>
        <w:t>Senāta 2020.</w:t>
      </w:r>
      <w:r w:rsidR="00087EFD">
        <w:rPr>
          <w:i/>
          <w:iCs/>
        </w:rPr>
        <w:t> </w:t>
      </w:r>
      <w:r w:rsidRPr="00C51833">
        <w:rPr>
          <w:i/>
          <w:iCs/>
        </w:rPr>
        <w:t>gada 3.</w:t>
      </w:r>
      <w:r w:rsidR="00087EFD">
        <w:rPr>
          <w:i/>
          <w:iCs/>
        </w:rPr>
        <w:t> </w:t>
      </w:r>
      <w:r w:rsidRPr="00C51833">
        <w:rPr>
          <w:i/>
          <w:iCs/>
        </w:rPr>
        <w:t>decembra sprieduma lietā Nr. SKC</w:t>
      </w:r>
      <w:r w:rsidRPr="00C51833">
        <w:rPr>
          <w:i/>
          <w:iCs/>
        </w:rPr>
        <w:noBreakHyphen/>
        <w:t>12/2020</w:t>
      </w:r>
      <w:r w:rsidR="00822409" w:rsidRPr="00C51833">
        <w:rPr>
          <w:i/>
          <w:iCs/>
        </w:rPr>
        <w:t xml:space="preserve">, </w:t>
      </w:r>
      <w:hyperlink r:id="rId9" w:history="1">
        <w:r w:rsidR="00822409" w:rsidRPr="00C51833">
          <w:rPr>
            <w:rStyle w:val="Hyperlink"/>
            <w:i/>
            <w:iCs/>
            <w:color w:val="auto"/>
            <w:u w:val="none"/>
            <w:lang w:eastAsia="en-US"/>
          </w:rPr>
          <w:t>ECLI:LV:AT:2020:1203.C10080016.4.S</w:t>
        </w:r>
      </w:hyperlink>
      <w:r w:rsidR="00822409" w:rsidRPr="00C51833">
        <w:rPr>
          <w:i/>
          <w:iCs/>
        </w:rPr>
        <w:t>, 9.4.2.</w:t>
      </w:r>
      <w:r w:rsidR="00087EFD">
        <w:rPr>
          <w:i/>
          <w:iCs/>
        </w:rPr>
        <w:t> </w:t>
      </w:r>
      <w:r w:rsidR="00822409" w:rsidRPr="00C51833">
        <w:rPr>
          <w:i/>
          <w:iCs/>
        </w:rPr>
        <w:t>punktu</w:t>
      </w:r>
      <w:r w:rsidRPr="00C51833">
        <w:t>)</w:t>
      </w:r>
      <w:r w:rsidR="00822409" w:rsidRPr="00C51833">
        <w:t>. Uz šo iztulkojumu Senāts norādījis arī 2021.</w:t>
      </w:r>
      <w:r w:rsidR="00087EFD">
        <w:t> </w:t>
      </w:r>
      <w:r w:rsidR="00822409" w:rsidRPr="00C51833">
        <w:t>gada 10.</w:t>
      </w:r>
      <w:r w:rsidR="00087EFD">
        <w:t> </w:t>
      </w:r>
      <w:r w:rsidR="00822409" w:rsidRPr="00C51833">
        <w:t xml:space="preserve">septembra spriedumā izskatāmajā lietā (sk. </w:t>
      </w:r>
      <w:r w:rsidR="00822409" w:rsidRPr="00C51833">
        <w:rPr>
          <w:i/>
          <w:iCs/>
        </w:rPr>
        <w:t>tā 8.punktu</w:t>
      </w:r>
      <w:r w:rsidR="00822409" w:rsidRPr="00C51833">
        <w:t xml:space="preserve">), un apgabaltiesa, izskatot lietu no jauna, šo norādījumu ir ņēmusi vērā. </w:t>
      </w:r>
    </w:p>
    <w:p w14:paraId="7E2236F0" w14:textId="77777777" w:rsidR="00A35C5E" w:rsidRPr="00C51833" w:rsidRDefault="00822409" w:rsidP="00C51833">
      <w:pPr>
        <w:shd w:val="clear" w:color="auto" w:fill="FFFFFF"/>
        <w:spacing w:line="276" w:lineRule="auto"/>
        <w:ind w:firstLine="709"/>
        <w:jc w:val="both"/>
      </w:pPr>
      <w:r w:rsidRPr="00C51833">
        <w:t>Ievērojot minēto</w:t>
      </w:r>
      <w:r w:rsidR="00A35C5E" w:rsidRPr="00C51833">
        <w:t xml:space="preserve">, </w:t>
      </w:r>
      <w:r w:rsidR="00AE6720" w:rsidRPr="00C51833">
        <w:t>Senātam ir jāatbild</w:t>
      </w:r>
      <w:r w:rsidR="00A35C5E" w:rsidRPr="00C51833">
        <w:t xml:space="preserve"> uz šādiem jautājumiem</w:t>
      </w:r>
      <w:r w:rsidR="00AE6720" w:rsidRPr="00C51833">
        <w:t xml:space="preserve">: 1) vai </w:t>
      </w:r>
      <w:r w:rsidR="00143226" w:rsidRPr="00C51833">
        <w:t>kreditors</w:t>
      </w:r>
      <w:r w:rsidR="0051678F" w:rsidRPr="00C51833">
        <w:t xml:space="preserve">, lai atgādinājums būtu pienācīgi </w:t>
      </w:r>
      <w:r w:rsidRPr="00C51833">
        <w:t>paziņots,</w:t>
      </w:r>
      <w:r w:rsidR="00143226" w:rsidRPr="00C51833">
        <w:t xml:space="preserve"> </w:t>
      </w:r>
      <w:r w:rsidR="003339B0" w:rsidRPr="00C51833">
        <w:t>ir tiesīgs</w:t>
      </w:r>
      <w:r w:rsidR="00143226" w:rsidRPr="00C51833">
        <w:t xml:space="preserve"> sūtīt atgādinājumu parādniekam uz viņa līgumā norādīto saziņas adresi, vai arī kreditoram ir pienākums noskaidrot parādnieka deklarēto dzīvesvietu</w:t>
      </w:r>
      <w:r w:rsidR="003339B0" w:rsidRPr="00C51833">
        <w:t xml:space="preserve"> un atgādinājumu sūtīt uz to</w:t>
      </w:r>
      <w:r w:rsidR="00143226" w:rsidRPr="00C51833">
        <w:t xml:space="preserve">; </w:t>
      </w:r>
      <w:r w:rsidR="00AE6720" w:rsidRPr="00C51833">
        <w:t xml:space="preserve">2) </w:t>
      </w:r>
      <w:r w:rsidR="00A35C5E" w:rsidRPr="00C51833">
        <w:t>vai apgabaltiesa pareizas materiālo un procesuālo tiesību normu piemērošanas rezultātā ir izdarījusi secinājumu, ka noilgums nav pārtraukts, jo pēdējo četru atgādinājumu nosūtīšana nav pierādīta.</w:t>
      </w:r>
    </w:p>
    <w:p w14:paraId="00D9A98D" w14:textId="394A25EB" w:rsidR="0002611C" w:rsidRPr="00C51833" w:rsidRDefault="00D365E0" w:rsidP="00C51833">
      <w:pPr>
        <w:shd w:val="clear" w:color="auto" w:fill="FFFFFF"/>
        <w:spacing w:line="276" w:lineRule="auto"/>
        <w:ind w:firstLine="709"/>
        <w:jc w:val="both"/>
        <w:rPr>
          <w:shd w:val="clear" w:color="auto" w:fill="FFFFFF"/>
        </w:rPr>
      </w:pPr>
      <w:r w:rsidRPr="00C51833">
        <w:t>[</w:t>
      </w:r>
      <w:r w:rsidR="00EE67C1" w:rsidRPr="00C51833">
        <w:t>11</w:t>
      </w:r>
      <w:r w:rsidRPr="00C51833">
        <w:t xml:space="preserve">] </w:t>
      </w:r>
      <w:r w:rsidR="0051678F" w:rsidRPr="00C51833">
        <w:t xml:space="preserve">Senāts uzskata, ka uz pirmo jautājumu </w:t>
      </w:r>
      <w:r w:rsidR="009B0136" w:rsidRPr="00C51833">
        <w:t xml:space="preserve">turpmāk norādīto iemeslu dēļ ir </w:t>
      </w:r>
      <w:r w:rsidR="0051678F" w:rsidRPr="00C51833">
        <w:t>jāatbild tādējādi, ka</w:t>
      </w:r>
      <w:r w:rsidR="009B0136" w:rsidRPr="00C51833">
        <w:t>,</w:t>
      </w:r>
      <w:r w:rsidR="0051678F" w:rsidRPr="00C51833">
        <w:t xml:space="preserve"> </w:t>
      </w:r>
      <w:r w:rsidR="009B0136" w:rsidRPr="00C51833">
        <w:t>lai atgādinājums būtu pienācīgi paziņots, kreditors var sūtīt atgādinājumu parādniekam uz viņa līgumā norādīto saziņas adresi, ja vien puses nav vienojušās citādi</w:t>
      </w:r>
      <w:proofErr w:type="gramStart"/>
      <w:r w:rsidR="00A35C5E" w:rsidRPr="00C51833">
        <w:t xml:space="preserve"> vai nav iegūti pierādījumi, ka </w:t>
      </w:r>
      <w:r w:rsidR="0002611C" w:rsidRPr="00C51833">
        <w:t>kreditors zināja vai viņam vajadzēja zināt</w:t>
      </w:r>
      <w:proofErr w:type="gramEnd"/>
      <w:r w:rsidR="0002611C" w:rsidRPr="00C51833">
        <w:t>, ka parādnieks līgumā norādītajā adresē nav sasniedzams.</w:t>
      </w:r>
      <w:r w:rsidR="0002611C" w:rsidRPr="00C51833">
        <w:rPr>
          <w:shd w:val="clear" w:color="auto" w:fill="FFFFFF"/>
        </w:rPr>
        <w:t xml:space="preserve"> </w:t>
      </w:r>
    </w:p>
    <w:p w14:paraId="58DE1735" w14:textId="2F022888" w:rsidR="00450B4D" w:rsidRPr="00C51833" w:rsidRDefault="004939B7" w:rsidP="00C51833">
      <w:pPr>
        <w:shd w:val="clear" w:color="auto" w:fill="FFFFFF"/>
        <w:spacing w:line="276" w:lineRule="auto"/>
        <w:ind w:firstLine="709"/>
        <w:jc w:val="both"/>
      </w:pPr>
      <w:r w:rsidRPr="00C51833">
        <w:rPr>
          <w:shd w:val="clear" w:color="auto" w:fill="FFFFFF"/>
        </w:rPr>
        <w:t xml:space="preserve">[11.1] </w:t>
      </w:r>
      <w:r w:rsidR="00450B4D" w:rsidRPr="00C51833">
        <w:rPr>
          <w:shd w:val="clear" w:color="auto" w:fill="FFFFFF"/>
        </w:rPr>
        <w:t xml:space="preserve">Apgabaltiesa pretēju viedokli pamatojusi ar </w:t>
      </w:r>
      <w:r w:rsidR="00450B4D" w:rsidRPr="00C51833">
        <w:t>Dzīvesvietas deklarēšanas likuma un Paziņošanas likuma normām.</w:t>
      </w:r>
    </w:p>
    <w:p w14:paraId="54E94530" w14:textId="7361DC20" w:rsidR="0051678F" w:rsidRPr="00C51833" w:rsidRDefault="00D1774C" w:rsidP="00C51833">
      <w:pPr>
        <w:shd w:val="clear" w:color="auto" w:fill="FFFFFF"/>
        <w:spacing w:line="276" w:lineRule="auto"/>
        <w:ind w:firstLine="709"/>
        <w:jc w:val="both"/>
        <w:rPr>
          <w:shd w:val="clear" w:color="auto" w:fill="FFFFFF"/>
        </w:rPr>
      </w:pPr>
      <w:r w:rsidRPr="00C51833">
        <w:t xml:space="preserve">[11.1.1] </w:t>
      </w:r>
      <w:r w:rsidR="004939B7" w:rsidRPr="00C51833">
        <w:t>Dzīvesvietas deklarēšanas likuma 3.</w:t>
      </w:r>
      <w:r w:rsidR="00087EFD">
        <w:t> </w:t>
      </w:r>
      <w:r w:rsidR="004939B7" w:rsidRPr="00C51833">
        <w:t>panta pirmā daļa noteic, ka d</w:t>
      </w:r>
      <w:r w:rsidR="0051678F" w:rsidRPr="00C51833">
        <w:rPr>
          <w:shd w:val="clear" w:color="auto" w:fill="FFFFFF"/>
        </w:rPr>
        <w:t>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w:t>
      </w:r>
    </w:p>
    <w:p w14:paraId="07931044" w14:textId="0CF934F1" w:rsidR="00450B4D" w:rsidRPr="00C51833" w:rsidRDefault="004939B7" w:rsidP="00C51833">
      <w:pPr>
        <w:shd w:val="clear" w:color="auto" w:fill="FFFFFF"/>
        <w:spacing w:line="276" w:lineRule="auto"/>
        <w:ind w:firstLine="709"/>
        <w:jc w:val="both"/>
        <w:rPr>
          <w:shd w:val="clear" w:color="auto" w:fill="FFFFFF"/>
        </w:rPr>
      </w:pPr>
      <w:r w:rsidRPr="00C51833">
        <w:rPr>
          <w:shd w:val="clear" w:color="auto" w:fill="FFFFFF"/>
        </w:rPr>
        <w:t>Arī šī likuma 1.</w:t>
      </w:r>
      <w:r w:rsidR="00087EFD">
        <w:rPr>
          <w:shd w:val="clear" w:color="auto" w:fill="FFFFFF"/>
        </w:rPr>
        <w:t> </w:t>
      </w:r>
      <w:r w:rsidRPr="00C51833">
        <w:rPr>
          <w:shd w:val="clear" w:color="auto" w:fill="FFFFFF"/>
        </w:rPr>
        <w:t>pants paredz, ka likuma mērķis ir panākt, lai ikviena persona būtu sasniedzama tiesiskajās attiecībās ar valsti un pašvaldību</w:t>
      </w:r>
      <w:r w:rsidR="00450B4D" w:rsidRPr="00C51833">
        <w:rPr>
          <w:shd w:val="clear" w:color="auto" w:fill="FFFFFF"/>
        </w:rPr>
        <w:t>, un dzīvesvietas deklarēšanas fakts pats par sevi nerada civiltiesiskas saistības (</w:t>
      </w:r>
      <w:r w:rsidR="00D1774C" w:rsidRPr="00C51833">
        <w:t>Dzīvesvietas deklarēšanas likuma</w:t>
      </w:r>
      <w:r w:rsidR="00450B4D" w:rsidRPr="00C51833">
        <w:rPr>
          <w:shd w:val="clear" w:color="auto" w:fill="FFFFFF"/>
        </w:rPr>
        <w:t xml:space="preserve"> 2.</w:t>
      </w:r>
      <w:r w:rsidR="00087EFD">
        <w:rPr>
          <w:shd w:val="clear" w:color="auto" w:fill="FFFFFF"/>
        </w:rPr>
        <w:t> </w:t>
      </w:r>
      <w:r w:rsidR="00450B4D" w:rsidRPr="00C51833">
        <w:rPr>
          <w:shd w:val="clear" w:color="auto" w:fill="FFFFFF"/>
        </w:rPr>
        <w:t>panta otrā daļa).</w:t>
      </w:r>
    </w:p>
    <w:p w14:paraId="2E5C2B56" w14:textId="07948EC5" w:rsidR="008C4BDF" w:rsidRPr="00C51833" w:rsidRDefault="008C4BDF" w:rsidP="00C51833">
      <w:pPr>
        <w:shd w:val="clear" w:color="auto" w:fill="FFFFFF"/>
        <w:spacing w:line="276" w:lineRule="auto"/>
        <w:ind w:firstLine="709"/>
        <w:jc w:val="both"/>
      </w:pPr>
      <w:r w:rsidRPr="00C51833">
        <w:rPr>
          <w:shd w:val="clear" w:color="auto" w:fill="FFFFFF"/>
        </w:rPr>
        <w:t xml:space="preserve">Tādējādi </w:t>
      </w:r>
      <w:r w:rsidRPr="00C51833">
        <w:t xml:space="preserve">Dzīvesvietas deklarēšanas likums </w:t>
      </w:r>
      <w:r w:rsidR="00111635" w:rsidRPr="00C51833">
        <w:t xml:space="preserve">regulē </w:t>
      </w:r>
      <w:r w:rsidR="00111635" w:rsidRPr="00C51833">
        <w:rPr>
          <w:shd w:val="clear" w:color="auto" w:fill="FFFFFF"/>
        </w:rPr>
        <w:t xml:space="preserve">personas sasniedzamību tiesiskajās attiecībās ar valsti un pašvaldību, nevis </w:t>
      </w:r>
      <w:r w:rsidR="00D1774C" w:rsidRPr="00C51833">
        <w:rPr>
          <w:shd w:val="clear" w:color="auto" w:fill="FFFFFF"/>
        </w:rPr>
        <w:t xml:space="preserve">ar </w:t>
      </w:r>
      <w:r w:rsidR="00111635" w:rsidRPr="00C51833">
        <w:rPr>
          <w:shd w:val="clear" w:color="auto" w:fill="FFFFFF"/>
        </w:rPr>
        <w:t>citām privātpersonām, un tas</w:t>
      </w:r>
      <w:r w:rsidR="00111635" w:rsidRPr="00C51833">
        <w:t xml:space="preserve"> </w:t>
      </w:r>
      <w:r w:rsidRPr="00C51833">
        <w:t>nerada kreditora pienākumu paziņojumus parādniekam sūtīt uz deklarēto adresi.</w:t>
      </w:r>
      <w:r w:rsidR="007F4BC6" w:rsidRPr="00C51833">
        <w:t xml:space="preserve"> Savukārt apgabaltiesa, atzīstot, ka šis likums rada kreditora (privātpersonas) pienākumu atgādinājumu sūtīt uz parādnieka deklarēto adresi, ir nepareizi piemērojusi minētā likuma normas. </w:t>
      </w:r>
    </w:p>
    <w:p w14:paraId="5F558B2F" w14:textId="56EE2A9C" w:rsidR="00450B4D" w:rsidRPr="00C51833" w:rsidRDefault="00D1774C" w:rsidP="00C51833">
      <w:pPr>
        <w:shd w:val="clear" w:color="auto" w:fill="FFFFFF"/>
        <w:spacing w:line="276" w:lineRule="auto"/>
        <w:ind w:firstLine="709"/>
        <w:jc w:val="both"/>
        <w:rPr>
          <w:shd w:val="clear" w:color="auto" w:fill="FFFFFF"/>
        </w:rPr>
      </w:pPr>
      <w:r w:rsidRPr="00C51833">
        <w:rPr>
          <w:shd w:val="clear" w:color="auto" w:fill="FFFFFF"/>
        </w:rPr>
        <w:t xml:space="preserve">[11.1.2] </w:t>
      </w:r>
      <w:r w:rsidR="008C4BDF" w:rsidRPr="00C51833">
        <w:rPr>
          <w:shd w:val="clear" w:color="auto" w:fill="FFFFFF"/>
        </w:rPr>
        <w:t xml:space="preserve">Līdzīgi apgabaltiesa kļūdījusies arī Paziņošanas likuma piemērošanā. Proti, </w:t>
      </w:r>
      <w:r w:rsidR="00450B4D" w:rsidRPr="00C51833">
        <w:rPr>
          <w:shd w:val="clear" w:color="auto" w:fill="FFFFFF"/>
        </w:rPr>
        <w:t xml:space="preserve">Paziņošanas likuma </w:t>
      </w:r>
      <w:r w:rsidR="008C4BDF" w:rsidRPr="00C51833">
        <w:rPr>
          <w:shd w:val="clear" w:color="auto" w:fill="FFFFFF"/>
        </w:rPr>
        <w:t>4.</w:t>
      </w:r>
      <w:r w:rsidR="00087EFD">
        <w:rPr>
          <w:shd w:val="clear" w:color="auto" w:fill="FFFFFF"/>
        </w:rPr>
        <w:t> </w:t>
      </w:r>
      <w:r w:rsidR="008C4BDF" w:rsidRPr="00C51833">
        <w:rPr>
          <w:shd w:val="clear" w:color="auto" w:fill="FFFFFF"/>
        </w:rPr>
        <w:t xml:space="preserve">panta pirmās daļas pirmais teikums noteic, ka fiziskajai personai dokumentu paziņo uz deklarētās dzīvesvietas adresi vai deklarācijā norādīto papildu adresi. Tomēr apgabaltiesa nav ņēmusi vērā, ka šis pienākums attiecas uz iestādi publisko tiesību jomā, nevis </w:t>
      </w:r>
      <w:r w:rsidRPr="00C51833">
        <w:rPr>
          <w:shd w:val="clear" w:color="auto" w:fill="FFFFFF"/>
        </w:rPr>
        <w:t xml:space="preserve">uz kreditoru privāttiesiskajās attiecībās, jo Paziņošanas likuma </w:t>
      </w:r>
      <w:r w:rsidR="00450B4D" w:rsidRPr="00C51833">
        <w:rPr>
          <w:shd w:val="clear" w:color="auto" w:fill="FFFFFF"/>
        </w:rPr>
        <w:t>1.</w:t>
      </w:r>
      <w:r w:rsidR="00087EFD">
        <w:rPr>
          <w:shd w:val="clear" w:color="auto" w:fill="FFFFFF"/>
        </w:rPr>
        <w:t> </w:t>
      </w:r>
      <w:r w:rsidR="00450B4D" w:rsidRPr="00C51833">
        <w:rPr>
          <w:shd w:val="clear" w:color="auto" w:fill="FFFFFF"/>
        </w:rPr>
        <w:t xml:space="preserve">panta pirmā daļa noteic, ka </w:t>
      </w:r>
      <w:r w:rsidRPr="00C51833">
        <w:rPr>
          <w:shd w:val="clear" w:color="auto" w:fill="FFFFFF"/>
        </w:rPr>
        <w:t xml:space="preserve">likuma </w:t>
      </w:r>
      <w:r w:rsidR="00450B4D" w:rsidRPr="00C51833">
        <w:rPr>
          <w:shd w:val="clear" w:color="auto" w:fill="FFFFFF"/>
        </w:rPr>
        <w:t>mērķis ir nodrošināt iestādes un privātpersonas publiski tiesiskajās attiecībās savlaicīgu, kvalitatīvu un privātpersonas tiesībām un likumiskajām interesēm atbilstošu dokumentu un informācijas paziņošanu adresātam. Šo likumu nepiemēro gadījumos, kad iestāde darbojas privāto tiesību jomā, kā arī kriminālprocesa un civilprocesa ietvaros (</w:t>
      </w:r>
      <w:r w:rsidRPr="00C51833">
        <w:rPr>
          <w:shd w:val="clear" w:color="auto" w:fill="FFFFFF"/>
        </w:rPr>
        <w:t>Paziņošanas</w:t>
      </w:r>
      <w:r w:rsidR="008C4BDF" w:rsidRPr="00C51833">
        <w:rPr>
          <w:shd w:val="clear" w:color="auto" w:fill="FFFFFF"/>
        </w:rPr>
        <w:t xml:space="preserve"> </w:t>
      </w:r>
      <w:r w:rsidR="00450B4D" w:rsidRPr="00C51833">
        <w:rPr>
          <w:shd w:val="clear" w:color="auto" w:fill="FFFFFF"/>
        </w:rPr>
        <w:t>likuma 2.</w:t>
      </w:r>
      <w:r w:rsidR="00087EFD">
        <w:rPr>
          <w:shd w:val="clear" w:color="auto" w:fill="FFFFFF"/>
        </w:rPr>
        <w:t> </w:t>
      </w:r>
      <w:r w:rsidR="00450B4D" w:rsidRPr="00C51833">
        <w:rPr>
          <w:shd w:val="clear" w:color="auto" w:fill="FFFFFF"/>
        </w:rPr>
        <w:t xml:space="preserve">panta </w:t>
      </w:r>
      <w:r w:rsidR="0020300D" w:rsidRPr="00C51833">
        <w:rPr>
          <w:shd w:val="clear" w:color="auto" w:fill="FFFFFF"/>
        </w:rPr>
        <w:t>otrais teikums)</w:t>
      </w:r>
      <w:r w:rsidR="00450B4D" w:rsidRPr="00C51833">
        <w:rPr>
          <w:shd w:val="clear" w:color="auto" w:fill="FFFFFF"/>
        </w:rPr>
        <w:t>.</w:t>
      </w:r>
    </w:p>
    <w:p w14:paraId="2EA1A938" w14:textId="77777777" w:rsidR="00322B60" w:rsidRPr="00C51833" w:rsidRDefault="00FA2D35" w:rsidP="00C51833">
      <w:pPr>
        <w:shd w:val="clear" w:color="auto" w:fill="FFFFFF"/>
        <w:spacing w:line="276" w:lineRule="auto"/>
        <w:ind w:firstLine="709"/>
        <w:jc w:val="both"/>
        <w:rPr>
          <w:shd w:val="clear" w:color="auto" w:fill="FFFFFF"/>
        </w:rPr>
      </w:pPr>
      <w:r w:rsidRPr="00C51833">
        <w:rPr>
          <w:shd w:val="clear" w:color="auto" w:fill="FFFFFF"/>
        </w:rPr>
        <w:lastRenderedPageBreak/>
        <w:t xml:space="preserve">[11.1.3] Turklāt apgabaltiesa ir kļūdījusies judikatūras piemērošanā. </w:t>
      </w:r>
    </w:p>
    <w:p w14:paraId="76673530" w14:textId="35502798" w:rsidR="00322B60" w:rsidRPr="00C51833" w:rsidRDefault="00322B60" w:rsidP="00C51833">
      <w:pPr>
        <w:shd w:val="clear" w:color="auto" w:fill="FFFFFF"/>
        <w:spacing w:line="276" w:lineRule="auto"/>
        <w:ind w:firstLine="709"/>
        <w:jc w:val="both"/>
        <w:rPr>
          <w:shd w:val="clear" w:color="auto" w:fill="FFFFFF"/>
        </w:rPr>
      </w:pPr>
      <w:r w:rsidRPr="00C51833">
        <w:rPr>
          <w:rFonts w:eastAsia="Calibri"/>
          <w:lang w:eastAsia="en-US"/>
        </w:rPr>
        <w:t>Senāt</w:t>
      </w:r>
      <w:r w:rsidRPr="00C51833">
        <w:t xml:space="preserve">s jau agrāk uzsvēris, ka judikatūrā nostiprinātās juridiskās tēzes jāņem vērā tikai tad, ja izšķiramā strīda faktisko un tiesisko apstākļu vērtējošās salīdzināšanas ceļā tiek konstatēts to saturisks identiskums vai būtiska līdzība ar iepriekš jau izspriestas lietas apstākļiem </w:t>
      </w:r>
      <w:proofErr w:type="gramStart"/>
      <w:r w:rsidRPr="00C51833">
        <w:t>(</w:t>
      </w:r>
      <w:proofErr w:type="gramEnd"/>
      <w:r w:rsidRPr="00C51833">
        <w:t xml:space="preserve">sk., piemēram, </w:t>
      </w:r>
      <w:r w:rsidRPr="00C51833">
        <w:rPr>
          <w:i/>
          <w:iCs/>
        </w:rPr>
        <w:t>Senāta 2017.</w:t>
      </w:r>
      <w:r w:rsidR="00087EFD">
        <w:rPr>
          <w:i/>
          <w:iCs/>
        </w:rPr>
        <w:t> </w:t>
      </w:r>
      <w:r w:rsidRPr="00C51833">
        <w:rPr>
          <w:i/>
          <w:iCs/>
        </w:rPr>
        <w:t>gada 17.</w:t>
      </w:r>
      <w:r w:rsidR="00087EFD">
        <w:rPr>
          <w:i/>
          <w:iCs/>
        </w:rPr>
        <w:t> </w:t>
      </w:r>
      <w:r w:rsidRPr="00C51833">
        <w:rPr>
          <w:i/>
          <w:iCs/>
        </w:rPr>
        <w:t>marta sprieduma lietā Nr. SKC</w:t>
      </w:r>
      <w:r w:rsidRPr="00C51833">
        <w:rPr>
          <w:i/>
          <w:iCs/>
        </w:rPr>
        <w:noBreakHyphen/>
        <w:t>90/2017, C33188110, 11.3.</w:t>
      </w:r>
      <w:r w:rsidR="00087EFD">
        <w:rPr>
          <w:i/>
          <w:iCs/>
        </w:rPr>
        <w:t> </w:t>
      </w:r>
      <w:r w:rsidRPr="00C51833">
        <w:rPr>
          <w:i/>
          <w:iCs/>
        </w:rPr>
        <w:t>punktu, 2019.</w:t>
      </w:r>
      <w:r w:rsidR="00087EFD">
        <w:rPr>
          <w:i/>
          <w:iCs/>
        </w:rPr>
        <w:t> </w:t>
      </w:r>
      <w:r w:rsidRPr="00C51833">
        <w:rPr>
          <w:i/>
          <w:iCs/>
        </w:rPr>
        <w:t>gada 10.</w:t>
      </w:r>
      <w:r w:rsidR="00087EFD">
        <w:rPr>
          <w:i/>
          <w:iCs/>
        </w:rPr>
        <w:t> </w:t>
      </w:r>
      <w:r w:rsidRPr="00C51833">
        <w:rPr>
          <w:i/>
          <w:iCs/>
        </w:rPr>
        <w:t xml:space="preserve">decembra sprieduma lietā Nr. SKC-269/2019, </w:t>
      </w:r>
      <w:r w:rsidRPr="00C51833">
        <w:rPr>
          <w:i/>
          <w:iCs/>
          <w:shd w:val="clear" w:color="auto" w:fill="FFFFFF"/>
        </w:rPr>
        <w:t>ECLI:LV:AT:2019:1210.C04439510.7.S,</w:t>
      </w:r>
      <w:r w:rsidRPr="00C51833">
        <w:rPr>
          <w:i/>
          <w:iCs/>
        </w:rPr>
        <w:t xml:space="preserve"> 12.3.</w:t>
      </w:r>
      <w:r w:rsidR="00087EFD">
        <w:rPr>
          <w:i/>
          <w:iCs/>
        </w:rPr>
        <w:t> </w:t>
      </w:r>
      <w:r w:rsidRPr="00C51833">
        <w:rPr>
          <w:i/>
          <w:iCs/>
        </w:rPr>
        <w:t>punktu</w:t>
      </w:r>
      <w:r w:rsidRPr="00C51833">
        <w:t xml:space="preserve">). </w:t>
      </w:r>
    </w:p>
    <w:p w14:paraId="5AA9D0E8" w14:textId="45337A73" w:rsidR="00306979" w:rsidRPr="00C51833" w:rsidRDefault="00322B60" w:rsidP="00C51833">
      <w:pPr>
        <w:shd w:val="clear" w:color="auto" w:fill="FFFFFF"/>
        <w:spacing w:line="276" w:lineRule="auto"/>
        <w:ind w:firstLine="709"/>
        <w:jc w:val="both"/>
      </w:pPr>
      <w:r w:rsidRPr="00C51833">
        <w:t xml:space="preserve">Senāta </w:t>
      </w:r>
      <w:r w:rsidR="00586C53" w:rsidRPr="00C51833">
        <w:t>2020.</w:t>
      </w:r>
      <w:r w:rsidR="00087EFD">
        <w:t> </w:t>
      </w:r>
      <w:r w:rsidR="00586C53" w:rsidRPr="00C51833">
        <w:t>gada 3.</w:t>
      </w:r>
      <w:r w:rsidR="00087EFD">
        <w:t> </w:t>
      </w:r>
      <w:r w:rsidR="00586C53" w:rsidRPr="00C51833">
        <w:t xml:space="preserve">jūnija sprieduma atziņas </w:t>
      </w:r>
      <w:r w:rsidR="00586C53" w:rsidRPr="00C51833">
        <w:rPr>
          <w:iCs/>
        </w:rPr>
        <w:t xml:space="preserve">lietā Nr. SKC-190/2020 </w:t>
      </w:r>
      <w:r w:rsidRPr="00C51833">
        <w:t>attiecas uz atšķirīgiem faktiskajiem un tiesiskajiem apstākļiem</w:t>
      </w:r>
      <w:r w:rsidR="00947BB7" w:rsidRPr="00C51833">
        <w:t>, un arī pati atziņu būtība ir citāda, nekā to apgabaltiesa izpratusi. Proti, Senāt</w:t>
      </w:r>
      <w:r w:rsidR="00AA0D2C" w:rsidRPr="00C51833">
        <w:t xml:space="preserve">s </w:t>
      </w:r>
      <w:r w:rsidR="00947BB7" w:rsidRPr="00C51833">
        <w:t xml:space="preserve">šajā lietā risināja jautājumu par to, vai kreditors </w:t>
      </w:r>
      <w:r w:rsidR="0065297F" w:rsidRPr="00C51833">
        <w:t>ir tiesīgs</w:t>
      </w:r>
      <w:r w:rsidR="00947BB7" w:rsidRPr="00C51833">
        <w:t xml:space="preserve"> atgādinājumu nosūtīt uz parādnieka deklarēto dzīvesvietu, nevis – vai kreditoram ir pienākums atgādinājumu sūtīt tikai uz parādnieka deklarēto dzīvesvietu. Senāts atzina, ka kreditores uz parādnieces deklarēto dzīvesvietu ierakstītās vēstulēs nosūtīt</w:t>
      </w:r>
      <w:r w:rsidR="00AA0D2C" w:rsidRPr="00C51833">
        <w:t>os</w:t>
      </w:r>
      <w:r w:rsidR="00947BB7" w:rsidRPr="00C51833">
        <w:t xml:space="preserve"> atgādinājumus nevar uzskatīt par nepareizi nosūtītiem Civillikuma 1655.</w:t>
      </w:r>
      <w:r w:rsidR="00087EFD">
        <w:t> </w:t>
      </w:r>
      <w:r w:rsidR="00947BB7" w:rsidRPr="00C51833">
        <w:t>panta tvērumā, jo kreditoram bija pamats paļauties uz adresāta sasniedzamību</w:t>
      </w:r>
      <w:r w:rsidR="0094196B" w:rsidRPr="00C51833">
        <w:t xml:space="preserve"> </w:t>
      </w:r>
      <w:proofErr w:type="gramStart"/>
      <w:r w:rsidR="0094196B" w:rsidRPr="00C51833">
        <w:t>(</w:t>
      </w:r>
      <w:proofErr w:type="gramEnd"/>
      <w:r w:rsidR="0094196B" w:rsidRPr="00C51833">
        <w:t xml:space="preserve">sk. </w:t>
      </w:r>
      <w:r w:rsidR="0094196B" w:rsidRPr="00C51833">
        <w:rPr>
          <w:i/>
          <w:iCs/>
        </w:rPr>
        <w:t xml:space="preserve">Senāta </w:t>
      </w:r>
      <w:r w:rsidR="0094196B" w:rsidRPr="00C51833">
        <w:rPr>
          <w:i/>
        </w:rPr>
        <w:t>2020.</w:t>
      </w:r>
      <w:r w:rsidR="003707A9">
        <w:rPr>
          <w:i/>
        </w:rPr>
        <w:t> </w:t>
      </w:r>
      <w:r w:rsidR="0094196B" w:rsidRPr="00C51833">
        <w:rPr>
          <w:i/>
        </w:rPr>
        <w:t>gada 3.</w:t>
      </w:r>
      <w:r w:rsidR="003707A9">
        <w:rPr>
          <w:i/>
        </w:rPr>
        <w:t> </w:t>
      </w:r>
      <w:r w:rsidR="0094196B" w:rsidRPr="00C51833">
        <w:rPr>
          <w:i/>
        </w:rPr>
        <w:t xml:space="preserve">jūnija spriedumu lietā Nr. SKC-190/2020, </w:t>
      </w:r>
      <w:r w:rsidR="0094196B" w:rsidRPr="00C51833">
        <w:rPr>
          <w:i/>
          <w:iCs/>
        </w:rPr>
        <w:t>ECLI:LV:AT:2020:0603.C29383616.9.S, jo īpaši tā 6.1., 6.5.</w:t>
      </w:r>
      <w:r w:rsidR="00087EFD">
        <w:rPr>
          <w:i/>
          <w:iCs/>
        </w:rPr>
        <w:t> </w:t>
      </w:r>
      <w:r w:rsidR="0094196B" w:rsidRPr="00C51833">
        <w:rPr>
          <w:i/>
          <w:iCs/>
        </w:rPr>
        <w:t>punktu)</w:t>
      </w:r>
      <w:r w:rsidR="00947BB7" w:rsidRPr="00C51833">
        <w:t xml:space="preserve">. </w:t>
      </w:r>
    </w:p>
    <w:p w14:paraId="6E53EA5D" w14:textId="5F138B59" w:rsidR="005D179B" w:rsidRPr="00C51833" w:rsidRDefault="00997F53" w:rsidP="00C51833">
      <w:pPr>
        <w:shd w:val="clear" w:color="auto" w:fill="FFFFFF"/>
        <w:spacing w:line="276" w:lineRule="auto"/>
        <w:ind w:firstLine="709"/>
        <w:jc w:val="both"/>
      </w:pPr>
      <w:r w:rsidRPr="00C51833">
        <w:t>Civillikuma 1655.</w:t>
      </w:r>
      <w:r w:rsidR="00087EFD">
        <w:t> </w:t>
      </w:r>
      <w:r w:rsidRPr="00C51833">
        <w:t>pants noteic, ka atgādināt nevar tādā laikā un vietā, kad un kur nevar pēc taisnības sagaidīt saistības izpildīšanu. Tādējādi Senāts, atsaucoties uz juridiskajā literatūrā atrodamajām atziņām, iepriekšminētā sprieduma 6.5.</w:t>
      </w:r>
      <w:r w:rsidR="00087EFD">
        <w:t> </w:t>
      </w:r>
      <w:r w:rsidRPr="00C51833">
        <w:t>punktā izskaidroja, ka gribas izteikumam ne vien jābūt vērstam parādnieka virzienā, bet tam</w:t>
      </w:r>
      <w:proofErr w:type="gramStart"/>
      <w:r w:rsidRPr="00C51833">
        <w:t xml:space="preserve"> turklāt jābūt izteiktam tādā veidā, lai adresāts parastos apstākļos varētu rēķināties ar tā saņemšanu</w:t>
      </w:r>
      <w:proofErr w:type="gramEnd"/>
      <w:r w:rsidRPr="00C51833">
        <w:t>. Savukārt</w:t>
      </w:r>
      <w:r w:rsidR="008F706D" w:rsidRPr="00C51833">
        <w:t xml:space="preserve"> Dzīvesvietas deklarēšanas likuma un Paziņošanas likuma normas Senāts izmantoja tiktāl, ciktā</w:t>
      </w:r>
      <w:r w:rsidR="0065297F" w:rsidRPr="00C51833">
        <w:t>l</w:t>
      </w:r>
      <w:r w:rsidR="008F706D" w:rsidRPr="00C51833">
        <w:t xml:space="preserve"> no tām izriet prezumpcija, ka persona deklarētajā dzīvesvietā arī dzīvo. </w:t>
      </w:r>
      <w:r w:rsidRPr="00C51833">
        <w:t>Respektīvi, šīs prezumpcijas dēļ</w:t>
      </w:r>
      <w:r w:rsidR="00306979" w:rsidRPr="00C51833">
        <w:t xml:space="preserve"> kreditoram vispārīgi var būt pamats paļauties uz </w:t>
      </w:r>
      <w:r w:rsidR="005D179B" w:rsidRPr="00C51833">
        <w:t>p</w:t>
      </w:r>
      <w:r w:rsidR="00306979" w:rsidRPr="00C51833">
        <w:t>a</w:t>
      </w:r>
      <w:r w:rsidR="005D179B" w:rsidRPr="00C51833">
        <w:t>rādnieka</w:t>
      </w:r>
      <w:r w:rsidR="00306979" w:rsidRPr="00C51833">
        <w:t xml:space="preserve"> sasniedzamību deklarētajā adresē, ja vien </w:t>
      </w:r>
      <w:r w:rsidR="005D179B" w:rsidRPr="00C51833">
        <w:t xml:space="preserve">pierādījumi neliecina par pretējo. Taču tas nenozīmē, ka kreditoram nav pamata paļauties uz parādnieka sasniedzamību arī citā adresē, </w:t>
      </w:r>
      <w:r w:rsidR="009B6EB6" w:rsidRPr="00C51833">
        <w:t>kuru pats parādnieks norādījis kā savu adresi un par kuras neaktualitāti kreditoram nav ziņu</w:t>
      </w:r>
      <w:r w:rsidRPr="00C51833">
        <w:t xml:space="preserve">, </w:t>
      </w:r>
      <w:r w:rsidR="005D179B" w:rsidRPr="00C51833">
        <w:t>kā tas arī ir izskatāmajā lietā.</w:t>
      </w:r>
    </w:p>
    <w:p w14:paraId="1B5A6B2A" w14:textId="07540E3A" w:rsidR="005153E2" w:rsidRPr="00C51833" w:rsidRDefault="00836526" w:rsidP="00C51833">
      <w:pPr>
        <w:shd w:val="clear" w:color="auto" w:fill="FFFFFF"/>
        <w:spacing w:line="276" w:lineRule="auto"/>
        <w:ind w:firstLine="709"/>
        <w:jc w:val="both"/>
      </w:pPr>
      <w:r w:rsidRPr="00C51833">
        <w:t>[11.2]</w:t>
      </w:r>
      <w:r w:rsidR="00D0593E" w:rsidRPr="00C51833">
        <w:t xml:space="preserve"> </w:t>
      </w:r>
      <w:r w:rsidR="004E2817" w:rsidRPr="00C51833">
        <w:t xml:space="preserve">Proti, apgabaltiesa konstatējusi, ka </w:t>
      </w:r>
      <w:r w:rsidR="00A12681" w:rsidRPr="00C51833">
        <w:t xml:space="preserve">kreditore pirmo atgādinājumu </w:t>
      </w:r>
      <w:r w:rsidR="004B492D" w:rsidRPr="00C51833">
        <w:t>2010.</w:t>
      </w:r>
      <w:r w:rsidR="00D279CD">
        <w:t> </w:t>
      </w:r>
      <w:r w:rsidR="004B492D" w:rsidRPr="00C51833">
        <w:t>gada 10.</w:t>
      </w:r>
      <w:r w:rsidR="00D279CD">
        <w:t> </w:t>
      </w:r>
      <w:r w:rsidR="004B492D" w:rsidRPr="00C51833">
        <w:t>decembrī nosūtījusi atbildētājam uz viņa kredītlīnijas līgumā norādīto adresi</w:t>
      </w:r>
      <w:r w:rsidR="00AB4060" w:rsidRPr="00C51833">
        <w:t>, ko apliecina valsts AS „Latvijas Pasts” nodoto vēstuļu saraksti</w:t>
      </w:r>
      <w:r w:rsidR="005153E2" w:rsidRPr="00C51833">
        <w:t xml:space="preserve">, </w:t>
      </w:r>
      <w:proofErr w:type="gramStart"/>
      <w:r w:rsidR="005153E2" w:rsidRPr="00C51833">
        <w:t>un ka šajā adresē</w:t>
      </w:r>
      <w:proofErr w:type="gramEnd"/>
      <w:r w:rsidR="005153E2" w:rsidRPr="00C51833">
        <w:t xml:space="preserve"> atbildētājs paziņojuma nosūtīšanas laikā nebija deklarēts.</w:t>
      </w:r>
    </w:p>
    <w:p w14:paraId="3A9E43EC" w14:textId="584D8E91" w:rsidR="0088394A" w:rsidRPr="00C51833" w:rsidRDefault="005153E2" w:rsidP="00C51833">
      <w:pPr>
        <w:shd w:val="clear" w:color="auto" w:fill="FFFFFF"/>
        <w:spacing w:line="276" w:lineRule="auto"/>
        <w:ind w:firstLine="709"/>
        <w:jc w:val="both"/>
      </w:pPr>
      <w:r w:rsidRPr="00C51833">
        <w:t>Senāts p</w:t>
      </w:r>
      <w:r w:rsidR="00DB1BC6" w:rsidRPr="00C51833">
        <w:t xml:space="preserve">iekrīt kasācijas sūdzības iesniedzējai, ka </w:t>
      </w:r>
      <w:r w:rsidR="00747AE7" w:rsidRPr="00C51833">
        <w:t xml:space="preserve">bankai kā līgumslēdzējai pusei (un pēc tam prasītājai kā bankas </w:t>
      </w:r>
      <w:r w:rsidR="00B47E59" w:rsidRPr="00C51833">
        <w:t xml:space="preserve">prasījumu </w:t>
      </w:r>
      <w:proofErr w:type="spellStart"/>
      <w:r w:rsidR="00747AE7" w:rsidRPr="00C51833">
        <w:t>cesionārei</w:t>
      </w:r>
      <w:proofErr w:type="spellEnd"/>
      <w:r w:rsidR="00747AE7" w:rsidRPr="00C51833">
        <w:t xml:space="preserve">) </w:t>
      </w:r>
      <w:r w:rsidR="007F47C9" w:rsidRPr="00C51833">
        <w:t>bija pamat</w:t>
      </w:r>
      <w:r w:rsidR="00747AE7" w:rsidRPr="00C51833">
        <w:t>s</w:t>
      </w:r>
      <w:r w:rsidR="007F47C9" w:rsidRPr="00C51833">
        <w:t xml:space="preserve"> paļauties uz </w:t>
      </w:r>
      <w:r w:rsidR="00747AE7" w:rsidRPr="00C51833">
        <w:t>otras līgumslēdzējas puses (parādniek</w:t>
      </w:r>
      <w:r w:rsidR="007F47C9" w:rsidRPr="00C51833">
        <w:t xml:space="preserve">a </w:t>
      </w:r>
      <w:r w:rsidR="00C51833">
        <w:t>[pers. A]</w:t>
      </w:r>
      <w:r w:rsidR="00747AE7" w:rsidRPr="00C51833">
        <w:t xml:space="preserve">) </w:t>
      </w:r>
      <w:r w:rsidR="007F47C9" w:rsidRPr="00C51833">
        <w:t xml:space="preserve">sasniedzamību adresē, kuru viņš </w:t>
      </w:r>
      <w:r w:rsidR="00747AE7" w:rsidRPr="00C51833">
        <w:t xml:space="preserve">līgumā </w:t>
      </w:r>
      <w:r w:rsidR="007F47C9" w:rsidRPr="00C51833">
        <w:t>norādījis</w:t>
      </w:r>
      <w:r w:rsidR="00747AE7" w:rsidRPr="00C51833">
        <w:t xml:space="preserve"> kā savu dzīvesvietu. Nav nekāda pamata uzskatīt, ka dzīvesvieta līgumā</w:t>
      </w:r>
      <w:proofErr w:type="gramStart"/>
      <w:r w:rsidR="00747AE7" w:rsidRPr="00C51833">
        <w:t xml:space="preserve"> norādīta ar jebkādu citu mērķi</w:t>
      </w:r>
      <w:proofErr w:type="gramEnd"/>
      <w:r w:rsidR="00747AE7" w:rsidRPr="00C51833">
        <w:t>, kā vien tādēļ, lai paziņotu bankai, k</w:t>
      </w:r>
      <w:r w:rsidR="00B25021" w:rsidRPr="00C51833">
        <w:t xml:space="preserve">ādā adresē </w:t>
      </w:r>
      <w:r w:rsidR="00747AE7" w:rsidRPr="00C51833">
        <w:t xml:space="preserve">ar </w:t>
      </w:r>
      <w:r w:rsidR="00C51833">
        <w:t xml:space="preserve">[pers. A] </w:t>
      </w:r>
      <w:r w:rsidR="00747AE7" w:rsidRPr="00C51833">
        <w:t>var sazināties.</w:t>
      </w:r>
    </w:p>
    <w:p w14:paraId="360956EF" w14:textId="77777777" w:rsidR="00E10F49" w:rsidRPr="00C51833" w:rsidRDefault="00E10F49" w:rsidP="00C51833">
      <w:pPr>
        <w:shd w:val="clear" w:color="auto" w:fill="FFFFFF"/>
        <w:spacing w:line="276" w:lineRule="auto"/>
        <w:ind w:firstLine="709"/>
        <w:jc w:val="both"/>
      </w:pPr>
      <w:r w:rsidRPr="00C51833">
        <w:t>Lai arī kredītlīnijas līgumā nav noteikts parādnieka pienākums informēt kreditori par adreses maiņu, šāds pienākums līguma darbības laikā, kā arī laikā, kad parādniekam pastāv neizpildītas un nenoilgušas saistības, izriet no līgumslēdzēju sadarbošanās pienākuma.</w:t>
      </w:r>
    </w:p>
    <w:p w14:paraId="2F4D45AA" w14:textId="10F63900" w:rsidR="00E10F49" w:rsidRPr="00C51833" w:rsidRDefault="00E10F49" w:rsidP="00C51833">
      <w:pPr>
        <w:shd w:val="clear" w:color="auto" w:fill="FFFFFF"/>
        <w:spacing w:line="276" w:lineRule="auto"/>
        <w:ind w:firstLine="709"/>
        <w:jc w:val="both"/>
      </w:pPr>
      <w:r w:rsidRPr="00C51833">
        <w:t>Civillikuma 1.</w:t>
      </w:r>
      <w:r w:rsidR="00D279CD">
        <w:t> </w:t>
      </w:r>
      <w:r w:rsidRPr="00C51833">
        <w:t xml:space="preserve">pants noteic, ka tiesības izlietojamas un pienākumi pildāmi labā ticībā. Labas ticības princips nozīmē to, ka katram </w:t>
      </w:r>
      <w:r w:rsidR="00BB6743" w:rsidRPr="00C51833">
        <w:t xml:space="preserve">savas subjektīvās tiesības jāīsteno un subjektīvie pienākumi jāizpilda, ievērojot citu personu pamatotas intereses </w:t>
      </w:r>
      <w:proofErr w:type="gramStart"/>
      <w:r w:rsidR="00BB6743" w:rsidRPr="00C51833">
        <w:t>(</w:t>
      </w:r>
      <w:proofErr w:type="gramEnd"/>
      <w:r w:rsidR="00BB6743" w:rsidRPr="00C51833">
        <w:t xml:space="preserve">sk. </w:t>
      </w:r>
      <w:r w:rsidR="00553C73" w:rsidRPr="00C51833">
        <w:rPr>
          <w:i/>
          <w:iCs/>
        </w:rPr>
        <w:t>S</w:t>
      </w:r>
      <w:r w:rsidR="00BB6743" w:rsidRPr="00C51833">
        <w:rPr>
          <w:i/>
          <w:iCs/>
        </w:rPr>
        <w:t xml:space="preserve">enāta </w:t>
      </w:r>
      <w:r w:rsidR="00BB6743" w:rsidRPr="00C51833">
        <w:rPr>
          <w:i/>
          <w:iCs/>
        </w:rPr>
        <w:lastRenderedPageBreak/>
        <w:t>2014.</w:t>
      </w:r>
      <w:r w:rsidR="00D279CD">
        <w:rPr>
          <w:i/>
          <w:iCs/>
        </w:rPr>
        <w:t> </w:t>
      </w:r>
      <w:r w:rsidR="00BB6743" w:rsidRPr="00C51833">
        <w:rPr>
          <w:i/>
          <w:iCs/>
        </w:rPr>
        <w:t>gada 19.</w:t>
      </w:r>
      <w:r w:rsidR="00D279CD">
        <w:rPr>
          <w:i/>
          <w:iCs/>
        </w:rPr>
        <w:t> </w:t>
      </w:r>
      <w:r w:rsidR="00BB6743" w:rsidRPr="00C51833">
        <w:rPr>
          <w:i/>
          <w:iCs/>
        </w:rPr>
        <w:t>februāra sprieduma lietā Nr. SKC</w:t>
      </w:r>
      <w:r w:rsidR="00BB6743" w:rsidRPr="00C51833">
        <w:rPr>
          <w:i/>
          <w:iCs/>
        </w:rPr>
        <w:noBreakHyphen/>
        <w:t>590/2014, C</w:t>
      </w:r>
      <w:r w:rsidR="00553C73" w:rsidRPr="00C51833">
        <w:rPr>
          <w:i/>
          <w:iCs/>
        </w:rPr>
        <w:t>32290110</w:t>
      </w:r>
      <w:r w:rsidR="00BB6743" w:rsidRPr="00C51833">
        <w:rPr>
          <w:i/>
          <w:iCs/>
        </w:rPr>
        <w:t xml:space="preserve">, </w:t>
      </w:r>
      <w:r w:rsidR="00553C73" w:rsidRPr="00C51833">
        <w:rPr>
          <w:i/>
          <w:iCs/>
        </w:rPr>
        <w:t>9.4.</w:t>
      </w:r>
      <w:r w:rsidR="00D279CD">
        <w:rPr>
          <w:i/>
          <w:iCs/>
        </w:rPr>
        <w:t> </w:t>
      </w:r>
      <w:r w:rsidR="00553C73" w:rsidRPr="00C51833">
        <w:rPr>
          <w:i/>
          <w:iCs/>
        </w:rPr>
        <w:t>punktu; Balodis K. Labas ticības princips mūsdienu Latvijas civiltiesībās. Jurista Vārds, 03.12.2002., Nr. 24(257)</w:t>
      </w:r>
      <w:r w:rsidR="00553C73" w:rsidRPr="00C51833">
        <w:t>). Tādējādi atbilstoši labas ticības principam ir jāpieņem, ka pusēm ir jāizdara viss nepieciešamais, lai nodrošinātu līguma saprātīgu izpildi, kas nozīmē arī otras līgumslēdzējas puses informēšanu par adresi, kurā puse ir sasniedzama</w:t>
      </w:r>
      <w:r w:rsidR="00E07CFC" w:rsidRPr="00C51833">
        <w:t xml:space="preserve"> adreses maiņas gadījumā</w:t>
      </w:r>
      <w:r w:rsidR="00553C73" w:rsidRPr="00C51833">
        <w:t xml:space="preserve">. </w:t>
      </w:r>
    </w:p>
    <w:p w14:paraId="2F9DB59A" w14:textId="2061F5BD" w:rsidR="00CC2242" w:rsidRPr="00C51833" w:rsidRDefault="00E07CFC" w:rsidP="00C51833">
      <w:pPr>
        <w:shd w:val="clear" w:color="auto" w:fill="FFFFFF"/>
        <w:spacing w:line="276" w:lineRule="auto"/>
        <w:ind w:firstLine="709"/>
        <w:jc w:val="both"/>
      </w:pPr>
      <w:r w:rsidRPr="00C51833">
        <w:t xml:space="preserve">Senāts jau agrāk norādījis, ka tiesas aizsardzību nevar baudīt parādnieks, kurš nepaziņo parādniekam par izmaiņām līgumā atspoguļotajā kontaktinformācijā vai citādi izvairās no jebkādas komunikācijas ar kreditoru, tādējādi ignorējot sadarbošanās pienākumu </w:t>
      </w:r>
      <w:proofErr w:type="gramStart"/>
      <w:r w:rsidRPr="00C51833">
        <w:t>(</w:t>
      </w:r>
      <w:proofErr w:type="gramEnd"/>
      <w:r w:rsidRPr="00C51833">
        <w:t xml:space="preserve">sal. </w:t>
      </w:r>
      <w:r w:rsidRPr="00C51833">
        <w:rPr>
          <w:i/>
          <w:iCs/>
        </w:rPr>
        <w:t>Senāta 2020.</w:t>
      </w:r>
      <w:r w:rsidR="00D279CD">
        <w:rPr>
          <w:i/>
          <w:iCs/>
        </w:rPr>
        <w:t> </w:t>
      </w:r>
      <w:r w:rsidRPr="00C51833">
        <w:rPr>
          <w:i/>
          <w:iCs/>
        </w:rPr>
        <w:t>gada 3.</w:t>
      </w:r>
      <w:r w:rsidR="00D279CD">
        <w:rPr>
          <w:i/>
          <w:iCs/>
        </w:rPr>
        <w:t> </w:t>
      </w:r>
      <w:r w:rsidRPr="00C51833">
        <w:rPr>
          <w:i/>
          <w:iCs/>
        </w:rPr>
        <w:t>decembra sprieduma lietā Nr. SKC</w:t>
      </w:r>
      <w:r w:rsidRPr="00C51833">
        <w:rPr>
          <w:i/>
          <w:iCs/>
        </w:rPr>
        <w:noBreakHyphen/>
        <w:t xml:space="preserve">12/2020, </w:t>
      </w:r>
      <w:hyperlink r:id="rId10" w:history="1">
        <w:r w:rsidRPr="00C51833">
          <w:rPr>
            <w:rStyle w:val="Hyperlink"/>
            <w:i/>
            <w:iCs/>
            <w:color w:val="auto"/>
            <w:u w:val="none"/>
            <w:lang w:eastAsia="en-US"/>
          </w:rPr>
          <w:t>ECLI:LV:AT:2020:1203.C10080016.4.S</w:t>
        </w:r>
      </w:hyperlink>
      <w:r w:rsidRPr="00C51833">
        <w:rPr>
          <w:i/>
          <w:iCs/>
        </w:rPr>
        <w:t>, 9.4.2.</w:t>
      </w:r>
      <w:r w:rsidR="00D279CD">
        <w:rPr>
          <w:i/>
          <w:iCs/>
        </w:rPr>
        <w:t> </w:t>
      </w:r>
      <w:r w:rsidRPr="00C51833">
        <w:rPr>
          <w:i/>
          <w:iCs/>
        </w:rPr>
        <w:t>punkts</w:t>
      </w:r>
      <w:r w:rsidRPr="00C51833">
        <w:t xml:space="preserve">). </w:t>
      </w:r>
    </w:p>
    <w:p w14:paraId="1235ABC3" w14:textId="6F8D4682" w:rsidR="00CC2242" w:rsidRPr="00C51833" w:rsidRDefault="00553C73" w:rsidP="00C51833">
      <w:pPr>
        <w:shd w:val="clear" w:color="auto" w:fill="FFFFFF"/>
        <w:spacing w:line="276" w:lineRule="auto"/>
        <w:ind w:firstLine="709"/>
        <w:jc w:val="both"/>
      </w:pPr>
      <w:r w:rsidRPr="00C51833">
        <w:t xml:space="preserve">Parādnieka </w:t>
      </w:r>
      <w:r w:rsidR="00E10F49" w:rsidRPr="00C51833">
        <w:t>pienākums sadarboties ar kreditor</w:t>
      </w:r>
      <w:r w:rsidR="00E07CFC" w:rsidRPr="00C51833">
        <w:t>u</w:t>
      </w:r>
      <w:r w:rsidR="00E10F49" w:rsidRPr="00C51833">
        <w:t xml:space="preserve"> </w:t>
      </w:r>
      <w:r w:rsidR="00E07CFC" w:rsidRPr="00C51833">
        <w:t xml:space="preserve">noteikts </w:t>
      </w:r>
      <w:proofErr w:type="gramStart"/>
      <w:r w:rsidR="00E07CFC" w:rsidRPr="00C51833">
        <w:t>arī</w:t>
      </w:r>
      <w:r w:rsidR="00E10F49" w:rsidRPr="00C51833">
        <w:t xml:space="preserve"> Parādu</w:t>
      </w:r>
      <w:proofErr w:type="gramEnd"/>
      <w:r w:rsidR="00E10F49" w:rsidRPr="00C51833">
        <w:t xml:space="preserve"> ārpustiesas atgūšanas likuma </w:t>
      </w:r>
      <w:r w:rsidR="00E07CFC" w:rsidRPr="00C51833">
        <w:t>(spēkā no 2012.</w:t>
      </w:r>
      <w:r w:rsidR="00D279CD">
        <w:t> </w:t>
      </w:r>
      <w:r w:rsidR="00E07CFC" w:rsidRPr="00C51833">
        <w:t>gada 11.</w:t>
      </w:r>
      <w:r w:rsidR="00D279CD">
        <w:t> </w:t>
      </w:r>
      <w:r w:rsidR="00E07CFC" w:rsidRPr="00C51833">
        <w:t xml:space="preserve">decembra) </w:t>
      </w:r>
      <w:r w:rsidR="00E10F49" w:rsidRPr="00C51833">
        <w:t>8.</w:t>
      </w:r>
      <w:r w:rsidR="00D279CD">
        <w:t> </w:t>
      </w:r>
      <w:r w:rsidR="00E10F49" w:rsidRPr="00C51833">
        <w:t>panta pirm</w:t>
      </w:r>
      <w:r w:rsidR="00E07CFC" w:rsidRPr="00C51833">
        <w:t>aj</w:t>
      </w:r>
      <w:r w:rsidR="00E10F49" w:rsidRPr="00C51833">
        <w:t>ā daļ</w:t>
      </w:r>
      <w:r w:rsidR="00E07CFC" w:rsidRPr="00C51833">
        <w:t xml:space="preserve">ā. </w:t>
      </w:r>
    </w:p>
    <w:p w14:paraId="065E9140" w14:textId="60E63F66" w:rsidR="00CC2242" w:rsidRPr="00C51833" w:rsidRDefault="00CC2242" w:rsidP="00C51833">
      <w:pPr>
        <w:shd w:val="clear" w:color="auto" w:fill="FFFFFF"/>
        <w:spacing w:line="276" w:lineRule="auto"/>
        <w:ind w:firstLine="709"/>
        <w:jc w:val="both"/>
      </w:pPr>
      <w:r w:rsidRPr="00C51833">
        <w:t xml:space="preserve">Turklāt </w:t>
      </w:r>
      <w:r w:rsidR="00DF5BBE" w:rsidRPr="00C51833">
        <w:t>Parādu ārpustiesas atgūšanas</w:t>
      </w:r>
      <w:r w:rsidRPr="00C51833">
        <w:t xml:space="preserve"> likuma 11.</w:t>
      </w:r>
      <w:r w:rsidR="00D279CD">
        <w:t> </w:t>
      </w:r>
      <w:r w:rsidRPr="00C51833">
        <w:t>pant</w:t>
      </w:r>
      <w:r w:rsidR="00E77241" w:rsidRPr="00C51833">
        <w:t>a pirmā daļa</w:t>
      </w:r>
      <w:r w:rsidRPr="00C51833">
        <w:t xml:space="preserve"> arī paredz kreditora un parādnieka saziņas kārtību, </w:t>
      </w:r>
      <w:proofErr w:type="gramStart"/>
      <w:r w:rsidRPr="00C51833">
        <w:t>atbilstoši kurai, ja likumā nav noteikts citādi, ar parādnieku sazinās, izmantojot tos saziņas līdzekļus un kontaktinformāciju, kas norādīta kreditora un parādnieka noslēgtajā tiesiskajā darījumā</w:t>
      </w:r>
      <w:proofErr w:type="gramEnd"/>
      <w:r w:rsidRPr="00C51833">
        <w:t>.</w:t>
      </w:r>
      <w:r w:rsidR="00E77241" w:rsidRPr="00C51833">
        <w:rPr>
          <w:color w:val="414142"/>
          <w:shd w:val="clear" w:color="auto" w:fill="FFFFFF"/>
        </w:rPr>
        <w:t xml:space="preserve"> </w:t>
      </w:r>
      <w:r w:rsidR="00E77241" w:rsidRPr="00C51833">
        <w:rPr>
          <w:shd w:val="clear" w:color="auto" w:fill="FFFFFF"/>
        </w:rPr>
        <w:t xml:space="preserve">Ja šādi parādnieks nav sasniedzams, tad saziņu ar parādnieku īsteno rakstveidā, nosūtot nepieciešamo informāciju uz parādnieka deklarētās dzīvesvietas adresi (minētā likuma </w:t>
      </w:r>
      <w:r w:rsidR="006F482A" w:rsidRPr="00C51833">
        <w:rPr>
          <w:shd w:val="clear" w:color="auto" w:fill="FFFFFF"/>
        </w:rPr>
        <w:t>11.</w:t>
      </w:r>
      <w:r w:rsidR="00D279CD">
        <w:rPr>
          <w:shd w:val="clear" w:color="auto" w:fill="FFFFFF"/>
        </w:rPr>
        <w:t> </w:t>
      </w:r>
      <w:r w:rsidR="006F482A" w:rsidRPr="00C51833">
        <w:rPr>
          <w:shd w:val="clear" w:color="auto" w:fill="FFFFFF"/>
        </w:rPr>
        <w:t xml:space="preserve">panta </w:t>
      </w:r>
      <w:r w:rsidR="00E77241" w:rsidRPr="00C51833">
        <w:rPr>
          <w:shd w:val="clear" w:color="auto" w:fill="FFFFFF"/>
        </w:rPr>
        <w:t>trešā daļa).</w:t>
      </w:r>
    </w:p>
    <w:p w14:paraId="18421012" w14:textId="67852553" w:rsidR="00DF5BBE" w:rsidRPr="00C51833" w:rsidRDefault="00DF5BBE" w:rsidP="00C51833">
      <w:pPr>
        <w:shd w:val="clear" w:color="auto" w:fill="FFFFFF"/>
        <w:spacing w:line="276" w:lineRule="auto"/>
        <w:ind w:firstLine="709"/>
        <w:jc w:val="both"/>
      </w:pPr>
      <w:r w:rsidRPr="00C51833">
        <w:t xml:space="preserve">Tādējādi, tā kā </w:t>
      </w:r>
      <w:r w:rsidR="00C51833">
        <w:t xml:space="preserve">[pers. A] </w:t>
      </w:r>
      <w:r w:rsidRPr="00C51833">
        <w:t xml:space="preserve">nebija paziņojis par adreses maiņu, </w:t>
      </w:r>
      <w:r w:rsidR="006F482A" w:rsidRPr="00C51833">
        <w:t xml:space="preserve">kreditorei </w:t>
      </w:r>
      <w:r w:rsidRPr="00C51833">
        <w:t xml:space="preserve">bija pamats paļauties uz atbildētāja sasniedzamību līgumā norādītajā adresē – vismaz tik ilgi, kamēr kreditore nekonstatē, ka adresāts šajā adresē nav sasniedzams. </w:t>
      </w:r>
    </w:p>
    <w:p w14:paraId="0A6DDA98" w14:textId="5B6B45AD" w:rsidR="003339B0" w:rsidRPr="00C51833" w:rsidRDefault="00DF5BBE" w:rsidP="00C51833">
      <w:pPr>
        <w:shd w:val="clear" w:color="auto" w:fill="FFFFFF"/>
        <w:spacing w:line="276" w:lineRule="auto"/>
        <w:ind w:firstLine="709"/>
        <w:jc w:val="both"/>
      </w:pPr>
      <w:r w:rsidRPr="00C51833">
        <w:t xml:space="preserve">[11.3] </w:t>
      </w:r>
      <w:r w:rsidR="005153E2" w:rsidRPr="00C51833">
        <w:t>Rezumējot minēto, Senāts atzīst</w:t>
      </w:r>
      <w:r w:rsidR="003339B0" w:rsidRPr="00C51833">
        <w:t xml:space="preserve">, ka kreditors, lai tā atgādinājums būtu parādniekam pienācīgi paziņots, ir tiesīgs sūtīt atgādinājumu uz līgumā norādīto </w:t>
      </w:r>
      <w:r w:rsidR="00F45775" w:rsidRPr="00C51833">
        <w:t xml:space="preserve">parādnieka </w:t>
      </w:r>
      <w:r w:rsidR="003339B0" w:rsidRPr="00C51833">
        <w:t xml:space="preserve">adresi, ja vien puses nav vienojušās citādi vai ja parādnieks nav paziņojis citu adresi. Ja </w:t>
      </w:r>
      <w:r w:rsidR="004842B4" w:rsidRPr="00C51833">
        <w:t xml:space="preserve">kreditors konstatē vai viņam vajadzēja konstatēt, ka </w:t>
      </w:r>
      <w:r w:rsidR="003339B0" w:rsidRPr="00C51833">
        <w:t>parādnieks nav sasniedzams līgumā norādītajā vai parādnieka vēlāk paziņotajā adresē, tad atgādinājums sūtāms uz parādnieka deklarēto dzīvesvietu.</w:t>
      </w:r>
    </w:p>
    <w:p w14:paraId="1EA40E3E" w14:textId="361C7894" w:rsidR="00976949" w:rsidRPr="00C51833" w:rsidRDefault="003339B0" w:rsidP="00C51833">
      <w:pPr>
        <w:shd w:val="clear" w:color="auto" w:fill="FFFFFF"/>
        <w:spacing w:line="276" w:lineRule="auto"/>
        <w:ind w:firstLine="709"/>
        <w:jc w:val="both"/>
      </w:pPr>
      <w:r w:rsidRPr="00C51833">
        <w:t>Tādējādi</w:t>
      </w:r>
      <w:r w:rsidR="00232395" w:rsidRPr="00C51833">
        <w:t xml:space="preserve"> </w:t>
      </w:r>
      <w:r w:rsidR="008B71C0" w:rsidRPr="00C51833">
        <w:t xml:space="preserve">apgabaltiesas konstatētajos faktiskajos apstākļos </w:t>
      </w:r>
      <w:r w:rsidR="00200C30" w:rsidRPr="00C51833">
        <w:t>par</w:t>
      </w:r>
      <w:r w:rsidR="00232395" w:rsidRPr="00C51833">
        <w:t xml:space="preserve"> kļūdain</w:t>
      </w:r>
      <w:r w:rsidR="00200C30" w:rsidRPr="00C51833">
        <w:t>u atzīstams</w:t>
      </w:r>
      <w:r w:rsidR="005153E2" w:rsidRPr="00C51833">
        <w:t xml:space="preserve"> </w:t>
      </w:r>
      <w:r w:rsidR="00232395" w:rsidRPr="00C51833">
        <w:t>viedoklis</w:t>
      </w:r>
      <w:r w:rsidR="005153E2" w:rsidRPr="00C51833">
        <w:t xml:space="preserve">, ka prasītājas </w:t>
      </w:r>
      <w:r w:rsidR="00232395" w:rsidRPr="00C51833">
        <w:t>atgādinājumi</w:t>
      </w:r>
      <w:r w:rsidR="00976949" w:rsidRPr="00C51833">
        <w:t xml:space="preserve"> atbildētājam bija jānosūta uz viņa deklarētās dzīvesvietas adresi, nevis līgumā norādīto adresi. </w:t>
      </w:r>
      <w:r w:rsidR="00DC53FB" w:rsidRPr="00C51833">
        <w:t xml:space="preserve">Attiecīgi nav pamatots </w:t>
      </w:r>
      <w:r w:rsidR="00200C30" w:rsidRPr="00C51833">
        <w:t xml:space="preserve">tiesas </w:t>
      </w:r>
      <w:r w:rsidR="00DC53FB" w:rsidRPr="00C51833">
        <w:t>secinājums, ka 2010.</w:t>
      </w:r>
      <w:r w:rsidR="00D279CD">
        <w:t> </w:t>
      </w:r>
      <w:r w:rsidR="00DC53FB" w:rsidRPr="00C51833">
        <w:t>gada 10.</w:t>
      </w:r>
      <w:r w:rsidR="00D279CD">
        <w:t> </w:t>
      </w:r>
      <w:r w:rsidR="00DC53FB" w:rsidRPr="00C51833">
        <w:t>decembra atgādinājums atbildētājam nav nosūtīts pienācīgi.</w:t>
      </w:r>
    </w:p>
    <w:p w14:paraId="7C0CC31E" w14:textId="77777777" w:rsidR="00DC53FB" w:rsidRPr="00C51833" w:rsidRDefault="00DC53FB" w:rsidP="00C51833">
      <w:pPr>
        <w:shd w:val="clear" w:color="auto" w:fill="FFFFFF"/>
        <w:spacing w:line="276" w:lineRule="auto"/>
        <w:ind w:firstLine="709"/>
        <w:jc w:val="both"/>
      </w:pPr>
    </w:p>
    <w:p w14:paraId="6C993AB8" w14:textId="70F00B78" w:rsidR="008C1F11" w:rsidRPr="00C51833" w:rsidRDefault="00DC53FB" w:rsidP="00C51833">
      <w:pPr>
        <w:shd w:val="clear" w:color="auto" w:fill="FFFFFF"/>
        <w:spacing w:line="276" w:lineRule="auto"/>
        <w:ind w:firstLine="709"/>
        <w:jc w:val="both"/>
      </w:pPr>
      <w:r w:rsidRPr="00C51833">
        <w:t xml:space="preserve">[12] Tomēr </w:t>
      </w:r>
      <w:r w:rsidR="008C1F11" w:rsidRPr="00C51833">
        <w:t>minētā tiesas kļūda 2010.</w:t>
      </w:r>
      <w:r w:rsidR="00D279CD">
        <w:t> </w:t>
      </w:r>
      <w:r w:rsidR="008C1F11" w:rsidRPr="00C51833">
        <w:t>gada 10.</w:t>
      </w:r>
      <w:r w:rsidR="00D279CD">
        <w:t> </w:t>
      </w:r>
      <w:r w:rsidR="008C1F11" w:rsidRPr="00C51833">
        <w:t xml:space="preserve">decembra atgādinājuma novērtēšanā nedod pamatu secinājumam, ka spriedums būtu atceļams. Šis atgādinājums ir pirmais no pieciem </w:t>
      </w:r>
      <w:r w:rsidR="008E40D5" w:rsidRPr="00C51833">
        <w:t>paziņoju</w:t>
      </w:r>
      <w:r w:rsidR="008C1F11" w:rsidRPr="00C51833">
        <w:t>miem un pārtrauc</w:t>
      </w:r>
      <w:r w:rsidR="00E01D4D" w:rsidRPr="00C51833">
        <w:t>a</w:t>
      </w:r>
      <w:r w:rsidR="008C1F11" w:rsidRPr="00C51833">
        <w:t xml:space="preserve"> noilgumu tikai līdz 2013.</w:t>
      </w:r>
      <w:r w:rsidR="00D279CD">
        <w:t> </w:t>
      </w:r>
      <w:r w:rsidR="008C1F11" w:rsidRPr="00C51833">
        <w:t>gada 10.</w:t>
      </w:r>
      <w:r w:rsidR="00D279CD">
        <w:t> </w:t>
      </w:r>
      <w:r w:rsidR="008C1F11" w:rsidRPr="00C51833">
        <w:t>decembrim.</w:t>
      </w:r>
      <w:r w:rsidR="009433EF" w:rsidRPr="00C51833">
        <w:t xml:space="preserve"> Tādēļ </w:t>
      </w:r>
      <w:r w:rsidR="00E01D4D" w:rsidRPr="00C51833">
        <w:t xml:space="preserve">bija </w:t>
      </w:r>
      <w:r w:rsidR="009433EF" w:rsidRPr="00C51833">
        <w:t xml:space="preserve">pārbaudāms, vai turpmāk noilgumu pārtrauca pārējie </w:t>
      </w:r>
      <w:r w:rsidR="008E40D5" w:rsidRPr="00C51833">
        <w:t>paziņoj</w:t>
      </w:r>
      <w:r w:rsidR="009433EF" w:rsidRPr="00C51833">
        <w:t>umi.</w:t>
      </w:r>
    </w:p>
    <w:p w14:paraId="12C12D6B" w14:textId="24CB1DF3" w:rsidR="00DC53FB" w:rsidRPr="00C51833" w:rsidRDefault="009433EF" w:rsidP="00C51833">
      <w:pPr>
        <w:shd w:val="clear" w:color="auto" w:fill="FFFFFF"/>
        <w:spacing w:line="276" w:lineRule="auto"/>
        <w:ind w:firstLine="709"/>
        <w:jc w:val="both"/>
      </w:pPr>
      <w:r w:rsidRPr="00C51833">
        <w:t xml:space="preserve">Apgabaltiesa atzinusi, ka </w:t>
      </w:r>
      <w:r w:rsidR="00DC53FB" w:rsidRPr="00C51833">
        <w:t>gadījumā, ja 2010.</w:t>
      </w:r>
      <w:r w:rsidR="00D279CD">
        <w:t> </w:t>
      </w:r>
      <w:r w:rsidR="00DC53FB" w:rsidRPr="00C51833">
        <w:t>gada 10.</w:t>
      </w:r>
      <w:r w:rsidR="00D279CD">
        <w:t> </w:t>
      </w:r>
      <w:r w:rsidR="00DC53FB" w:rsidRPr="00C51833">
        <w:t>decembra atgādinājums</w:t>
      </w:r>
      <w:r w:rsidR="00DA39A2" w:rsidRPr="00C51833">
        <w:t xml:space="preserve"> būtu uzskatāms par</w:t>
      </w:r>
      <w:r w:rsidR="00DC53FB" w:rsidRPr="00C51833">
        <w:t xml:space="preserve"> atbildētājam </w:t>
      </w:r>
      <w:r w:rsidR="00DA39A2" w:rsidRPr="00C51833">
        <w:t xml:space="preserve">pienācīgi </w:t>
      </w:r>
      <w:r w:rsidR="00DC53FB" w:rsidRPr="00C51833">
        <w:t>nosūtīt</w:t>
      </w:r>
      <w:r w:rsidR="00DA39A2" w:rsidRPr="00C51833">
        <w:t>u</w:t>
      </w:r>
      <w:r w:rsidR="00DC53FB" w:rsidRPr="00C51833">
        <w:t>, pārēj</w:t>
      </w:r>
      <w:r w:rsidRPr="00C51833">
        <w:t>ie</w:t>
      </w:r>
      <w:r w:rsidR="00DC53FB" w:rsidRPr="00C51833">
        <w:t xml:space="preserve"> </w:t>
      </w:r>
      <w:r w:rsidRPr="00C51833">
        <w:t>atgādināj</w:t>
      </w:r>
      <w:r w:rsidR="00DC53FB" w:rsidRPr="00C51833">
        <w:t>um</w:t>
      </w:r>
      <w:r w:rsidRPr="00C51833">
        <w:t>i</w:t>
      </w:r>
      <w:r w:rsidR="00DC53FB" w:rsidRPr="00C51833">
        <w:t xml:space="preserve"> pienācīg</w:t>
      </w:r>
      <w:r w:rsidRPr="00C51833">
        <w:t>i nav</w:t>
      </w:r>
      <w:r w:rsidR="00DC53FB" w:rsidRPr="00C51833">
        <w:t xml:space="preserve"> nosūtī</w:t>
      </w:r>
      <w:r w:rsidRPr="00C51833">
        <w:t>t</w:t>
      </w:r>
      <w:r w:rsidR="00DC53FB" w:rsidRPr="00C51833">
        <w:t>i</w:t>
      </w:r>
      <w:r w:rsidRPr="00C51833">
        <w:t xml:space="preserve">, jo vienīgie šī fakta pierādīšanai iesniegtie dokumenti – </w:t>
      </w:r>
      <w:r w:rsidR="00DC53FB" w:rsidRPr="00C51833">
        <w:t>AS „</w:t>
      </w:r>
      <w:proofErr w:type="spellStart"/>
      <w:r w:rsidR="00DC53FB" w:rsidRPr="00C51833">
        <w:t>Fitek</w:t>
      </w:r>
      <w:proofErr w:type="spellEnd"/>
      <w:r w:rsidR="00DC53FB" w:rsidRPr="00C51833">
        <w:t>” apliecinājumi</w:t>
      </w:r>
      <w:r w:rsidRPr="00C51833">
        <w:t xml:space="preserve"> –</w:t>
      </w:r>
      <w:r w:rsidR="00022F9A" w:rsidRPr="00C51833">
        <w:t xml:space="preserve"> </w:t>
      </w:r>
      <w:r w:rsidRPr="00C51833">
        <w:t>nepierāda</w:t>
      </w:r>
      <w:r w:rsidR="00022F9A" w:rsidRPr="00C51833">
        <w:t>, ka paziņojumi tiešām nodoti sakaru iestādē nosūtīšanai atbildētājam</w:t>
      </w:r>
      <w:r w:rsidR="00DC53FB" w:rsidRPr="00C51833">
        <w:t>.</w:t>
      </w:r>
    </w:p>
    <w:p w14:paraId="5D1781DD" w14:textId="7838EA62" w:rsidR="00AE21EA" w:rsidRPr="00C51833" w:rsidRDefault="009433EF" w:rsidP="00C51833">
      <w:pPr>
        <w:shd w:val="clear" w:color="auto" w:fill="FFFFFF"/>
        <w:spacing w:line="276" w:lineRule="auto"/>
        <w:ind w:firstLine="709"/>
        <w:jc w:val="both"/>
      </w:pPr>
      <w:r w:rsidRPr="00C51833">
        <w:t>Līdz ar to</w:t>
      </w:r>
      <w:r w:rsidR="0030446D" w:rsidRPr="00C51833">
        <w:t>, pārbaudot</w:t>
      </w:r>
      <w:r w:rsidR="00E01D4D" w:rsidRPr="00C51833">
        <w:t xml:space="preserve"> kasācijas sūdzīb</w:t>
      </w:r>
      <w:r w:rsidR="0030446D" w:rsidRPr="00C51833">
        <w:t>as arg</w:t>
      </w:r>
      <w:r w:rsidR="00E01D4D" w:rsidRPr="00C51833">
        <w:t>u</w:t>
      </w:r>
      <w:r w:rsidR="0030446D" w:rsidRPr="00C51833">
        <w:t>mentu pamatotību,</w:t>
      </w:r>
      <w:r w:rsidR="00E01D4D" w:rsidRPr="00C51833">
        <w:t xml:space="preserve"> ir izskatāms jautājums par to, vai apgabaltiesa pareizas materiālo un procesuālo tiesību normu </w:t>
      </w:r>
      <w:r w:rsidR="00E01D4D" w:rsidRPr="00C51833">
        <w:lastRenderedPageBreak/>
        <w:t xml:space="preserve">piemērošanas rezultātā ir izdarījusi secinājumu, ka noilgums nav pārtraukts, jo pēdējo četru </w:t>
      </w:r>
      <w:r w:rsidR="00513F73" w:rsidRPr="00C51833">
        <w:t>paziņojumu</w:t>
      </w:r>
      <w:r w:rsidR="00E01D4D" w:rsidRPr="00C51833">
        <w:t xml:space="preserve"> nosūtīšana nav pierādīta.</w:t>
      </w:r>
    </w:p>
    <w:p w14:paraId="3A0BA824" w14:textId="4CC9C63C" w:rsidR="00AE21EA" w:rsidRPr="00C51833" w:rsidRDefault="00FE2440" w:rsidP="00C51833">
      <w:pPr>
        <w:shd w:val="clear" w:color="auto" w:fill="FFFFFF"/>
        <w:spacing w:line="276" w:lineRule="auto"/>
        <w:ind w:firstLine="709"/>
        <w:jc w:val="both"/>
      </w:pPr>
      <w:r w:rsidRPr="00C51833">
        <w:t xml:space="preserve">[12.1] </w:t>
      </w:r>
      <w:r w:rsidR="00027E46" w:rsidRPr="00C51833">
        <w:t>Senāts paplašinātā sastāvā izskaidrojis, ka, lai būtu pamats atsaukties uz noilguma pārtraukumu Civillikuma 1905.</w:t>
      </w:r>
      <w:r w:rsidR="00D279CD">
        <w:t> </w:t>
      </w:r>
      <w:r w:rsidR="00027E46" w:rsidRPr="00C51833">
        <w:t xml:space="preserve">panta izpratnē, kreditoram aktīvi jārīkojas, veicot tādas darbības, kas liecina, ka viņš attiecīgajā tiesību normā noteiktā noilguma laikā paziņojis parādniekam savu gribu saņemt pārkāptas, taču starp pusēm joprojām pastāvošas saistības izpildījumu. Atgādinājums noilguma pārtraukumu izsauc vienīgi tad, ja kreditors savu gribu saņemt nokavētas vai citādi pārkāptas saistības izpildījumu paudis parādniekiem. </w:t>
      </w:r>
      <w:r w:rsidR="007A2F3F" w:rsidRPr="00C51833">
        <w:t xml:space="preserve">Kreditors atgādinājumu parādniekam var paust, brīvi izvēloties (ciktāl līgumā nav noteikts citādi) veidu, kādā to darīt, tajā pašā laikā paturot prātā, ka strīda gadījumā tieši uz kreditoru gulsies atgādinājuma paziņošanas fakta pierādīšanas nasta (sk. </w:t>
      </w:r>
      <w:r w:rsidR="007A2F3F" w:rsidRPr="00C51833">
        <w:rPr>
          <w:i/>
          <w:iCs/>
        </w:rPr>
        <w:t>Senāta 2020.</w:t>
      </w:r>
      <w:r w:rsidR="00D279CD">
        <w:rPr>
          <w:i/>
          <w:iCs/>
        </w:rPr>
        <w:t> </w:t>
      </w:r>
      <w:r w:rsidR="007A2F3F" w:rsidRPr="00C51833">
        <w:rPr>
          <w:i/>
          <w:iCs/>
        </w:rPr>
        <w:t>gada 3.</w:t>
      </w:r>
      <w:r w:rsidR="00D279CD">
        <w:rPr>
          <w:i/>
          <w:iCs/>
        </w:rPr>
        <w:t> </w:t>
      </w:r>
      <w:r w:rsidR="007A2F3F" w:rsidRPr="00C51833">
        <w:rPr>
          <w:i/>
          <w:iCs/>
        </w:rPr>
        <w:t>decembra sprieduma lietā Nr. SKC</w:t>
      </w:r>
      <w:r w:rsidR="007A2F3F" w:rsidRPr="00C51833">
        <w:rPr>
          <w:i/>
          <w:iCs/>
        </w:rPr>
        <w:noBreakHyphen/>
        <w:t xml:space="preserve">12/2020, </w:t>
      </w:r>
      <w:hyperlink r:id="rId11" w:history="1">
        <w:r w:rsidR="007A2F3F" w:rsidRPr="00C51833">
          <w:rPr>
            <w:rStyle w:val="Hyperlink"/>
            <w:i/>
            <w:iCs/>
            <w:color w:val="auto"/>
            <w:u w:val="none"/>
            <w:lang w:eastAsia="en-US"/>
          </w:rPr>
          <w:t>ECLI:LV:AT:2020:1203.C10080016.4.S</w:t>
        </w:r>
      </w:hyperlink>
      <w:r w:rsidR="007A2F3F" w:rsidRPr="00C51833">
        <w:rPr>
          <w:i/>
          <w:iCs/>
        </w:rPr>
        <w:t>, 9.1., 9.2.</w:t>
      </w:r>
      <w:r w:rsidR="00D279CD">
        <w:rPr>
          <w:i/>
          <w:iCs/>
        </w:rPr>
        <w:t> </w:t>
      </w:r>
      <w:r w:rsidR="007A2F3F" w:rsidRPr="00C51833">
        <w:rPr>
          <w:i/>
          <w:iCs/>
        </w:rPr>
        <w:t>punktu</w:t>
      </w:r>
      <w:r w:rsidR="007A2F3F" w:rsidRPr="00C51833">
        <w:t>).</w:t>
      </w:r>
    </w:p>
    <w:p w14:paraId="016725C6" w14:textId="1D423AF9" w:rsidR="00027E46" w:rsidRPr="00C51833" w:rsidRDefault="00637530" w:rsidP="00C51833">
      <w:pPr>
        <w:shd w:val="clear" w:color="auto" w:fill="FFFFFF"/>
        <w:spacing w:line="276" w:lineRule="auto"/>
        <w:ind w:firstLine="709"/>
        <w:jc w:val="both"/>
      </w:pPr>
      <w:r w:rsidRPr="00C51833">
        <w:t xml:space="preserve">Tādējādi, kā </w:t>
      </w:r>
      <w:r w:rsidR="004B7F52" w:rsidRPr="00C51833">
        <w:t xml:space="preserve">pareizi </w:t>
      </w:r>
      <w:r w:rsidRPr="00C51833">
        <w:t xml:space="preserve">norāda kasācijas sūdzības iesniedzēja, kreditoram nav liegts atgādinājumu nosūtīt ar vienkāršu pasta sūtījumu. Taču kreditoram jāapsver, vai, izvēloties šādu sūtījuma veidu, viņš strīda gadījumā spēs </w:t>
      </w:r>
      <w:r w:rsidR="00493EE1" w:rsidRPr="00C51833">
        <w:t>atbilstoši Civilprocesa likuma 93.</w:t>
      </w:r>
      <w:r w:rsidR="00D279CD">
        <w:t> </w:t>
      </w:r>
      <w:r w:rsidR="00493EE1" w:rsidRPr="00C51833">
        <w:t xml:space="preserve">panta pirmajai daļai </w:t>
      </w:r>
      <w:r w:rsidRPr="00C51833">
        <w:t xml:space="preserve">pierādīt, ka sūtījums tik tiešām nosūtīts. Kreditoram jārēķinās, ka vienkāršs pasta sūtījums ir </w:t>
      </w:r>
      <w:r w:rsidRPr="00C51833">
        <w:rPr>
          <w:shd w:val="clear" w:color="auto" w:fill="FFFFFF"/>
        </w:rPr>
        <w:t>nereģistrēts pasta sūtījums, par kuru netiek izsniegta kvīts; turpretī ierakstīts pasta sūtījums</w:t>
      </w:r>
      <w:r w:rsidR="00D279CD">
        <w:rPr>
          <w:shd w:val="clear" w:color="auto" w:fill="FFFFFF"/>
        </w:rPr>
        <w:t xml:space="preserve"> </w:t>
      </w:r>
      <w:r w:rsidRPr="00C51833">
        <w:rPr>
          <w:shd w:val="clear" w:color="auto" w:fill="FFFFFF"/>
        </w:rPr>
        <w:t xml:space="preserve">ir reģistrēts pasta sūtījums, par kuru sūtītājam izsniedz kvīti, kas apstiprina, ka pasta sūtījums ir nodots pasta pakalpojumu sniegšanas vietā </w:t>
      </w:r>
      <w:proofErr w:type="gramStart"/>
      <w:r w:rsidRPr="00C51833">
        <w:rPr>
          <w:shd w:val="clear" w:color="auto" w:fill="FFFFFF"/>
        </w:rPr>
        <w:t>(</w:t>
      </w:r>
      <w:proofErr w:type="gramEnd"/>
      <w:r w:rsidRPr="00C51833">
        <w:rPr>
          <w:shd w:val="clear" w:color="auto" w:fill="FFFFFF"/>
        </w:rPr>
        <w:t xml:space="preserve">sk. </w:t>
      </w:r>
      <w:r w:rsidRPr="00C51833">
        <w:rPr>
          <w:i/>
          <w:iCs/>
          <w:shd w:val="clear" w:color="auto" w:fill="FFFFFF"/>
        </w:rPr>
        <w:t>Pasta likuma 1.</w:t>
      </w:r>
      <w:r w:rsidR="00D279CD">
        <w:rPr>
          <w:i/>
          <w:iCs/>
          <w:shd w:val="clear" w:color="auto" w:fill="FFFFFF"/>
        </w:rPr>
        <w:t> </w:t>
      </w:r>
      <w:r w:rsidRPr="00C51833">
        <w:rPr>
          <w:i/>
          <w:iCs/>
          <w:shd w:val="clear" w:color="auto" w:fill="FFFFFF"/>
        </w:rPr>
        <w:t>panta 6. un 41.</w:t>
      </w:r>
      <w:r w:rsidR="00D279CD">
        <w:rPr>
          <w:i/>
          <w:iCs/>
          <w:shd w:val="clear" w:color="auto" w:fill="FFFFFF"/>
        </w:rPr>
        <w:t> </w:t>
      </w:r>
      <w:r w:rsidRPr="00C51833">
        <w:rPr>
          <w:i/>
          <w:iCs/>
          <w:shd w:val="clear" w:color="auto" w:fill="FFFFFF"/>
        </w:rPr>
        <w:t>punktu</w:t>
      </w:r>
      <w:r w:rsidRPr="00C51833">
        <w:rPr>
          <w:shd w:val="clear" w:color="auto" w:fill="FFFFFF"/>
        </w:rPr>
        <w:t>).</w:t>
      </w:r>
      <w:r w:rsidR="007A2F3F" w:rsidRPr="00C51833">
        <w:t xml:space="preserve"> </w:t>
      </w:r>
    </w:p>
    <w:p w14:paraId="74D2733C" w14:textId="0F4884D9" w:rsidR="00027E46" w:rsidRPr="00C51833" w:rsidRDefault="004243BF" w:rsidP="00C51833">
      <w:pPr>
        <w:shd w:val="clear" w:color="auto" w:fill="FFFFFF"/>
        <w:spacing w:line="276" w:lineRule="auto"/>
        <w:ind w:firstLine="709"/>
        <w:jc w:val="both"/>
      </w:pPr>
      <w:r w:rsidRPr="00C51833">
        <w:t xml:space="preserve">Apgabaltiesa ir novērtējusi, ka prasītāja pēdējo četru </w:t>
      </w:r>
      <w:r w:rsidR="00CE58E5" w:rsidRPr="00C51833">
        <w:t>paziņojum</w:t>
      </w:r>
      <w:r w:rsidRPr="00C51833">
        <w:t xml:space="preserve">u nosūtīšanas faktu nav pierādījusi, jo lietā nav pietiekamu pierādījumu par šo sūtījumu nodošanu pasta iestādē. Faktisko apstākļu un pierādījumu pārvērtēšana nav kasācijas instances tiesas </w:t>
      </w:r>
      <w:r w:rsidR="008B009F" w:rsidRPr="00C51833">
        <w:t>kompetencē</w:t>
      </w:r>
      <w:r w:rsidRPr="00C51833">
        <w:t xml:space="preserve"> atbilstoši Civilprocesa likuma 450.</w:t>
      </w:r>
      <w:r w:rsidR="00D279CD">
        <w:t> </w:t>
      </w:r>
      <w:r w:rsidRPr="00C51833">
        <w:t>panta trešajai daļai, 451. un 452.</w:t>
      </w:r>
      <w:r w:rsidR="00D279CD">
        <w:t> </w:t>
      </w:r>
      <w:r w:rsidRPr="00C51833">
        <w:t>pantam.</w:t>
      </w:r>
    </w:p>
    <w:p w14:paraId="7A8253B6" w14:textId="13B8A529" w:rsidR="00027E46" w:rsidRPr="00C51833" w:rsidRDefault="00262940" w:rsidP="00C51833">
      <w:pPr>
        <w:shd w:val="clear" w:color="auto" w:fill="FFFFFF"/>
        <w:spacing w:line="276" w:lineRule="auto"/>
        <w:ind w:firstLine="709"/>
        <w:jc w:val="both"/>
      </w:pPr>
      <w:r w:rsidRPr="00C51833">
        <w:t>[12.2]</w:t>
      </w:r>
      <w:r w:rsidR="008B009F" w:rsidRPr="00C51833">
        <w:t xml:space="preserve"> Tomēr, ņemot vērā kasācijas sūdzības argumentus, pārbaudāms, vai apgabaltiesa pamatoti nepiešķīra </w:t>
      </w:r>
      <w:r w:rsidR="00465E39" w:rsidRPr="00C51833">
        <w:t xml:space="preserve">pierādījuma </w:t>
      </w:r>
      <w:r w:rsidR="008B009F" w:rsidRPr="00C51833">
        <w:t>spēku AS „</w:t>
      </w:r>
      <w:proofErr w:type="spellStart"/>
      <w:r w:rsidR="008B009F" w:rsidRPr="00C51833">
        <w:t>Fitek</w:t>
      </w:r>
      <w:proofErr w:type="spellEnd"/>
      <w:r w:rsidR="008B009F" w:rsidRPr="00C51833">
        <w:t>” vēstulēm, kurās šī sabiedrība paskaidrojusi AS</w:t>
      </w:r>
      <w:r w:rsidR="003707A9">
        <w:t> </w:t>
      </w:r>
      <w:r w:rsidR="008B009F" w:rsidRPr="00C51833">
        <w:t>„</w:t>
      </w:r>
      <w:proofErr w:type="spellStart"/>
      <w:r w:rsidR="008B009F" w:rsidRPr="00C51833">
        <w:t>Gelvora</w:t>
      </w:r>
      <w:proofErr w:type="spellEnd"/>
      <w:r w:rsidR="008B009F" w:rsidRPr="00C51833">
        <w:t xml:space="preserve">”, ka no tās saņemtos </w:t>
      </w:r>
      <w:r w:rsidR="00C51833">
        <w:t xml:space="preserve">[pers. A] </w:t>
      </w:r>
      <w:r w:rsidR="008B009F" w:rsidRPr="00C51833">
        <w:t>adresētos sūtījumus esot nodevusi valsts AS</w:t>
      </w:r>
      <w:r w:rsidR="003707A9">
        <w:t> </w:t>
      </w:r>
      <w:r w:rsidR="008B009F" w:rsidRPr="00C51833">
        <w:t xml:space="preserve">„Latvijas </w:t>
      </w:r>
      <w:r w:rsidR="00DB7A24" w:rsidRPr="00C51833">
        <w:t>P</w:t>
      </w:r>
      <w:r w:rsidR="008B009F" w:rsidRPr="00C51833">
        <w:t>asts”.</w:t>
      </w:r>
    </w:p>
    <w:p w14:paraId="3AB839FF" w14:textId="3FA0FC83" w:rsidR="007653D6" w:rsidRPr="00C51833" w:rsidRDefault="00213874" w:rsidP="00C51833">
      <w:pPr>
        <w:shd w:val="clear" w:color="auto" w:fill="FFFFFF"/>
        <w:spacing w:line="276" w:lineRule="auto"/>
        <w:ind w:firstLine="709"/>
        <w:jc w:val="both"/>
      </w:pPr>
      <w:r w:rsidRPr="00C51833">
        <w:t xml:space="preserve">[12.2.1] </w:t>
      </w:r>
      <w:r w:rsidR="007653D6" w:rsidRPr="00C51833">
        <w:t xml:space="preserve">Atbilstoši </w:t>
      </w:r>
      <w:r w:rsidR="00FE2440" w:rsidRPr="00C51833">
        <w:t xml:space="preserve">Pasta likuma </w:t>
      </w:r>
      <w:r w:rsidR="00953B21" w:rsidRPr="00C51833">
        <w:t>1.</w:t>
      </w:r>
      <w:r w:rsidR="00CF7377">
        <w:t> </w:t>
      </w:r>
      <w:r w:rsidR="00953B21" w:rsidRPr="00C51833">
        <w:t>panta 1</w:t>
      </w:r>
      <w:r w:rsidR="007653D6" w:rsidRPr="00C51833">
        <w:t>8</w:t>
      </w:r>
      <w:r w:rsidR="00953B21" w:rsidRPr="00C51833">
        <w:t>.</w:t>
      </w:r>
      <w:r w:rsidR="00CF7377">
        <w:t> </w:t>
      </w:r>
      <w:r w:rsidR="00953B21" w:rsidRPr="00C51833">
        <w:t>punkt</w:t>
      </w:r>
      <w:r w:rsidR="007653D6" w:rsidRPr="00C51833">
        <w:t xml:space="preserve">am </w:t>
      </w:r>
      <w:r w:rsidR="007653D6" w:rsidRPr="00C51833">
        <w:rPr>
          <w:shd w:val="clear" w:color="auto" w:fill="FFFFFF"/>
        </w:rPr>
        <w:t>pasta pakalpojumi</w:t>
      </w:r>
      <w:r w:rsidR="00CF7377">
        <w:rPr>
          <w:shd w:val="clear" w:color="auto" w:fill="FFFFFF"/>
        </w:rPr>
        <w:t xml:space="preserve"> </w:t>
      </w:r>
      <w:r w:rsidR="007653D6" w:rsidRPr="00C51833">
        <w:rPr>
          <w:shd w:val="clear" w:color="auto" w:fill="FFFFFF"/>
        </w:rPr>
        <w:t>ir komerciāla rakstura darbības, kas saistītas ar pasta sūtījumu nosūtīšanu adresātam</w:t>
      </w:r>
      <w:proofErr w:type="gramStart"/>
      <w:r w:rsidR="007653D6" w:rsidRPr="00C51833">
        <w:rPr>
          <w:shd w:val="clear" w:color="auto" w:fill="FFFFFF"/>
        </w:rPr>
        <w:t xml:space="preserve"> un</w:t>
      </w:r>
      <w:proofErr w:type="gramEnd"/>
      <w:r w:rsidR="007653D6" w:rsidRPr="00C51833">
        <w:rPr>
          <w:shd w:val="clear" w:color="auto" w:fill="FFFFFF"/>
        </w:rPr>
        <w:t xml:space="preserve"> ietver vienu vai vairākas šādas darbības: pasta sūtījumu savākšana, šķirošana, pārvadāšana un piegāde.</w:t>
      </w:r>
    </w:p>
    <w:p w14:paraId="5D1A64C2" w14:textId="6D07F195" w:rsidR="00FE2440" w:rsidRPr="00C51833" w:rsidRDefault="007653D6" w:rsidP="00C51833">
      <w:pPr>
        <w:shd w:val="clear" w:color="auto" w:fill="FFFFFF"/>
        <w:spacing w:line="276" w:lineRule="auto"/>
        <w:ind w:firstLine="709"/>
        <w:jc w:val="both"/>
      </w:pPr>
      <w:r w:rsidRPr="00C51833">
        <w:t xml:space="preserve">Pasta likuma </w:t>
      </w:r>
      <w:r w:rsidR="00FE2440" w:rsidRPr="00C51833">
        <w:t>8.</w:t>
      </w:r>
      <w:r w:rsidR="00CF7377">
        <w:t> </w:t>
      </w:r>
      <w:r w:rsidR="00FE2440" w:rsidRPr="00C51833">
        <w:t>pants redakcijā, kas ir spēkā no 2016.</w:t>
      </w:r>
      <w:r w:rsidR="00CF7377">
        <w:t> </w:t>
      </w:r>
      <w:r w:rsidR="00FE2440" w:rsidRPr="00C51833">
        <w:t>gada 29.</w:t>
      </w:r>
      <w:r w:rsidR="00CF7377">
        <w:t> </w:t>
      </w:r>
      <w:r w:rsidR="00FE2440" w:rsidRPr="00C51833">
        <w:t>novembra, noteic, ka k</w:t>
      </w:r>
      <w:r w:rsidR="00FE2440" w:rsidRPr="00C51833">
        <w:rPr>
          <w:shd w:val="clear" w:color="auto" w:fill="FFFFFF"/>
        </w:rPr>
        <w:t>omersantam ir tiesības uzsākt pasta pakalpojumu sniegšanu, ja tas šā likuma</w:t>
      </w:r>
      <w:r w:rsidR="00CF7377">
        <w:rPr>
          <w:shd w:val="clear" w:color="auto" w:fill="FFFFFF"/>
        </w:rPr>
        <w:t xml:space="preserve"> </w:t>
      </w:r>
      <w:r w:rsidR="00FE2440" w:rsidRPr="00C51833">
        <w:rPr>
          <w:shd w:val="clear" w:color="auto" w:fill="FFFFFF"/>
        </w:rPr>
        <w:t>9.</w:t>
      </w:r>
      <w:r w:rsidR="00CF7377">
        <w:rPr>
          <w:shd w:val="clear" w:color="auto" w:fill="FFFFFF"/>
        </w:rPr>
        <w:t> </w:t>
      </w:r>
      <w:r w:rsidR="00FE2440" w:rsidRPr="00C51833">
        <w:rPr>
          <w:shd w:val="clear" w:color="auto" w:fill="FFFFFF"/>
        </w:rPr>
        <w:t>pantā</w:t>
      </w:r>
      <w:r w:rsidR="00CF7377">
        <w:rPr>
          <w:shd w:val="clear" w:color="auto" w:fill="FFFFFF"/>
        </w:rPr>
        <w:t xml:space="preserve"> </w:t>
      </w:r>
      <w:r w:rsidR="00FE2440" w:rsidRPr="00C51833">
        <w:rPr>
          <w:shd w:val="clear" w:color="auto" w:fill="FFFFFF"/>
        </w:rPr>
        <w:t>noteiktajā kārtībā ir reģistrēts pasta komersantu reģistrā. Ja Regulators mēneša laikā no reģistrācijas paziņojuma saņemšanas dienas nav rakstveidā informējis reģistrācijas paziņojuma iesniedzēju par atteikumu to reģistrēt, uzskatāms, ka komersants ir reģistrēts pasta komersantu reģistrā.</w:t>
      </w:r>
      <w:r w:rsidR="00FE2440" w:rsidRPr="00C51833">
        <w:t xml:space="preserve"> </w:t>
      </w:r>
    </w:p>
    <w:p w14:paraId="33A97893" w14:textId="795470DE" w:rsidR="007653D6" w:rsidRPr="00C51833" w:rsidRDefault="00563F3D" w:rsidP="00C51833">
      <w:pPr>
        <w:shd w:val="clear" w:color="auto" w:fill="FFFFFF"/>
        <w:spacing w:line="276" w:lineRule="auto"/>
        <w:ind w:firstLine="709"/>
        <w:jc w:val="both"/>
        <w:rPr>
          <w:shd w:val="clear" w:color="auto" w:fill="FFFFFF"/>
        </w:rPr>
      </w:pPr>
      <w:r w:rsidRPr="00C51833">
        <w:t>Arī m</w:t>
      </w:r>
      <w:r w:rsidR="00FE2440" w:rsidRPr="00C51833">
        <w:t>inētā panta iepriekšējās redakcijas</w:t>
      </w:r>
      <w:r w:rsidRPr="00C51833">
        <w:t xml:space="preserve"> pēc būtības paredzēja to </w:t>
      </w:r>
      <w:r w:rsidR="00FE2440" w:rsidRPr="00C51833">
        <w:t>pašu principu,</w:t>
      </w:r>
      <w:r w:rsidRPr="00C51833">
        <w:t xml:space="preserve"> ka pasta pakalpojumus sniedz pasta komersantu reģistrā reģistrēts pasta komersants</w:t>
      </w:r>
      <w:r w:rsidR="007653D6" w:rsidRPr="00C51833">
        <w:t>. Tāpat Pasta likuma 1.</w:t>
      </w:r>
      <w:r w:rsidR="00CF7377">
        <w:t> </w:t>
      </w:r>
      <w:r w:rsidR="007653D6" w:rsidRPr="00C51833">
        <w:t>panta 16.</w:t>
      </w:r>
      <w:r w:rsidR="00CF7377">
        <w:t> </w:t>
      </w:r>
      <w:r w:rsidR="007653D6" w:rsidRPr="00C51833">
        <w:t xml:space="preserve">punkts noteic, ka </w:t>
      </w:r>
      <w:r w:rsidR="007653D6" w:rsidRPr="00C51833">
        <w:rPr>
          <w:shd w:val="clear" w:color="auto" w:fill="FFFFFF"/>
        </w:rPr>
        <w:t>pasta komersants ir komersants, kas šajā likumā noteiktajā kārtībā ir reģistrēts pasta pakalpojumu sniegšanai.</w:t>
      </w:r>
    </w:p>
    <w:p w14:paraId="781E2ABF" w14:textId="6F4D450A" w:rsidR="007653D6" w:rsidRPr="00C51833" w:rsidRDefault="007653D6" w:rsidP="00C51833">
      <w:pPr>
        <w:shd w:val="clear" w:color="auto" w:fill="FFFFFF"/>
        <w:spacing w:line="276" w:lineRule="auto"/>
        <w:ind w:firstLine="709"/>
        <w:jc w:val="both"/>
        <w:rPr>
          <w:shd w:val="clear" w:color="auto" w:fill="FFFFFF"/>
        </w:rPr>
      </w:pPr>
      <w:r w:rsidRPr="00C51833">
        <w:rPr>
          <w:shd w:val="clear" w:color="auto" w:fill="FFFFFF"/>
        </w:rPr>
        <w:t>Tātad pasta sūtījumu savākšana, šķirošana un piegāde ir speciālā subjekta – pasta komersanta – kompetencē.</w:t>
      </w:r>
    </w:p>
    <w:p w14:paraId="27EEFAC3" w14:textId="377AF8F9" w:rsidR="00B71873" w:rsidRPr="00C51833" w:rsidRDefault="00213874" w:rsidP="00C51833">
      <w:pPr>
        <w:shd w:val="clear" w:color="auto" w:fill="FFFFFF"/>
        <w:spacing w:line="276" w:lineRule="auto"/>
        <w:ind w:firstLine="709"/>
        <w:jc w:val="both"/>
        <w:rPr>
          <w:shd w:val="clear" w:color="auto" w:fill="FFFFFF"/>
        </w:rPr>
      </w:pPr>
      <w:r w:rsidRPr="00C51833">
        <w:lastRenderedPageBreak/>
        <w:t xml:space="preserve">[12.2.2] </w:t>
      </w:r>
      <w:r w:rsidR="00563F3D" w:rsidRPr="00C51833">
        <w:t>Atbilstoši Pasta likuma 9.</w:t>
      </w:r>
      <w:r w:rsidR="00CF7377">
        <w:t> </w:t>
      </w:r>
      <w:r w:rsidR="00563F3D" w:rsidRPr="00C51833">
        <w:t xml:space="preserve">panta otrajai daļai </w:t>
      </w:r>
      <w:r w:rsidR="00563F3D" w:rsidRPr="00C51833">
        <w:rPr>
          <w:shd w:val="clear" w:color="auto" w:fill="FFFFFF"/>
        </w:rPr>
        <w:t>Sabiedrisko pakalpojumu regulēšanas komisija veido un uztur pasta komersantu reģistru un nodrošina tā publisku pieejamību</w:t>
      </w:r>
      <w:r w:rsidR="00B71873" w:rsidRPr="00C51833">
        <w:rPr>
          <w:shd w:val="clear" w:color="auto" w:fill="FFFFFF"/>
        </w:rPr>
        <w:t xml:space="preserve">. </w:t>
      </w:r>
    </w:p>
    <w:p w14:paraId="3A4FE5C1" w14:textId="6306A697" w:rsidR="00DC53FB" w:rsidRPr="00C51833" w:rsidRDefault="00B71873" w:rsidP="00C51833">
      <w:pPr>
        <w:shd w:val="clear" w:color="auto" w:fill="FFFFFF"/>
        <w:spacing w:line="276" w:lineRule="auto"/>
        <w:ind w:firstLine="709"/>
        <w:jc w:val="both"/>
      </w:pPr>
      <w:r w:rsidRPr="00C51833">
        <w:rPr>
          <w:shd w:val="clear" w:color="auto" w:fill="FFFFFF"/>
        </w:rPr>
        <w:t xml:space="preserve">Atbildētājs apelācijas sūdzībā norādījis, ka </w:t>
      </w:r>
      <w:r w:rsidRPr="00C51833">
        <w:t>AS „</w:t>
      </w:r>
      <w:proofErr w:type="spellStart"/>
      <w:r w:rsidRPr="00C51833">
        <w:t>Fitek</w:t>
      </w:r>
      <w:proofErr w:type="spellEnd"/>
      <w:r w:rsidRPr="00C51833">
        <w:t>” nav reģistrēta publiski pieejam</w:t>
      </w:r>
      <w:r w:rsidR="00953B21" w:rsidRPr="00C51833">
        <w:t>aj</w:t>
      </w:r>
      <w:r w:rsidRPr="00C51833">
        <w:t>ā pasta komersantu reģistrā, un p</w:t>
      </w:r>
      <w:r w:rsidRPr="00C51833">
        <w:rPr>
          <w:shd w:val="clear" w:color="auto" w:fill="FFFFFF"/>
        </w:rPr>
        <w:t>rasītāja nav iesniegusi pierādījumus par pretējo, proti, ka</w:t>
      </w:r>
      <w:r w:rsidRPr="00C51833">
        <w:t xml:space="preserve"> AS „</w:t>
      </w:r>
      <w:proofErr w:type="spellStart"/>
      <w:r w:rsidRPr="00C51833">
        <w:t>Fitek</w:t>
      </w:r>
      <w:proofErr w:type="spellEnd"/>
      <w:r w:rsidRPr="00C51833">
        <w:t xml:space="preserve">” ar šo vai iepriekšējiem nosaukumiem būtu reģistrēta pasta komersante. </w:t>
      </w:r>
      <w:r w:rsidRPr="00C51833">
        <w:rPr>
          <w:shd w:val="clear" w:color="auto" w:fill="FFFFFF"/>
        </w:rPr>
        <w:t xml:space="preserve"> </w:t>
      </w:r>
    </w:p>
    <w:p w14:paraId="01D5811A" w14:textId="3F5FC985" w:rsidR="00DC53FB" w:rsidRPr="00C51833" w:rsidRDefault="00465E39" w:rsidP="00C51833">
      <w:pPr>
        <w:shd w:val="clear" w:color="auto" w:fill="FFFFFF"/>
        <w:spacing w:line="276" w:lineRule="auto"/>
        <w:ind w:firstLine="709"/>
        <w:jc w:val="both"/>
      </w:pPr>
      <w:r w:rsidRPr="00C51833">
        <w:t xml:space="preserve">Līdz ar to </w:t>
      </w:r>
      <w:r w:rsidR="00953B21" w:rsidRPr="00C51833">
        <w:t>AS „</w:t>
      </w:r>
      <w:proofErr w:type="spellStart"/>
      <w:r w:rsidR="00953B21" w:rsidRPr="00C51833">
        <w:t>Fitek</w:t>
      </w:r>
      <w:proofErr w:type="spellEnd"/>
      <w:r w:rsidR="00953B21" w:rsidRPr="00C51833">
        <w:t xml:space="preserve">” </w:t>
      </w:r>
      <w:r w:rsidR="00001FC3" w:rsidRPr="00C51833">
        <w:t>nav speciālais subjekts – pasta komersants</w:t>
      </w:r>
      <w:r w:rsidR="001711D4" w:rsidRPr="00C51833">
        <w:t xml:space="preserve">, vai arī kāds </w:t>
      </w:r>
      <w:proofErr w:type="gramStart"/>
      <w:r w:rsidR="001711D4" w:rsidRPr="00C51833">
        <w:t>cits speciālais subjekts</w:t>
      </w:r>
      <w:proofErr w:type="gramEnd"/>
      <w:r w:rsidR="001711D4" w:rsidRPr="00C51833">
        <w:t xml:space="preserve">, kas būtu pakļauts īpašām likuma prasībām un atbildībai un kura paskaidrojumiem par faktiem līdz ar to varētu </w:t>
      </w:r>
      <w:r w:rsidR="00493EE1" w:rsidRPr="00C51833">
        <w:t>piešķir</w:t>
      </w:r>
      <w:r w:rsidR="001711D4" w:rsidRPr="00C51833">
        <w:t>t lielāk</w:t>
      </w:r>
      <w:r w:rsidR="00493EE1" w:rsidRPr="00C51833">
        <w:t>u</w:t>
      </w:r>
      <w:r w:rsidR="001711D4" w:rsidRPr="00C51833">
        <w:t xml:space="preserve"> ticamīb</w:t>
      </w:r>
      <w:r w:rsidR="00493EE1" w:rsidRPr="00C51833">
        <w:t>u</w:t>
      </w:r>
      <w:r w:rsidR="00883D5A" w:rsidRPr="00C51833">
        <w:t xml:space="preserve"> nekā </w:t>
      </w:r>
      <w:r w:rsidR="00493EE1" w:rsidRPr="00C51833">
        <w:t xml:space="preserve">vienkāršam </w:t>
      </w:r>
      <w:r w:rsidR="00883D5A" w:rsidRPr="00C51833">
        <w:t>person</w:t>
      </w:r>
      <w:r w:rsidR="00493EE1" w:rsidRPr="00C51833">
        <w:t>as</w:t>
      </w:r>
      <w:r w:rsidR="00883D5A" w:rsidRPr="00C51833">
        <w:t xml:space="preserve"> paskaidrojum</w:t>
      </w:r>
      <w:r w:rsidR="00493EE1" w:rsidRPr="00C51833">
        <w:t>a</w:t>
      </w:r>
      <w:r w:rsidR="00883D5A" w:rsidRPr="00C51833">
        <w:t>m</w:t>
      </w:r>
      <w:r w:rsidR="001711D4" w:rsidRPr="00C51833">
        <w:t>.</w:t>
      </w:r>
    </w:p>
    <w:p w14:paraId="781AA37F" w14:textId="2DA4DC8E" w:rsidR="00465E39" w:rsidRPr="00C51833" w:rsidRDefault="00465E39" w:rsidP="00C51833">
      <w:pPr>
        <w:shd w:val="clear" w:color="auto" w:fill="FFFFFF"/>
        <w:spacing w:line="276" w:lineRule="auto"/>
        <w:ind w:firstLine="709"/>
        <w:jc w:val="both"/>
      </w:pPr>
      <w:r w:rsidRPr="00C51833">
        <w:t>[12.3] Ievērojot minēto,</w:t>
      </w:r>
      <w:r w:rsidR="00645B80" w:rsidRPr="00C51833">
        <w:t xml:space="preserve"> </w:t>
      </w:r>
      <w:r w:rsidR="00213874" w:rsidRPr="00C51833">
        <w:t xml:space="preserve">nav pamata atzīt, ka </w:t>
      </w:r>
      <w:r w:rsidR="00645B80" w:rsidRPr="00C51833">
        <w:t>apgab</w:t>
      </w:r>
      <w:r w:rsidR="00213874" w:rsidRPr="00C51833">
        <w:t>a</w:t>
      </w:r>
      <w:r w:rsidR="00645B80" w:rsidRPr="00C51833">
        <w:t>ltiesa</w:t>
      </w:r>
      <w:r w:rsidR="00213874" w:rsidRPr="00C51833">
        <w:t xml:space="preserve">, atzīstot pēdējo četru </w:t>
      </w:r>
      <w:r w:rsidR="00CE58E5" w:rsidRPr="00C51833">
        <w:t xml:space="preserve">paziņojumu (kā </w:t>
      </w:r>
      <w:r w:rsidR="00213874" w:rsidRPr="00C51833">
        <w:t>atgādinājumu</w:t>
      </w:r>
      <w:r w:rsidR="00CE58E5" w:rsidRPr="00C51833">
        <w:t>)</w:t>
      </w:r>
      <w:r w:rsidR="00213874" w:rsidRPr="00C51833">
        <w:t xml:space="preserve"> nosūtīšanas faktu par nepierādītu</w:t>
      </w:r>
      <w:r w:rsidR="006F0BB1" w:rsidRPr="00C51833">
        <w:t xml:space="preserve"> un attiecīgi saistību par noilgušu</w:t>
      </w:r>
      <w:r w:rsidR="00213874" w:rsidRPr="00C51833">
        <w:t>, būtu pieļāvusi trūkumus materiālo tiesību normu piemērošanā vai pierādījumu novērtēšanā.</w:t>
      </w:r>
    </w:p>
    <w:p w14:paraId="53AD4E73" w14:textId="4FA0D060" w:rsidR="00066B8C" w:rsidRPr="00C51833" w:rsidRDefault="00213874" w:rsidP="00C51833">
      <w:pPr>
        <w:shd w:val="clear" w:color="auto" w:fill="FFFFFF"/>
        <w:spacing w:line="276" w:lineRule="auto"/>
        <w:ind w:firstLine="709"/>
        <w:jc w:val="both"/>
      </w:pPr>
      <w:r w:rsidRPr="00C51833">
        <w:t xml:space="preserve">[12.4] </w:t>
      </w:r>
      <w:r w:rsidR="00066B8C" w:rsidRPr="00C51833">
        <w:t xml:space="preserve">Senāts arī agrāk </w:t>
      </w:r>
      <w:r w:rsidRPr="00C51833">
        <w:t xml:space="preserve">nav saskatījis pārkāpumus pierādījumu vērtēšanā </w:t>
      </w:r>
      <w:r w:rsidR="00973A94" w:rsidRPr="00C51833">
        <w:t>faktisko un tiesisko apstākļu ziņā līdzīgā lietā, kurā apgabaltiesa AS „</w:t>
      </w:r>
      <w:proofErr w:type="spellStart"/>
      <w:r w:rsidR="00973A94" w:rsidRPr="00C51833">
        <w:t>Fitek</w:t>
      </w:r>
      <w:proofErr w:type="spellEnd"/>
      <w:r w:rsidR="00973A94" w:rsidRPr="00C51833">
        <w:t xml:space="preserve">” apliecinājumus pašus par sevi bija atzinusi par nepietiekamiem pierādījumiem atgādinājumu nosūtīšanai </w:t>
      </w:r>
      <w:r w:rsidR="00066B8C" w:rsidRPr="00C51833">
        <w:t xml:space="preserve">(sk. </w:t>
      </w:r>
      <w:r w:rsidR="00066B8C" w:rsidRPr="00C51833">
        <w:rPr>
          <w:i/>
          <w:iCs/>
        </w:rPr>
        <w:t>Senāta 2021.</w:t>
      </w:r>
      <w:r w:rsidR="00CF7377">
        <w:rPr>
          <w:i/>
          <w:iCs/>
        </w:rPr>
        <w:t> </w:t>
      </w:r>
      <w:r w:rsidR="00066B8C" w:rsidRPr="00C51833">
        <w:rPr>
          <w:i/>
          <w:iCs/>
        </w:rPr>
        <w:t>gada 8.</w:t>
      </w:r>
      <w:r w:rsidR="00CF7377">
        <w:rPr>
          <w:i/>
          <w:iCs/>
        </w:rPr>
        <w:t> </w:t>
      </w:r>
      <w:r w:rsidR="00066B8C" w:rsidRPr="00C51833">
        <w:rPr>
          <w:i/>
          <w:iCs/>
        </w:rPr>
        <w:t>jūnija sprieduma lietā Nr. SKC</w:t>
      </w:r>
      <w:r w:rsidR="00066B8C" w:rsidRPr="00C51833">
        <w:rPr>
          <w:i/>
          <w:iCs/>
        </w:rPr>
        <w:noBreakHyphen/>
        <w:t xml:space="preserve">28/2021, </w:t>
      </w:r>
      <w:hyperlink r:id="rId12" w:history="1">
        <w:r w:rsidR="00066B8C" w:rsidRPr="00C51833">
          <w:rPr>
            <w:rStyle w:val="Hyperlink"/>
            <w:i/>
            <w:iCs/>
            <w:color w:val="auto"/>
            <w:u w:val="none"/>
            <w:lang w:eastAsia="en-US"/>
          </w:rPr>
          <w:t>ECLI:LV:AT:2021:0608.C12181818.10.S</w:t>
        </w:r>
      </w:hyperlink>
      <w:r w:rsidR="00066B8C" w:rsidRPr="00C51833">
        <w:rPr>
          <w:i/>
          <w:iCs/>
        </w:rPr>
        <w:t xml:space="preserve">, </w:t>
      </w:r>
      <w:r w:rsidR="00973A94" w:rsidRPr="00C51833">
        <w:rPr>
          <w:i/>
          <w:iCs/>
        </w:rPr>
        <w:t>7</w:t>
      </w:r>
      <w:r w:rsidR="00066B8C" w:rsidRPr="00C51833">
        <w:rPr>
          <w:i/>
          <w:iCs/>
        </w:rPr>
        <w:t>.2.</w:t>
      </w:r>
      <w:r w:rsidR="00CF7377">
        <w:rPr>
          <w:i/>
          <w:iCs/>
        </w:rPr>
        <w:t> </w:t>
      </w:r>
      <w:r w:rsidR="00066B8C" w:rsidRPr="00C51833">
        <w:rPr>
          <w:i/>
          <w:iCs/>
        </w:rPr>
        <w:t>punktu</w:t>
      </w:r>
      <w:r w:rsidR="00066B8C" w:rsidRPr="00C51833">
        <w:t>).</w:t>
      </w:r>
    </w:p>
    <w:p w14:paraId="41FE7D74" w14:textId="77777777" w:rsidR="00E55CD8" w:rsidRPr="00C51833" w:rsidRDefault="00E55CD8" w:rsidP="00C51833">
      <w:pPr>
        <w:shd w:val="clear" w:color="auto" w:fill="FFFFFF"/>
        <w:spacing w:line="276" w:lineRule="auto"/>
        <w:ind w:firstLine="709"/>
        <w:jc w:val="both"/>
      </w:pPr>
    </w:p>
    <w:p w14:paraId="1AAA5D0B" w14:textId="6D49DFD7" w:rsidR="00B208B8" w:rsidRPr="00C51833" w:rsidRDefault="00D365E0" w:rsidP="00C51833">
      <w:pPr>
        <w:shd w:val="clear" w:color="auto" w:fill="FFFFFF"/>
        <w:spacing w:line="276" w:lineRule="auto"/>
        <w:ind w:firstLine="709"/>
        <w:jc w:val="both"/>
      </w:pPr>
      <w:r w:rsidRPr="00C51833">
        <w:t xml:space="preserve">[13] </w:t>
      </w:r>
      <w:r w:rsidR="0098095C" w:rsidRPr="00C51833">
        <w:t xml:space="preserve">Senāts atzīst par nepamatotu kasācijas sūdzības argumentu, ka </w:t>
      </w:r>
      <w:r w:rsidR="00890E3E" w:rsidRPr="00C51833">
        <w:t>a</w:t>
      </w:r>
      <w:r w:rsidR="0098095C" w:rsidRPr="00C51833">
        <w:t>pg</w:t>
      </w:r>
      <w:r w:rsidR="00890E3E" w:rsidRPr="00C51833">
        <w:t>a</w:t>
      </w:r>
      <w:r w:rsidR="0098095C" w:rsidRPr="00C51833">
        <w:t>baltiesa esot p</w:t>
      </w:r>
      <w:r w:rsidR="00ED617F" w:rsidRPr="00C51833">
        <w:t>ārkāpusi</w:t>
      </w:r>
      <w:r w:rsidR="0098095C" w:rsidRPr="00C51833">
        <w:t xml:space="preserve"> Civilprocesa likuma</w:t>
      </w:r>
      <w:r w:rsidR="00ED617F" w:rsidRPr="00C51833">
        <w:t xml:space="preserve"> 8., 9.</w:t>
      </w:r>
      <w:r w:rsidR="00CF7377">
        <w:t> </w:t>
      </w:r>
      <w:r w:rsidR="00ED617F" w:rsidRPr="00C51833">
        <w:t>pantu un 93.</w:t>
      </w:r>
      <w:r w:rsidR="00CF7377">
        <w:t> </w:t>
      </w:r>
      <w:r w:rsidR="00ED617F" w:rsidRPr="00C51833">
        <w:t>panta ceturto daļu</w:t>
      </w:r>
      <w:r w:rsidR="0098095C" w:rsidRPr="00C51833">
        <w:t xml:space="preserve">, nepaziņojot prasītājai par pierādījumu </w:t>
      </w:r>
      <w:r w:rsidR="00ED617F" w:rsidRPr="00C51833">
        <w:t>nepietiekamību</w:t>
      </w:r>
      <w:r w:rsidR="0098095C" w:rsidRPr="00C51833">
        <w:t xml:space="preserve"> </w:t>
      </w:r>
      <w:r w:rsidR="00ED617F" w:rsidRPr="00C51833">
        <w:t>noilguma pārtraukšanai.</w:t>
      </w:r>
    </w:p>
    <w:p w14:paraId="263EA735" w14:textId="68D56A53" w:rsidR="00B208B8" w:rsidRPr="00C51833" w:rsidRDefault="00241AEC" w:rsidP="00C51833">
      <w:pPr>
        <w:shd w:val="clear" w:color="auto" w:fill="FFFFFF"/>
        <w:spacing w:line="276" w:lineRule="auto"/>
        <w:ind w:firstLine="709"/>
        <w:jc w:val="both"/>
      </w:pPr>
      <w:r w:rsidRPr="00C51833">
        <w:t>[1</w:t>
      </w:r>
      <w:r w:rsidR="00EE67C1" w:rsidRPr="00C51833">
        <w:t>3</w:t>
      </w:r>
      <w:r w:rsidRPr="00C51833">
        <w:t xml:space="preserve">.1] </w:t>
      </w:r>
      <w:r w:rsidR="00B208B8" w:rsidRPr="00C51833">
        <w:t>Saskaņā ar Civilprocesa likuma 93.</w:t>
      </w:r>
      <w:r w:rsidR="00CF7377">
        <w:t> </w:t>
      </w:r>
      <w:r w:rsidR="00B208B8" w:rsidRPr="00C51833">
        <w:t>panta pirmo un otro daļu prasītājai jāpierāda savu prasījumu pamatotība</w:t>
      </w:r>
      <w:r w:rsidR="00B208B8" w:rsidRPr="00C51833">
        <w:rPr>
          <w:color w:val="414142"/>
        </w:rPr>
        <w:t xml:space="preserve"> </w:t>
      </w:r>
      <w:r w:rsidR="00B208B8" w:rsidRPr="00C51833">
        <w:t xml:space="preserve">(tie fakti, </w:t>
      </w:r>
      <w:r w:rsidR="00146C7F" w:rsidRPr="00C51833">
        <w:t>ar</w:t>
      </w:r>
      <w:r w:rsidR="00B208B8" w:rsidRPr="00C51833">
        <w:t xml:space="preserve"> kuriem tā pamato savus prasījumus), pašai iesniedzot pierādījumus. </w:t>
      </w:r>
      <w:r w:rsidR="004863C3" w:rsidRPr="00C51833">
        <w:rPr>
          <w:shd w:val="clear" w:color="auto" w:fill="FFFFFF"/>
        </w:rPr>
        <w:t>Civilprocesa likuma 10.</w:t>
      </w:r>
      <w:r w:rsidR="00CF7377">
        <w:rPr>
          <w:shd w:val="clear" w:color="auto" w:fill="FFFFFF"/>
        </w:rPr>
        <w:t> </w:t>
      </w:r>
      <w:r w:rsidR="004863C3" w:rsidRPr="00C51833">
        <w:rPr>
          <w:shd w:val="clear" w:color="auto" w:fill="FFFFFF"/>
        </w:rPr>
        <w:t>pants noteic, ka p</w:t>
      </w:r>
      <w:r w:rsidR="004863C3" w:rsidRPr="00C51833">
        <w:t>uses realizē savas procesuālās tiesības sacīkstes formā, tostarp dodot paskaidrojumus un iesniedzot pierādījumus.</w:t>
      </w:r>
    </w:p>
    <w:p w14:paraId="63D1B256" w14:textId="55FFFF86" w:rsidR="008F31B2" w:rsidRPr="00C51833" w:rsidRDefault="00B208B8" w:rsidP="00C51833">
      <w:pPr>
        <w:shd w:val="clear" w:color="auto" w:fill="FFFFFF"/>
        <w:spacing w:line="276" w:lineRule="auto"/>
        <w:ind w:firstLine="709"/>
        <w:jc w:val="both"/>
        <w:rPr>
          <w:shd w:val="clear" w:color="auto" w:fill="FFFFFF"/>
        </w:rPr>
      </w:pPr>
      <w:r w:rsidRPr="00C51833">
        <w:t xml:space="preserve">Savukārt Civilprocesa likuma </w:t>
      </w:r>
      <w:r w:rsidR="007E3250" w:rsidRPr="00C51833">
        <w:t>8.</w:t>
      </w:r>
      <w:r w:rsidR="00CF7377">
        <w:t> </w:t>
      </w:r>
      <w:r w:rsidR="007E3250" w:rsidRPr="00C51833">
        <w:t>panta otrajā daļā</w:t>
      </w:r>
      <w:r w:rsidR="00A96C7F" w:rsidRPr="00C51833">
        <w:t xml:space="preserve"> un</w:t>
      </w:r>
      <w:r w:rsidR="007E3250" w:rsidRPr="00C51833">
        <w:t xml:space="preserve"> 93.</w:t>
      </w:r>
      <w:r w:rsidR="00CF7377">
        <w:t> </w:t>
      </w:r>
      <w:r w:rsidR="007E3250" w:rsidRPr="00C51833">
        <w:t>panta ceturtajā daļā paredzēt</w:t>
      </w:r>
      <w:r w:rsidR="00894A35" w:rsidRPr="00C51833">
        <w:t>a</w:t>
      </w:r>
      <w:r w:rsidR="007E3250" w:rsidRPr="00C51833">
        <w:t>i</w:t>
      </w:r>
      <w:r w:rsidR="00894A35" w:rsidRPr="00C51833">
        <w:t>s</w:t>
      </w:r>
      <w:r w:rsidR="007E3250" w:rsidRPr="00C51833">
        <w:t xml:space="preserve"> tiesas pienākum</w:t>
      </w:r>
      <w:r w:rsidR="00894A35" w:rsidRPr="00C51833">
        <w:t>s</w:t>
      </w:r>
      <w:r w:rsidR="007E3250" w:rsidRPr="00C51833">
        <w:t xml:space="preserve"> izskaidrot pusēm viņu </w:t>
      </w:r>
      <w:r w:rsidR="00C03F01" w:rsidRPr="00C51833">
        <w:t xml:space="preserve">tiesības un </w:t>
      </w:r>
      <w:r w:rsidR="007E3250" w:rsidRPr="00C51833">
        <w:t>pienākumus</w:t>
      </w:r>
      <w:r w:rsidR="00894A35" w:rsidRPr="00C51833">
        <w:t>, tostarp</w:t>
      </w:r>
      <w:r w:rsidR="007E3250" w:rsidRPr="00C51833">
        <w:t xml:space="preserve"> paziņot par pierādījumu trūkumu </w:t>
      </w:r>
      <w:r w:rsidR="007E3250" w:rsidRPr="00C51833">
        <w:rPr>
          <w:shd w:val="clear" w:color="auto" w:fill="FFFFFF"/>
        </w:rPr>
        <w:t xml:space="preserve">par kādu no faktiem, nav saprotams tādējādi, </w:t>
      </w:r>
      <w:proofErr w:type="gramStart"/>
      <w:r w:rsidR="007E3250" w:rsidRPr="00C51833">
        <w:rPr>
          <w:shd w:val="clear" w:color="auto" w:fill="FFFFFF"/>
        </w:rPr>
        <w:t xml:space="preserve">ka </w:t>
      </w:r>
      <w:r w:rsidR="00A639A2" w:rsidRPr="00C51833">
        <w:t xml:space="preserve">tiesnesim </w:t>
      </w:r>
      <w:r w:rsidR="00F65599" w:rsidRPr="00C51833">
        <w:t xml:space="preserve">būtu </w:t>
      </w:r>
      <w:r w:rsidR="00A639A2" w:rsidRPr="00C51833">
        <w:t>katrā ziņā</w:t>
      </w:r>
      <w:proofErr w:type="gramEnd"/>
      <w:r w:rsidR="00A639A2" w:rsidRPr="00C51833">
        <w:t xml:space="preserve"> jāmudina puse iesniegt vēl pierādījumus, ja tādi par apstrīdēto apstākli jau ir iesniegti</w:t>
      </w:r>
      <w:r w:rsidR="00F65599" w:rsidRPr="00C51833">
        <w:t>, turklāt situācijā, kad uz pierādījumu</w:t>
      </w:r>
      <w:r w:rsidR="00E34918" w:rsidRPr="00C51833">
        <w:rPr>
          <w:shd w:val="clear" w:color="auto" w:fill="FFFFFF"/>
        </w:rPr>
        <w:t xml:space="preserve"> trūkum</w:t>
      </w:r>
      <w:r w:rsidR="00F65599" w:rsidRPr="00C51833">
        <w:rPr>
          <w:shd w:val="clear" w:color="auto" w:fill="FFFFFF"/>
        </w:rPr>
        <w:t>u</w:t>
      </w:r>
      <w:r w:rsidR="00E34918" w:rsidRPr="00C51833">
        <w:rPr>
          <w:shd w:val="clear" w:color="auto" w:fill="FFFFFF"/>
        </w:rPr>
        <w:t xml:space="preserve"> jau norādījusi otra puse.</w:t>
      </w:r>
      <w:r w:rsidR="008F31B2" w:rsidRPr="00C51833">
        <w:rPr>
          <w:shd w:val="clear" w:color="auto" w:fill="FFFFFF"/>
        </w:rPr>
        <w:t xml:space="preserve"> </w:t>
      </w:r>
      <w:r w:rsidR="00540BDD" w:rsidRPr="00C51833">
        <w:rPr>
          <w:shd w:val="clear" w:color="auto" w:fill="FFFFFF"/>
        </w:rPr>
        <w:t>Proti</w:t>
      </w:r>
      <w:r w:rsidR="00540BDD" w:rsidRPr="00C51833">
        <w:t>, lai gan otras puses norādījumi neierobežo tiesu Civilprocesa likuma 93.</w:t>
      </w:r>
      <w:r w:rsidR="00CF7377">
        <w:t> </w:t>
      </w:r>
      <w:r w:rsidR="00540BDD" w:rsidRPr="00C51833">
        <w:t>panta ceturtās daļas izpildē, jo pierādījumu pietiekamību lietas izskatīšanai vērtē tiesa, tomēr, ja otra puse norāda, ka tā apstrīd kādu puses apgalvotu apstākli un ka puse nav iesniegusi atbilstošus pierādījumus, tad šai pusei vajadzētu arī bez tiesas norādījuma izvērtēt, vai tā ir iesniegusi pie</w:t>
      </w:r>
      <w:r w:rsidR="00F04548" w:rsidRPr="00C51833">
        <w:t>tiekamus</w:t>
      </w:r>
      <w:r w:rsidR="00540BDD" w:rsidRPr="00C51833">
        <w:t xml:space="preserve"> pierādījumus.</w:t>
      </w:r>
    </w:p>
    <w:p w14:paraId="1855991B" w14:textId="58FA902B" w:rsidR="00241AEC" w:rsidRPr="00C51833" w:rsidRDefault="00C37B02" w:rsidP="00C51833">
      <w:pPr>
        <w:shd w:val="clear" w:color="auto" w:fill="FFFFFF"/>
        <w:spacing w:line="276" w:lineRule="auto"/>
        <w:ind w:firstLine="709"/>
        <w:jc w:val="both"/>
      </w:pPr>
      <w:r w:rsidRPr="00C51833">
        <w:t>[1</w:t>
      </w:r>
      <w:r w:rsidR="00EE67C1" w:rsidRPr="00C51833">
        <w:t>3</w:t>
      </w:r>
      <w:r w:rsidRPr="00C51833">
        <w:t xml:space="preserve">.2] </w:t>
      </w:r>
      <w:r w:rsidR="00241AEC" w:rsidRPr="00C51833">
        <w:t xml:space="preserve">No prasības pieteikumā norādītā, ka noilgums neesot iestājies, ko apliecinot pievienotie pierādījumi, secināms, ka prasītāja jau prasības pieteikuma iesniegšanas laikā apzinājās, ka </w:t>
      </w:r>
      <w:r w:rsidR="007B7A60" w:rsidRPr="00C51833">
        <w:t xml:space="preserve">tai ir jāpierāda </w:t>
      </w:r>
      <w:r w:rsidR="00B96441" w:rsidRPr="00C51833">
        <w:t>noilguma pārtraukums. Noilguma pārtraukumu prasītāja pamatojusi ar Civillikuma 1905.</w:t>
      </w:r>
      <w:r w:rsidR="00CF7377">
        <w:t> </w:t>
      </w:r>
      <w:r w:rsidR="00B96441" w:rsidRPr="00C51833">
        <w:t>pantu – atgādinājumiem parādniekam</w:t>
      </w:r>
      <w:r w:rsidR="00241AEC" w:rsidRPr="00C51833">
        <w:t>.</w:t>
      </w:r>
    </w:p>
    <w:p w14:paraId="404C6803" w14:textId="3A03E9C9" w:rsidR="000B7FE5" w:rsidRPr="00C51833" w:rsidRDefault="005341EB" w:rsidP="00C51833">
      <w:pPr>
        <w:shd w:val="clear" w:color="auto" w:fill="FFFFFF"/>
        <w:spacing w:line="276" w:lineRule="auto"/>
        <w:ind w:firstLine="709"/>
        <w:jc w:val="both"/>
      </w:pPr>
      <w:r w:rsidRPr="00C51833">
        <w:t>P</w:t>
      </w:r>
      <w:r w:rsidR="000B7FE5" w:rsidRPr="00C51833">
        <w:t xml:space="preserve">ar to, ka noilguma pārtraukums būs viens no galvenajiem strīdus jautājumiem lietā, prasītājai nevarēja būt šaubu jau kopš atbildētāja pirmajiem paskaidrojumiem </w:t>
      </w:r>
      <w:r w:rsidR="000B7FE5" w:rsidRPr="00C51833">
        <w:lastRenderedPageBreak/>
        <w:t xml:space="preserve">pirmās instances tiesā, kuros atbildētājs apgalvoja, ka atgādinājumi viņam nav sūtīti un prasījumi ir noilguši. </w:t>
      </w:r>
    </w:p>
    <w:p w14:paraId="0AC72F28" w14:textId="740C328D" w:rsidR="007C6F43" w:rsidRPr="00C51833" w:rsidRDefault="000B7FE5" w:rsidP="00C51833">
      <w:pPr>
        <w:shd w:val="clear" w:color="auto" w:fill="FFFFFF"/>
        <w:spacing w:line="276" w:lineRule="auto"/>
        <w:ind w:firstLine="709"/>
        <w:jc w:val="both"/>
      </w:pPr>
      <w:proofErr w:type="gramStart"/>
      <w:r w:rsidRPr="00C51833">
        <w:t>Neskatoties uz to, ka</w:t>
      </w:r>
      <w:proofErr w:type="gramEnd"/>
      <w:r w:rsidRPr="00C51833">
        <w:t xml:space="preserve"> pirmās instances tiesa prasību apmierināja, prasītājai </w:t>
      </w:r>
      <w:r w:rsidR="005341EB" w:rsidRPr="00C51833">
        <w:t xml:space="preserve">apelācijas instances tiesā </w:t>
      </w:r>
      <w:r w:rsidRPr="00C51833">
        <w:t>nekāda paļāvība</w:t>
      </w:r>
      <w:r w:rsidR="000823F0" w:rsidRPr="00C51833">
        <w:t xml:space="preserve"> par lietā esošo pierādījumu pietiekamību noilguma pārtraukšanas pierādīšanai, </w:t>
      </w:r>
      <w:r w:rsidRPr="00C51833">
        <w:t xml:space="preserve">pretēji kasācijas sūdzībā norādītajam, nevarēja rasties, jo atbildētājs </w:t>
      </w:r>
      <w:r w:rsidR="005341EB" w:rsidRPr="00C51833">
        <w:t>apelāci</w:t>
      </w:r>
      <w:r w:rsidRPr="00C51833">
        <w:t xml:space="preserve">jas sūdzībā skaidri uzturēja </w:t>
      </w:r>
      <w:r w:rsidR="008B2321" w:rsidRPr="00C51833">
        <w:t>savu pozīciju</w:t>
      </w:r>
      <w:r w:rsidR="000823F0" w:rsidRPr="00C51833">
        <w:t xml:space="preserve"> par to, ka AS</w:t>
      </w:r>
      <w:r w:rsidR="005341EB" w:rsidRPr="00C51833">
        <w:t> </w:t>
      </w:r>
      <w:r w:rsidR="000823F0" w:rsidRPr="00C51833">
        <w:t>„</w:t>
      </w:r>
      <w:proofErr w:type="spellStart"/>
      <w:r w:rsidR="000823F0" w:rsidRPr="00C51833">
        <w:t>Fitek</w:t>
      </w:r>
      <w:proofErr w:type="spellEnd"/>
      <w:r w:rsidR="000823F0" w:rsidRPr="00C51833">
        <w:t>” apliecinājumi par vēstuļu nodošanu pasta komersantam ir nepietiekami bez pierādījumu iesniegšanas par vēstuļu nosūtīšanu, jo AS „</w:t>
      </w:r>
      <w:proofErr w:type="spellStart"/>
      <w:r w:rsidR="000823F0" w:rsidRPr="00C51833">
        <w:t>Fitek</w:t>
      </w:r>
      <w:proofErr w:type="spellEnd"/>
      <w:r w:rsidR="000823F0" w:rsidRPr="00C51833">
        <w:t>” nav reģistrēta pasta komersant</w:t>
      </w:r>
      <w:r w:rsidR="00DB7A24" w:rsidRPr="00C51833">
        <w:t>u</w:t>
      </w:r>
      <w:r w:rsidR="000823F0" w:rsidRPr="00C51833">
        <w:t xml:space="preserve"> reģistrā.</w:t>
      </w:r>
      <w:r w:rsidRPr="00C51833">
        <w:t xml:space="preserve"> </w:t>
      </w:r>
      <w:r w:rsidR="000823F0" w:rsidRPr="00C51833">
        <w:t>Turklāt atbildētājs argumentēja, ka AS „</w:t>
      </w:r>
      <w:proofErr w:type="spellStart"/>
      <w:r w:rsidR="000823F0" w:rsidRPr="00C51833">
        <w:t>Fitek</w:t>
      </w:r>
      <w:proofErr w:type="spellEnd"/>
      <w:r w:rsidR="000823F0" w:rsidRPr="00C51833">
        <w:t>” izziņu patiesums ir apšaubāms, jo šādi pierādījumi „atradušies” tikai pēc tam, kad atbildētājs bija norādījis uz noilguma iestāšanos.</w:t>
      </w:r>
    </w:p>
    <w:p w14:paraId="09750E81" w14:textId="5D31B6A6" w:rsidR="00B208B8" w:rsidRPr="00C51833" w:rsidRDefault="00B208B8" w:rsidP="00C51833">
      <w:pPr>
        <w:shd w:val="clear" w:color="auto" w:fill="FFFFFF"/>
        <w:spacing w:line="276" w:lineRule="auto"/>
        <w:ind w:firstLine="709"/>
        <w:jc w:val="both"/>
      </w:pPr>
      <w:r w:rsidRPr="00C51833">
        <w:t>Līdz ar to prasītājai nav pamata a</w:t>
      </w:r>
      <w:r w:rsidR="008819ED" w:rsidRPr="00C51833">
        <w:t xml:space="preserve">pgalvot, ka </w:t>
      </w:r>
      <w:r w:rsidRPr="00C51833">
        <w:t>ta</w:t>
      </w:r>
      <w:r w:rsidR="008819ED" w:rsidRPr="00C51833">
        <w:t xml:space="preserve">i nebija zināms par pierādījumu </w:t>
      </w:r>
      <w:r w:rsidR="003E6F68" w:rsidRPr="00C51833">
        <w:t xml:space="preserve">iespējamo </w:t>
      </w:r>
      <w:r w:rsidR="008819ED" w:rsidRPr="00C51833">
        <w:t>nepietiekamību.</w:t>
      </w:r>
      <w:r w:rsidRPr="00C51833">
        <w:t xml:space="preserve"> </w:t>
      </w:r>
    </w:p>
    <w:p w14:paraId="67DDFBB7" w14:textId="50E55A2E" w:rsidR="005723DC" w:rsidRPr="00C51833" w:rsidRDefault="005723DC" w:rsidP="00C51833">
      <w:pPr>
        <w:shd w:val="clear" w:color="auto" w:fill="FFFFFF"/>
        <w:spacing w:line="276" w:lineRule="auto"/>
        <w:ind w:firstLine="709"/>
        <w:jc w:val="both"/>
      </w:pPr>
      <w:r w:rsidRPr="00C51833">
        <w:t>Turklāt būtiski, ka prasītāja kasācijas sūdzībā tā arī nav norādījusi, kādus tieši pierādījumus par noilguma pārtraukumu viņa vēl būtu varējusi iesniegt.</w:t>
      </w:r>
    </w:p>
    <w:p w14:paraId="36824FE9" w14:textId="1F79AF52" w:rsidR="000B7FE5" w:rsidRPr="00C51833" w:rsidRDefault="005341EB" w:rsidP="00C51833">
      <w:pPr>
        <w:shd w:val="clear" w:color="auto" w:fill="FFFFFF"/>
        <w:spacing w:line="276" w:lineRule="auto"/>
        <w:ind w:firstLine="709"/>
        <w:jc w:val="both"/>
      </w:pPr>
      <w:r w:rsidRPr="00C51833">
        <w:t>[1</w:t>
      </w:r>
      <w:r w:rsidR="00EE67C1" w:rsidRPr="00C51833">
        <w:t>3</w:t>
      </w:r>
      <w:r w:rsidRPr="00C51833">
        <w:t xml:space="preserve">.3] </w:t>
      </w:r>
      <w:r w:rsidR="007C6F43" w:rsidRPr="00C51833">
        <w:t>Savukārt Civilprocesa likum</w:t>
      </w:r>
      <w:r w:rsidR="00473442" w:rsidRPr="00C51833">
        <w:t>a</w:t>
      </w:r>
      <w:r w:rsidR="007C6F43" w:rsidRPr="00C51833">
        <w:t xml:space="preserve"> 9.</w:t>
      </w:r>
      <w:r w:rsidR="00CF7377">
        <w:t> </w:t>
      </w:r>
      <w:r w:rsidR="007C6F43" w:rsidRPr="00C51833">
        <w:t>pants regulē pušu līdztiesību procesā,</w:t>
      </w:r>
      <w:r w:rsidR="00EE67C1" w:rsidRPr="00C51833">
        <w:t xml:space="preserve"> </w:t>
      </w:r>
      <w:r w:rsidR="007C6F43" w:rsidRPr="00C51833">
        <w:t xml:space="preserve">garantējot pusēm </w:t>
      </w:r>
      <w:r w:rsidR="007C6F43" w:rsidRPr="00C51833">
        <w:rPr>
          <w:shd w:val="clear" w:color="auto" w:fill="FFFFFF"/>
        </w:rPr>
        <w:t xml:space="preserve">vienlīdzīgas procesuālās tiesības. Kasācijas sūdzības argumenti nedod nekādu pamatu uzskatīt, ka abām pusēm nebūtu bijušas vienlīdzīgas iespējas iesniegt pierādījumus, sniegt paskaidrojumus vai īstenot kādas </w:t>
      </w:r>
      <w:proofErr w:type="gramStart"/>
      <w:r w:rsidR="007C6F43" w:rsidRPr="00C51833">
        <w:rPr>
          <w:shd w:val="clear" w:color="auto" w:fill="FFFFFF"/>
        </w:rPr>
        <w:t>cit</w:t>
      </w:r>
      <w:r w:rsidR="00165D2C" w:rsidRPr="00C51833">
        <w:rPr>
          <w:shd w:val="clear" w:color="auto" w:fill="FFFFFF"/>
        </w:rPr>
        <w:t>a</w:t>
      </w:r>
      <w:r w:rsidR="007C6F43" w:rsidRPr="00C51833">
        <w:rPr>
          <w:shd w:val="clear" w:color="auto" w:fill="FFFFFF"/>
        </w:rPr>
        <w:t xml:space="preserve">s </w:t>
      </w:r>
      <w:r w:rsidRPr="00C51833">
        <w:rPr>
          <w:shd w:val="clear" w:color="auto" w:fill="FFFFFF"/>
        </w:rPr>
        <w:t xml:space="preserve">procesuālās </w:t>
      </w:r>
      <w:r w:rsidR="007C6F43" w:rsidRPr="00C51833">
        <w:rPr>
          <w:shd w:val="clear" w:color="auto" w:fill="FFFFFF"/>
        </w:rPr>
        <w:t>tiesības</w:t>
      </w:r>
      <w:proofErr w:type="gramEnd"/>
      <w:r w:rsidR="007C6F43" w:rsidRPr="00C51833">
        <w:rPr>
          <w:shd w:val="clear" w:color="auto" w:fill="FFFFFF"/>
        </w:rPr>
        <w:t xml:space="preserve">. </w:t>
      </w:r>
      <w:r w:rsidR="000823F0" w:rsidRPr="00C51833">
        <w:t xml:space="preserve"> </w:t>
      </w:r>
    </w:p>
    <w:p w14:paraId="64ADB847" w14:textId="77777777" w:rsidR="00241AEC" w:rsidRPr="00C51833" w:rsidRDefault="00241AEC" w:rsidP="00C51833">
      <w:pPr>
        <w:shd w:val="clear" w:color="auto" w:fill="FFFFFF"/>
        <w:spacing w:line="276" w:lineRule="auto"/>
        <w:ind w:firstLine="709"/>
        <w:jc w:val="both"/>
      </w:pPr>
    </w:p>
    <w:p w14:paraId="413E3C6C" w14:textId="54FF1B8E" w:rsidR="002668F2" w:rsidRPr="00C51833" w:rsidRDefault="00C33174" w:rsidP="00C51833">
      <w:pPr>
        <w:shd w:val="clear" w:color="auto" w:fill="FFFFFF"/>
        <w:spacing w:line="276" w:lineRule="auto"/>
        <w:ind w:firstLine="709"/>
        <w:jc w:val="both"/>
      </w:pPr>
      <w:r w:rsidRPr="00C51833">
        <w:t>[1</w:t>
      </w:r>
      <w:r w:rsidR="00EE67C1" w:rsidRPr="00C51833">
        <w:t>4</w:t>
      </w:r>
      <w:r w:rsidRPr="00C51833">
        <w:t xml:space="preserve">] </w:t>
      </w:r>
      <w:r w:rsidR="00D66A67" w:rsidRPr="00C51833">
        <w:t>Ņemot vērā minēto, apgabaltiesa pamatoti atzinusi noilguma iestāšanos, kas ir patstāvīgs pamats prasības noraidīšanai. Tādēļ apgabaltiesas spriedums atstājams negrozīts</w:t>
      </w:r>
      <w:r w:rsidR="002668F2" w:rsidRPr="00C51833">
        <w:rPr>
          <w:i/>
        </w:rPr>
        <w:t>.</w:t>
      </w:r>
    </w:p>
    <w:p w14:paraId="00668DF4" w14:textId="77777777" w:rsidR="004F29AF" w:rsidRPr="00C51833" w:rsidRDefault="004F29AF" w:rsidP="00C51833">
      <w:pPr>
        <w:shd w:val="clear" w:color="auto" w:fill="FFFFFF"/>
        <w:spacing w:line="276" w:lineRule="auto"/>
        <w:ind w:firstLine="709"/>
        <w:jc w:val="both"/>
        <w:rPr>
          <w:iCs/>
        </w:rPr>
      </w:pPr>
    </w:p>
    <w:p w14:paraId="3F3F19A4" w14:textId="36705681" w:rsidR="00746ABE" w:rsidRPr="00C51833" w:rsidRDefault="00BF43AD" w:rsidP="00C51833">
      <w:pPr>
        <w:shd w:val="clear" w:color="auto" w:fill="FFFFFF"/>
        <w:spacing w:line="276" w:lineRule="auto"/>
        <w:jc w:val="center"/>
        <w:rPr>
          <w:b/>
        </w:rPr>
      </w:pPr>
      <w:r w:rsidRPr="00C51833">
        <w:rPr>
          <w:b/>
        </w:rPr>
        <w:t>Rezolutīvā daļa</w:t>
      </w:r>
    </w:p>
    <w:p w14:paraId="0EB36E0E" w14:textId="77777777" w:rsidR="005A4BBA" w:rsidRPr="00C51833" w:rsidRDefault="005A4BBA" w:rsidP="00C51833">
      <w:pPr>
        <w:shd w:val="clear" w:color="auto" w:fill="FFFFFF"/>
        <w:spacing w:line="276" w:lineRule="auto"/>
        <w:jc w:val="center"/>
        <w:rPr>
          <w:b/>
        </w:rPr>
      </w:pPr>
    </w:p>
    <w:p w14:paraId="72C76D6F" w14:textId="09427AA4" w:rsidR="00746ABE" w:rsidRPr="00C51833" w:rsidRDefault="00927262" w:rsidP="00C51833">
      <w:pPr>
        <w:spacing w:line="276" w:lineRule="auto"/>
        <w:ind w:firstLine="709"/>
        <w:jc w:val="both"/>
      </w:pPr>
      <w:r w:rsidRPr="00C51833">
        <w:t>Ņemot vērā minēto un</w:t>
      </w:r>
      <w:proofErr w:type="gramStart"/>
      <w:r w:rsidRPr="00C51833">
        <w:t xml:space="preserve"> p</w:t>
      </w:r>
      <w:r w:rsidR="00BF43AD" w:rsidRPr="00C51833">
        <w:t>amatojoties uz Civilprocesa likuma 474.</w:t>
      </w:r>
      <w:r w:rsidR="00CF7377">
        <w:t> </w:t>
      </w:r>
      <w:r w:rsidR="00BF43AD" w:rsidRPr="00C51833">
        <w:t xml:space="preserve">panta </w:t>
      </w:r>
      <w:r w:rsidR="00D66A67" w:rsidRPr="00C51833">
        <w:t>1</w:t>
      </w:r>
      <w:r w:rsidR="00BF43AD" w:rsidRPr="00C51833">
        <w:t>.</w:t>
      </w:r>
      <w:r w:rsidR="00CF7377">
        <w:t> </w:t>
      </w:r>
      <w:r w:rsidR="00BF43AD" w:rsidRPr="00C51833">
        <w:t>punktu un 475.</w:t>
      </w:r>
      <w:r w:rsidR="00CF7377">
        <w:t> </w:t>
      </w:r>
      <w:r w:rsidR="00BF43AD" w:rsidRPr="00C51833">
        <w:t>pantu</w:t>
      </w:r>
      <w:proofErr w:type="gramEnd"/>
      <w:r w:rsidR="00BF43AD" w:rsidRPr="00C51833">
        <w:t>, Senāts</w:t>
      </w:r>
    </w:p>
    <w:p w14:paraId="13C64389" w14:textId="77777777" w:rsidR="005A4BBA" w:rsidRPr="00C51833" w:rsidRDefault="005A4BBA" w:rsidP="00C51833">
      <w:pPr>
        <w:spacing w:line="276" w:lineRule="auto"/>
        <w:ind w:firstLine="709"/>
        <w:jc w:val="both"/>
      </w:pPr>
    </w:p>
    <w:p w14:paraId="67BE38C1" w14:textId="481D586F" w:rsidR="00746ABE" w:rsidRPr="00C51833" w:rsidRDefault="005A4BBA" w:rsidP="00C51833">
      <w:pPr>
        <w:spacing w:line="276" w:lineRule="auto"/>
        <w:jc w:val="center"/>
        <w:rPr>
          <w:b/>
        </w:rPr>
      </w:pPr>
      <w:r w:rsidRPr="00C51833">
        <w:rPr>
          <w:b/>
        </w:rPr>
        <w:t>n</w:t>
      </w:r>
      <w:r w:rsidR="00BF43AD" w:rsidRPr="00C51833">
        <w:rPr>
          <w:b/>
        </w:rPr>
        <w:t>osprieda</w:t>
      </w:r>
    </w:p>
    <w:p w14:paraId="39D51631" w14:textId="77777777" w:rsidR="005A4BBA" w:rsidRPr="00C51833" w:rsidRDefault="005A4BBA" w:rsidP="00C51833">
      <w:pPr>
        <w:spacing w:line="276" w:lineRule="auto"/>
        <w:jc w:val="center"/>
        <w:rPr>
          <w:b/>
        </w:rPr>
      </w:pPr>
    </w:p>
    <w:p w14:paraId="079420A7" w14:textId="612ACB74" w:rsidR="004037EA" w:rsidRPr="00C51833" w:rsidRDefault="004037EA" w:rsidP="00C51833">
      <w:pPr>
        <w:shd w:val="clear" w:color="auto" w:fill="FFFFFF"/>
        <w:spacing w:line="276" w:lineRule="auto"/>
        <w:ind w:firstLine="709"/>
        <w:jc w:val="both"/>
      </w:pPr>
      <w:r w:rsidRPr="00C51833">
        <w:t>at</w:t>
      </w:r>
      <w:r w:rsidR="00D66A67" w:rsidRPr="00C51833">
        <w:t xml:space="preserve">stāt negrozītu </w:t>
      </w:r>
      <w:r w:rsidR="00191F95" w:rsidRPr="00C51833">
        <w:t>Kurzeme</w:t>
      </w:r>
      <w:r w:rsidR="002668F2" w:rsidRPr="00C51833">
        <w:t>s</w:t>
      </w:r>
      <w:r w:rsidR="00AE4D0B" w:rsidRPr="00C51833">
        <w:t xml:space="preserve"> apgabaltiesas </w:t>
      </w:r>
      <w:r w:rsidR="00ED6A5B" w:rsidRPr="00C51833">
        <w:t>202</w:t>
      </w:r>
      <w:r w:rsidR="00191F95" w:rsidRPr="00C51833">
        <w:t>1</w:t>
      </w:r>
      <w:r w:rsidR="00AE4D0B" w:rsidRPr="00C51833">
        <w:t>.</w:t>
      </w:r>
      <w:r w:rsidR="00CF7377">
        <w:t> </w:t>
      </w:r>
      <w:r w:rsidR="00AE4D0B" w:rsidRPr="00C51833">
        <w:t xml:space="preserve">gada </w:t>
      </w:r>
      <w:r w:rsidR="00191F95" w:rsidRPr="00C51833">
        <w:t>29.</w:t>
      </w:r>
      <w:r w:rsidR="00CF7377">
        <w:t> </w:t>
      </w:r>
      <w:r w:rsidR="00191F95" w:rsidRPr="00C51833">
        <w:t>novembra</w:t>
      </w:r>
      <w:r w:rsidR="00AE4D0B" w:rsidRPr="00C51833">
        <w:t xml:space="preserve"> spriedumu</w:t>
      </w:r>
      <w:r w:rsidR="00D66A67" w:rsidRPr="00C51833">
        <w:t>, bet SIA „</w:t>
      </w:r>
      <w:proofErr w:type="spellStart"/>
      <w:r w:rsidR="00D66A67" w:rsidRPr="00C51833">
        <w:t>GelvoraSergel</w:t>
      </w:r>
      <w:proofErr w:type="spellEnd"/>
      <w:r w:rsidR="00D66A67" w:rsidRPr="00C51833">
        <w:t>” kasācijas sūdzību noraidīt.</w:t>
      </w:r>
    </w:p>
    <w:p w14:paraId="6820A9C2" w14:textId="77777777" w:rsidR="00E47871" w:rsidRPr="00C51833" w:rsidRDefault="00E47871" w:rsidP="00C51833">
      <w:pPr>
        <w:shd w:val="clear" w:color="auto" w:fill="FFFFFF"/>
        <w:spacing w:line="276" w:lineRule="auto"/>
        <w:ind w:firstLine="709"/>
        <w:jc w:val="both"/>
      </w:pPr>
    </w:p>
    <w:p w14:paraId="42301984" w14:textId="2024E00C" w:rsidR="00746ABE" w:rsidRPr="00C51833" w:rsidRDefault="00BF43AD" w:rsidP="00C51833">
      <w:pPr>
        <w:spacing w:line="276" w:lineRule="auto"/>
        <w:ind w:firstLine="709"/>
        <w:jc w:val="both"/>
      </w:pPr>
      <w:r w:rsidRPr="00C51833">
        <w:t>Spriedums nav pārsūdzams.</w:t>
      </w:r>
    </w:p>
    <w:sectPr w:rsidR="00746ABE" w:rsidRPr="00C51833" w:rsidSect="00976191">
      <w:headerReference w:type="even" r:id="rId13"/>
      <w:footerReference w:type="even" r:id="rId14"/>
      <w:footerReference w:type="default" r:id="rId15"/>
      <w:pgSz w:w="11906" w:h="16838"/>
      <w:pgMar w:top="1134" w:right="1701"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DC49" w14:textId="77777777" w:rsidR="001A0812" w:rsidRDefault="001A0812">
      <w:r>
        <w:separator/>
      </w:r>
    </w:p>
  </w:endnote>
  <w:endnote w:type="continuationSeparator" w:id="0">
    <w:p w14:paraId="4354E9B8" w14:textId="77777777" w:rsidR="001A0812" w:rsidRDefault="001A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572F" w14:textId="77777777" w:rsidR="00CE17F6" w:rsidRDefault="00CE17F6">
    <w:pPr>
      <w:pBdr>
        <w:top w:val="nil"/>
        <w:left w:val="nil"/>
        <w:bottom w:val="nil"/>
        <w:right w:val="nil"/>
        <w:between w:val="nil"/>
      </w:pBdr>
      <w:tabs>
        <w:tab w:val="center" w:pos="4153"/>
        <w:tab w:val="right" w:pos="8306"/>
      </w:tabs>
      <w:rPr>
        <w:color w:val="000000"/>
      </w:rPr>
    </w:pPr>
  </w:p>
  <w:p w14:paraId="0BA49340" w14:textId="77777777" w:rsidR="00CE17F6" w:rsidRDefault="00CE17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70107"/>
      <w:docPartObj>
        <w:docPartGallery w:val="Page Numbers (Bottom of Page)"/>
        <w:docPartUnique/>
      </w:docPartObj>
    </w:sdtPr>
    <w:sdtEndPr/>
    <w:sdtContent>
      <w:sdt>
        <w:sdtPr>
          <w:id w:val="1728636285"/>
          <w:docPartObj>
            <w:docPartGallery w:val="Page Numbers (Top of Page)"/>
            <w:docPartUnique/>
          </w:docPartObj>
        </w:sdtPr>
        <w:sdtEndPr/>
        <w:sdtContent>
          <w:p w14:paraId="423765D0" w14:textId="17D25F0F" w:rsidR="00CE17F6" w:rsidRDefault="00CE17F6">
            <w:pPr>
              <w:pStyle w:val="Footer"/>
              <w:jc w:val="center"/>
            </w:pPr>
            <w:r w:rsidRPr="006E59F0">
              <w:rPr>
                <w:bCs/>
                <w:sz w:val="20"/>
                <w:szCs w:val="20"/>
              </w:rPr>
              <w:fldChar w:fldCharType="begin"/>
            </w:r>
            <w:r w:rsidRPr="006E59F0">
              <w:rPr>
                <w:bCs/>
                <w:sz w:val="20"/>
                <w:szCs w:val="20"/>
              </w:rPr>
              <w:instrText xml:space="preserve"> PAGE </w:instrText>
            </w:r>
            <w:r w:rsidRPr="006E59F0">
              <w:rPr>
                <w:bCs/>
                <w:sz w:val="20"/>
                <w:szCs w:val="20"/>
              </w:rPr>
              <w:fldChar w:fldCharType="separate"/>
            </w:r>
            <w:r w:rsidR="00BD0C64" w:rsidRPr="006E59F0">
              <w:rPr>
                <w:bCs/>
                <w:noProof/>
                <w:sz w:val="20"/>
                <w:szCs w:val="20"/>
              </w:rPr>
              <w:t>10</w:t>
            </w:r>
            <w:r w:rsidRPr="006E59F0">
              <w:rPr>
                <w:bCs/>
                <w:sz w:val="20"/>
                <w:szCs w:val="20"/>
              </w:rPr>
              <w:fldChar w:fldCharType="end"/>
            </w:r>
            <w:r w:rsidRPr="006E59F0">
              <w:rPr>
                <w:sz w:val="20"/>
                <w:szCs w:val="20"/>
              </w:rPr>
              <w:t xml:space="preserve"> no </w:t>
            </w:r>
            <w:r w:rsidRPr="006E59F0">
              <w:rPr>
                <w:bCs/>
                <w:sz w:val="20"/>
                <w:szCs w:val="20"/>
              </w:rPr>
              <w:fldChar w:fldCharType="begin"/>
            </w:r>
            <w:r w:rsidRPr="006E59F0">
              <w:rPr>
                <w:bCs/>
                <w:sz w:val="20"/>
                <w:szCs w:val="20"/>
              </w:rPr>
              <w:instrText xml:space="preserve"> NUMPAGES  </w:instrText>
            </w:r>
            <w:r w:rsidRPr="006E59F0">
              <w:rPr>
                <w:bCs/>
                <w:sz w:val="20"/>
                <w:szCs w:val="20"/>
              </w:rPr>
              <w:fldChar w:fldCharType="separate"/>
            </w:r>
            <w:r w:rsidR="00BD0C64" w:rsidRPr="006E59F0">
              <w:rPr>
                <w:bCs/>
                <w:noProof/>
                <w:sz w:val="20"/>
                <w:szCs w:val="20"/>
              </w:rPr>
              <w:t>10</w:t>
            </w:r>
            <w:r w:rsidRPr="006E59F0">
              <w:rPr>
                <w:bCs/>
                <w:sz w:val="20"/>
                <w:szCs w:val="20"/>
              </w:rPr>
              <w:fldChar w:fldCharType="end"/>
            </w:r>
          </w:p>
        </w:sdtContent>
      </w:sdt>
    </w:sdtContent>
  </w:sdt>
  <w:p w14:paraId="6170EFF0" w14:textId="77777777" w:rsidR="00CE17F6" w:rsidRDefault="00CE17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D2EC" w14:textId="77777777" w:rsidR="001A0812" w:rsidRDefault="001A0812">
      <w:r>
        <w:separator/>
      </w:r>
    </w:p>
  </w:footnote>
  <w:footnote w:type="continuationSeparator" w:id="0">
    <w:p w14:paraId="5C79358E" w14:textId="77777777" w:rsidR="001A0812" w:rsidRDefault="001A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0081" w14:textId="77777777" w:rsidR="00CE17F6" w:rsidRDefault="00CE17F6">
    <w:pPr>
      <w:pBdr>
        <w:top w:val="nil"/>
        <w:left w:val="nil"/>
        <w:bottom w:val="nil"/>
        <w:right w:val="nil"/>
        <w:between w:val="nil"/>
      </w:pBdr>
      <w:tabs>
        <w:tab w:val="center" w:pos="4153"/>
        <w:tab w:val="right" w:pos="8306"/>
      </w:tabs>
      <w:rPr>
        <w:color w:val="000000"/>
      </w:rPr>
    </w:pPr>
  </w:p>
  <w:p w14:paraId="2B740D70" w14:textId="77777777" w:rsidR="00CE17F6" w:rsidRDefault="00CE1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9"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8"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2"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3"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8"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41572110">
    <w:abstractNumId w:val="20"/>
  </w:num>
  <w:num w:numId="2" w16cid:durableId="321080841">
    <w:abstractNumId w:val="27"/>
  </w:num>
  <w:num w:numId="3" w16cid:durableId="144974665">
    <w:abstractNumId w:val="3"/>
  </w:num>
  <w:num w:numId="4" w16cid:durableId="2091847437">
    <w:abstractNumId w:val="22"/>
  </w:num>
  <w:num w:numId="5" w16cid:durableId="637030451">
    <w:abstractNumId w:val="18"/>
  </w:num>
  <w:num w:numId="6" w16cid:durableId="1664430598">
    <w:abstractNumId w:val="0"/>
    <w:lvlOverride w:ilvl="0">
      <w:lvl w:ilvl="0">
        <w:numFmt w:val="bullet"/>
        <w:lvlText w:val="-"/>
        <w:legacy w:legacy="1" w:legacySpace="0" w:legacyIndent="129"/>
        <w:lvlJc w:val="left"/>
        <w:rPr>
          <w:rFonts w:ascii="Times New Roman" w:hAnsi="Times New Roman" w:hint="default"/>
        </w:rPr>
      </w:lvl>
    </w:lvlOverride>
  </w:num>
  <w:num w:numId="7" w16cid:durableId="1905293703">
    <w:abstractNumId w:val="21"/>
  </w:num>
  <w:num w:numId="8" w16cid:durableId="1915118481">
    <w:abstractNumId w:val="8"/>
  </w:num>
  <w:num w:numId="9" w16cid:durableId="1532261726">
    <w:abstractNumId w:val="7"/>
  </w:num>
  <w:num w:numId="10" w16cid:durableId="263149076">
    <w:abstractNumId w:val="19"/>
  </w:num>
  <w:num w:numId="11" w16cid:durableId="29916009">
    <w:abstractNumId w:val="16"/>
  </w:num>
  <w:num w:numId="12" w16cid:durableId="452602980">
    <w:abstractNumId w:val="28"/>
  </w:num>
  <w:num w:numId="13" w16cid:durableId="1218593202">
    <w:abstractNumId w:val="11"/>
  </w:num>
  <w:num w:numId="14" w16cid:durableId="1604462064">
    <w:abstractNumId w:val="17"/>
  </w:num>
  <w:num w:numId="15" w16cid:durableId="1760129369">
    <w:abstractNumId w:val="26"/>
  </w:num>
  <w:num w:numId="16" w16cid:durableId="1269658245">
    <w:abstractNumId w:val="23"/>
  </w:num>
  <w:num w:numId="17" w16cid:durableId="1035887851">
    <w:abstractNumId w:val="15"/>
  </w:num>
  <w:num w:numId="18" w16cid:durableId="1063916400">
    <w:abstractNumId w:val="10"/>
  </w:num>
  <w:num w:numId="19" w16cid:durableId="1696076749">
    <w:abstractNumId w:val="1"/>
  </w:num>
  <w:num w:numId="20" w16cid:durableId="1422333123">
    <w:abstractNumId w:val="24"/>
  </w:num>
  <w:num w:numId="21" w16cid:durableId="556431058">
    <w:abstractNumId w:val="9"/>
  </w:num>
  <w:num w:numId="22" w16cid:durableId="1218663341">
    <w:abstractNumId w:val="14"/>
  </w:num>
  <w:num w:numId="23" w16cid:durableId="1698461169">
    <w:abstractNumId w:val="12"/>
  </w:num>
  <w:num w:numId="24" w16cid:durableId="364143021">
    <w:abstractNumId w:val="13"/>
  </w:num>
  <w:num w:numId="25" w16cid:durableId="1766995804">
    <w:abstractNumId w:val="25"/>
  </w:num>
  <w:num w:numId="26" w16cid:durableId="268898460">
    <w:abstractNumId w:val="6"/>
  </w:num>
  <w:num w:numId="27" w16cid:durableId="271548383">
    <w:abstractNumId w:val="5"/>
  </w:num>
  <w:num w:numId="28" w16cid:durableId="2717878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0564727">
    <w:abstractNumId w:val="7"/>
  </w:num>
  <w:num w:numId="30" w16cid:durableId="1136726279">
    <w:abstractNumId w:val="2"/>
  </w:num>
  <w:num w:numId="31" w16cid:durableId="1845239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1FC3"/>
    <w:rsid w:val="000020EF"/>
    <w:rsid w:val="00002422"/>
    <w:rsid w:val="00003CAE"/>
    <w:rsid w:val="000132B5"/>
    <w:rsid w:val="00014037"/>
    <w:rsid w:val="00014958"/>
    <w:rsid w:val="00016CE7"/>
    <w:rsid w:val="000200CD"/>
    <w:rsid w:val="00021B6A"/>
    <w:rsid w:val="00021BB9"/>
    <w:rsid w:val="00022F9A"/>
    <w:rsid w:val="00023FBB"/>
    <w:rsid w:val="0002611C"/>
    <w:rsid w:val="00026BDA"/>
    <w:rsid w:val="00026C1E"/>
    <w:rsid w:val="00027E46"/>
    <w:rsid w:val="00030262"/>
    <w:rsid w:val="00031B87"/>
    <w:rsid w:val="000340E7"/>
    <w:rsid w:val="00035420"/>
    <w:rsid w:val="0003566C"/>
    <w:rsid w:val="00036068"/>
    <w:rsid w:val="0003649D"/>
    <w:rsid w:val="000411BC"/>
    <w:rsid w:val="000427B5"/>
    <w:rsid w:val="000447E6"/>
    <w:rsid w:val="00044FD4"/>
    <w:rsid w:val="0004617B"/>
    <w:rsid w:val="00051B0D"/>
    <w:rsid w:val="00051D56"/>
    <w:rsid w:val="00054C87"/>
    <w:rsid w:val="000565D1"/>
    <w:rsid w:val="00057DCD"/>
    <w:rsid w:val="00060EA8"/>
    <w:rsid w:val="00062128"/>
    <w:rsid w:val="000630B2"/>
    <w:rsid w:val="00064832"/>
    <w:rsid w:val="00065A7A"/>
    <w:rsid w:val="0006679E"/>
    <w:rsid w:val="00066B8C"/>
    <w:rsid w:val="000670F5"/>
    <w:rsid w:val="00067A9C"/>
    <w:rsid w:val="0007143D"/>
    <w:rsid w:val="0007460E"/>
    <w:rsid w:val="00074AA5"/>
    <w:rsid w:val="0007732F"/>
    <w:rsid w:val="00081AC0"/>
    <w:rsid w:val="00081B3B"/>
    <w:rsid w:val="000823F0"/>
    <w:rsid w:val="00084D42"/>
    <w:rsid w:val="00085A3F"/>
    <w:rsid w:val="00086A70"/>
    <w:rsid w:val="00087EFD"/>
    <w:rsid w:val="00092E4A"/>
    <w:rsid w:val="00092E9D"/>
    <w:rsid w:val="0009316E"/>
    <w:rsid w:val="000973BA"/>
    <w:rsid w:val="00097B02"/>
    <w:rsid w:val="000A208B"/>
    <w:rsid w:val="000A2EA1"/>
    <w:rsid w:val="000A397C"/>
    <w:rsid w:val="000A3E86"/>
    <w:rsid w:val="000A6979"/>
    <w:rsid w:val="000A6F33"/>
    <w:rsid w:val="000A7774"/>
    <w:rsid w:val="000A7FDF"/>
    <w:rsid w:val="000B0CF9"/>
    <w:rsid w:val="000B20DB"/>
    <w:rsid w:val="000B36D7"/>
    <w:rsid w:val="000B45AD"/>
    <w:rsid w:val="000B5867"/>
    <w:rsid w:val="000B60CD"/>
    <w:rsid w:val="000B65E1"/>
    <w:rsid w:val="000B6C34"/>
    <w:rsid w:val="000B7060"/>
    <w:rsid w:val="000B7FE5"/>
    <w:rsid w:val="000C0249"/>
    <w:rsid w:val="000C0700"/>
    <w:rsid w:val="000C0E18"/>
    <w:rsid w:val="000C0F25"/>
    <w:rsid w:val="000C3D7F"/>
    <w:rsid w:val="000C55E1"/>
    <w:rsid w:val="000C56A9"/>
    <w:rsid w:val="000C5858"/>
    <w:rsid w:val="000C58D4"/>
    <w:rsid w:val="000C5D03"/>
    <w:rsid w:val="000D04E5"/>
    <w:rsid w:val="000D20C3"/>
    <w:rsid w:val="000D21F6"/>
    <w:rsid w:val="000D2359"/>
    <w:rsid w:val="000D3B74"/>
    <w:rsid w:val="000D3E70"/>
    <w:rsid w:val="000D47A0"/>
    <w:rsid w:val="000D5609"/>
    <w:rsid w:val="000D5E1B"/>
    <w:rsid w:val="000D6460"/>
    <w:rsid w:val="000D6B28"/>
    <w:rsid w:val="000E25DA"/>
    <w:rsid w:val="000E43D5"/>
    <w:rsid w:val="000E51E1"/>
    <w:rsid w:val="000E6D24"/>
    <w:rsid w:val="000F08F9"/>
    <w:rsid w:val="000F0EA2"/>
    <w:rsid w:val="000F0F73"/>
    <w:rsid w:val="000F185F"/>
    <w:rsid w:val="000F1908"/>
    <w:rsid w:val="000F4C40"/>
    <w:rsid w:val="000F51E3"/>
    <w:rsid w:val="000F591D"/>
    <w:rsid w:val="000F76F6"/>
    <w:rsid w:val="00101A00"/>
    <w:rsid w:val="00101E2F"/>
    <w:rsid w:val="001023B1"/>
    <w:rsid w:val="0010483E"/>
    <w:rsid w:val="001074C8"/>
    <w:rsid w:val="001077C3"/>
    <w:rsid w:val="0011001F"/>
    <w:rsid w:val="00111635"/>
    <w:rsid w:val="00111F6F"/>
    <w:rsid w:val="001134DF"/>
    <w:rsid w:val="00113B7C"/>
    <w:rsid w:val="00115482"/>
    <w:rsid w:val="001168F1"/>
    <w:rsid w:val="00117390"/>
    <w:rsid w:val="00121529"/>
    <w:rsid w:val="00121CF3"/>
    <w:rsid w:val="00122486"/>
    <w:rsid w:val="001233F4"/>
    <w:rsid w:val="001243B0"/>
    <w:rsid w:val="00126461"/>
    <w:rsid w:val="0013115D"/>
    <w:rsid w:val="00134D5F"/>
    <w:rsid w:val="001355B3"/>
    <w:rsid w:val="00140F0D"/>
    <w:rsid w:val="00140F5F"/>
    <w:rsid w:val="00143226"/>
    <w:rsid w:val="001446E5"/>
    <w:rsid w:val="00146893"/>
    <w:rsid w:val="00146C7F"/>
    <w:rsid w:val="0015007D"/>
    <w:rsid w:val="001519EF"/>
    <w:rsid w:val="00151A5E"/>
    <w:rsid w:val="00154D15"/>
    <w:rsid w:val="0015528E"/>
    <w:rsid w:val="00155C2D"/>
    <w:rsid w:val="00156EB5"/>
    <w:rsid w:val="00157D47"/>
    <w:rsid w:val="001602A3"/>
    <w:rsid w:val="0016133E"/>
    <w:rsid w:val="00162254"/>
    <w:rsid w:val="00163A11"/>
    <w:rsid w:val="001650AE"/>
    <w:rsid w:val="00165D2C"/>
    <w:rsid w:val="00165ED2"/>
    <w:rsid w:val="00166B7A"/>
    <w:rsid w:val="0017075B"/>
    <w:rsid w:val="001711D4"/>
    <w:rsid w:val="00173FA1"/>
    <w:rsid w:val="00174475"/>
    <w:rsid w:val="0018208C"/>
    <w:rsid w:val="0018329C"/>
    <w:rsid w:val="001873A6"/>
    <w:rsid w:val="001874E4"/>
    <w:rsid w:val="00187C4C"/>
    <w:rsid w:val="00190BC9"/>
    <w:rsid w:val="00191762"/>
    <w:rsid w:val="00191F95"/>
    <w:rsid w:val="001937D2"/>
    <w:rsid w:val="001971D6"/>
    <w:rsid w:val="00197D43"/>
    <w:rsid w:val="00197EC8"/>
    <w:rsid w:val="001A0812"/>
    <w:rsid w:val="001A0940"/>
    <w:rsid w:val="001A1855"/>
    <w:rsid w:val="001A2712"/>
    <w:rsid w:val="001A3E58"/>
    <w:rsid w:val="001A4730"/>
    <w:rsid w:val="001A643A"/>
    <w:rsid w:val="001A68F0"/>
    <w:rsid w:val="001B0E6F"/>
    <w:rsid w:val="001B2D4F"/>
    <w:rsid w:val="001B3073"/>
    <w:rsid w:val="001B3B51"/>
    <w:rsid w:val="001B44D4"/>
    <w:rsid w:val="001B69A4"/>
    <w:rsid w:val="001C1966"/>
    <w:rsid w:val="001C2428"/>
    <w:rsid w:val="001C461B"/>
    <w:rsid w:val="001C4BF0"/>
    <w:rsid w:val="001C7DCD"/>
    <w:rsid w:val="001D5648"/>
    <w:rsid w:val="001D6050"/>
    <w:rsid w:val="001D62B0"/>
    <w:rsid w:val="001E19DA"/>
    <w:rsid w:val="001E6DA3"/>
    <w:rsid w:val="001E70FA"/>
    <w:rsid w:val="001E7210"/>
    <w:rsid w:val="001F1711"/>
    <w:rsid w:val="001F3304"/>
    <w:rsid w:val="001F35D4"/>
    <w:rsid w:val="001F4947"/>
    <w:rsid w:val="001F685B"/>
    <w:rsid w:val="001F717C"/>
    <w:rsid w:val="00200C30"/>
    <w:rsid w:val="00201D24"/>
    <w:rsid w:val="0020300D"/>
    <w:rsid w:val="002055C1"/>
    <w:rsid w:val="0020689F"/>
    <w:rsid w:val="00212123"/>
    <w:rsid w:val="002121A2"/>
    <w:rsid w:val="00212D69"/>
    <w:rsid w:val="00213874"/>
    <w:rsid w:val="00213A1D"/>
    <w:rsid w:val="002153AF"/>
    <w:rsid w:val="0021646F"/>
    <w:rsid w:val="00216B29"/>
    <w:rsid w:val="00220BB1"/>
    <w:rsid w:val="00222899"/>
    <w:rsid w:val="00227513"/>
    <w:rsid w:val="00230AB4"/>
    <w:rsid w:val="002316B3"/>
    <w:rsid w:val="00232395"/>
    <w:rsid w:val="00233E44"/>
    <w:rsid w:val="00234069"/>
    <w:rsid w:val="00234595"/>
    <w:rsid w:val="00235B98"/>
    <w:rsid w:val="00236814"/>
    <w:rsid w:val="002371DF"/>
    <w:rsid w:val="00237BE9"/>
    <w:rsid w:val="00241122"/>
    <w:rsid w:val="00241AEC"/>
    <w:rsid w:val="00241AF8"/>
    <w:rsid w:val="002428AB"/>
    <w:rsid w:val="00243188"/>
    <w:rsid w:val="002439B4"/>
    <w:rsid w:val="002440EA"/>
    <w:rsid w:val="002462F1"/>
    <w:rsid w:val="00246599"/>
    <w:rsid w:val="00247204"/>
    <w:rsid w:val="00250439"/>
    <w:rsid w:val="002506C3"/>
    <w:rsid w:val="0025087F"/>
    <w:rsid w:val="00251FAC"/>
    <w:rsid w:val="002523D6"/>
    <w:rsid w:val="002534EA"/>
    <w:rsid w:val="002548B1"/>
    <w:rsid w:val="00260E90"/>
    <w:rsid w:val="002627D6"/>
    <w:rsid w:val="00262940"/>
    <w:rsid w:val="00262F98"/>
    <w:rsid w:val="00265D21"/>
    <w:rsid w:val="002668F2"/>
    <w:rsid w:val="002673FD"/>
    <w:rsid w:val="0026747A"/>
    <w:rsid w:val="00267CF7"/>
    <w:rsid w:val="002710B1"/>
    <w:rsid w:val="002728EB"/>
    <w:rsid w:val="00273E0A"/>
    <w:rsid w:val="002744F5"/>
    <w:rsid w:val="002745B6"/>
    <w:rsid w:val="00274D9A"/>
    <w:rsid w:val="00280BB5"/>
    <w:rsid w:val="002816A4"/>
    <w:rsid w:val="00281D01"/>
    <w:rsid w:val="00281E70"/>
    <w:rsid w:val="00287071"/>
    <w:rsid w:val="00287499"/>
    <w:rsid w:val="00293886"/>
    <w:rsid w:val="00295A63"/>
    <w:rsid w:val="00295AC9"/>
    <w:rsid w:val="002A04F2"/>
    <w:rsid w:val="002A201E"/>
    <w:rsid w:val="002A283A"/>
    <w:rsid w:val="002A3877"/>
    <w:rsid w:val="002A62AE"/>
    <w:rsid w:val="002A7E24"/>
    <w:rsid w:val="002B0968"/>
    <w:rsid w:val="002B146F"/>
    <w:rsid w:val="002B46E4"/>
    <w:rsid w:val="002B48E2"/>
    <w:rsid w:val="002B4A9A"/>
    <w:rsid w:val="002B5492"/>
    <w:rsid w:val="002C0E2D"/>
    <w:rsid w:val="002C269B"/>
    <w:rsid w:val="002C7E49"/>
    <w:rsid w:val="002D1A39"/>
    <w:rsid w:val="002D4895"/>
    <w:rsid w:val="002D4FE1"/>
    <w:rsid w:val="002D67CD"/>
    <w:rsid w:val="002D6C1C"/>
    <w:rsid w:val="002D7C4F"/>
    <w:rsid w:val="002E178E"/>
    <w:rsid w:val="002E21FC"/>
    <w:rsid w:val="002E2F1D"/>
    <w:rsid w:val="002E410C"/>
    <w:rsid w:val="002E7262"/>
    <w:rsid w:val="002E7837"/>
    <w:rsid w:val="002F00DC"/>
    <w:rsid w:val="002F07D3"/>
    <w:rsid w:val="002F0E3F"/>
    <w:rsid w:val="002F43B8"/>
    <w:rsid w:val="002F4A7C"/>
    <w:rsid w:val="002F5CA9"/>
    <w:rsid w:val="002F5D90"/>
    <w:rsid w:val="002F6AD9"/>
    <w:rsid w:val="003014CD"/>
    <w:rsid w:val="00301CA9"/>
    <w:rsid w:val="00302672"/>
    <w:rsid w:val="00302B9F"/>
    <w:rsid w:val="003035B2"/>
    <w:rsid w:val="00303942"/>
    <w:rsid w:val="00303B08"/>
    <w:rsid w:val="00303EE9"/>
    <w:rsid w:val="0030429E"/>
    <w:rsid w:val="0030446D"/>
    <w:rsid w:val="003046B7"/>
    <w:rsid w:val="00305169"/>
    <w:rsid w:val="003066AE"/>
    <w:rsid w:val="00306979"/>
    <w:rsid w:val="00310C82"/>
    <w:rsid w:val="00313012"/>
    <w:rsid w:val="00313B74"/>
    <w:rsid w:val="003168BD"/>
    <w:rsid w:val="00317F79"/>
    <w:rsid w:val="00321746"/>
    <w:rsid w:val="00322B60"/>
    <w:rsid w:val="00322EBA"/>
    <w:rsid w:val="0032400D"/>
    <w:rsid w:val="003247EA"/>
    <w:rsid w:val="00330B6D"/>
    <w:rsid w:val="00331166"/>
    <w:rsid w:val="003339B0"/>
    <w:rsid w:val="00333C07"/>
    <w:rsid w:val="003358F7"/>
    <w:rsid w:val="00336394"/>
    <w:rsid w:val="003419DB"/>
    <w:rsid w:val="00341E9B"/>
    <w:rsid w:val="003430E0"/>
    <w:rsid w:val="003457E7"/>
    <w:rsid w:val="00346725"/>
    <w:rsid w:val="00350D8D"/>
    <w:rsid w:val="0035276F"/>
    <w:rsid w:val="003543E2"/>
    <w:rsid w:val="0035471F"/>
    <w:rsid w:val="003571DB"/>
    <w:rsid w:val="00357C31"/>
    <w:rsid w:val="00357D70"/>
    <w:rsid w:val="0036125C"/>
    <w:rsid w:val="00361420"/>
    <w:rsid w:val="00362AAD"/>
    <w:rsid w:val="0036366B"/>
    <w:rsid w:val="0036394F"/>
    <w:rsid w:val="00364972"/>
    <w:rsid w:val="00364EA5"/>
    <w:rsid w:val="00367902"/>
    <w:rsid w:val="003707A9"/>
    <w:rsid w:val="00372989"/>
    <w:rsid w:val="003754C1"/>
    <w:rsid w:val="003804C5"/>
    <w:rsid w:val="00380794"/>
    <w:rsid w:val="003814D8"/>
    <w:rsid w:val="00381A12"/>
    <w:rsid w:val="0038400B"/>
    <w:rsid w:val="00385088"/>
    <w:rsid w:val="00386831"/>
    <w:rsid w:val="00387B6F"/>
    <w:rsid w:val="003972E9"/>
    <w:rsid w:val="003A0B26"/>
    <w:rsid w:val="003A1D23"/>
    <w:rsid w:val="003A2938"/>
    <w:rsid w:val="003A4336"/>
    <w:rsid w:val="003A4D24"/>
    <w:rsid w:val="003A6152"/>
    <w:rsid w:val="003A6A34"/>
    <w:rsid w:val="003B05BC"/>
    <w:rsid w:val="003B1143"/>
    <w:rsid w:val="003B2D96"/>
    <w:rsid w:val="003B3D44"/>
    <w:rsid w:val="003B6BBD"/>
    <w:rsid w:val="003C1764"/>
    <w:rsid w:val="003C1D5B"/>
    <w:rsid w:val="003C2ECB"/>
    <w:rsid w:val="003C39DF"/>
    <w:rsid w:val="003C4949"/>
    <w:rsid w:val="003C553D"/>
    <w:rsid w:val="003D2048"/>
    <w:rsid w:val="003D2AE3"/>
    <w:rsid w:val="003D64CA"/>
    <w:rsid w:val="003D6B85"/>
    <w:rsid w:val="003D79D9"/>
    <w:rsid w:val="003E082F"/>
    <w:rsid w:val="003E29ED"/>
    <w:rsid w:val="003E6F68"/>
    <w:rsid w:val="003E7A85"/>
    <w:rsid w:val="003F1E15"/>
    <w:rsid w:val="003F1FC5"/>
    <w:rsid w:val="00402274"/>
    <w:rsid w:val="00403771"/>
    <w:rsid w:val="004037C4"/>
    <w:rsid w:val="004037EA"/>
    <w:rsid w:val="00403B47"/>
    <w:rsid w:val="00403EB8"/>
    <w:rsid w:val="00406652"/>
    <w:rsid w:val="00407C20"/>
    <w:rsid w:val="00410015"/>
    <w:rsid w:val="004105E5"/>
    <w:rsid w:val="00411541"/>
    <w:rsid w:val="00413495"/>
    <w:rsid w:val="0041364E"/>
    <w:rsid w:val="00420039"/>
    <w:rsid w:val="004243BF"/>
    <w:rsid w:val="0043073C"/>
    <w:rsid w:val="00431590"/>
    <w:rsid w:val="00434327"/>
    <w:rsid w:val="00434DB0"/>
    <w:rsid w:val="0043587A"/>
    <w:rsid w:val="00437295"/>
    <w:rsid w:val="00437CDA"/>
    <w:rsid w:val="00441B79"/>
    <w:rsid w:val="00445209"/>
    <w:rsid w:val="00445FE1"/>
    <w:rsid w:val="0044616D"/>
    <w:rsid w:val="00450B4D"/>
    <w:rsid w:val="00452212"/>
    <w:rsid w:val="004531E7"/>
    <w:rsid w:val="00456A9C"/>
    <w:rsid w:val="00461841"/>
    <w:rsid w:val="0046500D"/>
    <w:rsid w:val="00465E39"/>
    <w:rsid w:val="00467015"/>
    <w:rsid w:val="00470387"/>
    <w:rsid w:val="00471B76"/>
    <w:rsid w:val="00471CF2"/>
    <w:rsid w:val="00473442"/>
    <w:rsid w:val="0047466C"/>
    <w:rsid w:val="00477698"/>
    <w:rsid w:val="00480C84"/>
    <w:rsid w:val="00482273"/>
    <w:rsid w:val="004842B4"/>
    <w:rsid w:val="00484AC1"/>
    <w:rsid w:val="00486306"/>
    <w:rsid w:val="004863C3"/>
    <w:rsid w:val="00487BA5"/>
    <w:rsid w:val="004906F6"/>
    <w:rsid w:val="00491507"/>
    <w:rsid w:val="00492E57"/>
    <w:rsid w:val="0049357B"/>
    <w:rsid w:val="004939B7"/>
    <w:rsid w:val="00493EE1"/>
    <w:rsid w:val="00494295"/>
    <w:rsid w:val="004A06CD"/>
    <w:rsid w:val="004A1046"/>
    <w:rsid w:val="004A11FC"/>
    <w:rsid w:val="004A1837"/>
    <w:rsid w:val="004A1DA5"/>
    <w:rsid w:val="004A3E82"/>
    <w:rsid w:val="004A455C"/>
    <w:rsid w:val="004A5FC7"/>
    <w:rsid w:val="004A6D6A"/>
    <w:rsid w:val="004A7238"/>
    <w:rsid w:val="004B46DB"/>
    <w:rsid w:val="004B492D"/>
    <w:rsid w:val="004B4B00"/>
    <w:rsid w:val="004B55CA"/>
    <w:rsid w:val="004B70F5"/>
    <w:rsid w:val="004B7F52"/>
    <w:rsid w:val="004C127F"/>
    <w:rsid w:val="004C2965"/>
    <w:rsid w:val="004C29F4"/>
    <w:rsid w:val="004C499E"/>
    <w:rsid w:val="004C5092"/>
    <w:rsid w:val="004C7945"/>
    <w:rsid w:val="004D0155"/>
    <w:rsid w:val="004D3950"/>
    <w:rsid w:val="004E1A1D"/>
    <w:rsid w:val="004E1C3B"/>
    <w:rsid w:val="004E2817"/>
    <w:rsid w:val="004E403D"/>
    <w:rsid w:val="004E4911"/>
    <w:rsid w:val="004E52FC"/>
    <w:rsid w:val="004F0711"/>
    <w:rsid w:val="004F1370"/>
    <w:rsid w:val="004F29AF"/>
    <w:rsid w:val="004F2CB5"/>
    <w:rsid w:val="004F4229"/>
    <w:rsid w:val="004F65D4"/>
    <w:rsid w:val="00501397"/>
    <w:rsid w:val="00502C22"/>
    <w:rsid w:val="005048B7"/>
    <w:rsid w:val="0050709A"/>
    <w:rsid w:val="00507C95"/>
    <w:rsid w:val="00512222"/>
    <w:rsid w:val="00512344"/>
    <w:rsid w:val="00513F73"/>
    <w:rsid w:val="005153E2"/>
    <w:rsid w:val="0051592B"/>
    <w:rsid w:val="0051678F"/>
    <w:rsid w:val="00517D01"/>
    <w:rsid w:val="005205AB"/>
    <w:rsid w:val="00522FBD"/>
    <w:rsid w:val="0052315E"/>
    <w:rsid w:val="00527D29"/>
    <w:rsid w:val="005341EB"/>
    <w:rsid w:val="00535904"/>
    <w:rsid w:val="005373C2"/>
    <w:rsid w:val="00540B7C"/>
    <w:rsid w:val="00540BDD"/>
    <w:rsid w:val="005420B6"/>
    <w:rsid w:val="005430C4"/>
    <w:rsid w:val="005434AE"/>
    <w:rsid w:val="00544ACE"/>
    <w:rsid w:val="00544FC7"/>
    <w:rsid w:val="005472F7"/>
    <w:rsid w:val="005521DE"/>
    <w:rsid w:val="00553C73"/>
    <w:rsid w:val="00555A7A"/>
    <w:rsid w:val="00555D39"/>
    <w:rsid w:val="00556E11"/>
    <w:rsid w:val="00560321"/>
    <w:rsid w:val="0056111D"/>
    <w:rsid w:val="005625AC"/>
    <w:rsid w:val="00562613"/>
    <w:rsid w:val="00563290"/>
    <w:rsid w:val="00563737"/>
    <w:rsid w:val="00563F3D"/>
    <w:rsid w:val="00563F6D"/>
    <w:rsid w:val="00564C83"/>
    <w:rsid w:val="005655D3"/>
    <w:rsid w:val="0056678F"/>
    <w:rsid w:val="00566FD6"/>
    <w:rsid w:val="0056763C"/>
    <w:rsid w:val="00567F2F"/>
    <w:rsid w:val="005711D8"/>
    <w:rsid w:val="005723DC"/>
    <w:rsid w:val="00572587"/>
    <w:rsid w:val="00573160"/>
    <w:rsid w:val="005732D9"/>
    <w:rsid w:val="0057677E"/>
    <w:rsid w:val="00582A91"/>
    <w:rsid w:val="00583652"/>
    <w:rsid w:val="0058390C"/>
    <w:rsid w:val="00585A21"/>
    <w:rsid w:val="00585E0F"/>
    <w:rsid w:val="00586C53"/>
    <w:rsid w:val="00592C99"/>
    <w:rsid w:val="00593DAF"/>
    <w:rsid w:val="0059440D"/>
    <w:rsid w:val="005952D8"/>
    <w:rsid w:val="00595F58"/>
    <w:rsid w:val="00597394"/>
    <w:rsid w:val="005A30F3"/>
    <w:rsid w:val="005A4403"/>
    <w:rsid w:val="005A4BBA"/>
    <w:rsid w:val="005A61B1"/>
    <w:rsid w:val="005A621B"/>
    <w:rsid w:val="005A67F4"/>
    <w:rsid w:val="005A68E1"/>
    <w:rsid w:val="005A68F2"/>
    <w:rsid w:val="005B11F9"/>
    <w:rsid w:val="005B3175"/>
    <w:rsid w:val="005B37ED"/>
    <w:rsid w:val="005B413F"/>
    <w:rsid w:val="005B4B4A"/>
    <w:rsid w:val="005B4FE8"/>
    <w:rsid w:val="005B5B5F"/>
    <w:rsid w:val="005B6A8B"/>
    <w:rsid w:val="005B7F3C"/>
    <w:rsid w:val="005C0405"/>
    <w:rsid w:val="005C0E69"/>
    <w:rsid w:val="005C281A"/>
    <w:rsid w:val="005C4434"/>
    <w:rsid w:val="005C4541"/>
    <w:rsid w:val="005C5029"/>
    <w:rsid w:val="005C680B"/>
    <w:rsid w:val="005C688A"/>
    <w:rsid w:val="005D179B"/>
    <w:rsid w:val="005D25B0"/>
    <w:rsid w:val="005D26DB"/>
    <w:rsid w:val="005D2A91"/>
    <w:rsid w:val="005D4A16"/>
    <w:rsid w:val="005D7D5F"/>
    <w:rsid w:val="005E0195"/>
    <w:rsid w:val="005E176A"/>
    <w:rsid w:val="005E2DFF"/>
    <w:rsid w:val="005E2F2C"/>
    <w:rsid w:val="005E3135"/>
    <w:rsid w:val="005E47E0"/>
    <w:rsid w:val="005E6F54"/>
    <w:rsid w:val="005E7A58"/>
    <w:rsid w:val="005F33FE"/>
    <w:rsid w:val="005F6E7B"/>
    <w:rsid w:val="00603F68"/>
    <w:rsid w:val="00604E57"/>
    <w:rsid w:val="00605F9E"/>
    <w:rsid w:val="00606AC3"/>
    <w:rsid w:val="00607776"/>
    <w:rsid w:val="00611615"/>
    <w:rsid w:val="00611E89"/>
    <w:rsid w:val="00613472"/>
    <w:rsid w:val="00613E35"/>
    <w:rsid w:val="00613ED6"/>
    <w:rsid w:val="00614BD6"/>
    <w:rsid w:val="006168F0"/>
    <w:rsid w:val="00621BAB"/>
    <w:rsid w:val="00622259"/>
    <w:rsid w:val="00622B95"/>
    <w:rsid w:val="006233A6"/>
    <w:rsid w:val="0062376D"/>
    <w:rsid w:val="00625251"/>
    <w:rsid w:val="00625B26"/>
    <w:rsid w:val="0062624B"/>
    <w:rsid w:val="00626315"/>
    <w:rsid w:val="006278BA"/>
    <w:rsid w:val="00627B7D"/>
    <w:rsid w:val="00633D71"/>
    <w:rsid w:val="0063442D"/>
    <w:rsid w:val="00636A24"/>
    <w:rsid w:val="00637530"/>
    <w:rsid w:val="006407BE"/>
    <w:rsid w:val="0064095C"/>
    <w:rsid w:val="00640BEE"/>
    <w:rsid w:val="00641A2D"/>
    <w:rsid w:val="00644394"/>
    <w:rsid w:val="00644D3F"/>
    <w:rsid w:val="00645B80"/>
    <w:rsid w:val="006464E8"/>
    <w:rsid w:val="0064728D"/>
    <w:rsid w:val="006500D7"/>
    <w:rsid w:val="00651002"/>
    <w:rsid w:val="00651958"/>
    <w:rsid w:val="0065297F"/>
    <w:rsid w:val="006534E4"/>
    <w:rsid w:val="00654A06"/>
    <w:rsid w:val="00654C3A"/>
    <w:rsid w:val="006562AB"/>
    <w:rsid w:val="006611B2"/>
    <w:rsid w:val="00661250"/>
    <w:rsid w:val="00661A4C"/>
    <w:rsid w:val="00661E17"/>
    <w:rsid w:val="0066350E"/>
    <w:rsid w:val="00664CA5"/>
    <w:rsid w:val="00664FD4"/>
    <w:rsid w:val="00666C95"/>
    <w:rsid w:val="00667AAF"/>
    <w:rsid w:val="006722CD"/>
    <w:rsid w:val="006731CA"/>
    <w:rsid w:val="00673E7D"/>
    <w:rsid w:val="00674F4C"/>
    <w:rsid w:val="0067515B"/>
    <w:rsid w:val="006754CA"/>
    <w:rsid w:val="006756FA"/>
    <w:rsid w:val="00682A67"/>
    <w:rsid w:val="00684386"/>
    <w:rsid w:val="00684D2A"/>
    <w:rsid w:val="00686355"/>
    <w:rsid w:val="00686A64"/>
    <w:rsid w:val="00687EB5"/>
    <w:rsid w:val="006906AE"/>
    <w:rsid w:val="00691847"/>
    <w:rsid w:val="006923F9"/>
    <w:rsid w:val="00692F89"/>
    <w:rsid w:val="006953E9"/>
    <w:rsid w:val="00696AF1"/>
    <w:rsid w:val="006A0AE1"/>
    <w:rsid w:val="006A0C37"/>
    <w:rsid w:val="006A1CEB"/>
    <w:rsid w:val="006A2A8D"/>
    <w:rsid w:val="006A39F4"/>
    <w:rsid w:val="006A77E1"/>
    <w:rsid w:val="006A7C11"/>
    <w:rsid w:val="006B216D"/>
    <w:rsid w:val="006B238C"/>
    <w:rsid w:val="006B2C00"/>
    <w:rsid w:val="006B3ECC"/>
    <w:rsid w:val="006B6C8B"/>
    <w:rsid w:val="006B7F5C"/>
    <w:rsid w:val="006C227E"/>
    <w:rsid w:val="006C3370"/>
    <w:rsid w:val="006C4A84"/>
    <w:rsid w:val="006C61B6"/>
    <w:rsid w:val="006D04AE"/>
    <w:rsid w:val="006D08A3"/>
    <w:rsid w:val="006D1883"/>
    <w:rsid w:val="006D5075"/>
    <w:rsid w:val="006D6308"/>
    <w:rsid w:val="006E0235"/>
    <w:rsid w:val="006E164B"/>
    <w:rsid w:val="006E35B0"/>
    <w:rsid w:val="006E59F0"/>
    <w:rsid w:val="006E6354"/>
    <w:rsid w:val="006F0BB1"/>
    <w:rsid w:val="006F1235"/>
    <w:rsid w:val="006F1A0A"/>
    <w:rsid w:val="006F2DB7"/>
    <w:rsid w:val="006F36AD"/>
    <w:rsid w:val="006F482A"/>
    <w:rsid w:val="006F4E43"/>
    <w:rsid w:val="007004A8"/>
    <w:rsid w:val="0070077F"/>
    <w:rsid w:val="0070143F"/>
    <w:rsid w:val="00701820"/>
    <w:rsid w:val="007018C8"/>
    <w:rsid w:val="00702276"/>
    <w:rsid w:val="0070290A"/>
    <w:rsid w:val="007074FC"/>
    <w:rsid w:val="00707647"/>
    <w:rsid w:val="00710523"/>
    <w:rsid w:val="00710B39"/>
    <w:rsid w:val="00710F10"/>
    <w:rsid w:val="0071199D"/>
    <w:rsid w:val="00711E61"/>
    <w:rsid w:val="00712D0F"/>
    <w:rsid w:val="00714878"/>
    <w:rsid w:val="00722B63"/>
    <w:rsid w:val="007236BA"/>
    <w:rsid w:val="007237D5"/>
    <w:rsid w:val="007246F6"/>
    <w:rsid w:val="00724B80"/>
    <w:rsid w:val="0072659A"/>
    <w:rsid w:val="007302DB"/>
    <w:rsid w:val="00730AF3"/>
    <w:rsid w:val="00731D93"/>
    <w:rsid w:val="007323F7"/>
    <w:rsid w:val="00732FE5"/>
    <w:rsid w:val="00734C5B"/>
    <w:rsid w:val="0073701D"/>
    <w:rsid w:val="007415BA"/>
    <w:rsid w:val="00741AC2"/>
    <w:rsid w:val="00741FFA"/>
    <w:rsid w:val="0074272A"/>
    <w:rsid w:val="00742F8D"/>
    <w:rsid w:val="00743CA3"/>
    <w:rsid w:val="00744101"/>
    <w:rsid w:val="00746120"/>
    <w:rsid w:val="007465EF"/>
    <w:rsid w:val="00746738"/>
    <w:rsid w:val="00746ABE"/>
    <w:rsid w:val="00747AE7"/>
    <w:rsid w:val="00747DC9"/>
    <w:rsid w:val="00750E1F"/>
    <w:rsid w:val="0075123C"/>
    <w:rsid w:val="007517D2"/>
    <w:rsid w:val="007551FB"/>
    <w:rsid w:val="00756262"/>
    <w:rsid w:val="00757A6B"/>
    <w:rsid w:val="007605C0"/>
    <w:rsid w:val="00760FE4"/>
    <w:rsid w:val="00761206"/>
    <w:rsid w:val="007612CE"/>
    <w:rsid w:val="0076386B"/>
    <w:rsid w:val="007644A7"/>
    <w:rsid w:val="00764F82"/>
    <w:rsid w:val="007653D6"/>
    <w:rsid w:val="00765A79"/>
    <w:rsid w:val="00765C8F"/>
    <w:rsid w:val="00765F49"/>
    <w:rsid w:val="00772A26"/>
    <w:rsid w:val="0077665E"/>
    <w:rsid w:val="00780A1E"/>
    <w:rsid w:val="00784EE6"/>
    <w:rsid w:val="00785401"/>
    <w:rsid w:val="00785B36"/>
    <w:rsid w:val="00787B09"/>
    <w:rsid w:val="00787BE3"/>
    <w:rsid w:val="00796CEF"/>
    <w:rsid w:val="00796E68"/>
    <w:rsid w:val="00796F6C"/>
    <w:rsid w:val="007A0BAA"/>
    <w:rsid w:val="007A1C12"/>
    <w:rsid w:val="007A29D9"/>
    <w:rsid w:val="007A2F3F"/>
    <w:rsid w:val="007A33B5"/>
    <w:rsid w:val="007A4B0A"/>
    <w:rsid w:val="007A7BE7"/>
    <w:rsid w:val="007B175C"/>
    <w:rsid w:val="007B1BAC"/>
    <w:rsid w:val="007B5663"/>
    <w:rsid w:val="007B672F"/>
    <w:rsid w:val="007B7782"/>
    <w:rsid w:val="007B7A60"/>
    <w:rsid w:val="007B7DF4"/>
    <w:rsid w:val="007C062B"/>
    <w:rsid w:val="007C0990"/>
    <w:rsid w:val="007C210A"/>
    <w:rsid w:val="007C2854"/>
    <w:rsid w:val="007C3206"/>
    <w:rsid w:val="007C42D5"/>
    <w:rsid w:val="007C6F43"/>
    <w:rsid w:val="007D0677"/>
    <w:rsid w:val="007D07A4"/>
    <w:rsid w:val="007D15FB"/>
    <w:rsid w:val="007D1DD7"/>
    <w:rsid w:val="007D1EA1"/>
    <w:rsid w:val="007D5091"/>
    <w:rsid w:val="007D65A7"/>
    <w:rsid w:val="007D7CCE"/>
    <w:rsid w:val="007E3250"/>
    <w:rsid w:val="007E4D16"/>
    <w:rsid w:val="007E6D63"/>
    <w:rsid w:val="007F1573"/>
    <w:rsid w:val="007F30A8"/>
    <w:rsid w:val="007F47C9"/>
    <w:rsid w:val="007F4BC6"/>
    <w:rsid w:val="007F68FD"/>
    <w:rsid w:val="007F7109"/>
    <w:rsid w:val="00802422"/>
    <w:rsid w:val="00804DA3"/>
    <w:rsid w:val="00804E15"/>
    <w:rsid w:val="008057AC"/>
    <w:rsid w:val="00805A0A"/>
    <w:rsid w:val="008069B8"/>
    <w:rsid w:val="008075D1"/>
    <w:rsid w:val="00811E4D"/>
    <w:rsid w:val="008134BF"/>
    <w:rsid w:val="0081400B"/>
    <w:rsid w:val="008167EA"/>
    <w:rsid w:val="00816818"/>
    <w:rsid w:val="008171B6"/>
    <w:rsid w:val="00821241"/>
    <w:rsid w:val="00822409"/>
    <w:rsid w:val="00825DDA"/>
    <w:rsid w:val="00825F17"/>
    <w:rsid w:val="00826175"/>
    <w:rsid w:val="00831BB6"/>
    <w:rsid w:val="00832DD7"/>
    <w:rsid w:val="00835A72"/>
    <w:rsid w:val="00836526"/>
    <w:rsid w:val="00836761"/>
    <w:rsid w:val="0084066D"/>
    <w:rsid w:val="008407B3"/>
    <w:rsid w:val="00840AE3"/>
    <w:rsid w:val="008410B0"/>
    <w:rsid w:val="00844723"/>
    <w:rsid w:val="00844C87"/>
    <w:rsid w:val="00845025"/>
    <w:rsid w:val="008508CD"/>
    <w:rsid w:val="00850B82"/>
    <w:rsid w:val="00850C93"/>
    <w:rsid w:val="00850CF3"/>
    <w:rsid w:val="0085219D"/>
    <w:rsid w:val="00854468"/>
    <w:rsid w:val="00857C9B"/>
    <w:rsid w:val="00860925"/>
    <w:rsid w:val="008609F7"/>
    <w:rsid w:val="00860C87"/>
    <w:rsid w:val="00860E33"/>
    <w:rsid w:val="00861567"/>
    <w:rsid w:val="00862784"/>
    <w:rsid w:val="00862CF3"/>
    <w:rsid w:val="0086431D"/>
    <w:rsid w:val="008644D6"/>
    <w:rsid w:val="008676AA"/>
    <w:rsid w:val="00870FC4"/>
    <w:rsid w:val="00871845"/>
    <w:rsid w:val="00872683"/>
    <w:rsid w:val="0087356A"/>
    <w:rsid w:val="00880890"/>
    <w:rsid w:val="008819ED"/>
    <w:rsid w:val="00882724"/>
    <w:rsid w:val="0088394A"/>
    <w:rsid w:val="00883D5A"/>
    <w:rsid w:val="00883F7C"/>
    <w:rsid w:val="00886C77"/>
    <w:rsid w:val="00887233"/>
    <w:rsid w:val="00890E3E"/>
    <w:rsid w:val="008919AC"/>
    <w:rsid w:val="00892AC7"/>
    <w:rsid w:val="00893CC4"/>
    <w:rsid w:val="00893FC2"/>
    <w:rsid w:val="00894A35"/>
    <w:rsid w:val="00897077"/>
    <w:rsid w:val="00897943"/>
    <w:rsid w:val="00897A44"/>
    <w:rsid w:val="008A3C00"/>
    <w:rsid w:val="008A4D30"/>
    <w:rsid w:val="008A50D9"/>
    <w:rsid w:val="008A51E2"/>
    <w:rsid w:val="008A563A"/>
    <w:rsid w:val="008A73BE"/>
    <w:rsid w:val="008B009F"/>
    <w:rsid w:val="008B0301"/>
    <w:rsid w:val="008B1713"/>
    <w:rsid w:val="008B1D2A"/>
    <w:rsid w:val="008B2321"/>
    <w:rsid w:val="008B2698"/>
    <w:rsid w:val="008B30C2"/>
    <w:rsid w:val="008B5F3D"/>
    <w:rsid w:val="008B6212"/>
    <w:rsid w:val="008B71C0"/>
    <w:rsid w:val="008C12A1"/>
    <w:rsid w:val="008C1E44"/>
    <w:rsid w:val="008C1F11"/>
    <w:rsid w:val="008C487E"/>
    <w:rsid w:val="008C4BDF"/>
    <w:rsid w:val="008D7FC1"/>
    <w:rsid w:val="008E0059"/>
    <w:rsid w:val="008E26CD"/>
    <w:rsid w:val="008E40D5"/>
    <w:rsid w:val="008E6653"/>
    <w:rsid w:val="008E7C34"/>
    <w:rsid w:val="008F31B2"/>
    <w:rsid w:val="008F3401"/>
    <w:rsid w:val="008F3A56"/>
    <w:rsid w:val="008F415E"/>
    <w:rsid w:val="008F706D"/>
    <w:rsid w:val="00900281"/>
    <w:rsid w:val="0090059D"/>
    <w:rsid w:val="00901050"/>
    <w:rsid w:val="00904B42"/>
    <w:rsid w:val="00906BE4"/>
    <w:rsid w:val="00910460"/>
    <w:rsid w:val="00911BA4"/>
    <w:rsid w:val="0091280A"/>
    <w:rsid w:val="00913D6B"/>
    <w:rsid w:val="009159C0"/>
    <w:rsid w:val="00916723"/>
    <w:rsid w:val="00917B06"/>
    <w:rsid w:val="00917D75"/>
    <w:rsid w:val="00921291"/>
    <w:rsid w:val="00921D0C"/>
    <w:rsid w:val="00923431"/>
    <w:rsid w:val="00923969"/>
    <w:rsid w:val="0092408C"/>
    <w:rsid w:val="00926DDB"/>
    <w:rsid w:val="009270A7"/>
    <w:rsid w:val="00927262"/>
    <w:rsid w:val="00927EEF"/>
    <w:rsid w:val="00932281"/>
    <w:rsid w:val="00932BB7"/>
    <w:rsid w:val="00932C73"/>
    <w:rsid w:val="009352E2"/>
    <w:rsid w:val="00935332"/>
    <w:rsid w:val="00935A76"/>
    <w:rsid w:val="00936269"/>
    <w:rsid w:val="00937450"/>
    <w:rsid w:val="0094196B"/>
    <w:rsid w:val="00942CAE"/>
    <w:rsid w:val="009433EF"/>
    <w:rsid w:val="00943D5E"/>
    <w:rsid w:val="0094464E"/>
    <w:rsid w:val="00945109"/>
    <w:rsid w:val="0094594B"/>
    <w:rsid w:val="00945E53"/>
    <w:rsid w:val="009461C1"/>
    <w:rsid w:val="009467AF"/>
    <w:rsid w:val="00946F02"/>
    <w:rsid w:val="009473E1"/>
    <w:rsid w:val="00947BB7"/>
    <w:rsid w:val="0095067F"/>
    <w:rsid w:val="00951796"/>
    <w:rsid w:val="00951C0E"/>
    <w:rsid w:val="00952BA6"/>
    <w:rsid w:val="00953830"/>
    <w:rsid w:val="00953B21"/>
    <w:rsid w:val="0095409A"/>
    <w:rsid w:val="0095452F"/>
    <w:rsid w:val="00956164"/>
    <w:rsid w:val="009569BB"/>
    <w:rsid w:val="00961F36"/>
    <w:rsid w:val="009644BD"/>
    <w:rsid w:val="009646A8"/>
    <w:rsid w:val="00965AB1"/>
    <w:rsid w:val="00966EC8"/>
    <w:rsid w:val="00967A0C"/>
    <w:rsid w:val="00967BEC"/>
    <w:rsid w:val="009708DB"/>
    <w:rsid w:val="00970CA6"/>
    <w:rsid w:val="00970D61"/>
    <w:rsid w:val="00971D3F"/>
    <w:rsid w:val="00972DE7"/>
    <w:rsid w:val="009734C1"/>
    <w:rsid w:val="00973A94"/>
    <w:rsid w:val="00975ACF"/>
    <w:rsid w:val="00976191"/>
    <w:rsid w:val="00976949"/>
    <w:rsid w:val="0097790A"/>
    <w:rsid w:val="0098095C"/>
    <w:rsid w:val="00986485"/>
    <w:rsid w:val="00987992"/>
    <w:rsid w:val="00992E29"/>
    <w:rsid w:val="0099329F"/>
    <w:rsid w:val="00994931"/>
    <w:rsid w:val="00995A04"/>
    <w:rsid w:val="009963CA"/>
    <w:rsid w:val="00996412"/>
    <w:rsid w:val="00996895"/>
    <w:rsid w:val="00997196"/>
    <w:rsid w:val="00997F53"/>
    <w:rsid w:val="009A02A9"/>
    <w:rsid w:val="009A09C4"/>
    <w:rsid w:val="009A0F3A"/>
    <w:rsid w:val="009A164F"/>
    <w:rsid w:val="009A5821"/>
    <w:rsid w:val="009A683C"/>
    <w:rsid w:val="009A6AEA"/>
    <w:rsid w:val="009B0136"/>
    <w:rsid w:val="009B17CD"/>
    <w:rsid w:val="009B2445"/>
    <w:rsid w:val="009B28B8"/>
    <w:rsid w:val="009B2B9F"/>
    <w:rsid w:val="009B368C"/>
    <w:rsid w:val="009B6AC5"/>
    <w:rsid w:val="009B6EB6"/>
    <w:rsid w:val="009C19D3"/>
    <w:rsid w:val="009C36C6"/>
    <w:rsid w:val="009C4109"/>
    <w:rsid w:val="009D34F9"/>
    <w:rsid w:val="009D5A3B"/>
    <w:rsid w:val="009E020D"/>
    <w:rsid w:val="009E14A3"/>
    <w:rsid w:val="009E2C49"/>
    <w:rsid w:val="009E59F1"/>
    <w:rsid w:val="009F31F2"/>
    <w:rsid w:val="009F713A"/>
    <w:rsid w:val="00A0247D"/>
    <w:rsid w:val="00A028EE"/>
    <w:rsid w:val="00A02EA0"/>
    <w:rsid w:val="00A0348D"/>
    <w:rsid w:val="00A038A5"/>
    <w:rsid w:val="00A04EB2"/>
    <w:rsid w:val="00A06F48"/>
    <w:rsid w:val="00A11401"/>
    <w:rsid w:val="00A11596"/>
    <w:rsid w:val="00A12681"/>
    <w:rsid w:val="00A15B7E"/>
    <w:rsid w:val="00A216EA"/>
    <w:rsid w:val="00A23079"/>
    <w:rsid w:val="00A23E5E"/>
    <w:rsid w:val="00A24D77"/>
    <w:rsid w:val="00A265A8"/>
    <w:rsid w:val="00A27801"/>
    <w:rsid w:val="00A278A0"/>
    <w:rsid w:val="00A309FF"/>
    <w:rsid w:val="00A33D05"/>
    <w:rsid w:val="00A3404C"/>
    <w:rsid w:val="00A3409B"/>
    <w:rsid w:val="00A34E9C"/>
    <w:rsid w:val="00A35710"/>
    <w:rsid w:val="00A35C5E"/>
    <w:rsid w:val="00A3736C"/>
    <w:rsid w:val="00A37D70"/>
    <w:rsid w:val="00A42428"/>
    <w:rsid w:val="00A42B70"/>
    <w:rsid w:val="00A430C7"/>
    <w:rsid w:val="00A43D22"/>
    <w:rsid w:val="00A449EB"/>
    <w:rsid w:val="00A44C3F"/>
    <w:rsid w:val="00A4552E"/>
    <w:rsid w:val="00A459EB"/>
    <w:rsid w:val="00A47D4F"/>
    <w:rsid w:val="00A507C9"/>
    <w:rsid w:val="00A5148D"/>
    <w:rsid w:val="00A51AC0"/>
    <w:rsid w:val="00A52967"/>
    <w:rsid w:val="00A540C8"/>
    <w:rsid w:val="00A54200"/>
    <w:rsid w:val="00A543FF"/>
    <w:rsid w:val="00A5499A"/>
    <w:rsid w:val="00A54DB4"/>
    <w:rsid w:val="00A554DD"/>
    <w:rsid w:val="00A61166"/>
    <w:rsid w:val="00A626CD"/>
    <w:rsid w:val="00A62856"/>
    <w:rsid w:val="00A639A2"/>
    <w:rsid w:val="00A66773"/>
    <w:rsid w:val="00A6754B"/>
    <w:rsid w:val="00A67872"/>
    <w:rsid w:val="00A70E22"/>
    <w:rsid w:val="00A70F7C"/>
    <w:rsid w:val="00A73949"/>
    <w:rsid w:val="00A77B93"/>
    <w:rsid w:val="00A822F0"/>
    <w:rsid w:val="00A85BB8"/>
    <w:rsid w:val="00A90B98"/>
    <w:rsid w:val="00A90BD9"/>
    <w:rsid w:val="00A91ECB"/>
    <w:rsid w:val="00A9264B"/>
    <w:rsid w:val="00A94248"/>
    <w:rsid w:val="00A95998"/>
    <w:rsid w:val="00A96C7F"/>
    <w:rsid w:val="00A97D47"/>
    <w:rsid w:val="00AA0D2C"/>
    <w:rsid w:val="00AA1D6C"/>
    <w:rsid w:val="00AA4B60"/>
    <w:rsid w:val="00AA5F47"/>
    <w:rsid w:val="00AA605A"/>
    <w:rsid w:val="00AA69FC"/>
    <w:rsid w:val="00AB32DE"/>
    <w:rsid w:val="00AB4060"/>
    <w:rsid w:val="00AB49B5"/>
    <w:rsid w:val="00AB4D76"/>
    <w:rsid w:val="00AB587E"/>
    <w:rsid w:val="00AB793A"/>
    <w:rsid w:val="00AC0BBE"/>
    <w:rsid w:val="00AC4D66"/>
    <w:rsid w:val="00AC60C8"/>
    <w:rsid w:val="00AC6B6C"/>
    <w:rsid w:val="00AD14DD"/>
    <w:rsid w:val="00AD3721"/>
    <w:rsid w:val="00AD3A7A"/>
    <w:rsid w:val="00AD46CE"/>
    <w:rsid w:val="00AD5749"/>
    <w:rsid w:val="00AD6152"/>
    <w:rsid w:val="00AD6E28"/>
    <w:rsid w:val="00AD6F4C"/>
    <w:rsid w:val="00AE21EA"/>
    <w:rsid w:val="00AE2501"/>
    <w:rsid w:val="00AE4696"/>
    <w:rsid w:val="00AE4D0B"/>
    <w:rsid w:val="00AE6720"/>
    <w:rsid w:val="00AF076E"/>
    <w:rsid w:val="00AF20FF"/>
    <w:rsid w:val="00AF75EE"/>
    <w:rsid w:val="00B0239D"/>
    <w:rsid w:val="00B02FBD"/>
    <w:rsid w:val="00B03DA8"/>
    <w:rsid w:val="00B0402C"/>
    <w:rsid w:val="00B0710B"/>
    <w:rsid w:val="00B12240"/>
    <w:rsid w:val="00B16F9F"/>
    <w:rsid w:val="00B208B8"/>
    <w:rsid w:val="00B21667"/>
    <w:rsid w:val="00B25021"/>
    <w:rsid w:val="00B26C13"/>
    <w:rsid w:val="00B309FC"/>
    <w:rsid w:val="00B30BDD"/>
    <w:rsid w:val="00B30BEE"/>
    <w:rsid w:val="00B3143C"/>
    <w:rsid w:val="00B31803"/>
    <w:rsid w:val="00B31F55"/>
    <w:rsid w:val="00B326DB"/>
    <w:rsid w:val="00B32A96"/>
    <w:rsid w:val="00B33247"/>
    <w:rsid w:val="00B33CD7"/>
    <w:rsid w:val="00B344EE"/>
    <w:rsid w:val="00B356E0"/>
    <w:rsid w:val="00B3678E"/>
    <w:rsid w:val="00B36E2E"/>
    <w:rsid w:val="00B40C05"/>
    <w:rsid w:val="00B41FBB"/>
    <w:rsid w:val="00B42255"/>
    <w:rsid w:val="00B47E59"/>
    <w:rsid w:val="00B50402"/>
    <w:rsid w:val="00B504B6"/>
    <w:rsid w:val="00B50D4C"/>
    <w:rsid w:val="00B50E1C"/>
    <w:rsid w:val="00B51DFF"/>
    <w:rsid w:val="00B52881"/>
    <w:rsid w:val="00B5545C"/>
    <w:rsid w:val="00B57A99"/>
    <w:rsid w:val="00B60FC0"/>
    <w:rsid w:val="00B61763"/>
    <w:rsid w:val="00B61EBC"/>
    <w:rsid w:val="00B62072"/>
    <w:rsid w:val="00B6327B"/>
    <w:rsid w:val="00B642B1"/>
    <w:rsid w:val="00B677FA"/>
    <w:rsid w:val="00B7007D"/>
    <w:rsid w:val="00B71873"/>
    <w:rsid w:val="00B718D8"/>
    <w:rsid w:val="00B7278E"/>
    <w:rsid w:val="00B744A5"/>
    <w:rsid w:val="00B77677"/>
    <w:rsid w:val="00B81432"/>
    <w:rsid w:val="00B81FE4"/>
    <w:rsid w:val="00B822F4"/>
    <w:rsid w:val="00B823D8"/>
    <w:rsid w:val="00B83E8B"/>
    <w:rsid w:val="00B83F05"/>
    <w:rsid w:val="00B8550C"/>
    <w:rsid w:val="00B8559E"/>
    <w:rsid w:val="00B90221"/>
    <w:rsid w:val="00B903DB"/>
    <w:rsid w:val="00B9591E"/>
    <w:rsid w:val="00B96441"/>
    <w:rsid w:val="00B96DB3"/>
    <w:rsid w:val="00B97254"/>
    <w:rsid w:val="00BA24E4"/>
    <w:rsid w:val="00BA2CD4"/>
    <w:rsid w:val="00BA6426"/>
    <w:rsid w:val="00BA65CF"/>
    <w:rsid w:val="00BB31A5"/>
    <w:rsid w:val="00BB3B57"/>
    <w:rsid w:val="00BB6246"/>
    <w:rsid w:val="00BB62E9"/>
    <w:rsid w:val="00BB6743"/>
    <w:rsid w:val="00BB771E"/>
    <w:rsid w:val="00BC052B"/>
    <w:rsid w:val="00BC1A53"/>
    <w:rsid w:val="00BC294F"/>
    <w:rsid w:val="00BC2A16"/>
    <w:rsid w:val="00BC3A8D"/>
    <w:rsid w:val="00BC3FB2"/>
    <w:rsid w:val="00BD0C64"/>
    <w:rsid w:val="00BD0F8F"/>
    <w:rsid w:val="00BD1DED"/>
    <w:rsid w:val="00BD22E1"/>
    <w:rsid w:val="00BD35DF"/>
    <w:rsid w:val="00BD35E8"/>
    <w:rsid w:val="00BD3BBC"/>
    <w:rsid w:val="00BD5E7E"/>
    <w:rsid w:val="00BE012F"/>
    <w:rsid w:val="00BE3527"/>
    <w:rsid w:val="00BE6133"/>
    <w:rsid w:val="00BE7C20"/>
    <w:rsid w:val="00BF0A75"/>
    <w:rsid w:val="00BF1823"/>
    <w:rsid w:val="00BF209B"/>
    <w:rsid w:val="00BF2D82"/>
    <w:rsid w:val="00BF43AD"/>
    <w:rsid w:val="00BF44BA"/>
    <w:rsid w:val="00BF4E3A"/>
    <w:rsid w:val="00C03F01"/>
    <w:rsid w:val="00C0450F"/>
    <w:rsid w:val="00C0661E"/>
    <w:rsid w:val="00C07B6C"/>
    <w:rsid w:val="00C10901"/>
    <w:rsid w:val="00C11753"/>
    <w:rsid w:val="00C11F80"/>
    <w:rsid w:val="00C128B8"/>
    <w:rsid w:val="00C153CD"/>
    <w:rsid w:val="00C1628A"/>
    <w:rsid w:val="00C227BA"/>
    <w:rsid w:val="00C22C75"/>
    <w:rsid w:val="00C24008"/>
    <w:rsid w:val="00C241B7"/>
    <w:rsid w:val="00C2533D"/>
    <w:rsid w:val="00C2572D"/>
    <w:rsid w:val="00C257DB"/>
    <w:rsid w:val="00C25FC2"/>
    <w:rsid w:val="00C31566"/>
    <w:rsid w:val="00C31916"/>
    <w:rsid w:val="00C32061"/>
    <w:rsid w:val="00C32CD0"/>
    <w:rsid w:val="00C33174"/>
    <w:rsid w:val="00C35507"/>
    <w:rsid w:val="00C35B19"/>
    <w:rsid w:val="00C36044"/>
    <w:rsid w:val="00C37B02"/>
    <w:rsid w:val="00C42AF4"/>
    <w:rsid w:val="00C42CD2"/>
    <w:rsid w:val="00C42EA4"/>
    <w:rsid w:val="00C43722"/>
    <w:rsid w:val="00C47C76"/>
    <w:rsid w:val="00C47DED"/>
    <w:rsid w:val="00C51833"/>
    <w:rsid w:val="00C51B5F"/>
    <w:rsid w:val="00C53D8D"/>
    <w:rsid w:val="00C55A43"/>
    <w:rsid w:val="00C62113"/>
    <w:rsid w:val="00C623EF"/>
    <w:rsid w:val="00C6340F"/>
    <w:rsid w:val="00C64F12"/>
    <w:rsid w:val="00C65A81"/>
    <w:rsid w:val="00C66416"/>
    <w:rsid w:val="00C665FE"/>
    <w:rsid w:val="00C67D4C"/>
    <w:rsid w:val="00C7212E"/>
    <w:rsid w:val="00C72D34"/>
    <w:rsid w:val="00C72ED2"/>
    <w:rsid w:val="00C73E65"/>
    <w:rsid w:val="00C771D7"/>
    <w:rsid w:val="00C775DB"/>
    <w:rsid w:val="00C8244E"/>
    <w:rsid w:val="00C84A42"/>
    <w:rsid w:val="00C84BFF"/>
    <w:rsid w:val="00C8557B"/>
    <w:rsid w:val="00C86881"/>
    <w:rsid w:val="00C9261C"/>
    <w:rsid w:val="00C92903"/>
    <w:rsid w:val="00C94396"/>
    <w:rsid w:val="00C952E6"/>
    <w:rsid w:val="00C9636F"/>
    <w:rsid w:val="00CA0DEB"/>
    <w:rsid w:val="00CA0F02"/>
    <w:rsid w:val="00CA107E"/>
    <w:rsid w:val="00CA2FAD"/>
    <w:rsid w:val="00CA5C50"/>
    <w:rsid w:val="00CA7CAF"/>
    <w:rsid w:val="00CA7DC8"/>
    <w:rsid w:val="00CB1B45"/>
    <w:rsid w:val="00CB1FD9"/>
    <w:rsid w:val="00CB3FDB"/>
    <w:rsid w:val="00CB4A72"/>
    <w:rsid w:val="00CB694D"/>
    <w:rsid w:val="00CB7E22"/>
    <w:rsid w:val="00CC12AD"/>
    <w:rsid w:val="00CC2242"/>
    <w:rsid w:val="00CC2949"/>
    <w:rsid w:val="00CC38C7"/>
    <w:rsid w:val="00CD062B"/>
    <w:rsid w:val="00CD06E0"/>
    <w:rsid w:val="00CD0D29"/>
    <w:rsid w:val="00CD11CE"/>
    <w:rsid w:val="00CD17B6"/>
    <w:rsid w:val="00CD2A3C"/>
    <w:rsid w:val="00CD6EE2"/>
    <w:rsid w:val="00CE0285"/>
    <w:rsid w:val="00CE17F6"/>
    <w:rsid w:val="00CE1C51"/>
    <w:rsid w:val="00CE3621"/>
    <w:rsid w:val="00CE58E5"/>
    <w:rsid w:val="00CE5BB6"/>
    <w:rsid w:val="00CE6263"/>
    <w:rsid w:val="00CE62B5"/>
    <w:rsid w:val="00CE6CB2"/>
    <w:rsid w:val="00CE744C"/>
    <w:rsid w:val="00CF024B"/>
    <w:rsid w:val="00CF0FBC"/>
    <w:rsid w:val="00CF5F2D"/>
    <w:rsid w:val="00CF7377"/>
    <w:rsid w:val="00CF76D0"/>
    <w:rsid w:val="00D015E9"/>
    <w:rsid w:val="00D0398B"/>
    <w:rsid w:val="00D043B7"/>
    <w:rsid w:val="00D05728"/>
    <w:rsid w:val="00D0593E"/>
    <w:rsid w:val="00D068E3"/>
    <w:rsid w:val="00D078B7"/>
    <w:rsid w:val="00D07A65"/>
    <w:rsid w:val="00D07BDB"/>
    <w:rsid w:val="00D10DF3"/>
    <w:rsid w:val="00D15E89"/>
    <w:rsid w:val="00D172C5"/>
    <w:rsid w:val="00D1774C"/>
    <w:rsid w:val="00D200A6"/>
    <w:rsid w:val="00D21D79"/>
    <w:rsid w:val="00D2299B"/>
    <w:rsid w:val="00D232C7"/>
    <w:rsid w:val="00D251A2"/>
    <w:rsid w:val="00D26528"/>
    <w:rsid w:val="00D279CD"/>
    <w:rsid w:val="00D27B00"/>
    <w:rsid w:val="00D310DF"/>
    <w:rsid w:val="00D35CAC"/>
    <w:rsid w:val="00D365E0"/>
    <w:rsid w:val="00D406F7"/>
    <w:rsid w:val="00D41A68"/>
    <w:rsid w:val="00D42856"/>
    <w:rsid w:val="00D43DB0"/>
    <w:rsid w:val="00D44E28"/>
    <w:rsid w:val="00D473F4"/>
    <w:rsid w:val="00D47B68"/>
    <w:rsid w:val="00D50557"/>
    <w:rsid w:val="00D50BB7"/>
    <w:rsid w:val="00D50D1A"/>
    <w:rsid w:val="00D51A83"/>
    <w:rsid w:val="00D51EB1"/>
    <w:rsid w:val="00D52A2C"/>
    <w:rsid w:val="00D54ADA"/>
    <w:rsid w:val="00D5507C"/>
    <w:rsid w:val="00D57BA5"/>
    <w:rsid w:val="00D60DD6"/>
    <w:rsid w:val="00D62A1E"/>
    <w:rsid w:val="00D66A67"/>
    <w:rsid w:val="00D70B7A"/>
    <w:rsid w:val="00D72709"/>
    <w:rsid w:val="00D73DCB"/>
    <w:rsid w:val="00D74D80"/>
    <w:rsid w:val="00D75718"/>
    <w:rsid w:val="00D763AC"/>
    <w:rsid w:val="00D775EC"/>
    <w:rsid w:val="00D8019C"/>
    <w:rsid w:val="00D80A41"/>
    <w:rsid w:val="00D80B8C"/>
    <w:rsid w:val="00D81245"/>
    <w:rsid w:val="00D82582"/>
    <w:rsid w:val="00D845DE"/>
    <w:rsid w:val="00D84E73"/>
    <w:rsid w:val="00D852EA"/>
    <w:rsid w:val="00D90254"/>
    <w:rsid w:val="00D91D2C"/>
    <w:rsid w:val="00D933C3"/>
    <w:rsid w:val="00D94953"/>
    <w:rsid w:val="00D95465"/>
    <w:rsid w:val="00D95E11"/>
    <w:rsid w:val="00D96C8E"/>
    <w:rsid w:val="00D97485"/>
    <w:rsid w:val="00DA1B62"/>
    <w:rsid w:val="00DA1F96"/>
    <w:rsid w:val="00DA208C"/>
    <w:rsid w:val="00DA39A2"/>
    <w:rsid w:val="00DA5600"/>
    <w:rsid w:val="00DA5D16"/>
    <w:rsid w:val="00DB11A8"/>
    <w:rsid w:val="00DB1BC6"/>
    <w:rsid w:val="00DB3B05"/>
    <w:rsid w:val="00DB3C08"/>
    <w:rsid w:val="00DB3D36"/>
    <w:rsid w:val="00DB4C14"/>
    <w:rsid w:val="00DB4FD4"/>
    <w:rsid w:val="00DB6039"/>
    <w:rsid w:val="00DB6A2C"/>
    <w:rsid w:val="00DB6B50"/>
    <w:rsid w:val="00DB7A24"/>
    <w:rsid w:val="00DC1103"/>
    <w:rsid w:val="00DC2545"/>
    <w:rsid w:val="00DC285E"/>
    <w:rsid w:val="00DC3390"/>
    <w:rsid w:val="00DC521D"/>
    <w:rsid w:val="00DC53FB"/>
    <w:rsid w:val="00DC78A4"/>
    <w:rsid w:val="00DC7C88"/>
    <w:rsid w:val="00DD10A7"/>
    <w:rsid w:val="00DD1B34"/>
    <w:rsid w:val="00DD2696"/>
    <w:rsid w:val="00DD4311"/>
    <w:rsid w:val="00DD6EE5"/>
    <w:rsid w:val="00DE4098"/>
    <w:rsid w:val="00DE46F4"/>
    <w:rsid w:val="00DE4D03"/>
    <w:rsid w:val="00DF0EB9"/>
    <w:rsid w:val="00DF2FDC"/>
    <w:rsid w:val="00DF5BBE"/>
    <w:rsid w:val="00DF73E5"/>
    <w:rsid w:val="00E01019"/>
    <w:rsid w:val="00E01D4D"/>
    <w:rsid w:val="00E03461"/>
    <w:rsid w:val="00E052AB"/>
    <w:rsid w:val="00E05316"/>
    <w:rsid w:val="00E05842"/>
    <w:rsid w:val="00E058E2"/>
    <w:rsid w:val="00E062B0"/>
    <w:rsid w:val="00E06988"/>
    <w:rsid w:val="00E06CF7"/>
    <w:rsid w:val="00E070C0"/>
    <w:rsid w:val="00E07CFC"/>
    <w:rsid w:val="00E07FB9"/>
    <w:rsid w:val="00E1067C"/>
    <w:rsid w:val="00E10F49"/>
    <w:rsid w:val="00E118A7"/>
    <w:rsid w:val="00E11B84"/>
    <w:rsid w:val="00E124CD"/>
    <w:rsid w:val="00E144AB"/>
    <w:rsid w:val="00E14E20"/>
    <w:rsid w:val="00E15331"/>
    <w:rsid w:val="00E16EB0"/>
    <w:rsid w:val="00E17225"/>
    <w:rsid w:val="00E17854"/>
    <w:rsid w:val="00E17CC4"/>
    <w:rsid w:val="00E20F84"/>
    <w:rsid w:val="00E23B79"/>
    <w:rsid w:val="00E24C6B"/>
    <w:rsid w:val="00E26EAD"/>
    <w:rsid w:val="00E27302"/>
    <w:rsid w:val="00E348A7"/>
    <w:rsid w:val="00E34918"/>
    <w:rsid w:val="00E3505F"/>
    <w:rsid w:val="00E35681"/>
    <w:rsid w:val="00E3648E"/>
    <w:rsid w:val="00E42171"/>
    <w:rsid w:val="00E425FE"/>
    <w:rsid w:val="00E43D07"/>
    <w:rsid w:val="00E44A52"/>
    <w:rsid w:val="00E47871"/>
    <w:rsid w:val="00E479C8"/>
    <w:rsid w:val="00E513CF"/>
    <w:rsid w:val="00E519BF"/>
    <w:rsid w:val="00E53BA0"/>
    <w:rsid w:val="00E54614"/>
    <w:rsid w:val="00E54F4F"/>
    <w:rsid w:val="00E55945"/>
    <w:rsid w:val="00E559E2"/>
    <w:rsid w:val="00E55CD8"/>
    <w:rsid w:val="00E568D0"/>
    <w:rsid w:val="00E56E83"/>
    <w:rsid w:val="00E57740"/>
    <w:rsid w:val="00E62358"/>
    <w:rsid w:val="00E67A5D"/>
    <w:rsid w:val="00E67C3A"/>
    <w:rsid w:val="00E67E36"/>
    <w:rsid w:val="00E70BC1"/>
    <w:rsid w:val="00E71237"/>
    <w:rsid w:val="00E72D75"/>
    <w:rsid w:val="00E73D62"/>
    <w:rsid w:val="00E75A17"/>
    <w:rsid w:val="00E77241"/>
    <w:rsid w:val="00E7778E"/>
    <w:rsid w:val="00E811F9"/>
    <w:rsid w:val="00E82324"/>
    <w:rsid w:val="00E87B99"/>
    <w:rsid w:val="00E95311"/>
    <w:rsid w:val="00EA1537"/>
    <w:rsid w:val="00EA25E6"/>
    <w:rsid w:val="00EA3A13"/>
    <w:rsid w:val="00EA41D5"/>
    <w:rsid w:val="00EA4215"/>
    <w:rsid w:val="00EA46AB"/>
    <w:rsid w:val="00EA6C2E"/>
    <w:rsid w:val="00EA70FB"/>
    <w:rsid w:val="00EB30F6"/>
    <w:rsid w:val="00EB5018"/>
    <w:rsid w:val="00EB73F7"/>
    <w:rsid w:val="00EB7BBC"/>
    <w:rsid w:val="00EC58D4"/>
    <w:rsid w:val="00EC5D70"/>
    <w:rsid w:val="00EC74E7"/>
    <w:rsid w:val="00EC7EAA"/>
    <w:rsid w:val="00ED2780"/>
    <w:rsid w:val="00ED2C99"/>
    <w:rsid w:val="00ED2CDF"/>
    <w:rsid w:val="00ED3223"/>
    <w:rsid w:val="00ED58DC"/>
    <w:rsid w:val="00ED617F"/>
    <w:rsid w:val="00ED6A5B"/>
    <w:rsid w:val="00EE0178"/>
    <w:rsid w:val="00EE2447"/>
    <w:rsid w:val="00EE3355"/>
    <w:rsid w:val="00EE44C1"/>
    <w:rsid w:val="00EE4900"/>
    <w:rsid w:val="00EE4DC5"/>
    <w:rsid w:val="00EE67C1"/>
    <w:rsid w:val="00EE6E2E"/>
    <w:rsid w:val="00EF025E"/>
    <w:rsid w:val="00EF08C8"/>
    <w:rsid w:val="00EF1E1E"/>
    <w:rsid w:val="00EF2978"/>
    <w:rsid w:val="00EF3D55"/>
    <w:rsid w:val="00EF3F42"/>
    <w:rsid w:val="00EF50FD"/>
    <w:rsid w:val="00EF545A"/>
    <w:rsid w:val="00EF5545"/>
    <w:rsid w:val="00EF7F94"/>
    <w:rsid w:val="00F04548"/>
    <w:rsid w:val="00F12208"/>
    <w:rsid w:val="00F12A45"/>
    <w:rsid w:val="00F13130"/>
    <w:rsid w:val="00F149B4"/>
    <w:rsid w:val="00F14BBE"/>
    <w:rsid w:val="00F17063"/>
    <w:rsid w:val="00F1740A"/>
    <w:rsid w:val="00F177D9"/>
    <w:rsid w:val="00F247BE"/>
    <w:rsid w:val="00F25330"/>
    <w:rsid w:val="00F253DA"/>
    <w:rsid w:val="00F25AA5"/>
    <w:rsid w:val="00F25DA5"/>
    <w:rsid w:val="00F30146"/>
    <w:rsid w:val="00F30D3E"/>
    <w:rsid w:val="00F32220"/>
    <w:rsid w:val="00F32E22"/>
    <w:rsid w:val="00F367D6"/>
    <w:rsid w:val="00F402AF"/>
    <w:rsid w:val="00F43764"/>
    <w:rsid w:val="00F4420D"/>
    <w:rsid w:val="00F45775"/>
    <w:rsid w:val="00F45BD6"/>
    <w:rsid w:val="00F47951"/>
    <w:rsid w:val="00F47C3F"/>
    <w:rsid w:val="00F53833"/>
    <w:rsid w:val="00F55380"/>
    <w:rsid w:val="00F55C89"/>
    <w:rsid w:val="00F55E43"/>
    <w:rsid w:val="00F57AC7"/>
    <w:rsid w:val="00F60F81"/>
    <w:rsid w:val="00F6115B"/>
    <w:rsid w:val="00F62854"/>
    <w:rsid w:val="00F64DEC"/>
    <w:rsid w:val="00F6529E"/>
    <w:rsid w:val="00F65599"/>
    <w:rsid w:val="00F6562F"/>
    <w:rsid w:val="00F70C67"/>
    <w:rsid w:val="00F7160F"/>
    <w:rsid w:val="00F73923"/>
    <w:rsid w:val="00F75C68"/>
    <w:rsid w:val="00F76BB2"/>
    <w:rsid w:val="00F7770E"/>
    <w:rsid w:val="00F8334B"/>
    <w:rsid w:val="00F8335F"/>
    <w:rsid w:val="00F87832"/>
    <w:rsid w:val="00F92D1E"/>
    <w:rsid w:val="00F94369"/>
    <w:rsid w:val="00F96158"/>
    <w:rsid w:val="00F97AB9"/>
    <w:rsid w:val="00FA19A1"/>
    <w:rsid w:val="00FA2D35"/>
    <w:rsid w:val="00FA3B8F"/>
    <w:rsid w:val="00FA3D6F"/>
    <w:rsid w:val="00FA3F87"/>
    <w:rsid w:val="00FA42A5"/>
    <w:rsid w:val="00FA5639"/>
    <w:rsid w:val="00FA7C44"/>
    <w:rsid w:val="00FB0CC4"/>
    <w:rsid w:val="00FB1AE2"/>
    <w:rsid w:val="00FB233B"/>
    <w:rsid w:val="00FB3A7B"/>
    <w:rsid w:val="00FB3AB7"/>
    <w:rsid w:val="00FB3B04"/>
    <w:rsid w:val="00FB7066"/>
    <w:rsid w:val="00FB77D7"/>
    <w:rsid w:val="00FC10A3"/>
    <w:rsid w:val="00FC1BC8"/>
    <w:rsid w:val="00FC4052"/>
    <w:rsid w:val="00FC498A"/>
    <w:rsid w:val="00FC7CDB"/>
    <w:rsid w:val="00FD1AA9"/>
    <w:rsid w:val="00FD2C68"/>
    <w:rsid w:val="00FD53F4"/>
    <w:rsid w:val="00FD564F"/>
    <w:rsid w:val="00FD635F"/>
    <w:rsid w:val="00FD6598"/>
    <w:rsid w:val="00FD737E"/>
    <w:rsid w:val="00FE0BCD"/>
    <w:rsid w:val="00FE2440"/>
    <w:rsid w:val="00FE2E01"/>
    <w:rsid w:val="00FE2EEB"/>
    <w:rsid w:val="00FE365C"/>
    <w:rsid w:val="00FE3ED4"/>
    <w:rsid w:val="00FF2362"/>
    <w:rsid w:val="00FF23C5"/>
    <w:rsid w:val="00FF24CD"/>
    <w:rsid w:val="00FF422D"/>
    <w:rsid w:val="00FF4E51"/>
    <w:rsid w:val="00FF5564"/>
    <w:rsid w:val="00FF5B64"/>
    <w:rsid w:val="00FF781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table" w:styleId="TableGrid">
    <w:name w:val="Table Grid"/>
    <w:basedOn w:val="TableNormal"/>
    <w:uiPriority w:val="3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897943"/>
    <w:pPr>
      <w:spacing w:before="100" w:beforeAutospacing="1" w:after="100" w:afterAutospacing="1"/>
    </w:pPr>
  </w:style>
  <w:style w:type="paragraph" w:styleId="BodyText21">
    <w:name w:val="Body Text 2"/>
    <w:basedOn w:val="Normal"/>
    <w:link w:val="BodyText2Char"/>
    <w:semiHidden/>
    <w:unhideWhenUsed/>
    <w:rsid w:val="00822409"/>
    <w:pPr>
      <w:spacing w:after="120" w:line="480" w:lineRule="auto"/>
    </w:pPr>
    <w:rPr>
      <w:lang w:val="x-none" w:eastAsia="ru-RU"/>
    </w:rPr>
  </w:style>
  <w:style w:type="character" w:customStyle="1" w:styleId="BodyText2Char">
    <w:name w:val="Body Text 2 Char"/>
    <w:basedOn w:val="DefaultParagraphFont"/>
    <w:link w:val="BodyText21"/>
    <w:semiHidden/>
    <w:rsid w:val="00822409"/>
    <w:rPr>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51727233">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79592659">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386421517">
      <w:bodyDiv w:val="1"/>
      <w:marLeft w:val="0"/>
      <w:marRight w:val="0"/>
      <w:marTop w:val="0"/>
      <w:marBottom w:val="0"/>
      <w:divBdr>
        <w:top w:val="none" w:sz="0" w:space="0" w:color="auto"/>
        <w:left w:val="none" w:sz="0" w:space="0" w:color="auto"/>
        <w:bottom w:val="none" w:sz="0" w:space="0" w:color="auto"/>
        <w:right w:val="none" w:sz="0" w:space="0" w:color="auto"/>
      </w:divBdr>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745490771">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91661341">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668.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TEMPLATEEDIT&amp;task=new&amp;tasktwo=newtemplfromoriginal&amp;fileid=6853478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TEMPLATEEDIT&amp;task=new&amp;tasktwo=newtemplfromoriginal&amp;fileid=6853478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is.ta.gov.lv/tisreal?Form=TEMPLATEEDIT&amp;task=new&amp;tasktwo=newtemplfromoriginal&amp;fileid=68534788" TargetMode="External"/><Relationship Id="rId4" Type="http://schemas.openxmlformats.org/officeDocument/2006/relationships/settings" Target="settings.xml"/><Relationship Id="rId9" Type="http://schemas.openxmlformats.org/officeDocument/2006/relationships/hyperlink" Target="https://tis.ta.gov.lv/tisreal?Form=TEMPLATEEDIT&amp;task=new&amp;tasktwo=newtemplfromoriginal&amp;fileid=6853478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8919A-60DD-412C-93DA-6CCE83A6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24683</Words>
  <Characters>14070</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2023-07-19T12:32:00Z</dcterms:created>
  <dcterms:modified xsi:type="dcterms:W3CDTF">2023-09-06T09:05:00Z</dcterms:modified>
</cp:coreProperties>
</file>