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6679" w14:textId="77777777" w:rsidR="00EE0F63" w:rsidRPr="00EE0F63" w:rsidRDefault="00EE0F63" w:rsidP="00EE0F63">
      <w:pPr>
        <w:spacing w:line="276" w:lineRule="auto"/>
        <w:jc w:val="both"/>
        <w:rPr>
          <w:b/>
          <w:bCs/>
          <w:noProof/>
        </w:rPr>
      </w:pPr>
      <w:r w:rsidRPr="00EE0F63">
        <w:rPr>
          <w:b/>
          <w:bCs/>
          <w:noProof/>
        </w:rPr>
        <w:t>Izlīguma ietekme uz nosakāmā soda apmēru</w:t>
      </w:r>
    </w:p>
    <w:p w14:paraId="26B2ED07" w14:textId="7D98AD0E" w:rsidR="00EE0F63" w:rsidRPr="00EE0F63" w:rsidRDefault="00EE0F63" w:rsidP="00EE0F63">
      <w:pPr>
        <w:spacing w:line="276" w:lineRule="auto"/>
        <w:jc w:val="both"/>
      </w:pPr>
      <w:r w:rsidRPr="00EE0F63">
        <w:t>Izlīguma, kad tas nav pamats kriminālprocesa izbeigšanai, esība var ietekmēt nosakāmā soda apmēru. Tiesai, izskatot lietu, jāizvērtē, vai izlīgumā starp cietušo un noziedzīgo nodarījumu izdarījušo personu ir norādīts, ka vainīgais cietušajam tikai labprātīgi ir atlīdzinājis ar noziedzīgo nodarījumu radīto kaitējumu vai novērsis radīto kaitējumu, vai arī ir veicis vēl kādas citas darbības, kuras neaptver Krimināllikuma 47.</w:t>
      </w:r>
      <w:r>
        <w:t> </w:t>
      </w:r>
      <w:r w:rsidRPr="00EE0F63">
        <w:t>panta pirmās daļas 3.</w:t>
      </w:r>
      <w:r>
        <w:t> </w:t>
      </w:r>
      <w:r w:rsidRPr="00EE0F63">
        <w:t>punkta saturs, bet kas būtu papildus vērtējamas kā atbildību mīkstinošs apstāklis saskaņā ar Krimināllikuma 47.</w:t>
      </w:r>
      <w:r>
        <w:t> </w:t>
      </w:r>
      <w:r w:rsidRPr="00EE0F63">
        <w:t>panta otro daļu, kā, piemēram, savas vainas atzīšana un izdarītā nožēlošana.</w:t>
      </w:r>
    </w:p>
    <w:p w14:paraId="6E155FD1" w14:textId="15055115" w:rsidR="00EE0F63" w:rsidRDefault="00EE0F63" w:rsidP="00EE0F63">
      <w:pPr>
        <w:spacing w:line="276" w:lineRule="auto"/>
        <w:jc w:val="both"/>
      </w:pPr>
      <w:r w:rsidRPr="00EE0F63">
        <w:t>Tomēr Krimināllikuma 47.</w:t>
      </w:r>
      <w:r>
        <w:t> </w:t>
      </w:r>
      <w:r w:rsidRPr="00EE0F63">
        <w:t>panta otrā daļa nav imperatīva tiesību norma un par tās piemērošanu izlemj tiesa, kas izskata lietu pēc būtības.</w:t>
      </w:r>
    </w:p>
    <w:p w14:paraId="243F7060" w14:textId="77777777" w:rsidR="00EE0F63" w:rsidRDefault="00EE0F63" w:rsidP="00EE0F63">
      <w:pPr>
        <w:spacing w:line="276" w:lineRule="auto"/>
        <w:jc w:val="both"/>
      </w:pPr>
    </w:p>
    <w:p w14:paraId="022E5515" w14:textId="4509CE62" w:rsidR="003A0DCC" w:rsidRPr="00EE0F63" w:rsidRDefault="00EE0F63" w:rsidP="00EE0F63">
      <w:pPr>
        <w:spacing w:line="276" w:lineRule="auto"/>
        <w:jc w:val="both"/>
      </w:pPr>
      <w:r w:rsidRPr="00EE0F63">
        <w:rPr>
          <w:b/>
          <w:bCs/>
        </w:rPr>
        <w:t>Aizstāvja tiesības iesniegt iebildumus pret lietas izskatīšanu rakstveida procesā apelācijas instances tiesā</w:t>
      </w:r>
    </w:p>
    <w:p w14:paraId="2201DA47" w14:textId="0A801FA1" w:rsidR="003A0DCC" w:rsidRPr="007D35A4" w:rsidRDefault="003A0DCC" w:rsidP="00EE0F63">
      <w:pPr>
        <w:pStyle w:val="BodyText2"/>
        <w:widowControl w:val="0"/>
        <w:spacing w:after="0" w:line="276" w:lineRule="auto"/>
        <w:jc w:val="both"/>
        <w:rPr>
          <w:rFonts w:asciiTheme="majorBidi" w:hAnsiTheme="majorBidi" w:cstheme="majorBidi"/>
        </w:rPr>
      </w:pPr>
    </w:p>
    <w:p w14:paraId="79B7D739" w14:textId="77777777" w:rsidR="00EE0F63" w:rsidRPr="00EE0F63" w:rsidRDefault="003A0DCC" w:rsidP="00875D93">
      <w:pPr>
        <w:widowControl w:val="0"/>
        <w:spacing w:line="276" w:lineRule="auto"/>
        <w:jc w:val="center"/>
        <w:rPr>
          <w:b/>
        </w:rPr>
      </w:pPr>
      <w:r w:rsidRPr="00EE0F63">
        <w:rPr>
          <w:b/>
        </w:rPr>
        <w:t>Latvijas Republikas Senāt</w:t>
      </w:r>
      <w:r w:rsidR="00EE0F63" w:rsidRPr="00EE0F63">
        <w:rPr>
          <w:b/>
        </w:rPr>
        <w:t xml:space="preserve">a </w:t>
      </w:r>
    </w:p>
    <w:p w14:paraId="4F3009AE" w14:textId="77777777" w:rsidR="00EE0F63" w:rsidRPr="00EE0F63" w:rsidRDefault="00EE0F63" w:rsidP="00875D93">
      <w:pPr>
        <w:widowControl w:val="0"/>
        <w:spacing w:line="276" w:lineRule="auto"/>
        <w:jc w:val="center"/>
        <w:rPr>
          <w:b/>
        </w:rPr>
      </w:pPr>
      <w:r w:rsidRPr="00EE0F63">
        <w:rPr>
          <w:b/>
        </w:rPr>
        <w:t>Krimināllietu departamenta</w:t>
      </w:r>
    </w:p>
    <w:p w14:paraId="3C1F8825" w14:textId="28BF5517" w:rsidR="003A0DCC" w:rsidRPr="00EE0F63" w:rsidRDefault="00EE0F63" w:rsidP="00875D93">
      <w:pPr>
        <w:widowControl w:val="0"/>
        <w:spacing w:line="276" w:lineRule="auto"/>
        <w:jc w:val="center"/>
        <w:rPr>
          <w:b/>
        </w:rPr>
      </w:pPr>
      <w:r w:rsidRPr="00EE0F63">
        <w:rPr>
          <w:b/>
        </w:rPr>
        <w:t>2023. gada 5. jūlija</w:t>
      </w:r>
    </w:p>
    <w:p w14:paraId="20B6CFAE" w14:textId="77777777" w:rsidR="003A0DCC" w:rsidRPr="00EE0F63" w:rsidRDefault="003A0DCC" w:rsidP="00875D93">
      <w:pPr>
        <w:widowControl w:val="0"/>
        <w:spacing w:line="276" w:lineRule="auto"/>
        <w:jc w:val="center"/>
        <w:rPr>
          <w:b/>
        </w:rPr>
      </w:pPr>
      <w:r w:rsidRPr="00EE0F63">
        <w:rPr>
          <w:b/>
        </w:rPr>
        <w:t>LĒMUMS</w:t>
      </w:r>
    </w:p>
    <w:p w14:paraId="204A10B1" w14:textId="5E0F9713" w:rsidR="003A0DCC" w:rsidRPr="00EE0F63" w:rsidRDefault="00EE0F63" w:rsidP="00875D93">
      <w:pPr>
        <w:widowControl w:val="0"/>
        <w:spacing w:line="276" w:lineRule="auto"/>
        <w:jc w:val="center"/>
      </w:pPr>
      <w:r w:rsidRPr="00EE0F63">
        <w:rPr>
          <w:b/>
        </w:rPr>
        <w:t>Lieta Nr. 11088102121, SKK-227/2023</w:t>
      </w:r>
    </w:p>
    <w:p w14:paraId="4BA3C0EA" w14:textId="09490777" w:rsidR="00EE0F63" w:rsidRPr="007D35A4" w:rsidRDefault="00EE0F63" w:rsidP="00875D93">
      <w:pPr>
        <w:widowControl w:val="0"/>
        <w:spacing w:line="276" w:lineRule="auto"/>
        <w:jc w:val="center"/>
        <w:rPr>
          <w:rFonts w:asciiTheme="majorBidi" w:hAnsiTheme="majorBidi" w:cstheme="majorBidi"/>
          <w:b/>
          <w:color w:val="000000" w:themeColor="text1"/>
        </w:rPr>
      </w:pPr>
      <w:hyperlink r:id="rId7" w:history="1">
        <w:r w:rsidRPr="00EE0F63">
          <w:rPr>
            <w:rStyle w:val="Hyperlink"/>
            <w:shd w:val="clear" w:color="auto" w:fill="FFFFFF"/>
          </w:rPr>
          <w:t>ECLI:LV:AT:2023:0705.110881021</w:t>
        </w:r>
        <w:r w:rsidRPr="00EE0F63">
          <w:rPr>
            <w:rStyle w:val="Hyperlink"/>
            <w:shd w:val="clear" w:color="auto" w:fill="FFFFFF"/>
          </w:rPr>
          <w:t>2</w:t>
        </w:r>
        <w:r w:rsidRPr="00EE0F63">
          <w:rPr>
            <w:rStyle w:val="Hyperlink"/>
            <w:shd w:val="clear" w:color="auto" w:fill="FFFFFF"/>
          </w:rPr>
          <w:t>1.6.L</w:t>
        </w:r>
      </w:hyperlink>
    </w:p>
    <w:p w14:paraId="546F1EE8" w14:textId="77777777" w:rsidR="003A0DCC" w:rsidRPr="007D35A4" w:rsidRDefault="003A0DCC" w:rsidP="00875D93">
      <w:pPr>
        <w:widowControl w:val="0"/>
        <w:spacing w:line="276" w:lineRule="auto"/>
        <w:ind w:firstLine="720"/>
        <w:jc w:val="both"/>
        <w:rPr>
          <w:rFonts w:asciiTheme="majorBidi" w:hAnsiTheme="majorBidi" w:cstheme="majorBidi"/>
        </w:rPr>
      </w:pPr>
    </w:p>
    <w:p w14:paraId="4601847F" w14:textId="72A538C7" w:rsidR="003A0DCC" w:rsidRPr="007D35A4" w:rsidRDefault="003A0DCC" w:rsidP="00875D93">
      <w:pPr>
        <w:widowControl w:val="0"/>
        <w:spacing w:line="276" w:lineRule="auto"/>
        <w:ind w:firstLine="720"/>
        <w:jc w:val="both"/>
        <w:rPr>
          <w:rFonts w:asciiTheme="majorBidi" w:hAnsiTheme="majorBidi" w:cstheme="majorBidi"/>
        </w:rPr>
      </w:pPr>
      <w:r w:rsidRPr="007D35A4">
        <w:rPr>
          <w:rFonts w:asciiTheme="majorBidi" w:hAnsiTheme="majorBidi" w:cstheme="majorBidi"/>
        </w:rPr>
        <w:t>Senāts šādā sastāvā: senator</w:t>
      </w:r>
      <w:r w:rsidR="00FE26BC">
        <w:rPr>
          <w:rFonts w:asciiTheme="majorBidi" w:hAnsiTheme="majorBidi" w:cstheme="majorBidi"/>
        </w:rPr>
        <w:t>s</w:t>
      </w:r>
      <w:r w:rsidRPr="007D35A4">
        <w:rPr>
          <w:rFonts w:asciiTheme="majorBidi" w:hAnsiTheme="majorBidi" w:cstheme="majorBidi"/>
        </w:rPr>
        <w:t xml:space="preserve"> referent</w:t>
      </w:r>
      <w:r w:rsidR="00FE26BC">
        <w:rPr>
          <w:rFonts w:asciiTheme="majorBidi" w:hAnsiTheme="majorBidi" w:cstheme="majorBidi"/>
        </w:rPr>
        <w:t>s</w:t>
      </w:r>
      <w:r w:rsidRPr="007D35A4">
        <w:rPr>
          <w:rFonts w:asciiTheme="majorBidi" w:hAnsiTheme="majorBidi" w:cstheme="majorBidi"/>
        </w:rPr>
        <w:t xml:space="preserve"> </w:t>
      </w:r>
      <w:r w:rsidR="00FE26BC">
        <w:rPr>
          <w:rFonts w:asciiTheme="majorBidi" w:hAnsiTheme="majorBidi" w:cstheme="majorBidi"/>
        </w:rPr>
        <w:t>Artūrs</w:t>
      </w:r>
      <w:r w:rsidRPr="007D35A4">
        <w:rPr>
          <w:rFonts w:asciiTheme="majorBidi" w:hAnsiTheme="majorBidi" w:cstheme="majorBidi"/>
        </w:rPr>
        <w:t xml:space="preserve"> </w:t>
      </w:r>
      <w:r w:rsidR="00FE26BC">
        <w:rPr>
          <w:rFonts w:asciiTheme="majorBidi" w:hAnsiTheme="majorBidi" w:cstheme="majorBidi"/>
        </w:rPr>
        <w:t>Freibergs</w:t>
      </w:r>
      <w:r w:rsidRPr="007D35A4">
        <w:rPr>
          <w:rFonts w:asciiTheme="majorBidi" w:hAnsiTheme="majorBidi" w:cstheme="majorBidi"/>
        </w:rPr>
        <w:t>, senator</w:t>
      </w:r>
      <w:r w:rsidR="008522A1">
        <w:rPr>
          <w:rFonts w:asciiTheme="majorBidi" w:hAnsiTheme="majorBidi" w:cstheme="majorBidi"/>
        </w:rPr>
        <w:t>i</w:t>
      </w:r>
      <w:r w:rsidR="00F34D3D" w:rsidRPr="007D35A4">
        <w:rPr>
          <w:rFonts w:asciiTheme="majorBidi" w:hAnsiTheme="majorBidi" w:cstheme="majorBidi"/>
        </w:rPr>
        <w:t xml:space="preserve"> </w:t>
      </w:r>
      <w:r w:rsidR="008522A1">
        <w:rPr>
          <w:rFonts w:asciiTheme="majorBidi" w:hAnsiTheme="majorBidi" w:cstheme="majorBidi"/>
        </w:rPr>
        <w:t>Ivars Bičkovičs</w:t>
      </w:r>
      <w:r w:rsidRPr="007D35A4">
        <w:rPr>
          <w:rFonts w:asciiTheme="majorBidi" w:hAnsiTheme="majorBidi" w:cstheme="majorBidi"/>
        </w:rPr>
        <w:t xml:space="preserve"> un </w:t>
      </w:r>
      <w:r w:rsidR="00EC62EF">
        <w:rPr>
          <w:rFonts w:asciiTheme="majorBidi" w:hAnsiTheme="majorBidi" w:cstheme="majorBidi"/>
        </w:rPr>
        <w:t>Inese Laura Zemīte</w:t>
      </w:r>
    </w:p>
    <w:p w14:paraId="4344CA49" w14:textId="77777777" w:rsidR="003A0DCC" w:rsidRPr="007D35A4" w:rsidRDefault="003A0DCC" w:rsidP="00875D93">
      <w:pPr>
        <w:widowControl w:val="0"/>
        <w:spacing w:line="276" w:lineRule="auto"/>
        <w:ind w:firstLine="720"/>
        <w:jc w:val="both"/>
        <w:rPr>
          <w:rFonts w:asciiTheme="majorBidi" w:hAnsiTheme="majorBidi" w:cstheme="majorBidi"/>
        </w:rPr>
      </w:pPr>
    </w:p>
    <w:p w14:paraId="41113DAB" w14:textId="7480E9D3" w:rsidR="003A0DCC" w:rsidRPr="007D35A4" w:rsidRDefault="003A0DCC" w:rsidP="00875D93">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izskatīja rakstveida procesā krimināllietu sakarā ar </w:t>
      </w:r>
      <w:r w:rsidR="00F34D3D" w:rsidRPr="007D35A4">
        <w:rPr>
          <w:rFonts w:asciiTheme="majorBidi" w:hAnsiTheme="majorBidi" w:cstheme="majorBidi"/>
        </w:rPr>
        <w:t xml:space="preserve">apsūdzētā </w:t>
      </w:r>
      <w:r w:rsidR="00EE0F63">
        <w:rPr>
          <w:rFonts w:asciiTheme="majorBidi" w:hAnsiTheme="majorBidi" w:cstheme="majorBidi"/>
        </w:rPr>
        <w:t>[pers. A]</w:t>
      </w:r>
      <w:r w:rsidR="00F34D3D" w:rsidRPr="007D35A4">
        <w:rPr>
          <w:rFonts w:asciiTheme="majorBidi" w:hAnsiTheme="majorBidi" w:cstheme="majorBidi"/>
        </w:rPr>
        <w:t xml:space="preserve"> aizstāv</w:t>
      </w:r>
      <w:r w:rsidR="00EC62EF">
        <w:rPr>
          <w:rFonts w:asciiTheme="majorBidi" w:hAnsiTheme="majorBidi" w:cstheme="majorBidi"/>
        </w:rPr>
        <w:t>ja</w:t>
      </w:r>
      <w:r w:rsidR="00F34D3D" w:rsidRPr="007D35A4">
        <w:rPr>
          <w:rFonts w:asciiTheme="majorBidi" w:hAnsiTheme="majorBidi" w:cstheme="majorBidi"/>
        </w:rPr>
        <w:t xml:space="preserve"> zvērināta advokāt</w:t>
      </w:r>
      <w:r w:rsidR="00EC62EF">
        <w:rPr>
          <w:rFonts w:asciiTheme="majorBidi" w:hAnsiTheme="majorBidi" w:cstheme="majorBidi"/>
        </w:rPr>
        <w:t>a</w:t>
      </w:r>
      <w:r w:rsidR="00F34D3D" w:rsidRPr="007D35A4">
        <w:rPr>
          <w:rFonts w:asciiTheme="majorBidi" w:hAnsiTheme="majorBidi" w:cstheme="majorBidi"/>
        </w:rPr>
        <w:t xml:space="preserve"> A</w:t>
      </w:r>
      <w:r w:rsidR="00EC62EF">
        <w:rPr>
          <w:rFonts w:asciiTheme="majorBidi" w:hAnsiTheme="majorBidi" w:cstheme="majorBidi"/>
        </w:rPr>
        <w:t>rtūra</w:t>
      </w:r>
      <w:r w:rsidR="00F34D3D" w:rsidRPr="007D35A4">
        <w:rPr>
          <w:rFonts w:asciiTheme="majorBidi" w:hAnsiTheme="majorBidi" w:cstheme="majorBidi"/>
        </w:rPr>
        <w:t xml:space="preserve"> </w:t>
      </w:r>
      <w:proofErr w:type="spellStart"/>
      <w:r w:rsidR="00EC62EF">
        <w:rPr>
          <w:rFonts w:asciiTheme="majorBidi" w:hAnsiTheme="majorBidi" w:cstheme="majorBidi"/>
        </w:rPr>
        <w:t>Marģeviča</w:t>
      </w:r>
      <w:proofErr w:type="spellEnd"/>
      <w:r w:rsidR="00F34D3D" w:rsidRPr="007D35A4">
        <w:rPr>
          <w:rFonts w:asciiTheme="majorBidi" w:hAnsiTheme="majorBidi" w:cstheme="majorBidi"/>
        </w:rPr>
        <w:t xml:space="preserve"> k</w:t>
      </w:r>
      <w:r w:rsidRPr="007D35A4">
        <w:rPr>
          <w:rFonts w:asciiTheme="majorBidi" w:hAnsiTheme="majorBidi" w:cstheme="majorBidi"/>
        </w:rPr>
        <w:t xml:space="preserve">asācijas </w:t>
      </w:r>
      <w:r w:rsidR="00F34D3D" w:rsidRPr="007D35A4">
        <w:rPr>
          <w:rFonts w:asciiTheme="majorBidi" w:hAnsiTheme="majorBidi" w:cstheme="majorBidi"/>
        </w:rPr>
        <w:t>sūdzību</w:t>
      </w:r>
      <w:r w:rsidRPr="007D35A4">
        <w:rPr>
          <w:rFonts w:asciiTheme="majorBidi" w:hAnsiTheme="majorBidi" w:cstheme="majorBidi"/>
        </w:rPr>
        <w:t xml:space="preserve"> par </w:t>
      </w:r>
      <w:r w:rsidR="00F34D3D" w:rsidRPr="007D35A4">
        <w:rPr>
          <w:rFonts w:asciiTheme="majorBidi" w:hAnsiTheme="majorBidi" w:cstheme="majorBidi"/>
        </w:rPr>
        <w:t>Rīgas</w:t>
      </w:r>
      <w:r w:rsidRPr="007D35A4">
        <w:rPr>
          <w:rFonts w:asciiTheme="majorBidi" w:hAnsiTheme="majorBidi" w:cstheme="majorBidi"/>
        </w:rPr>
        <w:t xml:space="preserve"> apgabaltiesas 202</w:t>
      </w:r>
      <w:r w:rsidR="00EC62EF">
        <w:rPr>
          <w:rFonts w:asciiTheme="majorBidi" w:hAnsiTheme="majorBidi" w:cstheme="majorBidi"/>
        </w:rPr>
        <w:t>3</w:t>
      </w:r>
      <w:r w:rsidRPr="007D35A4">
        <w:rPr>
          <w:rFonts w:asciiTheme="majorBidi" w:hAnsiTheme="majorBidi" w:cstheme="majorBidi"/>
        </w:rPr>
        <w:t xml:space="preserve">. gada </w:t>
      </w:r>
      <w:bookmarkStart w:id="0" w:name="_Hlk137815333"/>
      <w:r w:rsidRPr="007D35A4">
        <w:rPr>
          <w:rFonts w:asciiTheme="majorBidi" w:hAnsiTheme="majorBidi" w:cstheme="majorBidi"/>
        </w:rPr>
        <w:t>1</w:t>
      </w:r>
      <w:r w:rsidR="00F34D3D" w:rsidRPr="007D35A4">
        <w:rPr>
          <w:rFonts w:asciiTheme="majorBidi" w:hAnsiTheme="majorBidi" w:cstheme="majorBidi"/>
        </w:rPr>
        <w:t>6</w:t>
      </w:r>
      <w:r w:rsidRPr="007D35A4">
        <w:rPr>
          <w:rFonts w:asciiTheme="majorBidi" w:hAnsiTheme="majorBidi" w:cstheme="majorBidi"/>
        </w:rPr>
        <w:t>. </w:t>
      </w:r>
      <w:r w:rsidR="00EC62EF">
        <w:rPr>
          <w:rFonts w:asciiTheme="majorBidi" w:hAnsiTheme="majorBidi" w:cstheme="majorBidi"/>
        </w:rPr>
        <w:t>janvāra</w:t>
      </w:r>
      <w:r w:rsidR="00F34D3D" w:rsidRPr="007D35A4">
        <w:rPr>
          <w:rFonts w:asciiTheme="majorBidi" w:hAnsiTheme="majorBidi" w:cstheme="majorBidi"/>
        </w:rPr>
        <w:t xml:space="preserve"> </w:t>
      </w:r>
      <w:r w:rsidR="00EC62EF">
        <w:rPr>
          <w:rFonts w:asciiTheme="majorBidi" w:hAnsiTheme="majorBidi" w:cstheme="majorBidi"/>
        </w:rPr>
        <w:t>spriedumu</w:t>
      </w:r>
      <w:bookmarkEnd w:id="0"/>
      <w:r w:rsidRPr="007D35A4">
        <w:rPr>
          <w:rFonts w:asciiTheme="majorBidi" w:hAnsiTheme="majorBidi" w:cstheme="majorBidi"/>
        </w:rPr>
        <w:t>.</w:t>
      </w:r>
    </w:p>
    <w:p w14:paraId="4D779938" w14:textId="77777777" w:rsidR="003A0DCC" w:rsidRPr="007D35A4" w:rsidRDefault="003A0DCC" w:rsidP="00875D93">
      <w:pPr>
        <w:widowControl w:val="0"/>
        <w:spacing w:line="276" w:lineRule="auto"/>
        <w:ind w:firstLine="720"/>
        <w:jc w:val="both"/>
        <w:rPr>
          <w:rFonts w:asciiTheme="majorBidi" w:hAnsiTheme="majorBidi" w:cstheme="majorBidi"/>
        </w:rPr>
      </w:pPr>
    </w:p>
    <w:p w14:paraId="003DD9DB" w14:textId="77777777" w:rsidR="003A0DCC" w:rsidRPr="007D35A4" w:rsidRDefault="003A0DCC" w:rsidP="00875D93">
      <w:pPr>
        <w:widowControl w:val="0"/>
        <w:spacing w:line="276" w:lineRule="auto"/>
        <w:jc w:val="center"/>
        <w:rPr>
          <w:rFonts w:asciiTheme="majorBidi" w:hAnsiTheme="majorBidi" w:cstheme="majorBidi"/>
          <w:b/>
        </w:rPr>
      </w:pPr>
      <w:r w:rsidRPr="007D35A4">
        <w:rPr>
          <w:rFonts w:asciiTheme="majorBidi" w:hAnsiTheme="majorBidi" w:cstheme="majorBidi"/>
          <w:b/>
        </w:rPr>
        <w:t>Aprakstošā daļa</w:t>
      </w:r>
    </w:p>
    <w:p w14:paraId="5FDB583C" w14:textId="77777777" w:rsidR="003A0DCC" w:rsidRPr="007D35A4" w:rsidRDefault="003A0DCC" w:rsidP="00875D93">
      <w:pPr>
        <w:widowControl w:val="0"/>
        <w:spacing w:line="276" w:lineRule="auto"/>
        <w:ind w:firstLine="720"/>
        <w:jc w:val="both"/>
        <w:rPr>
          <w:rFonts w:asciiTheme="majorBidi" w:hAnsiTheme="majorBidi" w:cstheme="majorBidi"/>
        </w:rPr>
      </w:pPr>
    </w:p>
    <w:p w14:paraId="64FC859C" w14:textId="2D0F9E4D" w:rsidR="00784798" w:rsidRDefault="003A0DCC" w:rsidP="00875D93">
      <w:pPr>
        <w:spacing w:line="276" w:lineRule="auto"/>
        <w:ind w:right="-1" w:firstLine="720"/>
        <w:jc w:val="both"/>
      </w:pPr>
      <w:r w:rsidRPr="007D35A4">
        <w:rPr>
          <w:rFonts w:asciiTheme="majorBidi" w:hAnsiTheme="majorBidi" w:cstheme="majorBidi"/>
        </w:rPr>
        <w:t>[1] </w:t>
      </w:r>
      <w:bookmarkStart w:id="1" w:name="_Hlk122505146"/>
      <w:r w:rsidR="00784798">
        <w:t xml:space="preserve">Ar </w:t>
      </w:r>
      <w:bookmarkStart w:id="2" w:name="_Hlk139029497"/>
      <w:bookmarkStart w:id="3" w:name="_Hlk129701471"/>
      <w:r w:rsidR="00784798">
        <w:t xml:space="preserve">Rīgas pilsētas Latgales priekšpilsētas tiesas 2022. gada 25. marta </w:t>
      </w:r>
      <w:bookmarkEnd w:id="2"/>
      <w:r w:rsidR="00784798">
        <w:t>spriedumu</w:t>
      </w:r>
      <w:bookmarkEnd w:id="3"/>
    </w:p>
    <w:p w14:paraId="469EA24A" w14:textId="721A19BC" w:rsidR="00784798" w:rsidRDefault="00EE0F63" w:rsidP="00875D93">
      <w:pPr>
        <w:spacing w:line="276" w:lineRule="auto"/>
        <w:ind w:right="-1" w:firstLine="720"/>
        <w:jc w:val="both"/>
      </w:pPr>
      <w:r>
        <w:t>[pers. A]</w:t>
      </w:r>
      <w:r w:rsidR="00784798">
        <w:t xml:space="preserve">, personas kods </w:t>
      </w:r>
      <w:r>
        <w:t>[..]</w:t>
      </w:r>
      <w:r w:rsidR="00784798">
        <w:t>,</w:t>
      </w:r>
    </w:p>
    <w:p w14:paraId="4EC4CAF2" w14:textId="0E282B5F" w:rsidR="00784798" w:rsidRDefault="00784798" w:rsidP="00875D93">
      <w:pPr>
        <w:spacing w:line="276" w:lineRule="auto"/>
        <w:ind w:right="-1" w:firstLine="720"/>
        <w:jc w:val="both"/>
      </w:pPr>
      <w:r>
        <w:t>atzīts par vainīgu Krimināllikuma 176. panta pirmajā daļā (izdarīts 2021.</w:t>
      </w:r>
      <w:r w:rsidR="007A401E">
        <w:t> </w:t>
      </w:r>
      <w:r>
        <w:t>gada 18.</w:t>
      </w:r>
      <w:r w:rsidR="007A401E">
        <w:t> </w:t>
      </w:r>
      <w:r>
        <w:t>augustā) paredzētajā noziedzīgajā nodarījumā un sodīts ar brīvības atņemšanu uz 1</w:t>
      </w:r>
      <w:r w:rsidR="002D7998">
        <w:t> </w:t>
      </w:r>
      <w:r>
        <w:t>gadu;</w:t>
      </w:r>
    </w:p>
    <w:p w14:paraId="3384B4CE" w14:textId="4DE68FC5" w:rsidR="00784798" w:rsidRDefault="00784798" w:rsidP="00875D93">
      <w:pPr>
        <w:spacing w:line="276" w:lineRule="auto"/>
        <w:ind w:right="-1" w:firstLine="720"/>
        <w:jc w:val="both"/>
      </w:pPr>
      <w:r>
        <w:t>atzīts par vainīgu Krimināllikuma 176. panta pirmajā daļā (izdarīts 2021.</w:t>
      </w:r>
      <w:r w:rsidR="007A401E">
        <w:t> </w:t>
      </w:r>
      <w:r>
        <w:t>gada 27.</w:t>
      </w:r>
      <w:r w:rsidR="007A401E">
        <w:t> </w:t>
      </w:r>
      <w:r>
        <w:t>augustā) paredzētajā noziedzīgajā nodarījumā un sodīts ar brīvības atņemšanu uz 1</w:t>
      </w:r>
      <w:r w:rsidR="002D7998">
        <w:t> </w:t>
      </w:r>
      <w:r>
        <w:t>gadu;</w:t>
      </w:r>
    </w:p>
    <w:p w14:paraId="14AA19D8" w14:textId="58FD1161" w:rsidR="00784798" w:rsidRDefault="00784798" w:rsidP="00875D93">
      <w:pPr>
        <w:spacing w:line="276" w:lineRule="auto"/>
        <w:ind w:right="-1" w:firstLine="720"/>
        <w:jc w:val="both"/>
      </w:pPr>
      <w:r>
        <w:t>atzīts par vainīgu Krimināllikuma 176. panta pirmajā daļā (izdarīts 2021.</w:t>
      </w:r>
      <w:r w:rsidR="007A401E">
        <w:t> </w:t>
      </w:r>
      <w:r>
        <w:t>gada 3.</w:t>
      </w:r>
      <w:r w:rsidR="007A401E">
        <w:t> </w:t>
      </w:r>
      <w:r>
        <w:t>septembrī) paredzētajā noziedzīgajā nodarījumā un sodīts ar brīvības atņemšanu uz 1</w:t>
      </w:r>
      <w:r w:rsidR="002D7998">
        <w:t> </w:t>
      </w:r>
      <w:r>
        <w:t>gadu;</w:t>
      </w:r>
    </w:p>
    <w:p w14:paraId="3716F919" w14:textId="69F3C9EA" w:rsidR="00784798" w:rsidRDefault="00784798" w:rsidP="00875D93">
      <w:pPr>
        <w:spacing w:line="276" w:lineRule="auto"/>
        <w:ind w:right="-1" w:firstLine="720"/>
        <w:jc w:val="both"/>
      </w:pPr>
      <w:bookmarkStart w:id="4" w:name="_Hlk138154717"/>
      <w:r>
        <w:t>atzīts par vainīgu Krimināllikuma 176. panta pirmajā daļā (izdarīts 2021.</w:t>
      </w:r>
      <w:r w:rsidR="007A401E">
        <w:t> </w:t>
      </w:r>
      <w:r>
        <w:t xml:space="preserve">gada </w:t>
      </w:r>
      <w:r w:rsidR="0077475B">
        <w:t>4</w:t>
      </w:r>
      <w:r>
        <w:t>.</w:t>
      </w:r>
      <w:r w:rsidR="007A401E">
        <w:t> </w:t>
      </w:r>
      <w:r>
        <w:t>septembrī) paredzētajā noziedzīgajā nodarījumā un sodīts ar brīvības atņemšanu uz 1</w:t>
      </w:r>
      <w:r w:rsidR="002D7998">
        <w:t> </w:t>
      </w:r>
      <w:r>
        <w:t>gadu;</w:t>
      </w:r>
    </w:p>
    <w:bookmarkEnd w:id="4"/>
    <w:p w14:paraId="59A87133" w14:textId="78B28CDD" w:rsidR="0077475B" w:rsidRDefault="0077475B" w:rsidP="00875D93">
      <w:pPr>
        <w:spacing w:line="276" w:lineRule="auto"/>
        <w:ind w:right="-1" w:firstLine="720"/>
        <w:jc w:val="both"/>
      </w:pPr>
      <w:r>
        <w:t>atzīts par vainīgu Krimināllikuma 15. panta ceturtajā daļā un 176. panta pirmajā daļā (izdarīts 2021.</w:t>
      </w:r>
      <w:r w:rsidR="007A401E">
        <w:t> </w:t>
      </w:r>
      <w:r>
        <w:t>gada 5.</w:t>
      </w:r>
      <w:r w:rsidR="007A401E">
        <w:t> </w:t>
      </w:r>
      <w:r>
        <w:t>septembrī) paredzētajā noziedzīgajā nodarījumā un sodīts ar brīvības atņemšanu uz 1</w:t>
      </w:r>
      <w:r w:rsidR="002D7998">
        <w:t> </w:t>
      </w:r>
      <w:r>
        <w:t>gadu 2</w:t>
      </w:r>
      <w:r w:rsidR="002D7998">
        <w:t> </w:t>
      </w:r>
      <w:r>
        <w:t>mēnešiem.</w:t>
      </w:r>
    </w:p>
    <w:p w14:paraId="6AC5A9D2" w14:textId="5E3A04D3" w:rsidR="00784798" w:rsidRDefault="00784798" w:rsidP="00875D93">
      <w:pPr>
        <w:spacing w:line="276" w:lineRule="auto"/>
        <w:ind w:right="-1" w:firstLine="720"/>
        <w:jc w:val="both"/>
      </w:pPr>
      <w:bookmarkStart w:id="5" w:name="_Hlk127986113"/>
      <w:r>
        <w:t xml:space="preserve">Saskaņā ar Krimināllikuma 50. panta pirmo </w:t>
      </w:r>
      <w:r w:rsidR="0077475B">
        <w:t xml:space="preserve">un trešo </w:t>
      </w:r>
      <w:r>
        <w:t xml:space="preserve">daļu </w:t>
      </w:r>
      <w:bookmarkEnd w:id="5"/>
      <w:r w:rsidR="0051377D">
        <w:t xml:space="preserve">noteikts </w:t>
      </w:r>
      <w:r>
        <w:t xml:space="preserve">sods brīvības atņemšana </w:t>
      </w:r>
      <w:r w:rsidR="000745BF">
        <w:t xml:space="preserve">uz </w:t>
      </w:r>
      <w:r w:rsidR="0077475B">
        <w:t>4</w:t>
      </w:r>
      <w:r w:rsidR="002D7998">
        <w:t> </w:t>
      </w:r>
      <w:r>
        <w:t>gadi</w:t>
      </w:r>
      <w:r w:rsidR="0077475B">
        <w:t>em</w:t>
      </w:r>
      <w:r>
        <w:t xml:space="preserve"> </w:t>
      </w:r>
      <w:r w:rsidR="0077475B">
        <w:t>6</w:t>
      </w:r>
      <w:r w:rsidR="002D7998">
        <w:t> </w:t>
      </w:r>
      <w:r w:rsidR="0077475B">
        <w:t>mēnešiem.</w:t>
      </w:r>
    </w:p>
    <w:p w14:paraId="4C41B954" w14:textId="677D4F97" w:rsidR="0077475B" w:rsidRDefault="0077475B" w:rsidP="00875D93">
      <w:pPr>
        <w:spacing w:line="276" w:lineRule="auto"/>
        <w:ind w:right="-1" w:firstLine="720"/>
        <w:jc w:val="both"/>
      </w:pPr>
      <w:r>
        <w:t xml:space="preserve">Saskaņā ar Krimināllikuma 51. panta pirmo daļu </w:t>
      </w:r>
      <w:r w:rsidR="0051377D">
        <w:t xml:space="preserve">noteikts </w:t>
      </w:r>
      <w:r>
        <w:t xml:space="preserve">galīgais sods brīvības atņemšana </w:t>
      </w:r>
      <w:r w:rsidR="000745BF">
        <w:t xml:space="preserve">uz </w:t>
      </w:r>
      <w:r>
        <w:t>8</w:t>
      </w:r>
      <w:r w:rsidR="002D7998">
        <w:t> </w:t>
      </w:r>
      <w:r>
        <w:t>gadiem 6</w:t>
      </w:r>
      <w:r w:rsidR="002D7998">
        <w:t> </w:t>
      </w:r>
      <w:r>
        <w:t>mēnešiem un probācijas uzraudzība uz 2</w:t>
      </w:r>
      <w:r w:rsidR="002D7998">
        <w:t> </w:t>
      </w:r>
      <w:r>
        <w:t>gadiem 6</w:t>
      </w:r>
      <w:r w:rsidR="002D7998">
        <w:t> </w:t>
      </w:r>
      <w:r>
        <w:t>mēnešiem.</w:t>
      </w:r>
    </w:p>
    <w:p w14:paraId="4F660B27" w14:textId="1738359A" w:rsidR="0077475B" w:rsidRPr="0077475B" w:rsidRDefault="0077475B" w:rsidP="00875D93">
      <w:pPr>
        <w:spacing w:line="276" w:lineRule="auto"/>
        <w:ind w:right="-1" w:firstLine="720"/>
        <w:jc w:val="both"/>
      </w:pPr>
      <w:r>
        <w:t>Piedzīts</w:t>
      </w:r>
      <w:r w:rsidR="00E800DC" w:rsidRPr="00E800DC">
        <w:t xml:space="preserve"> </w:t>
      </w:r>
      <w:r w:rsidR="00E800DC">
        <w:t>mantiskais zaudējums</w:t>
      </w:r>
      <w:r>
        <w:t xml:space="preserve"> no </w:t>
      </w:r>
      <w:r w:rsidR="00EE0F63">
        <w:t>[pers. A]</w:t>
      </w:r>
      <w:r>
        <w:t xml:space="preserve"> SIA</w:t>
      </w:r>
      <w:r w:rsidR="00A455CF">
        <w:t> </w:t>
      </w:r>
      <w:r>
        <w:t>„</w:t>
      </w:r>
      <w:r w:rsidR="00977886">
        <w:t>[Nosaukums A]</w:t>
      </w:r>
      <w:r>
        <w:t>” labā 905</w:t>
      </w:r>
      <w:r w:rsidR="00A455CF">
        <w:t> </w:t>
      </w:r>
      <w:proofErr w:type="spellStart"/>
      <w:r w:rsidRPr="0077475B">
        <w:rPr>
          <w:i/>
          <w:iCs/>
        </w:rPr>
        <w:t>euro</w:t>
      </w:r>
      <w:proofErr w:type="spellEnd"/>
      <w:r>
        <w:t xml:space="preserve">, </w:t>
      </w:r>
      <w:r w:rsidR="00A455CF">
        <w:t>SIA</w:t>
      </w:r>
      <w:r w:rsidR="00B570F1">
        <w:t> </w:t>
      </w:r>
      <w:r w:rsidR="00A455CF">
        <w:t>,,</w:t>
      </w:r>
      <w:r w:rsidR="00977886">
        <w:t>[Nosaukums B]</w:t>
      </w:r>
      <w:r w:rsidR="00A455CF">
        <w:t>” labā 146,83 </w:t>
      </w:r>
      <w:proofErr w:type="spellStart"/>
      <w:r w:rsidR="00A455CF" w:rsidRPr="00A455CF">
        <w:rPr>
          <w:i/>
          <w:iCs/>
        </w:rPr>
        <w:t>euro</w:t>
      </w:r>
      <w:proofErr w:type="spellEnd"/>
      <w:r w:rsidR="00A455CF">
        <w:t>, SIA</w:t>
      </w:r>
      <w:r w:rsidR="00B570F1">
        <w:t> </w:t>
      </w:r>
      <w:r w:rsidR="00A455CF">
        <w:t>,,</w:t>
      </w:r>
      <w:r w:rsidR="00977886">
        <w:t>[Nosaukums C]</w:t>
      </w:r>
      <w:r w:rsidR="00A455CF">
        <w:t>” labā 177,58 </w:t>
      </w:r>
      <w:proofErr w:type="spellStart"/>
      <w:r w:rsidR="00A455CF" w:rsidRPr="00A455CF">
        <w:rPr>
          <w:i/>
          <w:iCs/>
        </w:rPr>
        <w:t>euro</w:t>
      </w:r>
      <w:proofErr w:type="spellEnd"/>
      <w:r w:rsidR="00A455CF">
        <w:t>, SIA</w:t>
      </w:r>
      <w:r w:rsidR="00B570F1">
        <w:t> </w:t>
      </w:r>
      <w:r w:rsidR="00977886">
        <w:t>„[Nosaukums D]</w:t>
      </w:r>
      <w:r w:rsidR="00A455CF">
        <w:t>” labā 80 </w:t>
      </w:r>
      <w:proofErr w:type="spellStart"/>
      <w:r w:rsidR="00A455CF" w:rsidRPr="00A455CF">
        <w:rPr>
          <w:i/>
          <w:iCs/>
        </w:rPr>
        <w:t>euro</w:t>
      </w:r>
      <w:proofErr w:type="spellEnd"/>
      <w:r w:rsidR="00A455CF">
        <w:t>.</w:t>
      </w:r>
    </w:p>
    <w:bookmarkEnd w:id="1"/>
    <w:p w14:paraId="27122666" w14:textId="77777777" w:rsidR="003A0DCC" w:rsidRPr="007D35A4" w:rsidRDefault="003A0DCC" w:rsidP="00875D93">
      <w:pPr>
        <w:widowControl w:val="0"/>
        <w:spacing w:line="276" w:lineRule="auto"/>
        <w:jc w:val="both"/>
        <w:rPr>
          <w:rFonts w:asciiTheme="majorBidi" w:hAnsiTheme="majorBidi" w:cstheme="majorBidi"/>
          <w:highlight w:val="yellow"/>
        </w:rPr>
      </w:pPr>
    </w:p>
    <w:p w14:paraId="29078E6F" w14:textId="5F2B0F8C" w:rsidR="002F7C4E" w:rsidRPr="00552ECB" w:rsidRDefault="002F7C4E" w:rsidP="00875D93">
      <w:pPr>
        <w:widowControl w:val="0"/>
        <w:spacing w:line="276" w:lineRule="auto"/>
        <w:ind w:firstLine="720"/>
        <w:jc w:val="both"/>
      </w:pPr>
      <w:r w:rsidRPr="007D35A4">
        <w:rPr>
          <w:rFonts w:asciiTheme="majorBidi" w:hAnsiTheme="majorBidi" w:cstheme="majorBidi"/>
        </w:rPr>
        <w:t>[</w:t>
      </w:r>
      <w:r>
        <w:rPr>
          <w:rFonts w:asciiTheme="majorBidi" w:hAnsiTheme="majorBidi" w:cstheme="majorBidi"/>
        </w:rPr>
        <w:t>2</w:t>
      </w:r>
      <w:r w:rsidRPr="007D35A4">
        <w:rPr>
          <w:rFonts w:asciiTheme="majorBidi" w:hAnsiTheme="majorBidi" w:cstheme="majorBidi"/>
        </w:rPr>
        <w:t xml:space="preserve">] Ar </w:t>
      </w:r>
      <w:r w:rsidRPr="00875D93">
        <w:rPr>
          <w:rFonts w:asciiTheme="majorBidi" w:hAnsiTheme="majorBidi" w:cstheme="majorBidi"/>
        </w:rPr>
        <w:t>Rīgas pilsētas Latgales priekšpilsētas tiesas 2022.</w:t>
      </w:r>
      <w:r w:rsidR="00875D93">
        <w:rPr>
          <w:rFonts w:asciiTheme="majorBidi" w:hAnsiTheme="majorBidi" w:cstheme="majorBidi"/>
        </w:rPr>
        <w:t> </w:t>
      </w:r>
      <w:r w:rsidRPr="00875D93">
        <w:rPr>
          <w:rFonts w:asciiTheme="majorBidi" w:hAnsiTheme="majorBidi" w:cstheme="majorBidi"/>
        </w:rPr>
        <w:t>gada 25.</w:t>
      </w:r>
      <w:r w:rsidR="00875D93">
        <w:rPr>
          <w:rFonts w:asciiTheme="majorBidi" w:hAnsiTheme="majorBidi" w:cstheme="majorBidi"/>
        </w:rPr>
        <w:t> </w:t>
      </w:r>
      <w:r w:rsidRPr="00875D93">
        <w:rPr>
          <w:rFonts w:asciiTheme="majorBidi" w:hAnsiTheme="majorBidi" w:cstheme="majorBidi"/>
        </w:rPr>
        <w:t>marta</w:t>
      </w:r>
      <w:r w:rsidRPr="009F47B3">
        <w:rPr>
          <w:rFonts w:asciiTheme="majorBidi" w:hAnsiTheme="majorBidi" w:cstheme="majorBidi"/>
        </w:rPr>
        <w:t xml:space="preserve"> </w:t>
      </w:r>
      <w:r>
        <w:rPr>
          <w:rFonts w:asciiTheme="majorBidi" w:hAnsiTheme="majorBidi" w:cstheme="majorBidi"/>
        </w:rPr>
        <w:t xml:space="preserve">spriedumu </w:t>
      </w:r>
      <w:r w:rsidR="00EE0F63">
        <w:t>[pers. A]</w:t>
      </w:r>
      <w:r>
        <w:t xml:space="preserve"> atzīts par vainīgu četru Krimināllikuma 176. panta pirmajā daļā paredzētu noziedzīgu nodarījumu izdarīšanā par svešas kustamas mantas nolaupīšanu, saistītu ar vardarbības piedraudējumu (laupīšana) un par Krimināllikuma 15. panta ceturtajā daļā un 176. panta pirmajā daļā paredzētā noziedzīgā nodarījuma izdarīšanu – svešas kustamas mantas nolaupīšanas, saistītas ar vardarbības piedraudējumu (laupīšana), mēģinājumu.</w:t>
      </w:r>
    </w:p>
    <w:p w14:paraId="115A6DEB" w14:textId="77777777" w:rsidR="002F7C4E" w:rsidRDefault="002F7C4E" w:rsidP="00875D93">
      <w:pPr>
        <w:widowControl w:val="0"/>
        <w:spacing w:line="276" w:lineRule="auto"/>
        <w:ind w:firstLine="720"/>
        <w:jc w:val="both"/>
        <w:rPr>
          <w:rFonts w:asciiTheme="majorBidi" w:hAnsiTheme="majorBidi" w:cstheme="majorBidi"/>
        </w:rPr>
      </w:pPr>
    </w:p>
    <w:p w14:paraId="7E57D17F" w14:textId="5CA7254E" w:rsidR="003A0DCC" w:rsidRDefault="003A0DCC" w:rsidP="00875D93">
      <w:pPr>
        <w:widowControl w:val="0"/>
        <w:spacing w:line="276" w:lineRule="auto"/>
        <w:ind w:firstLine="720"/>
        <w:jc w:val="both"/>
      </w:pPr>
      <w:r w:rsidRPr="007D35A4">
        <w:rPr>
          <w:rFonts w:asciiTheme="majorBidi" w:hAnsiTheme="majorBidi" w:cstheme="majorBidi"/>
        </w:rPr>
        <w:t>[</w:t>
      </w:r>
      <w:r w:rsidR="002F7C4E">
        <w:rPr>
          <w:rFonts w:asciiTheme="majorBidi" w:hAnsiTheme="majorBidi" w:cstheme="majorBidi"/>
        </w:rPr>
        <w:t>3</w:t>
      </w:r>
      <w:r w:rsidRPr="007D35A4">
        <w:rPr>
          <w:rFonts w:asciiTheme="majorBidi" w:hAnsiTheme="majorBidi" w:cstheme="majorBidi"/>
        </w:rPr>
        <w:t xml:space="preserve">] Ar </w:t>
      </w:r>
      <w:r w:rsidR="00A455CF">
        <w:rPr>
          <w:rFonts w:asciiTheme="majorBidi" w:hAnsiTheme="majorBidi" w:cstheme="majorBidi"/>
        </w:rPr>
        <w:t>Rīgas apgabaltiesas 2023.</w:t>
      </w:r>
      <w:r w:rsidR="003F281F">
        <w:rPr>
          <w:rFonts w:asciiTheme="majorBidi" w:hAnsiTheme="majorBidi" w:cstheme="majorBidi"/>
        </w:rPr>
        <w:t> </w:t>
      </w:r>
      <w:r w:rsidR="00A455CF">
        <w:rPr>
          <w:rFonts w:asciiTheme="majorBidi" w:hAnsiTheme="majorBidi" w:cstheme="majorBidi"/>
        </w:rPr>
        <w:t>gada 16.</w:t>
      </w:r>
      <w:r w:rsidR="003F281F">
        <w:rPr>
          <w:rFonts w:asciiTheme="majorBidi" w:hAnsiTheme="majorBidi" w:cstheme="majorBidi"/>
        </w:rPr>
        <w:t> </w:t>
      </w:r>
      <w:r w:rsidR="00A455CF">
        <w:rPr>
          <w:rFonts w:asciiTheme="majorBidi" w:hAnsiTheme="majorBidi" w:cstheme="majorBidi"/>
        </w:rPr>
        <w:t xml:space="preserve">janvāra spriedumu Rīgas pilsētas </w:t>
      </w:r>
      <w:r w:rsidR="00A455CF">
        <w:t xml:space="preserve">Latgales priekšpilsētas tiesas 2022. gada 25. marta spriedums atcelts daļā par </w:t>
      </w:r>
      <w:r w:rsidR="00EE0F63">
        <w:t>[pers. A]</w:t>
      </w:r>
      <w:r w:rsidR="00A455CF">
        <w:t xml:space="preserve"> noteikto sodu par četriem Krimināllikuma 176.</w:t>
      </w:r>
      <w:r w:rsidR="003F281F">
        <w:t> </w:t>
      </w:r>
      <w:r w:rsidR="00A455CF">
        <w:t xml:space="preserve">panta </w:t>
      </w:r>
      <w:r w:rsidR="003E0CE2">
        <w:t>pirmajā</w:t>
      </w:r>
      <w:r w:rsidR="00A455CF">
        <w:t xml:space="preserve"> daļā</w:t>
      </w:r>
      <w:r w:rsidR="00630BC7">
        <w:t xml:space="preserve"> (izdarīti</w:t>
      </w:r>
      <w:r w:rsidR="001F1443">
        <w:t>em</w:t>
      </w:r>
      <w:r w:rsidR="00630BC7">
        <w:t xml:space="preserve"> 2021. gada 18., 27.</w:t>
      </w:r>
      <w:r w:rsidR="003E0CE2">
        <w:t> </w:t>
      </w:r>
      <w:r w:rsidR="00630BC7">
        <w:t>augustā, 3., 4.</w:t>
      </w:r>
      <w:r w:rsidR="003E0CE2">
        <w:t> </w:t>
      </w:r>
      <w:r w:rsidR="00630BC7">
        <w:t xml:space="preserve">septembrī) </w:t>
      </w:r>
      <w:r w:rsidR="00A455CF">
        <w:t xml:space="preserve">paredzētajiem noziedzīgajiem nodarījumiem, </w:t>
      </w:r>
      <w:r w:rsidR="00630BC7">
        <w:t xml:space="preserve">daļā par </w:t>
      </w:r>
      <w:r w:rsidR="00A455CF">
        <w:t>noteikto sodu saskaņā ar Krimināllikuma 50.</w:t>
      </w:r>
      <w:r w:rsidR="00630BC7">
        <w:t> </w:t>
      </w:r>
      <w:r w:rsidR="00A455CF">
        <w:t xml:space="preserve">panta pirmo un trešo daļu, </w:t>
      </w:r>
      <w:r w:rsidR="00630BC7">
        <w:t>daļā par</w:t>
      </w:r>
      <w:r w:rsidR="000745BF" w:rsidRPr="000745BF">
        <w:t xml:space="preserve"> </w:t>
      </w:r>
      <w:r w:rsidR="000745BF">
        <w:t>noteikto sodu saskaņā ar Krimināllikuma</w:t>
      </w:r>
      <w:r w:rsidR="00630BC7">
        <w:t xml:space="preserve"> 51. panta pirmo daļu</w:t>
      </w:r>
      <w:r w:rsidR="003E0CE2">
        <w:t xml:space="preserve"> un </w:t>
      </w:r>
      <w:r w:rsidR="00630BC7">
        <w:t xml:space="preserve">daļā par mantiskā zaudējuma </w:t>
      </w:r>
      <w:r w:rsidR="00A7483B">
        <w:t>kompensāciju.</w:t>
      </w:r>
    </w:p>
    <w:p w14:paraId="3CB78ED0" w14:textId="3D5E0CFC" w:rsidR="00E67B27" w:rsidRDefault="00EE0F63" w:rsidP="00875D93">
      <w:pPr>
        <w:spacing w:line="276" w:lineRule="auto"/>
        <w:ind w:right="-1" w:firstLine="720"/>
        <w:jc w:val="both"/>
      </w:pPr>
      <w:r>
        <w:t>[Pers. A]</w:t>
      </w:r>
      <w:r w:rsidR="00AB48FF">
        <w:t xml:space="preserve"> </w:t>
      </w:r>
      <w:r w:rsidR="00630BC7">
        <w:t xml:space="preserve">par </w:t>
      </w:r>
      <w:r w:rsidR="00AB48FF">
        <w:t xml:space="preserve">katru no četriem </w:t>
      </w:r>
      <w:r w:rsidR="00630BC7">
        <w:t>Krimināllikuma 176. panta pirmajā daļā (</w:t>
      </w:r>
      <w:r w:rsidR="00AB48FF">
        <w:t>izdarīti</w:t>
      </w:r>
      <w:r w:rsidR="001F1443">
        <w:t>em</w:t>
      </w:r>
      <w:r w:rsidR="00AB48FF">
        <w:t xml:space="preserve"> 2021. gada 18., 27. augustā, 3., 4. septembrī</w:t>
      </w:r>
      <w:r w:rsidR="00630BC7">
        <w:t>) paredzēt</w:t>
      </w:r>
      <w:r w:rsidR="00AB48FF">
        <w:t>ajiem</w:t>
      </w:r>
      <w:r w:rsidR="00630BC7">
        <w:t xml:space="preserve"> noziedzīg</w:t>
      </w:r>
      <w:r w:rsidR="00AB48FF">
        <w:t>ajiem</w:t>
      </w:r>
      <w:r w:rsidR="00630BC7">
        <w:t xml:space="preserve"> nodarījum</w:t>
      </w:r>
      <w:r w:rsidR="00AB48FF">
        <w:t>iem</w:t>
      </w:r>
      <w:r w:rsidR="00630BC7">
        <w:t xml:space="preserve"> sodīts ar brīvības atņemšanu uz 11</w:t>
      </w:r>
      <w:r w:rsidR="002D7998">
        <w:t> </w:t>
      </w:r>
      <w:r w:rsidR="00E67B27">
        <w:t>mēnešiem.</w:t>
      </w:r>
    </w:p>
    <w:p w14:paraId="3EAF6FBD" w14:textId="1456467D" w:rsidR="00E67B27" w:rsidRDefault="00E67B27" w:rsidP="00875D93">
      <w:pPr>
        <w:spacing w:line="276" w:lineRule="auto"/>
        <w:ind w:right="-1" w:firstLine="720"/>
        <w:jc w:val="both"/>
      </w:pPr>
      <w:r>
        <w:t>Saskaņā ar Krimināllikuma 50. panta pirmo un trešo daļu</w:t>
      </w:r>
      <w:r w:rsidR="00E800DC" w:rsidRPr="00E800DC">
        <w:t xml:space="preserve"> </w:t>
      </w:r>
      <w:r w:rsidR="00E800DC">
        <w:t>noteikts</w:t>
      </w:r>
      <w:r>
        <w:t xml:space="preserve"> sods</w:t>
      </w:r>
      <w:r w:rsidR="0051377D" w:rsidRPr="0051377D">
        <w:t xml:space="preserve"> </w:t>
      </w:r>
      <w:r>
        <w:t>brīvības atņemšana</w:t>
      </w:r>
      <w:r w:rsidR="00AB48FF">
        <w:t xml:space="preserve"> uz</w:t>
      </w:r>
      <w:r>
        <w:t xml:space="preserve"> 4</w:t>
      </w:r>
      <w:r w:rsidR="002D7998">
        <w:t> </w:t>
      </w:r>
      <w:r>
        <w:t>gadiem</w:t>
      </w:r>
      <w:r w:rsidR="000B42D9">
        <w:t xml:space="preserve"> </w:t>
      </w:r>
      <w:r>
        <w:t>4</w:t>
      </w:r>
      <w:r w:rsidR="002D7998">
        <w:t> </w:t>
      </w:r>
      <w:r>
        <w:t>mēnešiem.</w:t>
      </w:r>
    </w:p>
    <w:p w14:paraId="6B5E84AB" w14:textId="4189D86C" w:rsidR="00E67B27" w:rsidRDefault="00E67B27" w:rsidP="00875D93">
      <w:pPr>
        <w:spacing w:line="276" w:lineRule="auto"/>
        <w:ind w:right="-1" w:firstLine="720"/>
        <w:jc w:val="both"/>
      </w:pPr>
      <w:r>
        <w:t>Saskaņā ar Krimināllikuma 51. panta pirmo daļu</w:t>
      </w:r>
      <w:r w:rsidR="0051377D" w:rsidRPr="0051377D">
        <w:t xml:space="preserve"> </w:t>
      </w:r>
      <w:r w:rsidR="0051377D">
        <w:t>noteikts</w:t>
      </w:r>
      <w:r>
        <w:t xml:space="preserve"> galīgais sods brīvības atņemšana </w:t>
      </w:r>
      <w:r w:rsidR="000745BF">
        <w:t xml:space="preserve">uz </w:t>
      </w:r>
      <w:r>
        <w:t>8</w:t>
      </w:r>
      <w:r w:rsidR="002D7998">
        <w:t> </w:t>
      </w:r>
      <w:r>
        <w:t>gadiem 4</w:t>
      </w:r>
      <w:r w:rsidR="002D7998">
        <w:t> </w:t>
      </w:r>
      <w:r>
        <w:t>mēnešiem un probācijas uzraudzība uz 2</w:t>
      </w:r>
      <w:r w:rsidR="002D7998">
        <w:t> </w:t>
      </w:r>
      <w:r>
        <w:t>gadiem</w:t>
      </w:r>
      <w:r w:rsidR="000745BF">
        <w:t xml:space="preserve"> </w:t>
      </w:r>
      <w:r>
        <w:t>6</w:t>
      </w:r>
      <w:r w:rsidR="002D7998">
        <w:t> </w:t>
      </w:r>
      <w:r>
        <w:t>mēnešiem.</w:t>
      </w:r>
    </w:p>
    <w:p w14:paraId="4CE42BBB" w14:textId="756FDF5C" w:rsidR="00E67B27" w:rsidRDefault="00E67B27" w:rsidP="00875D93">
      <w:pPr>
        <w:spacing w:line="276" w:lineRule="auto"/>
        <w:ind w:right="-1" w:firstLine="720"/>
        <w:jc w:val="both"/>
      </w:pPr>
      <w:r>
        <w:t>SIA „</w:t>
      </w:r>
      <w:r w:rsidR="00977886">
        <w:t>[Nosaukums A]</w:t>
      </w:r>
      <w:r>
        <w:t>”, SIA ,,</w:t>
      </w:r>
      <w:r w:rsidR="00977886">
        <w:t>[Nosaukums B]</w:t>
      </w:r>
      <w:r>
        <w:t>”, SIA ,,</w:t>
      </w:r>
      <w:r w:rsidR="00977886">
        <w:t>[Nosaukums C]</w:t>
      </w:r>
      <w:r>
        <w:t>” un SIA </w:t>
      </w:r>
      <w:r w:rsidR="00977886">
        <w:t>„[Nosaukums D]</w:t>
      </w:r>
      <w:r>
        <w:t>” mantiskā kaitējuma kompensācija nav noteikta.</w:t>
      </w:r>
    </w:p>
    <w:p w14:paraId="2EC258FA" w14:textId="00B1B83B" w:rsidR="00E67B27" w:rsidRDefault="00E67B27" w:rsidP="00875D93">
      <w:pPr>
        <w:spacing w:line="276" w:lineRule="auto"/>
        <w:ind w:right="-1" w:firstLine="720"/>
        <w:jc w:val="both"/>
      </w:pPr>
      <w:r>
        <w:t>Pārējā daļā pirmās instances tiesas spriedums atstāts negrozīts.</w:t>
      </w:r>
    </w:p>
    <w:p w14:paraId="2CC6F543" w14:textId="77777777" w:rsidR="003A0DCC" w:rsidRPr="007D35A4" w:rsidRDefault="003A0DCC" w:rsidP="00875D93">
      <w:pPr>
        <w:widowControl w:val="0"/>
        <w:spacing w:line="276" w:lineRule="auto"/>
        <w:jc w:val="both"/>
        <w:rPr>
          <w:rFonts w:asciiTheme="majorBidi" w:hAnsiTheme="majorBidi" w:cstheme="majorBidi"/>
        </w:rPr>
      </w:pPr>
    </w:p>
    <w:p w14:paraId="60224E83" w14:textId="347415AE" w:rsidR="00FB181F" w:rsidRDefault="003A0DCC" w:rsidP="00875D93">
      <w:pPr>
        <w:pStyle w:val="title-bold"/>
        <w:shd w:val="clear" w:color="auto" w:fill="FFFFFF"/>
        <w:spacing w:before="0" w:beforeAutospacing="0" w:after="0" w:afterAutospacing="0" w:line="276" w:lineRule="auto"/>
        <w:ind w:firstLine="720"/>
        <w:jc w:val="both"/>
        <w:rPr>
          <w:rFonts w:asciiTheme="majorBidi" w:hAnsiTheme="majorBidi" w:cstheme="majorBidi"/>
        </w:rPr>
      </w:pPr>
      <w:r w:rsidRPr="00D677DB">
        <w:rPr>
          <w:rFonts w:asciiTheme="majorBidi" w:hAnsiTheme="majorBidi" w:cstheme="majorBidi"/>
        </w:rPr>
        <w:t xml:space="preserve">[4] Par </w:t>
      </w:r>
      <w:r w:rsidR="00F34D3D" w:rsidRPr="00D677DB">
        <w:rPr>
          <w:rFonts w:asciiTheme="majorBidi" w:hAnsiTheme="majorBidi" w:cstheme="majorBidi"/>
        </w:rPr>
        <w:t>Rīgas apgabaltiesas 202</w:t>
      </w:r>
      <w:r w:rsidR="00966FCF" w:rsidRPr="00D677DB">
        <w:rPr>
          <w:rFonts w:asciiTheme="majorBidi" w:hAnsiTheme="majorBidi" w:cstheme="majorBidi"/>
        </w:rPr>
        <w:t>3</w:t>
      </w:r>
      <w:r w:rsidR="00F34D3D" w:rsidRPr="00D677DB">
        <w:rPr>
          <w:rFonts w:asciiTheme="majorBidi" w:hAnsiTheme="majorBidi" w:cstheme="majorBidi"/>
        </w:rPr>
        <w:t xml:space="preserve">. gada </w:t>
      </w:r>
      <w:r w:rsidR="00EC62EF" w:rsidRPr="00D677DB">
        <w:rPr>
          <w:rFonts w:asciiTheme="majorBidi" w:hAnsiTheme="majorBidi" w:cstheme="majorBidi"/>
        </w:rPr>
        <w:t>16. janvāra spriedumu</w:t>
      </w:r>
      <w:r w:rsidR="00E800DC" w:rsidRPr="00E800DC">
        <w:rPr>
          <w:rFonts w:asciiTheme="majorBidi" w:hAnsiTheme="majorBidi" w:cstheme="majorBidi"/>
        </w:rPr>
        <w:t xml:space="preserve"> </w:t>
      </w:r>
      <w:r w:rsidR="00E800DC" w:rsidRPr="00D677DB">
        <w:rPr>
          <w:rFonts w:asciiTheme="majorBidi" w:hAnsiTheme="majorBidi" w:cstheme="majorBidi"/>
        </w:rPr>
        <w:t>apsūdzētā</w:t>
      </w:r>
      <w:r w:rsidR="00E800DC" w:rsidRPr="00E800DC">
        <w:rPr>
          <w:rFonts w:asciiTheme="majorBidi" w:hAnsiTheme="majorBidi" w:cstheme="majorBidi"/>
        </w:rPr>
        <w:t xml:space="preserve"> </w:t>
      </w:r>
      <w:r w:rsidR="00EE0F63">
        <w:rPr>
          <w:rFonts w:asciiTheme="majorBidi" w:hAnsiTheme="majorBidi" w:cstheme="majorBidi"/>
        </w:rPr>
        <w:t>[pers. A]</w:t>
      </w:r>
      <w:r w:rsidR="00E800DC" w:rsidRPr="00D677DB">
        <w:rPr>
          <w:rFonts w:asciiTheme="majorBidi" w:hAnsiTheme="majorBidi" w:cstheme="majorBidi"/>
        </w:rPr>
        <w:t xml:space="preserve"> aizstāvis A. </w:t>
      </w:r>
      <w:proofErr w:type="spellStart"/>
      <w:r w:rsidR="00E800DC" w:rsidRPr="00D677DB">
        <w:rPr>
          <w:rFonts w:asciiTheme="majorBidi" w:hAnsiTheme="majorBidi" w:cstheme="majorBidi"/>
        </w:rPr>
        <w:t>Marģevičs</w:t>
      </w:r>
      <w:proofErr w:type="spellEnd"/>
      <w:r w:rsidR="00E800DC" w:rsidRPr="00E800DC">
        <w:rPr>
          <w:rFonts w:asciiTheme="majorBidi" w:hAnsiTheme="majorBidi" w:cstheme="majorBidi"/>
        </w:rPr>
        <w:t xml:space="preserve"> </w:t>
      </w:r>
      <w:r w:rsidR="00E800DC" w:rsidRPr="00D677DB">
        <w:rPr>
          <w:rFonts w:asciiTheme="majorBidi" w:hAnsiTheme="majorBidi" w:cstheme="majorBidi"/>
        </w:rPr>
        <w:t>iesniedzis</w:t>
      </w:r>
      <w:r w:rsidR="00EC62EF" w:rsidRPr="00D677DB">
        <w:rPr>
          <w:rFonts w:asciiTheme="majorBidi" w:hAnsiTheme="majorBidi" w:cstheme="majorBidi"/>
        </w:rPr>
        <w:t xml:space="preserve"> </w:t>
      </w:r>
      <w:r w:rsidRPr="00D677DB">
        <w:rPr>
          <w:rFonts w:asciiTheme="majorBidi" w:hAnsiTheme="majorBidi" w:cstheme="majorBidi"/>
        </w:rPr>
        <w:t xml:space="preserve">kasācijas </w:t>
      </w:r>
      <w:r w:rsidR="00F34D3D" w:rsidRPr="00D677DB">
        <w:rPr>
          <w:rFonts w:asciiTheme="majorBidi" w:hAnsiTheme="majorBidi" w:cstheme="majorBidi"/>
        </w:rPr>
        <w:t>sūdzību</w:t>
      </w:r>
      <w:r w:rsidR="00966FCF" w:rsidRPr="00D677DB">
        <w:rPr>
          <w:rFonts w:asciiTheme="majorBidi" w:hAnsiTheme="majorBidi" w:cstheme="majorBidi"/>
        </w:rPr>
        <w:t xml:space="preserve">, kurā lūdz </w:t>
      </w:r>
      <w:r w:rsidR="00F50A84" w:rsidRPr="00D677DB">
        <w:rPr>
          <w:rFonts w:asciiTheme="majorBidi" w:hAnsiTheme="majorBidi" w:cstheme="majorBidi"/>
        </w:rPr>
        <w:t>atcelt Rīgas apgabaltiesas 2023. gada 16. janvāra spriedumu un lietu nosūtīt jaunai izskatīšanai apelācijas instances tiesā.</w:t>
      </w:r>
    </w:p>
    <w:p w14:paraId="63BDAB3E" w14:textId="73E636A3" w:rsidR="00FB181F" w:rsidRPr="00552ECB" w:rsidRDefault="00E053F9" w:rsidP="00875D93">
      <w:pPr>
        <w:pStyle w:val="title-bold"/>
        <w:shd w:val="clear" w:color="auto" w:fill="FFFFFF"/>
        <w:spacing w:before="0" w:beforeAutospacing="0" w:after="0" w:afterAutospacing="0" w:line="276" w:lineRule="auto"/>
        <w:ind w:firstLine="720"/>
        <w:jc w:val="both"/>
      </w:pPr>
      <w:r w:rsidRPr="00552ECB">
        <w:rPr>
          <w:rFonts w:asciiTheme="majorBidi" w:hAnsiTheme="majorBidi" w:cstheme="majorBidi"/>
        </w:rPr>
        <w:t xml:space="preserve">Kasācijas sūdzībā izteikts lūgums vērsties Eiropas Savienības </w:t>
      </w:r>
      <w:r w:rsidR="00120E59" w:rsidRPr="00552ECB">
        <w:rPr>
          <w:rFonts w:asciiTheme="majorBidi" w:hAnsiTheme="majorBidi" w:cstheme="majorBidi"/>
        </w:rPr>
        <w:t>T</w:t>
      </w:r>
      <w:r w:rsidRPr="00552ECB">
        <w:rPr>
          <w:rFonts w:asciiTheme="majorBidi" w:hAnsiTheme="majorBidi" w:cstheme="majorBidi"/>
        </w:rPr>
        <w:t>iesā</w:t>
      </w:r>
      <w:r w:rsidR="00120E59" w:rsidRPr="00552ECB">
        <w:rPr>
          <w:rFonts w:asciiTheme="majorBidi" w:hAnsiTheme="majorBidi" w:cstheme="majorBidi"/>
        </w:rPr>
        <w:t xml:space="preserve"> </w:t>
      </w:r>
      <w:r w:rsidRPr="00552ECB">
        <w:rPr>
          <w:rFonts w:asciiTheme="majorBidi" w:hAnsiTheme="majorBidi" w:cstheme="majorBidi"/>
        </w:rPr>
        <w:t>prejudiciāla nolēmuma taisīšanai</w:t>
      </w:r>
      <w:r w:rsidR="00D677DB" w:rsidRPr="00552ECB">
        <w:rPr>
          <w:rFonts w:asciiTheme="majorBidi" w:hAnsiTheme="majorBidi" w:cstheme="majorBidi"/>
        </w:rPr>
        <w:t xml:space="preserve">, lai noskaidrotu, </w:t>
      </w:r>
      <w:r w:rsidR="00120E59" w:rsidRPr="00552ECB">
        <w:rPr>
          <w:rFonts w:asciiTheme="majorBidi" w:hAnsiTheme="majorBidi" w:cstheme="majorBidi"/>
        </w:rPr>
        <w:t>v</w:t>
      </w:r>
      <w:r w:rsidR="00120E59" w:rsidRPr="00552ECB">
        <w:t>ai par atbilstošu samērīguma (proporcionalitātes) principam un Eiropas Savienības Pamattiesību hartas 49.</w:t>
      </w:r>
      <w:r w:rsidR="001A7932">
        <w:t> </w:t>
      </w:r>
      <w:r w:rsidR="00120E59" w:rsidRPr="00552ECB">
        <w:t>panta 3.</w:t>
      </w:r>
      <w:r w:rsidR="001A7932">
        <w:t> </w:t>
      </w:r>
      <w:r w:rsidR="00120E59" w:rsidRPr="00552ECB">
        <w:t>punktam ir atzīstama tāda nacionālo tiesību normu sistēma, kas pēc būtības nesamazina nosakāmo brīvības atņemšanas sodu atkarībā no tā, vai vainīgais ir sniedzis cietušajam kaitējuma kompensāciju un vai par atbilstošu Eiropas Parlamenta un Padomes Direktīvai 2012/29/ES (2012.</w:t>
      </w:r>
      <w:r w:rsidR="00C24917" w:rsidRPr="00552ECB">
        <w:t> </w:t>
      </w:r>
      <w:r w:rsidR="00120E59" w:rsidRPr="00552ECB">
        <w:t>gada 25.</w:t>
      </w:r>
      <w:r w:rsidR="00C24917" w:rsidRPr="00552ECB">
        <w:t> </w:t>
      </w:r>
      <w:r w:rsidR="00120E59" w:rsidRPr="00552ECB">
        <w:t>oktobris) ir atzīstama nacionālo tiesību normu sistēma, kas paredz atbildību mīkstinošu apstākli, ka vainīgais labprātīgi atlīdzinājis cietušajam ar noziedzīgo nodarījumu radīto kaitējumu vai novērsis radīto kaitējumu, bet šāda apstākļa konstatēšana nenodrošina brīvības atņemšanas soda samazināšanu pēc būtības</w:t>
      </w:r>
      <w:r w:rsidR="00CD76B6" w:rsidRPr="00552ECB">
        <w:t>.</w:t>
      </w:r>
    </w:p>
    <w:p w14:paraId="0BC7116A" w14:textId="76312095" w:rsidR="00D677DB" w:rsidRPr="00552ECB" w:rsidRDefault="00CD76B6" w:rsidP="00875D93">
      <w:pPr>
        <w:pStyle w:val="title-bold"/>
        <w:shd w:val="clear" w:color="auto" w:fill="FFFFFF"/>
        <w:spacing w:before="0" w:beforeAutospacing="0" w:after="0" w:afterAutospacing="0" w:line="276" w:lineRule="auto"/>
        <w:ind w:firstLine="720"/>
        <w:jc w:val="both"/>
      </w:pPr>
      <w:r w:rsidRPr="00552ECB">
        <w:t>Kasācijas sūdzībā izteikts lūgums</w:t>
      </w:r>
      <w:r w:rsidR="00D677DB" w:rsidRPr="00552ECB">
        <w:rPr>
          <w:rFonts w:asciiTheme="majorBidi" w:hAnsiTheme="majorBidi" w:cstheme="majorBidi"/>
          <w:b/>
          <w:bCs/>
          <w:color w:val="000000" w:themeColor="text1"/>
        </w:rPr>
        <w:t xml:space="preserve"> </w:t>
      </w:r>
      <w:r w:rsidR="00D677DB" w:rsidRPr="00552ECB">
        <w:rPr>
          <w:rFonts w:asciiTheme="majorBidi" w:hAnsiTheme="majorBidi" w:cstheme="majorBidi"/>
          <w:color w:val="000000" w:themeColor="text1"/>
        </w:rPr>
        <w:t>vērsties</w:t>
      </w:r>
      <w:r w:rsidRPr="00552ECB">
        <w:rPr>
          <w:rFonts w:asciiTheme="majorBidi" w:hAnsiTheme="majorBidi" w:cstheme="majorBidi"/>
          <w:color w:val="000000" w:themeColor="text1"/>
        </w:rPr>
        <w:t xml:space="preserve"> arī</w:t>
      </w:r>
      <w:r w:rsidR="00D677DB" w:rsidRPr="00552ECB">
        <w:rPr>
          <w:rFonts w:asciiTheme="majorBidi" w:hAnsiTheme="majorBidi" w:cstheme="majorBidi"/>
          <w:color w:val="000000" w:themeColor="text1"/>
        </w:rPr>
        <w:t xml:space="preserve"> </w:t>
      </w:r>
      <w:r w:rsidR="003F626E" w:rsidRPr="00552ECB">
        <w:rPr>
          <w:rFonts w:asciiTheme="majorBidi" w:hAnsiTheme="majorBidi" w:cstheme="majorBidi"/>
          <w:color w:val="000000" w:themeColor="text1"/>
        </w:rPr>
        <w:t xml:space="preserve">Latvijas Republikas </w:t>
      </w:r>
      <w:r w:rsidR="00D677DB" w:rsidRPr="00552ECB">
        <w:rPr>
          <w:rFonts w:asciiTheme="majorBidi" w:hAnsiTheme="majorBidi" w:cstheme="majorBidi"/>
          <w:color w:val="000000" w:themeColor="text1"/>
        </w:rPr>
        <w:t xml:space="preserve">Satversmes tiesā </w:t>
      </w:r>
      <w:r w:rsidRPr="00552ECB">
        <w:t>par Krimināllikuma V</w:t>
      </w:r>
      <w:r w:rsidR="002D7998">
        <w:t> </w:t>
      </w:r>
      <w:r w:rsidR="00AF2758">
        <w:t>no</w:t>
      </w:r>
      <w:r w:rsidRPr="00552ECB">
        <w:t xml:space="preserve">daļas </w:t>
      </w:r>
      <w:r w:rsidR="00B019DD">
        <w:t>„</w:t>
      </w:r>
      <w:r w:rsidRPr="00552ECB">
        <w:t>Soda noteikšana</w:t>
      </w:r>
      <w:r w:rsidR="00B019DD">
        <w:t>”</w:t>
      </w:r>
      <w:r w:rsidRPr="00552ECB">
        <w:t xml:space="preserve"> atbilstību Latvijas Republikas Satversmes 1.</w:t>
      </w:r>
      <w:r w:rsidR="001A7932">
        <w:t> </w:t>
      </w:r>
      <w:r w:rsidRPr="00552ECB">
        <w:t>pantam un 92.</w:t>
      </w:r>
      <w:r w:rsidR="001A7932">
        <w:t> </w:t>
      </w:r>
      <w:r w:rsidRPr="00552ECB">
        <w:t>panta pirmajam teikumam, ciktāl Krimināllikuma V</w:t>
      </w:r>
      <w:r w:rsidR="002D7998">
        <w:t> </w:t>
      </w:r>
      <w:r w:rsidRPr="00552ECB">
        <w:t xml:space="preserve">daļa </w:t>
      </w:r>
      <w:r w:rsidRPr="00552ECB">
        <w:lastRenderedPageBreak/>
        <w:t>neveicina Krimināllikuma 35.</w:t>
      </w:r>
      <w:r w:rsidR="001A7932">
        <w:t> </w:t>
      </w:r>
      <w:r w:rsidRPr="00552ECB">
        <w:t>pantā noteiktā mērķa sasniegšanu</w:t>
      </w:r>
      <w:r w:rsidR="002D7998">
        <w:t> </w:t>
      </w:r>
      <w:r w:rsidR="00552ECB">
        <w:t xml:space="preserve">– </w:t>
      </w:r>
      <w:r w:rsidRPr="00552ECB">
        <w:t xml:space="preserve">atjaunot taisnīgumu un </w:t>
      </w:r>
      <w:proofErr w:type="spellStart"/>
      <w:r w:rsidRPr="00552ECB">
        <w:t>resocializēt</w:t>
      </w:r>
      <w:proofErr w:type="spellEnd"/>
      <w:r w:rsidRPr="00552ECB">
        <w:t xml:space="preserve"> sodīto personu.</w:t>
      </w:r>
      <w:r w:rsidR="00FB47F3" w:rsidRPr="00552ECB">
        <w:rPr>
          <w:rFonts w:asciiTheme="majorBidi" w:hAnsiTheme="majorBidi" w:cstheme="majorBidi"/>
          <w:color w:val="000000" w:themeColor="text1"/>
        </w:rPr>
        <w:t xml:space="preserve"> </w:t>
      </w:r>
    </w:p>
    <w:p w14:paraId="161A8DFA" w14:textId="621530DC" w:rsidR="00DA259C" w:rsidRDefault="00716507" w:rsidP="00875D93">
      <w:pPr>
        <w:widowControl w:val="0"/>
        <w:spacing w:line="276" w:lineRule="auto"/>
        <w:ind w:firstLine="720"/>
        <w:jc w:val="both"/>
        <w:rPr>
          <w:rFonts w:asciiTheme="majorBidi" w:hAnsiTheme="majorBidi" w:cstheme="majorBidi"/>
        </w:rPr>
      </w:pPr>
      <w:r>
        <w:rPr>
          <w:rFonts w:asciiTheme="majorBidi" w:hAnsiTheme="majorBidi" w:cstheme="majorBidi"/>
        </w:rPr>
        <w:t xml:space="preserve">Apelācijas instances tiesa </w:t>
      </w:r>
      <w:r w:rsidR="00E053F9">
        <w:rPr>
          <w:rFonts w:asciiTheme="majorBidi" w:hAnsiTheme="majorBidi" w:cstheme="majorBidi"/>
        </w:rPr>
        <w:t>pieļāvusi Kriminālprocesa likuma 574. panta 1. punktā norādīto Krimināllikuma pārkāpumu, kā arī pieļāvusi Kriminālprocesa likuma 15. panta</w:t>
      </w:r>
      <w:r w:rsidR="00E800DC">
        <w:rPr>
          <w:rFonts w:asciiTheme="majorBidi" w:hAnsiTheme="majorBidi" w:cstheme="majorBidi"/>
        </w:rPr>
        <w:t xml:space="preserve"> un </w:t>
      </w:r>
      <w:r w:rsidR="00E053F9">
        <w:rPr>
          <w:rFonts w:asciiTheme="majorBidi" w:hAnsiTheme="majorBidi" w:cstheme="majorBidi"/>
        </w:rPr>
        <w:t xml:space="preserve">559. panta otrās daļas 3. punkta pārkāpumus, kas atzīstami par būtiskiem pārkāpumiem Kriminālprocesa likuma 575. panta trešās daļas izpratnē. Tiesas </w:t>
      </w:r>
      <w:r w:rsidR="001F1443">
        <w:rPr>
          <w:rFonts w:asciiTheme="majorBidi" w:hAnsiTheme="majorBidi" w:cstheme="majorBidi"/>
        </w:rPr>
        <w:t>spriedums</w:t>
      </w:r>
      <w:r w:rsidR="00E053F9">
        <w:rPr>
          <w:rFonts w:asciiTheme="majorBidi" w:hAnsiTheme="majorBidi" w:cstheme="majorBidi"/>
        </w:rPr>
        <w:t xml:space="preserve"> neatbilst Kriminālprocesa likuma 511.</w:t>
      </w:r>
      <w:r w:rsidR="00FB47F3">
        <w:rPr>
          <w:rFonts w:asciiTheme="majorBidi" w:hAnsiTheme="majorBidi" w:cstheme="majorBidi"/>
        </w:rPr>
        <w:t> </w:t>
      </w:r>
      <w:r w:rsidR="00E053F9">
        <w:rPr>
          <w:rFonts w:asciiTheme="majorBidi" w:hAnsiTheme="majorBidi" w:cstheme="majorBidi"/>
        </w:rPr>
        <w:t>panta otrās daļas, 512.</w:t>
      </w:r>
      <w:r w:rsidR="00FB47F3">
        <w:rPr>
          <w:rFonts w:asciiTheme="majorBidi" w:hAnsiTheme="majorBidi" w:cstheme="majorBidi"/>
        </w:rPr>
        <w:t> </w:t>
      </w:r>
      <w:r w:rsidR="00E053F9">
        <w:rPr>
          <w:rFonts w:asciiTheme="majorBidi" w:hAnsiTheme="majorBidi" w:cstheme="majorBidi"/>
        </w:rPr>
        <w:t>panta</w:t>
      </w:r>
      <w:r w:rsidR="00E800DC">
        <w:rPr>
          <w:rFonts w:asciiTheme="majorBidi" w:hAnsiTheme="majorBidi" w:cstheme="majorBidi"/>
        </w:rPr>
        <w:t xml:space="preserve"> un</w:t>
      </w:r>
      <w:r w:rsidR="00E053F9">
        <w:rPr>
          <w:rFonts w:asciiTheme="majorBidi" w:hAnsiTheme="majorBidi" w:cstheme="majorBidi"/>
        </w:rPr>
        <w:t xml:space="preserve"> 564.</w:t>
      </w:r>
      <w:r w:rsidR="00FB47F3">
        <w:rPr>
          <w:rFonts w:asciiTheme="majorBidi" w:hAnsiTheme="majorBidi" w:cstheme="majorBidi"/>
        </w:rPr>
        <w:t> </w:t>
      </w:r>
      <w:r w:rsidR="00E053F9">
        <w:rPr>
          <w:rFonts w:asciiTheme="majorBidi" w:hAnsiTheme="majorBidi" w:cstheme="majorBidi"/>
        </w:rPr>
        <w:t>panta ceturtās daļas prasībām.</w:t>
      </w:r>
    </w:p>
    <w:p w14:paraId="55355821" w14:textId="48937C3F" w:rsidR="00F50A84" w:rsidRDefault="00F50A84" w:rsidP="00875D93">
      <w:pPr>
        <w:widowControl w:val="0"/>
        <w:spacing w:line="276" w:lineRule="auto"/>
        <w:ind w:firstLine="720"/>
        <w:jc w:val="both"/>
        <w:rPr>
          <w:rFonts w:asciiTheme="majorBidi" w:hAnsiTheme="majorBidi" w:cstheme="majorBidi"/>
        </w:rPr>
      </w:pPr>
      <w:r>
        <w:rPr>
          <w:rFonts w:asciiTheme="majorBidi" w:hAnsiTheme="majorBidi" w:cstheme="majorBidi"/>
        </w:rPr>
        <w:t>Kasācijas sūdzība pamatota ar šādiem argumentiem.</w:t>
      </w:r>
    </w:p>
    <w:p w14:paraId="216B2834" w14:textId="62D11A25" w:rsidR="00F50A84" w:rsidRDefault="00F50A84" w:rsidP="00875D93">
      <w:pPr>
        <w:widowControl w:val="0"/>
        <w:spacing w:line="276" w:lineRule="auto"/>
        <w:ind w:firstLine="720"/>
        <w:jc w:val="both"/>
        <w:rPr>
          <w:rFonts w:asciiTheme="majorBidi" w:hAnsiTheme="majorBidi" w:cstheme="majorBidi"/>
        </w:rPr>
      </w:pPr>
      <w:r>
        <w:rPr>
          <w:rFonts w:asciiTheme="majorBidi" w:hAnsiTheme="majorBidi" w:cstheme="majorBidi"/>
        </w:rPr>
        <w:t>[4.1] </w:t>
      </w:r>
      <w:r w:rsidR="00CD76B6">
        <w:rPr>
          <w:rFonts w:asciiTheme="majorBidi" w:hAnsiTheme="majorBidi" w:cstheme="majorBidi"/>
        </w:rPr>
        <w:t>Apelācijas instances tiesa nepamatoti noraidījusi lūgumu par lietas izskatīšanu tiesas sēdē mutvārdu procesā. Tādējādi tiesa liegusi apsūdzētajam tiesības apstiprināt izlīgumu, ko paredz Kriminālprocesa likuma 381. pants. Apsūdzētais apelācijas instances tiesā bija iesniedzis izlīgumu ar notariāli apliecinātu cietušās SIA valdes locekļa parakstu. Apsūdzētā</w:t>
      </w:r>
      <w:r w:rsidR="00AB48FF">
        <w:rPr>
          <w:rFonts w:asciiTheme="majorBidi" w:hAnsiTheme="majorBidi" w:cstheme="majorBidi"/>
        </w:rPr>
        <w:t xml:space="preserve"> </w:t>
      </w:r>
      <w:r w:rsidR="00EE0F63">
        <w:rPr>
          <w:rFonts w:asciiTheme="majorBidi" w:hAnsiTheme="majorBidi" w:cstheme="majorBidi"/>
        </w:rPr>
        <w:t>[pers. </w:t>
      </w:r>
      <w:r w:rsidR="00EE0F63">
        <w:t>A]</w:t>
      </w:r>
      <w:r w:rsidR="00CD76B6">
        <w:rPr>
          <w:rFonts w:asciiTheme="majorBidi" w:hAnsiTheme="majorBidi" w:cstheme="majorBidi"/>
        </w:rPr>
        <w:t xml:space="preserve"> notariāli apstiprinātu parakstu nebija iespējams iegūt, jo </w:t>
      </w:r>
      <w:r w:rsidR="00EE0F63">
        <w:rPr>
          <w:rFonts w:asciiTheme="majorBidi" w:hAnsiTheme="majorBidi" w:cstheme="majorBidi"/>
        </w:rPr>
        <w:t>[pers. </w:t>
      </w:r>
      <w:r w:rsidR="00EE0F63">
        <w:t>A]</w:t>
      </w:r>
      <w:r w:rsidR="00CD76B6">
        <w:rPr>
          <w:rFonts w:asciiTheme="majorBidi" w:hAnsiTheme="majorBidi" w:cstheme="majorBidi"/>
        </w:rPr>
        <w:t xml:space="preserve"> atrodas apcietinājumā. Tiesas secinājums, ka izlīguma esība vai neesība nevar ietekmēt soda apmēru, nav pamatots. Līdz ar to tiesa ignorējusi, ka izlīgums ar cietušo ir svarīgs institūts kriminālprocesā un izlīguma noslēgšana ir viens no prioritārajiem kriminālprocesa atrisināšanas veidiem.</w:t>
      </w:r>
    </w:p>
    <w:p w14:paraId="49A98A3E" w14:textId="17832093" w:rsidR="00F50A84" w:rsidRDefault="00732B7D" w:rsidP="00875D93">
      <w:pPr>
        <w:widowControl w:val="0"/>
        <w:spacing w:line="276" w:lineRule="auto"/>
        <w:ind w:firstLine="720"/>
        <w:jc w:val="both"/>
        <w:rPr>
          <w:rFonts w:asciiTheme="majorBidi" w:hAnsiTheme="majorBidi" w:cstheme="majorBidi"/>
        </w:rPr>
      </w:pPr>
      <w:r>
        <w:rPr>
          <w:rFonts w:asciiTheme="majorBidi" w:hAnsiTheme="majorBidi" w:cstheme="majorBidi"/>
        </w:rPr>
        <w:t>[</w:t>
      </w:r>
      <w:r w:rsidR="00FB47F3">
        <w:rPr>
          <w:rFonts w:asciiTheme="majorBidi" w:hAnsiTheme="majorBidi" w:cstheme="majorBidi"/>
        </w:rPr>
        <w:t>4.</w:t>
      </w:r>
      <w:r w:rsidR="00C66BCB">
        <w:rPr>
          <w:rFonts w:asciiTheme="majorBidi" w:hAnsiTheme="majorBidi" w:cstheme="majorBidi"/>
        </w:rPr>
        <w:t>2</w:t>
      </w:r>
      <w:r>
        <w:rPr>
          <w:rFonts w:asciiTheme="majorBidi" w:hAnsiTheme="majorBidi" w:cstheme="majorBidi"/>
        </w:rPr>
        <w:t>] Apelācijas instances tiesa</w:t>
      </w:r>
      <w:r w:rsidR="00771C36">
        <w:rPr>
          <w:rFonts w:asciiTheme="majorBidi" w:hAnsiTheme="majorBidi" w:cstheme="majorBidi"/>
        </w:rPr>
        <w:t xml:space="preserve">, </w:t>
      </w:r>
      <w:r w:rsidR="00771C36">
        <w:t xml:space="preserve">atceļot pirmās instances tiesas spriedumu daļā par </w:t>
      </w:r>
      <w:r w:rsidR="00EE0F63">
        <w:t>[pers. A]</w:t>
      </w:r>
      <w:r w:rsidR="00771C36">
        <w:t xml:space="preserve"> noteikto sodu par četriem Krimināllikuma 176. panta </w:t>
      </w:r>
      <w:r w:rsidR="003F626E">
        <w:t>pirmajā</w:t>
      </w:r>
      <w:r w:rsidR="00771C36">
        <w:t xml:space="preserve"> daļā (izdarīti</w:t>
      </w:r>
      <w:r w:rsidR="001F1443">
        <w:t>em</w:t>
      </w:r>
      <w:r w:rsidR="00771C36">
        <w:t xml:space="preserve"> 2021. gada 18., 27.</w:t>
      </w:r>
      <w:r w:rsidR="00FB47F3">
        <w:t> </w:t>
      </w:r>
      <w:r w:rsidR="00771C36">
        <w:t>augustā, 3., 4.</w:t>
      </w:r>
      <w:r w:rsidR="00FB47F3">
        <w:t> </w:t>
      </w:r>
      <w:r w:rsidR="00771C36">
        <w:t>septembrī)</w:t>
      </w:r>
      <w:r w:rsidR="0044170B">
        <w:t xml:space="preserve"> </w:t>
      </w:r>
      <w:r w:rsidR="00E800DC">
        <w:t>paredzēt</w:t>
      </w:r>
      <w:r w:rsidR="001F1443">
        <w:t>aj</w:t>
      </w:r>
      <w:r w:rsidR="00E800DC">
        <w:t>iem</w:t>
      </w:r>
      <w:r w:rsidR="00FB47F3">
        <w:t xml:space="preserve"> </w:t>
      </w:r>
      <w:r w:rsidR="0044170B">
        <w:t>noziedzīg</w:t>
      </w:r>
      <w:r w:rsidR="001F1443">
        <w:t>aj</w:t>
      </w:r>
      <w:r w:rsidR="00FB47F3">
        <w:t>iem</w:t>
      </w:r>
      <w:r w:rsidR="0044170B">
        <w:t xml:space="preserve"> nodarījumiem</w:t>
      </w:r>
      <w:r w:rsidR="00771C36">
        <w:t xml:space="preserve">, </w:t>
      </w:r>
      <w:r>
        <w:rPr>
          <w:rFonts w:asciiTheme="majorBidi" w:hAnsiTheme="majorBidi" w:cstheme="majorBidi"/>
        </w:rPr>
        <w:t>spriedumā nav motivējusi, kādē</w:t>
      </w:r>
      <w:r w:rsidR="00866AA3">
        <w:rPr>
          <w:rFonts w:asciiTheme="majorBidi" w:hAnsiTheme="majorBidi" w:cstheme="majorBidi"/>
        </w:rPr>
        <w:t>ļ</w:t>
      </w:r>
      <w:r>
        <w:rPr>
          <w:rFonts w:asciiTheme="majorBidi" w:hAnsiTheme="majorBidi" w:cstheme="majorBidi"/>
        </w:rPr>
        <w:t xml:space="preserve"> sod</w:t>
      </w:r>
      <w:r w:rsidR="00866AA3">
        <w:rPr>
          <w:rFonts w:asciiTheme="majorBidi" w:hAnsiTheme="majorBidi" w:cstheme="majorBidi"/>
        </w:rPr>
        <w:t>s</w:t>
      </w:r>
      <w:r>
        <w:rPr>
          <w:rFonts w:asciiTheme="majorBidi" w:hAnsiTheme="majorBidi" w:cstheme="majorBidi"/>
        </w:rPr>
        <w:t xml:space="preserve"> par </w:t>
      </w:r>
      <w:r w:rsidR="00866AA3">
        <w:rPr>
          <w:rFonts w:asciiTheme="majorBidi" w:hAnsiTheme="majorBidi" w:cstheme="majorBidi"/>
        </w:rPr>
        <w:t xml:space="preserve">katru no </w:t>
      </w:r>
      <w:r w:rsidR="001F1443">
        <w:rPr>
          <w:rFonts w:asciiTheme="majorBidi" w:hAnsiTheme="majorBidi" w:cstheme="majorBidi"/>
        </w:rPr>
        <w:t>tiem</w:t>
      </w:r>
      <w:r w:rsidR="003F626E">
        <w:rPr>
          <w:rFonts w:asciiTheme="majorBidi" w:hAnsiTheme="majorBidi" w:cstheme="majorBidi"/>
        </w:rPr>
        <w:t xml:space="preserve"> </w:t>
      </w:r>
      <w:r w:rsidR="00866AA3">
        <w:rPr>
          <w:rFonts w:asciiTheme="majorBidi" w:hAnsiTheme="majorBidi" w:cstheme="majorBidi"/>
        </w:rPr>
        <w:t>ir samazināts tikai par mēnesi.</w:t>
      </w:r>
    </w:p>
    <w:p w14:paraId="6E37847D" w14:textId="5DB19212" w:rsidR="00207079" w:rsidRDefault="00771C36" w:rsidP="00875D93">
      <w:pPr>
        <w:widowControl w:val="0"/>
        <w:spacing w:line="276" w:lineRule="auto"/>
        <w:ind w:firstLine="720"/>
        <w:jc w:val="both"/>
      </w:pPr>
      <w:bookmarkStart w:id="6" w:name="_Hlk138162267"/>
      <w:r>
        <w:rPr>
          <w:rFonts w:asciiTheme="majorBidi" w:hAnsiTheme="majorBidi" w:cstheme="majorBidi"/>
        </w:rPr>
        <w:t xml:space="preserve">Par Krimināllikuma </w:t>
      </w:r>
      <w:r>
        <w:t>15. panta ceturtajā daļā un 176. panta pirmajā daļā (izdarīts 2021.</w:t>
      </w:r>
      <w:r w:rsidR="0044170B">
        <w:t> </w:t>
      </w:r>
      <w:r>
        <w:t>gada 5.</w:t>
      </w:r>
      <w:r w:rsidR="0044170B">
        <w:t> </w:t>
      </w:r>
      <w:r>
        <w:t xml:space="preserve">septembrī) </w:t>
      </w:r>
      <w:r w:rsidR="00AB48FF">
        <w:t>paredzēto</w:t>
      </w:r>
      <w:r>
        <w:t xml:space="preserve"> noziedzīgo nodarījumu apsūdzētajam</w:t>
      </w:r>
      <w:r w:rsidR="00E800DC">
        <w:t xml:space="preserve"> nav noteikts taisnīgs</w:t>
      </w:r>
      <w:r>
        <w:t xml:space="preserve"> sods, </w:t>
      </w:r>
      <w:r w:rsidR="00F0069C">
        <w:t>proti, brīvības atņemšana</w:t>
      </w:r>
      <w:r w:rsidR="00AB48FF">
        <w:t>s termiņš</w:t>
      </w:r>
      <w:r w:rsidR="00F0069C">
        <w:t xml:space="preserve"> </w:t>
      </w:r>
      <w:r w:rsidR="0044170B">
        <w:t xml:space="preserve">par laupīšanas mēģinājumu </w:t>
      </w:r>
      <w:r w:rsidR="00F0069C">
        <w:t>noteikt</w:t>
      </w:r>
      <w:r w:rsidR="00AB48FF">
        <w:t>s</w:t>
      </w:r>
      <w:r w:rsidR="00F0069C">
        <w:t xml:space="preserve"> ilgāk</w:t>
      </w:r>
      <w:r w:rsidR="00AB48FF">
        <w:t>s</w:t>
      </w:r>
      <w:r w:rsidR="00F0069C">
        <w:t xml:space="preserve"> nekā par pabeigtu noziedzīgu nodarījumu. Atbildību pastiprinoša apstākļa</w:t>
      </w:r>
      <w:r w:rsidR="002D7998">
        <w:t> </w:t>
      </w:r>
      <w:r w:rsidR="00F0069C">
        <w:t>– atrašanās narkotisko vielu ietekmē</w:t>
      </w:r>
      <w:r w:rsidR="002D7998">
        <w:t> </w:t>
      </w:r>
      <w:r w:rsidR="00F0069C">
        <w:t>– konstatēšana nav pietiekams pamats piespriest</w:t>
      </w:r>
      <w:r w:rsidR="00C66BCB">
        <w:t xml:space="preserve"> par minēto noziedzīgo nodarījumu</w:t>
      </w:r>
      <w:r w:rsidR="00F0069C">
        <w:t xml:space="preserve"> bargāku brīvības atņemšanas sodu</w:t>
      </w:r>
      <w:r w:rsidR="00207079">
        <w:t>.</w:t>
      </w:r>
    </w:p>
    <w:p w14:paraId="2998B639" w14:textId="58F88E59" w:rsidR="00CD76B6" w:rsidRDefault="00207079" w:rsidP="00875D93">
      <w:pPr>
        <w:widowControl w:val="0"/>
        <w:spacing w:line="276" w:lineRule="auto"/>
        <w:ind w:firstLine="720"/>
        <w:jc w:val="both"/>
      </w:pPr>
      <w:r>
        <w:t>Tiesa, nosakot galīgo sodu saskaņā ar Krimināllikuma 51.</w:t>
      </w:r>
      <w:r w:rsidR="0044170B">
        <w:t> </w:t>
      </w:r>
      <w:r>
        <w:t>panta pirmo daļu, nav pievienojusi no neizciestā brīvības atņemšanas soda tikai 4</w:t>
      </w:r>
      <w:r w:rsidR="002D7998">
        <w:t> </w:t>
      </w:r>
      <w:r>
        <w:t>mēnešus 4</w:t>
      </w:r>
      <w:r w:rsidR="002D7998">
        <w:t> </w:t>
      </w:r>
      <w:r>
        <w:t>dienas. Šāds sods neatbilst taisnīguma, personas vienlīdzības, represijas samērīguma, humānisma un vienv</w:t>
      </w:r>
      <w:r w:rsidR="0044170B">
        <w:t>eidīgas sodu prakses principam. Turklāt tiesa bez ievērības ir atstājusi faktu, ka</w:t>
      </w:r>
      <w:r w:rsidR="00916BC3">
        <w:t xml:space="preserve"> neizciestā soda daļa ir par noziegumu, kuru </w:t>
      </w:r>
      <w:bookmarkStart w:id="7" w:name="_Hlk138830521"/>
      <w:r w:rsidR="00EE0F63">
        <w:t>[pers. A]</w:t>
      </w:r>
      <w:r w:rsidR="00916BC3">
        <w:t xml:space="preserve"> </w:t>
      </w:r>
      <w:bookmarkEnd w:id="7"/>
      <w:r w:rsidR="00592061">
        <w:t>izdarījis</w:t>
      </w:r>
      <w:r w:rsidR="00916BC3">
        <w:t>, būdams nepilngadīgs.</w:t>
      </w:r>
      <w:bookmarkEnd w:id="6"/>
    </w:p>
    <w:p w14:paraId="5870A5C1" w14:textId="6087DC4C" w:rsidR="003A0DCC" w:rsidRDefault="00C66BCB" w:rsidP="00875D93">
      <w:pPr>
        <w:widowControl w:val="0"/>
        <w:spacing w:line="276" w:lineRule="auto"/>
        <w:ind w:firstLine="720"/>
        <w:jc w:val="both"/>
      </w:pPr>
      <w:r>
        <w:rPr>
          <w:rFonts w:asciiTheme="majorBidi" w:hAnsiTheme="majorBidi" w:cstheme="majorBidi"/>
        </w:rPr>
        <w:t>[4.3]</w:t>
      </w:r>
      <w:r w:rsidR="002D7998">
        <w:rPr>
          <w:rFonts w:asciiTheme="majorBidi" w:hAnsiTheme="majorBidi" w:cstheme="majorBidi"/>
        </w:rPr>
        <w:t> </w:t>
      </w:r>
      <w:r w:rsidR="00CD76B6">
        <w:rPr>
          <w:rFonts w:asciiTheme="majorBidi" w:hAnsiTheme="majorBidi" w:cstheme="majorBidi"/>
        </w:rPr>
        <w:t xml:space="preserve">Pirmās instances tiesa, nosakot sprieduma pieejamības dienu uz 2022. gada 25. aprīli, </w:t>
      </w:r>
      <w:r w:rsidR="00AB48FF">
        <w:rPr>
          <w:rFonts w:asciiTheme="majorBidi" w:hAnsiTheme="majorBidi" w:cstheme="majorBidi"/>
        </w:rPr>
        <w:t xml:space="preserve">ir </w:t>
      </w:r>
      <w:r w:rsidR="00CD76B6">
        <w:rPr>
          <w:rFonts w:asciiTheme="majorBidi" w:hAnsiTheme="majorBidi" w:cstheme="majorBidi"/>
        </w:rPr>
        <w:t>pārkāpusi Kriminālprocesa likuma 530. panta trešo daļu, jo tiesas pienākums bija pilnu spriedumu sagatavot 14</w:t>
      </w:r>
      <w:r w:rsidR="002D7998">
        <w:rPr>
          <w:rFonts w:asciiTheme="majorBidi" w:hAnsiTheme="majorBidi" w:cstheme="majorBidi"/>
        </w:rPr>
        <w:t> </w:t>
      </w:r>
      <w:r w:rsidR="00CD76B6">
        <w:rPr>
          <w:rFonts w:asciiTheme="majorBidi" w:hAnsiTheme="majorBidi" w:cstheme="majorBidi"/>
        </w:rPr>
        <w:t>dienu laikā</w:t>
      </w:r>
      <w:r w:rsidR="00AB48FF">
        <w:rPr>
          <w:rFonts w:asciiTheme="majorBidi" w:hAnsiTheme="majorBidi" w:cstheme="majorBidi"/>
        </w:rPr>
        <w:t xml:space="preserve"> līdz</w:t>
      </w:r>
      <w:r w:rsidR="00CD76B6">
        <w:rPr>
          <w:rFonts w:asciiTheme="majorBidi" w:hAnsiTheme="majorBidi" w:cstheme="majorBidi"/>
        </w:rPr>
        <w:t xml:space="preserve"> 2022. gada 18. aprīlim. Turklāt tiesa nav pamatojusi pilna sprieduma sastādīšanas datum</w:t>
      </w:r>
      <w:r w:rsidR="00AB48FF">
        <w:rPr>
          <w:rFonts w:asciiTheme="majorBidi" w:hAnsiTheme="majorBidi" w:cstheme="majorBidi"/>
        </w:rPr>
        <w:t>a atlikšan</w:t>
      </w:r>
      <w:r w:rsidR="00CD76B6">
        <w:rPr>
          <w:rFonts w:asciiTheme="majorBidi" w:hAnsiTheme="majorBidi" w:cstheme="majorBidi"/>
        </w:rPr>
        <w:t>u uz 2022. gada 18. maiju.</w:t>
      </w:r>
    </w:p>
    <w:p w14:paraId="25EC99C2" w14:textId="77777777" w:rsidR="003F626E" w:rsidRPr="00F91F2C" w:rsidRDefault="003F626E" w:rsidP="00875D93">
      <w:pPr>
        <w:widowControl w:val="0"/>
        <w:spacing w:line="276" w:lineRule="auto"/>
        <w:ind w:firstLine="720"/>
        <w:jc w:val="both"/>
      </w:pPr>
    </w:p>
    <w:p w14:paraId="6473A291" w14:textId="0D4946FB" w:rsidR="003A0DCC" w:rsidRPr="007D35A4" w:rsidRDefault="003A0DCC" w:rsidP="00875D93">
      <w:pPr>
        <w:widowControl w:val="0"/>
        <w:spacing w:line="276" w:lineRule="auto"/>
        <w:jc w:val="center"/>
        <w:rPr>
          <w:rFonts w:asciiTheme="majorBidi" w:hAnsiTheme="majorBidi" w:cstheme="majorBidi"/>
          <w:b/>
        </w:rPr>
      </w:pPr>
      <w:r w:rsidRPr="007D35A4">
        <w:rPr>
          <w:rFonts w:asciiTheme="majorBidi" w:hAnsiTheme="majorBidi" w:cstheme="majorBidi"/>
          <w:b/>
        </w:rPr>
        <w:t>Motīvu daļa</w:t>
      </w:r>
    </w:p>
    <w:p w14:paraId="4F34B8D0" w14:textId="77777777" w:rsidR="00B315D1" w:rsidRPr="007D35A4" w:rsidRDefault="00B315D1" w:rsidP="00875D93">
      <w:pPr>
        <w:widowControl w:val="0"/>
        <w:spacing w:line="276" w:lineRule="auto"/>
        <w:ind w:firstLine="720"/>
        <w:jc w:val="center"/>
        <w:rPr>
          <w:rFonts w:asciiTheme="majorBidi" w:hAnsiTheme="majorBidi" w:cstheme="majorBidi"/>
        </w:rPr>
      </w:pPr>
    </w:p>
    <w:p w14:paraId="735EF8A7" w14:textId="0C0AA65D" w:rsidR="00FF7D8E" w:rsidRPr="007D35A4" w:rsidRDefault="003A0DCC" w:rsidP="00875D93">
      <w:pPr>
        <w:widowControl w:val="0"/>
        <w:spacing w:line="276" w:lineRule="auto"/>
        <w:ind w:firstLine="720"/>
        <w:jc w:val="both"/>
        <w:rPr>
          <w:rFonts w:asciiTheme="majorBidi" w:hAnsiTheme="majorBidi" w:cstheme="majorBidi"/>
        </w:rPr>
      </w:pPr>
      <w:r w:rsidRPr="007D35A4">
        <w:rPr>
          <w:rFonts w:asciiTheme="majorBidi" w:hAnsiTheme="majorBidi" w:cstheme="majorBidi"/>
        </w:rPr>
        <w:t xml:space="preserve">[5] Senāts konstatē, ka </w:t>
      </w:r>
      <w:r w:rsidR="00233350">
        <w:rPr>
          <w:rFonts w:asciiTheme="majorBidi" w:hAnsiTheme="majorBidi" w:cstheme="majorBidi"/>
        </w:rPr>
        <w:t>tā</w:t>
      </w:r>
      <w:r w:rsidRPr="007D35A4">
        <w:rPr>
          <w:rFonts w:asciiTheme="majorBidi" w:hAnsiTheme="majorBidi" w:cstheme="majorBidi"/>
        </w:rPr>
        <w:t xml:space="preserve"> kompetencē ir sniegt atbildi, vai</w:t>
      </w:r>
      <w:r w:rsidR="008126E8">
        <w:rPr>
          <w:rFonts w:asciiTheme="majorBidi" w:hAnsiTheme="majorBidi" w:cstheme="majorBidi"/>
        </w:rPr>
        <w:t xml:space="preserve">, </w:t>
      </w:r>
      <w:r w:rsidR="00542777">
        <w:rPr>
          <w:rFonts w:asciiTheme="majorBidi" w:hAnsiTheme="majorBidi" w:cstheme="majorBidi"/>
        </w:rPr>
        <w:t>izskat</w:t>
      </w:r>
      <w:r w:rsidR="001F1443">
        <w:rPr>
          <w:rFonts w:asciiTheme="majorBidi" w:hAnsiTheme="majorBidi" w:cstheme="majorBidi"/>
        </w:rPr>
        <w:t>o</w:t>
      </w:r>
      <w:r w:rsidR="00542777">
        <w:rPr>
          <w:rFonts w:asciiTheme="majorBidi" w:hAnsiTheme="majorBidi" w:cstheme="majorBidi"/>
        </w:rPr>
        <w:t>t lietu rakstveida procesā</w:t>
      </w:r>
      <w:r w:rsidR="008126E8">
        <w:rPr>
          <w:rFonts w:asciiTheme="majorBidi" w:hAnsiTheme="majorBidi" w:cstheme="majorBidi"/>
        </w:rPr>
        <w:t>,</w:t>
      </w:r>
      <w:r w:rsidR="00542777">
        <w:rPr>
          <w:rFonts w:asciiTheme="majorBidi" w:hAnsiTheme="majorBidi" w:cstheme="majorBidi"/>
        </w:rPr>
        <w:t xml:space="preserve"> apelācijas instances tiesa nav pieļāvusi Kriminālprocesa likuma būtisku pārkāpumu, vai </w:t>
      </w:r>
      <w:r w:rsidRPr="007D35A4">
        <w:rPr>
          <w:rFonts w:asciiTheme="majorBidi" w:hAnsiTheme="majorBidi" w:cstheme="majorBidi"/>
        </w:rPr>
        <w:t>tiesa</w:t>
      </w:r>
      <w:r w:rsidR="00542777">
        <w:rPr>
          <w:rFonts w:asciiTheme="majorBidi" w:hAnsiTheme="majorBidi" w:cstheme="majorBidi"/>
        </w:rPr>
        <w:t>s atzinums</w:t>
      </w:r>
      <w:r w:rsidR="00DF19FF">
        <w:rPr>
          <w:rFonts w:asciiTheme="majorBidi" w:hAnsiTheme="majorBidi" w:cstheme="majorBidi"/>
        </w:rPr>
        <w:t>,</w:t>
      </w:r>
      <w:r w:rsidR="00542777">
        <w:rPr>
          <w:rFonts w:asciiTheme="majorBidi" w:hAnsiTheme="majorBidi" w:cstheme="majorBidi"/>
        </w:rPr>
        <w:t xml:space="preserve"> ka izlīguma esība vai neesība neietekmē nosakāmā soda apmēru,</w:t>
      </w:r>
      <w:r w:rsidR="008126E8">
        <w:rPr>
          <w:rFonts w:asciiTheme="majorBidi" w:hAnsiTheme="majorBidi" w:cstheme="majorBidi"/>
        </w:rPr>
        <w:t xml:space="preserve"> </w:t>
      </w:r>
      <w:r w:rsidR="00DF19FF" w:rsidRPr="007D35A4">
        <w:rPr>
          <w:rFonts w:asciiTheme="majorBidi" w:hAnsiTheme="majorBidi" w:cstheme="majorBidi"/>
        </w:rPr>
        <w:t>at</w:t>
      </w:r>
      <w:r w:rsidR="00542777">
        <w:rPr>
          <w:rFonts w:asciiTheme="majorBidi" w:hAnsiTheme="majorBidi" w:cstheme="majorBidi"/>
        </w:rPr>
        <w:t xml:space="preserve">bilst </w:t>
      </w:r>
      <w:r w:rsidR="009B44A9">
        <w:rPr>
          <w:rFonts w:asciiTheme="majorBidi" w:hAnsiTheme="majorBidi" w:cstheme="majorBidi"/>
        </w:rPr>
        <w:t>Kriminālprocesa likuma 564.</w:t>
      </w:r>
      <w:r w:rsidR="00F91F2C">
        <w:rPr>
          <w:rFonts w:asciiTheme="majorBidi" w:hAnsiTheme="majorBidi" w:cstheme="majorBidi"/>
        </w:rPr>
        <w:t> </w:t>
      </w:r>
      <w:r w:rsidR="009B44A9">
        <w:rPr>
          <w:rFonts w:asciiTheme="majorBidi" w:hAnsiTheme="majorBidi" w:cstheme="majorBidi"/>
        </w:rPr>
        <w:t xml:space="preserve">panta ceturtās daļas </w:t>
      </w:r>
      <w:r w:rsidR="00542777">
        <w:rPr>
          <w:rFonts w:asciiTheme="majorBidi" w:hAnsiTheme="majorBidi" w:cstheme="majorBidi"/>
        </w:rPr>
        <w:t>prasībām par sodu ietekmējošo apstākļu izvērtēšanu</w:t>
      </w:r>
      <w:r w:rsidR="00DA259C" w:rsidRPr="007D35A4">
        <w:rPr>
          <w:rFonts w:asciiTheme="majorBidi" w:hAnsiTheme="majorBidi" w:cstheme="majorBidi"/>
        </w:rPr>
        <w:t>.</w:t>
      </w:r>
    </w:p>
    <w:p w14:paraId="4E69EB3F" w14:textId="4A98B55A" w:rsidR="00EC62EF" w:rsidRDefault="00A0116A" w:rsidP="00875D93">
      <w:pPr>
        <w:spacing w:line="276" w:lineRule="auto"/>
        <w:ind w:firstLine="720"/>
        <w:jc w:val="both"/>
      </w:pPr>
      <w:r>
        <w:t>[5.1]</w:t>
      </w:r>
      <w:r w:rsidR="00E510D5">
        <w:t> </w:t>
      </w:r>
      <w:r w:rsidR="00EC62EF">
        <w:t>Kriminālprocesa likuma 15. pantā noteikts kriminālprocesa pamatprincips</w:t>
      </w:r>
      <w:r w:rsidR="002D7998">
        <w:t> </w:t>
      </w:r>
      <w:r w:rsidR="00EC62EF">
        <w:t>– ikviena tiesības uz lietas izskatīšanu taisnīgā, objektīvā un neatkarīgā tiesā.</w:t>
      </w:r>
    </w:p>
    <w:p w14:paraId="11353AC3" w14:textId="35F26078" w:rsidR="00EC62EF" w:rsidRDefault="00EC62EF" w:rsidP="00875D93">
      <w:pPr>
        <w:spacing w:line="276" w:lineRule="auto"/>
        <w:ind w:firstLine="720"/>
        <w:jc w:val="both"/>
      </w:pPr>
      <w:r>
        <w:t>Tiesības uz taisnīgu tiesu ietver arī tiesības uz mutvārdu procesu, tomēr tās nav absolūtas. Normatīvajos aktos var būt paredzēti gadījumi, kuros krimināllietu var iztiesāt rakstveida procesā.</w:t>
      </w:r>
      <w:r w:rsidRPr="00EC62EF">
        <w:t xml:space="preserve"> </w:t>
      </w:r>
      <w:r>
        <w:t>Izņēmumi no vispārējā principa – tiesībām uz lietas izskatīšanu mutvārdu procesā</w:t>
      </w:r>
      <w:r w:rsidR="002D7998">
        <w:t> </w:t>
      </w:r>
      <w:r>
        <w:t>– apelācijas instances tiesā ir noteikti Kriminālprocesa likuma 559. panta ceturtajā daļā, kurā uzskaitīti gadījumi, kad lietu var iztiesāt rakstveida procesā.</w:t>
      </w:r>
    </w:p>
    <w:p w14:paraId="05D66078" w14:textId="3DA06F74" w:rsidR="00EC62EF" w:rsidRDefault="00EC62EF" w:rsidP="00875D93">
      <w:pPr>
        <w:spacing w:line="276" w:lineRule="auto"/>
        <w:ind w:firstLine="720"/>
        <w:jc w:val="both"/>
        <w:rPr>
          <w:shd w:val="clear" w:color="auto" w:fill="FFFFFF"/>
        </w:rPr>
      </w:pPr>
      <w:r>
        <w:t>Kriminālprocesa likuma 559.</w:t>
      </w:r>
      <w:r w:rsidR="00E510D5">
        <w:t> </w:t>
      </w:r>
      <w:r>
        <w:t>panta ceturtās daļas 1.</w:t>
      </w:r>
      <w:r w:rsidR="00E510D5">
        <w:t> </w:t>
      </w:r>
      <w:r>
        <w:t>punkts noteic, ka lietu var iztiesāt rakstveida procesā, ja apelācijas sūdzībā vai protestā ir izteikts lūgums tikai par piespriestā soda mīkstināšanu un ja prokurors vai persona, kuras intereses un tiesības sūdzība vai protests aizskar, pret to neiebilst.</w:t>
      </w:r>
    </w:p>
    <w:p w14:paraId="204A2FEF" w14:textId="74FC966A" w:rsidR="00B309C2" w:rsidRDefault="00EC62EF" w:rsidP="00875D93">
      <w:pPr>
        <w:spacing w:line="276" w:lineRule="auto"/>
        <w:ind w:firstLine="720"/>
        <w:jc w:val="both"/>
      </w:pPr>
      <w:r>
        <w:t>[5.</w:t>
      </w:r>
      <w:r w:rsidR="009B44A9">
        <w:t>1.1</w:t>
      </w:r>
      <w:r>
        <w:t>]</w:t>
      </w:r>
      <w:bookmarkStart w:id="8" w:name="_Hlk137816113"/>
      <w:r w:rsidR="00E510D5">
        <w:t> </w:t>
      </w:r>
      <w:r>
        <w:t>Apelācijas instances tiesa</w:t>
      </w:r>
      <w:bookmarkEnd w:id="8"/>
      <w:r>
        <w:t>s tiesnesis, pamatojoties uz Kriminālprocesa likuma 559.</w:t>
      </w:r>
      <w:r w:rsidR="00E510D5">
        <w:t> </w:t>
      </w:r>
      <w:r>
        <w:t>panta ceturtās daļas 1.</w:t>
      </w:r>
      <w:r w:rsidR="00E510D5">
        <w:t> </w:t>
      </w:r>
      <w:r>
        <w:t xml:space="preserve">punktu, </w:t>
      </w:r>
      <w:bookmarkStart w:id="9" w:name="_Hlk137815890"/>
      <w:r>
        <w:t>20</w:t>
      </w:r>
      <w:r w:rsidR="0064074D">
        <w:t>22</w:t>
      </w:r>
      <w:r>
        <w:t>.</w:t>
      </w:r>
      <w:r w:rsidR="00F91F2C">
        <w:t> </w:t>
      </w:r>
      <w:r>
        <w:t>gada 1</w:t>
      </w:r>
      <w:r w:rsidR="0064074D">
        <w:t>4</w:t>
      </w:r>
      <w:r>
        <w:t>.</w:t>
      </w:r>
      <w:r w:rsidR="00F91F2C">
        <w:t> </w:t>
      </w:r>
      <w:r w:rsidR="0064074D">
        <w:t>jūnijā</w:t>
      </w:r>
      <w:r>
        <w:t xml:space="preserve"> </w:t>
      </w:r>
      <w:bookmarkEnd w:id="9"/>
      <w:r>
        <w:t>pieņēmi</w:t>
      </w:r>
      <w:r w:rsidR="0064074D">
        <w:t>s</w:t>
      </w:r>
      <w:r>
        <w:t xml:space="preserve"> lēmumu par lietas izskatīšanu apelācijas kārtībā rakstveida procesā </w:t>
      </w:r>
      <w:r w:rsidR="0064074D">
        <w:t>2022.</w:t>
      </w:r>
      <w:r w:rsidR="00F91F2C">
        <w:t> </w:t>
      </w:r>
      <w:r w:rsidR="0064074D">
        <w:t>gada 18.</w:t>
      </w:r>
      <w:r w:rsidR="00F91F2C">
        <w:t> </w:t>
      </w:r>
      <w:r w:rsidR="0064074D">
        <w:t>oktobrī. Lieta</w:t>
      </w:r>
      <w:r w:rsidR="00717B87" w:rsidRPr="00717B87">
        <w:t xml:space="preserve"> </w:t>
      </w:r>
      <w:r w:rsidR="00717B87">
        <w:t>norādītajā datumā</w:t>
      </w:r>
      <w:r w:rsidR="0064074D">
        <w:t xml:space="preserve"> netika izskatīta. Aizstāvis 2022.</w:t>
      </w:r>
      <w:r w:rsidR="00F91F2C">
        <w:t> </w:t>
      </w:r>
      <w:r w:rsidR="0064074D">
        <w:t>gada 16.</w:t>
      </w:r>
      <w:r w:rsidR="00F91F2C">
        <w:t> </w:t>
      </w:r>
      <w:r w:rsidR="0064074D">
        <w:t>decembrī tiesai iesniedzis</w:t>
      </w:r>
      <w:r w:rsidR="00717B87">
        <w:t xml:space="preserve"> motivētu</w:t>
      </w:r>
      <w:r w:rsidR="0064074D">
        <w:t xml:space="preserve"> lūgumu iztiesāt lietu mutvārdu procesā.</w:t>
      </w:r>
      <w:r w:rsidR="0064074D" w:rsidRPr="0064074D">
        <w:t xml:space="preserve"> </w:t>
      </w:r>
      <w:r w:rsidR="0064074D">
        <w:t>Apelācijas instances tiesas tiesnesis 2022.</w:t>
      </w:r>
      <w:r w:rsidR="00F91F2C">
        <w:t> </w:t>
      </w:r>
      <w:r w:rsidR="0064074D">
        <w:t>gada 19.</w:t>
      </w:r>
      <w:r w:rsidR="00F91F2C">
        <w:t> </w:t>
      </w:r>
      <w:r w:rsidR="0064074D">
        <w:t>decembrī noteicis jaunu lietas izskatīšanas datumu rakstveida procesā</w:t>
      </w:r>
      <w:r w:rsidR="002D7998">
        <w:t> </w:t>
      </w:r>
      <w:r w:rsidR="00B309C2">
        <w:t xml:space="preserve">– </w:t>
      </w:r>
    </w:p>
    <w:p w14:paraId="3C75045E" w14:textId="299E5B36" w:rsidR="0064074D" w:rsidRDefault="0064074D" w:rsidP="00875D93">
      <w:pPr>
        <w:spacing w:line="276" w:lineRule="auto"/>
        <w:jc w:val="both"/>
      </w:pPr>
      <w:r>
        <w:t>2023.</w:t>
      </w:r>
      <w:r w:rsidR="00F91F2C">
        <w:t> </w:t>
      </w:r>
      <w:r>
        <w:t>gada 16.</w:t>
      </w:r>
      <w:r w:rsidR="00F91F2C">
        <w:t> </w:t>
      </w:r>
      <w:r>
        <w:t>janvāri. Norādītajā datumā tiesa izskatījusi lietu rakstveida procesā un taisījusi spriedumu</w:t>
      </w:r>
      <w:r w:rsidR="00D55762">
        <w:t>, kura 6. punktā, pamatojoties uz Kriminālprocesa likuma 559.</w:t>
      </w:r>
      <w:r w:rsidR="00F91F2C">
        <w:t> </w:t>
      </w:r>
      <w:r w:rsidR="00D55762">
        <w:t>panta ceturtās daļas 1.</w:t>
      </w:r>
      <w:r w:rsidR="00F91F2C">
        <w:t> </w:t>
      </w:r>
      <w:r w:rsidR="00D55762">
        <w:t>punkt</w:t>
      </w:r>
      <w:r w:rsidR="00717B87">
        <w:t>ā</w:t>
      </w:r>
      <w:r w:rsidR="00D55762">
        <w:t xml:space="preserve"> noteikto, norādījusi,</w:t>
      </w:r>
      <w:r>
        <w:t xml:space="preserve"> </w:t>
      </w:r>
      <w:r w:rsidR="00D55762">
        <w:t>ka lieta iztiesājama rakstveida procesā, izvērtējot iesniegtās apelācijas sūdzības saturu un prasību apjomu.</w:t>
      </w:r>
      <w:r>
        <w:t xml:space="preserve"> </w:t>
      </w:r>
    </w:p>
    <w:p w14:paraId="397DC21E" w14:textId="3451F742" w:rsidR="00A0116A" w:rsidRDefault="00D55762" w:rsidP="00875D93">
      <w:pPr>
        <w:spacing w:line="276" w:lineRule="auto"/>
        <w:ind w:firstLine="720"/>
        <w:jc w:val="both"/>
      </w:pPr>
      <w:r>
        <w:t>[5.</w:t>
      </w:r>
      <w:r w:rsidR="009B44A9">
        <w:t>1.2</w:t>
      </w:r>
      <w:r>
        <w:t>]</w:t>
      </w:r>
      <w:r w:rsidR="00B309C2">
        <w:t> </w:t>
      </w:r>
      <w:r w:rsidR="00A0116A">
        <w:t>Kriminālprocesa likuma 20.</w:t>
      </w:r>
      <w:r w:rsidR="00F91F2C">
        <w:t> </w:t>
      </w:r>
      <w:r w:rsidR="00A0116A">
        <w:t>panta pirmā daļa noteic, ka katrai personai, par kuru izteikts pieņēmums vai apgalvojums, ka tā izdarījusi noziedzīgu nodarījumu, ir tiesības uz aizstāvību, tas ir, tiesības zināt, kāda nodarījuma izdarīšanā to tur aizdomās</w:t>
      </w:r>
      <w:proofErr w:type="gramStart"/>
      <w:r w:rsidR="00C66BCB">
        <w:t xml:space="preserve"> </w:t>
      </w:r>
      <w:r w:rsidR="00A0116A">
        <w:t>vai apsūdz</w:t>
      </w:r>
      <w:proofErr w:type="gramEnd"/>
      <w:r w:rsidR="00A0116A">
        <w:t>, un izvēlēties savu aizstāvības pozīciju. Atbilstoši šā panta otrajai daļai tiesības uz aizstāvību persona var īstenot pati vai uzaicinot par aizstāvi pēc savas izvēles personu, kura saskaņā ar šo likumu var būt aizstāvis.</w:t>
      </w:r>
    </w:p>
    <w:p w14:paraId="33C41853" w14:textId="38F49A96" w:rsidR="00D55762" w:rsidRDefault="00D55762" w:rsidP="00875D93">
      <w:pPr>
        <w:spacing w:line="276" w:lineRule="auto"/>
        <w:ind w:firstLine="709"/>
        <w:jc w:val="both"/>
      </w:pPr>
      <w:r>
        <w:t>Kriminālprocesa likuma 72.</w:t>
      </w:r>
      <w:r w:rsidR="00F91F2C">
        <w:t> </w:t>
      </w:r>
      <w:r>
        <w:t>panta trešās daļas 2.</w:t>
      </w:r>
      <w:r w:rsidR="00F91F2C">
        <w:t> </w:t>
      </w:r>
      <w:r>
        <w:t>punkts noteic, ka apsūdzētajam, gadījumā, ja apelācijas instances tiesā sūdzība tiek izskatīta rakstveida procesā, ir tiesības iesniegt iebildumus vai paskaidrojumus par saņemtajām apelācijas sūdzībām un protestu, kā arī iesniegt iebildumus pret lietas iztiesāšanu rakstveida procesā. Kriminālprocesa likuma 86.</w:t>
      </w:r>
      <w:r w:rsidR="00F91F2C">
        <w:t> </w:t>
      </w:r>
      <w:r>
        <w:t>panta pirmajā daļā norādīts, ka aizstāvim ir visas tiesības, kādas ir viņa aizstāvamajai personai attiecīgajā procesā. Norādītā panta otrajā daļā teikts, ka aizstāvis neaizvieto aizstāvamo personu, bet rīkojas tās interesēs. Tikai aizstāvamā persona pati pārstāv sevi procesuālajās darbībās, kurās tiek pausts tās subjektīvais viedoklis, un proti: attieksmes izteikšanā pret aizdomām vai apsūdzību, liecību sniegšanā, vienkāršāka procesa izvēlē, pēdējā vārdā.</w:t>
      </w:r>
    </w:p>
    <w:p w14:paraId="1B947CE3" w14:textId="0A5B6556" w:rsidR="00D55762" w:rsidRDefault="00D55762" w:rsidP="00875D93">
      <w:pPr>
        <w:spacing w:line="276" w:lineRule="auto"/>
        <w:ind w:firstLine="709"/>
        <w:jc w:val="both"/>
      </w:pPr>
      <w:r>
        <w:t>Kriminālprocesa likumā tiek lietots jēdziens – persona, kuras intereses sūdzība vai protests aizskar. Minētā jēdziena definīcija likumā nav izklāstīta</w:t>
      </w:r>
      <w:r w:rsidR="001F1443">
        <w:t xml:space="preserve">. </w:t>
      </w:r>
      <w:r w:rsidR="009B44A9">
        <w:t>Tiesu praksē</w:t>
      </w:r>
      <w:r>
        <w:t xml:space="preserve"> netiek apšaubītas aizstāvja tiesības iesniegt rakstveida iebildumus</w:t>
      </w:r>
      <w:r w:rsidR="005049C2">
        <w:t>,</w:t>
      </w:r>
      <w:r>
        <w:t xml:space="preserve"> paskaidrojumus</w:t>
      </w:r>
      <w:r w:rsidR="005049C2">
        <w:t xml:space="preserve"> un lūgumus</w:t>
      </w:r>
      <w:r>
        <w:t xml:space="preserve"> likumā paredzētajos gadījumos.</w:t>
      </w:r>
    </w:p>
    <w:p w14:paraId="2785ECEF" w14:textId="3CC2D32A" w:rsidR="00CD796D" w:rsidRDefault="004A120F" w:rsidP="00875D93">
      <w:pPr>
        <w:spacing w:line="276" w:lineRule="auto"/>
        <w:ind w:firstLine="720"/>
        <w:jc w:val="both"/>
      </w:pPr>
      <w:r>
        <w:t>[</w:t>
      </w:r>
      <w:r w:rsidR="00717B87">
        <w:t>5.</w:t>
      </w:r>
      <w:r w:rsidR="009B44A9">
        <w:t>1.3</w:t>
      </w:r>
      <w:r>
        <w:t>]</w:t>
      </w:r>
      <w:r w:rsidR="00F91F2C">
        <w:t> </w:t>
      </w:r>
      <w:r w:rsidR="005049C2">
        <w:t>Senāts konstatē, ka aizstāvis</w:t>
      </w:r>
      <w:r w:rsidR="00864145" w:rsidRPr="00864145">
        <w:t xml:space="preserve"> </w:t>
      </w:r>
      <w:r w:rsidR="00864145">
        <w:t>A.</w:t>
      </w:r>
      <w:r w:rsidR="00F91F2C">
        <w:t> </w:t>
      </w:r>
      <w:proofErr w:type="spellStart"/>
      <w:r w:rsidR="00864145">
        <w:t>Marģevičs</w:t>
      </w:r>
      <w:proofErr w:type="spellEnd"/>
      <w:r w:rsidR="005049C2">
        <w:t xml:space="preserve"> iesniedzis </w:t>
      </w:r>
      <w:r w:rsidR="00717B87">
        <w:t>lūgumu par lietas iz</w:t>
      </w:r>
      <w:r w:rsidR="009B44A9">
        <w:t>tiesāšanu</w:t>
      </w:r>
      <w:r w:rsidR="00717B87">
        <w:t xml:space="preserve"> </w:t>
      </w:r>
      <w:r w:rsidR="0072243E">
        <w:t xml:space="preserve">apelācijas instances tiesā </w:t>
      </w:r>
      <w:r w:rsidR="00717B87">
        <w:t xml:space="preserve">mutvārdu procesā, tādējādi paužot </w:t>
      </w:r>
      <w:r w:rsidR="005049C2">
        <w:t>iebildumus pret lietas izskatīšanu rakstveida procesā</w:t>
      </w:r>
      <w:r w:rsidR="00717B87">
        <w:t>.</w:t>
      </w:r>
    </w:p>
    <w:p w14:paraId="78814ADD" w14:textId="18E94C1A" w:rsidR="00CD796D" w:rsidRDefault="00CD796D" w:rsidP="00875D93">
      <w:pPr>
        <w:spacing w:line="276" w:lineRule="auto"/>
        <w:ind w:firstLine="720"/>
        <w:jc w:val="both"/>
      </w:pPr>
      <w:r>
        <w:t>Senāts konstatē, ka apelācijas instances tiesa nav izvērtējusi aizstāvja lūgumu par lietas iztiesāšanu mutvārdu procesā.</w:t>
      </w:r>
    </w:p>
    <w:p w14:paraId="52639E4E" w14:textId="06ACEF77" w:rsidR="00717B87" w:rsidRDefault="004A120F" w:rsidP="00875D93">
      <w:pPr>
        <w:spacing w:line="276" w:lineRule="auto"/>
        <w:ind w:firstLine="709"/>
        <w:jc w:val="both"/>
        <w:rPr>
          <w:lang w:eastAsia="en-US"/>
        </w:rPr>
      </w:pPr>
      <w:r>
        <w:t xml:space="preserve">No Eiropas Cilvēktiesību tiesas atzinumiem par gadījumiem, kad lieta izskatīta rakstveida procesā, pamatojoties uz normatīvi noteiktiem izņēmumiem no pamatprincipa, izriet, ka tas vien apstāklis, ka likumdevējs noteiktu kategoriju lietu izskatīšanai ir paredzējis rakstveida procesu, pats par sevi nav uzskatāms par pietiekamu argumentu, lai noraidītu personas lūgumu lietu izskatīt mutvārdu procesā </w:t>
      </w:r>
      <w:proofErr w:type="gramStart"/>
      <w:r>
        <w:t>(</w:t>
      </w:r>
      <w:proofErr w:type="gramEnd"/>
      <w:r>
        <w:rPr>
          <w:i/>
          <w:iCs/>
        </w:rPr>
        <w:t>Eiropas Cilvēktiesību tiesas 2021. gada 25. februāra sprieduma lietā „</w:t>
      </w:r>
      <w:proofErr w:type="spellStart"/>
      <w:r>
        <w:rPr>
          <w:i/>
          <w:iCs/>
        </w:rPr>
        <w:t>Mtchedlishvili</w:t>
      </w:r>
      <w:proofErr w:type="spellEnd"/>
      <w:r>
        <w:rPr>
          <w:i/>
          <w:iCs/>
        </w:rPr>
        <w:t xml:space="preserve"> v. </w:t>
      </w:r>
      <w:proofErr w:type="spellStart"/>
      <w:r>
        <w:rPr>
          <w:i/>
          <w:iCs/>
        </w:rPr>
        <w:t>Georgia</w:t>
      </w:r>
      <w:proofErr w:type="spellEnd"/>
      <w:r w:rsidR="00F91F2C">
        <w:rPr>
          <w:i/>
          <w:iCs/>
        </w:rPr>
        <w:t>”</w:t>
      </w:r>
      <w:r>
        <w:rPr>
          <w:i/>
          <w:iCs/>
        </w:rPr>
        <w:t>, iesnieguma Nr. </w:t>
      </w:r>
      <w:hyperlink r:id="rId8" w:history="1">
        <w:r>
          <w:rPr>
            <w:rStyle w:val="Hyperlink"/>
            <w:i/>
            <w:iCs/>
          </w:rPr>
          <w:t>894/12</w:t>
        </w:r>
      </w:hyperlink>
      <w:r>
        <w:rPr>
          <w:i/>
          <w:iCs/>
        </w:rPr>
        <w:t>, 33. un 39. punkts</w:t>
      </w:r>
      <w:r>
        <w:t>). Turklāt lēmumu pieņemšanā nozīme ir tiesu izmantotajai argumentācijas metodoloģijai, proti, pamatojums nepieciešams rakstveida procesam kā izņēmumam no pamatprincipa, nevis pamatprincipa ievērošanai jeb lietas izskatīšanai mutvārdu procesā (</w:t>
      </w:r>
      <w:r>
        <w:rPr>
          <w:i/>
          <w:iCs/>
        </w:rPr>
        <w:t>Eiropas Cilvēktiesību tiesas 2010. gada 7. decembra sprieduma lietā „</w:t>
      </w:r>
      <w:proofErr w:type="spellStart"/>
      <w:r>
        <w:rPr>
          <w:i/>
          <w:iCs/>
        </w:rPr>
        <w:t>Andersson</w:t>
      </w:r>
      <w:proofErr w:type="spellEnd"/>
      <w:r>
        <w:rPr>
          <w:i/>
          <w:iCs/>
        </w:rPr>
        <w:t xml:space="preserve"> v. </w:t>
      </w:r>
      <w:proofErr w:type="spellStart"/>
      <w:r>
        <w:rPr>
          <w:i/>
          <w:iCs/>
        </w:rPr>
        <w:t>Sweden</w:t>
      </w:r>
      <w:proofErr w:type="spellEnd"/>
      <w:r>
        <w:rPr>
          <w:i/>
          <w:iCs/>
        </w:rPr>
        <w:t>”, iesnieguma Nr. </w:t>
      </w:r>
      <w:hyperlink r:id="rId9" w:history="1">
        <w:r>
          <w:rPr>
            <w:rStyle w:val="Hyperlink"/>
            <w:i/>
            <w:iCs/>
          </w:rPr>
          <w:t>17202/04</w:t>
        </w:r>
      </w:hyperlink>
      <w:r>
        <w:rPr>
          <w:i/>
          <w:iCs/>
        </w:rPr>
        <w:t>, 53. punkts</w:t>
      </w:r>
      <w:r>
        <w:t>).</w:t>
      </w:r>
    </w:p>
    <w:p w14:paraId="412E981F" w14:textId="2D35B5ED" w:rsidR="00CD796D" w:rsidRDefault="00864145" w:rsidP="00875D93">
      <w:pPr>
        <w:spacing w:line="276" w:lineRule="auto"/>
        <w:ind w:firstLine="720"/>
        <w:jc w:val="both"/>
      </w:pPr>
      <w:r>
        <w:t>Senāts atzīst, ka apelācijas instances tiesai atbilstoši Kriminālprocesa likuma 559.</w:t>
      </w:r>
      <w:r w:rsidR="00F91F2C">
        <w:t> </w:t>
      </w:r>
      <w:r>
        <w:t>panta ceturtās daļas 1.</w:t>
      </w:r>
      <w:r w:rsidR="00F91F2C">
        <w:t> </w:t>
      </w:r>
      <w:r>
        <w:t xml:space="preserve">punktā noteiktajam bija saistoši </w:t>
      </w:r>
      <w:r w:rsidR="00EE0F63">
        <w:t>[pers. A]</w:t>
      </w:r>
      <w:r w:rsidR="001F1443">
        <w:t xml:space="preserve"> </w:t>
      </w:r>
      <w:r>
        <w:t>aizstāvja iebildumi pret lietas izskatīšanu rakstveida procesā.</w:t>
      </w:r>
    </w:p>
    <w:p w14:paraId="3A668217" w14:textId="02FE330F" w:rsidR="004A120F" w:rsidRDefault="00864145" w:rsidP="00875D93">
      <w:pPr>
        <w:spacing w:line="276" w:lineRule="auto"/>
        <w:ind w:firstLine="720"/>
        <w:jc w:val="both"/>
      </w:pPr>
      <w:r>
        <w:t>A</w:t>
      </w:r>
      <w:r w:rsidR="00717B87">
        <w:t>pelācijas instances tiesa, neizvērtējot aizstāvja 2022.</w:t>
      </w:r>
      <w:r w:rsidR="00F91F2C">
        <w:t> </w:t>
      </w:r>
      <w:r w:rsidR="00717B87">
        <w:t>gada 16.</w:t>
      </w:r>
      <w:r w:rsidR="00F91F2C">
        <w:t> </w:t>
      </w:r>
      <w:r w:rsidR="00717B87">
        <w:t>decembr</w:t>
      </w:r>
      <w:r>
        <w:t>ī</w:t>
      </w:r>
      <w:r w:rsidR="00717B87">
        <w:t xml:space="preserve"> tiesai iesniegto lūgumu par lietas iztiesāšanu mutvārdu procesā un neņemot vērā </w:t>
      </w:r>
      <w:r w:rsidR="00CD796D">
        <w:t xml:space="preserve">aizstāvja </w:t>
      </w:r>
      <w:r w:rsidR="00717B87">
        <w:t>iebildumus pret lietas izskatīšanu rakstveida procesā, ir pieļāvusi Kriminālprocesa likuma 15.</w:t>
      </w:r>
      <w:r w:rsidR="00F91F2C">
        <w:t> </w:t>
      </w:r>
      <w:r w:rsidR="00717B87">
        <w:t>panta un 559. panta ceturtās daļas 1.</w:t>
      </w:r>
      <w:r w:rsidR="00F91F2C">
        <w:t> </w:t>
      </w:r>
      <w:r w:rsidR="00717B87">
        <w:t>punkta pārkāpumus. Minētie pārkāpumi atzīstami par Kriminālprocesa likuma būtiskiem pārkāpumiem šā</w:t>
      </w:r>
      <w:r>
        <w:t xml:space="preserve"> likuma 575.</w:t>
      </w:r>
      <w:r w:rsidR="00F91F2C">
        <w:t> </w:t>
      </w:r>
      <w:r>
        <w:t>panta trešās daļas izpratnē, jo n</w:t>
      </w:r>
      <w:r w:rsidR="00CD796D">
        <w:t>o</w:t>
      </w:r>
      <w:r>
        <w:t>veda pie nelikumīga nolēmuma</w:t>
      </w:r>
      <w:r w:rsidR="00F10E44">
        <w:t>,</w:t>
      </w:r>
      <w:r>
        <w:t xml:space="preserve"> un ir pamats sprieduma atcelšanai</w:t>
      </w:r>
      <w:r w:rsidR="00717B87">
        <w:t>.</w:t>
      </w:r>
    </w:p>
    <w:p w14:paraId="40EF8DAC" w14:textId="1D894CEA" w:rsidR="003B29C5" w:rsidRDefault="002A51BA" w:rsidP="00875D93">
      <w:pPr>
        <w:spacing w:line="276" w:lineRule="auto"/>
        <w:ind w:firstLine="709"/>
        <w:jc w:val="both"/>
        <w:rPr>
          <w:rFonts w:asciiTheme="majorBidi" w:hAnsiTheme="majorBidi" w:cstheme="majorBidi"/>
        </w:rPr>
      </w:pPr>
      <w:r w:rsidRPr="00C30DC5">
        <w:rPr>
          <w:rFonts w:asciiTheme="majorBidi" w:hAnsiTheme="majorBidi" w:cstheme="majorBidi"/>
        </w:rPr>
        <w:t>[5.</w:t>
      </w:r>
      <w:r w:rsidR="009B44A9">
        <w:rPr>
          <w:rFonts w:asciiTheme="majorBidi" w:hAnsiTheme="majorBidi" w:cstheme="majorBidi"/>
        </w:rPr>
        <w:t>2</w:t>
      </w:r>
      <w:r w:rsidRPr="00C30DC5">
        <w:rPr>
          <w:rFonts w:asciiTheme="majorBidi" w:hAnsiTheme="majorBidi" w:cstheme="majorBidi"/>
        </w:rPr>
        <w:t>]</w:t>
      </w:r>
      <w:r w:rsidR="00BC395E">
        <w:rPr>
          <w:rFonts w:asciiTheme="majorBidi" w:hAnsiTheme="majorBidi" w:cstheme="majorBidi"/>
        </w:rPr>
        <w:t> </w:t>
      </w:r>
      <w:r w:rsidRPr="00C30DC5">
        <w:rPr>
          <w:rFonts w:asciiTheme="majorBidi" w:hAnsiTheme="majorBidi" w:cstheme="majorBidi"/>
        </w:rPr>
        <w:t xml:space="preserve">Senāts konstatē, ka </w:t>
      </w:r>
      <w:r w:rsidR="00914996" w:rsidRPr="00C30DC5">
        <w:rPr>
          <w:rFonts w:asciiTheme="majorBidi" w:hAnsiTheme="majorBidi" w:cstheme="majorBidi"/>
        </w:rPr>
        <w:t>apelācijas instances tiesa spriedum</w:t>
      </w:r>
      <w:r w:rsidR="00B16921">
        <w:rPr>
          <w:rFonts w:asciiTheme="majorBidi" w:hAnsiTheme="majorBidi" w:cstheme="majorBidi"/>
        </w:rPr>
        <w:t>a 10.4.</w:t>
      </w:r>
      <w:r w:rsidR="00F91F2C">
        <w:rPr>
          <w:rFonts w:asciiTheme="majorBidi" w:hAnsiTheme="majorBidi" w:cstheme="majorBidi"/>
        </w:rPr>
        <w:t> </w:t>
      </w:r>
      <w:r w:rsidR="00B16921">
        <w:rPr>
          <w:rFonts w:asciiTheme="majorBidi" w:hAnsiTheme="majorBidi" w:cstheme="majorBidi"/>
        </w:rPr>
        <w:t>punktā norādījusi, ka</w:t>
      </w:r>
      <w:r w:rsidR="00914996" w:rsidRPr="00C30DC5">
        <w:rPr>
          <w:rFonts w:asciiTheme="majorBidi" w:hAnsiTheme="majorBidi" w:cstheme="majorBidi"/>
        </w:rPr>
        <w:t xml:space="preserve"> </w:t>
      </w:r>
      <w:r w:rsidR="00B16921">
        <w:rPr>
          <w:rFonts w:asciiTheme="majorBidi" w:hAnsiTheme="majorBidi" w:cstheme="majorBidi"/>
        </w:rPr>
        <w:t>izlīguma esība vai neesība nevar ietekmēt nosakāmā soda apmēru.</w:t>
      </w:r>
    </w:p>
    <w:p w14:paraId="7A5743EE" w14:textId="3D24616E" w:rsidR="00AF7179" w:rsidRDefault="00B16921" w:rsidP="00875D93">
      <w:pPr>
        <w:spacing w:line="276" w:lineRule="auto"/>
        <w:ind w:firstLine="709"/>
        <w:jc w:val="both"/>
        <w:rPr>
          <w:rFonts w:asciiTheme="majorBidi" w:hAnsiTheme="majorBidi" w:cstheme="majorBidi"/>
        </w:rPr>
      </w:pPr>
      <w:r>
        <w:rPr>
          <w:rFonts w:asciiTheme="majorBidi" w:hAnsiTheme="majorBidi" w:cstheme="majorBidi"/>
        </w:rPr>
        <w:t>Senāts atzīst, ka šāds secinājums nav pamatots ar tiesību normu interpretāciju, judikatūru vai tiesību zinātnē izteiktām atziņām.</w:t>
      </w:r>
    </w:p>
    <w:p w14:paraId="77449D30" w14:textId="100D2459" w:rsidR="000530E7" w:rsidRDefault="00B16921" w:rsidP="00875D93">
      <w:pPr>
        <w:spacing w:line="276" w:lineRule="auto"/>
        <w:ind w:firstLine="709"/>
        <w:jc w:val="both"/>
        <w:rPr>
          <w:bCs/>
          <w:color w:val="000000"/>
        </w:rPr>
      </w:pPr>
      <w:r>
        <w:rPr>
          <w:bCs/>
          <w:color w:val="000000"/>
        </w:rPr>
        <w:t>Krimināllikuma 176.</w:t>
      </w:r>
      <w:r w:rsidR="00F91F2C">
        <w:rPr>
          <w:bCs/>
          <w:color w:val="000000"/>
        </w:rPr>
        <w:t> </w:t>
      </w:r>
      <w:r>
        <w:rPr>
          <w:bCs/>
          <w:color w:val="000000"/>
        </w:rPr>
        <w:t>panta pirmajā daļā paredzētais noziedzīgais nodarījums saskaņā ar Krimināllikuma 7.</w:t>
      </w:r>
      <w:r w:rsidR="00F91F2C">
        <w:rPr>
          <w:bCs/>
          <w:color w:val="000000"/>
        </w:rPr>
        <w:t> </w:t>
      </w:r>
      <w:r>
        <w:rPr>
          <w:bCs/>
          <w:color w:val="000000"/>
        </w:rPr>
        <w:t xml:space="preserve">panta </w:t>
      </w:r>
      <w:r w:rsidR="000530E7">
        <w:rPr>
          <w:bCs/>
          <w:color w:val="000000"/>
        </w:rPr>
        <w:t>ceturto</w:t>
      </w:r>
      <w:r>
        <w:rPr>
          <w:bCs/>
          <w:color w:val="000000"/>
        </w:rPr>
        <w:t xml:space="preserve"> daļu klasificējams kā smags noziegums un neietilpst to noziedzīgo nodarījumu lokā, par kuriem kriminālprocesu uzsāk vienīgi uz cietušās personas iesnieguma pamata, tādēļ cietušā un noziedzīgo nodarījumu izdarījušās personas izlīgums šajā gadījumā n</w:t>
      </w:r>
      <w:r w:rsidR="000530E7">
        <w:rPr>
          <w:bCs/>
          <w:color w:val="000000"/>
        </w:rPr>
        <w:t xml:space="preserve">av kriminālprocesu nepieļaujošs apstāklis, kā tas paredzēts </w:t>
      </w:r>
      <w:bookmarkStart w:id="10" w:name="_Hlk137820766"/>
      <w:r w:rsidR="000530E7">
        <w:rPr>
          <w:bCs/>
          <w:color w:val="000000"/>
        </w:rPr>
        <w:t>K</w:t>
      </w:r>
      <w:r>
        <w:rPr>
          <w:bCs/>
          <w:color w:val="000000"/>
        </w:rPr>
        <w:t>riminālprocesa</w:t>
      </w:r>
      <w:r w:rsidR="000530E7">
        <w:rPr>
          <w:bCs/>
          <w:color w:val="000000"/>
        </w:rPr>
        <w:t xml:space="preserve"> likuma 377.</w:t>
      </w:r>
      <w:r w:rsidR="00F91F2C">
        <w:rPr>
          <w:bCs/>
          <w:color w:val="000000"/>
        </w:rPr>
        <w:t> </w:t>
      </w:r>
      <w:r w:rsidR="000530E7">
        <w:rPr>
          <w:bCs/>
          <w:color w:val="000000"/>
        </w:rPr>
        <w:t>panta</w:t>
      </w:r>
      <w:bookmarkEnd w:id="10"/>
      <w:r w:rsidR="000530E7">
        <w:rPr>
          <w:bCs/>
          <w:color w:val="000000"/>
        </w:rPr>
        <w:t xml:space="preserve"> 9. punktā.</w:t>
      </w:r>
      <w:r>
        <w:rPr>
          <w:bCs/>
          <w:color w:val="000000"/>
        </w:rPr>
        <w:t xml:space="preserve"> Šāds izlīgums</w:t>
      </w:r>
      <w:r w:rsidR="000530E7">
        <w:rPr>
          <w:bCs/>
          <w:color w:val="000000"/>
        </w:rPr>
        <w:t xml:space="preserve"> nevar būt par pamatu kriminālprocesa izbeigšanai</w:t>
      </w:r>
      <w:r>
        <w:rPr>
          <w:bCs/>
          <w:color w:val="000000"/>
        </w:rPr>
        <w:t>,</w:t>
      </w:r>
      <w:r w:rsidR="000530E7">
        <w:rPr>
          <w:bCs/>
          <w:color w:val="000000"/>
        </w:rPr>
        <w:t xml:space="preserve"> pamatojoties ar</w:t>
      </w:r>
      <w:r w:rsidR="00B06369">
        <w:rPr>
          <w:bCs/>
          <w:color w:val="000000"/>
        </w:rPr>
        <w:t>ī</w:t>
      </w:r>
      <w:r w:rsidR="000530E7">
        <w:rPr>
          <w:bCs/>
          <w:color w:val="000000"/>
        </w:rPr>
        <w:t xml:space="preserve"> uz</w:t>
      </w:r>
      <w:r w:rsidR="000530E7" w:rsidRPr="000530E7">
        <w:rPr>
          <w:bCs/>
          <w:color w:val="000000"/>
        </w:rPr>
        <w:t xml:space="preserve"> </w:t>
      </w:r>
      <w:r w:rsidR="000530E7">
        <w:rPr>
          <w:bCs/>
          <w:color w:val="000000"/>
        </w:rPr>
        <w:t>Kriminālprocesa likuma 379.</w:t>
      </w:r>
      <w:r w:rsidR="00F91F2C">
        <w:rPr>
          <w:bCs/>
          <w:color w:val="000000"/>
        </w:rPr>
        <w:t> </w:t>
      </w:r>
      <w:r w:rsidR="000530E7">
        <w:rPr>
          <w:bCs/>
          <w:color w:val="000000"/>
        </w:rPr>
        <w:t>pantā noteikto.</w:t>
      </w:r>
    </w:p>
    <w:p w14:paraId="409CA49B" w14:textId="2EA81EF5" w:rsidR="00F91F2C" w:rsidRPr="007C4737" w:rsidRDefault="00F91F2C" w:rsidP="00875D93">
      <w:pPr>
        <w:spacing w:line="276" w:lineRule="auto"/>
        <w:ind w:firstLine="709"/>
        <w:jc w:val="both"/>
        <w:rPr>
          <w:rFonts w:asciiTheme="majorBidi" w:hAnsiTheme="majorBidi" w:cstheme="majorBidi"/>
          <w:bCs/>
          <w:color w:val="000000" w:themeColor="text1"/>
        </w:rPr>
      </w:pPr>
      <w:r w:rsidRPr="007C4737">
        <w:rPr>
          <w:rFonts w:asciiTheme="majorBidi" w:hAnsiTheme="majorBidi" w:cstheme="majorBidi"/>
          <w:color w:val="000000" w:themeColor="text1"/>
          <w:lang w:eastAsia="lv-LV"/>
        </w:rPr>
        <w:t xml:space="preserve">Izlīgums ir viens no krimināltiesisko attiecību noregulēšanas mehānisma elementiem un kā tāds kopumā </w:t>
      </w:r>
      <w:r w:rsidR="00C66BCB" w:rsidRPr="007C4737">
        <w:rPr>
          <w:rFonts w:asciiTheme="majorBidi" w:hAnsiTheme="majorBidi" w:cstheme="majorBidi"/>
          <w:color w:val="000000" w:themeColor="text1"/>
          <w:lang w:eastAsia="lv-LV"/>
        </w:rPr>
        <w:t xml:space="preserve">ir </w:t>
      </w:r>
      <w:proofErr w:type="gramStart"/>
      <w:r w:rsidRPr="007C4737">
        <w:rPr>
          <w:rFonts w:asciiTheme="majorBidi" w:hAnsiTheme="majorBidi" w:cstheme="majorBidi"/>
          <w:color w:val="000000" w:themeColor="text1"/>
          <w:lang w:eastAsia="lv-LV"/>
        </w:rPr>
        <w:t>vērtējams pozitīvi</w:t>
      </w:r>
      <w:proofErr w:type="gramEnd"/>
      <w:r w:rsidRPr="007C4737">
        <w:rPr>
          <w:rFonts w:asciiTheme="majorBidi" w:hAnsiTheme="majorBidi" w:cstheme="majorBidi"/>
          <w:color w:val="000000" w:themeColor="text1"/>
          <w:lang w:eastAsia="lv-LV"/>
        </w:rPr>
        <w:t>, jo likumam atbilstošu izlīgumu noslēgšana var sekmēt Kriminālprocesa likuma mērķa</w:t>
      </w:r>
      <w:r w:rsidR="002D7998">
        <w:rPr>
          <w:rFonts w:asciiTheme="majorBidi" w:hAnsiTheme="majorBidi" w:cstheme="majorBidi"/>
          <w:color w:val="000000" w:themeColor="text1"/>
          <w:lang w:eastAsia="lv-LV"/>
        </w:rPr>
        <w:t> </w:t>
      </w:r>
      <w:r w:rsidRPr="007C4737">
        <w:rPr>
          <w:rFonts w:asciiTheme="majorBidi" w:hAnsiTheme="majorBidi" w:cstheme="majorBidi"/>
          <w:color w:val="000000" w:themeColor="text1"/>
          <w:lang w:eastAsia="lv-LV"/>
        </w:rPr>
        <w:t>– taisnīga krimināltiesisko attiecību noregulējuma bez neattaisnotas iejaukšanās personas dzīvē</w:t>
      </w:r>
      <w:r w:rsidR="002D7998">
        <w:rPr>
          <w:rFonts w:asciiTheme="majorBidi" w:hAnsiTheme="majorBidi" w:cstheme="majorBidi"/>
          <w:color w:val="000000" w:themeColor="text1"/>
          <w:lang w:eastAsia="lv-LV"/>
        </w:rPr>
        <w:t> </w:t>
      </w:r>
      <w:r w:rsidRPr="007C4737">
        <w:rPr>
          <w:rFonts w:asciiTheme="majorBidi" w:hAnsiTheme="majorBidi" w:cstheme="majorBidi"/>
          <w:color w:val="000000" w:themeColor="text1"/>
          <w:lang w:eastAsia="lv-LV"/>
        </w:rPr>
        <w:t>– sasniegšanu. Kriminālprocesa likumā izlīguma jēdziens nav definēts, taču kriminālprocesa teorijā tas tiek skaidrots kā brīvprātīga vienošanās starp noziedzīgo nodarījumu izdarījušo personu un cietušo, kurā noziedzīgā nodarījuma izdarītājs atzīst savu vainu, savukārt cietušais atzīst, ka turpmāku pretenziju pret noziedzīga nodarījuma izdarītāju viņam nav.</w:t>
      </w:r>
      <w:r w:rsidR="00E800DC" w:rsidRPr="007C4737">
        <w:rPr>
          <w:rFonts w:asciiTheme="majorBidi" w:hAnsiTheme="majorBidi" w:cstheme="majorBidi"/>
          <w:color w:val="000000" w:themeColor="text1"/>
          <w:lang w:eastAsia="lv-LV"/>
        </w:rPr>
        <w:t xml:space="preserve"> </w:t>
      </w:r>
      <w:r w:rsidRPr="007C4737">
        <w:rPr>
          <w:rFonts w:asciiTheme="majorBidi" w:hAnsiTheme="majorBidi" w:cstheme="majorBidi"/>
          <w:color w:val="000000" w:themeColor="text1"/>
          <w:lang w:eastAsia="lv-LV"/>
        </w:rPr>
        <w:t xml:space="preserve">Tādējādi no minētā izsecināms, ka izlīgums starp cietušo un apsūdzēto atzīstams par tiesiski noslēgtu, ja: 1) tas noslēgts labprātīgi, 2) apsūdzētais atzīst savu vainu tam inkriminētajā nodarījumā, 3) cietušais atzīst, ka viņam līdz ar izlīguma noslēgšanu vairs nav nekādu pretenziju pret noziedzīgu nodarījumu izdarījušo personu </w:t>
      </w:r>
      <w:proofErr w:type="gramStart"/>
      <w:r w:rsidRPr="007C4737">
        <w:rPr>
          <w:rFonts w:asciiTheme="majorBidi" w:hAnsiTheme="majorBidi" w:cstheme="majorBidi"/>
          <w:color w:val="000000" w:themeColor="text1"/>
          <w:lang w:eastAsia="lv-LV"/>
        </w:rPr>
        <w:t>(</w:t>
      </w:r>
      <w:proofErr w:type="spellStart"/>
      <w:proofErr w:type="gramEnd"/>
      <w:r w:rsidR="0046562C" w:rsidRPr="007C4737">
        <w:rPr>
          <w:rFonts w:asciiTheme="majorBidi" w:hAnsiTheme="majorBidi" w:cstheme="majorBidi"/>
          <w:i/>
          <w:iCs/>
          <w:color w:val="000000" w:themeColor="text1"/>
          <w:lang w:eastAsia="lv-LV"/>
        </w:rPr>
        <w:t>Liholaja</w:t>
      </w:r>
      <w:proofErr w:type="spellEnd"/>
      <w:r w:rsidR="002D7998">
        <w:rPr>
          <w:rFonts w:asciiTheme="majorBidi" w:hAnsiTheme="majorBidi" w:cstheme="majorBidi"/>
          <w:i/>
          <w:iCs/>
          <w:color w:val="000000" w:themeColor="text1"/>
          <w:lang w:eastAsia="lv-LV"/>
        </w:rPr>
        <w:t> </w:t>
      </w:r>
      <w:r w:rsidR="0046562C" w:rsidRPr="007C4737">
        <w:rPr>
          <w:rFonts w:asciiTheme="majorBidi" w:hAnsiTheme="majorBidi" w:cstheme="majorBidi"/>
          <w:i/>
          <w:iCs/>
          <w:color w:val="000000" w:themeColor="text1"/>
          <w:lang w:eastAsia="lv-LV"/>
        </w:rPr>
        <w:t>V. Izlīgums un taisnīgs krimināltiesisko attiecību noregulējums. Jurista vārds, 07.07.2009., Nr.</w:t>
      </w:r>
      <w:r w:rsidR="007A401E" w:rsidRPr="007C4737">
        <w:rPr>
          <w:rFonts w:asciiTheme="majorBidi" w:hAnsiTheme="majorBidi" w:cstheme="majorBidi"/>
          <w:i/>
          <w:iCs/>
          <w:caps/>
          <w:color w:val="000000" w:themeColor="text1"/>
        </w:rPr>
        <w:t> </w:t>
      </w:r>
      <w:r w:rsidR="0046562C" w:rsidRPr="007C4737">
        <w:rPr>
          <w:rFonts w:asciiTheme="majorBidi" w:hAnsiTheme="majorBidi" w:cstheme="majorBidi"/>
          <w:i/>
          <w:iCs/>
          <w:caps/>
          <w:color w:val="000000" w:themeColor="text1"/>
        </w:rPr>
        <w:t>27 (570)</w:t>
      </w:r>
      <w:r w:rsidR="0046562C" w:rsidRPr="007C4737">
        <w:rPr>
          <w:rFonts w:asciiTheme="majorBidi" w:hAnsiTheme="majorBidi" w:cstheme="majorBidi"/>
          <w:caps/>
          <w:color w:val="000000" w:themeColor="text1"/>
        </w:rPr>
        <w:t xml:space="preserve">). </w:t>
      </w:r>
    </w:p>
    <w:p w14:paraId="4501C38A" w14:textId="77777777" w:rsidR="00E800DC" w:rsidRDefault="00E800DC" w:rsidP="00875D93">
      <w:pPr>
        <w:spacing w:line="276" w:lineRule="auto"/>
        <w:ind w:firstLine="709"/>
        <w:jc w:val="both"/>
        <w:rPr>
          <w:bCs/>
          <w:color w:val="000000"/>
        </w:rPr>
      </w:pPr>
      <w:r>
        <w:rPr>
          <w:bCs/>
          <w:color w:val="000000"/>
        </w:rPr>
        <w:t>Atbilstoši Krimināllikuma 47. panta pirmās daļas 3. punktam par atbildību mīkstinošu apstākli atzīstams tas, ka vainīgais labprātīgi atlīdzinājis cietušajam ar noziedzīgo nodarījumu radīto kaitējumu vai novērsis radīto kaitējumu.</w:t>
      </w:r>
    </w:p>
    <w:p w14:paraId="0236D9FA" w14:textId="61BFC6A6" w:rsidR="003B29C5" w:rsidRDefault="00E800DC" w:rsidP="00875D93">
      <w:pPr>
        <w:spacing w:line="276" w:lineRule="auto"/>
        <w:ind w:firstLine="709"/>
        <w:jc w:val="both"/>
        <w:rPr>
          <w:bCs/>
          <w:color w:val="000000"/>
        </w:rPr>
      </w:pPr>
      <w:r>
        <w:rPr>
          <w:bCs/>
          <w:color w:val="000000"/>
        </w:rPr>
        <w:t>I</w:t>
      </w:r>
      <w:r w:rsidR="003B29C5">
        <w:rPr>
          <w:bCs/>
          <w:color w:val="000000"/>
        </w:rPr>
        <w:t>zlīgums nav tikai vienas puses rīcība, kā tas ir tad, ja</w:t>
      </w:r>
      <w:r w:rsidR="003B29C5" w:rsidRPr="003B29C5">
        <w:rPr>
          <w:bCs/>
          <w:color w:val="000000"/>
        </w:rPr>
        <w:t xml:space="preserve"> </w:t>
      </w:r>
      <w:r w:rsidR="003B29C5">
        <w:rPr>
          <w:bCs/>
          <w:color w:val="000000"/>
        </w:rPr>
        <w:t>vainīgais labprātīgi atlīdzinājis cietušajam ar noziedzīgo nodarījumu radīto kaitējumu vai novērsis radīto kaitējumu.</w:t>
      </w:r>
    </w:p>
    <w:p w14:paraId="41BC7623" w14:textId="759B1E57" w:rsidR="00B16921" w:rsidRDefault="00B06369" w:rsidP="00875D93">
      <w:pPr>
        <w:spacing w:line="276" w:lineRule="auto"/>
        <w:ind w:firstLine="709"/>
        <w:jc w:val="both"/>
        <w:rPr>
          <w:bCs/>
          <w:color w:val="000000"/>
        </w:rPr>
      </w:pPr>
      <w:r>
        <w:rPr>
          <w:bCs/>
          <w:color w:val="000000"/>
        </w:rPr>
        <w:t>I</w:t>
      </w:r>
      <w:r w:rsidR="00B16921">
        <w:rPr>
          <w:bCs/>
          <w:color w:val="000000"/>
        </w:rPr>
        <w:t>evērojot</w:t>
      </w:r>
      <w:r>
        <w:rPr>
          <w:bCs/>
          <w:color w:val="000000"/>
        </w:rPr>
        <w:t xml:space="preserve"> norādīto, Senāts atzīst, ka</w:t>
      </w:r>
      <w:r w:rsidRPr="00B06369">
        <w:rPr>
          <w:rFonts w:asciiTheme="majorBidi" w:hAnsiTheme="majorBidi" w:cstheme="majorBidi"/>
        </w:rPr>
        <w:t xml:space="preserve"> </w:t>
      </w:r>
      <w:r>
        <w:rPr>
          <w:rFonts w:asciiTheme="majorBidi" w:hAnsiTheme="majorBidi" w:cstheme="majorBidi"/>
        </w:rPr>
        <w:t>izlīguma</w:t>
      </w:r>
      <w:r w:rsidR="003B29C5">
        <w:rPr>
          <w:rFonts w:asciiTheme="majorBidi" w:hAnsiTheme="majorBidi" w:cstheme="majorBidi"/>
        </w:rPr>
        <w:t>, kad tas nav pamats kriminālprocesa izbeigšanai,</w:t>
      </w:r>
      <w:r>
        <w:rPr>
          <w:rFonts w:asciiTheme="majorBidi" w:hAnsiTheme="majorBidi" w:cstheme="majorBidi"/>
        </w:rPr>
        <w:t xml:space="preserve"> esība var ietekmēt nosakāmā soda apmēru</w:t>
      </w:r>
      <w:r w:rsidR="00B16921">
        <w:rPr>
          <w:bCs/>
          <w:color w:val="000000"/>
        </w:rPr>
        <w:t>. Tiesai</w:t>
      </w:r>
      <w:r w:rsidR="003B29C5">
        <w:rPr>
          <w:bCs/>
          <w:color w:val="000000"/>
        </w:rPr>
        <w:t>, izskatot lietu,</w:t>
      </w:r>
      <w:r w:rsidR="00B16921">
        <w:rPr>
          <w:bCs/>
          <w:color w:val="000000"/>
        </w:rPr>
        <w:t xml:space="preserve"> rūp</w:t>
      </w:r>
      <w:r>
        <w:rPr>
          <w:bCs/>
          <w:color w:val="000000"/>
        </w:rPr>
        <w:t>īgi</w:t>
      </w:r>
      <w:r w:rsidR="00B16921">
        <w:rPr>
          <w:bCs/>
          <w:color w:val="000000"/>
        </w:rPr>
        <w:t xml:space="preserve"> </w:t>
      </w:r>
      <w:r w:rsidR="003B29C5">
        <w:rPr>
          <w:bCs/>
          <w:color w:val="000000"/>
        </w:rPr>
        <w:t>jā</w:t>
      </w:r>
      <w:r>
        <w:rPr>
          <w:bCs/>
          <w:color w:val="000000"/>
        </w:rPr>
        <w:t xml:space="preserve">izvērtē, vai </w:t>
      </w:r>
      <w:r w:rsidR="00B16921">
        <w:rPr>
          <w:bCs/>
          <w:color w:val="000000"/>
        </w:rPr>
        <w:t>izlīgum</w:t>
      </w:r>
      <w:r>
        <w:rPr>
          <w:bCs/>
          <w:color w:val="000000"/>
        </w:rPr>
        <w:t>ā</w:t>
      </w:r>
      <w:r w:rsidR="00B16921">
        <w:rPr>
          <w:bCs/>
          <w:color w:val="000000"/>
        </w:rPr>
        <w:t xml:space="preserve"> starp cietušo un noziedzīgo nodarījumu izdarījušo personu</w:t>
      </w:r>
      <w:r>
        <w:rPr>
          <w:bCs/>
          <w:color w:val="000000"/>
        </w:rPr>
        <w:t xml:space="preserve"> ir norādīts, ka</w:t>
      </w:r>
      <w:r w:rsidRPr="00B06369">
        <w:rPr>
          <w:bCs/>
          <w:color w:val="000000"/>
        </w:rPr>
        <w:t xml:space="preserve"> </w:t>
      </w:r>
      <w:bookmarkStart w:id="11" w:name="_Hlk138076182"/>
      <w:r>
        <w:rPr>
          <w:bCs/>
          <w:color w:val="000000"/>
        </w:rPr>
        <w:t>vainīgais</w:t>
      </w:r>
      <w:r w:rsidR="00782425">
        <w:rPr>
          <w:bCs/>
          <w:color w:val="000000"/>
        </w:rPr>
        <w:t xml:space="preserve"> cietušajam tikai</w:t>
      </w:r>
      <w:r>
        <w:rPr>
          <w:bCs/>
          <w:color w:val="000000"/>
        </w:rPr>
        <w:t xml:space="preserve"> labprātīgi </w:t>
      </w:r>
      <w:r w:rsidR="001F1443">
        <w:rPr>
          <w:bCs/>
          <w:color w:val="000000"/>
        </w:rPr>
        <w:t xml:space="preserve">ir </w:t>
      </w:r>
      <w:r>
        <w:rPr>
          <w:bCs/>
          <w:color w:val="000000"/>
        </w:rPr>
        <w:t xml:space="preserve">atlīdzinājis </w:t>
      </w:r>
      <w:r w:rsidR="00782425">
        <w:rPr>
          <w:bCs/>
          <w:color w:val="000000"/>
        </w:rPr>
        <w:t>a</w:t>
      </w:r>
      <w:r>
        <w:rPr>
          <w:bCs/>
          <w:color w:val="000000"/>
        </w:rPr>
        <w:t>r noziedzīgo nodarījumu radīto kaitējumu vai novērsis radīto kaitējumu</w:t>
      </w:r>
      <w:bookmarkEnd w:id="11"/>
      <w:r>
        <w:rPr>
          <w:bCs/>
          <w:color w:val="000000"/>
        </w:rPr>
        <w:t xml:space="preserve">, vai arī </w:t>
      </w:r>
      <w:r w:rsidR="003B29C5">
        <w:rPr>
          <w:bCs/>
          <w:color w:val="000000"/>
        </w:rPr>
        <w:t xml:space="preserve">ir </w:t>
      </w:r>
      <w:r>
        <w:rPr>
          <w:bCs/>
          <w:color w:val="000000"/>
        </w:rPr>
        <w:t>veicis</w:t>
      </w:r>
      <w:r w:rsidR="00782425">
        <w:rPr>
          <w:bCs/>
          <w:color w:val="000000"/>
        </w:rPr>
        <w:t xml:space="preserve"> vēl</w:t>
      </w:r>
      <w:r>
        <w:rPr>
          <w:bCs/>
          <w:color w:val="000000"/>
        </w:rPr>
        <w:t xml:space="preserve"> kādas citas darbības, kuras neaptver</w:t>
      </w:r>
      <w:r w:rsidRPr="00B06369">
        <w:rPr>
          <w:bCs/>
          <w:color w:val="000000"/>
        </w:rPr>
        <w:t xml:space="preserve"> </w:t>
      </w:r>
      <w:r>
        <w:rPr>
          <w:bCs/>
          <w:color w:val="000000"/>
        </w:rPr>
        <w:t>Krimināllikuma 47.</w:t>
      </w:r>
      <w:r w:rsidR="0046562C">
        <w:rPr>
          <w:bCs/>
          <w:color w:val="000000"/>
        </w:rPr>
        <w:t> </w:t>
      </w:r>
      <w:r>
        <w:rPr>
          <w:bCs/>
          <w:color w:val="000000"/>
        </w:rPr>
        <w:t>panta pirmās daļas 3.</w:t>
      </w:r>
      <w:r w:rsidR="0046562C">
        <w:rPr>
          <w:bCs/>
          <w:color w:val="000000"/>
        </w:rPr>
        <w:t> </w:t>
      </w:r>
      <w:r>
        <w:rPr>
          <w:bCs/>
          <w:color w:val="000000"/>
        </w:rPr>
        <w:t>punkt</w:t>
      </w:r>
      <w:r w:rsidR="003B29C5">
        <w:rPr>
          <w:bCs/>
          <w:color w:val="000000"/>
        </w:rPr>
        <w:t>a satur</w:t>
      </w:r>
      <w:r w:rsidR="00782425">
        <w:rPr>
          <w:bCs/>
          <w:color w:val="000000"/>
        </w:rPr>
        <w:t>s</w:t>
      </w:r>
      <w:r w:rsidR="0066337D">
        <w:rPr>
          <w:bCs/>
          <w:color w:val="000000"/>
        </w:rPr>
        <w:t>, bet būtu papildus vērtējamas kā</w:t>
      </w:r>
      <w:r>
        <w:rPr>
          <w:bCs/>
          <w:color w:val="000000"/>
        </w:rPr>
        <w:t xml:space="preserve"> atbildību mīkstinoš</w:t>
      </w:r>
      <w:r w:rsidR="0066337D">
        <w:rPr>
          <w:bCs/>
          <w:color w:val="000000"/>
        </w:rPr>
        <w:t>s</w:t>
      </w:r>
      <w:r>
        <w:rPr>
          <w:bCs/>
          <w:color w:val="000000"/>
        </w:rPr>
        <w:t xml:space="preserve"> apstākli</w:t>
      </w:r>
      <w:r w:rsidR="0066337D">
        <w:rPr>
          <w:bCs/>
          <w:color w:val="000000"/>
        </w:rPr>
        <w:t>s saskaņā ar</w:t>
      </w:r>
      <w:r w:rsidR="0066337D" w:rsidRPr="0066337D">
        <w:rPr>
          <w:bCs/>
          <w:color w:val="000000"/>
        </w:rPr>
        <w:t xml:space="preserve"> </w:t>
      </w:r>
      <w:r w:rsidR="0066337D">
        <w:rPr>
          <w:bCs/>
          <w:color w:val="000000"/>
        </w:rPr>
        <w:t>Krimināllikuma 47.</w:t>
      </w:r>
      <w:r w:rsidR="0046562C">
        <w:t> </w:t>
      </w:r>
      <w:r w:rsidR="0066337D">
        <w:rPr>
          <w:bCs/>
          <w:color w:val="000000"/>
        </w:rPr>
        <w:t>panta otro daļu</w:t>
      </w:r>
      <w:r w:rsidR="00C66BCB">
        <w:rPr>
          <w:bCs/>
          <w:color w:val="000000"/>
        </w:rPr>
        <w:t>, k</w:t>
      </w:r>
      <w:r w:rsidR="00FB181F">
        <w:rPr>
          <w:bCs/>
          <w:color w:val="000000"/>
        </w:rPr>
        <w:t xml:space="preserve">ā </w:t>
      </w:r>
      <w:r w:rsidR="00C66BCB">
        <w:rPr>
          <w:bCs/>
          <w:color w:val="000000"/>
        </w:rPr>
        <w:t>piemēram</w:t>
      </w:r>
      <w:r w:rsidR="00FB181F">
        <w:rPr>
          <w:bCs/>
          <w:color w:val="000000"/>
        </w:rPr>
        <w:t>, savas vainas atzīšana un izdarītā nožēlošana</w:t>
      </w:r>
      <w:r w:rsidR="00B16921">
        <w:rPr>
          <w:bCs/>
          <w:color w:val="000000"/>
        </w:rPr>
        <w:t>.</w:t>
      </w:r>
    </w:p>
    <w:p w14:paraId="2BBD430C" w14:textId="133CBAF8" w:rsidR="00AF7179" w:rsidRDefault="00AF7179" w:rsidP="00875D93">
      <w:pPr>
        <w:spacing w:line="276" w:lineRule="auto"/>
        <w:ind w:firstLine="709"/>
        <w:jc w:val="both"/>
        <w:rPr>
          <w:bCs/>
          <w:color w:val="000000"/>
        </w:rPr>
      </w:pPr>
      <w:r>
        <w:rPr>
          <w:bCs/>
          <w:color w:val="000000"/>
        </w:rPr>
        <w:t>Vienlaikus Senāts norāda, ka Krimināllikuma 47.</w:t>
      </w:r>
      <w:r w:rsidR="0046562C">
        <w:t> </w:t>
      </w:r>
      <w:r>
        <w:rPr>
          <w:bCs/>
          <w:color w:val="000000"/>
        </w:rPr>
        <w:t>panta otr</w:t>
      </w:r>
      <w:r w:rsidR="003B29C5">
        <w:rPr>
          <w:bCs/>
          <w:color w:val="000000"/>
        </w:rPr>
        <w:t>ā</w:t>
      </w:r>
      <w:r>
        <w:rPr>
          <w:bCs/>
          <w:color w:val="000000"/>
        </w:rPr>
        <w:t xml:space="preserve"> daļa nav </w:t>
      </w:r>
      <w:r w:rsidRPr="00552ECB">
        <w:rPr>
          <w:bCs/>
          <w:color w:val="000000"/>
        </w:rPr>
        <w:t>imperatīva</w:t>
      </w:r>
      <w:r w:rsidR="00FB181F">
        <w:rPr>
          <w:bCs/>
          <w:color w:val="000000"/>
        </w:rPr>
        <w:t xml:space="preserve"> </w:t>
      </w:r>
      <w:r>
        <w:rPr>
          <w:bCs/>
          <w:color w:val="000000"/>
        </w:rPr>
        <w:t>tiesību norma un par tās piemērošanu vai nepiemērošanu izlemj tiesa, kas izskata lietu pēc būtības.</w:t>
      </w:r>
    </w:p>
    <w:p w14:paraId="24E86387" w14:textId="77777777" w:rsidR="0046562C" w:rsidRDefault="0046562C" w:rsidP="00875D93">
      <w:pPr>
        <w:spacing w:line="276" w:lineRule="auto"/>
        <w:ind w:firstLine="709"/>
        <w:jc w:val="both"/>
        <w:rPr>
          <w:bCs/>
          <w:color w:val="000000"/>
          <w:lang w:eastAsia="en-US"/>
        </w:rPr>
      </w:pPr>
    </w:p>
    <w:p w14:paraId="68FA8EEE" w14:textId="7EFA2B2D" w:rsidR="00716507" w:rsidRDefault="0066337D" w:rsidP="00875D93">
      <w:pPr>
        <w:spacing w:line="276" w:lineRule="auto"/>
        <w:ind w:firstLine="720"/>
        <w:jc w:val="both"/>
      </w:pPr>
      <w:r>
        <w:rPr>
          <w:shd w:val="clear" w:color="auto" w:fill="FFFFFF"/>
        </w:rPr>
        <w:t>[6]</w:t>
      </w:r>
      <w:r w:rsidR="00716507">
        <w:rPr>
          <w:shd w:val="clear" w:color="auto" w:fill="FFFFFF"/>
        </w:rPr>
        <w:t> </w:t>
      </w:r>
      <w:r>
        <w:rPr>
          <w:shd w:val="clear" w:color="auto" w:fill="FFFFFF"/>
        </w:rPr>
        <w:t xml:space="preserve">Ievērojot minēto apsvērumu kopumu, Senāts atzīst, ka Rīgas apgabaltiesas </w:t>
      </w:r>
      <w:r w:rsidRPr="007D35A4">
        <w:rPr>
          <w:rFonts w:asciiTheme="majorBidi" w:hAnsiTheme="majorBidi" w:cstheme="majorBidi"/>
        </w:rPr>
        <w:t>202</w:t>
      </w:r>
      <w:r>
        <w:rPr>
          <w:rFonts w:asciiTheme="majorBidi" w:hAnsiTheme="majorBidi" w:cstheme="majorBidi"/>
        </w:rPr>
        <w:t>3</w:t>
      </w:r>
      <w:r w:rsidRPr="007D35A4">
        <w:rPr>
          <w:rFonts w:asciiTheme="majorBidi" w:hAnsiTheme="majorBidi" w:cstheme="majorBidi"/>
        </w:rPr>
        <w:t>. gada 16. </w:t>
      </w:r>
      <w:r>
        <w:rPr>
          <w:rFonts w:asciiTheme="majorBidi" w:hAnsiTheme="majorBidi" w:cstheme="majorBidi"/>
        </w:rPr>
        <w:t>janvāra</w:t>
      </w:r>
      <w:r w:rsidRPr="007D35A4">
        <w:rPr>
          <w:rFonts w:asciiTheme="majorBidi" w:hAnsiTheme="majorBidi" w:cstheme="majorBidi"/>
        </w:rPr>
        <w:t xml:space="preserve"> </w:t>
      </w:r>
      <w:r>
        <w:rPr>
          <w:shd w:val="clear" w:color="auto" w:fill="FFFFFF"/>
        </w:rPr>
        <w:t>spriedums atceļams pilnībā un lieta nosūtāma jaunai izskatīšanai apelācijas instances tiesā.</w:t>
      </w:r>
    </w:p>
    <w:p w14:paraId="0D327BDC" w14:textId="77777777" w:rsidR="00716507" w:rsidRDefault="00716507" w:rsidP="00875D93">
      <w:pPr>
        <w:spacing w:line="276" w:lineRule="auto"/>
        <w:ind w:firstLine="720"/>
        <w:jc w:val="both"/>
      </w:pPr>
    </w:p>
    <w:p w14:paraId="567AD902" w14:textId="77777777" w:rsidR="00FB181F" w:rsidRPr="00716507" w:rsidRDefault="00237599" w:rsidP="00875D93">
      <w:pPr>
        <w:spacing w:line="276" w:lineRule="auto"/>
        <w:ind w:firstLine="720"/>
        <w:jc w:val="both"/>
      </w:pPr>
      <w:r w:rsidRPr="00C30DC5">
        <w:rPr>
          <w:rFonts w:asciiTheme="majorBidi" w:hAnsiTheme="majorBidi" w:cstheme="majorBidi"/>
        </w:rPr>
        <w:t>[</w:t>
      </w:r>
      <w:r w:rsidR="0066337D">
        <w:rPr>
          <w:rFonts w:asciiTheme="majorBidi" w:hAnsiTheme="majorBidi" w:cstheme="majorBidi"/>
        </w:rPr>
        <w:t>7</w:t>
      </w:r>
      <w:r w:rsidRPr="00C30DC5">
        <w:rPr>
          <w:rFonts w:asciiTheme="majorBidi" w:hAnsiTheme="majorBidi" w:cstheme="majorBidi"/>
        </w:rPr>
        <w:t>]</w:t>
      </w:r>
      <w:r w:rsidR="00BC395E">
        <w:rPr>
          <w:rFonts w:asciiTheme="majorBidi" w:hAnsiTheme="majorBidi" w:cstheme="majorBidi"/>
        </w:rPr>
        <w:t> </w:t>
      </w:r>
      <w:r w:rsidR="00FB181F" w:rsidRPr="00C30DC5">
        <w:rPr>
          <w:rFonts w:asciiTheme="majorBidi" w:hAnsiTheme="majorBidi" w:cstheme="majorBidi"/>
        </w:rPr>
        <w:t xml:space="preserve">Senāts atzīst, ka </w:t>
      </w:r>
      <w:r w:rsidR="00FB181F">
        <w:rPr>
          <w:rFonts w:asciiTheme="majorBidi" w:hAnsiTheme="majorBidi" w:cstheme="majorBidi"/>
        </w:rPr>
        <w:t>aizstāvja kasācijas sūdzībā izteiktais lūgums par vēršanos Eiropas Savienības Tiesā un Latvijas Republikas Satversmes tiesā nav pamatots, jo Senāts lēmum</w:t>
      </w:r>
      <w:r w:rsidR="00FB181F" w:rsidRPr="00C30DC5">
        <w:rPr>
          <w:rFonts w:asciiTheme="majorBidi" w:hAnsiTheme="majorBidi" w:cstheme="majorBidi"/>
        </w:rPr>
        <w:t>a</w:t>
      </w:r>
      <w:r w:rsidR="00FB181F">
        <w:rPr>
          <w:rFonts w:asciiTheme="majorBidi" w:hAnsiTheme="majorBidi" w:cstheme="majorBidi"/>
        </w:rPr>
        <w:t xml:space="preserve"> 5.2. punktā jau sniedzis atbildi jautājumā par izlīgumu un tā ietekmi uz apsūdzētajam nosakāmo sodu. Turklāt apelācijas instances tiesas spriedums tiek atcelts un lieta no jauna jāizskata apelācijas instances tiesā.</w:t>
      </w:r>
    </w:p>
    <w:p w14:paraId="266348FF" w14:textId="1594ED5B" w:rsidR="00716507" w:rsidRDefault="00465049" w:rsidP="00875D93">
      <w:pPr>
        <w:spacing w:line="276" w:lineRule="auto"/>
        <w:ind w:firstLine="720"/>
        <w:jc w:val="both"/>
      </w:pPr>
      <w:r w:rsidRPr="00716507">
        <w:rPr>
          <w:color w:val="000000" w:themeColor="text1"/>
        </w:rPr>
        <w:t>Kriminālprocesa likuma 478.</w:t>
      </w:r>
      <w:r w:rsidR="00716507">
        <w:rPr>
          <w:color w:val="000000" w:themeColor="text1"/>
        </w:rPr>
        <w:t> </w:t>
      </w:r>
      <w:r w:rsidRPr="00716507">
        <w:rPr>
          <w:color w:val="000000" w:themeColor="text1"/>
        </w:rPr>
        <w:t>panta pirmā daļa noteic, ka</w:t>
      </w:r>
      <w:r w:rsidR="00BC5ABE">
        <w:rPr>
          <w:color w:val="000000" w:themeColor="text1"/>
        </w:rPr>
        <w:t xml:space="preserve"> gadījumā</w:t>
      </w:r>
      <w:r w:rsidR="00716507" w:rsidRPr="00716507">
        <w:rPr>
          <w:color w:val="000000" w:themeColor="text1"/>
        </w:rPr>
        <w:t>, ja</w:t>
      </w:r>
      <w:r w:rsidR="00716507" w:rsidRPr="00716507">
        <w:rPr>
          <w:color w:val="000000" w:themeColor="text1"/>
          <w:shd w:val="clear" w:color="auto" w:fill="FFFFFF"/>
        </w:rPr>
        <w:t xml:space="preserve"> tiesa uzskata, ka tiesību norma, kas piemērota konkrētajā krimināllietā, neatbilst augstāka juridiskā spēka tiesību normai (aktam), tā iesniedz pieteikumu par lietas ierosināšanu Satversmes tiesā, vienlaikus apturot tiesvedību krimināllietā, līdz stājas spēkā Satversmes tiesas nolēmums.</w:t>
      </w:r>
    </w:p>
    <w:p w14:paraId="6ACD1CD2" w14:textId="429B257E" w:rsidR="00E57A8B" w:rsidRDefault="00AF7179" w:rsidP="00875D93">
      <w:pPr>
        <w:tabs>
          <w:tab w:val="left" w:pos="0"/>
          <w:tab w:val="left" w:pos="6660"/>
        </w:tabs>
        <w:spacing w:line="276" w:lineRule="auto"/>
        <w:ind w:firstLine="709"/>
        <w:jc w:val="both"/>
      </w:pPr>
      <w:r>
        <w:rPr>
          <w:rFonts w:asciiTheme="majorBidi" w:hAnsiTheme="majorBidi" w:cstheme="majorBidi"/>
        </w:rPr>
        <w:t>K</w:t>
      </w:r>
      <w:r w:rsidR="0066337D">
        <w:rPr>
          <w:rFonts w:asciiTheme="majorBidi" w:hAnsiTheme="majorBidi" w:cstheme="majorBidi"/>
        </w:rPr>
        <w:t xml:space="preserve">asācijas instances tiesa </w:t>
      </w:r>
      <w:r w:rsidR="00AE4557">
        <w:rPr>
          <w:rFonts w:asciiTheme="majorBidi" w:hAnsiTheme="majorBidi" w:cstheme="majorBidi"/>
        </w:rPr>
        <w:t xml:space="preserve">jau agrāk </w:t>
      </w:r>
      <w:r w:rsidR="0066337D">
        <w:rPr>
          <w:rFonts w:asciiTheme="majorBidi" w:hAnsiTheme="majorBidi" w:cstheme="majorBidi"/>
        </w:rPr>
        <w:t>norādī</w:t>
      </w:r>
      <w:r w:rsidR="00AE4557">
        <w:rPr>
          <w:rFonts w:asciiTheme="majorBidi" w:hAnsiTheme="majorBidi" w:cstheme="majorBidi"/>
        </w:rPr>
        <w:t>jusi</w:t>
      </w:r>
      <w:r w:rsidR="0066337D">
        <w:rPr>
          <w:rFonts w:asciiTheme="majorBidi" w:hAnsiTheme="majorBidi" w:cstheme="majorBidi"/>
        </w:rPr>
        <w:t>, ka</w:t>
      </w:r>
      <w:r w:rsidR="00E241CB">
        <w:rPr>
          <w:rFonts w:asciiTheme="majorBidi" w:hAnsiTheme="majorBidi" w:cstheme="majorBidi"/>
        </w:rPr>
        <w:t xml:space="preserve"> t</w:t>
      </w:r>
      <w:r w:rsidR="00E241CB">
        <w:t xml:space="preserve">iesai nav pienākuma ikreiz, kad kāda no procesā iesaistītajām personām izteikusi lūgumu par lietas ierosināšanu Satversmes tiesā, šādu lūgumu apmierināt. Šādas tiesības un pienākums rodas tad, ja tiesa, izvērtējusi pieteikto lūgumu vai arī pati pēc savas iniciatīvas, uzskata, ka konkrētajā kriminālprocesā piemērotā tiesību norma neatbilst augstāka juridiskā spēka tiesību normai. Ja tiesa, tulkojot tiesību normu atbilstoši </w:t>
      </w:r>
      <w:r w:rsidR="00E241CB">
        <w:rPr>
          <w:rStyle w:val="Emphasis"/>
          <w:i w:val="0"/>
        </w:rPr>
        <w:t>tiesību normu</w:t>
      </w:r>
      <w:r w:rsidR="00E241CB">
        <w:rPr>
          <w:rStyle w:val="Emphasis"/>
        </w:rPr>
        <w:t xml:space="preserve"> </w:t>
      </w:r>
      <w:r w:rsidR="00E241CB">
        <w:rPr>
          <w:rStyle w:val="Emphasis"/>
          <w:i w:val="0"/>
        </w:rPr>
        <w:t>iztulkošanas</w:t>
      </w:r>
      <w:r w:rsidR="00E241CB">
        <w:rPr>
          <w:rStyle w:val="st"/>
        </w:rPr>
        <w:t xml:space="preserve"> (interpretācijas) </w:t>
      </w:r>
      <w:r w:rsidR="00E241CB">
        <w:rPr>
          <w:rStyle w:val="Emphasis"/>
          <w:i w:val="0"/>
        </w:rPr>
        <w:t>metodēm</w:t>
      </w:r>
      <w:r w:rsidR="00E241CB">
        <w:t>, nekonstatē pretrunas ar augstāka juridiskā spēka tiesību normu, tā šādu lūgumu noraida</w:t>
      </w:r>
      <w:r>
        <w:t xml:space="preserve"> (</w:t>
      </w:r>
      <w:r w:rsidR="00E241CB" w:rsidRPr="00AF7179">
        <w:rPr>
          <w:bCs/>
          <w:i/>
          <w:iCs/>
        </w:rPr>
        <w:t>Senāta 2012.</w:t>
      </w:r>
      <w:r w:rsidR="00716507">
        <w:rPr>
          <w:bCs/>
          <w:i/>
          <w:iCs/>
        </w:rPr>
        <w:t> </w:t>
      </w:r>
      <w:r w:rsidR="00E241CB" w:rsidRPr="00AF7179">
        <w:rPr>
          <w:bCs/>
          <w:i/>
          <w:iCs/>
        </w:rPr>
        <w:t>gada 10.</w:t>
      </w:r>
      <w:r w:rsidR="00716507">
        <w:rPr>
          <w:bCs/>
          <w:i/>
          <w:iCs/>
        </w:rPr>
        <w:t> </w:t>
      </w:r>
      <w:r w:rsidR="00E241CB" w:rsidRPr="00AF7179">
        <w:rPr>
          <w:bCs/>
          <w:i/>
          <w:iCs/>
        </w:rPr>
        <w:t>maija lēmums lietā Nr. </w:t>
      </w:r>
      <w:hyperlink r:id="rId10" w:history="1">
        <w:r w:rsidR="00E241CB" w:rsidRPr="00115315">
          <w:rPr>
            <w:rStyle w:val="Hyperlink"/>
            <w:bCs/>
            <w:i/>
            <w:iCs/>
          </w:rPr>
          <w:t>SKK</w:t>
        </w:r>
        <w:r w:rsidR="00875D93">
          <w:rPr>
            <w:rStyle w:val="Hyperlink"/>
            <w:bCs/>
            <w:i/>
            <w:iCs/>
          </w:rPr>
          <w:noBreakHyphen/>
        </w:r>
        <w:r w:rsidR="00E241CB" w:rsidRPr="00115315">
          <w:rPr>
            <w:rStyle w:val="Hyperlink"/>
            <w:bCs/>
            <w:i/>
            <w:iCs/>
          </w:rPr>
          <w:t>132/2012</w:t>
        </w:r>
      </w:hyperlink>
      <w:r w:rsidR="00716507">
        <w:rPr>
          <w:bCs/>
          <w:i/>
          <w:iCs/>
        </w:rPr>
        <w:t xml:space="preserve">, </w:t>
      </w:r>
      <w:r w:rsidR="00E241CB" w:rsidRPr="00AF7179">
        <w:rPr>
          <w:i/>
          <w:iCs/>
        </w:rPr>
        <w:t>118400000909</w:t>
      </w:r>
      <w:r w:rsidR="00E241CB">
        <w:t>).</w:t>
      </w:r>
    </w:p>
    <w:p w14:paraId="31815858" w14:textId="7C9B1567" w:rsidR="00E57A8B" w:rsidRPr="00E57A8B" w:rsidRDefault="00E57A8B" w:rsidP="00875D93">
      <w:pPr>
        <w:tabs>
          <w:tab w:val="left" w:pos="0"/>
          <w:tab w:val="left" w:pos="6660"/>
        </w:tabs>
        <w:spacing w:line="276" w:lineRule="auto"/>
        <w:ind w:firstLine="709"/>
        <w:jc w:val="both"/>
        <w:rPr>
          <w:rFonts w:eastAsiaTheme="minorHAnsi"/>
          <w:iCs/>
          <w:lang w:eastAsia="en-US"/>
        </w:rPr>
      </w:pPr>
      <w:r w:rsidRPr="00E57A8B">
        <w:rPr>
          <w:rFonts w:eastAsiaTheme="minorHAnsi"/>
          <w:iCs/>
          <w:lang w:eastAsia="en-US"/>
        </w:rPr>
        <w:t>Kriminālprocesa likuma 478.</w:t>
      </w:r>
      <w:r w:rsidR="00716507">
        <w:rPr>
          <w:rFonts w:eastAsiaTheme="minorHAnsi"/>
          <w:iCs/>
          <w:lang w:eastAsia="en-US"/>
        </w:rPr>
        <w:t> </w:t>
      </w:r>
      <w:r w:rsidRPr="00E57A8B">
        <w:rPr>
          <w:rFonts w:eastAsiaTheme="minorHAnsi"/>
          <w:iCs/>
          <w:lang w:eastAsia="en-US"/>
        </w:rPr>
        <w:t>panta otrā daļa noteic</w:t>
      </w:r>
      <w:r w:rsidR="0036773C">
        <w:rPr>
          <w:rFonts w:eastAsiaTheme="minorHAnsi"/>
          <w:iCs/>
          <w:lang w:eastAsia="en-US"/>
        </w:rPr>
        <w:t>:</w:t>
      </w:r>
      <w:r w:rsidRPr="00E57A8B">
        <w:rPr>
          <w:rFonts w:eastAsiaTheme="minorHAnsi"/>
          <w:iCs/>
          <w:lang w:eastAsia="en-US"/>
        </w:rPr>
        <w:t xml:space="preserve"> ja konkrētās lietas izspriešanai ir nepieciešams Eiropas Savienības Tiesas prejudiciāls nolēmums par Eiropas Savienības tiesību normas interpretāciju un spēkā esamību, tiesa nosūta Tiesai neskaidro jautājumu motivēta lēmuma formā, vienlaikus apturot tiesvedību krimināllietā līdz prejudiciālā nolēmuma spēkā stāšanās dienai.</w:t>
      </w:r>
    </w:p>
    <w:p w14:paraId="4A27064E" w14:textId="774CE9D0" w:rsidR="00E57A8B" w:rsidRPr="00E57A8B" w:rsidRDefault="00E57A8B" w:rsidP="00875D93">
      <w:pPr>
        <w:tabs>
          <w:tab w:val="left" w:pos="0"/>
          <w:tab w:val="left" w:pos="6660"/>
        </w:tabs>
        <w:spacing w:line="276" w:lineRule="auto"/>
        <w:ind w:firstLine="709"/>
        <w:jc w:val="both"/>
        <w:rPr>
          <w:rFonts w:eastAsia="Calibri"/>
          <w:lang w:eastAsia="en-US"/>
        </w:rPr>
      </w:pPr>
      <w:r w:rsidRPr="00E57A8B">
        <w:rPr>
          <w:rFonts w:asciiTheme="majorBidi" w:eastAsia="Calibri" w:hAnsiTheme="majorBidi" w:cstheme="majorBidi"/>
          <w:color w:val="000000"/>
          <w:lang w:eastAsia="en-US"/>
        </w:rPr>
        <w:t>Tiesām ir zināma rīcības brīvība, interpretējot un piemērojot valsts tiesību normas.</w:t>
      </w:r>
      <w:r w:rsidRPr="00E57A8B">
        <w:rPr>
          <w:rFonts w:asciiTheme="majorBidi" w:eastAsia="Calibri" w:hAnsiTheme="majorBidi" w:cstheme="majorBidi"/>
          <w:lang w:eastAsia="en-US"/>
        </w:rPr>
        <w:t xml:space="preserve"> Saistībā ar Eiropas Savienības Pamattiesību hartas 49.</w:t>
      </w:r>
      <w:r w:rsidR="00115315">
        <w:rPr>
          <w:rFonts w:asciiTheme="majorBidi" w:eastAsia="Calibri" w:hAnsiTheme="majorBidi" w:cstheme="majorBidi"/>
          <w:lang w:eastAsia="en-US"/>
        </w:rPr>
        <w:t> </w:t>
      </w:r>
      <w:r w:rsidRPr="00E57A8B">
        <w:rPr>
          <w:rFonts w:asciiTheme="majorBidi" w:eastAsia="Calibri" w:hAnsiTheme="majorBidi" w:cstheme="majorBidi"/>
          <w:lang w:eastAsia="en-US"/>
        </w:rPr>
        <w:t>pantu</w:t>
      </w:r>
      <w:r w:rsidRPr="00E57A8B">
        <w:rPr>
          <w:rFonts w:asciiTheme="majorBidi" w:eastAsiaTheme="minorHAnsi" w:hAnsiTheme="majorBidi" w:cstheme="majorBidi"/>
          <w:lang w:eastAsia="en-US"/>
        </w:rPr>
        <w:t xml:space="preserve"> – n</w:t>
      </w:r>
      <w:r w:rsidRPr="00E57A8B">
        <w:rPr>
          <w:rFonts w:asciiTheme="majorBidi" w:eastAsia="Calibri" w:hAnsiTheme="majorBidi" w:cstheme="majorBidi"/>
          <w:lang w:eastAsia="en-US"/>
        </w:rPr>
        <w:t>oziedzīgu nodarījumu un sodu likumības un samērīguma principi</w:t>
      </w:r>
      <w:r w:rsidR="002D7998">
        <w:rPr>
          <w:rFonts w:asciiTheme="majorBidi" w:eastAsiaTheme="minorHAnsi" w:hAnsiTheme="majorBidi" w:cstheme="majorBidi"/>
          <w:lang w:eastAsia="en-US"/>
        </w:rPr>
        <w:t> </w:t>
      </w:r>
      <w:r w:rsidRPr="00E57A8B">
        <w:rPr>
          <w:rFonts w:eastAsiaTheme="minorHAnsi"/>
          <w:lang w:eastAsia="en-US"/>
        </w:rPr>
        <w:t>–</w:t>
      </w:r>
      <w:r w:rsidRPr="00E57A8B">
        <w:rPr>
          <w:rFonts w:eastAsia="Calibri"/>
          <w:lang w:eastAsia="en-US"/>
        </w:rPr>
        <w:t xml:space="preserve"> </w:t>
      </w:r>
      <w:bookmarkStart w:id="12" w:name="_Hlk138064889"/>
      <w:r w:rsidRPr="00E57A8B">
        <w:rPr>
          <w:rFonts w:eastAsia="Calibri"/>
          <w:lang w:eastAsia="en-US"/>
        </w:rPr>
        <w:t xml:space="preserve">Eiropas Savienības </w:t>
      </w:r>
      <w:bookmarkEnd w:id="12"/>
      <w:r w:rsidRPr="00E57A8B">
        <w:rPr>
          <w:rFonts w:eastAsia="Calibri"/>
          <w:lang w:eastAsia="en-US"/>
        </w:rPr>
        <w:t>Tiesas judikatūrā atzīts, ka piemērojamo tiesību aktu precizitātes princips (</w:t>
      </w:r>
      <w:proofErr w:type="spellStart"/>
      <w:r w:rsidRPr="00E57A8B">
        <w:rPr>
          <w:rFonts w:eastAsia="Calibri"/>
          <w:i/>
          <w:iCs/>
          <w:lang w:eastAsia="en-US"/>
        </w:rPr>
        <w:t>le</w:t>
      </w:r>
      <w:proofErr w:type="spellEnd"/>
      <w:r w:rsidRPr="00E57A8B">
        <w:rPr>
          <w:rFonts w:eastAsia="Calibri"/>
          <w:i/>
          <w:iCs/>
          <w:lang w:eastAsia="en-US"/>
        </w:rPr>
        <w:t xml:space="preserve"> </w:t>
      </w:r>
      <w:proofErr w:type="spellStart"/>
      <w:r w:rsidRPr="00E57A8B">
        <w:rPr>
          <w:rFonts w:eastAsia="Calibri"/>
          <w:i/>
          <w:iCs/>
          <w:lang w:eastAsia="en-US"/>
        </w:rPr>
        <w:t>principe</w:t>
      </w:r>
      <w:proofErr w:type="spellEnd"/>
      <w:r w:rsidRPr="00E57A8B">
        <w:rPr>
          <w:rFonts w:eastAsia="Calibri"/>
          <w:i/>
          <w:iCs/>
          <w:lang w:eastAsia="en-US"/>
        </w:rPr>
        <w:t xml:space="preserve"> </w:t>
      </w:r>
      <w:proofErr w:type="spellStart"/>
      <w:r w:rsidRPr="00E57A8B">
        <w:rPr>
          <w:rFonts w:eastAsia="Calibri"/>
          <w:i/>
          <w:iCs/>
          <w:lang w:eastAsia="en-US"/>
        </w:rPr>
        <w:t>de</w:t>
      </w:r>
      <w:proofErr w:type="spellEnd"/>
      <w:r w:rsidRPr="00E57A8B">
        <w:rPr>
          <w:rFonts w:eastAsia="Calibri"/>
          <w:i/>
          <w:iCs/>
          <w:lang w:eastAsia="en-US"/>
        </w:rPr>
        <w:t xml:space="preserve"> </w:t>
      </w:r>
      <w:proofErr w:type="spellStart"/>
      <w:r w:rsidRPr="00E57A8B">
        <w:rPr>
          <w:rFonts w:eastAsia="Calibri"/>
          <w:i/>
          <w:iCs/>
          <w:lang w:eastAsia="en-US"/>
        </w:rPr>
        <w:t>précision</w:t>
      </w:r>
      <w:proofErr w:type="spellEnd"/>
      <w:r w:rsidRPr="00E57A8B">
        <w:rPr>
          <w:rFonts w:eastAsia="Calibri"/>
          <w:i/>
          <w:iCs/>
          <w:lang w:eastAsia="en-US"/>
        </w:rPr>
        <w:t xml:space="preserve"> </w:t>
      </w:r>
      <w:proofErr w:type="spellStart"/>
      <w:r w:rsidRPr="00E57A8B">
        <w:rPr>
          <w:rFonts w:eastAsia="Calibri"/>
          <w:i/>
          <w:iCs/>
          <w:lang w:eastAsia="en-US"/>
        </w:rPr>
        <w:t>de</w:t>
      </w:r>
      <w:proofErr w:type="spellEnd"/>
      <w:r w:rsidRPr="00E57A8B">
        <w:rPr>
          <w:rFonts w:eastAsia="Calibri"/>
          <w:i/>
          <w:iCs/>
          <w:lang w:eastAsia="en-US"/>
        </w:rPr>
        <w:t xml:space="preserve"> la </w:t>
      </w:r>
      <w:proofErr w:type="spellStart"/>
      <w:r w:rsidRPr="00E57A8B">
        <w:rPr>
          <w:rFonts w:eastAsia="Calibri"/>
          <w:i/>
          <w:iCs/>
          <w:lang w:eastAsia="en-US"/>
        </w:rPr>
        <w:t>loi</w:t>
      </w:r>
      <w:proofErr w:type="spellEnd"/>
      <w:r w:rsidRPr="00E57A8B">
        <w:rPr>
          <w:rFonts w:eastAsia="Calibri"/>
          <w:i/>
          <w:iCs/>
          <w:lang w:eastAsia="en-US"/>
        </w:rPr>
        <w:t xml:space="preserve"> / </w:t>
      </w:r>
      <w:proofErr w:type="spellStart"/>
      <w:r w:rsidRPr="00E57A8B">
        <w:rPr>
          <w:rFonts w:eastAsia="Calibri"/>
          <w:i/>
          <w:iCs/>
          <w:lang w:eastAsia="en-US"/>
        </w:rPr>
        <w:t>the</w:t>
      </w:r>
      <w:proofErr w:type="spellEnd"/>
      <w:r w:rsidRPr="00E57A8B">
        <w:rPr>
          <w:rFonts w:eastAsia="Calibri"/>
          <w:i/>
          <w:iCs/>
          <w:lang w:eastAsia="en-US"/>
        </w:rPr>
        <w:t xml:space="preserve"> </w:t>
      </w:r>
      <w:proofErr w:type="spellStart"/>
      <w:r w:rsidRPr="00E57A8B">
        <w:rPr>
          <w:rFonts w:eastAsia="Calibri"/>
          <w:i/>
          <w:iCs/>
          <w:lang w:eastAsia="en-US"/>
        </w:rPr>
        <w:t>principle</w:t>
      </w:r>
      <w:proofErr w:type="spellEnd"/>
      <w:r w:rsidRPr="00E57A8B">
        <w:rPr>
          <w:rFonts w:eastAsia="Calibri"/>
          <w:i/>
          <w:iCs/>
          <w:lang w:eastAsia="en-US"/>
        </w:rPr>
        <w:t xml:space="preserve"> </w:t>
      </w:r>
      <w:proofErr w:type="spellStart"/>
      <w:r w:rsidRPr="00E57A8B">
        <w:rPr>
          <w:rFonts w:eastAsia="Calibri"/>
          <w:i/>
          <w:iCs/>
          <w:lang w:eastAsia="en-US"/>
        </w:rPr>
        <w:t>that</w:t>
      </w:r>
      <w:proofErr w:type="spellEnd"/>
      <w:r w:rsidRPr="00E57A8B">
        <w:rPr>
          <w:rFonts w:eastAsia="Calibri"/>
          <w:i/>
          <w:iCs/>
          <w:lang w:eastAsia="en-US"/>
        </w:rPr>
        <w:t xml:space="preserve"> </w:t>
      </w:r>
      <w:proofErr w:type="spellStart"/>
      <w:r w:rsidRPr="00E57A8B">
        <w:rPr>
          <w:rFonts w:eastAsia="Calibri"/>
          <w:i/>
          <w:iCs/>
          <w:lang w:eastAsia="en-US"/>
        </w:rPr>
        <w:t>the</w:t>
      </w:r>
      <w:proofErr w:type="spellEnd"/>
      <w:r w:rsidRPr="00E57A8B">
        <w:rPr>
          <w:rFonts w:eastAsia="Calibri"/>
          <w:i/>
          <w:iCs/>
          <w:lang w:eastAsia="en-US"/>
        </w:rPr>
        <w:t xml:space="preserve"> </w:t>
      </w:r>
      <w:proofErr w:type="spellStart"/>
      <w:r w:rsidRPr="00E57A8B">
        <w:rPr>
          <w:rFonts w:eastAsia="Calibri"/>
          <w:i/>
          <w:iCs/>
          <w:lang w:eastAsia="en-US"/>
        </w:rPr>
        <w:t>applicable</w:t>
      </w:r>
      <w:proofErr w:type="spellEnd"/>
      <w:r w:rsidRPr="00E57A8B">
        <w:rPr>
          <w:rFonts w:eastAsia="Calibri"/>
          <w:i/>
          <w:iCs/>
          <w:lang w:eastAsia="en-US"/>
        </w:rPr>
        <w:t xml:space="preserve"> </w:t>
      </w:r>
      <w:proofErr w:type="spellStart"/>
      <w:r w:rsidRPr="00E57A8B">
        <w:rPr>
          <w:rFonts w:eastAsia="Calibri"/>
          <w:i/>
          <w:iCs/>
          <w:lang w:eastAsia="en-US"/>
        </w:rPr>
        <w:t>law</w:t>
      </w:r>
      <w:proofErr w:type="spellEnd"/>
      <w:r w:rsidRPr="00E57A8B">
        <w:rPr>
          <w:rFonts w:eastAsia="Calibri"/>
          <w:i/>
          <w:iCs/>
          <w:lang w:eastAsia="en-US"/>
        </w:rPr>
        <w:t xml:space="preserve"> </w:t>
      </w:r>
      <w:proofErr w:type="spellStart"/>
      <w:r w:rsidRPr="00E57A8B">
        <w:rPr>
          <w:rFonts w:eastAsia="Calibri"/>
          <w:i/>
          <w:iCs/>
          <w:lang w:eastAsia="en-US"/>
        </w:rPr>
        <w:t>must</w:t>
      </w:r>
      <w:proofErr w:type="spellEnd"/>
      <w:r w:rsidRPr="00E57A8B">
        <w:rPr>
          <w:rFonts w:eastAsia="Calibri"/>
          <w:i/>
          <w:iCs/>
          <w:lang w:eastAsia="en-US"/>
        </w:rPr>
        <w:t xml:space="preserve"> </w:t>
      </w:r>
      <w:proofErr w:type="spellStart"/>
      <w:r w:rsidRPr="00E57A8B">
        <w:rPr>
          <w:rFonts w:eastAsia="Calibri"/>
          <w:i/>
          <w:iCs/>
          <w:lang w:eastAsia="en-US"/>
        </w:rPr>
        <w:t>be</w:t>
      </w:r>
      <w:proofErr w:type="spellEnd"/>
      <w:r w:rsidRPr="00E57A8B">
        <w:rPr>
          <w:rFonts w:eastAsia="Calibri"/>
          <w:i/>
          <w:iCs/>
          <w:lang w:eastAsia="en-US"/>
        </w:rPr>
        <w:t xml:space="preserve"> </w:t>
      </w:r>
      <w:proofErr w:type="spellStart"/>
      <w:r w:rsidRPr="00E57A8B">
        <w:rPr>
          <w:rFonts w:eastAsia="Calibri"/>
          <w:i/>
          <w:iCs/>
          <w:lang w:eastAsia="en-US"/>
        </w:rPr>
        <w:t>precise</w:t>
      </w:r>
      <w:proofErr w:type="spellEnd"/>
      <w:r w:rsidRPr="00E57A8B">
        <w:rPr>
          <w:rFonts w:eastAsia="Calibri"/>
          <w:lang w:eastAsia="en-US"/>
        </w:rPr>
        <w:t>) nevar tikt interpretēts tādējādi, ka tas aizliegtu to normu saturu, kurās paredzēta kriminālatbildība, noskaidrot pakāpeniski, tiesām sniedzot interpretāciju, ja vien šī interpretācija ir saprātīgi paredzama (</w:t>
      </w:r>
      <w:r w:rsidRPr="00E57A8B">
        <w:rPr>
          <w:rFonts w:eastAsia="Calibri"/>
          <w:i/>
          <w:iCs/>
          <w:lang w:eastAsia="en-US"/>
        </w:rPr>
        <w:t>Eiropas Savienības Tiesas 2020. gada 11. jūnija sprieduma lietā ,,</w:t>
      </w:r>
      <w:proofErr w:type="spellStart"/>
      <w:r w:rsidRPr="00E57A8B">
        <w:rPr>
          <w:rFonts w:eastAsia="Calibri"/>
          <w:i/>
          <w:iCs/>
          <w:lang w:eastAsia="en-US"/>
        </w:rPr>
        <w:t>Prokuratura</w:t>
      </w:r>
      <w:proofErr w:type="spellEnd"/>
      <w:r w:rsidRPr="00E57A8B">
        <w:rPr>
          <w:rFonts w:eastAsia="Calibri"/>
          <w:i/>
          <w:iCs/>
          <w:lang w:eastAsia="en-US"/>
        </w:rPr>
        <w:t xml:space="preserve"> </w:t>
      </w:r>
      <w:proofErr w:type="spellStart"/>
      <w:r w:rsidRPr="00E57A8B">
        <w:rPr>
          <w:rFonts w:eastAsia="Calibri"/>
          <w:i/>
          <w:iCs/>
          <w:lang w:eastAsia="en-US"/>
        </w:rPr>
        <w:t>Rejonowa</w:t>
      </w:r>
      <w:proofErr w:type="spellEnd"/>
      <w:r w:rsidRPr="00E57A8B">
        <w:rPr>
          <w:rFonts w:eastAsia="Calibri"/>
          <w:i/>
          <w:iCs/>
          <w:lang w:eastAsia="en-US"/>
        </w:rPr>
        <w:t xml:space="preserve"> w </w:t>
      </w:r>
      <w:proofErr w:type="spellStart"/>
      <w:r w:rsidRPr="00E57A8B">
        <w:rPr>
          <w:rFonts w:eastAsia="Calibri"/>
          <w:i/>
          <w:iCs/>
          <w:lang w:eastAsia="en-US"/>
        </w:rPr>
        <w:t>Słupsku</w:t>
      </w:r>
      <w:proofErr w:type="spellEnd"/>
      <w:r w:rsidRPr="00E57A8B">
        <w:rPr>
          <w:rFonts w:eastAsia="Calibri"/>
          <w:i/>
          <w:iCs/>
          <w:lang w:eastAsia="en-US"/>
        </w:rPr>
        <w:t xml:space="preserve">”, </w:t>
      </w:r>
      <w:hyperlink r:id="rId11" w:history="1">
        <w:r w:rsidRPr="00115315">
          <w:rPr>
            <w:rStyle w:val="Hyperlink"/>
            <w:rFonts w:eastAsia="Calibri"/>
            <w:i/>
            <w:iCs/>
            <w:lang w:eastAsia="en-US"/>
          </w:rPr>
          <w:t>C</w:t>
        </w:r>
        <w:r w:rsidRPr="00115315">
          <w:rPr>
            <w:rStyle w:val="Hyperlink"/>
            <w:rFonts w:eastAsia="Calibri"/>
            <w:i/>
            <w:iCs/>
            <w:lang w:eastAsia="en-US"/>
          </w:rPr>
          <w:noBreakHyphen/>
          <w:t>634/18</w:t>
        </w:r>
      </w:hyperlink>
      <w:r w:rsidRPr="00E57A8B">
        <w:rPr>
          <w:rFonts w:eastAsia="Calibri"/>
          <w:i/>
          <w:iCs/>
          <w:lang w:eastAsia="en-US"/>
        </w:rPr>
        <w:t xml:space="preserve">, </w:t>
      </w:r>
      <w:hyperlink r:id="rId12" w:history="1">
        <w:r w:rsidRPr="00E57A8B">
          <w:rPr>
            <w:rFonts w:eastAsia="Calibri"/>
            <w:i/>
            <w:iCs/>
            <w:color w:val="000000" w:themeColor="text1"/>
            <w:lang w:eastAsia="en-US"/>
          </w:rPr>
          <w:t>ECLI:EU:C:2020:455</w:t>
        </w:r>
      </w:hyperlink>
      <w:r w:rsidRPr="00E57A8B">
        <w:rPr>
          <w:rFonts w:eastAsia="Calibri"/>
          <w:i/>
          <w:iCs/>
          <w:color w:val="000000" w:themeColor="text1"/>
          <w:lang w:eastAsia="en-US"/>
        </w:rPr>
        <w:t xml:space="preserve">, </w:t>
      </w:r>
      <w:r w:rsidRPr="00E57A8B">
        <w:rPr>
          <w:rFonts w:eastAsia="Calibri"/>
          <w:i/>
          <w:iCs/>
          <w:lang w:eastAsia="en-US"/>
        </w:rPr>
        <w:t>45., 50. punkts</w:t>
      </w:r>
      <w:r w:rsidRPr="00E57A8B">
        <w:rPr>
          <w:rFonts w:eastAsia="Calibri"/>
          <w:lang w:eastAsia="en-US"/>
        </w:rPr>
        <w:t xml:space="preserve"> </w:t>
      </w:r>
      <w:r w:rsidRPr="00E57A8B">
        <w:rPr>
          <w:rFonts w:eastAsia="Calibri"/>
          <w:i/>
          <w:iCs/>
          <w:lang w:eastAsia="en-US"/>
        </w:rPr>
        <w:t>un tajā minētā judikatūr</w:t>
      </w:r>
      <w:r w:rsidR="00075B23">
        <w:rPr>
          <w:rFonts w:eastAsia="Calibri"/>
          <w:i/>
          <w:iCs/>
          <w:lang w:eastAsia="en-US"/>
        </w:rPr>
        <w:t>a</w:t>
      </w:r>
      <w:r w:rsidRPr="00E57A8B">
        <w:rPr>
          <w:rFonts w:eastAsia="Calibri"/>
          <w:lang w:eastAsia="en-US"/>
        </w:rPr>
        <w:t>).</w:t>
      </w:r>
    </w:p>
    <w:p w14:paraId="5629AC1C" w14:textId="488A9E46" w:rsidR="00E57A8B" w:rsidRPr="00E57A8B" w:rsidRDefault="00E57A8B" w:rsidP="00875D93">
      <w:pPr>
        <w:tabs>
          <w:tab w:val="left" w:pos="0"/>
          <w:tab w:val="left" w:pos="6660"/>
        </w:tabs>
        <w:spacing w:line="276" w:lineRule="auto"/>
        <w:ind w:firstLine="709"/>
        <w:jc w:val="both"/>
        <w:rPr>
          <w:rFonts w:eastAsia="Calibri"/>
          <w:lang w:eastAsia="en-US"/>
        </w:rPr>
      </w:pPr>
      <w:r w:rsidRPr="00E57A8B">
        <w:rPr>
          <w:rFonts w:eastAsia="Calibri"/>
          <w:lang w:eastAsia="en-US"/>
        </w:rPr>
        <w:t>Atbilstoši Ieteikumiem valstu tiesām par prejudiciālā nolēmuma tiesvedības ierosināšanu tiesas kompetence prejudiciālā kārtā lemt par Eiropas Savienības tiesību interpretāciju vai spēkā esamību</w:t>
      </w:r>
      <w:r w:rsidR="003B29C5">
        <w:rPr>
          <w:rFonts w:eastAsia="Calibri"/>
          <w:lang w:eastAsia="en-US"/>
        </w:rPr>
        <w:t>,</w:t>
      </w:r>
      <w:r w:rsidRPr="00E57A8B">
        <w:rPr>
          <w:rFonts w:eastAsia="Calibri"/>
          <w:lang w:eastAsia="en-US"/>
        </w:rPr>
        <w:t xml:space="preserve"> ir īstenojama vienīgi pēc valstu tiesu iniciatīvas neatkarīgi no tā, vai pamatlietas puses ir</w:t>
      </w:r>
      <w:r w:rsidR="00CA2179">
        <w:rPr>
          <w:rFonts w:eastAsia="Calibri"/>
          <w:lang w:eastAsia="en-US"/>
        </w:rPr>
        <w:t xml:space="preserve"> </w:t>
      </w:r>
      <w:r w:rsidRPr="00E57A8B">
        <w:rPr>
          <w:rFonts w:eastAsia="Calibri"/>
          <w:lang w:eastAsia="en-US"/>
        </w:rPr>
        <w:t xml:space="preserve">vai nav paudušas vēlmi par vēršanos </w:t>
      </w:r>
      <w:r w:rsidR="00EF310A" w:rsidRPr="00E57A8B">
        <w:rPr>
          <w:rFonts w:eastAsia="Calibri"/>
          <w:lang w:eastAsia="en-US"/>
        </w:rPr>
        <w:t xml:space="preserve">Eiropas Savienības </w:t>
      </w:r>
      <w:r w:rsidRPr="00E57A8B">
        <w:rPr>
          <w:rFonts w:eastAsia="Calibri"/>
          <w:lang w:eastAsia="en-US"/>
        </w:rPr>
        <w:t>Tiesā. Proti, tā kā valsts tiesai, kura izskata strīdu, ir jāuzņemas atbildība par pieņemamo tiesas nolēmumu, tikai minētās tiesas kompetencē, ņemot vērā katras lietas īpatnības, ir novērtēt gan lūguma sniegt prejudiciālu nolēmumu nepieciešamību, lai tā spētu pieņemt nolēmumu, gan jautājum</w:t>
      </w:r>
      <w:r w:rsidR="00076B45">
        <w:rPr>
          <w:rFonts w:eastAsia="Calibri"/>
          <w:lang w:eastAsia="en-US"/>
        </w:rPr>
        <w:t>a</w:t>
      </w:r>
      <w:r w:rsidRPr="00E57A8B">
        <w:rPr>
          <w:rFonts w:eastAsia="Calibri"/>
          <w:lang w:eastAsia="en-US"/>
        </w:rPr>
        <w:t>, k</w:t>
      </w:r>
      <w:r w:rsidR="003B29C5">
        <w:rPr>
          <w:rFonts w:eastAsia="Calibri"/>
          <w:lang w:eastAsia="en-US"/>
        </w:rPr>
        <w:t>uru</w:t>
      </w:r>
      <w:r w:rsidRPr="00E57A8B">
        <w:rPr>
          <w:rFonts w:eastAsia="Calibri"/>
          <w:lang w:eastAsia="en-US"/>
        </w:rPr>
        <w:t xml:space="preserve"> tā uzdod </w:t>
      </w:r>
      <w:r w:rsidR="00EF310A" w:rsidRPr="00E57A8B">
        <w:rPr>
          <w:rFonts w:eastAsia="Calibri"/>
          <w:lang w:eastAsia="en-US"/>
        </w:rPr>
        <w:t xml:space="preserve">Eiropas Savienības </w:t>
      </w:r>
      <w:r w:rsidRPr="00E57A8B">
        <w:rPr>
          <w:rFonts w:eastAsia="Calibri"/>
          <w:lang w:eastAsia="en-US"/>
        </w:rPr>
        <w:t xml:space="preserve">Tiesai, atbilstību. </w:t>
      </w:r>
    </w:p>
    <w:p w14:paraId="17BC9CD8" w14:textId="3088920F" w:rsidR="00E57A8B" w:rsidRPr="00E57A8B" w:rsidRDefault="00E57A8B" w:rsidP="00875D93">
      <w:pPr>
        <w:tabs>
          <w:tab w:val="left" w:pos="0"/>
          <w:tab w:val="left" w:pos="6660"/>
        </w:tabs>
        <w:spacing w:line="276" w:lineRule="auto"/>
        <w:ind w:firstLine="709"/>
        <w:jc w:val="both"/>
        <w:rPr>
          <w:rFonts w:eastAsia="Calibri"/>
          <w:lang w:eastAsia="en-US"/>
        </w:rPr>
      </w:pPr>
      <w:r w:rsidRPr="00E57A8B">
        <w:rPr>
          <w:rFonts w:eastAsia="Calibri"/>
          <w:lang w:eastAsia="en-US"/>
        </w:rPr>
        <w:t xml:space="preserve">Dalībvalstu tiesas var vērsties </w:t>
      </w:r>
      <w:r w:rsidR="00EF310A" w:rsidRPr="00E57A8B">
        <w:rPr>
          <w:rFonts w:eastAsia="Calibri"/>
          <w:lang w:eastAsia="en-US"/>
        </w:rPr>
        <w:t xml:space="preserve">Eiropas Savienības </w:t>
      </w:r>
      <w:r w:rsidRPr="00E57A8B">
        <w:rPr>
          <w:rFonts w:eastAsia="Calibri"/>
          <w:lang w:eastAsia="en-US"/>
        </w:rPr>
        <w:t xml:space="preserve">Tiesā ar jautājumu par kādas Eiropas Savienības tiesību normas interpretāciju vai spēkā esamību, ja tās uzskata, ka šajā ziņā ir vajadzīgs </w:t>
      </w:r>
      <w:r w:rsidR="00EF310A" w:rsidRPr="00E57A8B">
        <w:rPr>
          <w:rFonts w:eastAsia="Calibri"/>
          <w:lang w:eastAsia="en-US"/>
        </w:rPr>
        <w:t xml:space="preserve">Eiropas Savienības </w:t>
      </w:r>
      <w:r w:rsidRPr="00E57A8B">
        <w:rPr>
          <w:rFonts w:eastAsia="Calibri"/>
          <w:lang w:eastAsia="en-US"/>
        </w:rPr>
        <w:t xml:space="preserve">Tiesas nolēmums, lai tās varētu pasludināt spriedumu. </w:t>
      </w:r>
    </w:p>
    <w:p w14:paraId="39D9C8CF" w14:textId="073225C5" w:rsidR="00E57A8B" w:rsidRPr="00E57A8B" w:rsidRDefault="00E57A8B" w:rsidP="00875D93">
      <w:pPr>
        <w:tabs>
          <w:tab w:val="left" w:pos="0"/>
          <w:tab w:val="left" w:pos="6660"/>
        </w:tabs>
        <w:spacing w:line="276" w:lineRule="auto"/>
        <w:ind w:firstLine="709"/>
        <w:jc w:val="both"/>
        <w:rPr>
          <w:rFonts w:eastAsiaTheme="minorHAnsi"/>
          <w:iCs/>
          <w:color w:val="000000" w:themeColor="text1"/>
          <w:lang w:eastAsia="en-US"/>
        </w:rPr>
      </w:pPr>
      <w:r w:rsidRPr="00E57A8B">
        <w:rPr>
          <w:rFonts w:eastAsia="Calibri"/>
          <w:lang w:eastAsia="en-US"/>
        </w:rPr>
        <w:t>Tomēr, ja jautājums rodas lietā, ko izskata tiesa, kuras nolēmumus nevar pārsūdzēt tiesā atbilstoši valsts tiesību normām, tai ir pienākums vērsties</w:t>
      </w:r>
      <w:r w:rsidR="00EF310A" w:rsidRPr="00EF310A">
        <w:rPr>
          <w:rFonts w:eastAsia="Calibri"/>
          <w:lang w:eastAsia="en-US"/>
        </w:rPr>
        <w:t xml:space="preserve"> </w:t>
      </w:r>
      <w:r w:rsidR="00EF310A" w:rsidRPr="00E57A8B">
        <w:rPr>
          <w:rFonts w:eastAsia="Calibri"/>
          <w:lang w:eastAsia="en-US"/>
        </w:rPr>
        <w:t>Eiropas Savienības</w:t>
      </w:r>
      <w:r w:rsidRPr="00E57A8B">
        <w:rPr>
          <w:rFonts w:eastAsia="Calibri"/>
          <w:lang w:eastAsia="en-US"/>
        </w:rPr>
        <w:t xml:space="preserve"> Tiesā ar lūgumu sniegt prejudiciālu nolēmumu (</w:t>
      </w:r>
      <w:r w:rsidRPr="00E57A8B">
        <w:rPr>
          <w:rFonts w:eastAsia="Calibri"/>
          <w:i/>
          <w:iCs/>
          <w:lang w:eastAsia="en-US"/>
        </w:rPr>
        <w:t>sk. Līguma par Eiropas Savienības dalību 267.</w:t>
      </w:r>
      <w:r w:rsidR="007A401E">
        <w:rPr>
          <w:rFonts w:eastAsia="Calibri"/>
          <w:i/>
          <w:iCs/>
          <w:lang w:eastAsia="en-US"/>
        </w:rPr>
        <w:t> </w:t>
      </w:r>
      <w:r w:rsidRPr="00E57A8B">
        <w:rPr>
          <w:rFonts w:eastAsia="Calibri"/>
          <w:i/>
          <w:iCs/>
          <w:lang w:eastAsia="en-US"/>
        </w:rPr>
        <w:t>panta trešo daļu</w:t>
      </w:r>
      <w:r w:rsidRPr="00E57A8B">
        <w:rPr>
          <w:rFonts w:eastAsia="Calibri"/>
          <w:lang w:eastAsia="en-US"/>
        </w:rPr>
        <w:t>), izņemot gadījumus, kad attiecīgajā jomā jau ir iedibināta judikatūra vai arī nepastāv saprātīgas šaubas par to, kā pareizi interpretēt attiecīgo tiesību normu  (</w:t>
      </w:r>
      <w:r w:rsidRPr="00E57A8B">
        <w:rPr>
          <w:rFonts w:eastAsia="Calibri"/>
          <w:i/>
          <w:iCs/>
          <w:lang w:eastAsia="en-US"/>
        </w:rPr>
        <w:t>Ieteikumi valstu tiesām par prejudiciālā nolēmuma tiesvedības ierosināšanu (2019/C 380/01), 3., 5. un 6.</w:t>
      </w:r>
      <w:r w:rsidR="00115315">
        <w:rPr>
          <w:rFonts w:eastAsia="Calibri"/>
          <w:i/>
          <w:iCs/>
          <w:lang w:eastAsia="en-US"/>
        </w:rPr>
        <w:t> </w:t>
      </w:r>
      <w:r w:rsidRPr="00E57A8B">
        <w:rPr>
          <w:rFonts w:eastAsia="Calibri"/>
          <w:i/>
          <w:iCs/>
          <w:lang w:eastAsia="en-US"/>
        </w:rPr>
        <w:t xml:space="preserve">p. Eiropas Savienības Oficiālais Vēstnesis C 380/3, </w:t>
      </w:r>
      <w:hyperlink r:id="rId13" w:history="1">
        <w:r w:rsidR="002D7998" w:rsidRPr="00EE6FFE">
          <w:rPr>
            <w:rStyle w:val="Hyperlink"/>
            <w:rFonts w:eastAsia="Calibri"/>
            <w:i/>
            <w:iCs/>
            <w:lang w:eastAsia="en-US"/>
          </w:rPr>
          <w:t>https://eur-lex.europa.eu/legal-ontent/LV/TXT/PDF/?uri=OJ:JOC_2019_380_R_0001</w:t>
        </w:r>
      </w:hyperlink>
      <w:r w:rsidRPr="00E57A8B">
        <w:rPr>
          <w:rFonts w:eastAsia="Calibri"/>
          <w:color w:val="000000" w:themeColor="text1"/>
          <w:lang w:eastAsia="en-US"/>
        </w:rPr>
        <w:t>).</w:t>
      </w:r>
    </w:p>
    <w:p w14:paraId="21CE1F52" w14:textId="1F03282B" w:rsidR="00E241CB" w:rsidRPr="00716507" w:rsidRDefault="00E57A8B" w:rsidP="00875D93">
      <w:pPr>
        <w:spacing w:line="276" w:lineRule="auto"/>
        <w:ind w:firstLine="709"/>
        <w:jc w:val="both"/>
        <w:rPr>
          <w:rFonts w:eastAsia="Calibri"/>
          <w:b/>
          <w:lang w:eastAsia="en-US"/>
        </w:rPr>
      </w:pPr>
      <w:r w:rsidRPr="00E57A8B">
        <w:rPr>
          <w:rFonts w:asciiTheme="majorBidi" w:eastAsiaTheme="minorHAnsi" w:hAnsiTheme="majorBidi" w:cstheme="majorBidi"/>
          <w:iCs/>
          <w:lang w:eastAsia="en-US"/>
        </w:rPr>
        <w:t>Senāt</w:t>
      </w:r>
      <w:r w:rsidR="00465049">
        <w:rPr>
          <w:rFonts w:asciiTheme="majorBidi" w:eastAsiaTheme="minorHAnsi" w:hAnsiTheme="majorBidi" w:cstheme="majorBidi"/>
          <w:iCs/>
          <w:lang w:eastAsia="en-US"/>
        </w:rPr>
        <w:t>a judikatūrā atzīts</w:t>
      </w:r>
      <w:r w:rsidRPr="00E57A8B">
        <w:rPr>
          <w:rFonts w:asciiTheme="majorBidi" w:eastAsiaTheme="minorHAnsi" w:hAnsiTheme="majorBidi" w:cstheme="majorBidi"/>
          <w:iCs/>
          <w:lang w:eastAsia="en-US"/>
        </w:rPr>
        <w:t xml:space="preserve">, ka </w:t>
      </w:r>
      <w:r w:rsidRPr="00E57A8B">
        <w:rPr>
          <w:rFonts w:eastAsia="Calibri"/>
          <w:lang w:eastAsia="en-US"/>
        </w:rPr>
        <w:t xml:space="preserve">tiesai nav pienākuma ikreiz vērsties </w:t>
      </w:r>
      <w:r w:rsidR="00EF310A" w:rsidRPr="00E57A8B">
        <w:rPr>
          <w:rFonts w:eastAsia="Calibri"/>
          <w:lang w:eastAsia="en-US"/>
        </w:rPr>
        <w:t>Eiropas Savienības Ties</w:t>
      </w:r>
      <w:r w:rsidRPr="00E57A8B">
        <w:rPr>
          <w:rFonts w:eastAsia="Calibri"/>
          <w:lang w:eastAsia="en-US"/>
        </w:rPr>
        <w:t xml:space="preserve">ā, ja kāda no procesā iesaistītajām personām ir izteikusi šādu viedokli. Šādas tiesības un likumā noteiktos gadījumos arī pienākums rodas tad, ja tiesa uzskata, ka konkrētajā kriminālprocesā </w:t>
      </w:r>
      <w:r w:rsidRPr="00E57A8B">
        <w:rPr>
          <w:rFonts w:eastAsiaTheme="minorHAnsi"/>
          <w:iCs/>
          <w:lang w:eastAsia="en-US"/>
        </w:rPr>
        <w:t xml:space="preserve">ir nepieciešams </w:t>
      </w:r>
      <w:r w:rsidR="00EF310A" w:rsidRPr="00E57A8B">
        <w:rPr>
          <w:rFonts w:eastAsia="Calibri"/>
          <w:lang w:eastAsia="en-US"/>
        </w:rPr>
        <w:t xml:space="preserve">Eiropas Savienības </w:t>
      </w:r>
      <w:r w:rsidRPr="00E57A8B">
        <w:rPr>
          <w:rFonts w:eastAsiaTheme="minorHAnsi"/>
          <w:iCs/>
          <w:lang w:eastAsia="en-US"/>
        </w:rPr>
        <w:t>Tiesas prejudiciāls nolēmums par Eiropas Savienības tiesību normas interpretāciju un spēkā esamību</w:t>
      </w:r>
      <w:r w:rsidR="00BE3193">
        <w:rPr>
          <w:rFonts w:eastAsiaTheme="minorHAnsi"/>
          <w:iCs/>
          <w:lang w:eastAsia="en-US"/>
        </w:rPr>
        <w:t xml:space="preserve"> </w:t>
      </w:r>
      <w:proofErr w:type="gramStart"/>
      <w:r w:rsidR="00EF310A">
        <w:rPr>
          <w:rFonts w:eastAsiaTheme="minorHAnsi"/>
          <w:iCs/>
          <w:lang w:eastAsia="en-US"/>
        </w:rPr>
        <w:t>(</w:t>
      </w:r>
      <w:proofErr w:type="gramEnd"/>
      <w:r w:rsidR="00EF310A" w:rsidRPr="00716507">
        <w:rPr>
          <w:rFonts w:eastAsiaTheme="minorHAnsi"/>
          <w:i/>
          <w:lang w:eastAsia="en-US"/>
        </w:rPr>
        <w:t>Senāta</w:t>
      </w:r>
      <w:r w:rsidR="00465049" w:rsidRPr="00716507">
        <w:rPr>
          <w:rFonts w:eastAsia="Calibri"/>
          <w:b/>
          <w:i/>
          <w:lang w:eastAsia="en-US"/>
        </w:rPr>
        <w:t xml:space="preserve"> </w:t>
      </w:r>
      <w:r w:rsidR="00465049" w:rsidRPr="00716507">
        <w:rPr>
          <w:rFonts w:eastAsia="Calibri"/>
          <w:bCs/>
          <w:i/>
          <w:lang w:eastAsia="en-US"/>
        </w:rPr>
        <w:t>2021.</w:t>
      </w:r>
      <w:r w:rsidR="00716507" w:rsidRPr="00716507">
        <w:rPr>
          <w:rFonts w:eastAsia="Calibri"/>
          <w:bCs/>
          <w:i/>
          <w:lang w:eastAsia="en-US"/>
        </w:rPr>
        <w:t> </w:t>
      </w:r>
      <w:r w:rsidR="00465049" w:rsidRPr="00716507">
        <w:rPr>
          <w:rFonts w:eastAsia="Calibri"/>
          <w:bCs/>
          <w:i/>
          <w:lang w:eastAsia="en-US"/>
        </w:rPr>
        <w:t>gada 21.</w:t>
      </w:r>
      <w:r w:rsidR="00716507" w:rsidRPr="00716507">
        <w:rPr>
          <w:rFonts w:eastAsia="Calibri"/>
          <w:bCs/>
          <w:i/>
          <w:lang w:eastAsia="en-US"/>
        </w:rPr>
        <w:t> </w:t>
      </w:r>
      <w:r w:rsidR="00465049" w:rsidRPr="00716507">
        <w:rPr>
          <w:rFonts w:eastAsia="Calibri"/>
          <w:bCs/>
          <w:i/>
          <w:lang w:eastAsia="en-US"/>
        </w:rPr>
        <w:t>septembra</w:t>
      </w:r>
      <w:r w:rsidR="00BE3193" w:rsidRPr="00716507">
        <w:rPr>
          <w:rFonts w:eastAsia="Calibri"/>
          <w:bCs/>
          <w:i/>
          <w:lang w:eastAsia="en-US"/>
        </w:rPr>
        <w:t xml:space="preserve"> </w:t>
      </w:r>
      <w:r w:rsidR="00EF310A" w:rsidRPr="00716507">
        <w:rPr>
          <w:rFonts w:eastAsia="Calibri"/>
          <w:bCs/>
          <w:i/>
          <w:lang w:eastAsia="en-US"/>
        </w:rPr>
        <w:t>lēmum</w:t>
      </w:r>
      <w:r w:rsidR="00716507">
        <w:rPr>
          <w:rFonts w:eastAsia="Calibri"/>
          <w:bCs/>
          <w:i/>
          <w:lang w:eastAsia="en-US"/>
        </w:rPr>
        <w:t>a</w:t>
      </w:r>
      <w:r w:rsidR="00EF310A" w:rsidRPr="00716507">
        <w:rPr>
          <w:rFonts w:eastAsia="Calibri"/>
          <w:bCs/>
          <w:i/>
          <w:lang w:eastAsia="en-US"/>
        </w:rPr>
        <w:t xml:space="preserve"> l</w:t>
      </w:r>
      <w:r w:rsidR="00465049" w:rsidRPr="00716507">
        <w:rPr>
          <w:rFonts w:eastAsia="Calibri"/>
          <w:bCs/>
          <w:i/>
          <w:lang w:eastAsia="en-US"/>
        </w:rPr>
        <w:t>iet</w:t>
      </w:r>
      <w:r w:rsidR="00EF310A" w:rsidRPr="00716507">
        <w:rPr>
          <w:rFonts w:eastAsia="Calibri"/>
          <w:bCs/>
          <w:i/>
          <w:lang w:eastAsia="en-US"/>
        </w:rPr>
        <w:t>ā</w:t>
      </w:r>
      <w:r w:rsidR="00465049" w:rsidRPr="00716507">
        <w:rPr>
          <w:rFonts w:eastAsia="Calibri"/>
          <w:bCs/>
          <w:i/>
          <w:lang w:eastAsia="en-US"/>
        </w:rPr>
        <w:t xml:space="preserve"> Nr.</w:t>
      </w:r>
      <w:r w:rsidR="00465049" w:rsidRPr="00716507">
        <w:rPr>
          <w:rFonts w:eastAsia="Calibri"/>
          <w:b/>
          <w:i/>
          <w:lang w:eastAsia="en-US"/>
        </w:rPr>
        <w:t> </w:t>
      </w:r>
      <w:r w:rsidR="00EF310A" w:rsidRPr="00716507">
        <w:rPr>
          <w:rFonts w:eastAsia="Calibri"/>
          <w:bCs/>
          <w:i/>
          <w:lang w:eastAsia="en-US"/>
        </w:rPr>
        <w:t>SKK</w:t>
      </w:r>
      <w:r w:rsidR="00875D93">
        <w:rPr>
          <w:rFonts w:eastAsia="Calibri"/>
          <w:bCs/>
          <w:i/>
          <w:lang w:eastAsia="en-US"/>
        </w:rPr>
        <w:noBreakHyphen/>
      </w:r>
      <w:r w:rsidR="00EF310A" w:rsidRPr="00716507">
        <w:rPr>
          <w:rFonts w:eastAsia="Calibri"/>
          <w:bCs/>
          <w:i/>
          <w:lang w:eastAsia="en-US"/>
        </w:rPr>
        <w:t>9/2021</w:t>
      </w:r>
      <w:r w:rsidR="00465049" w:rsidRPr="00716507">
        <w:rPr>
          <w:rFonts w:eastAsia="Calibri"/>
          <w:bCs/>
          <w:i/>
          <w:lang w:eastAsia="en-US"/>
        </w:rPr>
        <w:t>,</w:t>
      </w:r>
      <w:r w:rsidR="00875D93">
        <w:rPr>
          <w:rFonts w:eastAsia="Calibri"/>
          <w:bCs/>
          <w:i/>
          <w:lang w:eastAsia="en-US"/>
        </w:rPr>
        <w:t xml:space="preserve"> </w:t>
      </w:r>
      <w:hyperlink r:id="rId14" w:history="1">
        <w:r w:rsidR="00465049" w:rsidRPr="00716507">
          <w:rPr>
            <w:rFonts w:eastAsia="Calibri"/>
            <w:i/>
            <w:color w:val="0563C1" w:themeColor="hyperlink"/>
            <w:u w:val="single"/>
            <w:shd w:val="clear" w:color="auto" w:fill="FFFFFF"/>
            <w:lang w:eastAsia="en-US"/>
          </w:rPr>
          <w:t>ECLI:LV:AT:2021:0921.11816005315.3.L</w:t>
        </w:r>
      </w:hyperlink>
      <w:r w:rsidR="00716507">
        <w:rPr>
          <w:rFonts w:eastAsia="Calibri"/>
          <w:lang w:eastAsia="en-US"/>
        </w:rPr>
        <w:t>,</w:t>
      </w:r>
      <w:r w:rsidR="00115315">
        <w:rPr>
          <w:rFonts w:eastAsia="Calibri"/>
          <w:lang w:eastAsia="en-US"/>
        </w:rPr>
        <w:t xml:space="preserve"> </w:t>
      </w:r>
      <w:r w:rsidR="00115315" w:rsidRPr="00115315">
        <w:rPr>
          <w:rFonts w:eastAsia="Calibri"/>
          <w:i/>
          <w:iCs/>
          <w:lang w:eastAsia="en-US"/>
        </w:rPr>
        <w:t>8.1. punkts</w:t>
      </w:r>
      <w:r w:rsidR="00EF310A">
        <w:rPr>
          <w:rFonts w:eastAsia="Calibri"/>
          <w:lang w:eastAsia="en-US"/>
        </w:rPr>
        <w:t>)</w:t>
      </w:r>
    </w:p>
    <w:p w14:paraId="43177ED9" w14:textId="0DF3B832" w:rsidR="00E241CB" w:rsidRDefault="00E241CB" w:rsidP="00875D93">
      <w:pPr>
        <w:spacing w:line="276" w:lineRule="auto"/>
        <w:jc w:val="both"/>
        <w:rPr>
          <w:lang w:eastAsia="en-US"/>
        </w:rPr>
      </w:pPr>
    </w:p>
    <w:p w14:paraId="65C0C94E" w14:textId="77777777" w:rsidR="0072243E" w:rsidRDefault="00F563DA" w:rsidP="00875D93">
      <w:pPr>
        <w:widowControl w:val="0"/>
        <w:spacing w:line="276" w:lineRule="auto"/>
        <w:ind w:firstLine="720"/>
        <w:jc w:val="both"/>
      </w:pPr>
      <w:r w:rsidRPr="007B2802">
        <w:rPr>
          <w:rFonts w:asciiTheme="majorBidi" w:hAnsiTheme="majorBidi" w:cstheme="majorBidi"/>
        </w:rPr>
        <w:t>[</w:t>
      </w:r>
      <w:r w:rsidR="0066337D">
        <w:rPr>
          <w:rFonts w:asciiTheme="majorBidi" w:hAnsiTheme="majorBidi" w:cstheme="majorBidi"/>
        </w:rPr>
        <w:t>8</w:t>
      </w:r>
      <w:r w:rsidRPr="007B2802">
        <w:rPr>
          <w:rFonts w:asciiTheme="majorBidi" w:hAnsiTheme="majorBidi" w:cstheme="majorBidi"/>
        </w:rPr>
        <w:t>]</w:t>
      </w:r>
      <w:r w:rsidR="00716507">
        <w:rPr>
          <w:rFonts w:asciiTheme="majorBidi" w:hAnsiTheme="majorBidi" w:cstheme="majorBidi"/>
        </w:rPr>
        <w:t> </w:t>
      </w:r>
      <w:r w:rsidR="00E241CB">
        <w:rPr>
          <w:rFonts w:asciiTheme="majorBidi" w:hAnsiTheme="majorBidi" w:cstheme="majorBidi"/>
        </w:rPr>
        <w:t>Senāts konstatē, ka kasācijas sūdzībā atkārtoti apelācijas sūdzības argumenti par pirmās instances tiesas pieļaut</w:t>
      </w:r>
      <w:r w:rsidR="00FB181F">
        <w:rPr>
          <w:rFonts w:asciiTheme="majorBidi" w:hAnsiTheme="majorBidi" w:cstheme="majorBidi"/>
        </w:rPr>
        <w:t>u</w:t>
      </w:r>
      <w:r w:rsidR="00E241CB">
        <w:rPr>
          <w:rFonts w:asciiTheme="majorBidi" w:hAnsiTheme="majorBidi" w:cstheme="majorBidi"/>
        </w:rPr>
        <w:t xml:space="preserve"> Kriminālprocesa likuma 530.</w:t>
      </w:r>
      <w:r w:rsidR="00716507">
        <w:rPr>
          <w:rFonts w:asciiTheme="majorBidi" w:hAnsiTheme="majorBidi" w:cstheme="majorBidi"/>
        </w:rPr>
        <w:t> </w:t>
      </w:r>
      <w:r w:rsidR="00E241CB">
        <w:rPr>
          <w:rFonts w:asciiTheme="majorBidi" w:hAnsiTheme="majorBidi" w:cstheme="majorBidi"/>
        </w:rPr>
        <w:t>panta</w:t>
      </w:r>
      <w:r w:rsidR="00EF310A">
        <w:rPr>
          <w:rFonts w:asciiTheme="majorBidi" w:hAnsiTheme="majorBidi" w:cstheme="majorBidi"/>
        </w:rPr>
        <w:t xml:space="preserve"> trešās daļas</w:t>
      </w:r>
      <w:r w:rsidR="00E241CB">
        <w:rPr>
          <w:rFonts w:asciiTheme="majorBidi" w:hAnsiTheme="majorBidi" w:cstheme="majorBidi"/>
        </w:rPr>
        <w:t xml:space="preserve"> pārkāpum</w:t>
      </w:r>
      <w:r w:rsidR="00FB181F">
        <w:rPr>
          <w:rFonts w:asciiTheme="majorBidi" w:hAnsiTheme="majorBidi" w:cstheme="majorBidi"/>
        </w:rPr>
        <w:t>u</w:t>
      </w:r>
      <w:r w:rsidR="00E241CB">
        <w:rPr>
          <w:rFonts w:asciiTheme="majorBidi" w:hAnsiTheme="majorBidi" w:cstheme="majorBidi"/>
        </w:rPr>
        <w:t>, sagatavojot spriedumu. Apelācijas instances tiesa minētos argumentus ir</w:t>
      </w:r>
      <w:r w:rsidR="00CF734C">
        <w:rPr>
          <w:rFonts w:asciiTheme="majorBidi" w:hAnsiTheme="majorBidi" w:cstheme="majorBidi"/>
        </w:rPr>
        <w:t xml:space="preserve"> atzinusi par nepamatotiem un</w:t>
      </w:r>
      <w:r w:rsidR="00E241CB">
        <w:rPr>
          <w:rFonts w:asciiTheme="majorBidi" w:hAnsiTheme="majorBidi" w:cstheme="majorBidi"/>
        </w:rPr>
        <w:t xml:space="preserve"> </w:t>
      </w:r>
      <w:r w:rsidR="00CF734C">
        <w:rPr>
          <w:rFonts w:asciiTheme="majorBidi" w:hAnsiTheme="majorBidi" w:cstheme="majorBidi"/>
        </w:rPr>
        <w:t>noraidījusi.</w:t>
      </w:r>
    </w:p>
    <w:p w14:paraId="1D441D7B" w14:textId="2161C722" w:rsidR="0072243E" w:rsidRDefault="0072243E" w:rsidP="00875D93">
      <w:pPr>
        <w:widowControl w:val="0"/>
        <w:spacing w:line="276" w:lineRule="auto"/>
        <w:ind w:firstLine="720"/>
        <w:jc w:val="both"/>
      </w:pPr>
      <w:r>
        <w:t>Atbilstoši Kriminālprocesa likuma 575.</w:t>
      </w:r>
      <w:r w:rsidR="0067700B">
        <w:t> </w:t>
      </w:r>
      <w:r>
        <w:t>panta trešajai daļai procesuāls pārkāpums var būt pamats sprieduma pārsūdzēšanai kasācijas kārtībā, ja šis pārkāpums novedis pie nelikumīga nolēmuma.</w:t>
      </w:r>
    </w:p>
    <w:p w14:paraId="2855608A" w14:textId="08E6B3AE" w:rsidR="00CF734C" w:rsidRDefault="00CF734C" w:rsidP="00875D93">
      <w:pPr>
        <w:widowControl w:val="0"/>
        <w:spacing w:line="276" w:lineRule="auto"/>
        <w:ind w:firstLine="720"/>
        <w:jc w:val="both"/>
        <w:rPr>
          <w:rFonts w:asciiTheme="majorBidi" w:hAnsiTheme="majorBidi" w:cstheme="majorBidi"/>
        </w:rPr>
      </w:pPr>
      <w:r>
        <w:rPr>
          <w:rFonts w:asciiTheme="majorBidi" w:hAnsiTheme="majorBidi" w:cstheme="majorBidi"/>
        </w:rPr>
        <w:t xml:space="preserve">Senāts </w:t>
      </w:r>
      <w:r w:rsidR="00076B45">
        <w:rPr>
          <w:rFonts w:asciiTheme="majorBidi" w:hAnsiTheme="majorBidi" w:cstheme="majorBidi"/>
        </w:rPr>
        <w:t>konstatē</w:t>
      </w:r>
      <w:r>
        <w:rPr>
          <w:rFonts w:asciiTheme="majorBidi" w:hAnsiTheme="majorBidi" w:cstheme="majorBidi"/>
        </w:rPr>
        <w:t xml:space="preserve">, ka </w:t>
      </w:r>
      <w:r w:rsidR="00076B45">
        <w:rPr>
          <w:rFonts w:asciiTheme="majorBidi" w:hAnsiTheme="majorBidi" w:cstheme="majorBidi"/>
        </w:rPr>
        <w:t xml:space="preserve">aizstāvis </w:t>
      </w:r>
      <w:r w:rsidR="0072243E">
        <w:rPr>
          <w:rFonts w:asciiTheme="majorBidi" w:hAnsiTheme="majorBidi" w:cstheme="majorBidi"/>
        </w:rPr>
        <w:t xml:space="preserve">nav </w:t>
      </w:r>
      <w:r>
        <w:rPr>
          <w:rFonts w:asciiTheme="majorBidi" w:hAnsiTheme="majorBidi" w:cstheme="majorBidi"/>
        </w:rPr>
        <w:t>pa</w:t>
      </w:r>
      <w:r w:rsidR="0072243E">
        <w:rPr>
          <w:rFonts w:asciiTheme="majorBidi" w:hAnsiTheme="majorBidi" w:cstheme="majorBidi"/>
        </w:rPr>
        <w:t>matojis</w:t>
      </w:r>
      <w:r w:rsidR="00CA2179">
        <w:rPr>
          <w:rFonts w:asciiTheme="majorBidi" w:hAnsiTheme="majorBidi" w:cstheme="majorBidi"/>
        </w:rPr>
        <w:t>,</w:t>
      </w:r>
      <w:r w:rsidR="0072243E">
        <w:rPr>
          <w:rFonts w:asciiTheme="majorBidi" w:hAnsiTheme="majorBidi" w:cstheme="majorBidi"/>
        </w:rPr>
        <w:t xml:space="preserve"> kā</w:t>
      </w:r>
      <w:r>
        <w:rPr>
          <w:rFonts w:asciiTheme="majorBidi" w:hAnsiTheme="majorBidi" w:cstheme="majorBidi"/>
        </w:rPr>
        <w:t xml:space="preserve"> </w:t>
      </w:r>
      <w:r w:rsidR="00076B45">
        <w:rPr>
          <w:rFonts w:asciiTheme="majorBidi" w:hAnsiTheme="majorBidi" w:cstheme="majorBidi"/>
        </w:rPr>
        <w:t xml:space="preserve">kasācijas </w:t>
      </w:r>
      <w:r>
        <w:rPr>
          <w:rFonts w:asciiTheme="majorBidi" w:hAnsiTheme="majorBidi" w:cstheme="majorBidi"/>
        </w:rPr>
        <w:t>sūdzībā norādītais pirmās instances tiesa</w:t>
      </w:r>
      <w:r w:rsidR="00BE3193">
        <w:rPr>
          <w:rFonts w:asciiTheme="majorBidi" w:hAnsiTheme="majorBidi" w:cstheme="majorBidi"/>
        </w:rPr>
        <w:t>s</w:t>
      </w:r>
      <w:r>
        <w:rPr>
          <w:rFonts w:asciiTheme="majorBidi" w:hAnsiTheme="majorBidi" w:cstheme="majorBidi"/>
        </w:rPr>
        <w:t xml:space="preserve"> pārkāpums sprieduma sagatavošanā nove</w:t>
      </w:r>
      <w:r w:rsidR="00076B45">
        <w:rPr>
          <w:rFonts w:asciiTheme="majorBidi" w:hAnsiTheme="majorBidi" w:cstheme="majorBidi"/>
        </w:rPr>
        <w:t>dis</w:t>
      </w:r>
      <w:r>
        <w:rPr>
          <w:rFonts w:asciiTheme="majorBidi" w:hAnsiTheme="majorBidi" w:cstheme="majorBidi"/>
        </w:rPr>
        <w:t xml:space="preserve"> pie </w:t>
      </w:r>
      <w:r w:rsidR="0072243E">
        <w:rPr>
          <w:rFonts w:asciiTheme="majorBidi" w:hAnsiTheme="majorBidi" w:cstheme="majorBidi"/>
        </w:rPr>
        <w:t xml:space="preserve">nelikumīga </w:t>
      </w:r>
      <w:r>
        <w:rPr>
          <w:rFonts w:asciiTheme="majorBidi" w:hAnsiTheme="majorBidi" w:cstheme="majorBidi"/>
        </w:rPr>
        <w:t>apelācijas instances tiesa</w:t>
      </w:r>
      <w:r w:rsidR="00BE3193">
        <w:rPr>
          <w:rFonts w:asciiTheme="majorBidi" w:hAnsiTheme="majorBidi" w:cstheme="majorBidi"/>
        </w:rPr>
        <w:t>s</w:t>
      </w:r>
      <w:r>
        <w:rPr>
          <w:rFonts w:asciiTheme="majorBidi" w:hAnsiTheme="majorBidi" w:cstheme="majorBidi"/>
        </w:rPr>
        <w:t xml:space="preserve"> nolēmuma</w:t>
      </w:r>
      <w:r w:rsidR="0072243E">
        <w:rPr>
          <w:rFonts w:asciiTheme="majorBidi" w:hAnsiTheme="majorBidi" w:cstheme="majorBidi"/>
        </w:rPr>
        <w:t>.</w:t>
      </w:r>
    </w:p>
    <w:p w14:paraId="12C76986" w14:textId="14CD702E" w:rsidR="00F563DA" w:rsidRPr="007B2802" w:rsidRDefault="00F563DA" w:rsidP="00875D93">
      <w:pPr>
        <w:widowControl w:val="0"/>
        <w:spacing w:line="276" w:lineRule="auto"/>
        <w:ind w:firstLine="720"/>
        <w:jc w:val="both"/>
        <w:rPr>
          <w:rFonts w:asciiTheme="majorBidi" w:eastAsiaTheme="minorHAnsi" w:hAnsiTheme="majorBidi" w:cstheme="majorBidi"/>
          <w:lang w:eastAsia="en-US"/>
          <w14:ligatures w14:val="standardContextual"/>
        </w:rPr>
      </w:pPr>
      <w:r w:rsidRPr="007B2802">
        <w:rPr>
          <w:rFonts w:asciiTheme="majorBidi" w:hAnsiTheme="majorBidi" w:cstheme="majorBidi"/>
        </w:rPr>
        <w:t>Ņemot vērā, ka pārējie kasācijas sūdzībā ietvertie argumenti ir saistīti ar sodu ietekmējošo apstākļu vērtējumu, Senāts tos šajā lēmumā nevērtēs, jo lieta atkārtoti izskatāma apelācijas instances tiesā atbilstoši Kriminālprocesa likuma 53. nodaļā noteiktajam.</w:t>
      </w:r>
    </w:p>
    <w:p w14:paraId="0727F10E" w14:textId="77777777" w:rsidR="00F563DA" w:rsidRPr="007B2802" w:rsidRDefault="00F563DA" w:rsidP="00875D93">
      <w:pPr>
        <w:widowControl w:val="0"/>
        <w:spacing w:line="276" w:lineRule="auto"/>
        <w:ind w:firstLine="720"/>
        <w:jc w:val="both"/>
        <w:rPr>
          <w:rFonts w:asciiTheme="majorBidi" w:hAnsiTheme="majorBidi" w:cstheme="majorBidi"/>
        </w:rPr>
      </w:pPr>
    </w:p>
    <w:p w14:paraId="215BCBDD" w14:textId="6865101E" w:rsidR="009E3AD1" w:rsidRDefault="00F563DA" w:rsidP="00875D93">
      <w:pPr>
        <w:widowControl w:val="0"/>
        <w:tabs>
          <w:tab w:val="left" w:pos="1134"/>
        </w:tabs>
        <w:spacing w:line="276" w:lineRule="auto"/>
        <w:ind w:firstLine="720"/>
        <w:jc w:val="both"/>
        <w:rPr>
          <w:rFonts w:asciiTheme="majorBidi" w:eastAsiaTheme="minorHAnsi" w:hAnsiTheme="majorBidi" w:cstheme="majorBidi"/>
          <w:lang w:eastAsia="en-US"/>
        </w:rPr>
      </w:pPr>
      <w:r w:rsidRPr="007B2802">
        <w:rPr>
          <w:rFonts w:asciiTheme="majorBidi" w:hAnsiTheme="majorBidi" w:cstheme="majorBidi"/>
        </w:rPr>
        <w:t>[</w:t>
      </w:r>
      <w:r w:rsidR="0066337D">
        <w:rPr>
          <w:rFonts w:asciiTheme="majorBidi" w:hAnsiTheme="majorBidi" w:cstheme="majorBidi"/>
        </w:rPr>
        <w:t>9</w:t>
      </w:r>
      <w:r w:rsidRPr="007B2802">
        <w:rPr>
          <w:rFonts w:asciiTheme="majorBidi" w:hAnsiTheme="majorBidi" w:cstheme="majorBidi"/>
        </w:rPr>
        <w:t>] </w:t>
      </w:r>
      <w:r w:rsidRPr="007B2802">
        <w:rPr>
          <w:rFonts w:asciiTheme="majorBidi" w:eastAsiaTheme="minorHAnsi" w:hAnsiTheme="majorBidi" w:cstheme="majorBidi"/>
          <w:lang w:eastAsia="en-US"/>
        </w:rPr>
        <w:t>Apelācijas instances tiesa atstājusi negrozītu apsūdzētajam</w:t>
      </w:r>
      <w:r w:rsidRPr="007B2802">
        <w:rPr>
          <w:rFonts w:asciiTheme="majorBidi" w:hAnsiTheme="majorBidi" w:cstheme="majorBidi"/>
        </w:rPr>
        <w:t xml:space="preserve"> </w:t>
      </w:r>
      <w:r w:rsidR="00EE0F63">
        <w:rPr>
          <w:rFonts w:asciiTheme="majorBidi" w:hAnsiTheme="majorBidi" w:cstheme="majorBidi"/>
        </w:rPr>
        <w:t>[pers. A]</w:t>
      </w:r>
      <w:r w:rsidR="004D2F8A" w:rsidRPr="00D82D39">
        <w:rPr>
          <w:rFonts w:asciiTheme="majorBidi" w:hAnsiTheme="majorBidi" w:cstheme="majorBidi"/>
        </w:rPr>
        <w:t xml:space="preserve"> </w:t>
      </w:r>
      <w:bookmarkStart w:id="13" w:name="_Hlk135038690"/>
      <w:r w:rsidRPr="007B2802">
        <w:rPr>
          <w:rFonts w:asciiTheme="majorBidi" w:eastAsiaTheme="minorHAnsi" w:hAnsiTheme="majorBidi" w:cstheme="majorBidi"/>
          <w:lang w:eastAsia="en-US"/>
        </w:rPr>
        <w:t>piemēroto drošības līdzek</w:t>
      </w:r>
      <w:r w:rsidR="009E3AD1">
        <w:rPr>
          <w:rFonts w:asciiTheme="majorBidi" w:eastAsiaTheme="minorHAnsi" w:hAnsiTheme="majorBidi" w:cstheme="majorBidi"/>
          <w:lang w:eastAsia="en-US"/>
        </w:rPr>
        <w:t>li</w:t>
      </w:r>
      <w:r w:rsidR="0067700B">
        <w:rPr>
          <w:rFonts w:asciiTheme="majorBidi" w:eastAsiaTheme="minorHAnsi" w:hAnsiTheme="majorBidi" w:cstheme="majorBidi"/>
          <w:lang w:eastAsia="en-US"/>
        </w:rPr>
        <w:t> </w:t>
      </w:r>
      <w:r w:rsidRPr="007B2802">
        <w:rPr>
          <w:rFonts w:asciiTheme="majorBidi" w:hAnsiTheme="majorBidi" w:cstheme="majorBidi"/>
        </w:rPr>
        <w:t>–</w:t>
      </w:r>
      <w:r w:rsidR="000F2337">
        <w:rPr>
          <w:rFonts w:asciiTheme="majorBidi" w:hAnsiTheme="majorBidi" w:cstheme="majorBidi"/>
        </w:rPr>
        <w:t xml:space="preserve"> </w:t>
      </w:r>
      <w:bookmarkStart w:id="14" w:name="_Hlk129674621"/>
      <w:r w:rsidR="009E3AD1">
        <w:rPr>
          <w:rFonts w:asciiTheme="majorBidi" w:hAnsiTheme="majorBidi" w:cstheme="majorBidi"/>
        </w:rPr>
        <w:t>apcietinājumu</w:t>
      </w:r>
      <w:bookmarkEnd w:id="14"/>
      <w:r w:rsidRPr="007B2802">
        <w:rPr>
          <w:rFonts w:asciiTheme="majorBidi" w:eastAsiaTheme="minorHAnsi" w:hAnsiTheme="majorBidi" w:cstheme="majorBidi"/>
          <w:lang w:eastAsia="en-US"/>
        </w:rPr>
        <w:t>.</w:t>
      </w:r>
    </w:p>
    <w:bookmarkEnd w:id="13"/>
    <w:p w14:paraId="464BAF42" w14:textId="552B3A59" w:rsidR="009E3AD1" w:rsidRDefault="009E3AD1" w:rsidP="00875D93">
      <w:pPr>
        <w:widowControl w:val="0"/>
        <w:tabs>
          <w:tab w:val="left" w:pos="1134"/>
        </w:tabs>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Senāts konstatē, ka ar pirmās instances tiesas spriedumu apsūdzētais par vairāku smagu noziegumu izdarīšanu sodīts ar brīvības atņemšanas sodu, turklāt tiesa galīgo sodu noteikusi saskaņā ar Krimināllikuma 51.</w:t>
      </w:r>
      <w:r w:rsidR="007A401E">
        <w:rPr>
          <w:rFonts w:asciiTheme="majorBidi" w:eastAsiaTheme="minorHAnsi" w:hAnsiTheme="majorBidi" w:cstheme="majorBidi"/>
          <w:lang w:eastAsia="en-US"/>
        </w:rPr>
        <w:t> </w:t>
      </w:r>
      <w:r>
        <w:rPr>
          <w:rFonts w:asciiTheme="majorBidi" w:eastAsiaTheme="minorHAnsi" w:hAnsiTheme="majorBidi" w:cstheme="majorBidi"/>
          <w:lang w:eastAsia="en-US"/>
        </w:rPr>
        <w:t>panta nosacījumiem.</w:t>
      </w:r>
    </w:p>
    <w:p w14:paraId="2257627B" w14:textId="43ABFC0A" w:rsidR="00F563DA" w:rsidRPr="007B2802" w:rsidRDefault="00F563DA" w:rsidP="00875D93">
      <w:pPr>
        <w:widowControl w:val="0"/>
        <w:tabs>
          <w:tab w:val="left" w:pos="1134"/>
        </w:tabs>
        <w:spacing w:line="276" w:lineRule="auto"/>
        <w:ind w:firstLine="720"/>
        <w:jc w:val="both"/>
        <w:rPr>
          <w:rFonts w:asciiTheme="majorBidi" w:eastAsiaTheme="minorHAnsi" w:hAnsiTheme="majorBidi" w:cstheme="majorBidi"/>
          <w:lang w:eastAsia="en-US"/>
        </w:rPr>
      </w:pPr>
      <w:r w:rsidRPr="007B2802">
        <w:rPr>
          <w:rFonts w:asciiTheme="majorBidi" w:eastAsiaTheme="minorHAnsi" w:hAnsiTheme="majorBidi" w:cstheme="majorBidi"/>
          <w:lang w:eastAsia="en-US"/>
        </w:rPr>
        <w:t>Senāts atzīst, ka minēt</w:t>
      </w:r>
      <w:r w:rsidR="009E3AD1">
        <w:rPr>
          <w:rFonts w:asciiTheme="majorBidi" w:eastAsiaTheme="minorHAnsi" w:hAnsiTheme="majorBidi" w:cstheme="majorBidi"/>
          <w:lang w:eastAsia="en-US"/>
        </w:rPr>
        <w:t>ais</w:t>
      </w:r>
      <w:r w:rsidRPr="007B2802">
        <w:rPr>
          <w:rFonts w:asciiTheme="majorBidi" w:eastAsiaTheme="minorHAnsi" w:hAnsiTheme="majorBidi" w:cstheme="majorBidi"/>
          <w:lang w:eastAsia="en-US"/>
        </w:rPr>
        <w:t xml:space="preserve"> drošības līdzek</w:t>
      </w:r>
      <w:r w:rsidR="009E3AD1">
        <w:rPr>
          <w:rFonts w:asciiTheme="majorBidi" w:eastAsiaTheme="minorHAnsi" w:hAnsiTheme="majorBidi" w:cstheme="majorBidi"/>
          <w:lang w:eastAsia="en-US"/>
        </w:rPr>
        <w:t>lis</w:t>
      </w:r>
      <w:r w:rsidRPr="007B2802">
        <w:rPr>
          <w:rFonts w:asciiTheme="majorBidi" w:eastAsiaTheme="minorHAnsi" w:hAnsiTheme="majorBidi" w:cstheme="majorBidi"/>
          <w:lang w:eastAsia="en-US"/>
        </w:rPr>
        <w:t xml:space="preserve"> ir samērīg</w:t>
      </w:r>
      <w:r w:rsidR="009E3AD1">
        <w:rPr>
          <w:rFonts w:asciiTheme="majorBidi" w:eastAsiaTheme="minorHAnsi" w:hAnsiTheme="majorBidi" w:cstheme="majorBidi"/>
          <w:lang w:eastAsia="en-US"/>
        </w:rPr>
        <w:t>s</w:t>
      </w:r>
      <w:r w:rsidRPr="007B2802">
        <w:rPr>
          <w:rFonts w:asciiTheme="majorBidi" w:eastAsiaTheme="minorHAnsi" w:hAnsiTheme="majorBidi" w:cstheme="majorBidi"/>
          <w:lang w:eastAsia="en-US"/>
        </w:rPr>
        <w:t xml:space="preserve"> un to piemērošanas turpināšana nepamatoti neierobežos apsūdzētā </w:t>
      </w:r>
      <w:r w:rsidR="00EE0F63">
        <w:rPr>
          <w:rFonts w:asciiTheme="majorBidi" w:hAnsiTheme="majorBidi" w:cstheme="majorBidi"/>
        </w:rPr>
        <w:t>[pers. A]</w:t>
      </w:r>
      <w:r w:rsidR="004D2F8A" w:rsidRPr="00D82D39">
        <w:rPr>
          <w:rFonts w:asciiTheme="majorBidi" w:hAnsiTheme="majorBidi" w:cstheme="majorBidi"/>
        </w:rPr>
        <w:t xml:space="preserve"> </w:t>
      </w:r>
      <w:r w:rsidRPr="007B2802">
        <w:rPr>
          <w:rFonts w:asciiTheme="majorBidi" w:eastAsiaTheme="minorHAnsi" w:hAnsiTheme="majorBidi" w:cstheme="majorBidi"/>
          <w:lang w:eastAsia="en-US"/>
        </w:rPr>
        <w:t>pamattiesības.</w:t>
      </w:r>
    </w:p>
    <w:p w14:paraId="6C67500C" w14:textId="77777777" w:rsidR="004D2F8A" w:rsidRPr="00D82D39" w:rsidRDefault="004D2F8A" w:rsidP="00875D93">
      <w:pPr>
        <w:widowControl w:val="0"/>
        <w:spacing w:line="276" w:lineRule="auto"/>
        <w:ind w:firstLine="720"/>
        <w:jc w:val="both"/>
        <w:rPr>
          <w:rFonts w:asciiTheme="majorBidi" w:hAnsiTheme="majorBidi" w:cstheme="majorBidi"/>
        </w:rPr>
      </w:pPr>
    </w:p>
    <w:p w14:paraId="58D14DB7" w14:textId="77777777" w:rsidR="003A0DCC" w:rsidRPr="00D82D39" w:rsidRDefault="003A0DCC" w:rsidP="00875D93">
      <w:pPr>
        <w:widowControl w:val="0"/>
        <w:spacing w:line="276" w:lineRule="auto"/>
        <w:jc w:val="center"/>
        <w:rPr>
          <w:rFonts w:asciiTheme="majorBidi" w:hAnsiTheme="majorBidi" w:cstheme="majorBidi"/>
          <w:b/>
          <w:color w:val="000000" w:themeColor="text1"/>
        </w:rPr>
      </w:pPr>
      <w:r w:rsidRPr="00D82D39">
        <w:rPr>
          <w:rFonts w:asciiTheme="majorBidi" w:hAnsiTheme="majorBidi" w:cstheme="majorBidi"/>
          <w:b/>
          <w:color w:val="000000" w:themeColor="text1"/>
        </w:rPr>
        <w:t>Rezolutīvā daļa</w:t>
      </w:r>
    </w:p>
    <w:p w14:paraId="709F5978" w14:textId="77777777" w:rsidR="003A0DCC" w:rsidRPr="00D82D39" w:rsidRDefault="003A0DCC" w:rsidP="00875D93">
      <w:pPr>
        <w:widowControl w:val="0"/>
        <w:spacing w:line="276" w:lineRule="auto"/>
        <w:ind w:firstLine="720"/>
        <w:jc w:val="center"/>
        <w:rPr>
          <w:rFonts w:asciiTheme="majorBidi" w:hAnsiTheme="majorBidi" w:cstheme="majorBidi"/>
          <w:b/>
          <w:color w:val="000000" w:themeColor="text1"/>
        </w:rPr>
      </w:pPr>
    </w:p>
    <w:p w14:paraId="2C383154" w14:textId="77777777" w:rsidR="003A0DCC" w:rsidRPr="00D82D39" w:rsidRDefault="003A0DCC" w:rsidP="00875D93">
      <w:pPr>
        <w:widowControl w:val="0"/>
        <w:spacing w:line="276" w:lineRule="auto"/>
        <w:ind w:firstLine="720"/>
        <w:jc w:val="both"/>
        <w:rPr>
          <w:rFonts w:asciiTheme="majorBidi" w:hAnsiTheme="majorBidi" w:cstheme="majorBidi"/>
          <w:color w:val="000000" w:themeColor="text1"/>
        </w:rPr>
      </w:pPr>
      <w:r w:rsidRPr="00D82D39">
        <w:rPr>
          <w:rFonts w:asciiTheme="majorBidi" w:hAnsiTheme="majorBidi" w:cstheme="majorBidi"/>
          <w:color w:val="000000" w:themeColor="text1"/>
        </w:rPr>
        <w:t>Pamatojoties uz Kriminālprocesa likuma 585. un 587. panta pirmās daļas 2. punktu, Senāts</w:t>
      </w:r>
    </w:p>
    <w:p w14:paraId="02C92A2D" w14:textId="77777777" w:rsidR="003A0DCC" w:rsidRPr="00D82D39" w:rsidRDefault="003A0DCC" w:rsidP="00875D93">
      <w:pPr>
        <w:widowControl w:val="0"/>
        <w:spacing w:line="276" w:lineRule="auto"/>
        <w:ind w:firstLine="720"/>
        <w:rPr>
          <w:rFonts w:asciiTheme="majorBidi" w:hAnsiTheme="majorBidi" w:cstheme="majorBidi"/>
          <w:color w:val="000000" w:themeColor="text1"/>
        </w:rPr>
      </w:pPr>
    </w:p>
    <w:p w14:paraId="7A63BED6" w14:textId="77777777" w:rsidR="003A0DCC" w:rsidRPr="00D82D39" w:rsidRDefault="003A0DCC" w:rsidP="00875D93">
      <w:pPr>
        <w:widowControl w:val="0"/>
        <w:spacing w:line="276" w:lineRule="auto"/>
        <w:jc w:val="center"/>
        <w:rPr>
          <w:rFonts w:asciiTheme="majorBidi" w:hAnsiTheme="majorBidi" w:cstheme="majorBidi"/>
          <w:b/>
          <w:color w:val="000000" w:themeColor="text1"/>
        </w:rPr>
      </w:pPr>
      <w:r w:rsidRPr="00D82D39">
        <w:rPr>
          <w:rFonts w:asciiTheme="majorBidi" w:hAnsiTheme="majorBidi" w:cstheme="majorBidi"/>
          <w:b/>
          <w:color w:val="000000" w:themeColor="text1"/>
        </w:rPr>
        <w:t>nolēma</w:t>
      </w:r>
    </w:p>
    <w:p w14:paraId="5F9D0450" w14:textId="77777777" w:rsidR="003A0DCC" w:rsidRPr="00D82D39" w:rsidRDefault="003A0DCC" w:rsidP="00875D93">
      <w:pPr>
        <w:widowControl w:val="0"/>
        <w:spacing w:line="276" w:lineRule="auto"/>
        <w:ind w:firstLine="720"/>
        <w:jc w:val="center"/>
        <w:rPr>
          <w:rFonts w:asciiTheme="majorBidi" w:hAnsiTheme="majorBidi" w:cstheme="majorBidi"/>
          <w:b/>
          <w:color w:val="000000" w:themeColor="text1"/>
        </w:rPr>
      </w:pPr>
    </w:p>
    <w:p w14:paraId="336EC2A3" w14:textId="69898D29" w:rsidR="004D2F8A" w:rsidRPr="007B2802" w:rsidRDefault="003A0DCC" w:rsidP="00875D93">
      <w:pPr>
        <w:widowControl w:val="0"/>
        <w:spacing w:line="276" w:lineRule="auto"/>
        <w:ind w:firstLine="720"/>
        <w:jc w:val="both"/>
        <w:rPr>
          <w:rFonts w:asciiTheme="majorBidi" w:hAnsiTheme="majorBidi" w:cstheme="majorBidi"/>
        </w:rPr>
      </w:pPr>
      <w:r w:rsidRPr="00D82D39">
        <w:rPr>
          <w:rFonts w:asciiTheme="majorBidi" w:hAnsiTheme="majorBidi" w:cstheme="majorBidi"/>
        </w:rPr>
        <w:t xml:space="preserve">atcelt </w:t>
      </w:r>
      <w:r w:rsidR="004D2F8A" w:rsidRPr="00D82D39">
        <w:rPr>
          <w:rFonts w:asciiTheme="majorBidi" w:hAnsiTheme="majorBidi" w:cstheme="majorBidi"/>
        </w:rPr>
        <w:t xml:space="preserve">Rīgas apgabaltiesas </w:t>
      </w:r>
      <w:r w:rsidR="00B16921">
        <w:t>2023.</w:t>
      </w:r>
      <w:r w:rsidR="00115315">
        <w:t> </w:t>
      </w:r>
      <w:r w:rsidR="00B16921">
        <w:t>gada 16.</w:t>
      </w:r>
      <w:r w:rsidR="00115315">
        <w:t> </w:t>
      </w:r>
      <w:r w:rsidR="00B16921">
        <w:t>janvāra spriedumu pilnībā un</w:t>
      </w:r>
      <w:r w:rsidR="004D2F8A" w:rsidRPr="007B2802">
        <w:rPr>
          <w:rFonts w:asciiTheme="majorBidi" w:hAnsiTheme="majorBidi" w:cstheme="majorBidi"/>
        </w:rPr>
        <w:t xml:space="preserve"> lietu nosūtīt jaunai izskatīšanai Rīgas apgabaltiesā;</w:t>
      </w:r>
    </w:p>
    <w:p w14:paraId="454D75FB" w14:textId="1344089E" w:rsidR="00BA1FCD" w:rsidRPr="007B2802" w:rsidRDefault="003A0DCC" w:rsidP="00875D93">
      <w:pPr>
        <w:widowControl w:val="0"/>
        <w:autoSpaceDE w:val="0"/>
        <w:autoSpaceDN w:val="0"/>
        <w:adjustRightInd w:val="0"/>
        <w:spacing w:line="276" w:lineRule="auto"/>
        <w:ind w:firstLine="720"/>
        <w:jc w:val="both"/>
        <w:rPr>
          <w:rFonts w:asciiTheme="majorBidi" w:eastAsiaTheme="minorHAnsi" w:hAnsiTheme="majorBidi" w:cstheme="majorBidi"/>
          <w:lang w:eastAsia="en-US"/>
        </w:rPr>
      </w:pPr>
      <w:r w:rsidRPr="00D82D39">
        <w:rPr>
          <w:rFonts w:asciiTheme="majorBidi" w:hAnsiTheme="majorBidi" w:cstheme="majorBidi"/>
        </w:rPr>
        <w:t xml:space="preserve">apsūdzētajam </w:t>
      </w:r>
      <w:r w:rsidR="00EE0F63">
        <w:rPr>
          <w:rFonts w:asciiTheme="majorBidi" w:hAnsiTheme="majorBidi" w:cstheme="majorBidi"/>
        </w:rPr>
        <w:t>[pers. A]</w:t>
      </w:r>
      <w:r w:rsidR="009E3AD1" w:rsidRPr="00D82D39">
        <w:rPr>
          <w:rFonts w:asciiTheme="majorBidi" w:hAnsiTheme="majorBidi" w:cstheme="majorBidi"/>
        </w:rPr>
        <w:t xml:space="preserve"> </w:t>
      </w:r>
      <w:r w:rsidRPr="00D82D39">
        <w:rPr>
          <w:rFonts w:asciiTheme="majorBidi" w:hAnsiTheme="majorBidi" w:cstheme="majorBidi"/>
        </w:rPr>
        <w:t xml:space="preserve">turpināt piemērot </w:t>
      </w:r>
      <w:r w:rsidR="00BA1FCD" w:rsidRPr="007B2802">
        <w:rPr>
          <w:rFonts w:asciiTheme="majorBidi" w:eastAsiaTheme="minorHAnsi" w:hAnsiTheme="majorBidi" w:cstheme="majorBidi"/>
          <w:lang w:eastAsia="en-US"/>
        </w:rPr>
        <w:t>drošības līdzek</w:t>
      </w:r>
      <w:r w:rsidR="00625BA3">
        <w:rPr>
          <w:rFonts w:asciiTheme="majorBidi" w:eastAsiaTheme="minorHAnsi" w:hAnsiTheme="majorBidi" w:cstheme="majorBidi"/>
          <w:lang w:eastAsia="en-US"/>
        </w:rPr>
        <w:t>li</w:t>
      </w:r>
      <w:r w:rsidR="0067700B">
        <w:rPr>
          <w:rFonts w:asciiTheme="majorBidi" w:eastAsiaTheme="minorHAnsi" w:hAnsiTheme="majorBidi" w:cstheme="majorBidi"/>
          <w:lang w:eastAsia="en-US"/>
        </w:rPr>
        <w:t> </w:t>
      </w:r>
      <w:r w:rsidR="00BA1FCD" w:rsidRPr="007B2802">
        <w:rPr>
          <w:rFonts w:asciiTheme="majorBidi" w:eastAsiaTheme="minorHAnsi" w:hAnsiTheme="majorBidi" w:cstheme="majorBidi"/>
          <w:lang w:eastAsia="en-US"/>
        </w:rPr>
        <w:t xml:space="preserve">– </w:t>
      </w:r>
      <w:r w:rsidR="00625BA3">
        <w:rPr>
          <w:rFonts w:asciiTheme="majorBidi" w:eastAsiaTheme="minorHAnsi" w:hAnsiTheme="majorBidi" w:cstheme="majorBidi"/>
          <w:lang w:eastAsia="en-US"/>
        </w:rPr>
        <w:t>apcietinājumu</w:t>
      </w:r>
      <w:r w:rsidR="00BA1FCD" w:rsidRPr="007B2802">
        <w:rPr>
          <w:rFonts w:asciiTheme="majorBidi" w:eastAsiaTheme="minorHAnsi" w:hAnsiTheme="majorBidi" w:cstheme="majorBidi"/>
          <w:lang w:eastAsia="en-US"/>
        </w:rPr>
        <w:t>.</w:t>
      </w:r>
    </w:p>
    <w:p w14:paraId="5216A4D6" w14:textId="77777777" w:rsidR="003A0DCC" w:rsidRPr="00D82D39" w:rsidRDefault="003A0DCC" w:rsidP="00875D93">
      <w:pPr>
        <w:widowControl w:val="0"/>
        <w:spacing w:line="276" w:lineRule="auto"/>
        <w:ind w:firstLine="720"/>
        <w:jc w:val="both"/>
        <w:rPr>
          <w:rFonts w:asciiTheme="majorBidi" w:hAnsiTheme="majorBidi" w:cstheme="majorBidi"/>
        </w:rPr>
      </w:pPr>
    </w:p>
    <w:p w14:paraId="49BE92B0" w14:textId="77777777" w:rsidR="003A0DCC" w:rsidRPr="00D82D39" w:rsidRDefault="003A0DCC" w:rsidP="00875D93">
      <w:pPr>
        <w:widowControl w:val="0"/>
        <w:spacing w:line="276" w:lineRule="auto"/>
        <w:ind w:firstLine="720"/>
        <w:jc w:val="both"/>
        <w:rPr>
          <w:rFonts w:asciiTheme="majorBidi" w:hAnsiTheme="majorBidi" w:cstheme="majorBidi"/>
        </w:rPr>
      </w:pPr>
      <w:r w:rsidRPr="00D82D39">
        <w:rPr>
          <w:rFonts w:asciiTheme="majorBidi" w:hAnsiTheme="majorBidi" w:cstheme="majorBidi"/>
        </w:rPr>
        <w:t>Lēmums nav pārsūdzams.</w:t>
      </w:r>
    </w:p>
    <w:sectPr w:rsidR="003A0DCC" w:rsidRPr="00D82D39" w:rsidSect="002D7998">
      <w:footerReference w:type="default" r:id="rId15"/>
      <w:pgSz w:w="11906" w:h="16838"/>
      <w:pgMar w:top="1134" w:right="1701" w:bottom="1134" w:left="1701"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E879" w14:textId="77777777" w:rsidR="00E1452A" w:rsidRDefault="00E1452A">
      <w:r>
        <w:separator/>
      </w:r>
    </w:p>
  </w:endnote>
  <w:endnote w:type="continuationSeparator" w:id="0">
    <w:p w14:paraId="46A945B3" w14:textId="77777777" w:rsidR="00E1452A" w:rsidRDefault="00E1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55D167F" w14:textId="2FFC730F" w:rsidR="003A73A3" w:rsidRDefault="007929C3" w:rsidP="00D61E8E">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5616" w14:textId="77777777" w:rsidR="00E1452A" w:rsidRDefault="00E1452A">
      <w:r>
        <w:separator/>
      </w:r>
    </w:p>
  </w:footnote>
  <w:footnote w:type="continuationSeparator" w:id="0">
    <w:p w14:paraId="5D441030" w14:textId="77777777" w:rsidR="00E1452A" w:rsidRDefault="00E14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num w:numId="1" w16cid:durableId="57489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CC"/>
    <w:rsid w:val="0001425D"/>
    <w:rsid w:val="000167EA"/>
    <w:rsid w:val="00030CF3"/>
    <w:rsid w:val="000507AD"/>
    <w:rsid w:val="000530E7"/>
    <w:rsid w:val="000745BF"/>
    <w:rsid w:val="00075B23"/>
    <w:rsid w:val="00076B45"/>
    <w:rsid w:val="000B42D9"/>
    <w:rsid w:val="000B4CD8"/>
    <w:rsid w:val="000C01C4"/>
    <w:rsid w:val="000D5A4D"/>
    <w:rsid w:val="000F2337"/>
    <w:rsid w:val="00115315"/>
    <w:rsid w:val="00120E59"/>
    <w:rsid w:val="001301C7"/>
    <w:rsid w:val="001470F2"/>
    <w:rsid w:val="00161EF5"/>
    <w:rsid w:val="00175529"/>
    <w:rsid w:val="00177438"/>
    <w:rsid w:val="001778EE"/>
    <w:rsid w:val="00181BC2"/>
    <w:rsid w:val="00185AB0"/>
    <w:rsid w:val="001A7932"/>
    <w:rsid w:val="001F1443"/>
    <w:rsid w:val="001F70FB"/>
    <w:rsid w:val="002034EB"/>
    <w:rsid w:val="00207079"/>
    <w:rsid w:val="00221B92"/>
    <w:rsid w:val="00233350"/>
    <w:rsid w:val="0023568B"/>
    <w:rsid w:val="00237599"/>
    <w:rsid w:val="00245EAC"/>
    <w:rsid w:val="00250C53"/>
    <w:rsid w:val="002A51BA"/>
    <w:rsid w:val="002B3766"/>
    <w:rsid w:val="002C1302"/>
    <w:rsid w:val="002D1133"/>
    <w:rsid w:val="002D1883"/>
    <w:rsid w:val="002D7998"/>
    <w:rsid w:val="002F7C4E"/>
    <w:rsid w:val="00341DA9"/>
    <w:rsid w:val="0035313F"/>
    <w:rsid w:val="00360768"/>
    <w:rsid w:val="0036773C"/>
    <w:rsid w:val="003A0DCC"/>
    <w:rsid w:val="003A73A3"/>
    <w:rsid w:val="003B0D44"/>
    <w:rsid w:val="003B29C5"/>
    <w:rsid w:val="003D0421"/>
    <w:rsid w:val="003D4BEC"/>
    <w:rsid w:val="003E0CE2"/>
    <w:rsid w:val="003F281F"/>
    <w:rsid w:val="003F626E"/>
    <w:rsid w:val="00420CA7"/>
    <w:rsid w:val="0042107D"/>
    <w:rsid w:val="00433762"/>
    <w:rsid w:val="0044170B"/>
    <w:rsid w:val="00441F2D"/>
    <w:rsid w:val="00465049"/>
    <w:rsid w:val="0046562C"/>
    <w:rsid w:val="00476846"/>
    <w:rsid w:val="004A120F"/>
    <w:rsid w:val="004D2F8A"/>
    <w:rsid w:val="005049C2"/>
    <w:rsid w:val="005107F8"/>
    <w:rsid w:val="0051377D"/>
    <w:rsid w:val="00542777"/>
    <w:rsid w:val="00545F9F"/>
    <w:rsid w:val="005461A7"/>
    <w:rsid w:val="00552ECB"/>
    <w:rsid w:val="00557940"/>
    <w:rsid w:val="00584616"/>
    <w:rsid w:val="00592061"/>
    <w:rsid w:val="005C7B25"/>
    <w:rsid w:val="005D738B"/>
    <w:rsid w:val="00625BA3"/>
    <w:rsid w:val="00630BC7"/>
    <w:rsid w:val="006320C8"/>
    <w:rsid w:val="0064074D"/>
    <w:rsid w:val="00654BEB"/>
    <w:rsid w:val="0066337D"/>
    <w:rsid w:val="0067700B"/>
    <w:rsid w:val="006870CD"/>
    <w:rsid w:val="006966FF"/>
    <w:rsid w:val="006A5BAA"/>
    <w:rsid w:val="006B26E0"/>
    <w:rsid w:val="007126B7"/>
    <w:rsid w:val="00715AEC"/>
    <w:rsid w:val="00716507"/>
    <w:rsid w:val="00717B87"/>
    <w:rsid w:val="0072243E"/>
    <w:rsid w:val="00732B7D"/>
    <w:rsid w:val="00742B37"/>
    <w:rsid w:val="007628FF"/>
    <w:rsid w:val="00763EDC"/>
    <w:rsid w:val="00771C36"/>
    <w:rsid w:val="0077448E"/>
    <w:rsid w:val="0077475B"/>
    <w:rsid w:val="00774B5D"/>
    <w:rsid w:val="00782425"/>
    <w:rsid w:val="00784798"/>
    <w:rsid w:val="0078648D"/>
    <w:rsid w:val="007929C3"/>
    <w:rsid w:val="007A401E"/>
    <w:rsid w:val="007B2802"/>
    <w:rsid w:val="007C4737"/>
    <w:rsid w:val="007C61D6"/>
    <w:rsid w:val="007D35A4"/>
    <w:rsid w:val="007E5267"/>
    <w:rsid w:val="007F7809"/>
    <w:rsid w:val="0080298E"/>
    <w:rsid w:val="008126E8"/>
    <w:rsid w:val="008167E0"/>
    <w:rsid w:val="008472D9"/>
    <w:rsid w:val="008522A1"/>
    <w:rsid w:val="00864145"/>
    <w:rsid w:val="00866AA3"/>
    <w:rsid w:val="00866CC2"/>
    <w:rsid w:val="00875D93"/>
    <w:rsid w:val="008B1061"/>
    <w:rsid w:val="008B7613"/>
    <w:rsid w:val="008D5ECD"/>
    <w:rsid w:val="008F2C88"/>
    <w:rsid w:val="00901C9D"/>
    <w:rsid w:val="00914996"/>
    <w:rsid w:val="009165E2"/>
    <w:rsid w:val="00916BC3"/>
    <w:rsid w:val="00921A84"/>
    <w:rsid w:val="00954558"/>
    <w:rsid w:val="00966FCF"/>
    <w:rsid w:val="00977886"/>
    <w:rsid w:val="00982A72"/>
    <w:rsid w:val="009B44A9"/>
    <w:rsid w:val="009B4C9C"/>
    <w:rsid w:val="009B731B"/>
    <w:rsid w:val="009E3AD1"/>
    <w:rsid w:val="009F0AFF"/>
    <w:rsid w:val="009F47B3"/>
    <w:rsid w:val="00A0116A"/>
    <w:rsid w:val="00A01CAD"/>
    <w:rsid w:val="00A14B8E"/>
    <w:rsid w:val="00A442AA"/>
    <w:rsid w:val="00A455CF"/>
    <w:rsid w:val="00A7483B"/>
    <w:rsid w:val="00A86084"/>
    <w:rsid w:val="00AA1DA7"/>
    <w:rsid w:val="00AB48FF"/>
    <w:rsid w:val="00AD4657"/>
    <w:rsid w:val="00AE28BA"/>
    <w:rsid w:val="00AE4557"/>
    <w:rsid w:val="00AF2758"/>
    <w:rsid w:val="00AF7179"/>
    <w:rsid w:val="00B019DD"/>
    <w:rsid w:val="00B06369"/>
    <w:rsid w:val="00B16921"/>
    <w:rsid w:val="00B309C2"/>
    <w:rsid w:val="00B315D1"/>
    <w:rsid w:val="00B452F1"/>
    <w:rsid w:val="00B570F1"/>
    <w:rsid w:val="00B802A8"/>
    <w:rsid w:val="00B83B0A"/>
    <w:rsid w:val="00BA1FCD"/>
    <w:rsid w:val="00BA420F"/>
    <w:rsid w:val="00BC395E"/>
    <w:rsid w:val="00BC5ABE"/>
    <w:rsid w:val="00BE3193"/>
    <w:rsid w:val="00C24917"/>
    <w:rsid w:val="00C26623"/>
    <w:rsid w:val="00C30DC5"/>
    <w:rsid w:val="00C66BCB"/>
    <w:rsid w:val="00C66D7A"/>
    <w:rsid w:val="00C85A09"/>
    <w:rsid w:val="00C87B16"/>
    <w:rsid w:val="00CA2179"/>
    <w:rsid w:val="00CB2B2F"/>
    <w:rsid w:val="00CD76B6"/>
    <w:rsid w:val="00CD796D"/>
    <w:rsid w:val="00CD7B97"/>
    <w:rsid w:val="00CE432C"/>
    <w:rsid w:val="00CE7D77"/>
    <w:rsid w:val="00CF734C"/>
    <w:rsid w:val="00CF78CD"/>
    <w:rsid w:val="00D303FE"/>
    <w:rsid w:val="00D53248"/>
    <w:rsid w:val="00D55762"/>
    <w:rsid w:val="00D56218"/>
    <w:rsid w:val="00D61E8E"/>
    <w:rsid w:val="00D677DB"/>
    <w:rsid w:val="00D82D39"/>
    <w:rsid w:val="00DA259C"/>
    <w:rsid w:val="00DA4FEE"/>
    <w:rsid w:val="00DB4F5A"/>
    <w:rsid w:val="00DC46FA"/>
    <w:rsid w:val="00DE20FC"/>
    <w:rsid w:val="00DE35BF"/>
    <w:rsid w:val="00DE3798"/>
    <w:rsid w:val="00DF19FF"/>
    <w:rsid w:val="00E053F9"/>
    <w:rsid w:val="00E1452A"/>
    <w:rsid w:val="00E241CB"/>
    <w:rsid w:val="00E510D5"/>
    <w:rsid w:val="00E54F62"/>
    <w:rsid w:val="00E57A8B"/>
    <w:rsid w:val="00E62284"/>
    <w:rsid w:val="00E67B27"/>
    <w:rsid w:val="00E800DC"/>
    <w:rsid w:val="00E91BA6"/>
    <w:rsid w:val="00EC62EF"/>
    <w:rsid w:val="00ED38A0"/>
    <w:rsid w:val="00EE0F63"/>
    <w:rsid w:val="00EF310A"/>
    <w:rsid w:val="00F0069C"/>
    <w:rsid w:val="00F1081D"/>
    <w:rsid w:val="00F10E44"/>
    <w:rsid w:val="00F15CD6"/>
    <w:rsid w:val="00F26C4B"/>
    <w:rsid w:val="00F31292"/>
    <w:rsid w:val="00F34D3D"/>
    <w:rsid w:val="00F50A84"/>
    <w:rsid w:val="00F563DA"/>
    <w:rsid w:val="00F91F2C"/>
    <w:rsid w:val="00FA3A67"/>
    <w:rsid w:val="00FA5763"/>
    <w:rsid w:val="00FB181F"/>
    <w:rsid w:val="00FB47F3"/>
    <w:rsid w:val="00FE26BC"/>
    <w:rsid w:val="00FF5CD5"/>
    <w:rsid w:val="00FF7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3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CC"/>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qFormat/>
    <w:rsid w:val="00E241CB"/>
    <w:pPr>
      <w:keepNext/>
      <w:jc w:val="center"/>
      <w:outlineLvl w:val="0"/>
    </w:pPr>
    <w:rPr>
      <w:b/>
      <w:caps/>
      <w:sz w:val="32"/>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3A0DCC"/>
    <w:pPr>
      <w:spacing w:after="120" w:line="480" w:lineRule="auto"/>
    </w:pPr>
    <w:rPr>
      <w:lang w:val="x-none"/>
    </w:rPr>
  </w:style>
  <w:style w:type="character" w:customStyle="1" w:styleId="BodyText2Char">
    <w:name w:val="Body Text 2 Char"/>
    <w:basedOn w:val="DefaultParagraphFont"/>
    <w:link w:val="BodyText2"/>
    <w:semiHidden/>
    <w:rsid w:val="003A0DCC"/>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3A0DCC"/>
    <w:pPr>
      <w:tabs>
        <w:tab w:val="center" w:pos="4153"/>
        <w:tab w:val="right" w:pos="8306"/>
      </w:tabs>
    </w:pPr>
  </w:style>
  <w:style w:type="character" w:customStyle="1" w:styleId="FooterChar">
    <w:name w:val="Footer Char"/>
    <w:basedOn w:val="DefaultParagraphFont"/>
    <w:link w:val="Footer"/>
    <w:uiPriority w:val="99"/>
    <w:rsid w:val="003A0DCC"/>
    <w:rPr>
      <w:rFonts w:eastAsia="Times New Roman" w:cs="Times New Roman"/>
      <w:kern w:val="0"/>
      <w:szCs w:val="24"/>
      <w:lang w:val="lv-LV" w:eastAsia="ru-RU"/>
      <w14:ligatures w14:val="none"/>
    </w:rPr>
  </w:style>
  <w:style w:type="table" w:styleId="TableGrid">
    <w:name w:val="Table Grid"/>
    <w:basedOn w:val="TableNormal"/>
    <w:uiPriority w:val="39"/>
    <w:rsid w:val="003A0DC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8A0"/>
    <w:rPr>
      <w:sz w:val="16"/>
      <w:szCs w:val="16"/>
    </w:rPr>
  </w:style>
  <w:style w:type="paragraph" w:styleId="CommentText">
    <w:name w:val="annotation text"/>
    <w:basedOn w:val="Normal"/>
    <w:link w:val="CommentTextChar"/>
    <w:uiPriority w:val="99"/>
    <w:semiHidden/>
    <w:unhideWhenUsed/>
    <w:rsid w:val="00ED38A0"/>
    <w:rPr>
      <w:sz w:val="20"/>
      <w:szCs w:val="20"/>
    </w:rPr>
  </w:style>
  <w:style w:type="character" w:customStyle="1" w:styleId="CommentTextChar">
    <w:name w:val="Comment Text Char"/>
    <w:basedOn w:val="DefaultParagraphFont"/>
    <w:link w:val="CommentText"/>
    <w:uiPriority w:val="99"/>
    <w:semiHidden/>
    <w:rsid w:val="00ED38A0"/>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D38A0"/>
    <w:rPr>
      <w:b/>
      <w:bCs/>
    </w:rPr>
  </w:style>
  <w:style w:type="character" w:customStyle="1" w:styleId="CommentSubjectChar">
    <w:name w:val="Comment Subject Char"/>
    <w:basedOn w:val="CommentTextChar"/>
    <w:link w:val="CommentSubject"/>
    <w:uiPriority w:val="99"/>
    <w:semiHidden/>
    <w:rsid w:val="00ED38A0"/>
    <w:rPr>
      <w:rFonts w:eastAsia="Times New Roman" w:cs="Times New Roman"/>
      <w:b/>
      <w:bCs/>
      <w:kern w:val="0"/>
      <w:sz w:val="20"/>
      <w:szCs w:val="20"/>
      <w:lang w:val="lv-LV" w:eastAsia="ru-RU"/>
      <w14:ligatures w14:val="none"/>
    </w:rPr>
  </w:style>
  <w:style w:type="paragraph" w:customStyle="1" w:styleId="Normal1">
    <w:name w:val="Normal1"/>
    <w:basedOn w:val="Normal"/>
    <w:rsid w:val="008D5ECD"/>
    <w:pPr>
      <w:spacing w:before="100" w:beforeAutospacing="1" w:after="100" w:afterAutospacing="1"/>
    </w:pPr>
    <w:rPr>
      <w:lang w:val="en-US" w:eastAsia="en-US"/>
    </w:rPr>
  </w:style>
  <w:style w:type="character" w:styleId="Hyperlink">
    <w:name w:val="Hyperlink"/>
    <w:basedOn w:val="DefaultParagraphFont"/>
    <w:uiPriority w:val="99"/>
    <w:unhideWhenUsed/>
    <w:rsid w:val="00901C9D"/>
    <w:rPr>
      <w:color w:val="0563C1" w:themeColor="hyperlink"/>
      <w:u w:val="single"/>
    </w:rPr>
  </w:style>
  <w:style w:type="paragraph" w:customStyle="1" w:styleId="tv213">
    <w:name w:val="tv213"/>
    <w:basedOn w:val="Normal"/>
    <w:rsid w:val="004D2F8A"/>
    <w:pPr>
      <w:spacing w:before="100" w:beforeAutospacing="1" w:after="100" w:afterAutospacing="1"/>
    </w:pPr>
    <w:rPr>
      <w:lang w:eastAsia="lv-LV"/>
    </w:rPr>
  </w:style>
  <w:style w:type="paragraph" w:styleId="Revision">
    <w:name w:val="Revision"/>
    <w:hidden/>
    <w:uiPriority w:val="99"/>
    <w:semiHidden/>
    <w:rsid w:val="0001425D"/>
    <w:pPr>
      <w:spacing w:after="0" w:line="240" w:lineRule="auto"/>
    </w:pPr>
    <w:rPr>
      <w:rFonts w:eastAsia="Times New Roman" w:cs="Times New Roman"/>
      <w:kern w:val="0"/>
      <w:szCs w:val="24"/>
      <w:lang w:val="lv-LV" w:eastAsia="ru-RU"/>
      <w14:ligatures w14:val="none"/>
    </w:rPr>
  </w:style>
  <w:style w:type="paragraph" w:styleId="Header">
    <w:name w:val="header"/>
    <w:basedOn w:val="Normal"/>
    <w:link w:val="HeaderChar"/>
    <w:uiPriority w:val="99"/>
    <w:unhideWhenUsed/>
    <w:rsid w:val="00D61E8E"/>
    <w:pPr>
      <w:tabs>
        <w:tab w:val="center" w:pos="4680"/>
        <w:tab w:val="right" w:pos="9360"/>
      </w:tabs>
    </w:pPr>
  </w:style>
  <w:style w:type="character" w:customStyle="1" w:styleId="HeaderChar">
    <w:name w:val="Header Char"/>
    <w:basedOn w:val="DefaultParagraphFont"/>
    <w:link w:val="Header"/>
    <w:uiPriority w:val="99"/>
    <w:rsid w:val="00D61E8E"/>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2C1302"/>
    <w:rPr>
      <w:color w:val="605E5C"/>
      <w:shd w:val="clear" w:color="auto" w:fill="E1DFDD"/>
    </w:rPr>
  </w:style>
  <w:style w:type="character" w:styleId="FollowedHyperlink">
    <w:name w:val="FollowedHyperlink"/>
    <w:basedOn w:val="DefaultParagraphFont"/>
    <w:uiPriority w:val="99"/>
    <w:semiHidden/>
    <w:unhideWhenUsed/>
    <w:rsid w:val="002C1302"/>
    <w:rPr>
      <w:color w:val="954F72" w:themeColor="followedHyperlink"/>
      <w:u w:val="single"/>
    </w:rPr>
  </w:style>
  <w:style w:type="paragraph" w:styleId="ListParagraph">
    <w:name w:val="List Paragraph"/>
    <w:basedOn w:val="Normal"/>
    <w:uiPriority w:val="34"/>
    <w:qFormat/>
    <w:rsid w:val="004A120F"/>
    <w:pPr>
      <w:spacing w:after="160" w:line="256" w:lineRule="auto"/>
      <w:ind w:left="720"/>
      <w:contextualSpacing/>
    </w:pPr>
    <w:rPr>
      <w:rFonts w:eastAsiaTheme="minorHAnsi" w:cstheme="minorBidi"/>
      <w:szCs w:val="22"/>
      <w:lang w:eastAsia="en-US"/>
    </w:rPr>
  </w:style>
  <w:style w:type="character" w:customStyle="1" w:styleId="st">
    <w:name w:val="st"/>
    <w:basedOn w:val="DefaultParagraphFont"/>
    <w:rsid w:val="00E241CB"/>
  </w:style>
  <w:style w:type="character" w:styleId="Emphasis">
    <w:name w:val="Emphasis"/>
    <w:basedOn w:val="DefaultParagraphFont"/>
    <w:uiPriority w:val="20"/>
    <w:qFormat/>
    <w:rsid w:val="00E241CB"/>
    <w:rPr>
      <w:i/>
      <w:iCs/>
    </w:rPr>
  </w:style>
  <w:style w:type="character" w:customStyle="1" w:styleId="Heading1Char">
    <w:name w:val="Heading 1 Char"/>
    <w:basedOn w:val="DefaultParagraphFont"/>
    <w:link w:val="Heading1"/>
    <w:rsid w:val="00E241CB"/>
    <w:rPr>
      <w:rFonts w:eastAsia="Times New Roman" w:cs="Times New Roman"/>
      <w:b/>
      <w:caps/>
      <w:kern w:val="0"/>
      <w:sz w:val="32"/>
      <w:szCs w:val="28"/>
      <w:lang w:val="lv-LV"/>
      <w14:ligatures w14:val="none"/>
    </w:rPr>
  </w:style>
  <w:style w:type="paragraph" w:customStyle="1" w:styleId="title-bold">
    <w:name w:val="title-bold"/>
    <w:basedOn w:val="Normal"/>
    <w:rsid w:val="00D677D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5922">
      <w:bodyDiv w:val="1"/>
      <w:marLeft w:val="0"/>
      <w:marRight w:val="0"/>
      <w:marTop w:val="0"/>
      <w:marBottom w:val="0"/>
      <w:divBdr>
        <w:top w:val="none" w:sz="0" w:space="0" w:color="auto"/>
        <w:left w:val="none" w:sz="0" w:space="0" w:color="auto"/>
        <w:bottom w:val="none" w:sz="0" w:space="0" w:color="auto"/>
        <w:right w:val="none" w:sz="0" w:space="0" w:color="auto"/>
      </w:divBdr>
    </w:div>
    <w:div w:id="72166244">
      <w:bodyDiv w:val="1"/>
      <w:marLeft w:val="0"/>
      <w:marRight w:val="0"/>
      <w:marTop w:val="0"/>
      <w:marBottom w:val="0"/>
      <w:divBdr>
        <w:top w:val="none" w:sz="0" w:space="0" w:color="auto"/>
        <w:left w:val="none" w:sz="0" w:space="0" w:color="auto"/>
        <w:bottom w:val="none" w:sz="0" w:space="0" w:color="auto"/>
        <w:right w:val="none" w:sz="0" w:space="0" w:color="auto"/>
      </w:divBdr>
    </w:div>
    <w:div w:id="426076956">
      <w:bodyDiv w:val="1"/>
      <w:marLeft w:val="0"/>
      <w:marRight w:val="0"/>
      <w:marTop w:val="0"/>
      <w:marBottom w:val="0"/>
      <w:divBdr>
        <w:top w:val="none" w:sz="0" w:space="0" w:color="auto"/>
        <w:left w:val="none" w:sz="0" w:space="0" w:color="auto"/>
        <w:bottom w:val="none" w:sz="0" w:space="0" w:color="auto"/>
        <w:right w:val="none" w:sz="0" w:space="0" w:color="auto"/>
      </w:divBdr>
    </w:div>
    <w:div w:id="492188137">
      <w:bodyDiv w:val="1"/>
      <w:marLeft w:val="0"/>
      <w:marRight w:val="0"/>
      <w:marTop w:val="0"/>
      <w:marBottom w:val="0"/>
      <w:divBdr>
        <w:top w:val="none" w:sz="0" w:space="0" w:color="auto"/>
        <w:left w:val="none" w:sz="0" w:space="0" w:color="auto"/>
        <w:bottom w:val="none" w:sz="0" w:space="0" w:color="auto"/>
        <w:right w:val="none" w:sz="0" w:space="0" w:color="auto"/>
      </w:divBdr>
    </w:div>
    <w:div w:id="517937457">
      <w:bodyDiv w:val="1"/>
      <w:marLeft w:val="0"/>
      <w:marRight w:val="0"/>
      <w:marTop w:val="0"/>
      <w:marBottom w:val="0"/>
      <w:divBdr>
        <w:top w:val="none" w:sz="0" w:space="0" w:color="auto"/>
        <w:left w:val="none" w:sz="0" w:space="0" w:color="auto"/>
        <w:bottom w:val="none" w:sz="0" w:space="0" w:color="auto"/>
        <w:right w:val="none" w:sz="0" w:space="0" w:color="auto"/>
      </w:divBdr>
    </w:div>
    <w:div w:id="636690770">
      <w:bodyDiv w:val="1"/>
      <w:marLeft w:val="0"/>
      <w:marRight w:val="0"/>
      <w:marTop w:val="0"/>
      <w:marBottom w:val="0"/>
      <w:divBdr>
        <w:top w:val="none" w:sz="0" w:space="0" w:color="auto"/>
        <w:left w:val="none" w:sz="0" w:space="0" w:color="auto"/>
        <w:bottom w:val="none" w:sz="0" w:space="0" w:color="auto"/>
        <w:right w:val="none" w:sz="0" w:space="0" w:color="auto"/>
      </w:divBdr>
    </w:div>
    <w:div w:id="770514445">
      <w:bodyDiv w:val="1"/>
      <w:marLeft w:val="0"/>
      <w:marRight w:val="0"/>
      <w:marTop w:val="0"/>
      <w:marBottom w:val="0"/>
      <w:divBdr>
        <w:top w:val="none" w:sz="0" w:space="0" w:color="auto"/>
        <w:left w:val="none" w:sz="0" w:space="0" w:color="auto"/>
        <w:bottom w:val="none" w:sz="0" w:space="0" w:color="auto"/>
        <w:right w:val="none" w:sz="0" w:space="0" w:color="auto"/>
      </w:divBdr>
    </w:div>
    <w:div w:id="1306620981">
      <w:bodyDiv w:val="1"/>
      <w:marLeft w:val="0"/>
      <w:marRight w:val="0"/>
      <w:marTop w:val="0"/>
      <w:marBottom w:val="0"/>
      <w:divBdr>
        <w:top w:val="none" w:sz="0" w:space="0" w:color="auto"/>
        <w:left w:val="none" w:sz="0" w:space="0" w:color="auto"/>
        <w:bottom w:val="none" w:sz="0" w:space="0" w:color="auto"/>
        <w:right w:val="none" w:sz="0" w:space="0" w:color="auto"/>
      </w:divBdr>
    </w:div>
    <w:div w:id="1388341553">
      <w:bodyDiv w:val="1"/>
      <w:marLeft w:val="0"/>
      <w:marRight w:val="0"/>
      <w:marTop w:val="0"/>
      <w:marBottom w:val="0"/>
      <w:divBdr>
        <w:top w:val="none" w:sz="0" w:space="0" w:color="auto"/>
        <w:left w:val="none" w:sz="0" w:space="0" w:color="auto"/>
        <w:bottom w:val="none" w:sz="0" w:space="0" w:color="auto"/>
        <w:right w:val="none" w:sz="0" w:space="0" w:color="auto"/>
      </w:divBdr>
    </w:div>
    <w:div w:id="1462306272">
      <w:bodyDiv w:val="1"/>
      <w:marLeft w:val="0"/>
      <w:marRight w:val="0"/>
      <w:marTop w:val="0"/>
      <w:marBottom w:val="0"/>
      <w:divBdr>
        <w:top w:val="none" w:sz="0" w:space="0" w:color="auto"/>
        <w:left w:val="none" w:sz="0" w:space="0" w:color="auto"/>
        <w:bottom w:val="none" w:sz="0" w:space="0" w:color="auto"/>
        <w:right w:val="none" w:sz="0" w:space="0" w:color="auto"/>
      </w:divBdr>
    </w:div>
    <w:div w:id="1741247521">
      <w:bodyDiv w:val="1"/>
      <w:marLeft w:val="0"/>
      <w:marRight w:val="0"/>
      <w:marTop w:val="0"/>
      <w:marBottom w:val="0"/>
      <w:divBdr>
        <w:top w:val="none" w:sz="0" w:space="0" w:color="auto"/>
        <w:left w:val="none" w:sz="0" w:space="0" w:color="auto"/>
        <w:bottom w:val="none" w:sz="0" w:space="0" w:color="auto"/>
        <w:right w:val="none" w:sz="0" w:space="0" w:color="auto"/>
      </w:divBdr>
    </w:div>
    <w:div w:id="1880362084">
      <w:bodyDiv w:val="1"/>
      <w:marLeft w:val="0"/>
      <w:marRight w:val="0"/>
      <w:marTop w:val="0"/>
      <w:marBottom w:val="0"/>
      <w:divBdr>
        <w:top w:val="none" w:sz="0" w:space="0" w:color="auto"/>
        <w:left w:val="none" w:sz="0" w:space="0" w:color="auto"/>
        <w:bottom w:val="none" w:sz="0" w:space="0" w:color="auto"/>
        <w:right w:val="none" w:sz="0" w:space="0" w:color="auto"/>
      </w:divBdr>
    </w:div>
    <w:div w:id="20454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208015" TargetMode="External"/><Relationship Id="rId13" Type="http://schemas.openxmlformats.org/officeDocument/2006/relationships/hyperlink" Target="https://eur-lex.europa.eu/legal-ontent/LV/TXT/PDF/?uri=OJ:JOC_2019_380_R_0001" TargetMode="External"/><Relationship Id="rId3" Type="http://schemas.openxmlformats.org/officeDocument/2006/relationships/settings" Target="settings.xml"/><Relationship Id="rId7" Type="http://schemas.openxmlformats.org/officeDocument/2006/relationships/hyperlink" Target="https://manas.tiesas.lv/eTiesasMvc/nolemumi/pdf/510769.pdf" TargetMode="External"/><Relationship Id="rId12" Type="http://schemas.openxmlformats.org/officeDocument/2006/relationships/hyperlink" Target="https://curia.europa.eu/juris/document/document.jsf?text=&amp;docid=227295&amp;pageIndex=0&amp;doclang=LV&amp;mode=lst&amp;dir=&amp;occ=first&amp;part=1&amp;cid=4148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uris/document/document.jsf;jsessionid=675ACC1A70AC22567A3FFC210C0E356B?text=&amp;docid=227295&amp;pageIndex=0&amp;doclang=lv&amp;mode=lst&amp;dir=&amp;occ=first&amp;part=1&amp;cid=236671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t.gov.lv/downloadlawfile/3835" TargetMode="External"/><Relationship Id="rId4" Type="http://schemas.openxmlformats.org/officeDocument/2006/relationships/webSettings" Target="webSettings.xml"/><Relationship Id="rId9" Type="http://schemas.openxmlformats.org/officeDocument/2006/relationships/hyperlink" Target="https://hudoc.echr.coe.int/fre?i=001-102115" TargetMode="External"/><Relationship Id="rId14" Type="http://schemas.openxmlformats.org/officeDocument/2006/relationships/hyperlink" Target="https://manas.tiesas.lv/eTiesasMvc/nolemumi/pdf/4586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16146</Words>
  <Characters>9204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2023-09-08T10:18:00Z</dcterms:created>
  <dcterms:modified xsi:type="dcterms:W3CDTF">2023-09-08T10:18:00Z</dcterms:modified>
</cp:coreProperties>
</file>