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41E6" w14:textId="77777777" w:rsidR="00A5244D" w:rsidRPr="00A5244D" w:rsidRDefault="00A5244D" w:rsidP="00A5244D">
      <w:pPr>
        <w:spacing w:line="276" w:lineRule="auto"/>
        <w:jc w:val="both"/>
        <w:rPr>
          <w:b/>
          <w:bCs/>
        </w:rPr>
      </w:pPr>
      <w:r w:rsidRPr="00A5244D">
        <w:rPr>
          <w:b/>
          <w:bCs/>
        </w:rPr>
        <w:t>Rīcība ar dokumenta oriģinālu, kas iegūts no civillietas ekspertīzes veikšanai kriminālprocesā</w:t>
      </w:r>
    </w:p>
    <w:p w14:paraId="79F006FA" w14:textId="4266B058" w:rsidR="00F5470A" w:rsidRPr="00D52256" w:rsidRDefault="00A5244D" w:rsidP="00A5244D">
      <w:pPr>
        <w:spacing w:line="276" w:lineRule="auto"/>
        <w:jc w:val="both"/>
      </w:pPr>
      <w:r w:rsidRPr="00A5244D">
        <w:t xml:space="preserve">Kriminālprocesā izmeklēšanas darbības rezultātā no civillietas iegūts dokumenta oriģināls nav iznīcināms. </w:t>
      </w:r>
    </w:p>
    <w:p w14:paraId="650F7303" w14:textId="7996C960" w:rsidR="00F5470A" w:rsidRPr="001303ED" w:rsidRDefault="00F5470A" w:rsidP="00A5244D">
      <w:pPr>
        <w:pStyle w:val="BodyText2"/>
        <w:spacing w:after="0" w:line="276" w:lineRule="auto"/>
      </w:pPr>
    </w:p>
    <w:p w14:paraId="42099226" w14:textId="77777777" w:rsidR="00A5244D" w:rsidRPr="00A5244D" w:rsidRDefault="00F5470A" w:rsidP="00A5244D">
      <w:pPr>
        <w:spacing w:line="276" w:lineRule="auto"/>
        <w:jc w:val="center"/>
        <w:rPr>
          <w:b/>
        </w:rPr>
      </w:pPr>
      <w:r w:rsidRPr="00A5244D">
        <w:rPr>
          <w:b/>
        </w:rPr>
        <w:t>Latvijas Republikas Senāt</w:t>
      </w:r>
      <w:r w:rsidR="00D53A41" w:rsidRPr="00A5244D">
        <w:rPr>
          <w:b/>
        </w:rPr>
        <w:t>a</w:t>
      </w:r>
      <w:r w:rsidR="00A5244D" w:rsidRPr="00A5244D">
        <w:rPr>
          <w:b/>
        </w:rPr>
        <w:t xml:space="preserve"> </w:t>
      </w:r>
    </w:p>
    <w:p w14:paraId="4405400E" w14:textId="77777777" w:rsidR="00A5244D" w:rsidRPr="00A5244D" w:rsidRDefault="00A5244D" w:rsidP="00A5244D">
      <w:pPr>
        <w:spacing w:line="276" w:lineRule="auto"/>
        <w:jc w:val="center"/>
        <w:rPr>
          <w:b/>
        </w:rPr>
      </w:pPr>
      <w:r w:rsidRPr="00A5244D">
        <w:rPr>
          <w:b/>
        </w:rPr>
        <w:t>Krimināllietu departamenta</w:t>
      </w:r>
    </w:p>
    <w:p w14:paraId="1CBC28FC" w14:textId="70673FBE" w:rsidR="00F5470A" w:rsidRPr="00A5244D" w:rsidRDefault="00A5244D" w:rsidP="00A5244D">
      <w:pPr>
        <w:spacing w:line="276" w:lineRule="auto"/>
        <w:jc w:val="center"/>
        <w:rPr>
          <w:b/>
        </w:rPr>
      </w:pPr>
      <w:r w:rsidRPr="00A5244D">
        <w:rPr>
          <w:b/>
          <w:color w:val="000000" w:themeColor="text1"/>
        </w:rPr>
        <w:t>2023. gada 13. jūnija</w:t>
      </w:r>
    </w:p>
    <w:p w14:paraId="797D1ECA" w14:textId="77777777" w:rsidR="00F5470A" w:rsidRPr="00A5244D" w:rsidRDefault="00F5470A" w:rsidP="00A5244D">
      <w:pPr>
        <w:spacing w:line="276" w:lineRule="auto"/>
        <w:jc w:val="center"/>
        <w:rPr>
          <w:b/>
        </w:rPr>
      </w:pPr>
      <w:r w:rsidRPr="00A5244D">
        <w:rPr>
          <w:b/>
        </w:rPr>
        <w:t>LĒMUMS</w:t>
      </w:r>
    </w:p>
    <w:p w14:paraId="50132404" w14:textId="7410601D" w:rsidR="00F5470A" w:rsidRPr="00A5244D" w:rsidRDefault="00A5244D" w:rsidP="00A5244D">
      <w:pPr>
        <w:spacing w:line="276" w:lineRule="auto"/>
        <w:jc w:val="center"/>
      </w:pPr>
      <w:r w:rsidRPr="00A5244D">
        <w:rPr>
          <w:b/>
        </w:rPr>
        <w:t>Lieta Nr. 11360017819, SKK-204/2023</w:t>
      </w:r>
    </w:p>
    <w:p w14:paraId="57C0A4C1" w14:textId="70B3AA16" w:rsidR="00A5244D" w:rsidRPr="00A5244D" w:rsidRDefault="00BE15E6" w:rsidP="00A5244D">
      <w:pPr>
        <w:spacing w:line="276" w:lineRule="auto"/>
        <w:jc w:val="center"/>
        <w:rPr>
          <w:b/>
          <w:color w:val="000000" w:themeColor="text1"/>
        </w:rPr>
      </w:pPr>
      <w:hyperlink r:id="rId7" w:history="1">
        <w:r w:rsidR="00A5244D" w:rsidRPr="00A5244D">
          <w:rPr>
            <w:rStyle w:val="Hyperlink"/>
            <w:shd w:val="clear" w:color="auto" w:fill="FFFFFF"/>
          </w:rPr>
          <w:t>ECLI:LV:AT:2023:0613.11360017819.6.L</w:t>
        </w:r>
      </w:hyperlink>
    </w:p>
    <w:p w14:paraId="09599861" w14:textId="77777777" w:rsidR="00F5470A" w:rsidRPr="00072808" w:rsidRDefault="00F5470A" w:rsidP="00A5244D">
      <w:pPr>
        <w:spacing w:line="276" w:lineRule="auto"/>
        <w:ind w:firstLine="567"/>
        <w:jc w:val="both"/>
        <w:rPr>
          <w:rFonts w:asciiTheme="majorBidi" w:hAnsiTheme="majorBidi" w:cstheme="majorBidi"/>
        </w:rPr>
      </w:pPr>
    </w:p>
    <w:p w14:paraId="613F8868" w14:textId="3E188B4B" w:rsidR="00421935" w:rsidRPr="00072808" w:rsidRDefault="00F5470A" w:rsidP="00A5244D">
      <w:pPr>
        <w:spacing w:line="276" w:lineRule="auto"/>
        <w:ind w:firstLine="720"/>
        <w:jc w:val="both"/>
        <w:rPr>
          <w:rFonts w:asciiTheme="majorBidi" w:hAnsiTheme="majorBidi" w:cstheme="majorBidi"/>
        </w:rPr>
      </w:pPr>
      <w:r w:rsidRPr="00072808">
        <w:rPr>
          <w:rFonts w:asciiTheme="majorBidi" w:hAnsiTheme="majorBidi" w:cstheme="majorBidi"/>
        </w:rPr>
        <w:t>Senāts šādā sastāvā: senatore referente Sandra Kaija, senator</w:t>
      </w:r>
      <w:r w:rsidR="00F35A92">
        <w:rPr>
          <w:rFonts w:asciiTheme="majorBidi" w:hAnsiTheme="majorBidi" w:cstheme="majorBidi"/>
        </w:rPr>
        <w:t>i</w:t>
      </w:r>
      <w:r w:rsidRPr="00072808">
        <w:rPr>
          <w:rFonts w:asciiTheme="majorBidi" w:hAnsiTheme="majorBidi" w:cstheme="majorBidi"/>
        </w:rPr>
        <w:t xml:space="preserve"> </w:t>
      </w:r>
      <w:r w:rsidR="00F35A92">
        <w:rPr>
          <w:rFonts w:asciiTheme="majorBidi" w:hAnsiTheme="majorBidi" w:cstheme="majorBidi"/>
        </w:rPr>
        <w:t>Ivars Bičkovičs un Ai</w:t>
      </w:r>
      <w:r w:rsidR="00CA44EC">
        <w:rPr>
          <w:rFonts w:asciiTheme="majorBidi" w:hAnsiTheme="majorBidi" w:cstheme="majorBidi"/>
        </w:rPr>
        <w:t>ja Branta</w:t>
      </w:r>
    </w:p>
    <w:p w14:paraId="6781BD54" w14:textId="77777777" w:rsidR="00421935" w:rsidRPr="00072808" w:rsidRDefault="00421935" w:rsidP="00421935">
      <w:pPr>
        <w:spacing w:line="276" w:lineRule="auto"/>
        <w:ind w:firstLine="720"/>
        <w:jc w:val="both"/>
        <w:rPr>
          <w:rFonts w:asciiTheme="majorBidi" w:hAnsiTheme="majorBidi" w:cstheme="majorBidi"/>
        </w:rPr>
      </w:pPr>
    </w:p>
    <w:p w14:paraId="6D67E64B" w14:textId="7292EF97" w:rsidR="00F5470A" w:rsidRPr="00072808" w:rsidRDefault="00F5470A" w:rsidP="00421935">
      <w:pPr>
        <w:spacing w:line="276" w:lineRule="auto"/>
        <w:ind w:firstLine="720"/>
        <w:jc w:val="both"/>
        <w:rPr>
          <w:rFonts w:asciiTheme="majorBidi" w:hAnsiTheme="majorBidi" w:cstheme="majorBidi"/>
        </w:rPr>
      </w:pPr>
      <w:r w:rsidRPr="00072808">
        <w:rPr>
          <w:rFonts w:asciiTheme="majorBidi" w:hAnsiTheme="majorBidi" w:cstheme="majorBidi"/>
        </w:rPr>
        <w:t>izskatīja rakstveida procesā krimināllietu sakarā ar</w:t>
      </w:r>
      <w:r w:rsidR="00B96404">
        <w:rPr>
          <w:rFonts w:asciiTheme="majorBidi" w:hAnsiTheme="majorBidi" w:cstheme="majorBidi"/>
        </w:rPr>
        <w:t xml:space="preserve"> </w:t>
      </w:r>
      <w:r w:rsidR="00CA44EC">
        <w:rPr>
          <w:rFonts w:asciiTheme="majorBidi" w:hAnsiTheme="majorBidi" w:cstheme="majorBidi"/>
        </w:rPr>
        <w:t xml:space="preserve">Dienvidkurzemes prokuratūras prokurora Kaspara Didža </w:t>
      </w:r>
      <w:r w:rsidR="00FE2B2C">
        <w:rPr>
          <w:rFonts w:asciiTheme="majorBidi" w:hAnsiTheme="majorBidi" w:cstheme="majorBidi"/>
        </w:rPr>
        <w:t xml:space="preserve">kasācijas protestu un cietušā </w:t>
      </w:r>
      <w:r w:rsidR="00A5244D">
        <w:rPr>
          <w:rFonts w:asciiTheme="majorBidi" w:hAnsiTheme="majorBidi" w:cstheme="majorBidi"/>
        </w:rPr>
        <w:t>[pers. </w:t>
      </w:r>
      <w:r w:rsidR="00A5244D">
        <w:t>A]</w:t>
      </w:r>
      <w:r w:rsidR="00FE2B2C">
        <w:rPr>
          <w:rFonts w:asciiTheme="majorBidi" w:hAnsiTheme="majorBidi" w:cstheme="majorBidi"/>
        </w:rPr>
        <w:t xml:space="preserve"> </w:t>
      </w:r>
      <w:r w:rsidRPr="00072808">
        <w:rPr>
          <w:rFonts w:asciiTheme="majorBidi" w:hAnsiTheme="majorBidi" w:cstheme="majorBidi"/>
        </w:rPr>
        <w:t xml:space="preserve">kasācijas </w:t>
      </w:r>
      <w:r w:rsidR="00B72EE6" w:rsidRPr="00072808">
        <w:rPr>
          <w:rFonts w:asciiTheme="majorBidi" w:hAnsiTheme="majorBidi" w:cstheme="majorBidi"/>
        </w:rPr>
        <w:t>sūdzīb</w:t>
      </w:r>
      <w:r w:rsidR="00FE2B2C">
        <w:rPr>
          <w:rFonts w:asciiTheme="majorBidi" w:hAnsiTheme="majorBidi" w:cstheme="majorBidi"/>
        </w:rPr>
        <w:t>u</w:t>
      </w:r>
      <w:r w:rsidR="00B72EE6" w:rsidRPr="00072808">
        <w:rPr>
          <w:rFonts w:asciiTheme="majorBidi" w:hAnsiTheme="majorBidi" w:cstheme="majorBidi"/>
        </w:rPr>
        <w:t xml:space="preserve"> </w:t>
      </w:r>
      <w:r w:rsidRPr="00072808">
        <w:rPr>
          <w:rFonts w:asciiTheme="majorBidi" w:hAnsiTheme="majorBidi" w:cstheme="majorBidi"/>
        </w:rPr>
        <w:t xml:space="preserve">par </w:t>
      </w:r>
      <w:r w:rsidR="00FE2B2C">
        <w:rPr>
          <w:rFonts w:asciiTheme="majorBidi" w:hAnsiTheme="majorBidi" w:cstheme="majorBidi"/>
        </w:rPr>
        <w:t>Kurzemes</w:t>
      </w:r>
      <w:r w:rsidRPr="00072808">
        <w:rPr>
          <w:rFonts w:asciiTheme="majorBidi" w:hAnsiTheme="majorBidi" w:cstheme="majorBidi"/>
        </w:rPr>
        <w:t xml:space="preserve"> apgabaltiesas 2022. gada </w:t>
      </w:r>
      <w:r w:rsidR="00B44450">
        <w:rPr>
          <w:rFonts w:asciiTheme="majorBidi" w:hAnsiTheme="majorBidi" w:cstheme="majorBidi"/>
        </w:rPr>
        <w:t>21</w:t>
      </w:r>
      <w:r w:rsidRPr="00072808">
        <w:rPr>
          <w:rFonts w:asciiTheme="majorBidi" w:hAnsiTheme="majorBidi" w:cstheme="majorBidi"/>
        </w:rPr>
        <w:t>. </w:t>
      </w:r>
      <w:r w:rsidR="00B44450">
        <w:rPr>
          <w:rFonts w:asciiTheme="majorBidi" w:hAnsiTheme="majorBidi" w:cstheme="majorBidi"/>
        </w:rPr>
        <w:t>decembra</w:t>
      </w:r>
      <w:r w:rsidR="00B72EE6" w:rsidRPr="00072808">
        <w:rPr>
          <w:rFonts w:asciiTheme="majorBidi" w:hAnsiTheme="majorBidi" w:cstheme="majorBidi"/>
        </w:rPr>
        <w:t xml:space="preserve"> lēmumu</w:t>
      </w:r>
      <w:r w:rsidRPr="00072808">
        <w:rPr>
          <w:rFonts w:asciiTheme="majorBidi" w:hAnsiTheme="majorBidi" w:cstheme="majorBidi"/>
        </w:rPr>
        <w:t>.</w:t>
      </w:r>
    </w:p>
    <w:p w14:paraId="45FAC00F" w14:textId="77777777" w:rsidR="00F5470A" w:rsidRPr="00072808" w:rsidRDefault="00F5470A" w:rsidP="00F5470A">
      <w:pPr>
        <w:spacing w:line="276" w:lineRule="auto"/>
        <w:ind w:firstLine="567"/>
        <w:jc w:val="both"/>
        <w:rPr>
          <w:rFonts w:asciiTheme="majorBidi" w:hAnsiTheme="majorBidi" w:cstheme="majorBidi"/>
        </w:rPr>
      </w:pPr>
    </w:p>
    <w:p w14:paraId="3FA6E02F" w14:textId="77777777" w:rsidR="00F5470A" w:rsidRPr="00072808" w:rsidRDefault="00F5470A" w:rsidP="00F5470A">
      <w:pPr>
        <w:spacing w:line="276" w:lineRule="auto"/>
        <w:jc w:val="center"/>
        <w:rPr>
          <w:rFonts w:asciiTheme="majorBidi" w:hAnsiTheme="majorBidi" w:cstheme="majorBidi"/>
          <w:b/>
        </w:rPr>
      </w:pPr>
      <w:r w:rsidRPr="00072808">
        <w:rPr>
          <w:rFonts w:asciiTheme="majorBidi" w:hAnsiTheme="majorBidi" w:cstheme="majorBidi"/>
          <w:b/>
        </w:rPr>
        <w:t>Aprakstošā daļa</w:t>
      </w:r>
    </w:p>
    <w:p w14:paraId="7FF331A7" w14:textId="77777777" w:rsidR="00F5470A" w:rsidRPr="00072808" w:rsidRDefault="00F5470A" w:rsidP="00F5470A">
      <w:pPr>
        <w:spacing w:line="276" w:lineRule="auto"/>
        <w:ind w:firstLine="567"/>
        <w:jc w:val="both"/>
        <w:rPr>
          <w:rFonts w:asciiTheme="majorBidi" w:hAnsiTheme="majorBidi" w:cstheme="majorBidi"/>
        </w:rPr>
      </w:pPr>
    </w:p>
    <w:p w14:paraId="7BA2B3A5" w14:textId="1D680803" w:rsidR="00072808" w:rsidRDefault="00F5470A" w:rsidP="00072808">
      <w:pPr>
        <w:spacing w:line="276" w:lineRule="auto"/>
        <w:ind w:right="-1" w:firstLine="720"/>
        <w:jc w:val="both"/>
      </w:pPr>
      <w:r w:rsidRPr="00072808">
        <w:rPr>
          <w:rFonts w:asciiTheme="majorBidi" w:hAnsiTheme="majorBidi" w:cstheme="majorBidi"/>
        </w:rPr>
        <w:t> </w:t>
      </w:r>
      <w:r w:rsidR="00072808">
        <w:t xml:space="preserve">[1] Ar </w:t>
      </w:r>
      <w:bookmarkStart w:id="0" w:name="_Hlk129701471"/>
      <w:r w:rsidR="00FE2B2C">
        <w:t xml:space="preserve">Kurzemes rajona tiesas </w:t>
      </w:r>
      <w:r w:rsidR="00072808">
        <w:t>202</w:t>
      </w:r>
      <w:r w:rsidR="0018505E">
        <w:t>1</w:t>
      </w:r>
      <w:r w:rsidR="00072808">
        <w:t xml:space="preserve">. gada </w:t>
      </w:r>
      <w:r w:rsidR="00FE2B2C">
        <w:t>27</w:t>
      </w:r>
      <w:r w:rsidR="00072808">
        <w:t>.</w:t>
      </w:r>
      <w:r w:rsidR="0018505E">
        <w:t> </w:t>
      </w:r>
      <w:r w:rsidR="00FE2B2C">
        <w:t>oktobra</w:t>
      </w:r>
      <w:r w:rsidR="00072808">
        <w:t xml:space="preserve"> spriedumu</w:t>
      </w:r>
      <w:bookmarkEnd w:id="0"/>
    </w:p>
    <w:p w14:paraId="2BD2CB09" w14:textId="78CCA1ED" w:rsidR="00072808" w:rsidRDefault="00A5244D" w:rsidP="00072808">
      <w:pPr>
        <w:spacing w:line="276" w:lineRule="auto"/>
        <w:ind w:right="-1" w:firstLine="720"/>
        <w:jc w:val="both"/>
      </w:pPr>
      <w:r>
        <w:t>[pers. B]</w:t>
      </w:r>
      <w:r w:rsidR="00072808">
        <w:t xml:space="preserve">, personas kods </w:t>
      </w:r>
      <w:r>
        <w:t>[..]</w:t>
      </w:r>
      <w:r w:rsidR="00072808">
        <w:t>,</w:t>
      </w:r>
    </w:p>
    <w:p w14:paraId="122B2412" w14:textId="22ECEA83" w:rsidR="00273898" w:rsidRDefault="00273898" w:rsidP="004F75F4">
      <w:pPr>
        <w:spacing w:line="276" w:lineRule="auto"/>
        <w:ind w:right="-1" w:firstLine="720"/>
        <w:jc w:val="both"/>
      </w:pPr>
      <w:r>
        <w:t>atzīt</w:t>
      </w:r>
      <w:r w:rsidR="00FE2B2C">
        <w:t>a</w:t>
      </w:r>
      <w:r>
        <w:t xml:space="preserve"> par nevainīgu</w:t>
      </w:r>
      <w:r w:rsidR="008D45A3">
        <w:t xml:space="preserve"> </w:t>
      </w:r>
      <w:r>
        <w:t>Krimināllikuma</w:t>
      </w:r>
      <w:r w:rsidR="008D45A3">
        <w:t xml:space="preserve"> </w:t>
      </w:r>
      <w:r>
        <w:t>1</w:t>
      </w:r>
      <w:r w:rsidR="00FE2B2C">
        <w:t>77</w:t>
      </w:r>
      <w:r>
        <w:t xml:space="preserve">. panta </w:t>
      </w:r>
      <w:r w:rsidR="00FE2B2C">
        <w:t>trešajā</w:t>
      </w:r>
      <w:r>
        <w:t xml:space="preserve"> daļā paredzētajā noziedzīgajā nodarījumā un attaisnot</w:t>
      </w:r>
      <w:r w:rsidR="00FE2B2C">
        <w:t>a.</w:t>
      </w:r>
    </w:p>
    <w:p w14:paraId="3A285C7F" w14:textId="236D0167" w:rsidR="00273898" w:rsidRDefault="00FE2B2C" w:rsidP="00FE2B2C">
      <w:pPr>
        <w:spacing w:line="276" w:lineRule="auto"/>
        <w:ind w:right="-1" w:firstLine="720"/>
        <w:jc w:val="both"/>
      </w:pPr>
      <w:r>
        <w:t xml:space="preserve">Cietušā </w:t>
      </w:r>
      <w:r w:rsidR="00A5244D">
        <w:t>[pers. A]</w:t>
      </w:r>
      <w:r>
        <w:t xml:space="preserve"> pieteiktā kaitējuma kompensācija atstāta bez izskatīšanas.</w:t>
      </w:r>
    </w:p>
    <w:p w14:paraId="2A57F0B9" w14:textId="77777777" w:rsidR="00FE2B2C" w:rsidRDefault="00FE2B2C" w:rsidP="00792248">
      <w:pPr>
        <w:spacing w:line="276" w:lineRule="auto"/>
        <w:ind w:right="-1" w:firstLine="720"/>
        <w:jc w:val="both"/>
      </w:pPr>
    </w:p>
    <w:p w14:paraId="2A7E5A72" w14:textId="6CC171D1" w:rsidR="00072808" w:rsidRDefault="00DF32E5" w:rsidP="00FE2B2C">
      <w:pPr>
        <w:spacing w:line="276" w:lineRule="auto"/>
        <w:ind w:right="-1" w:firstLine="720"/>
        <w:jc w:val="both"/>
      </w:pPr>
      <w:r>
        <w:t>[2]</w:t>
      </w:r>
      <w:r w:rsidR="00022930">
        <w:t> </w:t>
      </w:r>
      <w:r>
        <w:t xml:space="preserve">Ar </w:t>
      </w:r>
      <w:bookmarkStart w:id="1" w:name="_Hlk135120160"/>
      <w:r w:rsidR="00FE2B2C">
        <w:t xml:space="preserve">Kurzemes apgabaltiesas 2022. gada </w:t>
      </w:r>
      <w:r w:rsidR="00B44450">
        <w:t>21</w:t>
      </w:r>
      <w:r w:rsidR="00FE2B2C">
        <w:t>.</w:t>
      </w:r>
      <w:r w:rsidR="00B96404">
        <w:t> </w:t>
      </w:r>
      <w:r w:rsidR="00B44450">
        <w:t>decembra</w:t>
      </w:r>
      <w:r w:rsidR="00FE2B2C">
        <w:t xml:space="preserve"> lēmumu</w:t>
      </w:r>
      <w:r w:rsidR="00FE2B2C" w:rsidRPr="00FE2B2C">
        <w:t xml:space="preserve"> </w:t>
      </w:r>
      <w:bookmarkEnd w:id="1"/>
      <w:r w:rsidR="00FE2B2C">
        <w:t>Kurzemes rajona tiesas 2021. gada 27. oktobra spriedums atstāts negrozīts.</w:t>
      </w:r>
    </w:p>
    <w:p w14:paraId="7FBDFDBF" w14:textId="77777777" w:rsidR="00DF32E5" w:rsidRDefault="00DF32E5" w:rsidP="00DF32E5">
      <w:pPr>
        <w:spacing w:line="276" w:lineRule="auto"/>
        <w:ind w:right="-1" w:firstLine="720"/>
        <w:jc w:val="both"/>
      </w:pPr>
    </w:p>
    <w:p w14:paraId="3EC2A804" w14:textId="7142CEBD" w:rsidR="00F5470A" w:rsidRPr="00DF32E5" w:rsidRDefault="00072808" w:rsidP="00FE2B2C">
      <w:pPr>
        <w:spacing w:line="276" w:lineRule="auto"/>
        <w:ind w:right="-1" w:firstLine="720"/>
        <w:jc w:val="both"/>
      </w:pPr>
      <w:r>
        <w:t>[</w:t>
      </w:r>
      <w:r w:rsidR="00DF32E5">
        <w:t>3</w:t>
      </w:r>
      <w:r>
        <w:t>] </w:t>
      </w:r>
      <w:r w:rsidR="00FE2B2C">
        <w:t xml:space="preserve">Pirmstiesas kriminālprocesā </w:t>
      </w:r>
      <w:r w:rsidR="00A5244D">
        <w:t>[pers. B]</w:t>
      </w:r>
      <w:r w:rsidR="00FE2B2C">
        <w:t xml:space="preserve"> apsūdzība celta Krimināllikuma 177. panta trešajā daļā paredzēt</w:t>
      </w:r>
      <w:r w:rsidR="00B13E29">
        <w:t>ajā</w:t>
      </w:r>
      <w:r w:rsidR="00FE2B2C">
        <w:t xml:space="preserve"> noziedzīg</w:t>
      </w:r>
      <w:r w:rsidR="00B13E29">
        <w:t>ajā</w:t>
      </w:r>
      <w:r w:rsidR="00FE2B2C">
        <w:t xml:space="preserve"> nodarījum</w:t>
      </w:r>
      <w:r w:rsidR="00B13E29">
        <w:t>ā</w:t>
      </w:r>
      <w:r w:rsidR="00525CAD">
        <w:t xml:space="preserve"> </w:t>
      </w:r>
      <w:r w:rsidR="00FE2B2C">
        <w:t>par svešas mantas iegūšanu ar viltu (krāpšanu) lielā apmērā.</w:t>
      </w:r>
      <w:r>
        <w:t xml:space="preserve"> </w:t>
      </w:r>
    </w:p>
    <w:p w14:paraId="1F7FCED5" w14:textId="052E9647" w:rsidR="001A2D00" w:rsidRPr="00072808" w:rsidRDefault="001A2D00" w:rsidP="00B72EE6">
      <w:pPr>
        <w:spacing w:line="276" w:lineRule="auto"/>
        <w:ind w:firstLine="720"/>
        <w:jc w:val="both"/>
        <w:rPr>
          <w:rFonts w:asciiTheme="majorBidi" w:hAnsiTheme="majorBidi" w:cstheme="majorBidi"/>
        </w:rPr>
      </w:pPr>
    </w:p>
    <w:p w14:paraId="04FF7555" w14:textId="13FA50C4" w:rsidR="001131DF" w:rsidRDefault="001A2D00" w:rsidP="00C43864">
      <w:pPr>
        <w:spacing w:line="276" w:lineRule="auto"/>
        <w:ind w:firstLine="720"/>
        <w:jc w:val="both"/>
        <w:rPr>
          <w:rFonts w:asciiTheme="majorBidi" w:hAnsiTheme="majorBidi" w:cstheme="majorBidi"/>
        </w:rPr>
      </w:pPr>
      <w:r w:rsidRPr="00072808">
        <w:rPr>
          <w:rFonts w:asciiTheme="majorBidi" w:hAnsiTheme="majorBidi" w:cstheme="majorBidi"/>
        </w:rPr>
        <w:t>[4]</w:t>
      </w:r>
      <w:r w:rsidR="00022930">
        <w:rPr>
          <w:rFonts w:asciiTheme="majorBidi" w:hAnsiTheme="majorBidi" w:cstheme="majorBidi"/>
        </w:rPr>
        <w:t> </w:t>
      </w:r>
      <w:r w:rsidRPr="00072808">
        <w:rPr>
          <w:rFonts w:asciiTheme="majorBidi" w:hAnsiTheme="majorBidi" w:cstheme="majorBidi"/>
        </w:rPr>
        <w:t xml:space="preserve">Par </w:t>
      </w:r>
      <w:r w:rsidR="00FE2B2C">
        <w:t xml:space="preserve">Kurzemes apgabaltiesas 2022. gada </w:t>
      </w:r>
      <w:r w:rsidR="00B44450">
        <w:t>21</w:t>
      </w:r>
      <w:r w:rsidR="00FE2B2C">
        <w:t>.</w:t>
      </w:r>
      <w:r w:rsidR="00B96404">
        <w:t> </w:t>
      </w:r>
      <w:r w:rsidR="00B44450">
        <w:t>decembra</w:t>
      </w:r>
      <w:r w:rsidR="00FE2B2C">
        <w:t xml:space="preserve"> lēmumu</w:t>
      </w:r>
      <w:r w:rsidR="00FE2B2C" w:rsidRPr="00FE2B2C">
        <w:t xml:space="preserve"> </w:t>
      </w:r>
      <w:r w:rsidR="00FE2B2C">
        <w:rPr>
          <w:rFonts w:asciiTheme="majorBidi" w:hAnsiTheme="majorBidi" w:cstheme="majorBidi"/>
        </w:rPr>
        <w:t xml:space="preserve">prokurors K. Didzis iesniedzis kasācijas protestu, bet cietušais </w:t>
      </w:r>
      <w:r w:rsidR="00A5244D">
        <w:rPr>
          <w:rFonts w:asciiTheme="majorBidi" w:hAnsiTheme="majorBidi" w:cstheme="majorBidi"/>
        </w:rPr>
        <w:t>[pers. A]</w:t>
      </w:r>
      <w:r w:rsidR="00FE2B2C">
        <w:rPr>
          <w:rFonts w:asciiTheme="majorBidi" w:hAnsiTheme="majorBidi" w:cstheme="majorBidi"/>
        </w:rPr>
        <w:t xml:space="preserve"> iesniedzis kasācijas sūdzību. </w:t>
      </w:r>
    </w:p>
    <w:p w14:paraId="2F3D4BC0" w14:textId="77777777" w:rsidR="001131DF" w:rsidRDefault="001131DF" w:rsidP="001131DF">
      <w:pPr>
        <w:spacing w:line="276" w:lineRule="auto"/>
        <w:ind w:firstLine="720"/>
        <w:jc w:val="both"/>
        <w:rPr>
          <w:rFonts w:asciiTheme="majorBidi" w:hAnsiTheme="majorBidi" w:cstheme="majorBidi"/>
        </w:rPr>
      </w:pPr>
    </w:p>
    <w:p w14:paraId="6666E8E5" w14:textId="14C940EE" w:rsidR="00C43864" w:rsidRDefault="001131DF" w:rsidP="00C43864">
      <w:pPr>
        <w:spacing w:line="276" w:lineRule="auto"/>
        <w:ind w:firstLine="720"/>
        <w:jc w:val="both"/>
      </w:pPr>
      <w:r>
        <w:rPr>
          <w:rFonts w:asciiTheme="majorBidi" w:hAnsiTheme="majorBidi" w:cstheme="majorBidi"/>
        </w:rPr>
        <w:t>[5] </w:t>
      </w:r>
      <w:r w:rsidR="00C43864">
        <w:rPr>
          <w:rFonts w:asciiTheme="majorBidi" w:hAnsiTheme="majorBidi" w:cstheme="majorBidi"/>
        </w:rPr>
        <w:t xml:space="preserve">Prokurors K. Didzis kasācijas protestā lūdz atcelt </w:t>
      </w:r>
      <w:r w:rsidR="00C43864">
        <w:t xml:space="preserve">Kurzemes apgabaltiesas 2022. gada </w:t>
      </w:r>
      <w:r w:rsidR="00B44450">
        <w:t>21</w:t>
      </w:r>
      <w:r w:rsidR="00C43864">
        <w:t>.</w:t>
      </w:r>
      <w:r w:rsidR="00544D1E">
        <w:t> </w:t>
      </w:r>
      <w:r w:rsidR="00B44450">
        <w:t>decembra</w:t>
      </w:r>
      <w:r w:rsidR="00C43864">
        <w:t xml:space="preserve"> lēmumu un lietu nosūtīt jaunai izskatīšanai Kurzemes apgabaltiesā.</w:t>
      </w:r>
    </w:p>
    <w:p w14:paraId="2B2EBB7D" w14:textId="1C248D97" w:rsidR="00B96404" w:rsidRDefault="00B96404" w:rsidP="00C43864">
      <w:pPr>
        <w:spacing w:line="276" w:lineRule="auto"/>
        <w:ind w:firstLine="720"/>
        <w:jc w:val="both"/>
        <w:rPr>
          <w:rFonts w:asciiTheme="majorBidi" w:hAnsiTheme="majorBidi" w:cstheme="majorBidi"/>
        </w:rPr>
      </w:pPr>
      <w:r>
        <w:t>Kasācijas protests pamatots ar šādiem argumentiem.</w:t>
      </w:r>
    </w:p>
    <w:p w14:paraId="4738DA80" w14:textId="263C1CBA" w:rsidR="00C43864" w:rsidRDefault="00C43864" w:rsidP="00BF2B48">
      <w:pPr>
        <w:spacing w:line="276" w:lineRule="auto"/>
        <w:ind w:firstLine="720"/>
        <w:jc w:val="both"/>
      </w:pPr>
      <w:r>
        <w:t>Apelācijas instances tiesa, kvalificējot noziedzīgo nodarījumu, nav pareizi piemērojusi Krimināllikuma 177.</w:t>
      </w:r>
      <w:r w:rsidR="00525CAD">
        <w:t> </w:t>
      </w:r>
      <w:r>
        <w:t xml:space="preserve">panta </w:t>
      </w:r>
      <w:r w:rsidR="00DA147B">
        <w:t>trešo daļu</w:t>
      </w:r>
      <w:r w:rsidR="00525CAD">
        <w:t xml:space="preserve">, tādējādi pieļaujot Kriminālprocesa likuma 574. panta 2. punktā norādīto Krimināllikuma pārkāpumu. Turklāt tiesa pieļāvusi </w:t>
      </w:r>
      <w:r w:rsidR="00525CAD">
        <w:lastRenderedPageBreak/>
        <w:t xml:space="preserve">Kriminālprocesa likuma 511. panta otrās daļas pārkāpumu, kas </w:t>
      </w:r>
      <w:bookmarkStart w:id="2" w:name="_Hlk135130751"/>
      <w:r w:rsidR="00525CAD">
        <w:t>atzīstams par būtisku pārkāpumu Kriminālprocesa likuma 575. panta trešās daļas izpratnē.</w:t>
      </w:r>
    </w:p>
    <w:bookmarkEnd w:id="2"/>
    <w:p w14:paraId="6B1469E3" w14:textId="3618B59F" w:rsidR="00F36D35" w:rsidRDefault="00F36D35" w:rsidP="00B96F0D">
      <w:pPr>
        <w:spacing w:line="276" w:lineRule="auto"/>
        <w:ind w:firstLine="720"/>
        <w:jc w:val="both"/>
      </w:pPr>
      <w:r>
        <w:t xml:space="preserve">Apelācijas instances tiesa nav izvērtējusi visus lietā esošos pierādījumus to kopumā un savstarpējā sakarībā. </w:t>
      </w:r>
    </w:p>
    <w:p w14:paraId="29D45585" w14:textId="397D966D" w:rsidR="006623B2" w:rsidRDefault="00A5244D" w:rsidP="00B96F0D">
      <w:pPr>
        <w:spacing w:line="276" w:lineRule="auto"/>
        <w:ind w:firstLine="720"/>
        <w:jc w:val="both"/>
      </w:pPr>
      <w:r>
        <w:t>[Pers. B]</w:t>
      </w:r>
      <w:r w:rsidR="006623B2">
        <w:t xml:space="preserve"> darbībās ir konstatējamas Krimināllikuma 177.</w:t>
      </w:r>
      <w:r w:rsidR="00BF2B48">
        <w:t> </w:t>
      </w:r>
      <w:r w:rsidR="006623B2">
        <w:t xml:space="preserve">panta trešajā daļā paredzētā noziedzīgā nodarījuma subjektīvās un objektīvās puses pazīmes. Proti, </w:t>
      </w:r>
      <w:r>
        <w:t>[pers. B]</w:t>
      </w:r>
      <w:r w:rsidR="006623B2">
        <w:t xml:space="preserve"> darbības, iesniedzot </w:t>
      </w:r>
      <w:r w:rsidR="006623B2" w:rsidRPr="00417D4B">
        <w:t>Saldus</w:t>
      </w:r>
      <w:r w:rsidR="006623B2">
        <w:t xml:space="preserve"> rajona tiesā viltotu – </w:t>
      </w:r>
      <w:r>
        <w:t>[pers. C]</w:t>
      </w:r>
      <w:r w:rsidR="006623B2">
        <w:t xml:space="preserve"> aizpildītu – </w:t>
      </w:r>
      <w:r>
        <w:t>[pers. A]</w:t>
      </w:r>
      <w:r w:rsidR="006623B2">
        <w:t xml:space="preserve"> paskaidrojumu </w:t>
      </w:r>
      <w:r w:rsidR="00D0049B">
        <w:t>prasības pieteikum</w:t>
      </w:r>
      <w:r w:rsidR="00C47262">
        <w:t>am</w:t>
      </w:r>
      <w:r w:rsidR="00D0049B">
        <w:t xml:space="preserve"> </w:t>
      </w:r>
      <w:r w:rsidR="006623B2">
        <w:t>maza apmēra prasībā par uzturlīdzekļu piedziņu no cietušā</w:t>
      </w:r>
      <w:r w:rsidR="00435939">
        <w:t xml:space="preserve"> un neinformējot tiesu par </w:t>
      </w:r>
      <w:r>
        <w:t>[pers. A]</w:t>
      </w:r>
      <w:r w:rsidR="00435939">
        <w:t xml:space="preserve"> faktisko dzīvesvietu – veicot darbības, lai liegtu </w:t>
      </w:r>
      <w:proofErr w:type="gramStart"/>
      <w:r>
        <w:t>[</w:t>
      </w:r>
      <w:proofErr w:type="gramEnd"/>
      <w:r>
        <w:t>pers. A]</w:t>
      </w:r>
      <w:r w:rsidR="00435939">
        <w:t xml:space="preserve"> piedalīties lietas izskatīšanā un realizēt savas likumā noteiktās tiesības, kā arī sniedzot nepatiesas ziņas Uzturlīdzekļu garantij</w:t>
      </w:r>
      <w:r w:rsidR="00C47262">
        <w:t>u</w:t>
      </w:r>
      <w:r w:rsidR="00435939">
        <w:t xml:space="preserve"> fondam – , pierāda </w:t>
      </w:r>
      <w:r>
        <w:t>[pers. B]</w:t>
      </w:r>
      <w:r w:rsidR="00435939">
        <w:t xml:space="preserve"> nodomu izkrāpt naudas līdzekļus no Uzturlīdzekļu garantij</w:t>
      </w:r>
      <w:r w:rsidR="00C47262">
        <w:t>u</w:t>
      </w:r>
      <w:r w:rsidR="00435939">
        <w:t xml:space="preserve"> fonda. </w:t>
      </w:r>
      <w:r w:rsidR="00C47262">
        <w:t xml:space="preserve">Lietā ir pierādīts, ka </w:t>
      </w:r>
      <w:r>
        <w:t>[pers. B]</w:t>
      </w:r>
      <w:r w:rsidR="00C47262">
        <w:t xml:space="preserve"> izmantojusi </w:t>
      </w:r>
      <w:r>
        <w:t>[pers. A]</w:t>
      </w:r>
      <w:r w:rsidR="00C47262">
        <w:t xml:space="preserve"> bankas kontam piesaistītu maksājuma karti, </w:t>
      </w:r>
      <w:r w:rsidR="00B77ABD">
        <w:t xml:space="preserve">kur cietušais veicis naudas pārskaitījumus </w:t>
      </w:r>
      <w:r>
        <w:t>[pers. B]</w:t>
      </w:r>
      <w:r w:rsidR="00B77ABD">
        <w:t xml:space="preserve">, tādējādi </w:t>
      </w:r>
      <w:r>
        <w:t>[pers. B]</w:t>
      </w:r>
      <w:r w:rsidR="00B77ABD">
        <w:t xml:space="preserve"> varēja brīvi rīkoties ar kontā esošajiem naudas līdzekļiem. </w:t>
      </w:r>
      <w:r w:rsidR="00435939">
        <w:t xml:space="preserve">Ņemot vērā iepriekš minēto, </w:t>
      </w:r>
      <w:r>
        <w:t>[pers. A]</w:t>
      </w:r>
      <w:r w:rsidR="00435939">
        <w:t xml:space="preserve"> tika liegtas tiesības uz taisnīgu tiesu, tika ierobežotas </w:t>
      </w:r>
      <w:r w:rsidR="00042E91">
        <w:t>viņa Civilprocesa likuma 9. pantā noteiktās tiesības uz pušu līdztiesību</w:t>
      </w:r>
      <w:r w:rsidR="007546F2">
        <w:t xml:space="preserve"> un </w:t>
      </w:r>
      <w:r w:rsidR="00042E91">
        <w:t xml:space="preserve">10. pantā noteiktās tiesības realizēt savas procesuālās tiesības sacīkstes formā, t.i., </w:t>
      </w:r>
      <w:r>
        <w:t>[pers. A]</w:t>
      </w:r>
      <w:r w:rsidR="00042E91">
        <w:t xml:space="preserve"> tika liegts realizēt </w:t>
      </w:r>
      <w:r w:rsidR="006427C3">
        <w:t>Civilprocesa likuma 74. panta otrajā daļā noteiktās tiesības</w:t>
      </w:r>
      <w:r w:rsidR="007546F2">
        <w:t>.</w:t>
      </w:r>
    </w:p>
    <w:p w14:paraId="4CD338C9" w14:textId="77777777" w:rsidR="00544D1E" w:rsidRDefault="00544D1E" w:rsidP="007546F2">
      <w:pPr>
        <w:spacing w:line="276" w:lineRule="auto"/>
        <w:ind w:firstLine="567"/>
        <w:jc w:val="both"/>
      </w:pPr>
    </w:p>
    <w:p w14:paraId="0063B225" w14:textId="20C0E3B7" w:rsidR="00544D1E" w:rsidRDefault="00544D1E" w:rsidP="0027594F">
      <w:pPr>
        <w:spacing w:line="276" w:lineRule="auto"/>
        <w:ind w:firstLine="720"/>
        <w:jc w:val="both"/>
      </w:pPr>
      <w:r>
        <w:t xml:space="preserve">[6] Cietušais </w:t>
      </w:r>
      <w:r w:rsidR="00A5244D">
        <w:t>[pers. </w:t>
      </w:r>
      <w:r w:rsidR="00AE0DAC">
        <w:t>A</w:t>
      </w:r>
      <w:r w:rsidR="00A5244D">
        <w:t>]</w:t>
      </w:r>
      <w:r>
        <w:t xml:space="preserve"> kasācijas sūdzībā lūdz atcelt Kurzemes apgabaltiesas 2022. gada </w:t>
      </w:r>
      <w:r w:rsidR="007374FA">
        <w:t>21</w:t>
      </w:r>
      <w:r>
        <w:t>. </w:t>
      </w:r>
      <w:r w:rsidR="007374FA">
        <w:t>decembra</w:t>
      </w:r>
      <w:r>
        <w:t xml:space="preserve"> lēmumu un lietu nosūtīt jaunai izskatīšanai</w:t>
      </w:r>
      <w:r w:rsidR="0027594F">
        <w:t>, jo apelācijas instances tiesa ir nepareizi piemērojusi Krimināllikuma 9., 177., 275. pantu, kā arī pieļāvusi Kriminālprocesa likuma 511. panta otrās daļas, 512. panta, 519. panta 2. punkta un 529. panta pirmās daļas 1. punkta pārkāpumus, kas</w:t>
      </w:r>
      <w:r w:rsidR="0027594F" w:rsidRPr="005E5D75">
        <w:t xml:space="preserve"> </w:t>
      </w:r>
      <w:r w:rsidR="0027594F">
        <w:t>atzīstami par būtiskiem</w:t>
      </w:r>
      <w:r w:rsidR="00E40192">
        <w:t xml:space="preserve"> pārkāpumiem</w:t>
      </w:r>
      <w:r w:rsidR="0027594F">
        <w:t xml:space="preserve"> Kriminālprocesa likuma 575. panta trešās daļas izpratnē</w:t>
      </w:r>
      <w:r>
        <w:t>.</w:t>
      </w:r>
    </w:p>
    <w:p w14:paraId="696CE080" w14:textId="0DFBCE91" w:rsidR="000B40F2" w:rsidRDefault="000B40F2" w:rsidP="00544D1E">
      <w:pPr>
        <w:spacing w:line="276" w:lineRule="auto"/>
        <w:ind w:firstLine="720"/>
        <w:jc w:val="both"/>
      </w:pPr>
      <w:r>
        <w:t>Kasācijas sūdzība pamatota ar šādiem argumentiem.</w:t>
      </w:r>
    </w:p>
    <w:p w14:paraId="31CD79C9" w14:textId="5C0A706E" w:rsidR="00BE21BC" w:rsidRDefault="00BE21BC" w:rsidP="00230D56">
      <w:pPr>
        <w:spacing w:line="276" w:lineRule="auto"/>
        <w:ind w:firstLine="720"/>
        <w:jc w:val="both"/>
      </w:pPr>
      <w:r>
        <w:t>[6.1] </w:t>
      </w:r>
      <w:r w:rsidR="00C82758">
        <w:t xml:space="preserve">Apelācijas instances tiesa </w:t>
      </w:r>
      <w:r w:rsidR="004B7DCB">
        <w:t>ir</w:t>
      </w:r>
      <w:r w:rsidR="00C82758">
        <w:t xml:space="preserve"> </w:t>
      </w:r>
      <w:r w:rsidR="004B7DCB">
        <w:t>ne</w:t>
      </w:r>
      <w:r w:rsidR="00C82758">
        <w:t xml:space="preserve">pareizi vērtējusi pierādījumu attiecināmību, pieļaujamību un ticamību, nav noskaidrojusi visus lietas apstākļus un to, vai secinājumi atbilst pierādījumiem. </w:t>
      </w:r>
      <w:r>
        <w:t xml:space="preserve">Lietā ir pierādīts, ka apsūdzētā </w:t>
      </w:r>
      <w:r w:rsidR="00A5244D">
        <w:t>[pers. B]</w:t>
      </w:r>
      <w:r>
        <w:t xml:space="preserve"> </w:t>
      </w:r>
      <w:r w:rsidR="00C82758">
        <w:t xml:space="preserve">ir </w:t>
      </w:r>
      <w:r>
        <w:t>izdarījusi noziedzīgo nodarījumu, kas paredzēts Krimināllikuma 177.</w:t>
      </w:r>
      <w:r w:rsidR="00C82758">
        <w:t> </w:t>
      </w:r>
      <w:r>
        <w:t xml:space="preserve">panta trešajā daļā. </w:t>
      </w:r>
    </w:p>
    <w:p w14:paraId="3C10CDB7" w14:textId="6F17AB9C" w:rsidR="000E58FE" w:rsidRPr="002942C6" w:rsidRDefault="000E58FE" w:rsidP="00731468">
      <w:pPr>
        <w:spacing w:line="276" w:lineRule="auto"/>
        <w:ind w:firstLine="720"/>
        <w:jc w:val="both"/>
      </w:pPr>
      <w:r>
        <w:t>[6.</w:t>
      </w:r>
      <w:r w:rsidR="0027594F">
        <w:t>1</w:t>
      </w:r>
      <w:r>
        <w:t>.1] </w:t>
      </w:r>
      <w:r w:rsidR="00C82758" w:rsidRPr="002942C6">
        <w:t xml:space="preserve">Tiesa nav </w:t>
      </w:r>
      <w:r w:rsidR="00B13E29" w:rsidRPr="002942C6">
        <w:t xml:space="preserve">ņēmusi vērā to, ka </w:t>
      </w:r>
      <w:r w:rsidR="00C82758" w:rsidRPr="002942C6">
        <w:t xml:space="preserve">Saldus rajona tiesā iesniegtais paskaidrojums </w:t>
      </w:r>
      <w:r w:rsidR="00A5244D">
        <w:t>[pers. A]</w:t>
      </w:r>
      <w:r w:rsidR="00132FE8" w:rsidRPr="002942C6">
        <w:t xml:space="preserve"> vārdā </w:t>
      </w:r>
      <w:r w:rsidR="00C82758" w:rsidRPr="002942C6">
        <w:t>pieteikumam maza apmēra prasībā par uzturlīdzekļu piedziņu ir viltots</w:t>
      </w:r>
      <w:r w:rsidR="00132FE8" w:rsidRPr="002942C6">
        <w:t xml:space="preserve">, jo cietušais minēto paskaidrojumu nav </w:t>
      </w:r>
      <w:r w:rsidRPr="002942C6">
        <w:t xml:space="preserve">ne </w:t>
      </w:r>
      <w:r w:rsidR="0008310B" w:rsidRPr="002942C6">
        <w:t>sagatavojis</w:t>
      </w:r>
      <w:r w:rsidRPr="002942C6">
        <w:t xml:space="preserve">, ne </w:t>
      </w:r>
      <w:r w:rsidR="00132FE8" w:rsidRPr="002942C6">
        <w:t>parakstījis</w:t>
      </w:r>
      <w:r w:rsidR="00B13E29" w:rsidRPr="002942C6">
        <w:t xml:space="preserve">. </w:t>
      </w:r>
      <w:r w:rsidR="0008310B" w:rsidRPr="002942C6">
        <w:t>Tiesa n</w:t>
      </w:r>
      <w:r w:rsidR="00731468" w:rsidRPr="002942C6">
        <w:t xml:space="preserve">av vērtējusi, ka liecinieks </w:t>
      </w:r>
      <w:r w:rsidR="00A5244D">
        <w:t>[pers. C]</w:t>
      </w:r>
      <w:r w:rsidR="0008310B" w:rsidRPr="002942C6">
        <w:t>,</w:t>
      </w:r>
      <w:r w:rsidR="00731468" w:rsidRPr="002942C6">
        <w:t xml:space="preserve"> cietušā </w:t>
      </w:r>
      <w:r w:rsidR="00A5244D">
        <w:t>[pers. A]</w:t>
      </w:r>
      <w:r w:rsidR="00B13E29" w:rsidRPr="002942C6">
        <w:t xml:space="preserve"> </w:t>
      </w:r>
      <w:r w:rsidR="00731468" w:rsidRPr="002942C6">
        <w:t xml:space="preserve">vārdā aizpildot paskaidrojumu </w:t>
      </w:r>
      <w:r w:rsidR="00D0049B" w:rsidRPr="002942C6">
        <w:t xml:space="preserve">prasības pieteikumam </w:t>
      </w:r>
      <w:r w:rsidR="00731468" w:rsidRPr="002942C6">
        <w:t xml:space="preserve">maza apmēra prasībai par uzturlīdzekļa piedziņu, </w:t>
      </w:r>
      <w:r w:rsidR="00B96404" w:rsidRPr="002942C6">
        <w:t>ir noziedzīg</w:t>
      </w:r>
      <w:r w:rsidR="0008310B" w:rsidRPr="002942C6">
        <w:t>ā</w:t>
      </w:r>
      <w:r w:rsidR="00B96404" w:rsidRPr="002942C6">
        <w:t xml:space="preserve"> nodarījuma </w:t>
      </w:r>
      <w:r w:rsidR="0008310B" w:rsidRPr="002942C6">
        <w:t>līdzdalībnieks</w:t>
      </w:r>
      <w:r w:rsidR="00B96404" w:rsidRPr="002942C6">
        <w:t xml:space="preserve">. </w:t>
      </w:r>
      <w:r w:rsidRPr="002942C6">
        <w:t xml:space="preserve">Turklāt </w:t>
      </w:r>
      <w:r w:rsidR="00A5244D">
        <w:t>[pers. B]</w:t>
      </w:r>
      <w:r w:rsidRPr="002942C6">
        <w:t xml:space="preserve">, nolūkā saņemt papildu naudas līdzekļus no </w:t>
      </w:r>
      <w:r w:rsidR="00B96404" w:rsidRPr="002942C6">
        <w:t>U</w:t>
      </w:r>
      <w:r w:rsidRPr="002942C6">
        <w:t>zturlīdzekļ</w:t>
      </w:r>
      <w:r w:rsidR="00456FBC" w:rsidRPr="002942C6">
        <w:t>u</w:t>
      </w:r>
      <w:r w:rsidRPr="002942C6">
        <w:t xml:space="preserve"> </w:t>
      </w:r>
      <w:r w:rsidR="00B96404" w:rsidRPr="002942C6">
        <w:t>garantij</w:t>
      </w:r>
      <w:r w:rsidR="00B77ABD" w:rsidRPr="002942C6">
        <w:t>u</w:t>
      </w:r>
      <w:r w:rsidR="00B96404" w:rsidRPr="002942C6">
        <w:t xml:space="preserve"> </w:t>
      </w:r>
      <w:r w:rsidRPr="002942C6">
        <w:t xml:space="preserve">fonda, </w:t>
      </w:r>
      <w:r w:rsidR="0027594F" w:rsidRPr="002942C6">
        <w:t xml:space="preserve">apzināti nav informējusi </w:t>
      </w:r>
      <w:r w:rsidR="00A5244D">
        <w:t>[pers. </w:t>
      </w:r>
      <w:r w:rsidR="00EB1710">
        <w:t>A</w:t>
      </w:r>
      <w:r w:rsidR="00A5244D">
        <w:t>]</w:t>
      </w:r>
      <w:r w:rsidR="0027594F" w:rsidRPr="002942C6">
        <w:t xml:space="preserve"> par šādas prasības iesniegšanu tiesā, </w:t>
      </w:r>
      <w:r w:rsidRPr="002942C6">
        <w:t>kaut arī regulāri savā starpā telefoniski sazinājušies.</w:t>
      </w:r>
    </w:p>
    <w:p w14:paraId="71B7A047" w14:textId="0D3B631E" w:rsidR="00F2369D" w:rsidRDefault="000E58FE" w:rsidP="00B13E29">
      <w:pPr>
        <w:spacing w:line="276" w:lineRule="auto"/>
        <w:ind w:firstLine="720"/>
        <w:jc w:val="both"/>
      </w:pPr>
      <w:r>
        <w:t>[6.</w:t>
      </w:r>
      <w:r w:rsidR="0027594F">
        <w:t>1</w:t>
      </w:r>
      <w:r>
        <w:t xml:space="preserve">.2] Tiesa nav noskaidrojusi, kādam mērķim </w:t>
      </w:r>
      <w:r w:rsidR="00A5244D">
        <w:t>[pers. B]</w:t>
      </w:r>
      <w:r>
        <w:t xml:space="preserve"> </w:t>
      </w:r>
      <w:r w:rsidR="00731468">
        <w:t>izmantojusi no cietušā</w:t>
      </w:r>
      <w:r w:rsidR="00066BCC">
        <w:t xml:space="preserve"> </w:t>
      </w:r>
      <w:r w:rsidR="00A5244D">
        <w:t>[pers. A]</w:t>
      </w:r>
      <w:r w:rsidR="00731468">
        <w:t xml:space="preserve"> </w:t>
      </w:r>
      <w:r w:rsidR="00B13E29">
        <w:t xml:space="preserve">piecu mēnešu laikā </w:t>
      </w:r>
      <w:r w:rsidR="00731468">
        <w:t>saņemtos naudas līdzekļus – 3103,46</w:t>
      </w:r>
      <w:r w:rsidR="00A511D7">
        <w:t> </w:t>
      </w:r>
      <w:proofErr w:type="spellStart"/>
      <w:r w:rsidR="00731468" w:rsidRPr="00731468">
        <w:rPr>
          <w:i/>
          <w:iCs/>
        </w:rPr>
        <w:t>euro</w:t>
      </w:r>
      <w:proofErr w:type="spellEnd"/>
      <w:r w:rsidR="00731468">
        <w:t>. Līdz ar to uzskatāms, ka tiesa</w:t>
      </w:r>
      <w:proofErr w:type="gramStart"/>
      <w:r w:rsidR="00731468">
        <w:t xml:space="preserve"> nepamatoti secinājusi</w:t>
      </w:r>
      <w:proofErr w:type="gramEnd"/>
      <w:r w:rsidR="00731468">
        <w:t xml:space="preserve">, ka </w:t>
      </w:r>
      <w:r w:rsidR="00A5244D">
        <w:t>[pers. B]</w:t>
      </w:r>
      <w:r w:rsidR="00731468">
        <w:t xml:space="preserve"> nav vērsusies tiesā</w:t>
      </w:r>
      <w:r w:rsidR="00066BCC">
        <w:t>,</w:t>
      </w:r>
      <w:r w:rsidR="00731468">
        <w:t xml:space="preserve"> ar nolūku iegūt papildu materiālu labumu</w:t>
      </w:r>
      <w:r w:rsidR="00B13E29">
        <w:t>.</w:t>
      </w:r>
    </w:p>
    <w:p w14:paraId="76C7AAB7" w14:textId="483CAD10" w:rsidR="00F2369D" w:rsidRDefault="00B96404" w:rsidP="00B96404">
      <w:pPr>
        <w:spacing w:line="276" w:lineRule="auto"/>
        <w:ind w:firstLine="720"/>
        <w:jc w:val="both"/>
      </w:pPr>
      <w:r>
        <w:t>[6.</w:t>
      </w:r>
      <w:r w:rsidR="0027594F">
        <w:t>2</w:t>
      </w:r>
      <w:r>
        <w:t>] </w:t>
      </w:r>
      <w:r w:rsidR="00BE21BC">
        <w:t xml:space="preserve">Apelācijas instances tiesa nepamatoti atstājusi bez izskatīšanas </w:t>
      </w:r>
      <w:r w:rsidR="00A5244D">
        <w:t>[pers. A]</w:t>
      </w:r>
      <w:r w:rsidR="00BE21BC">
        <w:t xml:space="preserve"> pieteikto kaitējuma kompensācijas pieteikumu.</w:t>
      </w:r>
    </w:p>
    <w:p w14:paraId="482B61D7" w14:textId="43D33373" w:rsidR="0054364A" w:rsidRDefault="00B96404" w:rsidP="003C55D0">
      <w:pPr>
        <w:spacing w:line="276" w:lineRule="auto"/>
        <w:ind w:firstLine="720"/>
        <w:jc w:val="both"/>
      </w:pPr>
      <w:r>
        <w:lastRenderedPageBreak/>
        <w:t>[6.</w:t>
      </w:r>
      <w:r w:rsidR="0027594F">
        <w:t>3</w:t>
      </w:r>
      <w:r>
        <w:t>] </w:t>
      </w:r>
      <w:bookmarkStart w:id="3" w:name="_Hlk136524566"/>
      <w:r w:rsidR="00F2369D">
        <w:t>Apelācijas instances tiesa nepamatoti nolēmusi iznīcināt lietisko pierādījumu –</w:t>
      </w:r>
      <w:r>
        <w:t xml:space="preserve"> </w:t>
      </w:r>
      <w:r w:rsidR="00F2369D">
        <w:t xml:space="preserve">iepakojumu ar </w:t>
      </w:r>
      <w:r w:rsidR="00A5244D">
        <w:t>[pers. A]</w:t>
      </w:r>
      <w:r w:rsidR="00F2369D">
        <w:t xml:space="preserve"> vadītāja karti –, </w:t>
      </w:r>
      <w:proofErr w:type="gramStart"/>
      <w:r w:rsidR="00F2369D">
        <w:t xml:space="preserve">jo minētais dokuments pieder </w:t>
      </w:r>
      <w:r w:rsidR="00B2681F">
        <w:t xml:space="preserve">cietušajam un </w:t>
      </w:r>
      <w:r w:rsidR="00F2369D">
        <w:t>viņam</w:t>
      </w:r>
      <w:proofErr w:type="gramEnd"/>
      <w:r w:rsidR="00B2681F">
        <w:t xml:space="preserve"> tā ir nepieciešama</w:t>
      </w:r>
      <w:r w:rsidR="00F2369D">
        <w:t xml:space="preserve"> darba </w:t>
      </w:r>
      <w:r w:rsidR="00B2681F">
        <w:t xml:space="preserve">tiesisko </w:t>
      </w:r>
      <w:r w:rsidR="00E40192">
        <w:t xml:space="preserve">attiecību </w:t>
      </w:r>
      <w:r w:rsidR="00B2681F">
        <w:t>esības pamatošanai</w:t>
      </w:r>
      <w:r w:rsidR="00F2369D">
        <w:t>.</w:t>
      </w:r>
    </w:p>
    <w:bookmarkEnd w:id="3"/>
    <w:p w14:paraId="05CB032B" w14:textId="77777777" w:rsidR="00DD4C6D" w:rsidRPr="00B96404" w:rsidRDefault="00DD4C6D" w:rsidP="003C55D0">
      <w:pPr>
        <w:spacing w:line="276" w:lineRule="auto"/>
        <w:ind w:firstLine="720"/>
        <w:jc w:val="both"/>
      </w:pPr>
    </w:p>
    <w:p w14:paraId="4CB46A35" w14:textId="174AEECD" w:rsidR="00F5470A" w:rsidRPr="00072808" w:rsidRDefault="00F5470A" w:rsidP="001A2D00">
      <w:pPr>
        <w:spacing w:line="276" w:lineRule="auto"/>
        <w:jc w:val="center"/>
        <w:rPr>
          <w:rFonts w:asciiTheme="majorBidi" w:hAnsiTheme="majorBidi" w:cstheme="majorBidi"/>
          <w:b/>
        </w:rPr>
      </w:pPr>
      <w:r w:rsidRPr="00072808">
        <w:rPr>
          <w:rFonts w:asciiTheme="majorBidi" w:hAnsiTheme="majorBidi" w:cstheme="majorBidi"/>
          <w:b/>
        </w:rPr>
        <w:t>Motīvu daļa</w:t>
      </w:r>
    </w:p>
    <w:p w14:paraId="405B5B68" w14:textId="77777777" w:rsidR="00F5470A" w:rsidRPr="00072808" w:rsidRDefault="00F5470A" w:rsidP="00F5470A">
      <w:pPr>
        <w:spacing w:line="276" w:lineRule="auto"/>
        <w:rPr>
          <w:rFonts w:asciiTheme="majorBidi" w:hAnsiTheme="majorBidi" w:cstheme="majorBidi"/>
        </w:rPr>
      </w:pPr>
    </w:p>
    <w:p w14:paraId="6D9F822E" w14:textId="1D152CA4" w:rsidR="000857B6" w:rsidRDefault="00F5470A" w:rsidP="00330CB3">
      <w:pPr>
        <w:spacing w:line="276" w:lineRule="auto"/>
        <w:ind w:firstLine="720"/>
        <w:jc w:val="both"/>
        <w:rPr>
          <w:rFonts w:asciiTheme="majorBidi" w:hAnsiTheme="majorBidi" w:cstheme="majorBidi"/>
        </w:rPr>
      </w:pPr>
      <w:r w:rsidRPr="006727B5">
        <w:rPr>
          <w:rFonts w:asciiTheme="majorBidi" w:hAnsiTheme="majorBidi" w:cstheme="majorBidi"/>
        </w:rPr>
        <w:t>[</w:t>
      </w:r>
      <w:r w:rsidR="00BE3F3F">
        <w:rPr>
          <w:rFonts w:asciiTheme="majorBidi" w:hAnsiTheme="majorBidi" w:cstheme="majorBidi"/>
        </w:rPr>
        <w:t>7</w:t>
      </w:r>
      <w:r w:rsidRPr="006727B5">
        <w:rPr>
          <w:rFonts w:asciiTheme="majorBidi" w:hAnsiTheme="majorBidi" w:cstheme="majorBidi"/>
        </w:rPr>
        <w:t>] Senāts konstatē, ka kasācijas instances tiesas kompetencē ir sniegt atbildi</w:t>
      </w:r>
      <w:r w:rsidR="00606E78" w:rsidRPr="006727B5">
        <w:rPr>
          <w:rFonts w:asciiTheme="majorBidi" w:hAnsiTheme="majorBidi" w:cstheme="majorBidi"/>
        </w:rPr>
        <w:t xml:space="preserve"> uz jautājum</w:t>
      </w:r>
      <w:r w:rsidR="00330CB3">
        <w:rPr>
          <w:rFonts w:asciiTheme="majorBidi" w:hAnsiTheme="majorBidi" w:cstheme="majorBidi"/>
        </w:rPr>
        <w:t>iem</w:t>
      </w:r>
      <w:r w:rsidR="00E40192">
        <w:rPr>
          <w:rFonts w:asciiTheme="majorBidi" w:hAnsiTheme="majorBidi" w:cstheme="majorBidi"/>
        </w:rPr>
        <w:t>:</w:t>
      </w:r>
      <w:r w:rsidR="00606E78" w:rsidRPr="006727B5">
        <w:rPr>
          <w:rFonts w:asciiTheme="majorBidi" w:hAnsiTheme="majorBidi" w:cstheme="majorBidi"/>
        </w:rPr>
        <w:t xml:space="preserve"> </w:t>
      </w:r>
      <w:r w:rsidR="00330CB3">
        <w:rPr>
          <w:rFonts w:asciiTheme="majorBidi" w:hAnsiTheme="majorBidi" w:cstheme="majorBidi"/>
        </w:rPr>
        <w:t>1)</w:t>
      </w:r>
      <w:r w:rsidR="00C27A20">
        <w:rPr>
          <w:rFonts w:asciiTheme="majorBidi" w:hAnsiTheme="majorBidi" w:cstheme="majorBidi"/>
        </w:rPr>
        <w:t> </w:t>
      </w:r>
      <w:r w:rsidR="00332DDB">
        <w:rPr>
          <w:rFonts w:asciiTheme="majorBidi" w:hAnsiTheme="majorBidi" w:cstheme="majorBidi"/>
        </w:rPr>
        <w:t xml:space="preserve">vai </w:t>
      </w:r>
      <w:r w:rsidR="00CB1844">
        <w:rPr>
          <w:rFonts w:asciiTheme="majorBidi" w:hAnsiTheme="majorBidi" w:cstheme="majorBidi"/>
        </w:rPr>
        <w:t xml:space="preserve">apelācijas instances </w:t>
      </w:r>
      <w:r w:rsidR="00B13E29">
        <w:rPr>
          <w:rFonts w:asciiTheme="majorBidi" w:hAnsiTheme="majorBidi" w:cstheme="majorBidi"/>
        </w:rPr>
        <w:t xml:space="preserve">tiesas lēmums par lietisko pierādījumu iznīcināšanu atbilst </w:t>
      </w:r>
      <w:r w:rsidR="00CB1844">
        <w:rPr>
          <w:rFonts w:asciiTheme="majorBidi" w:hAnsiTheme="majorBidi" w:cstheme="majorBidi"/>
        </w:rPr>
        <w:t xml:space="preserve">Kriminālprocesa likuma </w:t>
      </w:r>
      <w:r w:rsidR="00B13E29">
        <w:rPr>
          <w:rFonts w:asciiTheme="majorBidi" w:hAnsiTheme="majorBidi" w:cstheme="majorBidi"/>
        </w:rPr>
        <w:t>prasībām</w:t>
      </w:r>
      <w:r w:rsidR="00330CB3">
        <w:rPr>
          <w:rFonts w:asciiTheme="majorBidi" w:hAnsiTheme="majorBidi" w:cstheme="majorBidi"/>
        </w:rPr>
        <w:t>; 2)</w:t>
      </w:r>
      <w:r w:rsidR="00C27A20">
        <w:rPr>
          <w:rFonts w:asciiTheme="majorBidi" w:hAnsiTheme="majorBidi" w:cstheme="majorBidi"/>
        </w:rPr>
        <w:t> </w:t>
      </w:r>
      <w:r w:rsidR="00330CB3">
        <w:rPr>
          <w:bCs/>
        </w:rPr>
        <w:t xml:space="preserve">vai, </w:t>
      </w:r>
      <w:r w:rsidR="00330CB3" w:rsidRPr="00C103D5">
        <w:rPr>
          <w:bCs/>
        </w:rPr>
        <w:t>izvērtējot lietā iegūtos pierādījumus</w:t>
      </w:r>
      <w:r w:rsidR="00330CB3">
        <w:rPr>
          <w:bCs/>
        </w:rPr>
        <w:t xml:space="preserve">, </w:t>
      </w:r>
      <w:r w:rsidR="00330CB3" w:rsidRPr="00A04C70">
        <w:rPr>
          <w:bCs/>
        </w:rPr>
        <w:t>apelācijas instances ties</w:t>
      </w:r>
      <w:r w:rsidR="00330CB3">
        <w:rPr>
          <w:bCs/>
        </w:rPr>
        <w:t>a</w:t>
      </w:r>
      <w:r w:rsidR="00330CB3" w:rsidRPr="00A04C70">
        <w:rPr>
          <w:bCs/>
        </w:rPr>
        <w:t xml:space="preserve"> ir </w:t>
      </w:r>
      <w:r w:rsidR="00297271" w:rsidRPr="00A04C70">
        <w:rPr>
          <w:bCs/>
        </w:rPr>
        <w:t>p</w:t>
      </w:r>
      <w:r w:rsidR="00297271">
        <w:rPr>
          <w:bCs/>
        </w:rPr>
        <w:t>ārkāpus</w:t>
      </w:r>
      <w:r w:rsidR="00297271" w:rsidRPr="00A04C70">
        <w:rPr>
          <w:bCs/>
        </w:rPr>
        <w:t>i</w:t>
      </w:r>
      <w:r w:rsidR="00330CB3" w:rsidRPr="00A04C70">
        <w:rPr>
          <w:bCs/>
        </w:rPr>
        <w:t xml:space="preserve"> Kriminālprocesa likumā noteiktās prasības;</w:t>
      </w:r>
      <w:r w:rsidR="00330CB3">
        <w:rPr>
          <w:bCs/>
        </w:rPr>
        <w:t xml:space="preserve"> </w:t>
      </w:r>
      <w:r w:rsidR="00330CB3">
        <w:rPr>
          <w:rFonts w:asciiTheme="majorBidi" w:hAnsiTheme="majorBidi" w:cstheme="majorBidi"/>
        </w:rPr>
        <w:t>3)</w:t>
      </w:r>
      <w:r w:rsidR="00C27A20">
        <w:rPr>
          <w:rFonts w:asciiTheme="majorBidi" w:hAnsiTheme="majorBidi" w:cstheme="majorBidi"/>
        </w:rPr>
        <w:t> </w:t>
      </w:r>
      <w:r w:rsidR="00330CB3">
        <w:rPr>
          <w:rFonts w:asciiTheme="majorBidi" w:hAnsiTheme="majorBidi" w:cstheme="majorBidi"/>
        </w:rPr>
        <w:t xml:space="preserve">vai, atstājot </w:t>
      </w:r>
      <w:r w:rsidR="00330CB3">
        <w:t xml:space="preserve">bez izskatīšanas </w:t>
      </w:r>
      <w:r w:rsidR="00A5244D">
        <w:t>[pers. A]</w:t>
      </w:r>
      <w:r w:rsidR="00330CB3">
        <w:t xml:space="preserve"> kaitējuma kompensācijas pieteikumu, </w:t>
      </w:r>
      <w:r w:rsidR="00330CB3" w:rsidRPr="00A04C70">
        <w:rPr>
          <w:bCs/>
        </w:rPr>
        <w:t>apelācijas instances ties</w:t>
      </w:r>
      <w:r w:rsidR="00330CB3">
        <w:rPr>
          <w:bCs/>
        </w:rPr>
        <w:t>a</w:t>
      </w:r>
      <w:r w:rsidR="00330CB3" w:rsidRPr="00A04C70">
        <w:rPr>
          <w:bCs/>
        </w:rPr>
        <w:t xml:space="preserve"> </w:t>
      </w:r>
      <w:r w:rsidR="00330CB3">
        <w:rPr>
          <w:rFonts w:asciiTheme="majorBidi" w:hAnsiTheme="majorBidi" w:cstheme="majorBidi"/>
        </w:rPr>
        <w:t xml:space="preserve">ir </w:t>
      </w:r>
      <w:r w:rsidR="00330CB3" w:rsidRPr="00A04C70">
        <w:rPr>
          <w:bCs/>
        </w:rPr>
        <w:t>ievērojusi Kriminālprocesa likumā noteiktās prasības</w:t>
      </w:r>
      <w:r w:rsidR="00330CB3">
        <w:rPr>
          <w:bCs/>
        </w:rPr>
        <w:t>.</w:t>
      </w:r>
    </w:p>
    <w:p w14:paraId="5496B62A" w14:textId="77777777" w:rsidR="00385CD5" w:rsidRDefault="00385CD5" w:rsidP="00332DDB">
      <w:pPr>
        <w:spacing w:line="276" w:lineRule="auto"/>
        <w:jc w:val="both"/>
        <w:rPr>
          <w:rFonts w:asciiTheme="majorBidi" w:hAnsiTheme="majorBidi" w:cstheme="majorBidi"/>
        </w:rPr>
      </w:pPr>
    </w:p>
    <w:p w14:paraId="34A7F073" w14:textId="53CAFA6C" w:rsidR="00CB1844" w:rsidRDefault="00385CD5" w:rsidP="00BA564F">
      <w:pPr>
        <w:spacing w:line="276" w:lineRule="auto"/>
        <w:ind w:firstLine="720"/>
        <w:jc w:val="both"/>
      </w:pPr>
      <w:r>
        <w:t>[8] Kriminālprocesa likuma 511.</w:t>
      </w:r>
      <w:r w:rsidR="00514CFD">
        <w:t> </w:t>
      </w:r>
      <w:r>
        <w:t xml:space="preserve">panta otrā daļa noteic, ka spriedumam jābūt tiesiskam un pamatotam. Atbilstoši Kriminālprocesa likuma 512. panta pirmajai daļai tiesa, taisot spriedumu, pamatojas uz materiālo un procesuālo tiesību normām. </w:t>
      </w:r>
      <w:r w:rsidR="00BA564F">
        <w:t>Savukārt p</w:t>
      </w:r>
      <w:r w:rsidR="00CB1844">
        <w:t>rasības apelācijas instances tiesas nolēmuma saturam noteiktas Kriminālprocesa likuma 564. pantā.</w:t>
      </w:r>
    </w:p>
    <w:p w14:paraId="3F6671A4" w14:textId="77777777" w:rsidR="00817984" w:rsidRPr="00844F10" w:rsidRDefault="00817984" w:rsidP="00817984">
      <w:pPr>
        <w:spacing w:line="276" w:lineRule="auto"/>
        <w:ind w:firstLine="720"/>
        <w:jc w:val="both"/>
        <w:rPr>
          <w:rFonts w:asciiTheme="majorBidi" w:hAnsiTheme="majorBidi" w:cstheme="majorBidi"/>
          <w:color w:val="000000" w:themeColor="text1"/>
          <w:shd w:val="clear" w:color="auto" w:fill="FFFFFF"/>
        </w:rPr>
      </w:pPr>
      <w:r w:rsidRPr="00844F10">
        <w:rPr>
          <w:rFonts w:asciiTheme="majorBidi" w:hAnsiTheme="majorBidi" w:cstheme="majorBidi"/>
          <w:color w:val="000000" w:themeColor="text1"/>
        </w:rPr>
        <w:t xml:space="preserve">Kriminālprocesa likuma 514. pantā norādīti tiesas apspriedē izlemjamie jautājumi. No šā panta pirmās daļas </w:t>
      </w:r>
      <w:r w:rsidRPr="00844F10">
        <w:rPr>
          <w:rFonts w:asciiTheme="majorBidi" w:hAnsiTheme="majorBidi" w:cstheme="majorBidi"/>
          <w:color w:val="000000" w:themeColor="text1"/>
          <w:shd w:val="clear" w:color="auto" w:fill="FFFFFF"/>
        </w:rPr>
        <w:t>11.</w:t>
      </w:r>
      <w:r w:rsidRPr="00844F10">
        <w:rPr>
          <w:rFonts w:asciiTheme="majorBidi" w:hAnsiTheme="majorBidi" w:cstheme="majorBidi"/>
          <w:color w:val="000000" w:themeColor="text1"/>
          <w:shd w:val="clear" w:color="auto" w:fill="FFFFFF"/>
          <w:vertAlign w:val="superscript"/>
        </w:rPr>
        <w:t>1 </w:t>
      </w:r>
      <w:r w:rsidRPr="00844F10">
        <w:rPr>
          <w:rFonts w:asciiTheme="majorBidi" w:hAnsiTheme="majorBidi" w:cstheme="majorBidi"/>
          <w:color w:val="000000" w:themeColor="text1"/>
          <w:shd w:val="clear" w:color="auto" w:fill="FFFFFF"/>
        </w:rPr>
        <w:t xml:space="preserve">punkta </w:t>
      </w:r>
      <w:r w:rsidRPr="00844F10">
        <w:rPr>
          <w:rFonts w:asciiTheme="majorBidi" w:hAnsiTheme="majorBidi" w:cstheme="majorBidi"/>
          <w:color w:val="000000" w:themeColor="text1"/>
        </w:rPr>
        <w:t xml:space="preserve">izriet, ka apspriedes laikā tiesa apspriežu istabā izlemj jautājumu, kā rīkoties ar </w:t>
      </w:r>
      <w:r w:rsidRPr="00844F10">
        <w:rPr>
          <w:rFonts w:asciiTheme="majorBidi" w:hAnsiTheme="majorBidi" w:cstheme="majorBidi"/>
          <w:color w:val="000000" w:themeColor="text1"/>
          <w:shd w:val="clear" w:color="auto" w:fill="FFFFFF"/>
        </w:rPr>
        <w:t>lietiskajiem pierādījumiem, dokumentiem, mantu, kas saistīta ar noziedzīgu nodarījumu, citiem procesa laikā izņemtajiem priekšmetiem un vērtībām un mantu, kurai uzlikts arests.</w:t>
      </w:r>
    </w:p>
    <w:p w14:paraId="58227432" w14:textId="77777777" w:rsidR="00817984" w:rsidRPr="00844F10" w:rsidRDefault="00817984" w:rsidP="00817984">
      <w:pPr>
        <w:spacing w:line="276" w:lineRule="auto"/>
        <w:ind w:firstLine="720"/>
        <w:jc w:val="both"/>
        <w:rPr>
          <w:rFonts w:asciiTheme="majorBidi" w:hAnsiTheme="majorBidi" w:cstheme="majorBidi"/>
          <w:color w:val="000000" w:themeColor="text1"/>
        </w:rPr>
      </w:pPr>
      <w:r w:rsidRPr="00844F10">
        <w:rPr>
          <w:color w:val="000000" w:themeColor="text1"/>
        </w:rPr>
        <w:t>Kriminālprocesa likuma 320. panta ceturtā daļa noteic, ka nolēmuma m</w:t>
      </w:r>
      <w:r w:rsidRPr="00844F10">
        <w:rPr>
          <w:color w:val="000000" w:themeColor="text1"/>
          <w:shd w:val="clear" w:color="auto" w:fill="FFFFFF"/>
        </w:rPr>
        <w:t xml:space="preserve">otīvu daļā norāda atsauci uz likumu, saskaņā ar kuru nolēmums pieņemts, un pamato izdarīto secinājumu. Savukārt </w:t>
      </w:r>
      <w:r w:rsidRPr="00844F10">
        <w:rPr>
          <w:color w:val="000000" w:themeColor="text1"/>
        </w:rPr>
        <w:t>Kriminālprocesa likuma 529. pantā noteikti sprieduma rezolutīvajā daļā norādāmie papildu jautājumi. Atbilstoši šā panta pirmās daļas 1. punktam s</w:t>
      </w:r>
      <w:r w:rsidRPr="00844F10">
        <w:rPr>
          <w:rFonts w:asciiTheme="majorBidi" w:hAnsiTheme="majorBidi" w:cstheme="majorBidi"/>
          <w:color w:val="000000" w:themeColor="text1"/>
        </w:rPr>
        <w:t>prieduma rezolutīvajā daļā papildus norāda tiesas lēmumu par 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p>
    <w:p w14:paraId="2B80C9DF" w14:textId="0ADB8D7D" w:rsidR="00817984" w:rsidRDefault="00817984" w:rsidP="004F7365">
      <w:pPr>
        <w:spacing w:line="276" w:lineRule="auto"/>
        <w:ind w:firstLine="709"/>
        <w:jc w:val="both"/>
        <w:rPr>
          <w:rFonts w:eastAsiaTheme="minorHAnsi"/>
          <w:lang w:eastAsia="en-US"/>
        </w:rPr>
      </w:pPr>
      <w:r>
        <w:rPr>
          <w:rFonts w:eastAsiaTheme="minorHAnsi"/>
          <w:lang w:eastAsia="en-US"/>
        </w:rPr>
        <w:t>[8.1] </w:t>
      </w:r>
      <w:bookmarkStart w:id="4" w:name="_Hlk136524739"/>
      <w:r>
        <w:rPr>
          <w:rFonts w:eastAsiaTheme="minorHAnsi"/>
          <w:lang w:eastAsia="en-US"/>
        </w:rPr>
        <w:t xml:space="preserve">Tiesas pienākums </w:t>
      </w:r>
      <w:proofErr w:type="gramStart"/>
      <w:r>
        <w:rPr>
          <w:rFonts w:eastAsiaTheme="minorHAnsi"/>
          <w:lang w:eastAsia="en-US"/>
        </w:rPr>
        <w:t>motivēt savu nolēmumu izriet no tiesībām uz taisnīgu tiesu; to savā praksē ir uzsvērusi</w:t>
      </w:r>
      <w:proofErr w:type="gramEnd"/>
      <w:r>
        <w:rPr>
          <w:rFonts w:eastAsiaTheme="minorHAnsi"/>
          <w:lang w:eastAsia="en-US"/>
        </w:rPr>
        <w:t xml:space="preserve"> gan Satversmes tiesa, gan Eiropas Cilvēktiesību tiesa, gan Senāts</w:t>
      </w:r>
      <w:bookmarkEnd w:id="4"/>
      <w:r>
        <w:rPr>
          <w:rFonts w:eastAsiaTheme="minorHAnsi"/>
          <w:lang w:eastAsia="en-US"/>
        </w:rPr>
        <w:t xml:space="preserve"> (</w:t>
      </w:r>
      <w:r w:rsidRPr="00F27314">
        <w:rPr>
          <w:rFonts w:eastAsiaTheme="minorHAnsi"/>
          <w:iCs/>
          <w:lang w:eastAsia="en-US"/>
        </w:rPr>
        <w:t>piemēram,</w:t>
      </w:r>
      <w:r w:rsidRPr="00FE2A28">
        <w:rPr>
          <w:rFonts w:eastAsiaTheme="minorHAnsi"/>
          <w:i/>
          <w:iCs/>
          <w:lang w:eastAsia="en-US"/>
        </w:rPr>
        <w:t xml:space="preserve"> </w:t>
      </w:r>
      <w:bookmarkStart w:id="5" w:name="_Hlk35329288"/>
      <w:r w:rsidRPr="00FE2A28">
        <w:rPr>
          <w:rFonts w:eastAsiaTheme="minorHAnsi"/>
          <w:i/>
          <w:iCs/>
          <w:lang w:eastAsia="en-US"/>
        </w:rPr>
        <w:t>Satversmes tiesas 2018.</w:t>
      </w:r>
      <w:r>
        <w:rPr>
          <w:rFonts w:eastAsiaTheme="minorHAnsi"/>
          <w:i/>
          <w:iCs/>
          <w:lang w:eastAsia="en-US"/>
        </w:rPr>
        <w:t> </w:t>
      </w:r>
      <w:r w:rsidRPr="00FE2A28">
        <w:rPr>
          <w:rFonts w:eastAsiaTheme="minorHAnsi"/>
          <w:i/>
          <w:iCs/>
          <w:lang w:eastAsia="en-US"/>
        </w:rPr>
        <w:t>gada 14.</w:t>
      </w:r>
      <w:r>
        <w:rPr>
          <w:rFonts w:eastAsiaTheme="minorHAnsi"/>
          <w:i/>
          <w:iCs/>
          <w:lang w:eastAsia="en-US"/>
        </w:rPr>
        <w:t> </w:t>
      </w:r>
      <w:r w:rsidRPr="00FE2A28">
        <w:rPr>
          <w:rFonts w:eastAsiaTheme="minorHAnsi"/>
          <w:i/>
          <w:iCs/>
          <w:lang w:eastAsia="en-US"/>
        </w:rPr>
        <w:t>jūnija spr</w:t>
      </w:r>
      <w:r>
        <w:rPr>
          <w:rFonts w:eastAsiaTheme="minorHAnsi"/>
          <w:i/>
          <w:iCs/>
          <w:lang w:eastAsia="en-US"/>
        </w:rPr>
        <w:t>iedum</w:t>
      </w:r>
      <w:r w:rsidR="003D027D">
        <w:rPr>
          <w:rFonts w:eastAsiaTheme="minorHAnsi"/>
          <w:i/>
          <w:iCs/>
          <w:lang w:eastAsia="en-US"/>
        </w:rPr>
        <w:t>a</w:t>
      </w:r>
      <w:r>
        <w:rPr>
          <w:rFonts w:eastAsiaTheme="minorHAnsi"/>
          <w:i/>
          <w:iCs/>
          <w:lang w:eastAsia="en-US"/>
        </w:rPr>
        <w:t xml:space="preserve"> lietā Nr</w:t>
      </w:r>
      <w:r w:rsidR="00B15959">
        <w:rPr>
          <w:rFonts w:eastAsiaTheme="minorHAnsi"/>
          <w:i/>
          <w:iCs/>
          <w:lang w:eastAsia="en-US"/>
        </w:rPr>
        <w:t>. </w:t>
      </w:r>
      <w:hyperlink r:id="rId8" w:anchor="search=2017-%2023-%2001" w:history="1">
        <w:r w:rsidR="00B15959" w:rsidRPr="00B15959">
          <w:rPr>
            <w:rStyle w:val="Hyperlink"/>
            <w:rFonts w:eastAsiaTheme="minorHAnsi"/>
            <w:i/>
            <w:iCs/>
            <w:lang w:eastAsia="en-US"/>
          </w:rPr>
          <w:t>2017-23-01</w:t>
        </w:r>
      </w:hyperlink>
      <w:r w:rsidR="00B15959">
        <w:rPr>
          <w:rStyle w:val="Hyperlink"/>
          <w:rFonts w:eastAsiaTheme="minorHAnsi"/>
          <w:i/>
          <w:iCs/>
          <w:color w:val="000000" w:themeColor="text1"/>
          <w:u w:val="none"/>
          <w:lang w:eastAsia="en-US"/>
        </w:rPr>
        <w:t xml:space="preserve"> </w:t>
      </w:r>
      <w:r w:rsidR="004F7365" w:rsidRPr="004F7365">
        <w:rPr>
          <w:rStyle w:val="Hyperlink"/>
          <w:rFonts w:eastAsiaTheme="minorHAnsi"/>
          <w:i/>
          <w:iCs/>
          <w:color w:val="000000" w:themeColor="text1"/>
          <w:u w:val="none"/>
          <w:lang w:eastAsia="en-US"/>
        </w:rPr>
        <w:t>secinājumu</w:t>
      </w:r>
      <w:r w:rsidR="004F7365" w:rsidRPr="004F7365">
        <w:rPr>
          <w:rStyle w:val="Hyperlink"/>
          <w:rFonts w:eastAsiaTheme="minorHAnsi"/>
          <w:i/>
          <w:iCs/>
          <w:color w:val="auto"/>
          <w:u w:val="none"/>
          <w:lang w:eastAsia="en-US"/>
        </w:rPr>
        <w:t xml:space="preserve"> daļas 14.2. punkts</w:t>
      </w:r>
      <w:r w:rsidR="004F7365">
        <w:rPr>
          <w:rStyle w:val="Hyperlink"/>
          <w:rFonts w:eastAsiaTheme="minorHAnsi"/>
          <w:i/>
          <w:iCs/>
          <w:color w:val="auto"/>
          <w:u w:val="none"/>
          <w:lang w:eastAsia="en-US"/>
        </w:rPr>
        <w:t>,</w:t>
      </w:r>
      <w:r w:rsidRPr="004F7365">
        <w:rPr>
          <w:rFonts w:eastAsiaTheme="minorHAnsi"/>
          <w:i/>
          <w:iCs/>
          <w:lang w:eastAsia="en-US"/>
        </w:rPr>
        <w:t xml:space="preserve"> </w:t>
      </w:r>
      <w:bookmarkStart w:id="6" w:name="_Hlk35329297"/>
      <w:bookmarkEnd w:id="5"/>
      <w:r w:rsidRPr="00FE2A28">
        <w:rPr>
          <w:rFonts w:eastAsiaTheme="minorHAnsi"/>
          <w:i/>
          <w:iCs/>
          <w:lang w:eastAsia="en-US"/>
        </w:rPr>
        <w:t>Eiropas Cilvēktiesību tiesas 1987.</w:t>
      </w:r>
      <w:r>
        <w:rPr>
          <w:rFonts w:eastAsiaTheme="minorHAnsi"/>
          <w:i/>
          <w:iCs/>
          <w:lang w:eastAsia="en-US"/>
        </w:rPr>
        <w:t> </w:t>
      </w:r>
      <w:r w:rsidRPr="00FE2A28">
        <w:rPr>
          <w:rFonts w:eastAsiaTheme="minorHAnsi"/>
          <w:i/>
          <w:iCs/>
          <w:lang w:eastAsia="en-US"/>
        </w:rPr>
        <w:t>gada 30.</w:t>
      </w:r>
      <w:r>
        <w:rPr>
          <w:rFonts w:eastAsiaTheme="minorHAnsi"/>
          <w:i/>
          <w:iCs/>
          <w:lang w:eastAsia="en-US"/>
        </w:rPr>
        <w:t> </w:t>
      </w:r>
      <w:r w:rsidRPr="00FE2A28">
        <w:rPr>
          <w:rFonts w:eastAsiaTheme="minorHAnsi"/>
          <w:i/>
          <w:iCs/>
          <w:lang w:eastAsia="en-US"/>
        </w:rPr>
        <w:t>novembra spriedum</w:t>
      </w:r>
      <w:r>
        <w:rPr>
          <w:rFonts w:eastAsiaTheme="minorHAnsi"/>
          <w:i/>
          <w:iCs/>
          <w:lang w:eastAsia="en-US"/>
        </w:rPr>
        <w:t>a</w:t>
      </w:r>
      <w:r w:rsidRPr="00FE2A28">
        <w:rPr>
          <w:rFonts w:eastAsiaTheme="minorHAnsi"/>
          <w:i/>
          <w:iCs/>
          <w:lang w:eastAsia="en-US"/>
        </w:rPr>
        <w:t xml:space="preserve"> lietā </w:t>
      </w:r>
      <w:r>
        <w:rPr>
          <w:rFonts w:eastAsiaTheme="minorHAnsi"/>
          <w:i/>
          <w:iCs/>
          <w:lang w:eastAsia="en-US"/>
        </w:rPr>
        <w:t>„</w:t>
      </w:r>
      <w:r w:rsidRPr="00FE2A28">
        <w:rPr>
          <w:rFonts w:eastAsiaTheme="minorHAnsi"/>
          <w:i/>
          <w:iCs/>
          <w:lang w:eastAsia="en-US"/>
        </w:rPr>
        <w:t xml:space="preserve">H. v. </w:t>
      </w:r>
      <w:proofErr w:type="spellStart"/>
      <w:r w:rsidRPr="00FE2A28">
        <w:rPr>
          <w:rFonts w:eastAsiaTheme="minorHAnsi"/>
          <w:i/>
          <w:iCs/>
          <w:lang w:eastAsia="en-US"/>
        </w:rPr>
        <w:t>Belgium</w:t>
      </w:r>
      <w:proofErr w:type="spellEnd"/>
      <w:r>
        <w:rPr>
          <w:rFonts w:eastAsiaTheme="minorHAnsi"/>
          <w:i/>
          <w:iCs/>
          <w:lang w:eastAsia="en-US"/>
        </w:rPr>
        <w:t>”</w:t>
      </w:r>
      <w:r w:rsidRPr="00FE2A28">
        <w:rPr>
          <w:rFonts w:eastAsiaTheme="minorHAnsi"/>
          <w:i/>
          <w:iCs/>
          <w:lang w:eastAsia="en-US"/>
        </w:rPr>
        <w:t xml:space="preserve">, </w:t>
      </w:r>
      <w:r>
        <w:rPr>
          <w:rFonts w:eastAsiaTheme="minorHAnsi"/>
          <w:i/>
          <w:iCs/>
          <w:lang w:eastAsia="en-US"/>
        </w:rPr>
        <w:t>iesnieguma Nr. </w:t>
      </w:r>
      <w:hyperlink r:id="rId9" w:anchor="{%22tabview%22:[%22document%22],%22itemid%22:[%22001-57501%22]}" w:history="1">
        <w:r w:rsidRPr="001049F2">
          <w:rPr>
            <w:rStyle w:val="Hyperlink"/>
            <w:rFonts w:eastAsiaTheme="minorHAnsi"/>
            <w:i/>
            <w:iCs/>
            <w:lang w:eastAsia="en-US"/>
          </w:rPr>
          <w:t>8950/80</w:t>
        </w:r>
      </w:hyperlink>
      <w:r>
        <w:rPr>
          <w:rFonts w:eastAsiaTheme="minorHAnsi"/>
          <w:i/>
          <w:iCs/>
          <w:lang w:eastAsia="en-US"/>
        </w:rPr>
        <w:t xml:space="preserve">, </w:t>
      </w:r>
      <w:r w:rsidRPr="00FE2A28">
        <w:rPr>
          <w:rFonts w:eastAsiaTheme="minorHAnsi"/>
          <w:i/>
          <w:iCs/>
          <w:lang w:eastAsia="en-US"/>
        </w:rPr>
        <w:t>53</w:t>
      </w:r>
      <w:r>
        <w:rPr>
          <w:rFonts w:eastAsiaTheme="minorHAnsi"/>
          <w:i/>
          <w:iCs/>
          <w:lang w:eastAsia="en-US"/>
        </w:rPr>
        <w:t>.</w:t>
      </w:r>
      <w:r w:rsidR="00B25448">
        <w:rPr>
          <w:rFonts w:eastAsiaTheme="minorHAnsi"/>
          <w:i/>
          <w:iCs/>
          <w:lang w:eastAsia="en-US"/>
        </w:rPr>
        <w:t> </w:t>
      </w:r>
      <w:r>
        <w:rPr>
          <w:rFonts w:eastAsiaTheme="minorHAnsi"/>
          <w:i/>
          <w:iCs/>
          <w:lang w:eastAsia="en-US"/>
        </w:rPr>
        <w:t>punkts</w:t>
      </w:r>
      <w:r w:rsidRPr="00FE2A28">
        <w:rPr>
          <w:rFonts w:eastAsiaTheme="minorHAnsi"/>
          <w:i/>
          <w:iCs/>
          <w:lang w:eastAsia="en-US"/>
        </w:rPr>
        <w:t>, 2003.</w:t>
      </w:r>
      <w:r>
        <w:rPr>
          <w:rFonts w:eastAsiaTheme="minorHAnsi"/>
          <w:i/>
          <w:iCs/>
          <w:lang w:eastAsia="en-US"/>
        </w:rPr>
        <w:t> </w:t>
      </w:r>
      <w:r w:rsidRPr="00FE2A28">
        <w:rPr>
          <w:rFonts w:eastAsiaTheme="minorHAnsi"/>
          <w:i/>
          <w:iCs/>
          <w:lang w:eastAsia="en-US"/>
        </w:rPr>
        <w:t>gada 1.</w:t>
      </w:r>
      <w:r>
        <w:rPr>
          <w:rFonts w:eastAsiaTheme="minorHAnsi"/>
          <w:i/>
          <w:iCs/>
          <w:lang w:eastAsia="en-US"/>
        </w:rPr>
        <w:t> </w:t>
      </w:r>
      <w:r w:rsidRPr="00FE2A28">
        <w:rPr>
          <w:rFonts w:eastAsiaTheme="minorHAnsi"/>
          <w:i/>
          <w:iCs/>
          <w:lang w:eastAsia="en-US"/>
        </w:rPr>
        <w:t>jūlija spriedum</w:t>
      </w:r>
      <w:r>
        <w:rPr>
          <w:rFonts w:eastAsiaTheme="minorHAnsi"/>
          <w:i/>
          <w:iCs/>
          <w:lang w:eastAsia="en-US"/>
        </w:rPr>
        <w:t>a</w:t>
      </w:r>
      <w:r w:rsidRPr="00FE2A28">
        <w:rPr>
          <w:rFonts w:eastAsiaTheme="minorHAnsi"/>
          <w:i/>
          <w:iCs/>
          <w:lang w:eastAsia="en-US"/>
        </w:rPr>
        <w:t xml:space="preserve"> lietā </w:t>
      </w:r>
      <w:r>
        <w:rPr>
          <w:rFonts w:eastAsiaTheme="minorHAnsi"/>
          <w:i/>
          <w:iCs/>
          <w:lang w:eastAsia="en-US"/>
        </w:rPr>
        <w:t>„</w:t>
      </w:r>
      <w:proofErr w:type="spellStart"/>
      <w:r w:rsidRPr="00FE2A28">
        <w:rPr>
          <w:rFonts w:eastAsiaTheme="minorHAnsi"/>
          <w:i/>
          <w:iCs/>
          <w:lang w:eastAsia="en-US"/>
        </w:rPr>
        <w:t>Suominen</w:t>
      </w:r>
      <w:proofErr w:type="spellEnd"/>
      <w:r w:rsidRPr="00FE2A28">
        <w:rPr>
          <w:rFonts w:eastAsiaTheme="minorHAnsi"/>
          <w:i/>
          <w:iCs/>
          <w:lang w:eastAsia="en-US"/>
        </w:rPr>
        <w:t xml:space="preserve"> v. </w:t>
      </w:r>
      <w:proofErr w:type="spellStart"/>
      <w:r w:rsidRPr="00FE2A28">
        <w:rPr>
          <w:rFonts w:eastAsiaTheme="minorHAnsi"/>
          <w:i/>
          <w:iCs/>
          <w:lang w:eastAsia="en-US"/>
        </w:rPr>
        <w:t>Finland</w:t>
      </w:r>
      <w:proofErr w:type="spellEnd"/>
      <w:r>
        <w:rPr>
          <w:rFonts w:eastAsiaTheme="minorHAnsi"/>
          <w:i/>
          <w:iCs/>
          <w:lang w:eastAsia="en-US"/>
        </w:rPr>
        <w:t>”</w:t>
      </w:r>
      <w:r w:rsidRPr="00FE2A28">
        <w:rPr>
          <w:rFonts w:eastAsiaTheme="minorHAnsi"/>
          <w:i/>
          <w:iCs/>
          <w:lang w:eastAsia="en-US"/>
        </w:rPr>
        <w:t>,</w:t>
      </w:r>
      <w:r>
        <w:rPr>
          <w:rFonts w:eastAsiaTheme="minorHAnsi"/>
          <w:i/>
          <w:iCs/>
          <w:lang w:eastAsia="en-US"/>
        </w:rPr>
        <w:t xml:space="preserve"> iesnieguma Nr. </w:t>
      </w:r>
      <w:hyperlink r:id="rId10" w:anchor="{%22tabview%22:[%22document%22],%22itemid%22:[%22001-61178%22]}" w:history="1">
        <w:r w:rsidRPr="001049F2">
          <w:rPr>
            <w:rStyle w:val="Hyperlink"/>
            <w:rFonts w:eastAsiaTheme="minorHAnsi"/>
            <w:i/>
            <w:iCs/>
            <w:lang w:eastAsia="en-US"/>
          </w:rPr>
          <w:t>37801/97</w:t>
        </w:r>
      </w:hyperlink>
      <w:r>
        <w:rPr>
          <w:rFonts w:eastAsiaTheme="minorHAnsi"/>
          <w:i/>
          <w:iCs/>
          <w:lang w:eastAsia="en-US"/>
        </w:rPr>
        <w:t>,</w:t>
      </w:r>
      <w:r w:rsidRPr="00FE2A28">
        <w:rPr>
          <w:rFonts w:eastAsiaTheme="minorHAnsi"/>
          <w:i/>
          <w:iCs/>
          <w:lang w:eastAsia="en-US"/>
        </w:rPr>
        <w:t xml:space="preserve"> 33</w:t>
      </w:r>
      <w:r>
        <w:rPr>
          <w:rFonts w:eastAsiaTheme="minorHAnsi"/>
          <w:i/>
          <w:iCs/>
          <w:lang w:eastAsia="en-US"/>
        </w:rPr>
        <w:t>.</w:t>
      </w:r>
      <w:r w:rsidRPr="00C7283C">
        <w:rPr>
          <w:shd w:val="clear" w:color="auto" w:fill="FFFFFF"/>
        </w:rPr>
        <w:t>–</w:t>
      </w:r>
      <w:r w:rsidRPr="00FE2A28">
        <w:rPr>
          <w:rFonts w:eastAsiaTheme="minorHAnsi"/>
          <w:i/>
          <w:iCs/>
          <w:lang w:eastAsia="en-US"/>
        </w:rPr>
        <w:t>38</w:t>
      </w:r>
      <w:r>
        <w:rPr>
          <w:rFonts w:eastAsiaTheme="minorHAnsi"/>
          <w:i/>
          <w:iCs/>
          <w:lang w:eastAsia="en-US"/>
        </w:rPr>
        <w:t>. punkts</w:t>
      </w:r>
      <w:r w:rsidRPr="00FE2A28">
        <w:rPr>
          <w:rFonts w:eastAsiaTheme="minorHAnsi"/>
          <w:i/>
          <w:iCs/>
          <w:lang w:eastAsia="en-US"/>
        </w:rPr>
        <w:t xml:space="preserve"> un</w:t>
      </w:r>
      <w:r>
        <w:rPr>
          <w:rFonts w:eastAsiaTheme="minorHAnsi"/>
          <w:i/>
          <w:iCs/>
          <w:lang w:eastAsia="en-US"/>
        </w:rPr>
        <w:t xml:space="preserve"> 2016. gada 29. novembra sprieduma</w:t>
      </w:r>
      <w:r w:rsidRPr="00FE2A28">
        <w:rPr>
          <w:rFonts w:eastAsiaTheme="minorHAnsi"/>
          <w:i/>
          <w:iCs/>
          <w:lang w:eastAsia="en-US"/>
        </w:rPr>
        <w:t xml:space="preserve"> lietā </w:t>
      </w:r>
      <w:r>
        <w:rPr>
          <w:rFonts w:eastAsiaTheme="minorHAnsi"/>
          <w:i/>
          <w:iCs/>
          <w:lang w:eastAsia="en-US"/>
        </w:rPr>
        <w:t>„</w:t>
      </w:r>
      <w:proofErr w:type="spellStart"/>
      <w:r w:rsidRPr="00FE2A28">
        <w:rPr>
          <w:rFonts w:eastAsiaTheme="minorHAnsi"/>
          <w:i/>
          <w:iCs/>
          <w:lang w:eastAsia="en-US"/>
        </w:rPr>
        <w:t>Carmel</w:t>
      </w:r>
      <w:proofErr w:type="spellEnd"/>
      <w:r w:rsidRPr="00FE2A28">
        <w:rPr>
          <w:rFonts w:eastAsiaTheme="minorHAnsi"/>
          <w:i/>
          <w:iCs/>
          <w:lang w:eastAsia="en-US"/>
        </w:rPr>
        <w:t xml:space="preserve"> </w:t>
      </w:r>
      <w:proofErr w:type="spellStart"/>
      <w:r w:rsidRPr="00FE2A28">
        <w:rPr>
          <w:rFonts w:eastAsiaTheme="minorHAnsi"/>
          <w:i/>
          <w:iCs/>
          <w:lang w:eastAsia="en-US"/>
        </w:rPr>
        <w:t>Saliba</w:t>
      </w:r>
      <w:proofErr w:type="spellEnd"/>
      <w:r w:rsidRPr="00FE2A28">
        <w:rPr>
          <w:rFonts w:eastAsiaTheme="minorHAnsi"/>
          <w:i/>
          <w:iCs/>
          <w:lang w:eastAsia="en-US"/>
        </w:rPr>
        <w:t xml:space="preserve"> v. Malta</w:t>
      </w:r>
      <w:r>
        <w:rPr>
          <w:rFonts w:eastAsiaTheme="minorHAnsi"/>
          <w:i/>
          <w:iCs/>
          <w:lang w:eastAsia="en-US"/>
        </w:rPr>
        <w:t>”</w:t>
      </w:r>
      <w:r w:rsidRPr="00FE2A28">
        <w:rPr>
          <w:rFonts w:eastAsiaTheme="minorHAnsi"/>
          <w:i/>
          <w:iCs/>
          <w:lang w:eastAsia="en-US"/>
        </w:rPr>
        <w:t xml:space="preserve">, </w:t>
      </w:r>
      <w:r>
        <w:rPr>
          <w:rFonts w:eastAsiaTheme="minorHAnsi"/>
          <w:i/>
          <w:iCs/>
          <w:lang w:eastAsia="en-US"/>
        </w:rPr>
        <w:t>iesnieguma Nr. </w:t>
      </w:r>
      <w:hyperlink r:id="rId11" w:anchor="{%22tabview%22:[%22document%22],%22itemid%22:[%22001-169057%22]}" w:history="1">
        <w:r w:rsidRPr="001049F2">
          <w:rPr>
            <w:rStyle w:val="Hyperlink"/>
            <w:rFonts w:eastAsiaTheme="minorHAnsi"/>
            <w:i/>
            <w:iCs/>
            <w:lang w:eastAsia="en-US"/>
          </w:rPr>
          <w:t>24221/13</w:t>
        </w:r>
      </w:hyperlink>
      <w:r>
        <w:rPr>
          <w:rFonts w:eastAsiaTheme="minorHAnsi"/>
          <w:i/>
          <w:iCs/>
          <w:lang w:eastAsia="en-US"/>
        </w:rPr>
        <w:t xml:space="preserve">, </w:t>
      </w:r>
      <w:r w:rsidRPr="00FE2A28">
        <w:rPr>
          <w:rFonts w:eastAsiaTheme="minorHAnsi"/>
          <w:i/>
          <w:iCs/>
          <w:lang w:eastAsia="en-US"/>
        </w:rPr>
        <w:t>71</w:t>
      </w:r>
      <w:r>
        <w:rPr>
          <w:rFonts w:eastAsiaTheme="minorHAnsi"/>
          <w:i/>
          <w:iCs/>
          <w:lang w:eastAsia="en-US"/>
        </w:rPr>
        <w:t>.</w:t>
      </w:r>
      <w:r w:rsidRPr="00C7283C">
        <w:rPr>
          <w:shd w:val="clear" w:color="auto" w:fill="FFFFFF"/>
        </w:rPr>
        <w:t>–</w:t>
      </w:r>
      <w:r w:rsidRPr="00FE2A28">
        <w:rPr>
          <w:rFonts w:eastAsiaTheme="minorHAnsi"/>
          <w:i/>
          <w:iCs/>
          <w:lang w:eastAsia="en-US"/>
        </w:rPr>
        <w:t>77</w:t>
      </w:r>
      <w:r>
        <w:rPr>
          <w:rFonts w:eastAsiaTheme="minorHAnsi"/>
          <w:i/>
          <w:iCs/>
          <w:lang w:eastAsia="en-US"/>
        </w:rPr>
        <w:t>. punkts</w:t>
      </w:r>
      <w:bookmarkEnd w:id="6"/>
      <w:r w:rsidRPr="00FE2A28">
        <w:rPr>
          <w:rFonts w:eastAsiaTheme="minorHAnsi"/>
          <w:i/>
          <w:iCs/>
          <w:lang w:eastAsia="en-US"/>
        </w:rPr>
        <w:t xml:space="preserve">, </w:t>
      </w:r>
      <w:bookmarkStart w:id="7" w:name="_Hlk35329319"/>
      <w:r w:rsidRPr="00FE2A28">
        <w:rPr>
          <w:rFonts w:eastAsiaTheme="minorHAnsi"/>
          <w:i/>
          <w:iCs/>
          <w:lang w:eastAsia="en-US"/>
        </w:rPr>
        <w:t>Senāta 2019.</w:t>
      </w:r>
      <w:r>
        <w:rPr>
          <w:rFonts w:eastAsiaTheme="minorHAnsi"/>
          <w:i/>
          <w:iCs/>
          <w:lang w:eastAsia="en-US"/>
        </w:rPr>
        <w:t> </w:t>
      </w:r>
      <w:r w:rsidRPr="00FE2A28">
        <w:rPr>
          <w:rFonts w:eastAsiaTheme="minorHAnsi"/>
          <w:i/>
          <w:iCs/>
          <w:lang w:eastAsia="en-US"/>
        </w:rPr>
        <w:t>ga</w:t>
      </w:r>
      <w:r>
        <w:rPr>
          <w:rFonts w:eastAsiaTheme="minorHAnsi"/>
          <w:i/>
          <w:iCs/>
          <w:lang w:eastAsia="en-US"/>
        </w:rPr>
        <w:t>da 29. maija spriedum</w:t>
      </w:r>
      <w:r w:rsidR="00823501">
        <w:rPr>
          <w:rFonts w:eastAsiaTheme="minorHAnsi"/>
          <w:i/>
          <w:iCs/>
          <w:lang w:eastAsia="en-US"/>
        </w:rPr>
        <w:t>a</w:t>
      </w:r>
      <w:r>
        <w:rPr>
          <w:rFonts w:eastAsiaTheme="minorHAnsi"/>
          <w:i/>
          <w:iCs/>
          <w:lang w:eastAsia="en-US"/>
        </w:rPr>
        <w:t xml:space="preserve"> lietā Nr. </w:t>
      </w:r>
      <w:r w:rsidRPr="00FE2A28">
        <w:rPr>
          <w:i/>
          <w:iCs/>
        </w:rPr>
        <w:t>SKA-274/2019</w:t>
      </w:r>
      <w:r>
        <w:rPr>
          <w:i/>
          <w:iCs/>
        </w:rPr>
        <w:t xml:space="preserve">, </w:t>
      </w:r>
      <w:hyperlink r:id="rId12" w:history="1">
        <w:r w:rsidRPr="001049F2">
          <w:rPr>
            <w:rStyle w:val="Hyperlink"/>
            <w:i/>
          </w:rPr>
          <w:t>ECLI:LV:AT:2019:0529.A420367614.3.S</w:t>
        </w:r>
      </w:hyperlink>
      <w:bookmarkEnd w:id="7"/>
      <w:r w:rsidR="004F7365">
        <w:rPr>
          <w:rStyle w:val="Hyperlink"/>
          <w:iCs/>
          <w:color w:val="000000" w:themeColor="text1"/>
          <w:u w:val="none"/>
        </w:rPr>
        <w:t xml:space="preserve">, </w:t>
      </w:r>
      <w:r w:rsidR="004F7365" w:rsidRPr="004F7365">
        <w:rPr>
          <w:rStyle w:val="Hyperlink"/>
          <w:i/>
          <w:color w:val="000000" w:themeColor="text1"/>
          <w:u w:val="none"/>
        </w:rPr>
        <w:t>7.</w:t>
      </w:r>
      <w:r w:rsidR="004F7365">
        <w:rPr>
          <w:rStyle w:val="Hyperlink"/>
          <w:i/>
          <w:color w:val="000000" w:themeColor="text1"/>
          <w:u w:val="none"/>
        </w:rPr>
        <w:t> </w:t>
      </w:r>
      <w:r w:rsidR="004F7365" w:rsidRPr="004F7365">
        <w:rPr>
          <w:rStyle w:val="Hyperlink"/>
          <w:i/>
          <w:color w:val="000000" w:themeColor="text1"/>
          <w:u w:val="none"/>
        </w:rPr>
        <w:t>punkts</w:t>
      </w:r>
      <w:r>
        <w:rPr>
          <w:rFonts w:eastAsiaTheme="minorHAnsi"/>
          <w:lang w:eastAsia="en-US"/>
        </w:rPr>
        <w:t>).</w:t>
      </w:r>
    </w:p>
    <w:p w14:paraId="06CD31BA" w14:textId="77777777" w:rsidR="00817984" w:rsidRDefault="00817984" w:rsidP="00817984">
      <w:pPr>
        <w:spacing w:line="276" w:lineRule="auto"/>
        <w:ind w:firstLine="709"/>
        <w:jc w:val="both"/>
      </w:pPr>
      <w:r>
        <w:rPr>
          <w:rFonts w:eastAsiaTheme="minorHAnsi"/>
          <w:lang w:eastAsia="en-US"/>
        </w:rPr>
        <w:t xml:space="preserve">No Eiropas Cilvēktiesību tiesas judikatūras izriet, ka spriedumu var atzīt par pienācīgi motivētu tad, ja </w:t>
      </w:r>
      <w:r w:rsidRPr="001A3806">
        <w:rPr>
          <w:rFonts w:eastAsiaTheme="minorHAnsi"/>
          <w:lang w:eastAsia="en-US"/>
        </w:rPr>
        <w:t>tas atbils</w:t>
      </w:r>
      <w:r>
        <w:rPr>
          <w:rFonts w:eastAsiaTheme="minorHAnsi"/>
          <w:lang w:eastAsia="en-US"/>
        </w:rPr>
        <w:t>t šādiem diviem kritērijiem: 1) </w:t>
      </w:r>
      <w:r w:rsidRPr="001A3806">
        <w:rPr>
          <w:rFonts w:eastAsiaTheme="minorHAnsi"/>
          <w:lang w:eastAsia="en-US"/>
        </w:rPr>
        <w:t xml:space="preserve">spriedums ir tāds, kas </w:t>
      </w:r>
      <w:r w:rsidRPr="001A3806">
        <w:t xml:space="preserve">ļauj saprast, kāpēc (kādu apsvērumu dēļ) tiesa nonākusi tieši pie tāda un ne citāda lietas izskatīšanas rezultāta </w:t>
      </w:r>
      <w:proofErr w:type="gramStart"/>
      <w:r w:rsidRPr="001A3806">
        <w:t>(</w:t>
      </w:r>
      <w:proofErr w:type="gramEnd"/>
      <w:r w:rsidRPr="001A3806">
        <w:t>tas ir būtiski ne tikai no procesa dalībnieku viedokļa, bet arī no sabiedrības viedokļa, jo sabiedrībai ir tiesības sekot līdzi tam, kā tiesas pilda tām uzticēto publisko funkciju)</w:t>
      </w:r>
      <w:r>
        <w:t>, un 2) </w:t>
      </w:r>
      <w:r w:rsidRPr="001A3806">
        <w:t xml:space="preserve">spriedums ir tāds, kas ļauj procesa dalībniekiem saprast, ka tie ir pienācīgi uzklausīti (sadzirdēti) </w:t>
      </w:r>
      <w:r w:rsidRPr="00063477">
        <w:t>(</w:t>
      </w:r>
      <w:r w:rsidRPr="00F5359A">
        <w:rPr>
          <w:i/>
          <w:iCs/>
        </w:rPr>
        <w:t>Eiropas Cilvēktiesību tiesas</w:t>
      </w:r>
      <w:r>
        <w:t xml:space="preserve"> </w:t>
      </w:r>
      <w:r w:rsidRPr="00FE2A28">
        <w:rPr>
          <w:rFonts w:eastAsiaTheme="minorHAnsi"/>
          <w:i/>
          <w:iCs/>
          <w:lang w:eastAsia="en-US"/>
        </w:rPr>
        <w:t>2003.</w:t>
      </w:r>
      <w:r>
        <w:rPr>
          <w:rFonts w:eastAsiaTheme="minorHAnsi"/>
          <w:i/>
          <w:iCs/>
          <w:lang w:eastAsia="en-US"/>
        </w:rPr>
        <w:t> </w:t>
      </w:r>
      <w:r w:rsidRPr="00FE2A28">
        <w:rPr>
          <w:rFonts w:eastAsiaTheme="minorHAnsi"/>
          <w:i/>
          <w:iCs/>
          <w:lang w:eastAsia="en-US"/>
        </w:rPr>
        <w:t>gada 1.</w:t>
      </w:r>
      <w:r>
        <w:rPr>
          <w:rFonts w:eastAsiaTheme="minorHAnsi"/>
          <w:i/>
          <w:iCs/>
          <w:lang w:eastAsia="en-US"/>
        </w:rPr>
        <w:t> </w:t>
      </w:r>
      <w:r w:rsidRPr="00FE2A28">
        <w:rPr>
          <w:rFonts w:eastAsiaTheme="minorHAnsi"/>
          <w:i/>
          <w:iCs/>
          <w:lang w:eastAsia="en-US"/>
        </w:rPr>
        <w:t>jūlija spriedum</w:t>
      </w:r>
      <w:r>
        <w:rPr>
          <w:rFonts w:eastAsiaTheme="minorHAnsi"/>
          <w:i/>
          <w:iCs/>
          <w:lang w:eastAsia="en-US"/>
        </w:rPr>
        <w:t>a</w:t>
      </w:r>
      <w:r w:rsidRPr="00FE2A28">
        <w:rPr>
          <w:rFonts w:eastAsiaTheme="minorHAnsi"/>
          <w:i/>
          <w:iCs/>
          <w:lang w:eastAsia="en-US"/>
        </w:rPr>
        <w:t xml:space="preserve"> lietā </w:t>
      </w:r>
      <w:r>
        <w:rPr>
          <w:rFonts w:eastAsiaTheme="minorHAnsi"/>
          <w:i/>
          <w:iCs/>
          <w:lang w:eastAsia="en-US"/>
        </w:rPr>
        <w:t>„</w:t>
      </w:r>
      <w:proofErr w:type="spellStart"/>
      <w:r w:rsidRPr="00FE2A28">
        <w:rPr>
          <w:rFonts w:eastAsiaTheme="minorHAnsi"/>
          <w:i/>
          <w:iCs/>
          <w:lang w:eastAsia="en-US"/>
        </w:rPr>
        <w:t>Suominen</w:t>
      </w:r>
      <w:proofErr w:type="spellEnd"/>
      <w:r w:rsidRPr="00FE2A28">
        <w:rPr>
          <w:rFonts w:eastAsiaTheme="minorHAnsi"/>
          <w:i/>
          <w:iCs/>
          <w:lang w:eastAsia="en-US"/>
        </w:rPr>
        <w:t xml:space="preserve"> v. </w:t>
      </w:r>
      <w:proofErr w:type="spellStart"/>
      <w:r w:rsidRPr="00FE2A28">
        <w:rPr>
          <w:rFonts w:eastAsiaTheme="minorHAnsi"/>
          <w:i/>
          <w:iCs/>
          <w:lang w:eastAsia="en-US"/>
        </w:rPr>
        <w:t>Finland</w:t>
      </w:r>
      <w:proofErr w:type="spellEnd"/>
      <w:r>
        <w:rPr>
          <w:rFonts w:eastAsiaTheme="minorHAnsi"/>
          <w:i/>
          <w:iCs/>
          <w:lang w:eastAsia="en-US"/>
        </w:rPr>
        <w:t>”</w:t>
      </w:r>
      <w:r w:rsidRPr="00FE2A28">
        <w:rPr>
          <w:rFonts w:eastAsiaTheme="minorHAnsi"/>
          <w:i/>
          <w:iCs/>
          <w:lang w:eastAsia="en-US"/>
        </w:rPr>
        <w:t xml:space="preserve">, </w:t>
      </w:r>
      <w:r>
        <w:rPr>
          <w:rFonts w:eastAsiaTheme="minorHAnsi"/>
          <w:i/>
          <w:iCs/>
          <w:lang w:eastAsia="en-US"/>
        </w:rPr>
        <w:t>iesnieguma Nr. </w:t>
      </w:r>
      <w:hyperlink r:id="rId13" w:anchor="{%22tabview%22:[%22document%22],%22itemid%22:[%22001-61178%22]}" w:history="1">
        <w:r w:rsidRPr="00F5359A">
          <w:rPr>
            <w:rStyle w:val="Hyperlink"/>
            <w:rFonts w:eastAsiaTheme="minorHAnsi"/>
            <w:i/>
            <w:iCs/>
            <w:lang w:eastAsia="en-US"/>
          </w:rPr>
          <w:t>37801/97</w:t>
        </w:r>
      </w:hyperlink>
      <w:r>
        <w:rPr>
          <w:rFonts w:eastAsiaTheme="minorHAnsi"/>
          <w:i/>
          <w:iCs/>
          <w:lang w:eastAsia="en-US"/>
        </w:rPr>
        <w:t xml:space="preserve">, </w:t>
      </w:r>
      <w:r w:rsidRPr="00FE2A28">
        <w:rPr>
          <w:rFonts w:eastAsiaTheme="minorHAnsi"/>
          <w:i/>
          <w:iCs/>
          <w:lang w:eastAsia="en-US"/>
        </w:rPr>
        <w:t>3</w:t>
      </w:r>
      <w:r>
        <w:rPr>
          <w:rFonts w:eastAsiaTheme="minorHAnsi"/>
          <w:i/>
          <w:iCs/>
          <w:lang w:eastAsia="en-US"/>
        </w:rPr>
        <w:t>7.</w:t>
      </w:r>
      <w:r w:rsidRPr="00C7283C">
        <w:rPr>
          <w:shd w:val="clear" w:color="auto" w:fill="FFFFFF"/>
        </w:rPr>
        <w:t>–</w:t>
      </w:r>
      <w:r>
        <w:rPr>
          <w:rFonts w:eastAsiaTheme="minorHAnsi"/>
          <w:i/>
          <w:iCs/>
          <w:lang w:eastAsia="en-US"/>
        </w:rPr>
        <w:t>38.</w:t>
      </w:r>
      <w:r>
        <w:rPr>
          <w:rFonts w:eastAsiaTheme="minorHAnsi"/>
        </w:rPr>
        <w:t> </w:t>
      </w:r>
      <w:r>
        <w:rPr>
          <w:rFonts w:eastAsiaTheme="minorHAnsi"/>
          <w:i/>
          <w:iCs/>
          <w:lang w:eastAsia="en-US"/>
        </w:rPr>
        <w:t xml:space="preserve">punkts, </w:t>
      </w:r>
      <w:r w:rsidRPr="00233AAE">
        <w:rPr>
          <w:i/>
          <w:iCs/>
        </w:rPr>
        <w:t>2007.</w:t>
      </w:r>
      <w:r>
        <w:rPr>
          <w:i/>
          <w:iCs/>
        </w:rPr>
        <w:t> gada 28. jūnija sprieduma lietā „</w:t>
      </w:r>
      <w:proofErr w:type="spellStart"/>
      <w:r w:rsidRPr="00233AAE">
        <w:rPr>
          <w:i/>
          <w:iCs/>
        </w:rPr>
        <w:t>Wagner</w:t>
      </w:r>
      <w:proofErr w:type="spellEnd"/>
      <w:r w:rsidRPr="00233AAE">
        <w:rPr>
          <w:i/>
          <w:iCs/>
        </w:rPr>
        <w:t xml:space="preserve"> </w:t>
      </w:r>
      <w:proofErr w:type="spellStart"/>
      <w:r w:rsidRPr="00233AAE">
        <w:rPr>
          <w:i/>
          <w:iCs/>
        </w:rPr>
        <w:t>and</w:t>
      </w:r>
      <w:proofErr w:type="spellEnd"/>
      <w:r w:rsidRPr="00233AAE">
        <w:rPr>
          <w:i/>
          <w:iCs/>
        </w:rPr>
        <w:t xml:space="preserve"> J.M.W.L. v. </w:t>
      </w:r>
      <w:proofErr w:type="spellStart"/>
      <w:r w:rsidRPr="00233AAE">
        <w:rPr>
          <w:i/>
          <w:iCs/>
        </w:rPr>
        <w:t>Luxembourg</w:t>
      </w:r>
      <w:proofErr w:type="spellEnd"/>
      <w:r>
        <w:rPr>
          <w:i/>
          <w:iCs/>
        </w:rPr>
        <w:t>”</w:t>
      </w:r>
      <w:r w:rsidRPr="00233AAE">
        <w:rPr>
          <w:i/>
          <w:iCs/>
        </w:rPr>
        <w:t xml:space="preserve">, </w:t>
      </w:r>
      <w:r>
        <w:rPr>
          <w:i/>
          <w:iCs/>
        </w:rPr>
        <w:t>iesnieguma Nr. </w:t>
      </w:r>
      <w:hyperlink r:id="rId14" w:anchor="{%22tabview%22:[%22document%22],%22itemid%22:[%22001-81328%22]}" w:history="1">
        <w:r w:rsidRPr="00F5359A">
          <w:rPr>
            <w:rStyle w:val="Hyperlink"/>
            <w:i/>
            <w:iCs/>
          </w:rPr>
          <w:t>76240/01</w:t>
        </w:r>
      </w:hyperlink>
      <w:r>
        <w:rPr>
          <w:i/>
          <w:iCs/>
        </w:rPr>
        <w:t>,</w:t>
      </w:r>
      <w:r w:rsidRPr="00233AAE">
        <w:rPr>
          <w:i/>
          <w:iCs/>
        </w:rPr>
        <w:t xml:space="preserve"> </w:t>
      </w:r>
      <w:r w:rsidRPr="009B4E26">
        <w:rPr>
          <w:i/>
          <w:iCs/>
        </w:rPr>
        <w:t>89</w:t>
      </w:r>
      <w:r>
        <w:rPr>
          <w:i/>
          <w:iCs/>
        </w:rPr>
        <w:t>. punkts</w:t>
      </w:r>
      <w:r w:rsidRPr="00722748">
        <w:rPr>
          <w:rFonts w:eastAsiaTheme="minorHAnsi"/>
          <w:lang w:eastAsia="en-US"/>
        </w:rPr>
        <w:t>)</w:t>
      </w:r>
      <w:r w:rsidRPr="00063477">
        <w:t>.</w:t>
      </w:r>
      <w:r>
        <w:t xml:space="preserve"> </w:t>
      </w:r>
    </w:p>
    <w:p w14:paraId="08F96B84" w14:textId="2899B7B1" w:rsidR="00817984" w:rsidRDefault="00817984" w:rsidP="0048369D">
      <w:pPr>
        <w:spacing w:line="276" w:lineRule="auto"/>
        <w:ind w:firstLine="709"/>
        <w:jc w:val="both"/>
      </w:pPr>
      <w:r w:rsidRPr="003A746C">
        <w:t xml:space="preserve">Satversmes tiesa norādījusi, ka motivēta nolēmuma mērķis ir nodrošināt, lai gan lietas dalībnieki, gan sabiedrība varētu saprast, kā tiesa nonākusi pie tieši tāda un ne citāda lietas iznākuma un tādējādi izslēgt tiesas patvaļas iespējamību </w:t>
      </w:r>
      <w:proofErr w:type="gramStart"/>
      <w:r w:rsidRPr="003A746C">
        <w:t>(</w:t>
      </w:r>
      <w:bookmarkStart w:id="8" w:name="_Hlk116049946"/>
      <w:proofErr w:type="gramEnd"/>
      <w:r w:rsidRPr="00EB0481">
        <w:rPr>
          <w:i/>
          <w:iCs/>
        </w:rPr>
        <w:t>Satversmes tiesas 2018.</w:t>
      </w:r>
      <w:r>
        <w:rPr>
          <w:i/>
          <w:iCs/>
        </w:rPr>
        <w:t> </w:t>
      </w:r>
      <w:r w:rsidRPr="00EB0481">
        <w:rPr>
          <w:i/>
          <w:iCs/>
        </w:rPr>
        <w:t>gada 15.</w:t>
      </w:r>
      <w:r>
        <w:rPr>
          <w:i/>
          <w:iCs/>
        </w:rPr>
        <w:t> </w:t>
      </w:r>
      <w:r w:rsidRPr="00EB0481">
        <w:rPr>
          <w:i/>
          <w:iCs/>
        </w:rPr>
        <w:t>marta sprieduma lietā Nr. </w:t>
      </w:r>
      <w:hyperlink r:id="rId15" w:anchor="search=2017-16-01" w:history="1">
        <w:r w:rsidRPr="00F5359A">
          <w:rPr>
            <w:rStyle w:val="Hyperlink"/>
            <w:i/>
            <w:iCs/>
          </w:rPr>
          <w:t>2017-16-01</w:t>
        </w:r>
        <w:bookmarkEnd w:id="8"/>
      </w:hyperlink>
      <w:r w:rsidRPr="00EB0481">
        <w:rPr>
          <w:i/>
          <w:iCs/>
        </w:rPr>
        <w:t xml:space="preserve"> 16.</w:t>
      </w:r>
      <w:r w:rsidR="0048369D">
        <w:rPr>
          <w:i/>
          <w:iCs/>
        </w:rPr>
        <w:t> </w:t>
      </w:r>
      <w:r w:rsidRPr="00EB0481">
        <w:rPr>
          <w:i/>
          <w:iCs/>
        </w:rPr>
        <w:t>punkts</w:t>
      </w:r>
      <w:r w:rsidRPr="003A746C">
        <w:t>).</w:t>
      </w:r>
    </w:p>
    <w:p w14:paraId="639E4A3E" w14:textId="77777777" w:rsidR="00817984" w:rsidRPr="003D223A" w:rsidRDefault="00817984" w:rsidP="00817984">
      <w:pPr>
        <w:spacing w:line="276" w:lineRule="auto"/>
        <w:ind w:firstLine="709"/>
        <w:jc w:val="both"/>
        <w:rPr>
          <w:color w:val="000000"/>
        </w:rPr>
      </w:pPr>
      <w:r>
        <w:t xml:space="preserve">Senāts ir uzsvēris, ka tiesas nolēmuma pamatotība ir viens no procesuālā taisnīguma nodrošināšanas līdzekļiem, un atbilstoši tai tiesai ir pienākums motivēt savu nolēmumu. </w:t>
      </w:r>
      <w:r>
        <w:rPr>
          <w:color w:val="000000"/>
        </w:rPr>
        <w:t xml:space="preserve">Kriminālprocesa likuma prasība par motivētu nolēmumu ir ievērota, ja tiesa </w:t>
      </w:r>
      <w:r w:rsidRPr="002C4772">
        <w:rPr>
          <w:color w:val="000000"/>
        </w:rPr>
        <w:t>ir motivējusi visus būtiskos atzinumus, kuriem ir nozīme lietas taisnīgā izspriešanā, un</w:t>
      </w:r>
      <w:r>
        <w:rPr>
          <w:color w:val="000000"/>
        </w:rPr>
        <w:t xml:space="preserve"> motīvu izklāsta apjoms ļauj saprast, kā tiesa nonākusi pie šiem </w:t>
      </w:r>
      <w:r w:rsidRPr="003D223A">
        <w:rPr>
          <w:color w:val="000000"/>
        </w:rPr>
        <w:t xml:space="preserve">atzinumiem </w:t>
      </w:r>
      <w:proofErr w:type="gramStart"/>
      <w:r w:rsidRPr="003D223A">
        <w:rPr>
          <w:color w:val="000000"/>
        </w:rPr>
        <w:t>(</w:t>
      </w:r>
      <w:proofErr w:type="gramEnd"/>
      <w:r w:rsidRPr="003D223A">
        <w:rPr>
          <w:bCs/>
          <w:i/>
          <w:iCs/>
        </w:rPr>
        <w:t xml:space="preserve">Senāta 2022. gada 5. jūlija </w:t>
      </w:r>
      <w:r w:rsidRPr="00EC74A9">
        <w:rPr>
          <w:rFonts w:asciiTheme="majorBidi" w:hAnsiTheme="majorBidi" w:cstheme="majorBidi"/>
          <w:i/>
          <w:iCs/>
          <w:color w:val="000000" w:themeColor="text1"/>
        </w:rPr>
        <w:t>lēmuma lietā Nr. </w:t>
      </w:r>
      <w:r w:rsidRPr="003D223A">
        <w:rPr>
          <w:bCs/>
          <w:i/>
          <w:iCs/>
        </w:rPr>
        <w:t xml:space="preserve">SKK-1/2022 </w:t>
      </w:r>
      <w:hyperlink r:id="rId16" w:history="1">
        <w:r w:rsidRPr="003D223A">
          <w:rPr>
            <w:rStyle w:val="Hyperlink"/>
            <w:bCs/>
            <w:i/>
            <w:iCs/>
          </w:rPr>
          <w:t>ECLI:LV:AT:2022:0705.11816006914.4.L</w:t>
        </w:r>
      </w:hyperlink>
      <w:r w:rsidRPr="003D223A">
        <w:rPr>
          <w:bCs/>
          <w:i/>
          <w:iCs/>
        </w:rPr>
        <w:t>, 18.</w:t>
      </w:r>
      <w:r>
        <w:rPr>
          <w:bCs/>
          <w:i/>
          <w:iCs/>
        </w:rPr>
        <w:t> </w:t>
      </w:r>
      <w:r w:rsidRPr="00EC74A9">
        <w:rPr>
          <w:rFonts w:asciiTheme="majorBidi" w:hAnsiTheme="majorBidi" w:cstheme="majorBidi"/>
          <w:i/>
          <w:iCs/>
          <w:color w:val="000000" w:themeColor="text1"/>
        </w:rPr>
        <w:t>punkts</w:t>
      </w:r>
      <w:r w:rsidRPr="003D223A">
        <w:rPr>
          <w:color w:val="000000"/>
        </w:rPr>
        <w:t>).</w:t>
      </w:r>
    </w:p>
    <w:p w14:paraId="445AC38B" w14:textId="5F665537" w:rsidR="00385CD5" w:rsidRPr="00E90409" w:rsidRDefault="00CB1844" w:rsidP="00E90409">
      <w:pPr>
        <w:spacing w:line="276" w:lineRule="auto"/>
        <w:ind w:firstLine="720"/>
        <w:jc w:val="both"/>
      </w:pPr>
      <w:r>
        <w:t>[8.</w:t>
      </w:r>
      <w:r w:rsidR="005732C2">
        <w:t>2</w:t>
      </w:r>
      <w:r>
        <w:t>] </w:t>
      </w:r>
      <w:r w:rsidR="00385CD5">
        <w:t>Rīcība ar lietiskajiem pierādījumiem</w:t>
      </w:r>
      <w:r w:rsidR="005732C2">
        <w:t>, dokumentiem, citiem izņemtajiem priekšmetiem un vērtībām</w:t>
      </w:r>
      <w:r w:rsidR="00385CD5">
        <w:t xml:space="preserve"> noteikta Kriminālprocesa likuma 240. pantā. </w:t>
      </w:r>
      <w:r w:rsidR="00385CD5" w:rsidRPr="00230D56">
        <w:rPr>
          <w:color w:val="000000" w:themeColor="text1"/>
        </w:rPr>
        <w:t xml:space="preserve">Atbilstoši </w:t>
      </w:r>
      <w:r w:rsidR="005732C2" w:rsidRPr="00230D56">
        <w:rPr>
          <w:color w:val="000000" w:themeColor="text1"/>
        </w:rPr>
        <w:t>šā</w:t>
      </w:r>
      <w:r w:rsidR="00385CD5" w:rsidRPr="00230D56">
        <w:rPr>
          <w:color w:val="000000" w:themeColor="text1"/>
        </w:rPr>
        <w:t> panta pirm</w:t>
      </w:r>
      <w:r w:rsidRPr="00230D56">
        <w:rPr>
          <w:color w:val="000000" w:themeColor="text1"/>
        </w:rPr>
        <w:t>ās</w:t>
      </w:r>
      <w:r w:rsidR="00385CD5" w:rsidRPr="00230D56">
        <w:rPr>
          <w:color w:val="000000" w:themeColor="text1"/>
        </w:rPr>
        <w:t xml:space="preserve"> daļ</w:t>
      </w:r>
      <w:r w:rsidRPr="00230D56">
        <w:rPr>
          <w:color w:val="000000" w:themeColor="text1"/>
        </w:rPr>
        <w:t>as 1. punktā</w:t>
      </w:r>
      <w:r w:rsidR="00385CD5" w:rsidRPr="00230D56">
        <w:rPr>
          <w:color w:val="000000" w:themeColor="text1"/>
        </w:rPr>
        <w:t xml:space="preserve"> noteiktajam </w:t>
      </w:r>
      <w:r w:rsidR="005732C2" w:rsidRPr="00230D56">
        <w:rPr>
          <w:color w:val="000000" w:themeColor="text1"/>
        </w:rPr>
        <w:t>tos</w:t>
      </w:r>
      <w:r w:rsidR="00385CD5" w:rsidRPr="00230D56">
        <w:rPr>
          <w:color w:val="000000" w:themeColor="text1"/>
        </w:rPr>
        <w:t xml:space="preserve"> atdod to īpašniekiem vai likumīgajiem valdītājiem, bet, </w:t>
      </w:r>
      <w:proofErr w:type="gramStart"/>
      <w:r w:rsidR="00385CD5" w:rsidRPr="00230D56">
        <w:rPr>
          <w:color w:val="000000" w:themeColor="text1"/>
        </w:rPr>
        <w:t>ja tie nav</w:t>
      </w:r>
      <w:proofErr w:type="gramEnd"/>
      <w:r w:rsidR="00385CD5" w:rsidRPr="00230D56">
        <w:rPr>
          <w:color w:val="000000" w:themeColor="text1"/>
        </w:rPr>
        <w:t xml:space="preserve"> jāatdod īpašniekiem vai likumīgajiem valdītājiem, – realizē </w:t>
      </w:r>
      <w:r w:rsidR="00B2681F" w:rsidRPr="00230D56">
        <w:rPr>
          <w:color w:val="000000" w:themeColor="text1"/>
        </w:rPr>
        <w:t xml:space="preserve">– </w:t>
      </w:r>
      <w:r w:rsidR="00385CD5" w:rsidRPr="00230D56">
        <w:rPr>
          <w:color w:val="000000" w:themeColor="text1"/>
        </w:rPr>
        <w:t>vai</w:t>
      </w:r>
      <w:r w:rsidR="00B2681F" w:rsidRPr="00230D56">
        <w:rPr>
          <w:color w:val="000000" w:themeColor="text1"/>
        </w:rPr>
        <w:t>,</w:t>
      </w:r>
      <w:r w:rsidR="00385CD5" w:rsidRPr="00230D56">
        <w:rPr>
          <w:color w:val="000000" w:themeColor="text1"/>
        </w:rPr>
        <w:t xml:space="preserve"> ja tiem nav vērtības, – iznīcina</w:t>
      </w:r>
      <w:r w:rsidR="00B2681F" w:rsidRPr="00230D56">
        <w:rPr>
          <w:color w:val="000000" w:themeColor="text1"/>
        </w:rPr>
        <w:t xml:space="preserve"> </w:t>
      </w:r>
      <w:r w:rsidR="00B2681F" w:rsidRPr="00230D56">
        <w:rPr>
          <w:rFonts w:ascii="Arial" w:hAnsi="Arial" w:cs="Arial"/>
          <w:color w:val="000000" w:themeColor="text1"/>
          <w:sz w:val="20"/>
          <w:szCs w:val="20"/>
          <w:shd w:val="clear" w:color="auto" w:fill="FFFFFF"/>
        </w:rPr>
        <w:t> </w:t>
      </w:r>
      <w:r w:rsidR="00B2681F" w:rsidRPr="00230D56">
        <w:rPr>
          <w:rFonts w:asciiTheme="majorBidi" w:hAnsiTheme="majorBidi" w:cstheme="majorBidi"/>
          <w:color w:val="000000" w:themeColor="text1"/>
          <w:shd w:val="clear" w:color="auto" w:fill="FFFFFF"/>
        </w:rPr>
        <w:t>vai izsniedz ieinteresētajai institūcijai pēc tās lūguma</w:t>
      </w:r>
      <w:r w:rsidR="00385CD5" w:rsidRPr="00230D56">
        <w:rPr>
          <w:rFonts w:asciiTheme="majorBidi" w:hAnsiTheme="majorBidi" w:cstheme="majorBidi"/>
          <w:color w:val="000000" w:themeColor="text1"/>
        </w:rPr>
        <w:t xml:space="preserve">. </w:t>
      </w:r>
    </w:p>
    <w:p w14:paraId="006E927D" w14:textId="19FB9E39" w:rsidR="00F25CB4" w:rsidRPr="00230D56" w:rsidRDefault="00B8628C" w:rsidP="00F25CB4">
      <w:pPr>
        <w:spacing w:line="276" w:lineRule="auto"/>
        <w:ind w:firstLine="720"/>
        <w:jc w:val="both"/>
        <w:rPr>
          <w:rFonts w:asciiTheme="majorBidi" w:hAnsiTheme="majorBidi" w:cstheme="majorBidi"/>
          <w:color w:val="000000" w:themeColor="text1"/>
        </w:rPr>
      </w:pPr>
      <w:r w:rsidRPr="00230D56">
        <w:rPr>
          <w:color w:val="000000" w:themeColor="text1"/>
        </w:rPr>
        <w:t>Savukārt</w:t>
      </w:r>
      <w:r w:rsidRPr="00BA564F">
        <w:rPr>
          <w:rFonts w:asciiTheme="majorBidi" w:hAnsiTheme="majorBidi" w:cstheme="majorBidi"/>
          <w:color w:val="000000" w:themeColor="text1"/>
        </w:rPr>
        <w:t xml:space="preserve"> </w:t>
      </w:r>
      <w:r>
        <w:rPr>
          <w:rFonts w:asciiTheme="majorBidi" w:hAnsiTheme="majorBidi" w:cstheme="majorBidi"/>
          <w:color w:val="000000" w:themeColor="text1"/>
        </w:rPr>
        <w:t>s</w:t>
      </w:r>
      <w:r w:rsidR="00F25CB4" w:rsidRPr="00BA564F">
        <w:rPr>
          <w:rFonts w:asciiTheme="majorBidi" w:hAnsiTheme="majorBidi" w:cstheme="majorBidi"/>
          <w:color w:val="000000" w:themeColor="text1"/>
        </w:rPr>
        <w:t>askaņā ar Kriminālprocesa likuma 235. panta otrās daļas 2. punktu lietas un dokumentus, kuri iegūti izmeklēšanas darbību gaitā, pret parakstu atdod to īpašniekam vai likumīgajam valdītājam, izdarot par to atzīmi lietu un dokumentu sarakstā, ja ar attiecīgajām lietām un dokumentiem veiktas nepieciešamās izmeklēšanas darbības un to atdošana īpašniekam vai likumīgajam valdītājam nekaitē turpmākajam kriminālprocesam.</w:t>
      </w:r>
    </w:p>
    <w:p w14:paraId="1B4D09DD" w14:textId="66B6DC21" w:rsidR="00BA564F" w:rsidRPr="00E90409" w:rsidRDefault="00B2681F" w:rsidP="00BA564F">
      <w:pPr>
        <w:spacing w:line="276" w:lineRule="auto"/>
        <w:ind w:firstLine="720"/>
        <w:jc w:val="both"/>
        <w:rPr>
          <w:color w:val="000000" w:themeColor="text1"/>
        </w:rPr>
      </w:pPr>
      <w:r w:rsidRPr="00230D56">
        <w:rPr>
          <w:color w:val="000000" w:themeColor="text1"/>
        </w:rPr>
        <w:t xml:space="preserve">Senāts konstatē, ka </w:t>
      </w:r>
      <w:proofErr w:type="gramStart"/>
      <w:r w:rsidRPr="00230D56">
        <w:rPr>
          <w:color w:val="000000" w:themeColor="text1"/>
        </w:rPr>
        <w:t>p</w:t>
      </w:r>
      <w:r w:rsidR="00CB1844" w:rsidRPr="00230D56">
        <w:rPr>
          <w:color w:val="000000" w:themeColor="text1"/>
        </w:rPr>
        <w:t>irmās instances tiesas sprieduma rezolutīvajā daļā nolemts lietiskos pierādījumus – iepakojumu ar paskaidrojumu prasības pieteikumam maza apmēra prasībā par uzturlīdzekļu piedziņu, aploksni ar adresātu un sūtītāja adresi</w:t>
      </w:r>
      <w:proofErr w:type="gramEnd"/>
      <w:r w:rsidR="00CB1844" w:rsidRPr="00230D56">
        <w:rPr>
          <w:color w:val="000000" w:themeColor="text1"/>
        </w:rPr>
        <w:t xml:space="preserve">, iepakojumu ar </w:t>
      </w:r>
      <w:r w:rsidR="00667BBC">
        <w:rPr>
          <w:color w:val="000000" w:themeColor="text1"/>
        </w:rPr>
        <w:t>[pers. A]</w:t>
      </w:r>
      <w:r w:rsidR="00CB1844" w:rsidRPr="00230D56">
        <w:rPr>
          <w:color w:val="000000" w:themeColor="text1"/>
        </w:rPr>
        <w:t xml:space="preserve"> rokrakstu paraugiem un iepakojumu ar </w:t>
      </w:r>
      <w:r w:rsidR="00667BBC">
        <w:rPr>
          <w:color w:val="000000" w:themeColor="text1"/>
        </w:rPr>
        <w:t>[pers. A]</w:t>
      </w:r>
      <w:r w:rsidR="00CB1844" w:rsidRPr="00230D56">
        <w:rPr>
          <w:color w:val="000000" w:themeColor="text1"/>
        </w:rPr>
        <w:t xml:space="preserve"> vadītāja karti – iznīcināt. </w:t>
      </w:r>
      <w:r w:rsidR="00B8628C">
        <w:rPr>
          <w:color w:val="000000" w:themeColor="text1"/>
        </w:rPr>
        <w:t>Taču</w:t>
      </w:r>
      <w:r w:rsidR="00B8628C" w:rsidRPr="00230D56">
        <w:rPr>
          <w:color w:val="000000" w:themeColor="text1"/>
        </w:rPr>
        <w:t xml:space="preserve"> </w:t>
      </w:r>
      <w:r w:rsidR="00CB1844" w:rsidRPr="00230D56">
        <w:rPr>
          <w:color w:val="000000" w:themeColor="text1"/>
        </w:rPr>
        <w:t xml:space="preserve">pirmās instances </w:t>
      </w:r>
      <w:r w:rsidR="004522E0" w:rsidRPr="00230D56">
        <w:rPr>
          <w:color w:val="000000" w:themeColor="text1"/>
        </w:rPr>
        <w:t>t</w:t>
      </w:r>
      <w:r w:rsidR="00CB1844" w:rsidRPr="00230D56">
        <w:rPr>
          <w:color w:val="000000" w:themeColor="text1"/>
        </w:rPr>
        <w:t xml:space="preserve">iesa spriedumā nav pamatojusi, kāpēc tā iepakojumu ar paskaidrojumu prasības pieteikumam maza apmēra prasībā par uzturlīdzekļu piedziņu, aploksni ar adresātu un sūtītāja adresi, iepakojumu ar </w:t>
      </w:r>
      <w:r w:rsidR="00667BBC">
        <w:rPr>
          <w:color w:val="000000" w:themeColor="text1"/>
        </w:rPr>
        <w:t>[pers. A]</w:t>
      </w:r>
      <w:r w:rsidR="00CB1844" w:rsidRPr="00230D56">
        <w:rPr>
          <w:color w:val="000000" w:themeColor="text1"/>
        </w:rPr>
        <w:t xml:space="preserve"> rokrakstu paraugiem un iepakojumu ar </w:t>
      </w:r>
      <w:r w:rsidR="00667BBC">
        <w:rPr>
          <w:color w:val="000000" w:themeColor="text1"/>
        </w:rPr>
        <w:t>[pers. </w:t>
      </w:r>
      <w:r w:rsidR="00667BBC">
        <w:t>A]</w:t>
      </w:r>
      <w:r w:rsidR="00CB1844" w:rsidRPr="00230D56">
        <w:rPr>
          <w:color w:val="000000" w:themeColor="text1"/>
        </w:rPr>
        <w:t xml:space="preserve"> vadītāja karti </w:t>
      </w:r>
      <w:r w:rsidR="00CE1525" w:rsidRPr="00230D56">
        <w:rPr>
          <w:color w:val="000000" w:themeColor="text1"/>
        </w:rPr>
        <w:t xml:space="preserve">atzinusi par lietiskajiem pierādījumiem un </w:t>
      </w:r>
      <w:r w:rsidR="00CB1844" w:rsidRPr="00230D56">
        <w:rPr>
          <w:color w:val="000000" w:themeColor="text1"/>
        </w:rPr>
        <w:t>nolēmusi iznīcināt, nevis noteikt citu rīcību ar tiem.</w:t>
      </w:r>
      <w:r w:rsidR="004522E0" w:rsidRPr="00230D56">
        <w:rPr>
          <w:color w:val="000000" w:themeColor="text1"/>
        </w:rPr>
        <w:t xml:space="preserve"> Spriedumā nav norādīta arī atsauce uz konkrētu </w:t>
      </w:r>
      <w:bookmarkStart w:id="9" w:name="_Hlk136001820"/>
      <w:r w:rsidR="004522E0" w:rsidRPr="00230D56">
        <w:rPr>
          <w:color w:val="000000" w:themeColor="text1"/>
        </w:rPr>
        <w:t xml:space="preserve">Kriminālprocesa likuma </w:t>
      </w:r>
      <w:bookmarkEnd w:id="9"/>
      <w:r w:rsidR="006163BE" w:rsidRPr="00230D56">
        <w:rPr>
          <w:color w:val="000000" w:themeColor="text1"/>
        </w:rPr>
        <w:t>normu</w:t>
      </w:r>
      <w:r w:rsidR="004522E0" w:rsidRPr="00230D56">
        <w:rPr>
          <w:color w:val="000000" w:themeColor="text1"/>
          <w:shd w:val="clear" w:color="auto" w:fill="FFFFFF"/>
        </w:rPr>
        <w:t>, saskaņā ar kuru nolēmums pieņemts</w:t>
      </w:r>
      <w:r w:rsidR="00C16365" w:rsidRPr="00230D56">
        <w:rPr>
          <w:color w:val="000000" w:themeColor="text1"/>
          <w:shd w:val="clear" w:color="auto" w:fill="FFFFFF"/>
        </w:rPr>
        <w:t>.</w:t>
      </w:r>
      <w:r w:rsidR="00F25CB4" w:rsidRPr="00230D56">
        <w:rPr>
          <w:color w:val="000000" w:themeColor="text1"/>
          <w:shd w:val="clear" w:color="auto" w:fill="FFFFFF"/>
        </w:rPr>
        <w:t xml:space="preserve"> </w:t>
      </w:r>
      <w:r w:rsidR="00BA564F">
        <w:rPr>
          <w:color w:val="000000" w:themeColor="text1"/>
          <w:shd w:val="clear" w:color="auto" w:fill="FFFFFF"/>
        </w:rPr>
        <w:t xml:space="preserve">Senāts atzīst, ka šāds tiesas </w:t>
      </w:r>
      <w:r w:rsidR="00BA564F" w:rsidRPr="001A3806">
        <w:rPr>
          <w:rFonts w:eastAsiaTheme="minorHAnsi"/>
          <w:lang w:eastAsia="en-US"/>
        </w:rPr>
        <w:t xml:space="preserve">spriedums </w:t>
      </w:r>
      <w:r w:rsidR="00BA564F">
        <w:rPr>
          <w:rFonts w:eastAsiaTheme="minorHAnsi"/>
          <w:lang w:eastAsia="en-US"/>
        </w:rPr>
        <w:t>ne</w:t>
      </w:r>
      <w:r w:rsidR="00BA564F" w:rsidRPr="001A3806">
        <w:t>ļauj saprast, kādu apsvērumu dēļ tiesa nonākusi tieši pie tāda un ne citāda lietas izskatīšanas rezultāta</w:t>
      </w:r>
      <w:r w:rsidR="00BA564F">
        <w:t xml:space="preserve"> šajā jautājumā.</w:t>
      </w:r>
    </w:p>
    <w:p w14:paraId="71B37A10" w14:textId="37E1BD2E" w:rsidR="002470C9" w:rsidRPr="00230D56" w:rsidRDefault="00FD0CF0" w:rsidP="00466CC9">
      <w:pPr>
        <w:spacing w:line="276" w:lineRule="auto"/>
        <w:ind w:firstLine="720"/>
        <w:jc w:val="both"/>
        <w:rPr>
          <w:color w:val="000000" w:themeColor="text1"/>
        </w:rPr>
      </w:pPr>
      <w:r w:rsidRPr="00230D56">
        <w:rPr>
          <w:color w:val="000000" w:themeColor="text1"/>
          <w:shd w:val="clear" w:color="auto" w:fill="FFFFFF"/>
        </w:rPr>
        <w:t>Turklāt n</w:t>
      </w:r>
      <w:r w:rsidR="00C16365" w:rsidRPr="00230D56">
        <w:rPr>
          <w:color w:val="000000" w:themeColor="text1"/>
          <w:shd w:val="clear" w:color="auto" w:fill="FFFFFF"/>
        </w:rPr>
        <w:t>o krimin</w:t>
      </w:r>
      <w:r w:rsidRPr="00230D56">
        <w:rPr>
          <w:color w:val="000000" w:themeColor="text1"/>
          <w:shd w:val="clear" w:color="auto" w:fill="FFFFFF"/>
        </w:rPr>
        <w:t>āllietas materiāliem konstatējams, ka</w:t>
      </w:r>
      <w:r w:rsidR="006C78B7" w:rsidRPr="00230D56">
        <w:rPr>
          <w:color w:val="000000" w:themeColor="text1"/>
          <w:shd w:val="clear" w:color="auto" w:fill="FFFFFF"/>
        </w:rPr>
        <w:t xml:space="preserve"> </w:t>
      </w:r>
      <w:r w:rsidR="006C78B7" w:rsidRPr="00230D56">
        <w:rPr>
          <w:color w:val="000000" w:themeColor="text1"/>
        </w:rPr>
        <w:t>ar 2019. gada 15. oktobra lēmumu par izņemšanas izdarīšanu</w:t>
      </w:r>
      <w:r w:rsidRPr="00230D56">
        <w:rPr>
          <w:color w:val="000000" w:themeColor="text1"/>
          <w:shd w:val="clear" w:color="auto" w:fill="FFFFFF"/>
        </w:rPr>
        <w:t xml:space="preserve"> </w:t>
      </w:r>
      <w:r w:rsidR="002470C9" w:rsidRPr="00230D56">
        <w:rPr>
          <w:color w:val="000000" w:themeColor="text1"/>
          <w:shd w:val="clear" w:color="auto" w:fill="FFFFFF"/>
        </w:rPr>
        <w:t xml:space="preserve">2013. gada 28. janvāra </w:t>
      </w:r>
      <w:r w:rsidR="00667BBC">
        <w:rPr>
          <w:color w:val="000000" w:themeColor="text1"/>
          <w:shd w:val="clear" w:color="auto" w:fill="FFFFFF"/>
        </w:rPr>
        <w:t>[pers. A]</w:t>
      </w:r>
      <w:r w:rsidR="002470C9" w:rsidRPr="00230D56">
        <w:rPr>
          <w:color w:val="000000" w:themeColor="text1"/>
          <w:shd w:val="clear" w:color="auto" w:fill="FFFFFF"/>
        </w:rPr>
        <w:t xml:space="preserve"> </w:t>
      </w:r>
      <w:r w:rsidRPr="00230D56">
        <w:rPr>
          <w:color w:val="000000" w:themeColor="text1"/>
        </w:rPr>
        <w:t>paskaidrojums prasības pieteikumam maza apmēra prasībā par uzturlīdzekļu piedziņu</w:t>
      </w:r>
      <w:r w:rsidR="002470C9" w:rsidRPr="00230D56">
        <w:rPr>
          <w:color w:val="000000" w:themeColor="text1"/>
        </w:rPr>
        <w:t>, kā arī</w:t>
      </w:r>
      <w:r w:rsidRPr="00230D56">
        <w:rPr>
          <w:color w:val="000000" w:themeColor="text1"/>
        </w:rPr>
        <w:t xml:space="preserve"> aploksn</w:t>
      </w:r>
      <w:r w:rsidR="002470C9" w:rsidRPr="00230D56">
        <w:rPr>
          <w:color w:val="000000" w:themeColor="text1"/>
        </w:rPr>
        <w:t>e, kur</w:t>
      </w:r>
      <w:r w:rsidR="00B8628C">
        <w:rPr>
          <w:color w:val="000000" w:themeColor="text1"/>
        </w:rPr>
        <w:t>ā</w:t>
      </w:r>
      <w:r w:rsidR="002470C9" w:rsidRPr="00230D56">
        <w:rPr>
          <w:color w:val="000000" w:themeColor="text1"/>
        </w:rPr>
        <w:t xml:space="preserve"> Saldus </w:t>
      </w:r>
      <w:r w:rsidR="00A937DF">
        <w:rPr>
          <w:color w:val="000000" w:themeColor="text1"/>
        </w:rPr>
        <w:t xml:space="preserve">rajona </w:t>
      </w:r>
      <w:r w:rsidR="002470C9" w:rsidRPr="00230D56">
        <w:rPr>
          <w:color w:val="000000" w:themeColor="text1"/>
        </w:rPr>
        <w:t xml:space="preserve">tiesai atsūtīts iepriekšminētais paskaidrojums, </w:t>
      </w:r>
      <w:r w:rsidR="006C78B7" w:rsidRPr="00230D56">
        <w:rPr>
          <w:color w:val="000000" w:themeColor="text1"/>
        </w:rPr>
        <w:t xml:space="preserve">izņemti, norādot, ka minēto dokumentu oriģināli nepieciešami rokraksta ekspertīzes veikšanai un ka pēc ekspertīzes izdarīšanas dokumentu oriģināli </w:t>
      </w:r>
      <w:r w:rsidR="00B8628C">
        <w:rPr>
          <w:color w:val="000000" w:themeColor="text1"/>
        </w:rPr>
        <w:t>atdodami</w:t>
      </w:r>
      <w:r w:rsidR="00B8628C" w:rsidRPr="00230D56">
        <w:rPr>
          <w:color w:val="000000" w:themeColor="text1"/>
        </w:rPr>
        <w:t xml:space="preserve"> </w:t>
      </w:r>
      <w:bookmarkStart w:id="10" w:name="_Hlk136422942"/>
      <w:r w:rsidR="00B8628C" w:rsidRPr="00466CC9">
        <w:rPr>
          <w:color w:val="000000" w:themeColor="text1"/>
        </w:rPr>
        <w:t>Kurzemes</w:t>
      </w:r>
      <w:r w:rsidR="006C78B7" w:rsidRPr="00466CC9">
        <w:rPr>
          <w:color w:val="000000" w:themeColor="text1"/>
        </w:rPr>
        <w:t xml:space="preserve"> rajona tiesai</w:t>
      </w:r>
      <w:bookmarkEnd w:id="10"/>
      <w:r w:rsidR="005833B4">
        <w:rPr>
          <w:color w:val="000000" w:themeColor="text1"/>
        </w:rPr>
        <w:t xml:space="preserve"> </w:t>
      </w:r>
      <w:r w:rsidR="00466CC9" w:rsidRPr="00B15959">
        <w:rPr>
          <w:color w:val="000000" w:themeColor="text1"/>
        </w:rPr>
        <w:t>(</w:t>
      </w:r>
      <w:r w:rsidR="00466CC9">
        <w:rPr>
          <w:color w:val="000000" w:themeColor="text1"/>
        </w:rPr>
        <w:t>līdz tiesu reorganiz</w:t>
      </w:r>
      <w:r w:rsidR="00A715C5">
        <w:rPr>
          <w:color w:val="000000" w:themeColor="text1"/>
        </w:rPr>
        <w:t>ācijai</w:t>
      </w:r>
      <w:r w:rsidR="00466CC9">
        <w:rPr>
          <w:color w:val="000000" w:themeColor="text1"/>
        </w:rPr>
        <w:t xml:space="preserve"> – Saldus</w:t>
      </w:r>
      <w:r w:rsidR="00A937DF">
        <w:rPr>
          <w:color w:val="000000" w:themeColor="text1"/>
        </w:rPr>
        <w:t xml:space="preserve"> rajona</w:t>
      </w:r>
      <w:r w:rsidR="00466CC9">
        <w:rPr>
          <w:color w:val="000000" w:themeColor="text1"/>
        </w:rPr>
        <w:t xml:space="preserve"> tiesa)</w:t>
      </w:r>
      <w:r w:rsidR="00A715C5">
        <w:rPr>
          <w:color w:val="000000" w:themeColor="text1"/>
        </w:rPr>
        <w:t>.</w:t>
      </w:r>
    </w:p>
    <w:p w14:paraId="7C11E6AF" w14:textId="2E4793FF" w:rsidR="00F25CB4" w:rsidRPr="00C27A20" w:rsidRDefault="006163BE" w:rsidP="00C27A20">
      <w:pPr>
        <w:spacing w:line="276" w:lineRule="auto"/>
        <w:ind w:firstLine="720"/>
        <w:jc w:val="both"/>
        <w:rPr>
          <w:color w:val="000000" w:themeColor="text1"/>
          <w:shd w:val="clear" w:color="auto" w:fill="FFFFFF"/>
        </w:rPr>
      </w:pPr>
      <w:r w:rsidRPr="00230D56">
        <w:rPr>
          <w:color w:val="000000" w:themeColor="text1"/>
        </w:rPr>
        <w:t>Senāts norāda, ka</w:t>
      </w:r>
      <w:r w:rsidR="00B8628C">
        <w:rPr>
          <w:color w:val="000000" w:themeColor="text1"/>
        </w:rPr>
        <w:t xml:space="preserve"> </w:t>
      </w:r>
      <w:r w:rsidR="00B8628C">
        <w:t xml:space="preserve">Kriminālprocesa likums imperatīvi noteic, ka </w:t>
      </w:r>
      <w:r w:rsidRPr="00230D56">
        <w:rPr>
          <w:color w:val="000000" w:themeColor="text1"/>
        </w:rPr>
        <w:t>krimināllietā izmeklēšanas darbības rezultātā</w:t>
      </w:r>
      <w:r w:rsidR="00571858" w:rsidRPr="00230D56">
        <w:rPr>
          <w:color w:val="000000" w:themeColor="text1"/>
        </w:rPr>
        <w:t xml:space="preserve"> no civillietas</w:t>
      </w:r>
      <w:r w:rsidRPr="00230D56">
        <w:rPr>
          <w:color w:val="000000" w:themeColor="text1"/>
        </w:rPr>
        <w:t xml:space="preserve"> iegūts dokumenta oriģināls nav iznīcināms, bet atdodams </w:t>
      </w:r>
      <w:r w:rsidR="00571858" w:rsidRPr="00230D56">
        <w:rPr>
          <w:color w:val="000000" w:themeColor="text1"/>
        </w:rPr>
        <w:t>atpakaļ attiecīgās lietas turētājam</w:t>
      </w:r>
      <w:r w:rsidR="00F25CB4" w:rsidRPr="00230D56">
        <w:rPr>
          <w:color w:val="000000" w:themeColor="text1"/>
        </w:rPr>
        <w:t xml:space="preserve"> pēc ekspertīzes veikšanas</w:t>
      </w:r>
      <w:r w:rsidR="00571858" w:rsidRPr="00230D56">
        <w:rPr>
          <w:color w:val="000000" w:themeColor="text1"/>
        </w:rPr>
        <w:t xml:space="preserve">. </w:t>
      </w:r>
      <w:r w:rsidR="00EE0CB6" w:rsidRPr="00230D56">
        <w:rPr>
          <w:color w:val="000000" w:themeColor="text1"/>
        </w:rPr>
        <w:t xml:space="preserve">Arī citi dokumenti un lietiskie pierādījumi jāatdod </w:t>
      </w:r>
      <w:r w:rsidR="00F25CB4" w:rsidRPr="00230D56">
        <w:rPr>
          <w:color w:val="000000" w:themeColor="text1"/>
          <w:shd w:val="clear" w:color="auto" w:fill="FFFFFF"/>
        </w:rPr>
        <w:t>to īpašniekiem vai likumīgajiem valdītājiem,</w:t>
      </w:r>
      <w:r w:rsidR="00EE0CB6" w:rsidRPr="00230D56">
        <w:rPr>
          <w:color w:val="000000" w:themeColor="text1"/>
          <w:shd w:val="clear" w:color="auto" w:fill="FFFFFF"/>
        </w:rPr>
        <w:t xml:space="preserve"> un tikai tad, </w:t>
      </w:r>
      <w:proofErr w:type="gramStart"/>
      <w:r w:rsidR="00EE0CB6" w:rsidRPr="00230D56">
        <w:rPr>
          <w:color w:val="000000" w:themeColor="text1"/>
          <w:shd w:val="clear" w:color="auto" w:fill="FFFFFF"/>
        </w:rPr>
        <w:t xml:space="preserve">ja </w:t>
      </w:r>
      <w:r w:rsidR="00F25CB4" w:rsidRPr="00230D56">
        <w:rPr>
          <w:color w:val="000000" w:themeColor="text1"/>
          <w:shd w:val="clear" w:color="auto" w:fill="FFFFFF"/>
        </w:rPr>
        <w:t>tie nav</w:t>
      </w:r>
      <w:proofErr w:type="gramEnd"/>
      <w:r w:rsidR="00F25CB4" w:rsidRPr="00230D56">
        <w:rPr>
          <w:color w:val="000000" w:themeColor="text1"/>
          <w:shd w:val="clear" w:color="auto" w:fill="FFFFFF"/>
        </w:rPr>
        <w:t xml:space="preserve"> jāatdod īpašniekiem vai likumīgajiem valdītājiem, </w:t>
      </w:r>
      <w:r w:rsidR="00EE0CB6" w:rsidRPr="00230D56">
        <w:rPr>
          <w:color w:val="000000" w:themeColor="text1"/>
          <w:shd w:val="clear" w:color="auto" w:fill="FFFFFF"/>
        </w:rPr>
        <w:t>tos</w:t>
      </w:r>
      <w:r w:rsidR="00B8628C">
        <w:rPr>
          <w:color w:val="000000" w:themeColor="text1"/>
          <w:shd w:val="clear" w:color="auto" w:fill="FFFFFF"/>
        </w:rPr>
        <w:t xml:space="preserve"> var</w:t>
      </w:r>
      <w:r w:rsidR="00F25CB4" w:rsidRPr="00230D56">
        <w:rPr>
          <w:color w:val="000000" w:themeColor="text1"/>
          <w:shd w:val="clear" w:color="auto" w:fill="FFFFFF"/>
        </w:rPr>
        <w:t xml:space="preserve"> realizē</w:t>
      </w:r>
      <w:r w:rsidR="00B8628C">
        <w:rPr>
          <w:color w:val="000000" w:themeColor="text1"/>
          <w:shd w:val="clear" w:color="auto" w:fill="FFFFFF"/>
        </w:rPr>
        <w:t>t</w:t>
      </w:r>
      <w:r w:rsidR="00F25CB4" w:rsidRPr="00230D56">
        <w:rPr>
          <w:color w:val="000000" w:themeColor="text1"/>
          <w:shd w:val="clear" w:color="auto" w:fill="FFFFFF"/>
        </w:rPr>
        <w:t xml:space="preserve"> vai, ja tiem nav vērtības</w:t>
      </w:r>
      <w:r w:rsidR="00C27A20">
        <w:rPr>
          <w:color w:val="000000" w:themeColor="text1"/>
          <w:shd w:val="clear" w:color="auto" w:fill="FFFFFF"/>
        </w:rPr>
        <w:t xml:space="preserve"> – </w:t>
      </w:r>
      <w:r w:rsidR="00F25CB4" w:rsidRPr="00230D56">
        <w:rPr>
          <w:color w:val="000000" w:themeColor="text1"/>
          <w:shd w:val="clear" w:color="auto" w:fill="FFFFFF"/>
        </w:rPr>
        <w:t>iznīcin</w:t>
      </w:r>
      <w:r w:rsidR="00B8628C">
        <w:rPr>
          <w:color w:val="000000" w:themeColor="text1"/>
          <w:shd w:val="clear" w:color="auto" w:fill="FFFFFF"/>
        </w:rPr>
        <w:t>āt</w:t>
      </w:r>
      <w:r w:rsidR="00F25CB4" w:rsidRPr="00230D56">
        <w:rPr>
          <w:color w:val="000000" w:themeColor="text1"/>
          <w:shd w:val="clear" w:color="auto" w:fill="FFFFFF"/>
        </w:rPr>
        <w:t xml:space="preserve"> vai izsnie</w:t>
      </w:r>
      <w:r w:rsidR="00B8628C">
        <w:rPr>
          <w:color w:val="000000" w:themeColor="text1"/>
          <w:shd w:val="clear" w:color="auto" w:fill="FFFFFF"/>
        </w:rPr>
        <w:t>gt</w:t>
      </w:r>
      <w:r w:rsidR="00F25CB4" w:rsidRPr="00230D56">
        <w:rPr>
          <w:color w:val="000000" w:themeColor="text1"/>
          <w:shd w:val="clear" w:color="auto" w:fill="FFFFFF"/>
        </w:rPr>
        <w:t xml:space="preserve"> ieinteresētajai institūcijai pēc tās lūguma</w:t>
      </w:r>
      <w:r w:rsidR="00EE0CB6" w:rsidRPr="00230D56">
        <w:rPr>
          <w:color w:val="000000" w:themeColor="text1"/>
          <w:shd w:val="clear" w:color="auto" w:fill="FFFFFF"/>
        </w:rPr>
        <w:t>.</w:t>
      </w:r>
    </w:p>
    <w:p w14:paraId="1E456C4B" w14:textId="61F7D716" w:rsidR="00C57ADD" w:rsidRDefault="00385CD5" w:rsidP="00486018">
      <w:pPr>
        <w:spacing w:line="276" w:lineRule="auto"/>
        <w:ind w:firstLine="720"/>
        <w:jc w:val="both"/>
      </w:pPr>
      <w:r w:rsidRPr="00CB1844">
        <w:t xml:space="preserve">Senāts atzīst, ka </w:t>
      </w:r>
      <w:r w:rsidR="00CB1844" w:rsidRPr="00CB1844">
        <w:t xml:space="preserve">apelācijas instances tiesa, atstājot negrozītu </w:t>
      </w:r>
      <w:r w:rsidRPr="00CB1844">
        <w:t>pirmās instances tiesa</w:t>
      </w:r>
      <w:r w:rsidR="00CB1844" w:rsidRPr="00CB1844">
        <w:t>s</w:t>
      </w:r>
      <w:r w:rsidR="0050543B">
        <w:t xml:space="preserve"> spriedumu daļā par rīcību ar lietiskajiem pierādījumu, nav konstatējusi pirmās instances tiesas pieļautos Kriminālprocesa likuma 240. panta pirmās daļas 1. punkta, 511. panta </w:t>
      </w:r>
      <w:r w:rsidR="00486018">
        <w:t>otrās</w:t>
      </w:r>
      <w:r w:rsidR="0050543B">
        <w:t xml:space="preserve"> daļas</w:t>
      </w:r>
      <w:r w:rsidR="00B22F9C">
        <w:t>, 512.</w:t>
      </w:r>
      <w:r w:rsidR="00320903">
        <w:t> </w:t>
      </w:r>
      <w:r w:rsidR="00B22F9C">
        <w:t>panta pirmās daļas pārkāpumus un tādējādi pieļāvusi Kriminālprocesa likuma 511.</w:t>
      </w:r>
      <w:r w:rsidR="00320903">
        <w:t> </w:t>
      </w:r>
      <w:r w:rsidR="00B22F9C">
        <w:t>panta pirmās daļas</w:t>
      </w:r>
      <w:r w:rsidR="0050543B">
        <w:t xml:space="preserve"> un</w:t>
      </w:r>
      <w:r w:rsidR="0050543B">
        <w:rPr>
          <w:b/>
          <w:bCs/>
        </w:rPr>
        <w:t xml:space="preserve"> </w:t>
      </w:r>
      <w:r w:rsidR="000662C8" w:rsidRPr="0050543B">
        <w:t>564. panta ceturtās daļas</w:t>
      </w:r>
      <w:r w:rsidR="000662C8" w:rsidRPr="00CB1844">
        <w:rPr>
          <w:b/>
          <w:bCs/>
        </w:rPr>
        <w:t xml:space="preserve"> </w:t>
      </w:r>
      <w:r w:rsidR="000662C8" w:rsidRPr="00CB1844">
        <w:t>pārkāpumus. Minētie pārkāpumi atzīstami par būtiskiem pārkāpumiem Kriminālprocesa likuma 575. panta trešās daļas izpratnē</w:t>
      </w:r>
      <w:r w:rsidR="0050543B">
        <w:t>, kas novedis pie nelikumīga lēmuma šajā daļā.</w:t>
      </w:r>
    </w:p>
    <w:p w14:paraId="2BE513FD" w14:textId="77777777" w:rsidR="007C537A" w:rsidRPr="00486018" w:rsidRDefault="007C537A" w:rsidP="00486018">
      <w:pPr>
        <w:spacing w:line="276" w:lineRule="auto"/>
        <w:ind w:firstLine="720"/>
        <w:jc w:val="both"/>
        <w:rPr>
          <w:b/>
          <w:bCs/>
        </w:rPr>
      </w:pPr>
    </w:p>
    <w:p w14:paraId="3338E7A3" w14:textId="79FE6586" w:rsidR="00C57ADD" w:rsidRDefault="00C57ADD" w:rsidP="00B96404">
      <w:pPr>
        <w:spacing w:line="276" w:lineRule="auto"/>
        <w:ind w:firstLine="720"/>
        <w:jc w:val="both"/>
      </w:pPr>
      <w:r>
        <w:t xml:space="preserve">[9] Senāts atzīst, ka pārējā daļā apelācijas instances tiesas lēmums atstājams negrozīts, bet </w:t>
      </w:r>
      <w:r>
        <w:rPr>
          <w:rFonts w:asciiTheme="majorBidi" w:hAnsiTheme="majorBidi" w:cstheme="majorBidi"/>
        </w:rPr>
        <w:t>prokuror</w:t>
      </w:r>
      <w:r w:rsidR="00104A3F">
        <w:rPr>
          <w:rFonts w:asciiTheme="majorBidi" w:hAnsiTheme="majorBidi" w:cstheme="majorBidi"/>
        </w:rPr>
        <w:t>a</w:t>
      </w:r>
      <w:r>
        <w:rPr>
          <w:rFonts w:asciiTheme="majorBidi" w:hAnsiTheme="majorBidi" w:cstheme="majorBidi"/>
        </w:rPr>
        <w:t xml:space="preserve"> kasācijas protests un cietušā kasācijas sūdzība noraidāma.</w:t>
      </w:r>
    </w:p>
    <w:p w14:paraId="4C259799" w14:textId="0E07BF18" w:rsidR="006D3111" w:rsidRDefault="00AF56C0" w:rsidP="006B1CD3">
      <w:pPr>
        <w:spacing w:line="276" w:lineRule="auto"/>
        <w:ind w:firstLine="720"/>
        <w:jc w:val="both"/>
      </w:pPr>
      <w:r>
        <w:t>[9.1] </w:t>
      </w:r>
      <w:r w:rsidR="00F06004">
        <w:t>Apelācijas instances tiesa, iz</w:t>
      </w:r>
      <w:r w:rsidR="00486018">
        <w:t>vērtējusi</w:t>
      </w:r>
      <w:r w:rsidR="00F06004">
        <w:t xml:space="preserve"> apelācijas protesta un apelācijas sūdzī</w:t>
      </w:r>
      <w:r w:rsidR="00F06004" w:rsidRPr="004F75F4">
        <w:t>b</w:t>
      </w:r>
      <w:r w:rsidR="005833B4">
        <w:t>as</w:t>
      </w:r>
      <w:r w:rsidR="00F06004">
        <w:t xml:space="preserve"> motīvus, atstājusi negrozītu pirmās instances tiesas spriedumu, ar kuru </w:t>
      </w:r>
      <w:r w:rsidR="00667BBC">
        <w:t>[pers. B]</w:t>
      </w:r>
      <w:r w:rsidR="00F06004">
        <w:t xml:space="preserve"> atzīta par nevainīgu un attaisnota </w:t>
      </w:r>
      <w:r w:rsidR="0011313F">
        <w:t>Krimināllikuma 177. panta trešajā daļā paredzētajā noziedzīgajā nodarījumā</w:t>
      </w:r>
      <w:r w:rsidR="007C537A">
        <w:t xml:space="preserve"> Tiesa</w:t>
      </w:r>
      <w:r w:rsidR="0011313F">
        <w:t xml:space="preserve"> </w:t>
      </w:r>
      <w:r w:rsidR="00F06004">
        <w:t xml:space="preserve">secinājusi, ka apsūdzētā pamatoti </w:t>
      </w:r>
      <w:r w:rsidR="007C537A">
        <w:t xml:space="preserve">atzīta par nevainīgu un </w:t>
      </w:r>
      <w:r w:rsidR="00F06004">
        <w:t>attaisnota</w:t>
      </w:r>
      <w:r w:rsidR="00F06004" w:rsidRPr="00F06004">
        <w:t xml:space="preserve"> </w:t>
      </w:r>
      <w:r w:rsidR="007C537A">
        <w:t>viņai celtajā apsūdzībā pēc Krimināllikuma 177.</w:t>
      </w:r>
      <w:r w:rsidR="00DD4C6D">
        <w:t> </w:t>
      </w:r>
      <w:r w:rsidR="007C537A">
        <w:t xml:space="preserve">panta trešās daļas </w:t>
      </w:r>
      <w:r w:rsidR="00F06004">
        <w:t xml:space="preserve">saskaņā ar Kriminālprocesa likuma 519. panta 1. punktu. Apelācijas instances tiesa nav konstatējusi </w:t>
      </w:r>
      <w:r w:rsidR="006B1CD3">
        <w:t xml:space="preserve">Kriminālprocesa likuma pārkāpumus </w:t>
      </w:r>
      <w:r w:rsidR="006D3111">
        <w:t>pierādījumu vērtēšanā</w:t>
      </w:r>
      <w:r w:rsidR="00620617">
        <w:t xml:space="preserve"> pirmās instances tiesā un </w:t>
      </w:r>
      <w:r w:rsidR="006B1CD3">
        <w:t xml:space="preserve">pamatā </w:t>
      </w:r>
      <w:r w:rsidR="00620617">
        <w:t>piekritusi pirmās instances tiesas spriedumā sniegto pierādījumu un lietā konstatēto faktisko apstākļu novērtējumam un paustajām atziņām.</w:t>
      </w:r>
    </w:p>
    <w:p w14:paraId="1774E7A9" w14:textId="30BF64A8" w:rsidR="004269BA" w:rsidRPr="00391E58" w:rsidRDefault="006B1CD3" w:rsidP="0043174D">
      <w:pPr>
        <w:spacing w:line="276" w:lineRule="auto"/>
        <w:ind w:firstLine="720"/>
        <w:jc w:val="both"/>
      </w:pPr>
      <w:r>
        <w:t xml:space="preserve">[9.2] Apelācijas instances tiesa atzinusi, ka ar pirmās instances tiesas spriedumā analizētajiem pierādījumiem nav gūts apstiprinājums, ka apsūdzētā </w:t>
      </w:r>
      <w:r w:rsidR="00667BBC">
        <w:t>[pers. B]</w:t>
      </w:r>
      <w:r>
        <w:t xml:space="preserve"> Saldus rajona </w:t>
      </w:r>
      <w:r w:rsidRPr="00391E58">
        <w:t xml:space="preserve">tiesā </w:t>
      </w:r>
      <w:r w:rsidR="0011313F" w:rsidRPr="00391E58">
        <w:t>paskaidrojum</w:t>
      </w:r>
      <w:r w:rsidR="00391E58" w:rsidRPr="00391E58">
        <w:t>u</w:t>
      </w:r>
      <w:r w:rsidR="0011313F" w:rsidRPr="00391E58">
        <w:t xml:space="preserve"> prasības pieteikum</w:t>
      </w:r>
      <w:r w:rsidR="00391E58" w:rsidRPr="00391E58">
        <w:t>am</w:t>
      </w:r>
      <w:r w:rsidR="0011313F" w:rsidRPr="00391E58">
        <w:t xml:space="preserve"> </w:t>
      </w:r>
      <w:r w:rsidRPr="00391E58">
        <w:t>maza apmēra prasīb</w:t>
      </w:r>
      <w:r w:rsidR="0011313F" w:rsidRPr="00391E58">
        <w:t>ā</w:t>
      </w:r>
      <w:r w:rsidRPr="00391E58">
        <w:t xml:space="preserve"> par uzturlīdzekļu piedziņu no </w:t>
      </w:r>
      <w:r w:rsidR="00667BBC">
        <w:t>[pers. A]</w:t>
      </w:r>
      <w:r w:rsidRPr="00391E58">
        <w:t xml:space="preserve"> bērnu uzturam cēlusi mantkārīgu motīvu vadīta, nolūkā izkrāpt </w:t>
      </w:r>
      <w:r w:rsidR="0011313F" w:rsidRPr="00391E58">
        <w:t xml:space="preserve">no </w:t>
      </w:r>
      <w:r w:rsidRPr="00391E58">
        <w:t xml:space="preserve">Uzturlīdzekļu garantiju fonda naudas </w:t>
      </w:r>
      <w:r w:rsidR="0043174D" w:rsidRPr="00391E58">
        <w:t>līdzekļus. Apelācijas</w:t>
      </w:r>
      <w:r w:rsidR="004269BA" w:rsidRPr="00391E58">
        <w:t xml:space="preserve"> instances tiesa atzinusi, ka, īstenojot savas tiesības saņemt regulārus un bērnu tēva ienākumiem atbilstošus uzturlīdzekļus bērnu uzturam, apsūdzētajai bija tiesības vērsties tiesā ar prasības pieteikumu par uzturlīdzekļu piedziņu, neatkarīgi no bērnu tēva iepriekš veiktajiem maksājumiem</w:t>
      </w:r>
      <w:r w:rsidR="0062478E" w:rsidRPr="00391E58">
        <w:t>.</w:t>
      </w:r>
    </w:p>
    <w:p w14:paraId="66F41049" w14:textId="0735DC8C" w:rsidR="006B1CD3" w:rsidRPr="00391E58" w:rsidRDefault="007C537A" w:rsidP="00803BC2">
      <w:pPr>
        <w:spacing w:line="276" w:lineRule="auto"/>
        <w:ind w:firstLine="720"/>
        <w:jc w:val="both"/>
      </w:pPr>
      <w:r w:rsidRPr="00391E58">
        <w:t xml:space="preserve">Tiesa konstatējusi, ka </w:t>
      </w:r>
      <w:r w:rsidR="00667BBC">
        <w:t>[pers. A]</w:t>
      </w:r>
      <w:r w:rsidR="006B1CD3" w:rsidRPr="00391E58">
        <w:t xml:space="preserve"> bija atvēris norēķinu kontu, kuram bija piesaistīta norēķinu karte, kuru izmantoja </w:t>
      </w:r>
      <w:r w:rsidRPr="00391E58">
        <w:t xml:space="preserve">apsūdzētā </w:t>
      </w:r>
      <w:r w:rsidR="00667BBC">
        <w:t>[pers. B]</w:t>
      </w:r>
      <w:r w:rsidR="006B1CD3" w:rsidRPr="00391E58">
        <w:t xml:space="preserve">. </w:t>
      </w:r>
      <w:r w:rsidR="0043174D" w:rsidRPr="00391E58">
        <w:t xml:space="preserve">Pretēji cietušā </w:t>
      </w:r>
      <w:r w:rsidR="00667BBC">
        <w:t>[pers. A]</w:t>
      </w:r>
      <w:r w:rsidR="0043174D" w:rsidRPr="00391E58">
        <w:t xml:space="preserve"> kasācijas sūdzībā norādītajam </w:t>
      </w:r>
      <w:r w:rsidR="006B1CD3" w:rsidRPr="00391E58">
        <w:t xml:space="preserve">lietā noskaidrots, ka </w:t>
      </w:r>
      <w:r w:rsidR="00667BBC">
        <w:t>[pers. A]</w:t>
      </w:r>
      <w:r w:rsidR="006B1CD3" w:rsidRPr="00391E58">
        <w:t xml:space="preserve"> kā pirms, tā </w:t>
      </w:r>
      <w:r w:rsidRPr="00391E58">
        <w:t xml:space="preserve">arī </w:t>
      </w:r>
      <w:r w:rsidR="006B1CD3" w:rsidRPr="00391E58">
        <w:t xml:space="preserve">pēc prasības celšanas tiesā par uzturlīdzekļu piedziņu </w:t>
      </w:r>
      <w:r w:rsidRPr="00391E58">
        <w:t xml:space="preserve">ir pārskaitījis dažādas naudas summas </w:t>
      </w:r>
      <w:r w:rsidR="006B1CD3" w:rsidRPr="00391E58">
        <w:t>uz</w:t>
      </w:r>
      <w:r w:rsidRPr="00391E58">
        <w:t xml:space="preserve"> apsūdzētās</w:t>
      </w:r>
      <w:r w:rsidR="006B1CD3" w:rsidRPr="00391E58">
        <w:t xml:space="preserve"> </w:t>
      </w:r>
      <w:r w:rsidR="00667BBC">
        <w:t>[pers. B]</w:t>
      </w:r>
      <w:r w:rsidR="006B1CD3" w:rsidRPr="00391E58">
        <w:t xml:space="preserve"> kontu dažādu saimniecisku jautājumu</w:t>
      </w:r>
      <w:r w:rsidR="004269BA" w:rsidRPr="00391E58">
        <w:t>, tostarp viņa pašu vajadzību,</w:t>
      </w:r>
      <w:r w:rsidR="006B1CD3" w:rsidRPr="00391E58">
        <w:t xml:space="preserve"> risināšanai. </w:t>
      </w:r>
      <w:bookmarkStart w:id="11" w:name="_Hlk135399393"/>
      <w:r w:rsidR="00803BC2" w:rsidRPr="00391E58">
        <w:t xml:space="preserve">Izvērtējot minēto, tiesa atzinusi, ka </w:t>
      </w:r>
      <w:r w:rsidR="00667BBC">
        <w:t>[pers. B]</w:t>
      </w:r>
      <w:r w:rsidR="00803BC2" w:rsidRPr="00391E58">
        <w:t xml:space="preserve"> vēršanās tiesā ar prasības pieteikumu par uzturlīdzekļu piedziņu no </w:t>
      </w:r>
      <w:r w:rsidR="00667BBC">
        <w:t>[pers. A]</w:t>
      </w:r>
      <w:r w:rsidR="00803BC2" w:rsidRPr="00391E58">
        <w:t xml:space="preserve">, norādot, ka </w:t>
      </w:r>
      <w:r w:rsidR="00667BBC">
        <w:t>[pers. A]</w:t>
      </w:r>
      <w:r w:rsidR="00803BC2" w:rsidRPr="00391E58">
        <w:t xml:space="preserve"> līdzekļus bērnu uzturam nedod, nav pamata atzīt </w:t>
      </w:r>
      <w:r w:rsidR="008F5A34" w:rsidRPr="00391E58">
        <w:t>par</w:t>
      </w:r>
      <w:r w:rsidR="00803BC2" w:rsidRPr="00391E58">
        <w:t xml:space="preserve"> darbību, kas veikta nolūk</w:t>
      </w:r>
      <w:r w:rsidRPr="00391E58">
        <w:t>ā</w:t>
      </w:r>
      <w:r w:rsidR="00803BC2" w:rsidRPr="00391E58">
        <w:t xml:space="preserve"> maldināt tiesu.</w:t>
      </w:r>
    </w:p>
    <w:bookmarkEnd w:id="11"/>
    <w:p w14:paraId="13D33750" w14:textId="660D93ED" w:rsidR="00385CD5" w:rsidRDefault="00AF56C0" w:rsidP="00321227">
      <w:pPr>
        <w:spacing w:line="276" w:lineRule="auto"/>
        <w:ind w:firstLine="720"/>
        <w:jc w:val="both"/>
      </w:pPr>
      <w:r w:rsidRPr="00391E58">
        <w:rPr>
          <w:rFonts w:asciiTheme="majorBidi" w:hAnsiTheme="majorBidi" w:cstheme="majorBidi"/>
        </w:rPr>
        <w:t>[9.</w:t>
      </w:r>
      <w:r w:rsidR="004269BA" w:rsidRPr="00391E58">
        <w:rPr>
          <w:rFonts w:asciiTheme="majorBidi" w:hAnsiTheme="majorBidi" w:cstheme="majorBidi"/>
        </w:rPr>
        <w:t>3</w:t>
      </w:r>
      <w:r w:rsidRPr="00391E58">
        <w:rPr>
          <w:rFonts w:asciiTheme="majorBidi" w:hAnsiTheme="majorBidi" w:cstheme="majorBidi"/>
        </w:rPr>
        <w:t>] </w:t>
      </w:r>
      <w:r w:rsidR="00321227" w:rsidRPr="00391E58">
        <w:rPr>
          <w:rFonts w:asciiTheme="majorBidi" w:hAnsiTheme="majorBidi" w:cstheme="majorBidi"/>
        </w:rPr>
        <w:t xml:space="preserve">Tiesa konstatējusi, ka </w:t>
      </w:r>
      <w:r w:rsidR="00667BBC">
        <w:rPr>
          <w:rFonts w:asciiTheme="majorBidi" w:hAnsiTheme="majorBidi" w:cstheme="majorBidi"/>
        </w:rPr>
        <w:t>[pers. B]</w:t>
      </w:r>
      <w:r w:rsidR="00321227" w:rsidRPr="00391E58">
        <w:rPr>
          <w:rFonts w:asciiTheme="majorBidi" w:hAnsiTheme="majorBidi" w:cstheme="majorBidi"/>
        </w:rPr>
        <w:t xml:space="preserve"> Saldus rajona tiesā </w:t>
      </w:r>
      <w:r w:rsidR="0011313F" w:rsidRPr="00391E58">
        <w:rPr>
          <w:rFonts w:asciiTheme="majorBidi" w:hAnsiTheme="majorBidi" w:cstheme="majorBidi"/>
        </w:rPr>
        <w:t>paskaidrojum</w:t>
      </w:r>
      <w:r w:rsidR="00391E58" w:rsidRPr="00391E58">
        <w:rPr>
          <w:rFonts w:asciiTheme="majorBidi" w:hAnsiTheme="majorBidi" w:cstheme="majorBidi"/>
        </w:rPr>
        <w:t>ā</w:t>
      </w:r>
      <w:r w:rsidR="0011313F" w:rsidRPr="00391E58">
        <w:rPr>
          <w:rFonts w:asciiTheme="majorBidi" w:hAnsiTheme="majorBidi" w:cstheme="majorBidi"/>
        </w:rPr>
        <w:t xml:space="preserve"> prasības</w:t>
      </w:r>
      <w:r w:rsidR="0011313F">
        <w:rPr>
          <w:rFonts w:asciiTheme="majorBidi" w:hAnsiTheme="majorBidi" w:cstheme="majorBidi"/>
        </w:rPr>
        <w:t xml:space="preserve"> </w:t>
      </w:r>
      <w:r w:rsidR="00321227">
        <w:rPr>
          <w:rFonts w:asciiTheme="majorBidi" w:hAnsiTheme="majorBidi" w:cstheme="majorBidi"/>
        </w:rPr>
        <w:t>pieteikuma</w:t>
      </w:r>
      <w:r w:rsidR="00391E58">
        <w:rPr>
          <w:rFonts w:asciiTheme="majorBidi" w:hAnsiTheme="majorBidi" w:cstheme="majorBidi"/>
        </w:rPr>
        <w:t>m</w:t>
      </w:r>
      <w:r w:rsidR="00321227">
        <w:rPr>
          <w:rFonts w:asciiTheme="majorBidi" w:hAnsiTheme="majorBidi" w:cstheme="majorBidi"/>
        </w:rPr>
        <w:t xml:space="preserve"> maza apmēra prasībā par uzturlīdzekļu piedziņu no </w:t>
      </w:r>
      <w:r w:rsidR="00667BBC">
        <w:rPr>
          <w:rFonts w:asciiTheme="majorBidi" w:hAnsiTheme="majorBidi" w:cstheme="majorBidi"/>
        </w:rPr>
        <w:t>[pers. A]</w:t>
      </w:r>
      <w:r w:rsidR="00321227">
        <w:rPr>
          <w:rFonts w:asciiTheme="majorBidi" w:hAnsiTheme="majorBidi" w:cstheme="majorBidi"/>
        </w:rPr>
        <w:t xml:space="preserve"> piecu nepilngadīgu bērnu uzturam atbilstoši likumam norādījusi </w:t>
      </w:r>
      <w:r w:rsidR="00667BBC">
        <w:rPr>
          <w:rFonts w:asciiTheme="majorBidi" w:hAnsiTheme="majorBidi" w:cstheme="majorBidi"/>
        </w:rPr>
        <w:t>[pers. A]</w:t>
      </w:r>
      <w:r w:rsidR="00321227">
        <w:rPr>
          <w:rFonts w:asciiTheme="majorBidi" w:hAnsiTheme="majorBidi" w:cstheme="majorBidi"/>
        </w:rPr>
        <w:t xml:space="preserve"> deklarēto dzīvesvietu, tāpat deklarētā dzīvesvieta Latvijā </w:t>
      </w:r>
      <w:r w:rsidR="00667BBC">
        <w:rPr>
          <w:rFonts w:asciiTheme="majorBidi" w:hAnsiTheme="majorBidi" w:cstheme="majorBidi"/>
        </w:rPr>
        <w:t>[pers. A]</w:t>
      </w:r>
      <w:r w:rsidR="00321227">
        <w:rPr>
          <w:rFonts w:asciiTheme="majorBidi" w:hAnsiTheme="majorBidi" w:cstheme="majorBidi"/>
        </w:rPr>
        <w:t xml:space="preserve"> bija laikā, kad </w:t>
      </w:r>
      <w:r w:rsidR="00667BBC">
        <w:rPr>
          <w:rFonts w:asciiTheme="majorBidi" w:hAnsiTheme="majorBidi" w:cstheme="majorBidi"/>
        </w:rPr>
        <w:t>[pers. B]</w:t>
      </w:r>
      <w:r w:rsidR="00CC53A0">
        <w:rPr>
          <w:rFonts w:asciiTheme="majorBidi" w:hAnsiTheme="majorBidi" w:cstheme="majorBidi"/>
        </w:rPr>
        <w:t xml:space="preserve"> </w:t>
      </w:r>
      <w:r w:rsidR="00321227">
        <w:rPr>
          <w:rFonts w:asciiTheme="majorBidi" w:hAnsiTheme="majorBidi" w:cstheme="majorBidi"/>
        </w:rPr>
        <w:t>2013.</w:t>
      </w:r>
      <w:r w:rsidR="00CC53A0">
        <w:rPr>
          <w:rFonts w:asciiTheme="majorBidi" w:hAnsiTheme="majorBidi" w:cstheme="majorBidi"/>
        </w:rPr>
        <w:t> </w:t>
      </w:r>
      <w:r w:rsidR="00321227">
        <w:rPr>
          <w:rFonts w:asciiTheme="majorBidi" w:hAnsiTheme="majorBidi" w:cstheme="majorBidi"/>
        </w:rPr>
        <w:t>gada 1.</w:t>
      </w:r>
      <w:r w:rsidR="00CC53A0">
        <w:rPr>
          <w:rFonts w:asciiTheme="majorBidi" w:hAnsiTheme="majorBidi" w:cstheme="majorBidi"/>
        </w:rPr>
        <w:t> </w:t>
      </w:r>
      <w:r w:rsidR="00321227">
        <w:rPr>
          <w:rFonts w:asciiTheme="majorBidi" w:hAnsiTheme="majorBidi" w:cstheme="majorBidi"/>
        </w:rPr>
        <w:t xml:space="preserve">martā iesniedza zvērinātam tiesu izpildītājam izpildu rakstu lietā </w:t>
      </w:r>
      <w:r w:rsidR="00667BBC">
        <w:rPr>
          <w:rFonts w:asciiTheme="majorBidi" w:hAnsiTheme="majorBidi" w:cstheme="majorBidi"/>
        </w:rPr>
        <w:t>[..]</w:t>
      </w:r>
      <w:r w:rsidR="00321227">
        <w:rPr>
          <w:rFonts w:asciiTheme="majorBidi" w:hAnsiTheme="majorBidi" w:cstheme="majorBidi"/>
        </w:rPr>
        <w:t xml:space="preserve"> un 2013.</w:t>
      </w:r>
      <w:r w:rsidR="00CC53A0">
        <w:rPr>
          <w:rFonts w:asciiTheme="majorBidi" w:hAnsiTheme="majorBidi" w:cstheme="majorBidi"/>
        </w:rPr>
        <w:t> </w:t>
      </w:r>
      <w:r w:rsidR="00321227">
        <w:rPr>
          <w:rFonts w:asciiTheme="majorBidi" w:hAnsiTheme="majorBidi" w:cstheme="majorBidi"/>
        </w:rPr>
        <w:t>gada 2.</w:t>
      </w:r>
      <w:r w:rsidR="00CC53A0">
        <w:rPr>
          <w:rFonts w:asciiTheme="majorBidi" w:hAnsiTheme="majorBidi" w:cstheme="majorBidi"/>
        </w:rPr>
        <w:t> </w:t>
      </w:r>
      <w:r w:rsidR="00321227">
        <w:rPr>
          <w:rFonts w:asciiTheme="majorBidi" w:hAnsiTheme="majorBidi" w:cstheme="majorBidi"/>
        </w:rPr>
        <w:t xml:space="preserve">maijā, kad </w:t>
      </w:r>
      <w:r w:rsidR="00667BBC">
        <w:rPr>
          <w:rFonts w:asciiTheme="majorBidi" w:hAnsiTheme="majorBidi" w:cstheme="majorBidi"/>
        </w:rPr>
        <w:t>[pers. </w:t>
      </w:r>
      <w:r w:rsidR="00667BBC">
        <w:t>B]</w:t>
      </w:r>
      <w:r w:rsidR="00321227">
        <w:rPr>
          <w:rFonts w:asciiTheme="majorBidi" w:hAnsiTheme="majorBidi" w:cstheme="majorBidi"/>
        </w:rPr>
        <w:t xml:space="preserve"> iesniedza iesniegumu par uzturlīdzekļu izmaksu Uzturlīdzekļu garantiju fondā.</w:t>
      </w:r>
      <w:r w:rsidR="00321227" w:rsidRPr="00321227">
        <w:t xml:space="preserve"> </w:t>
      </w:r>
      <w:r w:rsidR="00321227">
        <w:t xml:space="preserve">Līdz ar to </w:t>
      </w:r>
      <w:r w:rsidR="00FA1016">
        <w:t xml:space="preserve">tiesa atzinusi, ka </w:t>
      </w:r>
      <w:r w:rsidR="00321227">
        <w:t xml:space="preserve">ne tiesai, ne zvērinātam tiesu izpildītājam, ne Uzturlīdzekļu garantiju fondam apsūdzētā </w:t>
      </w:r>
      <w:r w:rsidR="00667BBC">
        <w:t>[pers. B]</w:t>
      </w:r>
      <w:r w:rsidR="00321227">
        <w:t xml:space="preserve"> nav sniegusi nepatiesas ziņas par </w:t>
      </w:r>
      <w:r w:rsidR="00667BBC">
        <w:t>[pers. A]</w:t>
      </w:r>
      <w:r w:rsidR="00321227">
        <w:t xml:space="preserve"> deklarēto dzīvesvietu.</w:t>
      </w:r>
    </w:p>
    <w:p w14:paraId="6E77F54C" w14:textId="0466C391" w:rsidR="00FE4595" w:rsidRDefault="00AF56C0" w:rsidP="00FE4595">
      <w:pPr>
        <w:spacing w:line="276" w:lineRule="auto"/>
        <w:ind w:firstLine="720"/>
        <w:jc w:val="both"/>
      </w:pPr>
      <w:r>
        <w:t>[9.</w:t>
      </w:r>
      <w:r w:rsidR="004269BA">
        <w:t>4</w:t>
      </w:r>
      <w:r>
        <w:t>] </w:t>
      </w:r>
      <w:r w:rsidR="00FE4595">
        <w:t xml:space="preserve">Apelācijas instances tiesa secinājusi, ka ar lietā esošajiem un pirmās instances tiesā pārbaudītajiem pierādījumiem apstiprināts, ka civillietā </w:t>
      </w:r>
      <w:r w:rsidR="00667BBC">
        <w:t>[..]</w:t>
      </w:r>
      <w:r w:rsidR="00FE4595">
        <w:t xml:space="preserve"> paskaidrojumu prasības pieteikumā maza apmēra prasībā par uzturlīdzekļu piedziņu no </w:t>
      </w:r>
      <w:r w:rsidR="00667BBC">
        <w:t>[pers. A]</w:t>
      </w:r>
      <w:r w:rsidR="00FE4595">
        <w:t>, kas datēts ar 2013. gada 29. janvāri,</w:t>
      </w:r>
      <w:r w:rsidR="008F5A34">
        <w:t xml:space="preserve"> atbildētāja vārdā</w:t>
      </w:r>
      <w:r w:rsidR="00FE4595">
        <w:t xml:space="preserve"> aizpildījis un uz aploksnes ar saņēmēja un nosūtītāja adresēm rokrakstā izpildītos uzrakstus veicis </w:t>
      </w:r>
      <w:r w:rsidR="00667BBC">
        <w:t>[pers. C]</w:t>
      </w:r>
      <w:r w:rsidR="00FE4595">
        <w:t xml:space="preserve">. </w:t>
      </w:r>
    </w:p>
    <w:p w14:paraId="1E449B67" w14:textId="4423DD0A" w:rsidR="004C0475" w:rsidRDefault="004C0475" w:rsidP="004C0475">
      <w:pPr>
        <w:spacing w:line="276" w:lineRule="auto"/>
        <w:ind w:firstLine="709"/>
        <w:jc w:val="both"/>
        <w:rPr>
          <w:rFonts w:eastAsiaTheme="minorHAnsi"/>
          <w:lang w:eastAsia="en-US"/>
          <w14:ligatures w14:val="standardContextual"/>
        </w:rPr>
      </w:pPr>
      <w:r w:rsidRPr="00FE4595">
        <w:rPr>
          <w:rFonts w:eastAsiaTheme="minorHAnsi"/>
          <w:lang w:eastAsia="en-US"/>
          <w14:ligatures w14:val="standardContextual"/>
        </w:rPr>
        <w:t>Vienlaikus</w:t>
      </w:r>
      <w:r>
        <w:rPr>
          <w:rFonts w:eastAsiaTheme="minorHAnsi"/>
          <w:lang w:eastAsia="en-US"/>
          <w14:ligatures w14:val="standardContextual"/>
        </w:rPr>
        <w:t xml:space="preserve"> tiesa atzinusi, ka lietā nav pierādīts, ka tieši </w:t>
      </w:r>
      <w:r w:rsidRPr="00FE4595">
        <w:rPr>
          <w:rFonts w:eastAsiaTheme="minorHAnsi"/>
          <w:lang w:eastAsia="en-US"/>
          <w14:ligatures w14:val="standardContextual"/>
        </w:rPr>
        <w:t xml:space="preserve">apsūdzētā </w:t>
      </w:r>
      <w:r w:rsidR="00667BBC">
        <w:rPr>
          <w:rFonts w:eastAsiaTheme="minorHAnsi"/>
          <w:lang w:eastAsia="en-US"/>
          <w14:ligatures w14:val="standardContextual"/>
        </w:rPr>
        <w:t>[pers. B]</w:t>
      </w:r>
      <w:r w:rsidRPr="00FE4595">
        <w:rPr>
          <w:rFonts w:eastAsiaTheme="minorHAnsi"/>
          <w:lang w:eastAsia="en-US"/>
          <w14:ligatures w14:val="standardContextual"/>
        </w:rPr>
        <w:t xml:space="preserve"> iesniedza Saldus rajona tiesā viltotu </w:t>
      </w:r>
      <w:r w:rsidR="00667BBC">
        <w:rPr>
          <w:rFonts w:eastAsiaTheme="minorHAnsi"/>
          <w:lang w:eastAsia="en-US"/>
          <w14:ligatures w14:val="standardContextual"/>
        </w:rPr>
        <w:t>[pers. A]</w:t>
      </w:r>
      <w:r w:rsidRPr="00FE4595">
        <w:rPr>
          <w:rFonts w:eastAsiaTheme="minorHAnsi"/>
          <w:lang w:eastAsia="en-US"/>
          <w14:ligatures w14:val="standardContextual"/>
        </w:rPr>
        <w:t xml:space="preserve"> vārdā</w:t>
      </w:r>
      <w:r>
        <w:rPr>
          <w:rFonts w:eastAsiaTheme="minorHAnsi"/>
          <w:lang w:eastAsia="en-US"/>
          <w14:ligatures w14:val="standardContextual"/>
        </w:rPr>
        <w:t xml:space="preserve"> </w:t>
      </w:r>
      <w:r w:rsidRPr="00FE4595">
        <w:rPr>
          <w:rFonts w:eastAsiaTheme="minorHAnsi"/>
          <w:lang w:eastAsia="en-US"/>
          <w14:ligatures w14:val="standardContextual"/>
        </w:rPr>
        <w:t>sastādītu paskaidrojumu</w:t>
      </w:r>
      <w:r>
        <w:rPr>
          <w:rFonts w:eastAsiaTheme="minorHAnsi"/>
          <w:lang w:eastAsia="en-US"/>
          <w14:ligatures w14:val="standardContextual"/>
        </w:rPr>
        <w:t>.</w:t>
      </w:r>
    </w:p>
    <w:p w14:paraId="0CC6DCFF" w14:textId="77777777" w:rsidR="004C0475" w:rsidRDefault="004C0475" w:rsidP="004C0475">
      <w:pPr>
        <w:spacing w:line="276" w:lineRule="auto"/>
        <w:ind w:firstLine="720"/>
        <w:jc w:val="both"/>
      </w:pPr>
      <w:r>
        <w:t>Senātam nav pamata apšaubīt šādus apelācijas instances tiesas atzinumus, jo tie ir pamatoti ar pierādījumiem.</w:t>
      </w:r>
    </w:p>
    <w:p w14:paraId="6F34750F" w14:textId="7030EF8D" w:rsidR="004C0475" w:rsidRDefault="004C0475" w:rsidP="004C0475">
      <w:pPr>
        <w:spacing w:line="276" w:lineRule="auto"/>
        <w:ind w:firstLine="709"/>
        <w:jc w:val="both"/>
      </w:pPr>
      <w:r>
        <w:t>[9.5]</w:t>
      </w:r>
      <w:r w:rsidR="003624AF">
        <w:t> </w:t>
      </w:r>
      <w:r>
        <w:t>Cietušā kasācijas sūdzībā ir norādīts, ka</w:t>
      </w:r>
      <w:r w:rsidRPr="00D316D6">
        <w:t xml:space="preserve"> </w:t>
      </w:r>
      <w:r>
        <w:t>ti</w:t>
      </w:r>
      <w:r w:rsidRPr="002942C6">
        <w:t xml:space="preserve">esa nav vērtējusi, ka liecinieks </w:t>
      </w:r>
      <w:r w:rsidR="00667BBC">
        <w:t>[pers. C]</w:t>
      </w:r>
      <w:r>
        <w:t xml:space="preserve"> </w:t>
      </w:r>
      <w:r w:rsidRPr="002942C6">
        <w:t>ir noziedzīgā nodarījuma līdzdalībnieks</w:t>
      </w:r>
      <w:r>
        <w:t>.</w:t>
      </w:r>
    </w:p>
    <w:p w14:paraId="4A7BA155" w14:textId="77777777" w:rsidR="004C0475" w:rsidRPr="00391E58" w:rsidRDefault="004C0475" w:rsidP="004C0475">
      <w:pPr>
        <w:spacing w:line="276" w:lineRule="auto"/>
        <w:ind w:firstLine="709"/>
        <w:jc w:val="both"/>
      </w:pPr>
      <w:r w:rsidRPr="004C0475">
        <w:t xml:space="preserve">Saskaņā ar Kriminālprocesa likuma 23. pantu krimināllietās tiesu spriež tiesa, tiesas sēdēs izskatot un izlemjot pret personu celto apsūdzību pamatotību, attaisnojot nevainīgas personas vai arī atzīstot personas par vainīgām noziedzīga nodarījuma izdarīšanā un nosakot valsts institūcijām un personām obligāti izpildāmu krimināltiesisko </w:t>
      </w:r>
      <w:r w:rsidRPr="00391E58">
        <w:t>attiecību noregulējumu, kas, ja nepieciešams, realizējams piespiedu kārtā. Tas nozīmē, ka tiesa izskata krimināllietu pret to personu un tādā apsūdzībā, kāda ir saņemta tiesā.</w:t>
      </w:r>
    </w:p>
    <w:p w14:paraId="03E90E7A" w14:textId="77777777" w:rsidR="004C0475" w:rsidRPr="00391E58" w:rsidRDefault="004C0475" w:rsidP="004C0475">
      <w:pPr>
        <w:spacing w:line="276" w:lineRule="auto"/>
        <w:ind w:firstLine="709"/>
        <w:jc w:val="both"/>
      </w:pPr>
      <w:r w:rsidRPr="00391E58">
        <w:t>Kriminālprocesa likuma 124. panta otrā daļa noteic, ka kriminālprocesā pierādāma noziedzīga nodarījuma sastāva esamība vai neesamība, kā arī citi Krimināllikumā un šajā likumā paredzētie apstākļi, kuriem ir nozīme konkrēto krimināltiesisko attiecību taisnīgā noregulējumā.</w:t>
      </w:r>
    </w:p>
    <w:p w14:paraId="1EDD1492" w14:textId="651C5AA7" w:rsidR="004C0475" w:rsidRPr="004C0475" w:rsidRDefault="004C0475" w:rsidP="004C0475">
      <w:pPr>
        <w:spacing w:line="276" w:lineRule="auto"/>
        <w:ind w:firstLine="709"/>
        <w:jc w:val="both"/>
      </w:pPr>
      <w:r w:rsidRPr="00391E58">
        <w:t xml:space="preserve">Senāts uzsver, ka apelācijas instances tiesā lieta tika saņemta un pamatoti izskatīta </w:t>
      </w:r>
      <w:r w:rsidR="00667BBC">
        <w:t>[pers. B]</w:t>
      </w:r>
      <w:r w:rsidRPr="00391E58">
        <w:t xml:space="preserve"> apsūdzībā, ievērojot Kriminālprocesa likuma 562. pantā noteikto apjomu un ietvarus, kādos lieta tiek iztiesāta apelācijas instances tiesā. Izskatāmajā lietā apsūdzība pret </w:t>
      </w:r>
      <w:r w:rsidR="00667BBC">
        <w:t>[pers. C]</w:t>
      </w:r>
      <w:r w:rsidRPr="00391E58">
        <w:t xml:space="preserve"> netika celta un lieta šīs personas apsūdzībā netika izskatīta. Kriminālprocess pret </w:t>
      </w:r>
      <w:r w:rsidR="00667BBC">
        <w:t>[pers. C]</w:t>
      </w:r>
      <w:r w:rsidRPr="00391E58">
        <w:t xml:space="preserve"> pirmstiesas izmeklēšanā izbeigts noziedzīga nodarījuma sastāva trūkuma dēļ.</w:t>
      </w:r>
    </w:p>
    <w:p w14:paraId="562F4A77" w14:textId="55500E8C" w:rsidR="00440C7F" w:rsidRPr="007B4922" w:rsidRDefault="00440C7F" w:rsidP="00440C7F">
      <w:pPr>
        <w:spacing w:line="276" w:lineRule="auto"/>
        <w:ind w:firstLine="720"/>
        <w:jc w:val="both"/>
      </w:pPr>
      <w:r>
        <w:t>[9.</w:t>
      </w:r>
      <w:r w:rsidR="004C0475">
        <w:t>6</w:t>
      </w:r>
      <w:r>
        <w:t>] Senāts norāda, ka pierādījumu ticamības jēdziens un novērtēšanas prasības ir ietvertas Kriminālprocesa likuma 128. pantā</w:t>
      </w:r>
      <w:r w:rsidRPr="00391E58">
        <w:t>, taču izvēle,</w:t>
      </w:r>
      <w:r>
        <w:t xml:space="preserv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Atbilstoši Kriminālprocesa likuma 569. 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lēmuma atcelšanai šajā daļā, Senāts nekonstatē, savukārt</w:t>
      </w:r>
      <w:r w:rsidRPr="00581A82">
        <w:rPr>
          <w:rFonts w:asciiTheme="majorBidi" w:hAnsiTheme="majorBidi" w:cstheme="majorBidi"/>
        </w:rPr>
        <w:t xml:space="preserve"> </w:t>
      </w:r>
      <w:r>
        <w:rPr>
          <w:rFonts w:asciiTheme="majorBidi" w:hAnsiTheme="majorBidi" w:cstheme="majorBidi"/>
        </w:rPr>
        <w:t xml:space="preserve">prokurora K. Didža kasācijas protestā un cietušā </w:t>
      </w:r>
      <w:r w:rsidR="00667BBC">
        <w:rPr>
          <w:rFonts w:asciiTheme="majorBidi" w:hAnsiTheme="majorBidi" w:cstheme="majorBidi"/>
        </w:rPr>
        <w:t>[pers. A]</w:t>
      </w:r>
      <w:r>
        <w:rPr>
          <w:rFonts w:asciiTheme="majorBidi" w:hAnsiTheme="majorBidi" w:cstheme="majorBidi"/>
        </w:rPr>
        <w:t xml:space="preserve"> kasācijas sūdzībā</w:t>
      </w:r>
      <w:r>
        <w:t xml:space="preserve"> paustais subjektīvais viedoklis par lietā iegūto pierādījumu novērtējumu, ja tiesa pierādījumu novērtēšanā nav pieļāvusi Kriminālprocesa likuma būtiskus pārkāpumus, nevar būt par pamatu apelācijas instances tiesas lēmuma atcelšanai. </w:t>
      </w:r>
    </w:p>
    <w:p w14:paraId="44BE575E" w14:textId="77777777" w:rsidR="002942C6" w:rsidRDefault="00440C7F" w:rsidP="002942C6">
      <w:pPr>
        <w:spacing w:line="276" w:lineRule="auto"/>
        <w:ind w:firstLine="720"/>
        <w:jc w:val="both"/>
      </w:pPr>
      <w:r>
        <w:t xml:space="preserve">Senāts atzīst, ka apelācijas instances tiesas lēmums šajā daļā atbilst Kriminālprocesa likuma 511., 512., </w:t>
      </w:r>
      <w:r w:rsidRPr="007C537A">
        <w:t>564. panta</w:t>
      </w:r>
      <w:r>
        <w:t xml:space="preserve"> prasībām. Iztiesājot lietu šajā daļā, apelācijas instances tiesa nav pieļāvusi Krimināllikuma pārkāpumus vai Kriminālprocesa likuma būtiskus pārkāpumus šā likuma 575. panta trešās daļas izpratnē, kas varētu būt par pamatu apelācijas instances tiesas lēmuma atcelšanai vai grozīšanai.</w:t>
      </w:r>
      <w:bookmarkStart w:id="12" w:name="_Hlk136333776"/>
    </w:p>
    <w:p w14:paraId="5D95ACE6" w14:textId="77777777" w:rsidR="002942C6" w:rsidRDefault="002942C6" w:rsidP="002942C6">
      <w:pPr>
        <w:spacing w:line="276" w:lineRule="auto"/>
        <w:ind w:firstLine="720"/>
        <w:jc w:val="both"/>
      </w:pPr>
    </w:p>
    <w:p w14:paraId="217545D5" w14:textId="3679DCAF" w:rsidR="0043174D" w:rsidRPr="002942C6" w:rsidRDefault="00C27A20" w:rsidP="002942C6">
      <w:pPr>
        <w:spacing w:line="276" w:lineRule="auto"/>
        <w:ind w:firstLine="720"/>
        <w:jc w:val="both"/>
      </w:pPr>
      <w:r>
        <w:rPr>
          <w:color w:val="000000" w:themeColor="text1"/>
        </w:rPr>
        <w:t>[10] </w:t>
      </w:r>
      <w:r w:rsidR="0043174D" w:rsidRPr="00C27A20">
        <w:rPr>
          <w:color w:val="000000" w:themeColor="text1"/>
        </w:rPr>
        <w:t>Kriminālprocesa likuma 526. panta otrā daļa noteic, j</w:t>
      </w:r>
      <w:r w:rsidR="0043174D" w:rsidRPr="00C27A20">
        <w:rPr>
          <w:color w:val="000000" w:themeColor="text1"/>
          <w:shd w:val="clear" w:color="auto" w:fill="FFFFFF"/>
        </w:rPr>
        <w:t>a tiesa taisa attaisnojošu spriedumu, tā atstāj bez izskatīšanas pieteikumu par nodarījuma rezultātā radītā kaitējuma atlīdzināšanu. Pieteikuma atstāšana bez izskatīšanas nav šķērslis kaitējuma atlīdzināšanas prasības celšanai</w:t>
      </w:r>
      <w:r w:rsidR="00B96F0D">
        <w:rPr>
          <w:color w:val="000000" w:themeColor="text1"/>
          <w:shd w:val="clear" w:color="auto" w:fill="FFFFFF"/>
        </w:rPr>
        <w:t xml:space="preserve"> </w:t>
      </w:r>
      <w:hyperlink r:id="rId17" w:tgtFrame="_blank" w:history="1">
        <w:r w:rsidR="0043174D" w:rsidRPr="00C27A20">
          <w:rPr>
            <w:rStyle w:val="Hyperlink"/>
            <w:color w:val="000000" w:themeColor="text1"/>
            <w:u w:val="none"/>
            <w:shd w:val="clear" w:color="auto" w:fill="FFFFFF"/>
          </w:rPr>
          <w:t>Civilprocesa likumā</w:t>
        </w:r>
      </w:hyperlink>
      <w:r w:rsidR="0043174D" w:rsidRPr="00C27A20">
        <w:rPr>
          <w:color w:val="000000" w:themeColor="text1"/>
          <w:shd w:val="clear" w:color="auto" w:fill="FFFFFF"/>
        </w:rPr>
        <w:t> noteiktajā kārtībā.</w:t>
      </w:r>
    </w:p>
    <w:p w14:paraId="64CDFEE0" w14:textId="696FA3C9" w:rsidR="002942C6" w:rsidRDefault="0043174D" w:rsidP="002942C6">
      <w:pPr>
        <w:spacing w:line="276" w:lineRule="auto"/>
        <w:ind w:right="-1" w:firstLine="720"/>
        <w:jc w:val="both"/>
        <w:rPr>
          <w:color w:val="000000" w:themeColor="text1"/>
        </w:rPr>
      </w:pPr>
      <w:r w:rsidRPr="00C27A20">
        <w:rPr>
          <w:color w:val="000000" w:themeColor="text1"/>
          <w:shd w:val="clear" w:color="auto" w:fill="FFFFFF"/>
        </w:rPr>
        <w:t xml:space="preserve">Ņemot vērā, ka </w:t>
      </w:r>
      <w:r w:rsidR="004F75F4" w:rsidRPr="00C27A20">
        <w:rPr>
          <w:color w:val="000000" w:themeColor="text1"/>
          <w:shd w:val="clear" w:color="auto" w:fill="FFFFFF"/>
        </w:rPr>
        <w:t>a</w:t>
      </w:r>
      <w:r w:rsidR="004F75F4" w:rsidRPr="00C27A20">
        <w:rPr>
          <w:color w:val="000000" w:themeColor="text1"/>
        </w:rPr>
        <w:t>psūdzēt</w:t>
      </w:r>
      <w:r w:rsidR="004E47F2">
        <w:rPr>
          <w:color w:val="000000" w:themeColor="text1"/>
        </w:rPr>
        <w:t>ā</w:t>
      </w:r>
      <w:r w:rsidR="004F75F4" w:rsidRPr="00C27A20">
        <w:rPr>
          <w:color w:val="000000" w:themeColor="text1"/>
        </w:rPr>
        <w:t xml:space="preserve"> </w:t>
      </w:r>
      <w:r w:rsidR="00667BBC">
        <w:rPr>
          <w:color w:val="000000" w:themeColor="text1"/>
        </w:rPr>
        <w:t>[pers. B]</w:t>
      </w:r>
      <w:r w:rsidR="004F75F4" w:rsidRPr="00C27A20">
        <w:rPr>
          <w:color w:val="000000" w:themeColor="text1"/>
        </w:rPr>
        <w:t xml:space="preserve"> ar pirmās instances tiesas spriedumu, kuru apelācijas instances tiesa atstāja negrozītu, atzīta par nevainīgu un attaisnota Krimināllikuma 177. panta trešajā daļā paredzētajā noziedzīgajā nodarījumā, Senāts atzīst, ka cietušā </w:t>
      </w:r>
      <w:r w:rsidR="00667BBC">
        <w:rPr>
          <w:color w:val="000000" w:themeColor="text1"/>
        </w:rPr>
        <w:t>[pers. A]</w:t>
      </w:r>
      <w:r w:rsidR="004F75F4" w:rsidRPr="00C27A20">
        <w:rPr>
          <w:color w:val="000000" w:themeColor="text1"/>
        </w:rPr>
        <w:t xml:space="preserve"> pieteiktā kaitējuma kompensācija pamatoti atstāta bez izskatīšanas.</w:t>
      </w:r>
      <w:bookmarkEnd w:id="12"/>
    </w:p>
    <w:p w14:paraId="1ED67176" w14:textId="77777777" w:rsidR="002942C6" w:rsidRDefault="002942C6" w:rsidP="002942C6">
      <w:pPr>
        <w:spacing w:line="276" w:lineRule="auto"/>
        <w:ind w:right="-1" w:firstLine="720"/>
        <w:jc w:val="both"/>
        <w:rPr>
          <w:color w:val="000000" w:themeColor="text1"/>
        </w:rPr>
      </w:pPr>
    </w:p>
    <w:p w14:paraId="2565233B" w14:textId="7BB056FA" w:rsidR="002942C6" w:rsidRDefault="004269BA" w:rsidP="002942C6">
      <w:pPr>
        <w:spacing w:line="276" w:lineRule="auto"/>
        <w:ind w:right="-1" w:firstLine="720"/>
        <w:jc w:val="both"/>
      </w:pPr>
      <w:r>
        <w:t>[1</w:t>
      </w:r>
      <w:r w:rsidR="00440C7F">
        <w:t>1</w:t>
      </w:r>
      <w:r>
        <w:t>] </w:t>
      </w:r>
      <w:r w:rsidR="001F74EF">
        <w:t>Ar pirmās instances tiesas spriedumu apsūdzētaja</w:t>
      </w:r>
      <w:r w:rsidR="000862AA">
        <w:t>i</w:t>
      </w:r>
      <w:r w:rsidR="001F74EF">
        <w:t xml:space="preserve"> </w:t>
      </w:r>
      <w:r w:rsidR="00667BBC">
        <w:t>[pers. B]</w:t>
      </w:r>
      <w:r w:rsidR="000862AA">
        <w:t xml:space="preserve"> drošības līdzeklis – dzīvesvietas maiņas paziņošana – atcelts. Apelācijas instances tiesa pirmās instances tiesas spriedumu atstājusi negrozītu.</w:t>
      </w:r>
    </w:p>
    <w:p w14:paraId="56299631" w14:textId="5F868351" w:rsidR="00385CD5" w:rsidRDefault="00DD4C6D" w:rsidP="001A31C7">
      <w:pPr>
        <w:spacing w:line="276" w:lineRule="auto"/>
        <w:ind w:right="-1" w:firstLine="720"/>
        <w:jc w:val="both"/>
        <w:rPr>
          <w:color w:val="FF0000"/>
        </w:rPr>
      </w:pPr>
      <w:r w:rsidRPr="00B14CA7">
        <w:rPr>
          <w:color w:val="000000" w:themeColor="text1"/>
        </w:rPr>
        <w:t>Senāts atzīst, ka drošības līdzekļa piemērošanai</w:t>
      </w:r>
      <w:r>
        <w:rPr>
          <w:color w:val="000000" w:themeColor="text1"/>
        </w:rPr>
        <w:t xml:space="preserve"> apsūdzētaja</w:t>
      </w:r>
      <w:r w:rsidR="000862AA">
        <w:rPr>
          <w:color w:val="000000" w:themeColor="text1"/>
        </w:rPr>
        <w:t>i</w:t>
      </w:r>
      <w:r>
        <w:rPr>
          <w:color w:val="000000" w:themeColor="text1"/>
        </w:rPr>
        <w:t xml:space="preserve"> </w:t>
      </w:r>
      <w:r w:rsidRPr="00B14CA7">
        <w:rPr>
          <w:color w:val="000000" w:themeColor="text1"/>
        </w:rPr>
        <w:t>šajā kriminālprocesa stadijā nav tiesiska pamata.</w:t>
      </w:r>
    </w:p>
    <w:p w14:paraId="39D82F27" w14:textId="77777777" w:rsidR="001A31C7" w:rsidRPr="00072808" w:rsidRDefault="001A31C7" w:rsidP="001A31C7">
      <w:pPr>
        <w:spacing w:line="276" w:lineRule="auto"/>
        <w:ind w:right="-1" w:firstLine="720"/>
        <w:jc w:val="both"/>
        <w:rPr>
          <w:rFonts w:asciiTheme="majorBidi" w:hAnsiTheme="majorBidi" w:cstheme="majorBidi"/>
        </w:rPr>
      </w:pPr>
    </w:p>
    <w:p w14:paraId="25EDA5A8" w14:textId="77777777" w:rsidR="00B72EE6" w:rsidRPr="00072808" w:rsidRDefault="00B72EE6" w:rsidP="00B72EE6">
      <w:pPr>
        <w:tabs>
          <w:tab w:val="left" w:pos="709"/>
        </w:tabs>
        <w:spacing w:line="276" w:lineRule="auto"/>
        <w:jc w:val="center"/>
        <w:rPr>
          <w:rFonts w:asciiTheme="majorBidi" w:hAnsiTheme="majorBidi" w:cstheme="majorBidi"/>
        </w:rPr>
      </w:pPr>
      <w:r w:rsidRPr="00072808">
        <w:rPr>
          <w:rFonts w:asciiTheme="majorBidi" w:hAnsiTheme="majorBidi" w:cstheme="majorBidi"/>
          <w:b/>
        </w:rPr>
        <w:t>Rezolutīvā daļa</w:t>
      </w:r>
    </w:p>
    <w:p w14:paraId="3B436B7B" w14:textId="77777777" w:rsidR="00B96404" w:rsidRPr="00072808" w:rsidRDefault="00B96404" w:rsidP="007B4922">
      <w:pPr>
        <w:spacing w:line="276" w:lineRule="auto"/>
        <w:rPr>
          <w:rFonts w:asciiTheme="majorBidi" w:hAnsiTheme="majorBidi" w:cstheme="majorBidi"/>
          <w:b/>
          <w:color w:val="000000" w:themeColor="text1"/>
        </w:rPr>
      </w:pPr>
    </w:p>
    <w:p w14:paraId="240AE869" w14:textId="77777777" w:rsidR="00F5470A" w:rsidRPr="00072808" w:rsidRDefault="00F5470A" w:rsidP="00F5470A">
      <w:pPr>
        <w:spacing w:line="276" w:lineRule="auto"/>
        <w:ind w:firstLine="720"/>
        <w:jc w:val="both"/>
        <w:rPr>
          <w:rFonts w:asciiTheme="majorBidi" w:hAnsiTheme="majorBidi" w:cstheme="majorBidi"/>
          <w:color w:val="000000" w:themeColor="text1"/>
        </w:rPr>
      </w:pPr>
      <w:r w:rsidRPr="00072808">
        <w:rPr>
          <w:rFonts w:asciiTheme="majorBidi" w:hAnsiTheme="majorBidi" w:cstheme="majorBidi"/>
          <w:color w:val="000000" w:themeColor="text1"/>
        </w:rPr>
        <w:t>Pamatojoties uz Kriminālprocesa likuma 585. un 587. panta pirmās daļas 2. punktu, Senāts</w:t>
      </w:r>
    </w:p>
    <w:p w14:paraId="77C85709" w14:textId="77777777" w:rsidR="00B96404" w:rsidRDefault="00B96404" w:rsidP="007B4922">
      <w:pPr>
        <w:spacing w:line="276" w:lineRule="auto"/>
        <w:rPr>
          <w:rFonts w:asciiTheme="majorBidi" w:hAnsiTheme="majorBidi" w:cstheme="majorBidi"/>
          <w:b/>
          <w:color w:val="000000" w:themeColor="text1"/>
        </w:rPr>
      </w:pPr>
    </w:p>
    <w:p w14:paraId="0A6EF11A" w14:textId="3874E6D5" w:rsidR="00F5470A" w:rsidRPr="00072808" w:rsidRDefault="00F5470A" w:rsidP="00F5470A">
      <w:pPr>
        <w:spacing w:line="276" w:lineRule="auto"/>
        <w:jc w:val="center"/>
        <w:rPr>
          <w:rFonts w:asciiTheme="majorBidi" w:hAnsiTheme="majorBidi" w:cstheme="majorBidi"/>
          <w:b/>
          <w:color w:val="000000" w:themeColor="text1"/>
        </w:rPr>
      </w:pPr>
      <w:r w:rsidRPr="00072808">
        <w:rPr>
          <w:rFonts w:asciiTheme="majorBidi" w:hAnsiTheme="majorBidi" w:cstheme="majorBidi"/>
          <w:b/>
          <w:color w:val="000000" w:themeColor="text1"/>
        </w:rPr>
        <w:t>nolēma</w:t>
      </w:r>
    </w:p>
    <w:p w14:paraId="5D243774" w14:textId="77777777" w:rsidR="00F5470A" w:rsidRPr="00072808" w:rsidRDefault="00F5470A" w:rsidP="00F5470A">
      <w:pPr>
        <w:spacing w:line="276" w:lineRule="auto"/>
        <w:jc w:val="center"/>
        <w:rPr>
          <w:rFonts w:asciiTheme="majorBidi" w:hAnsiTheme="majorBidi" w:cstheme="majorBidi"/>
          <w:b/>
          <w:color w:val="000000" w:themeColor="text1"/>
        </w:rPr>
      </w:pPr>
    </w:p>
    <w:p w14:paraId="32964538" w14:textId="23650DD2" w:rsidR="00514CFD" w:rsidRDefault="00B72EE6" w:rsidP="00B96404">
      <w:pPr>
        <w:pStyle w:val="tv213"/>
        <w:spacing w:before="0" w:beforeAutospacing="0" w:after="0" w:afterAutospacing="0" w:line="276" w:lineRule="auto"/>
        <w:ind w:firstLine="709"/>
        <w:jc w:val="both"/>
      </w:pPr>
      <w:r w:rsidRPr="00072808">
        <w:rPr>
          <w:rFonts w:asciiTheme="majorBidi" w:hAnsiTheme="majorBidi" w:cstheme="majorBidi"/>
        </w:rPr>
        <w:t xml:space="preserve">atcelt </w:t>
      </w:r>
      <w:r w:rsidR="00514CFD">
        <w:rPr>
          <w:rFonts w:asciiTheme="majorBidi" w:hAnsiTheme="majorBidi" w:cstheme="majorBidi"/>
        </w:rPr>
        <w:t>Kurzemes</w:t>
      </w:r>
      <w:r w:rsidR="00514CFD" w:rsidRPr="00072808">
        <w:rPr>
          <w:rFonts w:asciiTheme="majorBidi" w:hAnsiTheme="majorBidi" w:cstheme="majorBidi"/>
        </w:rPr>
        <w:t xml:space="preserve"> apgabaltiesas 2022. gada </w:t>
      </w:r>
      <w:r w:rsidR="00B15959">
        <w:rPr>
          <w:rFonts w:asciiTheme="majorBidi" w:hAnsiTheme="majorBidi" w:cstheme="majorBidi"/>
        </w:rPr>
        <w:t>21</w:t>
      </w:r>
      <w:r w:rsidR="00514CFD" w:rsidRPr="00072808">
        <w:rPr>
          <w:rFonts w:asciiTheme="majorBidi" w:hAnsiTheme="majorBidi" w:cstheme="majorBidi"/>
        </w:rPr>
        <w:t>. </w:t>
      </w:r>
      <w:r w:rsidR="00B15959">
        <w:rPr>
          <w:rFonts w:asciiTheme="majorBidi" w:hAnsiTheme="majorBidi" w:cstheme="majorBidi"/>
        </w:rPr>
        <w:t>decembra</w:t>
      </w:r>
      <w:r w:rsidR="00514CFD" w:rsidRPr="00072808">
        <w:rPr>
          <w:rFonts w:asciiTheme="majorBidi" w:hAnsiTheme="majorBidi" w:cstheme="majorBidi"/>
        </w:rPr>
        <w:t xml:space="preserve"> lēmumu</w:t>
      </w:r>
      <w:r w:rsidR="00514CFD">
        <w:t xml:space="preserve"> daļā par rīcību ar lietiskajiem pierādījumiem;</w:t>
      </w:r>
    </w:p>
    <w:p w14:paraId="3439F63B" w14:textId="3E983499" w:rsidR="00514CFD" w:rsidRDefault="00514CFD" w:rsidP="00B96404">
      <w:pPr>
        <w:pStyle w:val="tv213"/>
        <w:spacing w:before="0" w:beforeAutospacing="0" w:after="0" w:afterAutospacing="0" w:line="276" w:lineRule="auto"/>
        <w:ind w:firstLine="709"/>
        <w:jc w:val="both"/>
      </w:pPr>
      <w:r>
        <w:t>atceltajā daļā nosūtīt lietu jaunai izskatīšanai Kurzemes apgabaltiesā;</w:t>
      </w:r>
    </w:p>
    <w:p w14:paraId="31469E01" w14:textId="3FD72A19" w:rsidR="005C3F49" w:rsidRDefault="00514CFD" w:rsidP="00514CFD">
      <w:pPr>
        <w:pStyle w:val="tv213"/>
        <w:spacing w:before="0" w:beforeAutospacing="0" w:after="0" w:afterAutospacing="0" w:line="276" w:lineRule="auto"/>
        <w:ind w:firstLine="709"/>
        <w:jc w:val="both"/>
      </w:pPr>
      <w:r>
        <w:t xml:space="preserve">pārējā daļā </w:t>
      </w:r>
      <w:r>
        <w:rPr>
          <w:rFonts w:asciiTheme="majorBidi" w:hAnsiTheme="majorBidi" w:cstheme="majorBidi"/>
        </w:rPr>
        <w:t>Kurzemes</w:t>
      </w:r>
      <w:r w:rsidRPr="00072808">
        <w:rPr>
          <w:rFonts w:asciiTheme="majorBidi" w:hAnsiTheme="majorBidi" w:cstheme="majorBidi"/>
        </w:rPr>
        <w:t xml:space="preserve"> apgabaltiesas 2022. gada </w:t>
      </w:r>
      <w:r w:rsidR="00B15959">
        <w:rPr>
          <w:rFonts w:asciiTheme="majorBidi" w:hAnsiTheme="majorBidi" w:cstheme="majorBidi"/>
        </w:rPr>
        <w:t>21</w:t>
      </w:r>
      <w:r w:rsidRPr="00072808">
        <w:rPr>
          <w:rFonts w:asciiTheme="majorBidi" w:hAnsiTheme="majorBidi" w:cstheme="majorBidi"/>
        </w:rPr>
        <w:t>. </w:t>
      </w:r>
      <w:r w:rsidR="00B15959">
        <w:rPr>
          <w:rFonts w:asciiTheme="majorBidi" w:hAnsiTheme="majorBidi" w:cstheme="majorBidi"/>
        </w:rPr>
        <w:t>decembra</w:t>
      </w:r>
      <w:r w:rsidRPr="00072808">
        <w:rPr>
          <w:rFonts w:asciiTheme="majorBidi" w:hAnsiTheme="majorBidi" w:cstheme="majorBidi"/>
        </w:rPr>
        <w:t xml:space="preserve"> lēmumu</w:t>
      </w:r>
      <w:r>
        <w:t xml:space="preserve"> atstāt negrozītu</w:t>
      </w:r>
      <w:r w:rsidR="007B4922">
        <w:t xml:space="preserve">, bet </w:t>
      </w:r>
      <w:r w:rsidR="007B4922">
        <w:rPr>
          <w:rFonts w:asciiTheme="majorBidi" w:hAnsiTheme="majorBidi" w:cstheme="majorBidi"/>
        </w:rPr>
        <w:t xml:space="preserve">Dienvidkurzemes prokuratūras prokurora Kaspara Didža kasācijas protestu un cietušā </w:t>
      </w:r>
      <w:r w:rsidR="00667BBC">
        <w:rPr>
          <w:rFonts w:asciiTheme="majorBidi" w:hAnsiTheme="majorBidi" w:cstheme="majorBidi"/>
        </w:rPr>
        <w:t>[pers. A]</w:t>
      </w:r>
      <w:r w:rsidR="007B4922">
        <w:rPr>
          <w:rFonts w:asciiTheme="majorBidi" w:hAnsiTheme="majorBidi" w:cstheme="majorBidi"/>
        </w:rPr>
        <w:t xml:space="preserve"> </w:t>
      </w:r>
      <w:r w:rsidR="007B4922" w:rsidRPr="00072808">
        <w:rPr>
          <w:rFonts w:asciiTheme="majorBidi" w:hAnsiTheme="majorBidi" w:cstheme="majorBidi"/>
        </w:rPr>
        <w:t>kasācijas sūdzīb</w:t>
      </w:r>
      <w:r w:rsidR="007B4922">
        <w:rPr>
          <w:rFonts w:asciiTheme="majorBidi" w:hAnsiTheme="majorBidi" w:cstheme="majorBidi"/>
        </w:rPr>
        <w:t>u noraidīt.</w:t>
      </w:r>
    </w:p>
    <w:p w14:paraId="118F2C77" w14:textId="77777777" w:rsidR="00514CFD" w:rsidRPr="00514CFD" w:rsidRDefault="00514CFD" w:rsidP="00514CFD">
      <w:pPr>
        <w:pStyle w:val="tv213"/>
        <w:spacing w:before="0" w:beforeAutospacing="0" w:after="0" w:afterAutospacing="0" w:line="276" w:lineRule="auto"/>
        <w:ind w:firstLine="709"/>
        <w:jc w:val="both"/>
        <w:rPr>
          <w:rFonts w:asciiTheme="majorBidi" w:hAnsiTheme="majorBidi" w:cstheme="majorBidi"/>
        </w:rPr>
      </w:pPr>
    </w:p>
    <w:p w14:paraId="18621DD5" w14:textId="4CE0AA3C" w:rsidR="004C0475" w:rsidRDefault="005C3F49" w:rsidP="00B96F0D">
      <w:pPr>
        <w:spacing w:line="276" w:lineRule="auto"/>
        <w:ind w:right="-1" w:firstLine="720"/>
        <w:jc w:val="both"/>
        <w:rPr>
          <w:rFonts w:asciiTheme="majorBidi" w:eastAsiaTheme="minorHAnsi" w:hAnsiTheme="majorBidi" w:cstheme="majorBidi"/>
          <w:lang w:eastAsia="en-US"/>
        </w:rPr>
      </w:pPr>
      <w:r w:rsidRPr="00072808">
        <w:rPr>
          <w:rFonts w:asciiTheme="majorBidi" w:eastAsiaTheme="minorHAnsi" w:hAnsiTheme="majorBidi" w:cstheme="majorBidi"/>
          <w:lang w:eastAsia="en-US"/>
        </w:rPr>
        <w:t>Lēmums nav pārsūdzams.</w:t>
      </w:r>
    </w:p>
    <w:sectPr w:rsidR="004C0475" w:rsidSect="00B96F0D">
      <w:footerReference w:type="default" r:id="rId18"/>
      <w:pgSz w:w="11906" w:h="16838"/>
      <w:pgMar w:top="1134" w:right="1701" w:bottom="1134" w:left="1701" w:header="709"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68F8" w14:textId="77777777" w:rsidR="00BC3487" w:rsidRDefault="00E34350">
      <w:r>
        <w:separator/>
      </w:r>
    </w:p>
  </w:endnote>
  <w:endnote w:type="continuationSeparator" w:id="0">
    <w:p w14:paraId="677E3EA4" w14:textId="77777777" w:rsidR="00BC3487" w:rsidRDefault="00E3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1D6C6C81" w14:textId="77777777" w:rsidR="00D53A41" w:rsidRPr="00DA0153" w:rsidRDefault="00421935">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638B6229" w14:textId="77777777" w:rsidR="00D53A41" w:rsidRDefault="00D53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8A34" w14:textId="77777777" w:rsidR="00BC3487" w:rsidRDefault="00E34350">
      <w:r>
        <w:separator/>
      </w:r>
    </w:p>
  </w:footnote>
  <w:footnote w:type="continuationSeparator" w:id="0">
    <w:p w14:paraId="344F8562" w14:textId="77777777" w:rsidR="00BC3487" w:rsidRDefault="00E34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807F1C"/>
    <w:lvl w:ilvl="0">
      <w:start w:val="1"/>
      <w:numFmt w:val="bullet"/>
      <w:pStyle w:val="ListBullet"/>
      <w:lvlText w:val=""/>
      <w:lvlJc w:val="left"/>
      <w:pPr>
        <w:tabs>
          <w:tab w:val="num" w:pos="360"/>
        </w:tabs>
        <w:ind w:left="360" w:hanging="360"/>
      </w:pPr>
      <w:rPr>
        <w:rFonts w:ascii="Symbol" w:hAnsi="Symbol" w:hint="default"/>
      </w:rPr>
    </w:lvl>
  </w:abstractNum>
  <w:num w:numId="1" w16cid:durableId="134574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0A"/>
    <w:rsid w:val="000022A1"/>
    <w:rsid w:val="00022930"/>
    <w:rsid w:val="00042E91"/>
    <w:rsid w:val="00056727"/>
    <w:rsid w:val="00063900"/>
    <w:rsid w:val="000662C8"/>
    <w:rsid w:val="00066BCC"/>
    <w:rsid w:val="00072808"/>
    <w:rsid w:val="0008310B"/>
    <w:rsid w:val="000857B6"/>
    <w:rsid w:val="00085922"/>
    <w:rsid w:val="000862AA"/>
    <w:rsid w:val="000A68D8"/>
    <w:rsid w:val="000B40F2"/>
    <w:rsid w:val="000D099E"/>
    <w:rsid w:val="000E58FE"/>
    <w:rsid w:val="00104A3F"/>
    <w:rsid w:val="0011313F"/>
    <w:rsid w:val="001131DF"/>
    <w:rsid w:val="00132FE8"/>
    <w:rsid w:val="0015058F"/>
    <w:rsid w:val="001522E5"/>
    <w:rsid w:val="00155748"/>
    <w:rsid w:val="00164430"/>
    <w:rsid w:val="001670DE"/>
    <w:rsid w:val="00170825"/>
    <w:rsid w:val="0018505E"/>
    <w:rsid w:val="00185F1E"/>
    <w:rsid w:val="001873E4"/>
    <w:rsid w:val="001A29A9"/>
    <w:rsid w:val="001A2D00"/>
    <w:rsid w:val="001A31C7"/>
    <w:rsid w:val="001A5435"/>
    <w:rsid w:val="001B525C"/>
    <w:rsid w:val="001B7A3E"/>
    <w:rsid w:val="001C7B83"/>
    <w:rsid w:val="001D76E4"/>
    <w:rsid w:val="001E13AA"/>
    <w:rsid w:val="001E743A"/>
    <w:rsid w:val="001F74EF"/>
    <w:rsid w:val="00200820"/>
    <w:rsid w:val="002063B3"/>
    <w:rsid w:val="00230D56"/>
    <w:rsid w:val="00242577"/>
    <w:rsid w:val="002470C9"/>
    <w:rsid w:val="00273898"/>
    <w:rsid w:val="0027437E"/>
    <w:rsid w:val="0027594F"/>
    <w:rsid w:val="0029048A"/>
    <w:rsid w:val="002942C6"/>
    <w:rsid w:val="00297271"/>
    <w:rsid w:val="002B3145"/>
    <w:rsid w:val="002B3860"/>
    <w:rsid w:val="002E3054"/>
    <w:rsid w:val="002E7A61"/>
    <w:rsid w:val="00301033"/>
    <w:rsid w:val="00307FE7"/>
    <w:rsid w:val="00311F01"/>
    <w:rsid w:val="00312CBF"/>
    <w:rsid w:val="00320903"/>
    <w:rsid w:val="00321227"/>
    <w:rsid w:val="00321569"/>
    <w:rsid w:val="00330CB3"/>
    <w:rsid w:val="00332DDB"/>
    <w:rsid w:val="0034527B"/>
    <w:rsid w:val="003624AF"/>
    <w:rsid w:val="00364EEA"/>
    <w:rsid w:val="003702F6"/>
    <w:rsid w:val="003808C1"/>
    <w:rsid w:val="00380FFF"/>
    <w:rsid w:val="00385CD5"/>
    <w:rsid w:val="00391E58"/>
    <w:rsid w:val="003C55D0"/>
    <w:rsid w:val="003C5DC8"/>
    <w:rsid w:val="003C6EDB"/>
    <w:rsid w:val="003D027D"/>
    <w:rsid w:val="003D4BEC"/>
    <w:rsid w:val="003E26F8"/>
    <w:rsid w:val="003E2955"/>
    <w:rsid w:val="003F6A99"/>
    <w:rsid w:val="00417D4B"/>
    <w:rsid w:val="00421935"/>
    <w:rsid w:val="004269BA"/>
    <w:rsid w:val="0043174D"/>
    <w:rsid w:val="0043253C"/>
    <w:rsid w:val="00435939"/>
    <w:rsid w:val="00440C7F"/>
    <w:rsid w:val="00444548"/>
    <w:rsid w:val="0045106E"/>
    <w:rsid w:val="004522E0"/>
    <w:rsid w:val="00456FBC"/>
    <w:rsid w:val="00466CC9"/>
    <w:rsid w:val="00482608"/>
    <w:rsid w:val="0048369D"/>
    <w:rsid w:val="00486018"/>
    <w:rsid w:val="00491C46"/>
    <w:rsid w:val="00494106"/>
    <w:rsid w:val="004A2321"/>
    <w:rsid w:val="004A281C"/>
    <w:rsid w:val="004B7DCB"/>
    <w:rsid w:val="004C0475"/>
    <w:rsid w:val="004C4C4B"/>
    <w:rsid w:val="004D4E23"/>
    <w:rsid w:val="004E47F2"/>
    <w:rsid w:val="004F3FFF"/>
    <w:rsid w:val="004F5E51"/>
    <w:rsid w:val="004F7365"/>
    <w:rsid w:val="004F75F4"/>
    <w:rsid w:val="0050543B"/>
    <w:rsid w:val="005068B6"/>
    <w:rsid w:val="005071A8"/>
    <w:rsid w:val="00514CFD"/>
    <w:rsid w:val="00525CAD"/>
    <w:rsid w:val="00534189"/>
    <w:rsid w:val="0054364A"/>
    <w:rsid w:val="00544D1E"/>
    <w:rsid w:val="00571858"/>
    <w:rsid w:val="00571B87"/>
    <w:rsid w:val="005732C2"/>
    <w:rsid w:val="0057653A"/>
    <w:rsid w:val="00581A82"/>
    <w:rsid w:val="005833B4"/>
    <w:rsid w:val="00587ADF"/>
    <w:rsid w:val="005C3F49"/>
    <w:rsid w:val="005E0092"/>
    <w:rsid w:val="005E5D75"/>
    <w:rsid w:val="005F65E0"/>
    <w:rsid w:val="005F722A"/>
    <w:rsid w:val="00602628"/>
    <w:rsid w:val="00606E78"/>
    <w:rsid w:val="00612CCA"/>
    <w:rsid w:val="006163BE"/>
    <w:rsid w:val="00620617"/>
    <w:rsid w:val="0062478E"/>
    <w:rsid w:val="006427C3"/>
    <w:rsid w:val="006428AA"/>
    <w:rsid w:val="00655AF3"/>
    <w:rsid w:val="006564F3"/>
    <w:rsid w:val="006623B2"/>
    <w:rsid w:val="00667BBC"/>
    <w:rsid w:val="006727B5"/>
    <w:rsid w:val="00686299"/>
    <w:rsid w:val="006A1D0A"/>
    <w:rsid w:val="006A774F"/>
    <w:rsid w:val="006B1CD3"/>
    <w:rsid w:val="006C3A56"/>
    <w:rsid w:val="006C6AF1"/>
    <w:rsid w:val="006C78B7"/>
    <w:rsid w:val="006D01B0"/>
    <w:rsid w:val="006D3111"/>
    <w:rsid w:val="006D55B1"/>
    <w:rsid w:val="006F3F8B"/>
    <w:rsid w:val="00730548"/>
    <w:rsid w:val="00731468"/>
    <w:rsid w:val="007374FA"/>
    <w:rsid w:val="0075372B"/>
    <w:rsid w:val="007546F2"/>
    <w:rsid w:val="00761DAE"/>
    <w:rsid w:val="00776681"/>
    <w:rsid w:val="00792248"/>
    <w:rsid w:val="00793883"/>
    <w:rsid w:val="007B4922"/>
    <w:rsid w:val="007C537A"/>
    <w:rsid w:val="007E0251"/>
    <w:rsid w:val="00803BC2"/>
    <w:rsid w:val="00806EE0"/>
    <w:rsid w:val="0081345C"/>
    <w:rsid w:val="00817984"/>
    <w:rsid w:val="00822082"/>
    <w:rsid w:val="00822D54"/>
    <w:rsid w:val="00823501"/>
    <w:rsid w:val="00844F10"/>
    <w:rsid w:val="00845B58"/>
    <w:rsid w:val="008548D7"/>
    <w:rsid w:val="00873DEB"/>
    <w:rsid w:val="00876F54"/>
    <w:rsid w:val="00892508"/>
    <w:rsid w:val="008A111F"/>
    <w:rsid w:val="008C121F"/>
    <w:rsid w:val="008D3252"/>
    <w:rsid w:val="008D45A3"/>
    <w:rsid w:val="008F2369"/>
    <w:rsid w:val="008F5A34"/>
    <w:rsid w:val="00914A57"/>
    <w:rsid w:val="009152A3"/>
    <w:rsid w:val="00917828"/>
    <w:rsid w:val="009748A4"/>
    <w:rsid w:val="00977A90"/>
    <w:rsid w:val="009C7B88"/>
    <w:rsid w:val="009F74C6"/>
    <w:rsid w:val="00A11CDC"/>
    <w:rsid w:val="00A13EE1"/>
    <w:rsid w:val="00A26214"/>
    <w:rsid w:val="00A41492"/>
    <w:rsid w:val="00A41B73"/>
    <w:rsid w:val="00A43312"/>
    <w:rsid w:val="00A511D7"/>
    <w:rsid w:val="00A5244D"/>
    <w:rsid w:val="00A715C5"/>
    <w:rsid w:val="00A72D76"/>
    <w:rsid w:val="00A8327A"/>
    <w:rsid w:val="00A937DF"/>
    <w:rsid w:val="00A954DA"/>
    <w:rsid w:val="00AA5CBC"/>
    <w:rsid w:val="00AE0DAC"/>
    <w:rsid w:val="00AE44A6"/>
    <w:rsid w:val="00AF45BE"/>
    <w:rsid w:val="00AF56C0"/>
    <w:rsid w:val="00B13E29"/>
    <w:rsid w:val="00B15959"/>
    <w:rsid w:val="00B22F9C"/>
    <w:rsid w:val="00B25448"/>
    <w:rsid w:val="00B2681F"/>
    <w:rsid w:val="00B27888"/>
    <w:rsid w:val="00B44450"/>
    <w:rsid w:val="00B72EE6"/>
    <w:rsid w:val="00B77ABD"/>
    <w:rsid w:val="00B8628C"/>
    <w:rsid w:val="00B91C11"/>
    <w:rsid w:val="00B96404"/>
    <w:rsid w:val="00B96F0D"/>
    <w:rsid w:val="00BA2E99"/>
    <w:rsid w:val="00BA564F"/>
    <w:rsid w:val="00BC3487"/>
    <w:rsid w:val="00BD319A"/>
    <w:rsid w:val="00BE15E6"/>
    <w:rsid w:val="00BE21BC"/>
    <w:rsid w:val="00BE3F3F"/>
    <w:rsid w:val="00BF2B48"/>
    <w:rsid w:val="00BF76E8"/>
    <w:rsid w:val="00C16365"/>
    <w:rsid w:val="00C25C27"/>
    <w:rsid w:val="00C27A20"/>
    <w:rsid w:val="00C30091"/>
    <w:rsid w:val="00C37418"/>
    <w:rsid w:val="00C43864"/>
    <w:rsid w:val="00C47262"/>
    <w:rsid w:val="00C50151"/>
    <w:rsid w:val="00C57ADD"/>
    <w:rsid w:val="00C81AE3"/>
    <w:rsid w:val="00C82758"/>
    <w:rsid w:val="00CA1DB2"/>
    <w:rsid w:val="00CA44EC"/>
    <w:rsid w:val="00CB1844"/>
    <w:rsid w:val="00CC42CD"/>
    <w:rsid w:val="00CC53A0"/>
    <w:rsid w:val="00CD1B06"/>
    <w:rsid w:val="00CD649B"/>
    <w:rsid w:val="00CE1525"/>
    <w:rsid w:val="00CE545C"/>
    <w:rsid w:val="00CF1EE6"/>
    <w:rsid w:val="00D0049B"/>
    <w:rsid w:val="00D327F5"/>
    <w:rsid w:val="00D409A4"/>
    <w:rsid w:val="00D53A41"/>
    <w:rsid w:val="00D65F1A"/>
    <w:rsid w:val="00D81A10"/>
    <w:rsid w:val="00D93168"/>
    <w:rsid w:val="00DA147B"/>
    <w:rsid w:val="00DA1833"/>
    <w:rsid w:val="00DD4C6D"/>
    <w:rsid w:val="00DE0925"/>
    <w:rsid w:val="00DF32E5"/>
    <w:rsid w:val="00E1639B"/>
    <w:rsid w:val="00E21EFF"/>
    <w:rsid w:val="00E34350"/>
    <w:rsid w:val="00E40192"/>
    <w:rsid w:val="00E51F43"/>
    <w:rsid w:val="00E85444"/>
    <w:rsid w:val="00E90409"/>
    <w:rsid w:val="00E94281"/>
    <w:rsid w:val="00E94636"/>
    <w:rsid w:val="00EB1710"/>
    <w:rsid w:val="00EC74A9"/>
    <w:rsid w:val="00EE0CB6"/>
    <w:rsid w:val="00EF1D5F"/>
    <w:rsid w:val="00EF3C15"/>
    <w:rsid w:val="00EF6690"/>
    <w:rsid w:val="00F06004"/>
    <w:rsid w:val="00F11D05"/>
    <w:rsid w:val="00F2369D"/>
    <w:rsid w:val="00F25CB4"/>
    <w:rsid w:val="00F26C4B"/>
    <w:rsid w:val="00F35A92"/>
    <w:rsid w:val="00F36C44"/>
    <w:rsid w:val="00F36D35"/>
    <w:rsid w:val="00F47CE9"/>
    <w:rsid w:val="00F5470A"/>
    <w:rsid w:val="00F734A7"/>
    <w:rsid w:val="00F74253"/>
    <w:rsid w:val="00F77CAE"/>
    <w:rsid w:val="00FA1016"/>
    <w:rsid w:val="00FA6BB4"/>
    <w:rsid w:val="00FC7752"/>
    <w:rsid w:val="00FD0CF0"/>
    <w:rsid w:val="00FE2B2C"/>
    <w:rsid w:val="00FE4595"/>
    <w:rsid w:val="00FF2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2D71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0A"/>
    <w:pPr>
      <w:spacing w:after="0" w:line="240" w:lineRule="auto"/>
    </w:pPr>
    <w:rPr>
      <w:rFonts w:eastAsia="Times New Roman" w:cs="Times New Roman"/>
      <w:kern w:val="0"/>
      <w:szCs w:val="24"/>
      <w:lang w:val="lv-LV" w:eastAsia="ru-RU"/>
      <w14:ligatures w14:val="none"/>
    </w:rPr>
  </w:style>
  <w:style w:type="paragraph" w:styleId="Heading3">
    <w:name w:val="heading 3"/>
    <w:basedOn w:val="Normal"/>
    <w:link w:val="Heading3Char"/>
    <w:uiPriority w:val="9"/>
    <w:qFormat/>
    <w:rsid w:val="00F5470A"/>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70A"/>
    <w:rPr>
      <w:rFonts w:eastAsia="Times New Roman" w:cs="Times New Roman"/>
      <w:b/>
      <w:bCs/>
      <w:kern w:val="0"/>
      <w:sz w:val="27"/>
      <w:szCs w:val="27"/>
      <w14:ligatures w14:val="none"/>
    </w:rPr>
  </w:style>
  <w:style w:type="character" w:styleId="Hyperlink">
    <w:name w:val="Hyperlink"/>
    <w:basedOn w:val="DefaultParagraphFont"/>
    <w:uiPriority w:val="99"/>
    <w:unhideWhenUsed/>
    <w:rsid w:val="00F5470A"/>
    <w:rPr>
      <w:color w:val="0000FF"/>
      <w:u w:val="single"/>
    </w:rPr>
  </w:style>
  <w:style w:type="paragraph" w:styleId="BodyText2">
    <w:name w:val="Body Text 2"/>
    <w:basedOn w:val="Normal"/>
    <w:link w:val="BodyText2Char"/>
    <w:semiHidden/>
    <w:unhideWhenUsed/>
    <w:rsid w:val="00F5470A"/>
    <w:pPr>
      <w:spacing w:after="120" w:line="480" w:lineRule="auto"/>
    </w:pPr>
    <w:rPr>
      <w:lang w:val="x-none"/>
    </w:rPr>
  </w:style>
  <w:style w:type="character" w:customStyle="1" w:styleId="BodyText2Char">
    <w:name w:val="Body Text 2 Char"/>
    <w:basedOn w:val="DefaultParagraphFont"/>
    <w:link w:val="BodyText2"/>
    <w:semiHidden/>
    <w:rsid w:val="00F5470A"/>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F5470A"/>
    <w:pPr>
      <w:tabs>
        <w:tab w:val="center" w:pos="4153"/>
        <w:tab w:val="right" w:pos="8306"/>
      </w:tabs>
    </w:pPr>
  </w:style>
  <w:style w:type="character" w:customStyle="1" w:styleId="FooterChar">
    <w:name w:val="Footer Char"/>
    <w:basedOn w:val="DefaultParagraphFont"/>
    <w:link w:val="Footer"/>
    <w:uiPriority w:val="99"/>
    <w:rsid w:val="00F5470A"/>
    <w:rPr>
      <w:rFonts w:eastAsia="Times New Roman" w:cs="Times New Roman"/>
      <w:kern w:val="0"/>
      <w:szCs w:val="24"/>
      <w:lang w:val="lv-LV" w:eastAsia="ru-RU"/>
      <w14:ligatures w14:val="none"/>
    </w:rPr>
  </w:style>
  <w:style w:type="table" w:styleId="TableGrid">
    <w:name w:val="Table Grid"/>
    <w:basedOn w:val="TableNormal"/>
    <w:uiPriority w:val="39"/>
    <w:rsid w:val="00F5470A"/>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470A"/>
    <w:rPr>
      <w:sz w:val="16"/>
      <w:szCs w:val="16"/>
    </w:rPr>
  </w:style>
  <w:style w:type="paragraph" w:styleId="Header">
    <w:name w:val="header"/>
    <w:basedOn w:val="Normal"/>
    <w:link w:val="HeaderChar"/>
    <w:uiPriority w:val="99"/>
    <w:unhideWhenUsed/>
    <w:rsid w:val="00F5470A"/>
    <w:pPr>
      <w:tabs>
        <w:tab w:val="center" w:pos="4680"/>
        <w:tab w:val="right" w:pos="9360"/>
      </w:tabs>
    </w:pPr>
  </w:style>
  <w:style w:type="character" w:customStyle="1" w:styleId="HeaderChar">
    <w:name w:val="Header Char"/>
    <w:basedOn w:val="DefaultParagraphFont"/>
    <w:link w:val="Header"/>
    <w:uiPriority w:val="99"/>
    <w:rsid w:val="00F5470A"/>
    <w:rPr>
      <w:rFonts w:eastAsia="Times New Roman" w:cs="Times New Roman"/>
      <w:kern w:val="0"/>
      <w:szCs w:val="24"/>
      <w:lang w:val="lv-LV" w:eastAsia="ru-RU"/>
      <w14:ligatures w14:val="none"/>
    </w:rPr>
  </w:style>
  <w:style w:type="paragraph" w:styleId="CommentText">
    <w:name w:val="annotation text"/>
    <w:basedOn w:val="Normal"/>
    <w:link w:val="CommentTextChar"/>
    <w:uiPriority w:val="99"/>
    <w:unhideWhenUsed/>
    <w:rsid w:val="00F5470A"/>
    <w:rPr>
      <w:sz w:val="20"/>
      <w:szCs w:val="20"/>
    </w:rPr>
  </w:style>
  <w:style w:type="character" w:customStyle="1" w:styleId="CommentTextChar">
    <w:name w:val="Comment Text Char"/>
    <w:basedOn w:val="DefaultParagraphFont"/>
    <w:link w:val="CommentText"/>
    <w:uiPriority w:val="99"/>
    <w:rsid w:val="00F5470A"/>
    <w:rPr>
      <w:rFonts w:eastAsia="Times New Roman" w:cs="Times New Roman"/>
      <w:kern w:val="0"/>
      <w:sz w:val="20"/>
      <w:szCs w:val="20"/>
      <w:lang w:val="lv-LV" w:eastAsia="ru-RU"/>
      <w14:ligatures w14:val="none"/>
    </w:rPr>
  </w:style>
  <w:style w:type="paragraph" w:customStyle="1" w:styleId="tv213">
    <w:name w:val="tv213"/>
    <w:basedOn w:val="Normal"/>
    <w:rsid w:val="00B72EE6"/>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B72EE6"/>
    <w:rPr>
      <w:b/>
      <w:bCs/>
    </w:rPr>
  </w:style>
  <w:style w:type="character" w:customStyle="1" w:styleId="CommentSubjectChar">
    <w:name w:val="Comment Subject Char"/>
    <w:basedOn w:val="CommentTextChar"/>
    <w:link w:val="CommentSubject"/>
    <w:uiPriority w:val="99"/>
    <w:semiHidden/>
    <w:rsid w:val="00B72EE6"/>
    <w:rPr>
      <w:rFonts w:eastAsia="Times New Roman" w:cs="Times New Roman"/>
      <w:b/>
      <w:bCs/>
      <w:kern w:val="0"/>
      <w:sz w:val="20"/>
      <w:szCs w:val="20"/>
      <w:lang w:val="lv-LV" w:eastAsia="ru-RU"/>
      <w14:ligatures w14:val="none"/>
    </w:rPr>
  </w:style>
  <w:style w:type="paragraph" w:customStyle="1" w:styleId="Default">
    <w:name w:val="Default"/>
    <w:rsid w:val="00B72EE6"/>
    <w:pPr>
      <w:autoSpaceDE w:val="0"/>
      <w:autoSpaceDN w:val="0"/>
      <w:adjustRightInd w:val="0"/>
      <w:spacing w:after="0" w:line="240" w:lineRule="auto"/>
    </w:pPr>
    <w:rPr>
      <w:rFonts w:cs="Times New Roman"/>
      <w:color w:val="000000"/>
      <w:kern w:val="0"/>
      <w:szCs w:val="24"/>
    </w:rPr>
  </w:style>
  <w:style w:type="character" w:styleId="UnresolvedMention">
    <w:name w:val="Unresolved Mention"/>
    <w:basedOn w:val="DefaultParagraphFont"/>
    <w:uiPriority w:val="99"/>
    <w:semiHidden/>
    <w:unhideWhenUsed/>
    <w:rsid w:val="00E94636"/>
    <w:rPr>
      <w:color w:val="605E5C"/>
      <w:shd w:val="clear" w:color="auto" w:fill="E1DFDD"/>
    </w:rPr>
  </w:style>
  <w:style w:type="character" w:styleId="FollowedHyperlink">
    <w:name w:val="FollowedHyperlink"/>
    <w:basedOn w:val="DefaultParagraphFont"/>
    <w:uiPriority w:val="99"/>
    <w:semiHidden/>
    <w:unhideWhenUsed/>
    <w:rsid w:val="00E94636"/>
    <w:rPr>
      <w:color w:val="954F72" w:themeColor="followedHyperlink"/>
      <w:u w:val="single"/>
    </w:rPr>
  </w:style>
  <w:style w:type="paragraph" w:styleId="Revision">
    <w:name w:val="Revision"/>
    <w:hidden/>
    <w:uiPriority w:val="99"/>
    <w:semiHidden/>
    <w:rsid w:val="004B7DCB"/>
    <w:pPr>
      <w:spacing w:after="0" w:line="240" w:lineRule="auto"/>
    </w:pPr>
    <w:rPr>
      <w:rFonts w:eastAsia="Times New Roman" w:cs="Times New Roman"/>
      <w:kern w:val="0"/>
      <w:szCs w:val="24"/>
      <w:lang w:val="lv-LV" w:eastAsia="ru-RU"/>
      <w14:ligatures w14:val="none"/>
    </w:rPr>
  </w:style>
  <w:style w:type="paragraph" w:styleId="ListBullet">
    <w:name w:val="List Bullet"/>
    <w:basedOn w:val="Normal"/>
    <w:uiPriority w:val="99"/>
    <w:unhideWhenUsed/>
    <w:rsid w:val="0062478E"/>
    <w:pPr>
      <w:numPr>
        <w:numId w:val="1"/>
      </w:numPr>
      <w:contextualSpacing/>
    </w:pPr>
  </w:style>
  <w:style w:type="paragraph" w:styleId="ListParagraph">
    <w:name w:val="List Paragraph"/>
    <w:basedOn w:val="Normal"/>
    <w:uiPriority w:val="34"/>
    <w:qFormat/>
    <w:rsid w:val="00FE4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27">
      <w:bodyDiv w:val="1"/>
      <w:marLeft w:val="0"/>
      <w:marRight w:val="0"/>
      <w:marTop w:val="0"/>
      <w:marBottom w:val="0"/>
      <w:divBdr>
        <w:top w:val="none" w:sz="0" w:space="0" w:color="auto"/>
        <w:left w:val="none" w:sz="0" w:space="0" w:color="auto"/>
        <w:bottom w:val="none" w:sz="0" w:space="0" w:color="auto"/>
        <w:right w:val="none" w:sz="0" w:space="0" w:color="auto"/>
      </w:divBdr>
    </w:div>
    <w:div w:id="471488044">
      <w:bodyDiv w:val="1"/>
      <w:marLeft w:val="0"/>
      <w:marRight w:val="0"/>
      <w:marTop w:val="0"/>
      <w:marBottom w:val="0"/>
      <w:divBdr>
        <w:top w:val="none" w:sz="0" w:space="0" w:color="auto"/>
        <w:left w:val="none" w:sz="0" w:space="0" w:color="auto"/>
        <w:bottom w:val="none" w:sz="0" w:space="0" w:color="auto"/>
        <w:right w:val="none" w:sz="0" w:space="0" w:color="auto"/>
      </w:divBdr>
      <w:divsChild>
        <w:div w:id="801777412">
          <w:marLeft w:val="0"/>
          <w:marRight w:val="0"/>
          <w:marTop w:val="100"/>
          <w:marBottom w:val="100"/>
          <w:divBdr>
            <w:top w:val="none" w:sz="0" w:space="0" w:color="auto"/>
            <w:left w:val="none" w:sz="0" w:space="0" w:color="auto"/>
            <w:bottom w:val="none" w:sz="0" w:space="0" w:color="auto"/>
            <w:right w:val="none" w:sz="0" w:space="0" w:color="auto"/>
          </w:divBdr>
          <w:divsChild>
            <w:div w:id="512690134">
              <w:marLeft w:val="0"/>
              <w:marRight w:val="0"/>
              <w:marTop w:val="0"/>
              <w:marBottom w:val="0"/>
              <w:divBdr>
                <w:top w:val="none" w:sz="0" w:space="0" w:color="auto"/>
                <w:left w:val="none" w:sz="0" w:space="0" w:color="auto"/>
                <w:bottom w:val="none" w:sz="0" w:space="0" w:color="auto"/>
                <w:right w:val="none" w:sz="0" w:space="0" w:color="auto"/>
              </w:divBdr>
              <w:divsChild>
                <w:div w:id="3183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7327">
          <w:marLeft w:val="0"/>
          <w:marRight w:val="0"/>
          <w:marTop w:val="210"/>
          <w:marBottom w:val="0"/>
          <w:divBdr>
            <w:top w:val="none" w:sz="0" w:space="0" w:color="auto"/>
            <w:left w:val="none" w:sz="0" w:space="0" w:color="auto"/>
            <w:bottom w:val="none" w:sz="0" w:space="0" w:color="auto"/>
            <w:right w:val="none" w:sz="0" w:space="0" w:color="auto"/>
          </w:divBdr>
          <w:divsChild>
            <w:div w:id="1429502238">
              <w:marLeft w:val="0"/>
              <w:marRight w:val="0"/>
              <w:marTop w:val="0"/>
              <w:marBottom w:val="0"/>
              <w:divBdr>
                <w:top w:val="none" w:sz="0" w:space="0" w:color="auto"/>
                <w:left w:val="none" w:sz="0" w:space="0" w:color="auto"/>
                <w:bottom w:val="none" w:sz="0" w:space="0" w:color="auto"/>
                <w:right w:val="none" w:sz="0" w:space="0" w:color="auto"/>
              </w:divBdr>
            </w:div>
            <w:div w:id="527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39877">
      <w:bodyDiv w:val="1"/>
      <w:marLeft w:val="0"/>
      <w:marRight w:val="0"/>
      <w:marTop w:val="0"/>
      <w:marBottom w:val="0"/>
      <w:divBdr>
        <w:top w:val="none" w:sz="0" w:space="0" w:color="auto"/>
        <w:left w:val="none" w:sz="0" w:space="0" w:color="auto"/>
        <w:bottom w:val="none" w:sz="0" w:space="0" w:color="auto"/>
        <w:right w:val="none" w:sz="0" w:space="0" w:color="auto"/>
      </w:divBdr>
    </w:div>
    <w:div w:id="165742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wp-content/uploads/2017/09/2017-23-01_Spriedums.pdf" TargetMode="External"/><Relationship Id="rId13" Type="http://schemas.openxmlformats.org/officeDocument/2006/relationships/hyperlink" Target="https://hudoc.echr.coe.int/e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8986.pdf" TargetMode="External"/><Relationship Id="rId12" Type="http://schemas.openxmlformats.org/officeDocument/2006/relationships/hyperlink" Target="https://www.at.gov.lv/downloadlawfile/5908" TargetMode="External"/><Relationship Id="rId17" Type="http://schemas.openxmlformats.org/officeDocument/2006/relationships/hyperlink" Target="https://likumi.lv/ta/id/50500-civilprocesa-likums" TargetMode="External"/><Relationship Id="rId2" Type="http://schemas.openxmlformats.org/officeDocument/2006/relationships/styles" Target="styles.xml"/><Relationship Id="rId16" Type="http://schemas.openxmlformats.org/officeDocument/2006/relationships/hyperlink" Target="https://manas.tiesas.lv/eTiesasMvc/nolemumi/pdf/482445.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5" Type="http://schemas.openxmlformats.org/officeDocument/2006/relationships/footnotes" Target="footnotes.xml"/><Relationship Id="rId15" Type="http://schemas.openxmlformats.org/officeDocument/2006/relationships/hyperlink" Target="https://www.satv.tiesa.gov.lv/web/viewer.html?file=/wp-content/uploads/2017/05/2017-16-01_Spriedums.pdf" TargetMode="External"/><Relationship Id="rId10" Type="http://schemas.openxmlformats.org/officeDocument/2006/relationships/hyperlink" Target="https://hudoc.echr.coe.int/e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14428</Words>
  <Characters>8225</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2023-09-13T09:03:00Z</dcterms:created>
  <dcterms:modified xsi:type="dcterms:W3CDTF">2023-09-13T09:03:00Z</dcterms:modified>
</cp:coreProperties>
</file>