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DDCB" w14:textId="061E00FA" w:rsidR="00845593" w:rsidRPr="00EA7379" w:rsidRDefault="001512C3" w:rsidP="00EA7379">
      <w:pPr>
        <w:pStyle w:val="NoSpacing"/>
        <w:spacing w:line="276" w:lineRule="auto"/>
        <w:jc w:val="both"/>
        <w:rPr>
          <w:rFonts w:eastAsia="Calibri"/>
          <w:b/>
          <w:bCs/>
        </w:rPr>
      </w:pPr>
      <w:r w:rsidRPr="00EA7379">
        <w:rPr>
          <w:rFonts w:eastAsia="Calibri"/>
          <w:b/>
          <w:bCs/>
        </w:rPr>
        <w:t>Saskarsmes tiesību ierobežošanas kārtība gadījumos, kad vecākiem pārtrauktas aizgādības tiesības</w:t>
      </w:r>
    </w:p>
    <w:p w14:paraId="66861973" w14:textId="77777777" w:rsidR="001512C3" w:rsidRPr="00EA7379" w:rsidRDefault="001512C3" w:rsidP="00EA7379">
      <w:pPr>
        <w:tabs>
          <w:tab w:val="left" w:pos="3318"/>
        </w:tabs>
        <w:spacing w:line="276" w:lineRule="auto"/>
        <w:jc w:val="both"/>
        <w:rPr>
          <w:rFonts w:eastAsia="Calibri"/>
        </w:rPr>
      </w:pPr>
      <w:r w:rsidRPr="00EA7379">
        <w:rPr>
          <w:rFonts w:eastAsia="Calibri"/>
        </w:rPr>
        <w:t>Gadījumos, kad bērni ir šķirti no ģimenes tā iemesla dēļ, ka vecākiem ir pārtrauktas aizgādības tiesības, jautājums par saskarsmes tiesību ierobežošanu (tostarp par pilnīgu saskarsmes ierobežošanu, kas atbilst saskarsmes tiesību atņemšanai) ir bāriņtiesu kompetencē. Šāda lēmuma kontroli veic tiesa administratīvajā procesā.</w:t>
      </w:r>
    </w:p>
    <w:p w14:paraId="34817C30" w14:textId="77777777" w:rsidR="001512C3" w:rsidRPr="00EA7379" w:rsidRDefault="001512C3" w:rsidP="00EA7379">
      <w:pPr>
        <w:pStyle w:val="NoSpacing"/>
        <w:spacing w:line="276" w:lineRule="auto"/>
        <w:jc w:val="both"/>
        <w:rPr>
          <w:b/>
        </w:rPr>
      </w:pPr>
    </w:p>
    <w:p w14:paraId="35B45136" w14:textId="02F66F37" w:rsidR="001512C3" w:rsidRPr="00EA7379" w:rsidRDefault="00C260DF" w:rsidP="00EA7379">
      <w:pPr>
        <w:pStyle w:val="NoSpacing"/>
        <w:spacing w:line="276" w:lineRule="auto"/>
        <w:jc w:val="both"/>
        <w:rPr>
          <w:rFonts w:eastAsia="Calibri"/>
          <w:b/>
          <w:bCs/>
        </w:rPr>
      </w:pPr>
      <w:r w:rsidRPr="0081754E">
        <w:rPr>
          <w:rFonts w:eastAsia="Calibri"/>
          <w:b/>
          <w:bCs/>
        </w:rPr>
        <w:t>Lietā pieteikto lūgumu izskatīšanas nošķiršana no tiesvedības izbeigšanas</w:t>
      </w:r>
      <w:r>
        <w:rPr>
          <w:rFonts w:eastAsia="Calibri"/>
          <w:b/>
          <w:bCs/>
        </w:rPr>
        <w:t xml:space="preserve"> </w:t>
      </w:r>
    </w:p>
    <w:p w14:paraId="24F4576D" w14:textId="4E455273" w:rsidR="001512C3" w:rsidRPr="00EA7379" w:rsidRDefault="001512C3" w:rsidP="00EA7379">
      <w:pPr>
        <w:tabs>
          <w:tab w:val="left" w:pos="3318"/>
        </w:tabs>
        <w:spacing w:line="276" w:lineRule="auto"/>
        <w:jc w:val="both"/>
        <w:rPr>
          <w:rFonts w:eastAsia="Calibri"/>
        </w:rPr>
      </w:pPr>
      <w:r w:rsidRPr="00EA7379">
        <w:rPr>
          <w:rFonts w:eastAsia="Calibri"/>
        </w:rPr>
        <w:t>Civilprocesa likumā paredzētais tiesvedības izbeigšanas regulējums (Civilprocesa likuma 26. nodaļa) attiecas uz iesniegto prasības pieteikumu kopumā vai kādā tā daļā. Lietā pieteikto lūgumu (Civilprocesa likuma 74. panta pirmās daļas 6. punkts), kuru pieteikšana var būt konkretizēta citās Civilprocesa likuma normās (piemēram, Civilprocesa likuma 137. panta otrā daļa, 244.</w:t>
      </w:r>
      <w:r w:rsidRPr="00EA7379">
        <w:rPr>
          <w:rFonts w:eastAsia="Calibri"/>
          <w:vertAlign w:val="superscript"/>
        </w:rPr>
        <w:t>10</w:t>
      </w:r>
      <w:r w:rsidRPr="00EA7379">
        <w:rPr>
          <w:rFonts w:eastAsia="Calibri"/>
        </w:rPr>
        <w:t> panta pirmā daļa), izskatīšanai jāievēro tiem noteiktā kārtība.</w:t>
      </w:r>
    </w:p>
    <w:p w14:paraId="50700D62" w14:textId="77777777" w:rsidR="00616372" w:rsidRPr="00EA7379" w:rsidRDefault="00616372" w:rsidP="00EA7379">
      <w:pPr>
        <w:pStyle w:val="NoSpacing"/>
        <w:spacing w:line="276" w:lineRule="auto"/>
        <w:jc w:val="center"/>
        <w:rPr>
          <w:b/>
        </w:rPr>
      </w:pPr>
    </w:p>
    <w:p w14:paraId="6D4D9B3F" w14:textId="77777777" w:rsidR="00845593" w:rsidRPr="00EA7379" w:rsidRDefault="00845593" w:rsidP="00EA7379">
      <w:pPr>
        <w:pStyle w:val="NoSpacing"/>
        <w:spacing w:line="276" w:lineRule="auto"/>
        <w:jc w:val="center"/>
        <w:rPr>
          <w:b/>
        </w:rPr>
      </w:pPr>
      <w:r w:rsidRPr="00EA7379">
        <w:rPr>
          <w:b/>
        </w:rPr>
        <w:t>Latvijas Republikas Senāta</w:t>
      </w:r>
    </w:p>
    <w:p w14:paraId="5549AC4F" w14:textId="77777777" w:rsidR="00845593" w:rsidRPr="00EA7379" w:rsidRDefault="00845593" w:rsidP="00EA7379">
      <w:pPr>
        <w:pStyle w:val="NoSpacing"/>
        <w:spacing w:line="276" w:lineRule="auto"/>
        <w:jc w:val="center"/>
        <w:rPr>
          <w:b/>
          <w:bCs/>
        </w:rPr>
      </w:pPr>
      <w:proofErr w:type="gramStart"/>
      <w:r w:rsidRPr="00EA7379">
        <w:rPr>
          <w:b/>
          <w:bCs/>
        </w:rPr>
        <w:t>2023.gada</w:t>
      </w:r>
      <w:proofErr w:type="gramEnd"/>
      <w:r w:rsidRPr="00EA7379">
        <w:rPr>
          <w:b/>
          <w:bCs/>
        </w:rPr>
        <w:t xml:space="preserve"> [..]</w:t>
      </w:r>
    </w:p>
    <w:p w14:paraId="06642640" w14:textId="5C4800AF" w:rsidR="00845593" w:rsidRPr="00EA7379" w:rsidRDefault="00845593" w:rsidP="00EA7379">
      <w:pPr>
        <w:tabs>
          <w:tab w:val="left" w:pos="0"/>
        </w:tabs>
        <w:spacing w:line="276" w:lineRule="auto"/>
        <w:ind w:right="26"/>
        <w:jc w:val="center"/>
        <w:rPr>
          <w:b/>
        </w:rPr>
      </w:pPr>
      <w:r w:rsidRPr="00EA7379">
        <w:rPr>
          <w:b/>
        </w:rPr>
        <w:t>RĪCĪBAS SĒDAS LĒMUMS</w:t>
      </w:r>
      <w:r w:rsidRPr="00EA7379">
        <w:rPr>
          <w:rStyle w:val="FootnoteReference"/>
          <w:b/>
        </w:rPr>
        <w:footnoteReference w:id="1"/>
      </w:r>
    </w:p>
    <w:p w14:paraId="4B1C06AB" w14:textId="0BD70CC8" w:rsidR="00845593" w:rsidRPr="00EA7379" w:rsidRDefault="00845593" w:rsidP="00EA7379">
      <w:pPr>
        <w:tabs>
          <w:tab w:val="left" w:pos="0"/>
        </w:tabs>
        <w:spacing w:line="276" w:lineRule="auto"/>
        <w:ind w:right="26"/>
        <w:jc w:val="center"/>
        <w:rPr>
          <w:bCs/>
        </w:rPr>
      </w:pPr>
      <w:r w:rsidRPr="00EA7379">
        <w:rPr>
          <w:b/>
        </w:rPr>
        <w:t>Lieta Nr. [..] SKC</w:t>
      </w:r>
      <w:r w:rsidRPr="00EA7379">
        <w:rPr>
          <w:b/>
        </w:rPr>
        <w:noBreakHyphen/>
        <w:t>[G]/2023</w:t>
      </w:r>
    </w:p>
    <w:p w14:paraId="0D38A86A" w14:textId="6646E472" w:rsidR="00845593" w:rsidRPr="00EA7379" w:rsidRDefault="00845593" w:rsidP="00EA7379">
      <w:pPr>
        <w:spacing w:line="276" w:lineRule="auto"/>
        <w:jc w:val="center"/>
        <w:rPr>
          <w:color w:val="000000"/>
        </w:rPr>
      </w:pPr>
      <w:r w:rsidRPr="00EA7379">
        <w:t>ECLI:LV:AT:2023:[</w:t>
      </w:r>
      <w:r w:rsidRPr="00EA7379">
        <w:rPr>
          <w:color w:val="000000"/>
        </w:rPr>
        <w:t>..]</w:t>
      </w:r>
    </w:p>
    <w:p w14:paraId="7419E1FE" w14:textId="77777777" w:rsidR="0095638E" w:rsidRPr="00EA7379" w:rsidRDefault="0095638E" w:rsidP="00EA7379">
      <w:pPr>
        <w:spacing w:line="276" w:lineRule="auto"/>
        <w:jc w:val="center"/>
        <w:rPr>
          <w:noProof/>
        </w:rPr>
      </w:pPr>
    </w:p>
    <w:p w14:paraId="1609D6F5" w14:textId="1E623F35" w:rsidR="00447EE6" w:rsidRPr="00EA7379" w:rsidRDefault="00447EE6" w:rsidP="00EA7379">
      <w:pPr>
        <w:spacing w:line="276" w:lineRule="auto"/>
        <w:ind w:firstLine="720"/>
        <w:jc w:val="both"/>
      </w:pPr>
      <w:r w:rsidRPr="00EA7379">
        <w:t>Sen</w:t>
      </w:r>
      <w:r w:rsidR="006C3024" w:rsidRPr="00EA7379">
        <w:t>atoru kolēģija</w:t>
      </w:r>
      <w:r w:rsidRPr="00EA7379">
        <w:t xml:space="preserve"> šādā sastāvā:</w:t>
      </w:r>
      <w:r w:rsidR="00907B8D" w:rsidRPr="00EA7379">
        <w:t xml:space="preserve"> senatore </w:t>
      </w:r>
      <w:r w:rsidR="006C3024" w:rsidRPr="00EA7379">
        <w:t xml:space="preserve">referente </w:t>
      </w:r>
      <w:r w:rsidR="00907B8D" w:rsidRPr="00EA7379">
        <w:t>Dzintra Balta, senator</w:t>
      </w:r>
      <w:r w:rsidR="00B6339B" w:rsidRPr="00EA7379">
        <w:t>i</w:t>
      </w:r>
      <w:r w:rsidR="00907B8D" w:rsidRPr="00EA7379">
        <w:t xml:space="preserve"> Erlens Kalniņš</w:t>
      </w:r>
      <w:r w:rsidR="00B6339B" w:rsidRPr="00EA7379">
        <w:t xml:space="preserve"> un </w:t>
      </w:r>
      <w:r w:rsidR="00907B8D" w:rsidRPr="00EA7379">
        <w:t>Aivars Keišs</w:t>
      </w:r>
    </w:p>
    <w:p w14:paraId="2304E58D" w14:textId="1ACC68B8" w:rsidR="00907B8D" w:rsidRPr="00EA7379" w:rsidRDefault="00EC7509" w:rsidP="00EA7379">
      <w:pPr>
        <w:spacing w:line="276" w:lineRule="auto"/>
        <w:ind w:firstLine="720"/>
        <w:jc w:val="both"/>
        <w:rPr>
          <w:lang w:eastAsia="lv-LV"/>
        </w:rPr>
      </w:pPr>
      <w:r w:rsidRPr="00EA7379">
        <w:rPr>
          <w:lang w:eastAsia="lv-LV"/>
        </w:rPr>
        <w:t xml:space="preserve">rīcības sēdē izskatīja </w:t>
      </w:r>
      <w:r w:rsidR="00584B43" w:rsidRPr="00EA7379">
        <w:rPr>
          <w:lang w:eastAsia="lv-LV"/>
        </w:rPr>
        <w:t xml:space="preserve">jautājumu par </w:t>
      </w:r>
      <w:r w:rsidR="009036B2" w:rsidRPr="00EA7379">
        <w:rPr>
          <w:lang w:eastAsia="lv-LV"/>
        </w:rPr>
        <w:t>[personas A]</w:t>
      </w:r>
      <w:r w:rsidRPr="00EA7379">
        <w:rPr>
          <w:lang w:eastAsia="lv-LV"/>
        </w:rPr>
        <w:t xml:space="preserve"> blakus sūdzības, kas iesniegta par </w:t>
      </w:r>
      <w:r w:rsidR="009036B2" w:rsidRPr="00EA7379">
        <w:rPr>
          <w:lang w:eastAsia="lv-LV"/>
        </w:rPr>
        <w:t>[..]</w:t>
      </w:r>
      <w:r w:rsidRPr="00EA7379">
        <w:rPr>
          <w:lang w:eastAsia="lv-LV"/>
        </w:rPr>
        <w:t xml:space="preserve"> apgabaltiesas 2023. gada</w:t>
      </w:r>
      <w:r w:rsidR="009036B2" w:rsidRPr="00EA7379">
        <w:rPr>
          <w:lang w:eastAsia="lv-LV"/>
        </w:rPr>
        <w:t xml:space="preserve"> [..]</w:t>
      </w:r>
      <w:r w:rsidRPr="00EA7379">
        <w:rPr>
          <w:lang w:eastAsia="lv-LV"/>
        </w:rPr>
        <w:t xml:space="preserve"> lēmumu</w:t>
      </w:r>
      <w:r w:rsidR="00584B43" w:rsidRPr="00EA7379">
        <w:rPr>
          <w:lang w:eastAsia="lv-LV"/>
        </w:rPr>
        <w:t>, virzību</w:t>
      </w:r>
      <w:r w:rsidR="00B6339B" w:rsidRPr="00EA7379">
        <w:rPr>
          <w:lang w:eastAsia="lv-LV"/>
        </w:rPr>
        <w:t>.</w:t>
      </w:r>
    </w:p>
    <w:p w14:paraId="6CB486B2" w14:textId="77777777" w:rsidR="00B5492E" w:rsidRPr="00EA7379" w:rsidRDefault="00B5492E" w:rsidP="00EA7379">
      <w:pPr>
        <w:spacing w:line="276" w:lineRule="auto"/>
        <w:ind w:firstLine="720"/>
        <w:jc w:val="both"/>
        <w:rPr>
          <w:lang w:eastAsia="lv-LV"/>
        </w:rPr>
      </w:pPr>
    </w:p>
    <w:p w14:paraId="12882064" w14:textId="77777777" w:rsidR="00447EE6" w:rsidRPr="00EA7379" w:rsidRDefault="00447EE6" w:rsidP="00EA7379">
      <w:pPr>
        <w:spacing w:line="276" w:lineRule="auto"/>
        <w:jc w:val="center"/>
        <w:rPr>
          <w:b/>
          <w:shd w:val="clear" w:color="auto" w:fill="FFFFFF"/>
        </w:rPr>
      </w:pPr>
      <w:r w:rsidRPr="00EA7379">
        <w:rPr>
          <w:b/>
          <w:shd w:val="clear" w:color="auto" w:fill="FFFFFF"/>
        </w:rPr>
        <w:t>Aprakstošā daļa</w:t>
      </w:r>
    </w:p>
    <w:p w14:paraId="741047BE" w14:textId="77777777" w:rsidR="00B5492E" w:rsidRPr="00EA7379" w:rsidRDefault="00B5492E" w:rsidP="00EA7379">
      <w:pPr>
        <w:spacing w:line="276" w:lineRule="auto"/>
        <w:jc w:val="center"/>
        <w:rPr>
          <w:shd w:val="clear" w:color="auto" w:fill="FFFFFF"/>
        </w:rPr>
      </w:pPr>
    </w:p>
    <w:p w14:paraId="1499D621" w14:textId="009FABC0" w:rsidR="00F62FFE" w:rsidRPr="00EA7379" w:rsidRDefault="00447EE6" w:rsidP="00EA7379">
      <w:pPr>
        <w:pStyle w:val="NormalWeb"/>
        <w:shd w:val="clear" w:color="auto" w:fill="FFFFFF"/>
        <w:spacing w:before="0" w:beforeAutospacing="0" w:after="0" w:afterAutospacing="0" w:line="276" w:lineRule="auto"/>
        <w:ind w:firstLine="720"/>
        <w:jc w:val="both"/>
        <w:rPr>
          <w:shd w:val="clear" w:color="auto" w:fill="FFFFFF"/>
        </w:rPr>
      </w:pPr>
      <w:r w:rsidRPr="00EA7379">
        <w:rPr>
          <w:shd w:val="clear" w:color="auto" w:fill="FFFFFF"/>
        </w:rPr>
        <w:t>[1]</w:t>
      </w:r>
      <w:r w:rsidR="00B6339B" w:rsidRPr="00EA7379">
        <w:rPr>
          <w:shd w:val="clear" w:color="auto" w:fill="FFFFFF"/>
        </w:rPr>
        <w:t> </w:t>
      </w:r>
      <w:r w:rsidR="002666B8" w:rsidRPr="00EA7379">
        <w:rPr>
          <w:shd w:val="clear" w:color="auto" w:fill="FFFFFF"/>
        </w:rPr>
        <w:t>Vecākiem</w:t>
      </w:r>
      <w:r w:rsidR="00F62FFE" w:rsidRPr="00EA7379">
        <w:rPr>
          <w:shd w:val="clear" w:color="auto" w:fill="FFFFFF"/>
        </w:rPr>
        <w:t xml:space="preserve"> </w:t>
      </w:r>
      <w:r w:rsidR="009036B2" w:rsidRPr="00EA7379">
        <w:rPr>
          <w:shd w:val="clear" w:color="auto" w:fill="FFFFFF"/>
        </w:rPr>
        <w:t>[pers. B]</w:t>
      </w:r>
      <w:r w:rsidR="00F62FFE" w:rsidRPr="00EA7379">
        <w:rPr>
          <w:shd w:val="clear" w:color="auto" w:fill="FFFFFF"/>
        </w:rPr>
        <w:t xml:space="preserve"> un </w:t>
      </w:r>
      <w:r w:rsidR="009036B2" w:rsidRPr="00EA7379">
        <w:rPr>
          <w:shd w:val="clear" w:color="auto" w:fill="FFFFFF"/>
        </w:rPr>
        <w:t>[pers. C]</w:t>
      </w:r>
      <w:r w:rsidR="00F62FFE" w:rsidRPr="00EA7379">
        <w:rPr>
          <w:shd w:val="clear" w:color="auto" w:fill="FFFFFF"/>
        </w:rPr>
        <w:t xml:space="preserve"> </w:t>
      </w:r>
      <w:r w:rsidR="00B6339B" w:rsidRPr="00EA7379">
        <w:rPr>
          <w:shd w:val="clear" w:color="auto" w:fill="FFFFFF"/>
        </w:rPr>
        <w:t xml:space="preserve">(turpmāk – atbildētājiem) </w:t>
      </w:r>
      <w:r w:rsidR="00F62FFE" w:rsidRPr="00EA7379">
        <w:rPr>
          <w:shd w:val="clear" w:color="auto" w:fill="FFFFFF"/>
        </w:rPr>
        <w:t>ar bāriņtiesas lēmumu pārtrauktas aizgādības</w:t>
      </w:r>
      <w:r w:rsidR="005D6266" w:rsidRPr="00EA7379">
        <w:rPr>
          <w:shd w:val="clear" w:color="auto" w:fill="FFFFFF"/>
        </w:rPr>
        <w:t xml:space="preserve"> tiesības pār trim </w:t>
      </w:r>
      <w:r w:rsidR="00B6339B" w:rsidRPr="00EA7379">
        <w:rPr>
          <w:shd w:val="clear" w:color="auto" w:fill="FFFFFF"/>
        </w:rPr>
        <w:t xml:space="preserve">nepilngadīgiem </w:t>
      </w:r>
      <w:r w:rsidR="005D6266" w:rsidRPr="00EA7379">
        <w:rPr>
          <w:shd w:val="clear" w:color="auto" w:fill="FFFFFF"/>
        </w:rPr>
        <w:t>bērniem</w:t>
      </w:r>
      <w:r w:rsidR="00B6339B" w:rsidRPr="00EA7379">
        <w:rPr>
          <w:shd w:val="clear" w:color="auto" w:fill="FFFFFF"/>
        </w:rPr>
        <w:t xml:space="preserve"> </w:t>
      </w:r>
      <w:r w:rsidR="00584B43" w:rsidRPr="00EA7379">
        <w:rPr>
          <w:shd w:val="clear" w:color="auto" w:fill="FFFFFF"/>
        </w:rPr>
        <w:t>–</w:t>
      </w:r>
      <w:r w:rsidR="00B6339B" w:rsidRPr="00EA7379">
        <w:rPr>
          <w:shd w:val="clear" w:color="auto" w:fill="FFFFFF"/>
        </w:rPr>
        <w:t xml:space="preserve"> </w:t>
      </w:r>
      <w:r w:rsidR="009036B2" w:rsidRPr="00EA7379">
        <w:rPr>
          <w:shd w:val="clear" w:color="auto" w:fill="FFFFFF"/>
        </w:rPr>
        <w:t>[pers. D]</w:t>
      </w:r>
      <w:r w:rsidR="00B6339B" w:rsidRPr="00EA7379">
        <w:rPr>
          <w:shd w:val="clear" w:color="auto" w:fill="FFFFFF"/>
        </w:rPr>
        <w:t xml:space="preserve">, </w:t>
      </w:r>
      <w:r w:rsidR="009036B2" w:rsidRPr="00EA7379">
        <w:rPr>
          <w:shd w:val="clear" w:color="auto" w:fill="FFFFFF"/>
        </w:rPr>
        <w:t>[pers. E]</w:t>
      </w:r>
      <w:r w:rsidR="00B6339B" w:rsidRPr="00EA7379">
        <w:rPr>
          <w:shd w:val="clear" w:color="auto" w:fill="FFFFFF"/>
        </w:rPr>
        <w:t xml:space="preserve"> un </w:t>
      </w:r>
      <w:r w:rsidR="009036B2" w:rsidRPr="00EA7379">
        <w:rPr>
          <w:shd w:val="clear" w:color="auto" w:fill="FFFFFF"/>
        </w:rPr>
        <w:t>[pers. F]</w:t>
      </w:r>
      <w:r w:rsidR="00584B43" w:rsidRPr="00EA7379">
        <w:rPr>
          <w:shd w:val="clear" w:color="auto" w:fill="FFFFFF"/>
        </w:rPr>
        <w:t xml:space="preserve">. </w:t>
      </w:r>
      <w:proofErr w:type="gramStart"/>
      <w:r w:rsidR="00137F5F" w:rsidRPr="00EA7379">
        <w:rPr>
          <w:shd w:val="clear" w:color="auto" w:fill="FFFFFF"/>
        </w:rPr>
        <w:t>Nododot šos bērnus ārpusģimenes</w:t>
      </w:r>
      <w:proofErr w:type="gramEnd"/>
      <w:r w:rsidR="00137F5F" w:rsidRPr="00EA7379">
        <w:rPr>
          <w:shd w:val="clear" w:color="auto" w:fill="FFFFFF"/>
        </w:rPr>
        <w:t xml:space="preserve"> aprūpē, </w:t>
      </w:r>
      <w:r w:rsidR="009036B2" w:rsidRPr="00EA7379">
        <w:rPr>
          <w:shd w:val="clear" w:color="auto" w:fill="FFFFFF"/>
        </w:rPr>
        <w:t>[pers. A]</w:t>
      </w:r>
      <w:r w:rsidR="004923BB" w:rsidRPr="00EA7379">
        <w:rPr>
          <w:shd w:val="clear" w:color="auto" w:fill="FFFFFF"/>
        </w:rPr>
        <w:t xml:space="preserve"> </w:t>
      </w:r>
      <w:r w:rsidR="00B6339B" w:rsidRPr="00EA7379">
        <w:rPr>
          <w:shd w:val="clear" w:color="auto" w:fill="FFFFFF"/>
        </w:rPr>
        <w:t>(turpmāk – prasītāja)</w:t>
      </w:r>
      <w:r w:rsidR="003E194F" w:rsidRPr="00EA7379">
        <w:rPr>
          <w:shd w:val="clear" w:color="auto" w:fill="FFFFFF"/>
        </w:rPr>
        <w:t xml:space="preserve"> </w:t>
      </w:r>
      <w:r w:rsidR="004923BB" w:rsidRPr="00EA7379">
        <w:rPr>
          <w:shd w:val="clear" w:color="auto" w:fill="FFFFFF"/>
        </w:rPr>
        <w:t xml:space="preserve">iecelta par </w:t>
      </w:r>
      <w:r w:rsidR="005D6266" w:rsidRPr="00EA7379">
        <w:rPr>
          <w:shd w:val="clear" w:color="auto" w:fill="FFFFFF"/>
        </w:rPr>
        <w:t>bērn</w:t>
      </w:r>
      <w:r w:rsidR="00584B43" w:rsidRPr="00EA7379">
        <w:rPr>
          <w:shd w:val="clear" w:color="auto" w:fill="FFFFFF"/>
        </w:rPr>
        <w:t>u aizbildni</w:t>
      </w:r>
      <w:r w:rsidR="004923BB" w:rsidRPr="00EA7379">
        <w:rPr>
          <w:shd w:val="clear" w:color="auto" w:fill="FFFFFF"/>
        </w:rPr>
        <w:t>.</w:t>
      </w:r>
    </w:p>
    <w:p w14:paraId="52CBB2CF" w14:textId="77777777" w:rsidR="00F62FFE" w:rsidRPr="00EA7379" w:rsidRDefault="00F62FFE" w:rsidP="00EA7379">
      <w:pPr>
        <w:pStyle w:val="NormalWeb"/>
        <w:shd w:val="clear" w:color="auto" w:fill="FFFFFF"/>
        <w:spacing w:before="0" w:beforeAutospacing="0" w:after="0" w:afterAutospacing="0" w:line="276" w:lineRule="auto"/>
        <w:ind w:firstLine="720"/>
        <w:jc w:val="both"/>
        <w:rPr>
          <w:shd w:val="clear" w:color="auto" w:fill="FFFFFF"/>
        </w:rPr>
      </w:pPr>
    </w:p>
    <w:p w14:paraId="0B4F5653" w14:textId="2D14F0D6" w:rsidR="00447EE6" w:rsidRPr="00EA7379" w:rsidRDefault="00F62FFE" w:rsidP="00EA7379">
      <w:pPr>
        <w:pStyle w:val="NormalWeb"/>
        <w:shd w:val="clear" w:color="auto" w:fill="FFFFFF"/>
        <w:spacing w:before="0" w:beforeAutospacing="0" w:after="0" w:afterAutospacing="0" w:line="276" w:lineRule="auto"/>
        <w:ind w:firstLine="720"/>
        <w:jc w:val="both"/>
        <w:rPr>
          <w:shd w:val="clear" w:color="auto" w:fill="FFFFFF"/>
        </w:rPr>
      </w:pPr>
      <w:r w:rsidRPr="00EA7379">
        <w:rPr>
          <w:shd w:val="clear" w:color="auto" w:fill="FFFFFF"/>
        </w:rPr>
        <w:t>[2]</w:t>
      </w:r>
      <w:r w:rsidR="00B6339B" w:rsidRPr="00EA7379">
        <w:rPr>
          <w:shd w:val="clear" w:color="auto" w:fill="FFFFFF"/>
        </w:rPr>
        <w:t> </w:t>
      </w:r>
      <w:r w:rsidR="00DC252D" w:rsidRPr="00EA7379">
        <w:rPr>
          <w:shd w:val="clear" w:color="auto" w:fill="FFFFFF"/>
        </w:rPr>
        <w:t xml:space="preserve">Prasītāja </w:t>
      </w:r>
      <w:r w:rsidR="004923BB" w:rsidRPr="00EA7379">
        <w:rPr>
          <w:shd w:val="clear" w:color="auto" w:fill="FFFFFF"/>
        </w:rPr>
        <w:t>(savā vārdā)</w:t>
      </w:r>
      <w:r w:rsidR="00DC252D" w:rsidRPr="00EA7379">
        <w:rPr>
          <w:shd w:val="clear" w:color="auto" w:fill="FFFFFF"/>
        </w:rPr>
        <w:t xml:space="preserve"> 2022. gada </w:t>
      </w:r>
      <w:r w:rsidR="009036B2" w:rsidRPr="00EA7379">
        <w:rPr>
          <w:shd w:val="clear" w:color="auto" w:fill="FFFFFF"/>
        </w:rPr>
        <w:t>[..]</w:t>
      </w:r>
      <w:r w:rsidR="00DC252D" w:rsidRPr="00EA7379">
        <w:rPr>
          <w:shd w:val="clear" w:color="auto" w:fill="FFFFFF"/>
        </w:rPr>
        <w:t xml:space="preserve"> cēlusi </w:t>
      </w:r>
      <w:r w:rsidR="009036B2" w:rsidRPr="00EA7379">
        <w:rPr>
          <w:shd w:val="clear" w:color="auto" w:fill="FFFFFF"/>
        </w:rPr>
        <w:t>[..]</w:t>
      </w:r>
      <w:r w:rsidR="00DC252D" w:rsidRPr="00EA7379">
        <w:rPr>
          <w:shd w:val="clear" w:color="auto" w:fill="FFFFFF"/>
        </w:rPr>
        <w:t xml:space="preserve"> rajona tiesā prasību pret atbildētājiem par saskarsmes tiesību atņemšanu uz laiku.</w:t>
      </w:r>
    </w:p>
    <w:p w14:paraId="52897EC2" w14:textId="77777777" w:rsidR="00B6339B" w:rsidRPr="00EA7379" w:rsidRDefault="00B6339B" w:rsidP="00EA7379">
      <w:pPr>
        <w:pStyle w:val="NormalWeb"/>
        <w:shd w:val="clear" w:color="auto" w:fill="FFFFFF"/>
        <w:spacing w:before="0" w:beforeAutospacing="0" w:after="0" w:afterAutospacing="0" w:line="276" w:lineRule="auto"/>
        <w:ind w:firstLine="720"/>
        <w:jc w:val="both"/>
        <w:rPr>
          <w:shd w:val="clear" w:color="auto" w:fill="FFFFFF"/>
        </w:rPr>
      </w:pPr>
    </w:p>
    <w:p w14:paraId="47AEEBFE" w14:textId="3E6634E7" w:rsidR="00DC252D" w:rsidRPr="00EA7379" w:rsidRDefault="00DC252D" w:rsidP="00EA7379">
      <w:pPr>
        <w:pStyle w:val="NormalWeb"/>
        <w:shd w:val="clear" w:color="auto" w:fill="FFFFFF"/>
        <w:spacing w:before="0" w:beforeAutospacing="0" w:after="0" w:afterAutospacing="0" w:line="276" w:lineRule="auto"/>
        <w:ind w:firstLine="720"/>
        <w:jc w:val="both"/>
        <w:rPr>
          <w:shd w:val="clear" w:color="auto" w:fill="FFFFFF"/>
        </w:rPr>
      </w:pPr>
      <w:r w:rsidRPr="00EA7379">
        <w:rPr>
          <w:shd w:val="clear" w:color="auto" w:fill="FFFFFF"/>
        </w:rPr>
        <w:t>[</w:t>
      </w:r>
      <w:r w:rsidR="00B6339B" w:rsidRPr="00EA7379">
        <w:rPr>
          <w:shd w:val="clear" w:color="auto" w:fill="FFFFFF"/>
        </w:rPr>
        <w:t>3</w:t>
      </w:r>
      <w:r w:rsidRPr="00EA7379">
        <w:rPr>
          <w:shd w:val="clear" w:color="auto" w:fill="FFFFFF"/>
        </w:rPr>
        <w:t>]</w:t>
      </w:r>
      <w:r w:rsidR="00B6339B" w:rsidRPr="00EA7379">
        <w:rPr>
          <w:shd w:val="clear" w:color="auto" w:fill="FFFFFF"/>
        </w:rPr>
        <w:t> </w:t>
      </w:r>
      <w:r w:rsidRPr="00EA7379">
        <w:rPr>
          <w:shd w:val="clear" w:color="auto" w:fill="FFFFFF"/>
        </w:rPr>
        <w:t xml:space="preserve">2023. gada </w:t>
      </w:r>
      <w:r w:rsidR="009036B2" w:rsidRPr="00EA7379">
        <w:rPr>
          <w:shd w:val="clear" w:color="auto" w:fill="FFFFFF"/>
        </w:rPr>
        <w:t xml:space="preserve">[..] </w:t>
      </w:r>
      <w:r w:rsidRPr="00EA7379">
        <w:rPr>
          <w:shd w:val="clear" w:color="auto" w:fill="FFFFFF"/>
        </w:rPr>
        <w:t xml:space="preserve">prasītāja vērsās </w:t>
      </w:r>
      <w:r w:rsidR="009036B2" w:rsidRPr="00EA7379">
        <w:rPr>
          <w:shd w:val="clear" w:color="auto" w:fill="FFFFFF"/>
        </w:rPr>
        <w:t>[..]</w:t>
      </w:r>
      <w:r w:rsidRPr="00EA7379">
        <w:rPr>
          <w:shd w:val="clear" w:color="auto" w:fill="FFFFFF"/>
        </w:rPr>
        <w:t xml:space="preserve"> rajona tiesā ar pieteikumu</w:t>
      </w:r>
      <w:r w:rsidR="005D6266" w:rsidRPr="00EA7379">
        <w:rPr>
          <w:shd w:val="clear" w:color="auto" w:fill="FFFFFF"/>
        </w:rPr>
        <w:t xml:space="preserve"> (</w:t>
      </w:r>
      <w:r w:rsidRPr="00EA7379">
        <w:rPr>
          <w:shd w:val="clear" w:color="auto" w:fill="FFFFFF"/>
        </w:rPr>
        <w:t>lūgumu</w:t>
      </w:r>
      <w:r w:rsidR="005D6266" w:rsidRPr="00EA7379">
        <w:rPr>
          <w:shd w:val="clear" w:color="auto" w:fill="FFFFFF"/>
        </w:rPr>
        <w:t>)</w:t>
      </w:r>
      <w:r w:rsidRPr="00EA7379">
        <w:rPr>
          <w:shd w:val="clear" w:color="auto" w:fill="FFFFFF"/>
        </w:rPr>
        <w:t xml:space="preserve"> par pagaidu lēmuma pieņemšanu</w:t>
      </w:r>
      <w:r w:rsidR="00AE3123" w:rsidRPr="00EA7379">
        <w:rPr>
          <w:shd w:val="clear" w:color="auto" w:fill="FFFFFF"/>
        </w:rPr>
        <w:t xml:space="preserve">, </w:t>
      </w:r>
      <w:r w:rsidR="002544D3" w:rsidRPr="00EA7379">
        <w:rPr>
          <w:shd w:val="clear" w:color="auto" w:fill="FFFFFF"/>
        </w:rPr>
        <w:t>ar kuru uz laiku (trim mēnešiem, skaitot no tiesas lēmuma datuma) tiktu noteikts aizliegums atbildētājiem izmantot saskarsmes tiesības ar bērniem.</w:t>
      </w:r>
    </w:p>
    <w:p w14:paraId="1E12C1BC" w14:textId="0D246948" w:rsidR="004923BB" w:rsidRPr="00EA7379" w:rsidRDefault="004923BB" w:rsidP="00EA7379">
      <w:pPr>
        <w:pStyle w:val="NormalWeb"/>
        <w:shd w:val="clear" w:color="auto" w:fill="FFFFFF"/>
        <w:spacing w:before="0" w:beforeAutospacing="0" w:after="0" w:afterAutospacing="0" w:line="276" w:lineRule="auto"/>
        <w:ind w:firstLine="720"/>
        <w:jc w:val="both"/>
        <w:rPr>
          <w:shd w:val="clear" w:color="auto" w:fill="FFFFFF"/>
        </w:rPr>
      </w:pPr>
      <w:r w:rsidRPr="00EA7379">
        <w:rPr>
          <w:shd w:val="clear" w:color="auto" w:fill="FFFFFF"/>
        </w:rPr>
        <w:lastRenderedPageBreak/>
        <w:t xml:space="preserve">Ar </w:t>
      </w:r>
      <w:r w:rsidR="007F373B" w:rsidRPr="00EA7379">
        <w:rPr>
          <w:shd w:val="clear" w:color="auto" w:fill="FFFFFF"/>
        </w:rPr>
        <w:t>[..]</w:t>
      </w:r>
      <w:r w:rsidRPr="00EA7379">
        <w:rPr>
          <w:shd w:val="clear" w:color="auto" w:fill="FFFFFF"/>
        </w:rPr>
        <w:t xml:space="preserve"> rajona tiesas 2023. gada </w:t>
      </w:r>
      <w:r w:rsidR="007F373B" w:rsidRPr="00EA7379">
        <w:rPr>
          <w:shd w:val="clear" w:color="auto" w:fill="FFFFFF"/>
        </w:rPr>
        <w:t>[..]</w:t>
      </w:r>
      <w:r w:rsidRPr="00EA7379">
        <w:rPr>
          <w:shd w:val="clear" w:color="auto" w:fill="FFFFFF"/>
        </w:rPr>
        <w:t xml:space="preserve"> lēmumu</w:t>
      </w:r>
      <w:r w:rsidR="0000581C" w:rsidRPr="00EA7379">
        <w:rPr>
          <w:shd w:val="clear" w:color="auto" w:fill="FFFFFF"/>
        </w:rPr>
        <w:t xml:space="preserve">, pamatojoties </w:t>
      </w:r>
      <w:r w:rsidR="0000581C" w:rsidRPr="00EA7379">
        <w:t xml:space="preserve">uz Civilprocesa likuma 223. panta 1. punktu (lietas izskatīšana nav pakļauta tiesai), </w:t>
      </w:r>
      <w:r w:rsidRPr="00EA7379">
        <w:rPr>
          <w:shd w:val="clear" w:color="auto" w:fill="FFFFFF"/>
        </w:rPr>
        <w:t xml:space="preserve">izbeigta </w:t>
      </w:r>
      <w:r w:rsidR="00843EA5" w:rsidRPr="00EA7379">
        <w:rPr>
          <w:shd w:val="clear" w:color="auto" w:fill="FFFFFF"/>
        </w:rPr>
        <w:t xml:space="preserve">tiesvedība par </w:t>
      </w:r>
      <w:r w:rsidR="0067206B" w:rsidRPr="00EA7379">
        <w:rPr>
          <w:shd w:val="clear" w:color="auto" w:fill="FFFFFF"/>
        </w:rPr>
        <w:t>pieteikum</w:t>
      </w:r>
      <w:r w:rsidR="00843EA5" w:rsidRPr="00EA7379">
        <w:rPr>
          <w:shd w:val="clear" w:color="auto" w:fill="FFFFFF"/>
        </w:rPr>
        <w:t>u</w:t>
      </w:r>
      <w:r w:rsidR="0067206B" w:rsidRPr="00EA7379">
        <w:rPr>
          <w:shd w:val="clear" w:color="auto" w:fill="FFFFFF"/>
        </w:rPr>
        <w:t xml:space="preserve"> (lūgum</w:t>
      </w:r>
      <w:r w:rsidR="00843EA5" w:rsidRPr="00EA7379">
        <w:rPr>
          <w:shd w:val="clear" w:color="auto" w:fill="FFFFFF"/>
        </w:rPr>
        <w:t>u</w:t>
      </w:r>
      <w:r w:rsidR="0067206B" w:rsidRPr="00EA7379">
        <w:rPr>
          <w:shd w:val="clear" w:color="auto" w:fill="FFFFFF"/>
        </w:rPr>
        <w:t>)</w:t>
      </w:r>
      <w:r w:rsidRPr="00EA7379">
        <w:rPr>
          <w:shd w:val="clear" w:color="auto" w:fill="FFFFFF"/>
        </w:rPr>
        <w:t>.</w:t>
      </w:r>
    </w:p>
    <w:p w14:paraId="00242F4A" w14:textId="78F9137C" w:rsidR="005037CD" w:rsidRPr="00EA7379" w:rsidRDefault="005037CD" w:rsidP="00EA7379">
      <w:pPr>
        <w:pStyle w:val="NormalWeb"/>
        <w:shd w:val="clear" w:color="auto" w:fill="FFFFFF"/>
        <w:spacing w:before="0" w:beforeAutospacing="0" w:after="0" w:afterAutospacing="0" w:line="276" w:lineRule="auto"/>
        <w:ind w:firstLine="720"/>
        <w:jc w:val="both"/>
        <w:rPr>
          <w:shd w:val="clear" w:color="auto" w:fill="FFFFFF"/>
        </w:rPr>
      </w:pPr>
      <w:r w:rsidRPr="00EA7379">
        <w:rPr>
          <w:shd w:val="clear" w:color="auto" w:fill="FFFFFF"/>
        </w:rPr>
        <w:t>Šo lēmumu prasītāja pārsūdzēja</w:t>
      </w:r>
      <w:r w:rsidR="00B6339B" w:rsidRPr="00EA7379">
        <w:rPr>
          <w:shd w:val="clear" w:color="auto" w:fill="FFFFFF"/>
        </w:rPr>
        <w:t xml:space="preserve"> </w:t>
      </w:r>
      <w:r w:rsidR="007F373B" w:rsidRPr="00EA7379">
        <w:rPr>
          <w:shd w:val="clear" w:color="auto" w:fill="FFFFFF"/>
        </w:rPr>
        <w:t xml:space="preserve">[..] </w:t>
      </w:r>
      <w:r w:rsidR="00B6339B" w:rsidRPr="00EA7379">
        <w:rPr>
          <w:shd w:val="clear" w:color="auto" w:fill="FFFFFF"/>
        </w:rPr>
        <w:t xml:space="preserve">apgabaltiesā, kura </w:t>
      </w:r>
      <w:r w:rsidRPr="00EA7379">
        <w:rPr>
          <w:shd w:val="clear" w:color="auto" w:fill="FFFFFF"/>
        </w:rPr>
        <w:t xml:space="preserve">ar 2023. gada </w:t>
      </w:r>
      <w:r w:rsidR="007F373B" w:rsidRPr="00EA7379">
        <w:rPr>
          <w:shd w:val="clear" w:color="auto" w:fill="FFFFFF"/>
        </w:rPr>
        <w:t>[..]</w:t>
      </w:r>
      <w:r w:rsidRPr="00EA7379">
        <w:rPr>
          <w:shd w:val="clear" w:color="auto" w:fill="FFFFFF"/>
        </w:rPr>
        <w:t xml:space="preserve"> lēmumu </w:t>
      </w:r>
      <w:r w:rsidR="007F373B" w:rsidRPr="00EA7379">
        <w:rPr>
          <w:shd w:val="clear" w:color="auto" w:fill="FFFFFF"/>
        </w:rPr>
        <w:t>[..]</w:t>
      </w:r>
      <w:r w:rsidRPr="00EA7379">
        <w:rPr>
          <w:shd w:val="clear" w:color="auto" w:fill="FFFFFF"/>
        </w:rPr>
        <w:t xml:space="preserve"> rajona tiesas lēmumu atstāja negrozītu</w:t>
      </w:r>
      <w:proofErr w:type="gramStart"/>
      <w:r w:rsidRPr="00EA7379">
        <w:rPr>
          <w:shd w:val="clear" w:color="auto" w:fill="FFFFFF"/>
        </w:rPr>
        <w:t xml:space="preserve"> un</w:t>
      </w:r>
      <w:proofErr w:type="gramEnd"/>
      <w:r w:rsidRPr="00EA7379">
        <w:rPr>
          <w:shd w:val="clear" w:color="auto" w:fill="FFFFFF"/>
        </w:rPr>
        <w:t xml:space="preserve"> prasītājas blakus sūdzību noraidīja. Apgabaltiesas lēmumā norādīts, ka </w:t>
      </w:r>
      <w:r w:rsidR="000040C9" w:rsidRPr="00EA7379">
        <w:rPr>
          <w:shd w:val="clear" w:color="auto" w:fill="FFFFFF"/>
        </w:rPr>
        <w:t>tas pārsūdzams Senātā.</w:t>
      </w:r>
    </w:p>
    <w:p w14:paraId="22FBCA73" w14:textId="77777777" w:rsidR="000040C9" w:rsidRPr="00EA7379" w:rsidRDefault="000040C9" w:rsidP="00EA7379">
      <w:pPr>
        <w:pStyle w:val="NormalWeb"/>
        <w:shd w:val="clear" w:color="auto" w:fill="FFFFFF"/>
        <w:spacing w:before="0" w:beforeAutospacing="0" w:after="0" w:afterAutospacing="0" w:line="276" w:lineRule="auto"/>
        <w:ind w:firstLine="720"/>
        <w:jc w:val="both"/>
        <w:rPr>
          <w:shd w:val="clear" w:color="auto" w:fill="FFFFFF"/>
        </w:rPr>
      </w:pPr>
    </w:p>
    <w:p w14:paraId="7D5A21B2" w14:textId="42E25A55" w:rsidR="000040C9" w:rsidRPr="00EA7379" w:rsidRDefault="000040C9" w:rsidP="00EA7379">
      <w:pPr>
        <w:pStyle w:val="NormalWeb"/>
        <w:shd w:val="clear" w:color="auto" w:fill="FFFFFF"/>
        <w:spacing w:before="0" w:beforeAutospacing="0" w:after="0" w:afterAutospacing="0" w:line="276" w:lineRule="auto"/>
        <w:ind w:firstLine="720"/>
        <w:jc w:val="both"/>
        <w:rPr>
          <w:shd w:val="clear" w:color="auto" w:fill="FFFFFF"/>
        </w:rPr>
      </w:pPr>
      <w:r w:rsidRPr="00EA7379">
        <w:rPr>
          <w:shd w:val="clear" w:color="auto" w:fill="FFFFFF"/>
        </w:rPr>
        <w:t>[</w:t>
      </w:r>
      <w:r w:rsidR="0000581C" w:rsidRPr="00EA7379">
        <w:rPr>
          <w:shd w:val="clear" w:color="auto" w:fill="FFFFFF"/>
        </w:rPr>
        <w:t>4</w:t>
      </w:r>
      <w:r w:rsidRPr="00EA7379">
        <w:rPr>
          <w:shd w:val="clear" w:color="auto" w:fill="FFFFFF"/>
        </w:rPr>
        <w:t>]</w:t>
      </w:r>
      <w:r w:rsidR="00B6339B" w:rsidRPr="00EA7379">
        <w:rPr>
          <w:shd w:val="clear" w:color="auto" w:fill="FFFFFF"/>
        </w:rPr>
        <w:t> </w:t>
      </w:r>
      <w:r w:rsidRPr="00EA7379">
        <w:rPr>
          <w:shd w:val="clear" w:color="auto" w:fill="FFFFFF"/>
        </w:rPr>
        <w:t xml:space="preserve">Par </w:t>
      </w:r>
      <w:r w:rsidR="007F373B" w:rsidRPr="00EA7379">
        <w:rPr>
          <w:shd w:val="clear" w:color="auto" w:fill="FFFFFF"/>
        </w:rPr>
        <w:t>[..]</w:t>
      </w:r>
      <w:r w:rsidRPr="00EA7379">
        <w:rPr>
          <w:shd w:val="clear" w:color="auto" w:fill="FFFFFF"/>
        </w:rPr>
        <w:t xml:space="preserve"> apgabaltiesas </w:t>
      </w:r>
      <w:r w:rsidR="0067206B" w:rsidRPr="00EA7379">
        <w:rPr>
          <w:shd w:val="clear" w:color="auto" w:fill="FFFFFF"/>
        </w:rPr>
        <w:t xml:space="preserve">2023. gada </w:t>
      </w:r>
      <w:r w:rsidR="007F373B" w:rsidRPr="00EA7379">
        <w:rPr>
          <w:shd w:val="clear" w:color="auto" w:fill="FFFFFF"/>
        </w:rPr>
        <w:t xml:space="preserve">[..] </w:t>
      </w:r>
      <w:r w:rsidRPr="00EA7379">
        <w:rPr>
          <w:shd w:val="clear" w:color="auto" w:fill="FFFFFF"/>
        </w:rPr>
        <w:t xml:space="preserve">lēmumu prasītāja iesniedza blakus sūdzību, </w:t>
      </w:r>
      <w:r w:rsidR="00B6339B" w:rsidRPr="00EA7379">
        <w:rPr>
          <w:shd w:val="clear" w:color="auto" w:fill="FFFFFF"/>
        </w:rPr>
        <w:t xml:space="preserve">kurā lūgts </w:t>
      </w:r>
      <w:r w:rsidRPr="00EA7379">
        <w:rPr>
          <w:shd w:val="clear" w:color="auto" w:fill="FFFFFF"/>
        </w:rPr>
        <w:t>atcelt lēmumu un izskatīt jautājumu pēc būtības.</w:t>
      </w:r>
    </w:p>
    <w:p w14:paraId="3FD650D0" w14:textId="77777777" w:rsidR="00B5492E" w:rsidRPr="00EA7379" w:rsidRDefault="00B5492E" w:rsidP="00EA7379">
      <w:pPr>
        <w:pStyle w:val="NormalWeb"/>
        <w:shd w:val="clear" w:color="auto" w:fill="FFFFFF"/>
        <w:spacing w:before="0" w:beforeAutospacing="0" w:after="0" w:afterAutospacing="0" w:line="276" w:lineRule="auto"/>
        <w:ind w:firstLine="720"/>
        <w:jc w:val="both"/>
      </w:pPr>
    </w:p>
    <w:p w14:paraId="7DAF7841" w14:textId="77777777" w:rsidR="00447EE6" w:rsidRPr="00EA7379" w:rsidRDefault="00447EE6" w:rsidP="00EA7379">
      <w:pPr>
        <w:shd w:val="clear" w:color="auto" w:fill="FFFFFF"/>
        <w:spacing w:line="276" w:lineRule="auto"/>
        <w:jc w:val="center"/>
        <w:rPr>
          <w:b/>
        </w:rPr>
      </w:pPr>
      <w:r w:rsidRPr="00EA7379">
        <w:rPr>
          <w:b/>
        </w:rPr>
        <w:t>Motīvu daļa</w:t>
      </w:r>
    </w:p>
    <w:p w14:paraId="353C0A0B" w14:textId="28CE8313" w:rsidR="0095638E" w:rsidRPr="00EA7379" w:rsidRDefault="0095638E" w:rsidP="00EA7379">
      <w:pPr>
        <w:tabs>
          <w:tab w:val="left" w:pos="5028"/>
        </w:tabs>
        <w:spacing w:line="276" w:lineRule="auto"/>
        <w:jc w:val="center"/>
      </w:pPr>
    </w:p>
    <w:p w14:paraId="4FA5481A" w14:textId="79F0F451" w:rsidR="00447EE6" w:rsidRPr="00EA7379" w:rsidRDefault="000040C9" w:rsidP="00EA7379">
      <w:pPr>
        <w:shd w:val="clear" w:color="auto" w:fill="FFFFFF"/>
        <w:spacing w:line="276" w:lineRule="auto"/>
        <w:ind w:firstLine="720"/>
        <w:jc w:val="both"/>
      </w:pPr>
      <w:r w:rsidRPr="00EA7379">
        <w:t>[</w:t>
      </w:r>
      <w:r w:rsidR="0000581C" w:rsidRPr="00EA7379">
        <w:t>5</w:t>
      </w:r>
      <w:r w:rsidRPr="00EA7379">
        <w:t>]</w:t>
      </w:r>
      <w:r w:rsidR="00B6339B" w:rsidRPr="00EA7379">
        <w:t> </w:t>
      </w:r>
      <w:r w:rsidR="00733DBB" w:rsidRPr="00EA7379">
        <w:t xml:space="preserve">Senatoru kolēģija vispirms izvērtēs, vai minētais </w:t>
      </w:r>
      <w:r w:rsidR="007F373B" w:rsidRPr="00EA7379">
        <w:t>[..]</w:t>
      </w:r>
      <w:r w:rsidR="00733DBB" w:rsidRPr="00EA7379">
        <w:t xml:space="preserve"> apgabaltiesas</w:t>
      </w:r>
      <w:r w:rsidR="0000581C" w:rsidRPr="00EA7379">
        <w:t xml:space="preserve"> </w:t>
      </w:r>
      <w:r w:rsidR="0000581C" w:rsidRPr="00EA7379">
        <w:rPr>
          <w:shd w:val="clear" w:color="auto" w:fill="FFFFFF"/>
        </w:rPr>
        <w:t xml:space="preserve">2023. gada </w:t>
      </w:r>
      <w:r w:rsidR="007F373B" w:rsidRPr="00EA7379">
        <w:rPr>
          <w:shd w:val="clear" w:color="auto" w:fill="FFFFFF"/>
        </w:rPr>
        <w:t>[..]</w:t>
      </w:r>
      <w:r w:rsidR="00733DBB" w:rsidRPr="00EA7379">
        <w:t xml:space="preserve"> lēmums ir pārsūdzams.</w:t>
      </w:r>
    </w:p>
    <w:p w14:paraId="4F6596EC" w14:textId="77777777" w:rsidR="00733DBB" w:rsidRPr="00EA7379" w:rsidRDefault="00733DBB" w:rsidP="00EA7379">
      <w:pPr>
        <w:shd w:val="clear" w:color="auto" w:fill="FFFFFF"/>
        <w:spacing w:line="276" w:lineRule="auto"/>
        <w:ind w:firstLine="720"/>
        <w:jc w:val="both"/>
      </w:pPr>
    </w:p>
    <w:p w14:paraId="6781F558" w14:textId="73BD0F94" w:rsidR="00733DBB" w:rsidRPr="00EA7379" w:rsidRDefault="00733DBB" w:rsidP="00EA7379">
      <w:pPr>
        <w:shd w:val="clear" w:color="auto" w:fill="FFFFFF"/>
        <w:spacing w:line="276" w:lineRule="auto"/>
        <w:ind w:firstLine="720"/>
        <w:jc w:val="both"/>
      </w:pPr>
      <w:r w:rsidRPr="00EA7379">
        <w:t>[</w:t>
      </w:r>
      <w:r w:rsidR="0000581C" w:rsidRPr="00EA7379">
        <w:t>6</w:t>
      </w:r>
      <w:r w:rsidRPr="00EA7379">
        <w:t>]</w:t>
      </w:r>
      <w:r w:rsidR="00B6339B" w:rsidRPr="00EA7379">
        <w:t> </w:t>
      </w:r>
      <w:r w:rsidRPr="00EA7379">
        <w:t>Saskaņā ar Civilprocesa likuma 441. panta pirmo daļu lietas dalībnieki var pārsūdzēt pirmās instances un apelācijas instances tiesas lēmumus, iesniedzot blakus sūdzību, divos gadījumos:</w:t>
      </w:r>
    </w:p>
    <w:p w14:paraId="77823AFC" w14:textId="517D6ABE" w:rsidR="00733DBB" w:rsidRPr="00EA7379" w:rsidRDefault="00733DBB" w:rsidP="00EA7379">
      <w:pPr>
        <w:shd w:val="clear" w:color="auto" w:fill="FFFFFF"/>
        <w:spacing w:line="276" w:lineRule="auto"/>
        <w:ind w:firstLine="720"/>
        <w:jc w:val="both"/>
      </w:pPr>
      <w:r w:rsidRPr="00EA7379">
        <w:t>1)</w:t>
      </w:r>
      <w:r w:rsidR="00490B9D" w:rsidRPr="00EA7379">
        <w:t> </w:t>
      </w:r>
      <w:r w:rsidRPr="00EA7379">
        <w:t>Civilprocesa likumā noteiktajos gadījumos;</w:t>
      </w:r>
    </w:p>
    <w:p w14:paraId="318F000C" w14:textId="45DD1F86" w:rsidR="00733DBB" w:rsidRPr="00EA7379" w:rsidRDefault="00733DBB" w:rsidP="00EA7379">
      <w:pPr>
        <w:shd w:val="clear" w:color="auto" w:fill="FFFFFF"/>
        <w:spacing w:line="276" w:lineRule="auto"/>
        <w:ind w:firstLine="720"/>
        <w:jc w:val="both"/>
      </w:pPr>
      <w:r w:rsidRPr="00EA7379">
        <w:t>2)</w:t>
      </w:r>
      <w:r w:rsidR="00490B9D" w:rsidRPr="00EA7379">
        <w:t> </w:t>
      </w:r>
      <w:r w:rsidRPr="00EA7379">
        <w:t>ja tiesas lēmums kavē lietas virzību.</w:t>
      </w:r>
    </w:p>
    <w:p w14:paraId="40857F5F" w14:textId="79D7DC52" w:rsidR="00733DBB" w:rsidRPr="00EA7379" w:rsidRDefault="00733DBB" w:rsidP="00EA7379">
      <w:pPr>
        <w:shd w:val="clear" w:color="auto" w:fill="FFFFFF"/>
        <w:spacing w:line="276" w:lineRule="auto"/>
        <w:ind w:firstLine="720"/>
        <w:jc w:val="both"/>
      </w:pPr>
      <w:r w:rsidRPr="00EA7379">
        <w:t>Civilprocesa likuma 441. panta otrajā daļā norādīts, ka par citiem pirmās instances tiesas un apelācijas instances tiesas lēmumiem blakus sūdzību neiesniedz.</w:t>
      </w:r>
    </w:p>
    <w:p w14:paraId="6415EC74" w14:textId="77777777" w:rsidR="00733DBB" w:rsidRPr="00EA7379" w:rsidRDefault="00733DBB" w:rsidP="00EA7379">
      <w:pPr>
        <w:shd w:val="clear" w:color="auto" w:fill="FFFFFF"/>
        <w:spacing w:line="276" w:lineRule="auto"/>
        <w:ind w:firstLine="720"/>
        <w:jc w:val="both"/>
      </w:pPr>
    </w:p>
    <w:p w14:paraId="4FDA0AE0" w14:textId="19AE8806" w:rsidR="00733DBB" w:rsidRPr="00EA7379" w:rsidRDefault="00733DBB" w:rsidP="00EA7379">
      <w:pPr>
        <w:shd w:val="clear" w:color="auto" w:fill="FFFFFF"/>
        <w:spacing w:line="276" w:lineRule="auto"/>
        <w:ind w:firstLine="720"/>
        <w:jc w:val="both"/>
      </w:pPr>
      <w:r w:rsidRPr="00EA7379">
        <w:t>[</w:t>
      </w:r>
      <w:r w:rsidR="0000581C" w:rsidRPr="00EA7379">
        <w:t>7</w:t>
      </w:r>
      <w:r w:rsidRPr="00EA7379">
        <w:t>]</w:t>
      </w:r>
      <w:r w:rsidR="00490B9D" w:rsidRPr="00EA7379">
        <w:t> </w:t>
      </w:r>
      <w:r w:rsidRPr="00EA7379">
        <w:t xml:space="preserve">Civilprocesa likumā paredzēta speciālā pārsūdzības kārtība, </w:t>
      </w:r>
      <w:proofErr w:type="gramStart"/>
      <w:r w:rsidRPr="00EA7379">
        <w:t>atbilstoši kurai</w:t>
      </w:r>
      <w:r w:rsidR="006C3024" w:rsidRPr="00EA7379">
        <w:t xml:space="preserve"> </w:t>
      </w:r>
      <w:r w:rsidRPr="00EA7379">
        <w:t xml:space="preserve">apgabaltiesas lēmums, kas pieņemts par blakus sūdzību, </w:t>
      </w:r>
      <w:r w:rsidR="00C8458C" w:rsidRPr="00EA7379">
        <w:t>nav pārsūdzams un tas stājas likumīgā spēkā tā pieņemšanas brīdī, izņemot Civilprocesa likuma 449. pantā un 641. pantā paredzētos gadījumos</w:t>
      </w:r>
      <w:proofErr w:type="gramEnd"/>
      <w:r w:rsidR="00C8458C" w:rsidRPr="00EA7379">
        <w:t>. Šāda kārtība pamatota ar izlemjamo jautājumu nozīmību un tā piemērojama:</w:t>
      </w:r>
    </w:p>
    <w:p w14:paraId="0C7087F2" w14:textId="1D372B1D" w:rsidR="00C8458C" w:rsidRPr="00EA7379" w:rsidRDefault="00C8458C" w:rsidP="00EA7379">
      <w:pPr>
        <w:shd w:val="clear" w:color="auto" w:fill="FFFFFF"/>
        <w:spacing w:line="276" w:lineRule="auto"/>
        <w:ind w:firstLine="720"/>
        <w:jc w:val="both"/>
      </w:pPr>
      <w:r w:rsidRPr="00EA7379">
        <w:t>1)</w:t>
      </w:r>
      <w:r w:rsidR="00490B9D" w:rsidRPr="00EA7379">
        <w:t> </w:t>
      </w:r>
      <w:r w:rsidRPr="00EA7379">
        <w:t>Civilprocesa likuma 449. panta otrajā daļā paredzētajos gadījumos, kuros, atsakot pieņemt prasību (</w:t>
      </w:r>
      <w:r w:rsidRPr="00EA7379">
        <w:rPr>
          <w:i/>
          <w:iCs/>
        </w:rPr>
        <w:t>Civilprocesa likuma 132. panta 1. un 2. punkts</w:t>
      </w:r>
      <w:r w:rsidRPr="00EA7379">
        <w:t>)</w:t>
      </w:r>
      <w:r w:rsidR="00AE3123" w:rsidRPr="00EA7379">
        <w:t>,</w:t>
      </w:r>
      <w:r w:rsidRPr="00EA7379">
        <w:t xml:space="preserve"> kā arī izbeidzot tiesvedību (</w:t>
      </w:r>
      <w:r w:rsidRPr="00EA7379">
        <w:rPr>
          <w:i/>
          <w:iCs/>
        </w:rPr>
        <w:t>Civilprocesa likuma 223. panta 1. un 2. punkts</w:t>
      </w:r>
      <w:r w:rsidRPr="00EA7379">
        <w:t>), personai tiek ierobežotas tiesības uz tiesas aizsardzību un lietas izskatīšanu, proti, netiek dota iespēja uz strīda izšķiršanu pēc būtības;</w:t>
      </w:r>
    </w:p>
    <w:p w14:paraId="11A66C80" w14:textId="660DC07E" w:rsidR="00C8458C" w:rsidRPr="00EA7379" w:rsidRDefault="00C8458C" w:rsidP="00EA7379">
      <w:pPr>
        <w:shd w:val="clear" w:color="auto" w:fill="FFFFFF"/>
        <w:spacing w:line="276" w:lineRule="auto"/>
        <w:ind w:firstLine="720"/>
        <w:jc w:val="both"/>
      </w:pPr>
      <w:r w:rsidRPr="00EA7379">
        <w:t>2)</w:t>
      </w:r>
      <w:r w:rsidR="00490B9D" w:rsidRPr="00EA7379">
        <w:t> </w:t>
      </w:r>
      <w:r w:rsidRPr="00EA7379">
        <w:t>Civilprocesa likuma 449. panta trešajā daļā paredzētajos gadījumos</w:t>
      </w:r>
      <w:r w:rsidR="00055C69" w:rsidRPr="00EA7379">
        <w:t xml:space="preserve"> par rajona (pilsētas) tiesas lēmum</w:t>
      </w:r>
      <w:r w:rsidR="006C3024" w:rsidRPr="00EA7379">
        <w:t>iem</w:t>
      </w:r>
      <w:r w:rsidR="00055C69" w:rsidRPr="00EA7379">
        <w:t xml:space="preserve"> zemesgrāmatu lietās, izņemot pieteikumus par nekustamā īpašuma nostiprināšanu uz ieguvēja vārda;</w:t>
      </w:r>
    </w:p>
    <w:p w14:paraId="204BD113" w14:textId="4E45DE7F" w:rsidR="00055C69" w:rsidRPr="00EA7379" w:rsidRDefault="00055C69" w:rsidP="00EA7379">
      <w:pPr>
        <w:shd w:val="clear" w:color="auto" w:fill="FFFFFF"/>
        <w:spacing w:line="276" w:lineRule="auto"/>
        <w:ind w:firstLine="720"/>
        <w:jc w:val="both"/>
      </w:pPr>
      <w:r w:rsidRPr="00EA7379">
        <w:t>3)</w:t>
      </w:r>
      <w:r w:rsidR="00490B9D" w:rsidRPr="00EA7379">
        <w:t> </w:t>
      </w:r>
      <w:r w:rsidRPr="00EA7379">
        <w:t>Civilprocesa likuma 641. pantā paredzētajos gadījumos, kuros tiek lemts par ārvalsts tiesas nolēmumu atzīšanu, jo ar šādu lēmumu var tikt ierobežotas tiesības uz likumīgā spēkā esoša nolēmuma izpildi.</w:t>
      </w:r>
    </w:p>
    <w:p w14:paraId="24677E1B" w14:textId="77777777" w:rsidR="00C8458C" w:rsidRPr="00EA7379" w:rsidRDefault="00C8458C" w:rsidP="00EA7379">
      <w:pPr>
        <w:shd w:val="clear" w:color="auto" w:fill="FFFFFF"/>
        <w:spacing w:line="276" w:lineRule="auto"/>
        <w:ind w:firstLine="720"/>
        <w:jc w:val="both"/>
      </w:pPr>
    </w:p>
    <w:p w14:paraId="7E2EBD8C" w14:textId="67159B88" w:rsidR="00C8458C" w:rsidRPr="00EA7379" w:rsidRDefault="00055C69" w:rsidP="00EA7379">
      <w:pPr>
        <w:shd w:val="clear" w:color="auto" w:fill="FFFFFF"/>
        <w:spacing w:line="276" w:lineRule="auto"/>
        <w:ind w:firstLine="720"/>
        <w:jc w:val="both"/>
      </w:pPr>
      <w:r w:rsidRPr="00EA7379">
        <w:t>[</w:t>
      </w:r>
      <w:r w:rsidR="00A31206" w:rsidRPr="00EA7379">
        <w:t>8</w:t>
      </w:r>
      <w:r w:rsidRPr="00EA7379">
        <w:t>]</w:t>
      </w:r>
      <w:r w:rsidR="00490B9D" w:rsidRPr="00EA7379">
        <w:t> </w:t>
      </w:r>
      <w:r w:rsidRPr="00EA7379">
        <w:t xml:space="preserve">Ievērojot konkrētās lietas apstākļus, </w:t>
      </w:r>
      <w:r w:rsidR="006C3024" w:rsidRPr="00EA7379">
        <w:t xml:space="preserve">šā lēmuma </w:t>
      </w:r>
      <w:r w:rsidR="00886AAA" w:rsidRPr="00EA7379">
        <w:t>iepriekšēj</w:t>
      </w:r>
      <w:r w:rsidR="00B97D24" w:rsidRPr="00EA7379">
        <w:t>ā</w:t>
      </w:r>
      <w:r w:rsidR="00886AAA" w:rsidRPr="00EA7379">
        <w:t xml:space="preserve"> punktā </w:t>
      </w:r>
      <w:r w:rsidR="00490B9D" w:rsidRPr="00EA7379">
        <w:t xml:space="preserve">norādītie </w:t>
      </w:r>
      <w:r w:rsidRPr="00EA7379">
        <w:t>Civilprocesa likuma 449. panta treš</w:t>
      </w:r>
      <w:r w:rsidR="00886AAA" w:rsidRPr="00EA7379">
        <w:t>ajā</w:t>
      </w:r>
      <w:r w:rsidRPr="00EA7379">
        <w:t xml:space="preserve"> daļ</w:t>
      </w:r>
      <w:r w:rsidR="00886AAA" w:rsidRPr="00EA7379">
        <w:t xml:space="preserve">ā </w:t>
      </w:r>
      <w:r w:rsidR="00490B9D" w:rsidRPr="00EA7379">
        <w:t xml:space="preserve">un </w:t>
      </w:r>
      <w:r w:rsidRPr="00EA7379">
        <w:t xml:space="preserve">641. pantā </w:t>
      </w:r>
      <w:r w:rsidR="00886AAA" w:rsidRPr="00EA7379">
        <w:t>paredzētie gadījumi</w:t>
      </w:r>
      <w:r w:rsidRPr="00EA7379">
        <w:t xml:space="preserve"> nav </w:t>
      </w:r>
      <w:r w:rsidR="00490B9D" w:rsidRPr="00EA7379">
        <w:lastRenderedPageBreak/>
        <w:t xml:space="preserve">attiecināmi uz </w:t>
      </w:r>
      <w:r w:rsidR="006C3024" w:rsidRPr="00EA7379">
        <w:t>izskatāmo</w:t>
      </w:r>
      <w:r w:rsidR="00490B9D" w:rsidRPr="00EA7379">
        <w:t xml:space="preserve"> lietu</w:t>
      </w:r>
      <w:r w:rsidRPr="00EA7379">
        <w:t xml:space="preserve">, </w:t>
      </w:r>
      <w:r w:rsidR="00490B9D" w:rsidRPr="00EA7379">
        <w:t xml:space="preserve">jo </w:t>
      </w:r>
      <w:r w:rsidR="00886AAA" w:rsidRPr="00EA7379">
        <w:t>šajā lietā netiek izskatīts jautājums, kas saistīts ar zemesgrāmatu liet</w:t>
      </w:r>
      <w:r w:rsidR="006C3024" w:rsidRPr="00EA7379">
        <w:t>u</w:t>
      </w:r>
      <w:r w:rsidR="00886AAA" w:rsidRPr="00EA7379">
        <w:t xml:space="preserve"> vai ārvalsts tiesas nolēmuma atzīšanu.</w:t>
      </w:r>
    </w:p>
    <w:p w14:paraId="20E9247E" w14:textId="71EA49BF" w:rsidR="003456FC" w:rsidRPr="00EA7379" w:rsidRDefault="00DF4938" w:rsidP="00EA7379">
      <w:pPr>
        <w:shd w:val="clear" w:color="auto" w:fill="FFFFFF"/>
        <w:spacing w:line="276" w:lineRule="auto"/>
        <w:ind w:firstLine="720"/>
        <w:jc w:val="both"/>
      </w:pPr>
      <w:r w:rsidRPr="00EA7379">
        <w:t xml:space="preserve">Savukārt Civilprocesa likuma 449. panta otrajā daļā </w:t>
      </w:r>
      <w:r w:rsidR="00490B9D" w:rsidRPr="00EA7379">
        <w:t xml:space="preserve">minētie </w:t>
      </w:r>
      <w:r w:rsidRPr="00EA7379">
        <w:t xml:space="preserve">gadījumi nav </w:t>
      </w:r>
      <w:r w:rsidR="00490B9D" w:rsidRPr="00EA7379">
        <w:t>attiecināmi</w:t>
      </w:r>
      <w:r w:rsidRPr="00EA7379">
        <w:t xml:space="preserve">, jo ar </w:t>
      </w:r>
      <w:r w:rsidR="007F373B" w:rsidRPr="00EA7379">
        <w:t>[..]</w:t>
      </w:r>
      <w:r w:rsidRPr="00EA7379">
        <w:t xml:space="preserve"> rajona tiesas lēmumu</w:t>
      </w:r>
      <w:r w:rsidR="00490B9D" w:rsidRPr="00EA7379">
        <w:t xml:space="preserve">, </w:t>
      </w:r>
      <w:r w:rsidRPr="00EA7379">
        <w:t xml:space="preserve">par kuru blakus sūdzību izskatīja </w:t>
      </w:r>
      <w:r w:rsidR="007F373B" w:rsidRPr="00EA7379">
        <w:t>[..]</w:t>
      </w:r>
      <w:r w:rsidRPr="00EA7379">
        <w:t xml:space="preserve"> apgabaltiesa</w:t>
      </w:r>
      <w:r w:rsidR="00490B9D" w:rsidRPr="00EA7379">
        <w:t xml:space="preserve">, </w:t>
      </w:r>
      <w:r w:rsidRPr="00EA7379">
        <w:t xml:space="preserve">personai netiek ierobežotas tiesības uz tiesas aizsardzību un lietas izskatīšanu. Proti, konkrētajā gadījumā </w:t>
      </w:r>
      <w:r w:rsidR="007F373B" w:rsidRPr="00EA7379">
        <w:t>[..]</w:t>
      </w:r>
      <w:r w:rsidRPr="00EA7379">
        <w:t xml:space="preserve"> rajona tiesa izlēma izbeigt tiesvedību par prasītājas lūgumu</w:t>
      </w:r>
      <w:r w:rsidR="00502C9F" w:rsidRPr="00EA7379">
        <w:t xml:space="preserve"> (</w:t>
      </w:r>
      <w:r w:rsidR="009A7AD7" w:rsidRPr="00EA7379">
        <w:t xml:space="preserve">kuru viņa </w:t>
      </w:r>
      <w:r w:rsidR="003E194F" w:rsidRPr="00EA7379">
        <w:t xml:space="preserve">bija </w:t>
      </w:r>
      <w:r w:rsidR="009A7AD7" w:rsidRPr="00EA7379">
        <w:t>iesnie</w:t>
      </w:r>
      <w:r w:rsidR="003E194F" w:rsidRPr="00EA7379">
        <w:t>gusi,</w:t>
      </w:r>
      <w:r w:rsidR="009A7AD7" w:rsidRPr="00EA7379">
        <w:t xml:space="preserve"> </w:t>
      </w:r>
      <w:r w:rsidR="00502C9F" w:rsidRPr="00EA7379">
        <w:t xml:space="preserve">atsaucoties uz </w:t>
      </w:r>
      <w:r w:rsidR="009A7AD7" w:rsidRPr="00EA7379">
        <w:t>Civilprocesa likuma</w:t>
      </w:r>
      <w:r w:rsidR="00502C9F" w:rsidRPr="00EA7379">
        <w:rPr>
          <w:color w:val="414142"/>
          <w:shd w:val="clear" w:color="auto" w:fill="FFFFFF"/>
        </w:rPr>
        <w:t xml:space="preserve"> </w:t>
      </w:r>
      <w:bookmarkStart w:id="0" w:name="_Hlk140847775"/>
      <w:r w:rsidR="00502C9F" w:rsidRPr="00EA7379">
        <w:rPr>
          <w:shd w:val="clear" w:color="auto" w:fill="FFFFFF"/>
        </w:rPr>
        <w:t>244.</w:t>
      </w:r>
      <w:r w:rsidR="00502C9F" w:rsidRPr="00EA7379">
        <w:rPr>
          <w:shd w:val="clear" w:color="auto" w:fill="FFFFFF"/>
          <w:vertAlign w:val="superscript"/>
        </w:rPr>
        <w:t>10</w:t>
      </w:r>
      <w:r w:rsidR="003E194F" w:rsidRPr="00EA7379">
        <w:t> </w:t>
      </w:r>
      <w:r w:rsidR="009A7AD7" w:rsidRPr="00EA7379">
        <w:t>pant</w:t>
      </w:r>
      <w:bookmarkEnd w:id="0"/>
      <w:r w:rsidR="001060A0" w:rsidRPr="00EA7379">
        <w:t>a pirmo daļu</w:t>
      </w:r>
      <w:r w:rsidR="009A7AD7" w:rsidRPr="00EA7379">
        <w:t>)</w:t>
      </w:r>
      <w:r w:rsidRPr="00EA7379">
        <w:t xml:space="preserve">, nevis tiesvedību lietā, līdz ar to prasītājas tiesības uz tiesas aizsardzību un lietas izskatīšanu </w:t>
      </w:r>
      <w:r w:rsidR="00490B9D" w:rsidRPr="00EA7379">
        <w:t xml:space="preserve">pēc būtības </w:t>
      </w:r>
      <w:r w:rsidRPr="00EA7379">
        <w:t>netiek ierobežotas</w:t>
      </w:r>
      <w:r w:rsidR="001060A0" w:rsidRPr="00EA7379">
        <w:t xml:space="preserve"> (netiek kavēta lietas virzība)</w:t>
      </w:r>
      <w:r w:rsidRPr="00EA7379">
        <w:t>.</w:t>
      </w:r>
    </w:p>
    <w:p w14:paraId="55B022E6" w14:textId="32F28795" w:rsidR="00490B9D" w:rsidRPr="00EA7379" w:rsidRDefault="00B97D24" w:rsidP="00EA7379">
      <w:pPr>
        <w:shd w:val="clear" w:color="auto" w:fill="FFFFFF"/>
        <w:spacing w:line="276" w:lineRule="auto"/>
        <w:ind w:firstLine="720"/>
        <w:jc w:val="both"/>
      </w:pPr>
      <w:r w:rsidRPr="00EA7379">
        <w:t xml:space="preserve">Tātad prasītājas pieteiktā lūguma izskatīšanai </w:t>
      </w:r>
      <w:r w:rsidR="006C3024" w:rsidRPr="00EA7379">
        <w:t xml:space="preserve">nav ievērota </w:t>
      </w:r>
      <w:r w:rsidRPr="00EA7379">
        <w:t>Civilprocesa likumā noteiktā pārsūdzības kārtība.</w:t>
      </w:r>
    </w:p>
    <w:p w14:paraId="07443315" w14:textId="77777777" w:rsidR="00490B9D" w:rsidRPr="00EA7379" w:rsidRDefault="00490B9D" w:rsidP="00EA7379">
      <w:pPr>
        <w:shd w:val="clear" w:color="auto" w:fill="FFFFFF"/>
        <w:spacing w:line="276" w:lineRule="auto"/>
        <w:ind w:firstLine="720"/>
        <w:jc w:val="both"/>
      </w:pPr>
    </w:p>
    <w:p w14:paraId="176CC324" w14:textId="59C56260" w:rsidR="00B97D24" w:rsidRPr="00EA7379" w:rsidRDefault="00490B9D" w:rsidP="00EA7379">
      <w:pPr>
        <w:shd w:val="clear" w:color="auto" w:fill="FFFFFF"/>
        <w:spacing w:line="276" w:lineRule="auto"/>
        <w:ind w:firstLine="720"/>
        <w:jc w:val="both"/>
      </w:pPr>
      <w:r w:rsidRPr="00EA7379">
        <w:t>[</w:t>
      </w:r>
      <w:r w:rsidR="00A31206" w:rsidRPr="00EA7379">
        <w:t>9</w:t>
      </w:r>
      <w:r w:rsidRPr="00EA7379">
        <w:t>] </w:t>
      </w:r>
      <w:r w:rsidR="00B97D24" w:rsidRPr="00EA7379">
        <w:t xml:space="preserve">Secināms, ka </w:t>
      </w:r>
      <w:r w:rsidR="007F373B" w:rsidRPr="00EA7379">
        <w:t>[..]</w:t>
      </w:r>
      <w:r w:rsidR="00584B43" w:rsidRPr="00EA7379">
        <w:t xml:space="preserve"> </w:t>
      </w:r>
      <w:r w:rsidR="00B97D24" w:rsidRPr="00EA7379">
        <w:t xml:space="preserve">apgabaltiesas lēmumā nepamatoti norādīts, ka lēmums ir pārsūdzams Senātā. Attiecīgi arī nepamatoti pieņemta prasītājas blakus sūdzība, kas kopā ar lietu nosūtīta Senātam. </w:t>
      </w:r>
    </w:p>
    <w:p w14:paraId="656F86A7" w14:textId="32A275CD" w:rsidR="00490B9D" w:rsidRPr="00EA7379" w:rsidRDefault="00B97D24" w:rsidP="00EA7379">
      <w:pPr>
        <w:shd w:val="clear" w:color="auto" w:fill="FFFFFF"/>
        <w:spacing w:line="276" w:lineRule="auto"/>
        <w:ind w:firstLine="720"/>
        <w:jc w:val="both"/>
      </w:pPr>
      <w:r w:rsidRPr="00EA7379">
        <w:t>Ievērojot, ka blakus sūdzība iesniegta par lēmumu, kurā kļūdaini norādīts, ka tas ir pārsūdzams, iemaksātā drošības nauda atmaksājama (</w:t>
      </w:r>
      <w:r w:rsidRPr="00EA7379">
        <w:rPr>
          <w:i/>
          <w:iCs/>
        </w:rPr>
        <w:t>Civilprocesa likuma 444.</w:t>
      </w:r>
      <w:r w:rsidRPr="00EA7379">
        <w:rPr>
          <w:i/>
          <w:iCs/>
          <w:vertAlign w:val="superscript"/>
        </w:rPr>
        <w:t>1</w:t>
      </w:r>
      <w:r w:rsidR="00EF1758" w:rsidRPr="00EA7379">
        <w:rPr>
          <w:i/>
          <w:iCs/>
          <w:vertAlign w:val="superscript"/>
        </w:rPr>
        <w:t> </w:t>
      </w:r>
      <w:r w:rsidRPr="00EA7379">
        <w:rPr>
          <w:i/>
          <w:iCs/>
        </w:rPr>
        <w:t>panta otrās daļas otrais teikums</w:t>
      </w:r>
      <w:r w:rsidRPr="00EA7379">
        <w:t>).</w:t>
      </w:r>
    </w:p>
    <w:p w14:paraId="76AA058B" w14:textId="77777777" w:rsidR="00584B43" w:rsidRPr="00EA7379" w:rsidRDefault="00584B43" w:rsidP="00EA7379">
      <w:pPr>
        <w:shd w:val="clear" w:color="auto" w:fill="FFFFFF"/>
        <w:spacing w:line="276" w:lineRule="auto"/>
        <w:ind w:firstLine="720"/>
        <w:jc w:val="both"/>
      </w:pPr>
    </w:p>
    <w:p w14:paraId="46C58E14" w14:textId="170E3EA3" w:rsidR="00A31206" w:rsidRPr="00EA7379" w:rsidRDefault="00A31206" w:rsidP="00EA7379">
      <w:pPr>
        <w:shd w:val="clear" w:color="auto" w:fill="FFFFFF"/>
        <w:spacing w:line="276" w:lineRule="auto"/>
        <w:ind w:firstLine="720"/>
        <w:jc w:val="both"/>
      </w:pPr>
      <w:r w:rsidRPr="00EA7379">
        <w:t>[10] Tiesību normu pareizas piemērošanas nodrošināšan</w:t>
      </w:r>
      <w:r w:rsidR="00AE3123" w:rsidRPr="00EA7379">
        <w:t>ai</w:t>
      </w:r>
      <w:r w:rsidRPr="00EA7379">
        <w:t xml:space="preserve"> senatoru kolēģija uzskata par </w:t>
      </w:r>
      <w:r w:rsidR="006C3024" w:rsidRPr="00EA7379">
        <w:t>nepieciešamu</w:t>
      </w:r>
      <w:r w:rsidRPr="00EA7379">
        <w:t xml:space="preserve"> vērst tiesas uzmanību, ka lietā pieteikto lūgumu </w:t>
      </w:r>
      <w:r w:rsidR="00534392" w:rsidRPr="00EA7379">
        <w:t>(</w:t>
      </w:r>
      <w:r w:rsidR="00534392" w:rsidRPr="00EA7379">
        <w:rPr>
          <w:i/>
          <w:iCs/>
        </w:rPr>
        <w:t>Civilprocesa likuma 74. panta pirmās daļas 6 punkts</w:t>
      </w:r>
      <w:r w:rsidR="00534392" w:rsidRPr="00EA7379">
        <w:t>)</w:t>
      </w:r>
      <w:r w:rsidR="00502C9F" w:rsidRPr="00EA7379">
        <w:t>, kuru pieteikšana var būt konkretizēta citās Civilprocesa likuma normās (piemēram,</w:t>
      </w:r>
      <w:r w:rsidR="00534392" w:rsidRPr="00EA7379">
        <w:t xml:space="preserve"> </w:t>
      </w:r>
      <w:r w:rsidR="00534392" w:rsidRPr="00EA7379">
        <w:rPr>
          <w:i/>
          <w:iCs/>
        </w:rPr>
        <w:t>Civilprocesa likuma 137. panta otrā daļa</w:t>
      </w:r>
      <w:r w:rsidR="00502C9F" w:rsidRPr="00EA7379">
        <w:rPr>
          <w:i/>
          <w:iCs/>
        </w:rPr>
        <w:t xml:space="preserve">, </w:t>
      </w:r>
      <w:r w:rsidR="001060A0" w:rsidRPr="00EA7379">
        <w:rPr>
          <w:i/>
          <w:iCs/>
          <w:shd w:val="clear" w:color="auto" w:fill="FFFFFF"/>
        </w:rPr>
        <w:t>244.</w:t>
      </w:r>
      <w:r w:rsidR="001060A0" w:rsidRPr="00EA7379">
        <w:rPr>
          <w:i/>
          <w:iCs/>
          <w:shd w:val="clear" w:color="auto" w:fill="FFFFFF"/>
          <w:vertAlign w:val="superscript"/>
        </w:rPr>
        <w:t>10</w:t>
      </w:r>
      <w:r w:rsidR="003E194F" w:rsidRPr="00EA7379">
        <w:t> </w:t>
      </w:r>
      <w:r w:rsidR="001060A0" w:rsidRPr="00EA7379">
        <w:rPr>
          <w:i/>
          <w:iCs/>
        </w:rPr>
        <w:t>panta pirmā daļa</w:t>
      </w:r>
      <w:r w:rsidR="00534392" w:rsidRPr="00EA7379">
        <w:t>)</w:t>
      </w:r>
      <w:r w:rsidR="001060A0" w:rsidRPr="00EA7379">
        <w:t>,</w:t>
      </w:r>
      <w:r w:rsidR="00534392" w:rsidRPr="00EA7379">
        <w:t xml:space="preserve"> </w:t>
      </w:r>
      <w:r w:rsidRPr="00EA7379">
        <w:t xml:space="preserve">izskatīšanai </w:t>
      </w:r>
      <w:r w:rsidR="006C3024" w:rsidRPr="00EA7379">
        <w:t>jā</w:t>
      </w:r>
      <w:r w:rsidRPr="00EA7379">
        <w:t>ievēro tiem noteiktā kārtība</w:t>
      </w:r>
      <w:r w:rsidR="00702E1E" w:rsidRPr="00EA7379">
        <w:t>. S</w:t>
      </w:r>
      <w:r w:rsidRPr="00EA7379">
        <w:t xml:space="preserve">avukārt Civilprocesa likumā paredzētais tiesvedības izbeigšanas regulējums </w:t>
      </w:r>
      <w:r w:rsidR="00534392" w:rsidRPr="00EA7379">
        <w:t>(</w:t>
      </w:r>
      <w:r w:rsidR="00534392" w:rsidRPr="00EA7379">
        <w:rPr>
          <w:i/>
          <w:iCs/>
        </w:rPr>
        <w:t>Civilprocesa likuma 26. nodaļa</w:t>
      </w:r>
      <w:r w:rsidR="00534392" w:rsidRPr="00EA7379">
        <w:t xml:space="preserve">) </w:t>
      </w:r>
      <w:r w:rsidRPr="00EA7379">
        <w:t>attiecas uz iesniegto prasības pieteikumu kopumā vai kādā tā daļā.</w:t>
      </w:r>
    </w:p>
    <w:p w14:paraId="2EB8DB70" w14:textId="77777777" w:rsidR="00A31206" w:rsidRPr="00EA7379" w:rsidRDefault="00A31206" w:rsidP="00EA7379">
      <w:pPr>
        <w:shd w:val="clear" w:color="auto" w:fill="FFFFFF"/>
        <w:spacing w:line="276" w:lineRule="auto"/>
        <w:ind w:firstLine="720"/>
        <w:jc w:val="both"/>
      </w:pPr>
    </w:p>
    <w:p w14:paraId="0F41277C" w14:textId="1F22A23A" w:rsidR="0000581C" w:rsidRPr="00EA7379" w:rsidRDefault="0000581C" w:rsidP="00EA7379">
      <w:pPr>
        <w:shd w:val="clear" w:color="auto" w:fill="FFFFFF"/>
        <w:spacing w:line="276" w:lineRule="auto"/>
        <w:ind w:firstLine="720"/>
        <w:jc w:val="both"/>
      </w:pPr>
      <w:r w:rsidRPr="00EA7379">
        <w:t>[</w:t>
      </w:r>
      <w:r w:rsidR="00A31206" w:rsidRPr="00EA7379">
        <w:t>11</w:t>
      </w:r>
      <w:r w:rsidRPr="00EA7379">
        <w:t xml:space="preserve">] Ņemot vērā izskatāmā jautājuma nozīmīgumu bērnu </w:t>
      </w:r>
      <w:r w:rsidR="002E4272" w:rsidRPr="00EA7379">
        <w:t xml:space="preserve">tiesību aizsardzības </w:t>
      </w:r>
      <w:r w:rsidRPr="00EA7379">
        <w:t xml:space="preserve">kontekstā, Senāta kolēģija </w:t>
      </w:r>
      <w:r w:rsidR="008474AF" w:rsidRPr="00EA7379">
        <w:t>uz</w:t>
      </w:r>
      <w:r w:rsidRPr="00EA7379">
        <w:t xml:space="preserve">skata par nepieciešamu norādīt, ka gadījumos, kad bērni ir šķirti no ģimenes, </w:t>
      </w:r>
      <w:r w:rsidR="00702E1E" w:rsidRPr="00EA7379">
        <w:t>tā iemesla dēļ, ka</w:t>
      </w:r>
      <w:r w:rsidRPr="00EA7379">
        <w:t xml:space="preserve"> vecākiem ir pārtrauktas aizgādības tiesības, jautājums par saskarsmes tiesību ierobežošanu (t</w:t>
      </w:r>
      <w:r w:rsidR="00702E1E" w:rsidRPr="00EA7379">
        <w:t>ostarp</w:t>
      </w:r>
      <w:r w:rsidRPr="00EA7379">
        <w:t>, par pilnīgu saskarsmes ierobežošanu, kas atbilst saskarsmes tiesību atņemšanai) ir bāriņtiesu kompetencē. Šāda lēmuma kontroli veic tiesa administratīvajā procesā</w:t>
      </w:r>
      <w:r w:rsidR="002E4272" w:rsidRPr="00EA7379">
        <w:t xml:space="preserve"> (šajā jautājumā sk., </w:t>
      </w:r>
      <w:r w:rsidR="002E4272" w:rsidRPr="00EA7379">
        <w:rPr>
          <w:i/>
          <w:iCs/>
        </w:rPr>
        <w:t>Senāta 2020. gada 17. februāra spriedumu lietā Nr. SKA</w:t>
      </w:r>
      <w:r w:rsidR="002E4272" w:rsidRPr="00EA7379">
        <w:rPr>
          <w:i/>
          <w:iCs/>
        </w:rPr>
        <w:noBreakHyphen/>
        <w:t xml:space="preserve">700/2020, </w:t>
      </w:r>
      <w:hyperlink r:id="rId8" w:history="1">
        <w:r w:rsidR="002E4272" w:rsidRPr="00EA7379">
          <w:rPr>
            <w:rStyle w:val="Hyperlink"/>
            <w:i/>
            <w:iCs/>
          </w:rPr>
          <w:t>ECLI:LV:AT:2020:0217.A420207818.24.S</w:t>
        </w:r>
      </w:hyperlink>
      <w:r w:rsidR="002E4272" w:rsidRPr="00EA7379">
        <w:rPr>
          <w:i/>
          <w:iCs/>
        </w:rPr>
        <w:t xml:space="preserve"> un 2020. gada 31. janvāra spriedumu lietā Nr. SKA</w:t>
      </w:r>
      <w:r w:rsidR="002E4272" w:rsidRPr="00EA7379">
        <w:rPr>
          <w:i/>
          <w:iCs/>
        </w:rPr>
        <w:noBreakHyphen/>
        <w:t xml:space="preserve">606/2020, </w:t>
      </w:r>
      <w:hyperlink r:id="rId9" w:history="1">
        <w:r w:rsidR="002E4272" w:rsidRPr="00EA7379">
          <w:rPr>
            <w:rStyle w:val="Hyperlink"/>
            <w:i/>
            <w:iCs/>
          </w:rPr>
          <w:t>ECLI:LV:AT:2020:0131.A420175518.16.S</w:t>
        </w:r>
      </w:hyperlink>
      <w:r w:rsidR="002E4272" w:rsidRPr="00EA7379">
        <w:rPr>
          <w:rStyle w:val="Hyperlink"/>
        </w:rPr>
        <w:t>)</w:t>
      </w:r>
      <w:r w:rsidRPr="00EA7379">
        <w:t>.</w:t>
      </w:r>
    </w:p>
    <w:p w14:paraId="4EC48D45" w14:textId="77777777" w:rsidR="002E4272" w:rsidRPr="00EA7379" w:rsidRDefault="002E4272" w:rsidP="00EA7379">
      <w:pPr>
        <w:shd w:val="clear" w:color="auto" w:fill="FFFFFF"/>
        <w:spacing w:line="276" w:lineRule="auto"/>
        <w:ind w:firstLine="720"/>
        <w:jc w:val="both"/>
      </w:pPr>
    </w:p>
    <w:p w14:paraId="0CEA6E0C" w14:textId="77777777" w:rsidR="00B5492E" w:rsidRPr="00EA7379" w:rsidRDefault="002E4272" w:rsidP="00EA7379">
      <w:pPr>
        <w:shd w:val="clear" w:color="auto" w:fill="FFFFFF"/>
        <w:spacing w:line="276" w:lineRule="auto"/>
        <w:ind w:firstLine="720"/>
        <w:jc w:val="both"/>
      </w:pPr>
      <w:r w:rsidRPr="00EA7379">
        <w:t>[1</w:t>
      </w:r>
      <w:r w:rsidR="00253C77" w:rsidRPr="00EA7379">
        <w:t>2</w:t>
      </w:r>
      <w:r w:rsidRPr="00EA7379">
        <w:t>] Ņemot vērā iespējamo nepieciešamību bāriņtiesai rīkoties bērnu</w:t>
      </w:r>
      <w:r w:rsidR="00AE3123" w:rsidRPr="00EA7379">
        <w:t xml:space="preserve">, kuru </w:t>
      </w:r>
      <w:r w:rsidRPr="00EA7379">
        <w:t>intere</w:t>
      </w:r>
      <w:r w:rsidR="00AE3123" w:rsidRPr="00EA7379">
        <w:t>ses var skart nolēmumi šajā lietā,</w:t>
      </w:r>
      <w:r w:rsidRPr="00EA7379">
        <w:t xml:space="preserve"> </w:t>
      </w:r>
      <w:r w:rsidR="009928DD" w:rsidRPr="00EA7379">
        <w:t xml:space="preserve">tiesību </w:t>
      </w:r>
      <w:r w:rsidRPr="00EA7379">
        <w:t xml:space="preserve">aizsardzībai, Senāts uzskata par nepieciešamu </w:t>
      </w:r>
      <w:r w:rsidR="009928DD" w:rsidRPr="00EA7379">
        <w:t xml:space="preserve">pieņemto </w:t>
      </w:r>
      <w:r w:rsidRPr="00EA7379">
        <w:t xml:space="preserve">lēmumu nosūtīt zināšanai </w:t>
      </w:r>
      <w:bookmarkStart w:id="1" w:name="_Hlk140769801"/>
      <w:r w:rsidR="00CF4CCF" w:rsidRPr="00EA7379">
        <w:t xml:space="preserve">arī </w:t>
      </w:r>
      <w:r w:rsidR="007F373B" w:rsidRPr="00EA7379">
        <w:t>[Nosaukums A]</w:t>
      </w:r>
      <w:r w:rsidR="00CF4CCF" w:rsidRPr="00EA7379">
        <w:t xml:space="preserve"> novada</w:t>
      </w:r>
      <w:r w:rsidR="008474AF" w:rsidRPr="00EA7379">
        <w:t xml:space="preserve"> </w:t>
      </w:r>
      <w:r w:rsidR="0036298F" w:rsidRPr="00EA7379">
        <w:t xml:space="preserve">un </w:t>
      </w:r>
      <w:r w:rsidR="007F373B" w:rsidRPr="00EA7379">
        <w:t>[Nosaukums B]</w:t>
      </w:r>
      <w:r w:rsidR="0036298F" w:rsidRPr="00EA7379">
        <w:t xml:space="preserve"> novada </w:t>
      </w:r>
      <w:r w:rsidR="00CF4CCF" w:rsidRPr="00EA7379">
        <w:t>bāriņtiesām. Proti, atbilstoši Bērnu tiesību aizsardzības likuma 33. panta otrajai daļai lēmumu par personisku attiecību un tiešu kontaktu uzturēšanas tiesību ierobežošanu</w:t>
      </w:r>
      <w:r w:rsidR="00513714" w:rsidRPr="00EA7379">
        <w:t xml:space="preserve"> starp bērnu un Bērnu tiesību aizsardzības likuma 33. panta pirmajā daļā norādītajām personām</w:t>
      </w:r>
      <w:r w:rsidR="00CF4CCF" w:rsidRPr="00EA7379">
        <w:t xml:space="preserve"> pieņem tā </w:t>
      </w:r>
      <w:r w:rsidR="00CF4CCF" w:rsidRPr="00EA7379">
        <w:lastRenderedPageBreak/>
        <w:t xml:space="preserve">bāriņtiesa, kura pieņēmusi lēmumu par bērna ārpusģimenes aprūpi, kas konkrētajā gadījumā ir </w:t>
      </w:r>
      <w:proofErr w:type="gramStart"/>
      <w:r w:rsidR="00616372" w:rsidRPr="00EA7379">
        <w:t>[</w:t>
      </w:r>
      <w:proofErr w:type="gramEnd"/>
      <w:r w:rsidR="00616372" w:rsidRPr="00EA7379">
        <w:t>Nosaukums A]</w:t>
      </w:r>
      <w:r w:rsidR="00CF4CCF" w:rsidRPr="00EA7379">
        <w:t xml:space="preserve"> novada bāriņties</w:t>
      </w:r>
      <w:r w:rsidR="008474AF" w:rsidRPr="00EA7379">
        <w:t>a</w:t>
      </w:r>
      <w:r w:rsidR="00CF4CCF" w:rsidRPr="00EA7379">
        <w:t>.</w:t>
      </w:r>
      <w:r w:rsidR="008474AF" w:rsidRPr="00EA7379">
        <w:t xml:space="preserve"> </w:t>
      </w:r>
      <w:r w:rsidR="0036298F" w:rsidRPr="00EA7379">
        <w:t xml:space="preserve">Savukārt </w:t>
      </w:r>
      <w:r w:rsidR="00616372" w:rsidRPr="00EA7379">
        <w:t>[Nosaukums B]</w:t>
      </w:r>
      <w:r w:rsidR="0036298F" w:rsidRPr="00EA7379">
        <w:t xml:space="preserve"> novada bāriņtiesa šajā lietā ir lietas dalībnieks ar institūcijas statu</w:t>
      </w:r>
    </w:p>
    <w:p w14:paraId="65FED68C" w14:textId="1BE72105" w:rsidR="00702E1E" w:rsidRPr="00EA7379" w:rsidRDefault="0036298F" w:rsidP="00EA7379">
      <w:pPr>
        <w:shd w:val="clear" w:color="auto" w:fill="FFFFFF"/>
        <w:spacing w:line="276" w:lineRule="auto"/>
        <w:ind w:firstLine="720"/>
        <w:jc w:val="both"/>
      </w:pPr>
      <w:proofErr w:type="spellStart"/>
      <w:r w:rsidRPr="00EA7379">
        <w:t>su</w:t>
      </w:r>
      <w:proofErr w:type="spellEnd"/>
      <w:r w:rsidRPr="00EA7379">
        <w:t>.</w:t>
      </w:r>
    </w:p>
    <w:bookmarkEnd w:id="1"/>
    <w:p w14:paraId="12CBFC44" w14:textId="77777777" w:rsidR="00447EE6" w:rsidRPr="00EA7379" w:rsidRDefault="00447EE6" w:rsidP="00EA7379">
      <w:pPr>
        <w:shd w:val="clear" w:color="auto" w:fill="FFFFFF"/>
        <w:spacing w:line="276" w:lineRule="auto"/>
        <w:jc w:val="center"/>
        <w:rPr>
          <w:b/>
        </w:rPr>
      </w:pPr>
      <w:r w:rsidRPr="00EA7379">
        <w:rPr>
          <w:b/>
        </w:rPr>
        <w:t xml:space="preserve">Rezolutīvā daļa </w:t>
      </w:r>
    </w:p>
    <w:p w14:paraId="5CD99EBD" w14:textId="77777777" w:rsidR="00B97D24" w:rsidRPr="00EA7379" w:rsidRDefault="00B97D24" w:rsidP="00EA7379">
      <w:pPr>
        <w:shd w:val="clear" w:color="auto" w:fill="FFFFFF"/>
        <w:spacing w:line="276" w:lineRule="auto"/>
        <w:ind w:firstLine="720"/>
        <w:jc w:val="both"/>
      </w:pPr>
    </w:p>
    <w:p w14:paraId="369988FB" w14:textId="73922369" w:rsidR="00447EE6" w:rsidRPr="00EA7379" w:rsidRDefault="00447EE6" w:rsidP="00EA7379">
      <w:pPr>
        <w:shd w:val="clear" w:color="auto" w:fill="FFFFFF"/>
        <w:spacing w:line="276" w:lineRule="auto"/>
        <w:ind w:firstLine="720"/>
        <w:jc w:val="both"/>
      </w:pPr>
      <w:r w:rsidRPr="00EA7379">
        <w:t xml:space="preserve">Pamatojoties uz </w:t>
      </w:r>
      <w:r w:rsidR="00305332" w:rsidRPr="00EA7379">
        <w:t>Civilprocesa likuma 464. panta sesto daļu,</w:t>
      </w:r>
      <w:r w:rsidR="004C47A1" w:rsidRPr="00EA7379">
        <w:t xml:space="preserve"> 444.</w:t>
      </w:r>
      <w:r w:rsidR="004C47A1" w:rsidRPr="00EA7379">
        <w:rPr>
          <w:vertAlign w:val="superscript"/>
        </w:rPr>
        <w:t>1</w:t>
      </w:r>
      <w:r w:rsidR="004C47A1" w:rsidRPr="00EA7379">
        <w:t xml:space="preserve"> panta otro daļu</w:t>
      </w:r>
      <w:r w:rsidRPr="00EA7379">
        <w:t xml:space="preserve"> </w:t>
      </w:r>
      <w:r w:rsidR="00305332" w:rsidRPr="00EA7379">
        <w:t>senatoru kolēģija</w:t>
      </w:r>
    </w:p>
    <w:p w14:paraId="3B28DB94" w14:textId="77777777" w:rsidR="00447EE6" w:rsidRPr="00EA7379" w:rsidRDefault="00447EE6" w:rsidP="00EA7379">
      <w:pPr>
        <w:shd w:val="clear" w:color="auto" w:fill="FFFFFF"/>
        <w:spacing w:line="276" w:lineRule="auto"/>
        <w:jc w:val="center"/>
        <w:rPr>
          <w:b/>
        </w:rPr>
      </w:pPr>
    </w:p>
    <w:p w14:paraId="3C77B745" w14:textId="30FAB710" w:rsidR="000040C9" w:rsidRPr="00EA7379" w:rsidRDefault="00490B9D" w:rsidP="00EA7379">
      <w:pPr>
        <w:shd w:val="clear" w:color="auto" w:fill="FFFFFF"/>
        <w:spacing w:line="276" w:lineRule="auto"/>
        <w:jc w:val="center"/>
        <w:rPr>
          <w:b/>
        </w:rPr>
      </w:pPr>
      <w:r w:rsidRPr="00EA7379">
        <w:rPr>
          <w:b/>
        </w:rPr>
        <w:t>n</w:t>
      </w:r>
      <w:r w:rsidR="00447EE6" w:rsidRPr="00EA7379">
        <w:rPr>
          <w:b/>
        </w:rPr>
        <w:t>o</w:t>
      </w:r>
      <w:r w:rsidR="000040C9" w:rsidRPr="00EA7379">
        <w:rPr>
          <w:b/>
        </w:rPr>
        <w:t>lēma</w:t>
      </w:r>
    </w:p>
    <w:p w14:paraId="455E1F9F" w14:textId="77777777" w:rsidR="00490B9D" w:rsidRPr="00EA7379" w:rsidRDefault="00490B9D" w:rsidP="00EA7379">
      <w:pPr>
        <w:shd w:val="clear" w:color="auto" w:fill="FFFFFF"/>
        <w:spacing w:line="276" w:lineRule="auto"/>
        <w:ind w:firstLine="567"/>
        <w:jc w:val="both"/>
        <w:rPr>
          <w:bCs/>
        </w:rPr>
      </w:pPr>
    </w:p>
    <w:p w14:paraId="28660F9E" w14:textId="222AC826" w:rsidR="00447EE6" w:rsidRPr="00EA7379" w:rsidRDefault="00490B9D" w:rsidP="00EA7379">
      <w:pPr>
        <w:shd w:val="clear" w:color="auto" w:fill="FFFFFF"/>
        <w:spacing w:line="276" w:lineRule="auto"/>
        <w:ind w:firstLine="567"/>
        <w:jc w:val="both"/>
        <w:rPr>
          <w:bCs/>
        </w:rPr>
      </w:pPr>
      <w:r w:rsidRPr="00EA7379">
        <w:rPr>
          <w:bCs/>
        </w:rPr>
        <w:t>a</w:t>
      </w:r>
      <w:r w:rsidR="000040C9" w:rsidRPr="00EA7379">
        <w:rPr>
          <w:bCs/>
        </w:rPr>
        <w:t xml:space="preserve">tteikt pieņemt </w:t>
      </w:r>
      <w:r w:rsidR="007F373B" w:rsidRPr="00EA7379">
        <w:rPr>
          <w:bCs/>
        </w:rPr>
        <w:t>[pers. A]</w:t>
      </w:r>
      <w:r w:rsidR="000040C9" w:rsidRPr="00EA7379">
        <w:rPr>
          <w:bCs/>
        </w:rPr>
        <w:t xml:space="preserve"> blakus sūdzību par </w:t>
      </w:r>
      <w:r w:rsidR="007F373B" w:rsidRPr="00EA7379">
        <w:rPr>
          <w:bCs/>
        </w:rPr>
        <w:t>[..]</w:t>
      </w:r>
      <w:r w:rsidR="000040C9" w:rsidRPr="00EA7379">
        <w:rPr>
          <w:bCs/>
        </w:rPr>
        <w:t xml:space="preserve"> apgabaltiesas 2023. gada </w:t>
      </w:r>
      <w:r w:rsidR="00616372" w:rsidRPr="00EA7379">
        <w:rPr>
          <w:bCs/>
        </w:rPr>
        <w:t>[..]</w:t>
      </w:r>
      <w:r w:rsidR="000040C9" w:rsidRPr="00EA7379">
        <w:rPr>
          <w:bCs/>
        </w:rPr>
        <w:t xml:space="preserve"> lēmumu</w:t>
      </w:r>
      <w:r w:rsidR="00C60510" w:rsidRPr="00EA7379">
        <w:rPr>
          <w:bCs/>
        </w:rPr>
        <w:t>;</w:t>
      </w:r>
    </w:p>
    <w:p w14:paraId="1A76FF8F" w14:textId="51DAF7FE" w:rsidR="000040C9" w:rsidRPr="00EA7379" w:rsidRDefault="00490B9D" w:rsidP="00EA7379">
      <w:pPr>
        <w:shd w:val="clear" w:color="auto" w:fill="FFFFFF"/>
        <w:spacing w:line="276" w:lineRule="auto"/>
        <w:ind w:firstLine="567"/>
        <w:jc w:val="both"/>
        <w:rPr>
          <w:bCs/>
        </w:rPr>
      </w:pPr>
      <w:r w:rsidRPr="00EA7379">
        <w:rPr>
          <w:bCs/>
        </w:rPr>
        <w:t>a</w:t>
      </w:r>
      <w:r w:rsidR="000040C9" w:rsidRPr="00EA7379">
        <w:rPr>
          <w:bCs/>
        </w:rPr>
        <w:t xml:space="preserve">tmaksāt </w:t>
      </w:r>
      <w:r w:rsidR="007F373B" w:rsidRPr="00EA7379">
        <w:rPr>
          <w:bCs/>
        </w:rPr>
        <w:t>[pers. A]</w:t>
      </w:r>
      <w:r w:rsidR="000040C9" w:rsidRPr="00EA7379">
        <w:rPr>
          <w:bCs/>
        </w:rPr>
        <w:t xml:space="preserve"> drošības naudu 70</w:t>
      </w:r>
      <w:r w:rsidRPr="00EA7379">
        <w:rPr>
          <w:bCs/>
        </w:rPr>
        <w:t> </w:t>
      </w:r>
      <w:proofErr w:type="spellStart"/>
      <w:r w:rsidR="000040C9" w:rsidRPr="00EA7379">
        <w:rPr>
          <w:bCs/>
          <w:i/>
          <w:iCs/>
        </w:rPr>
        <w:t>euro</w:t>
      </w:r>
      <w:proofErr w:type="spellEnd"/>
      <w:r w:rsidR="00C60510" w:rsidRPr="00EA7379">
        <w:rPr>
          <w:bCs/>
        </w:rPr>
        <w:t>;</w:t>
      </w:r>
    </w:p>
    <w:p w14:paraId="1222F582" w14:textId="29591110" w:rsidR="002E4272" w:rsidRPr="00EA7379" w:rsidRDefault="002E4272" w:rsidP="00EA7379">
      <w:pPr>
        <w:shd w:val="clear" w:color="auto" w:fill="FFFFFF"/>
        <w:spacing w:line="276" w:lineRule="auto"/>
        <w:ind w:firstLine="567"/>
        <w:jc w:val="both"/>
        <w:rPr>
          <w:bCs/>
        </w:rPr>
      </w:pPr>
      <w:r w:rsidRPr="00EA7379">
        <w:rPr>
          <w:bCs/>
        </w:rPr>
        <w:t xml:space="preserve">nosūtīt lēmumu zināšanai </w:t>
      </w:r>
      <w:r w:rsidR="00616372" w:rsidRPr="00EA7379">
        <w:rPr>
          <w:bCs/>
        </w:rPr>
        <w:t>[Nosaukums A]</w:t>
      </w:r>
      <w:r w:rsidR="00CF4CCF" w:rsidRPr="00EA7379">
        <w:rPr>
          <w:bCs/>
        </w:rPr>
        <w:t xml:space="preserve"> novada </w:t>
      </w:r>
      <w:r w:rsidR="0036298F" w:rsidRPr="00EA7379">
        <w:rPr>
          <w:bCs/>
        </w:rPr>
        <w:t>un</w:t>
      </w:r>
      <w:r w:rsidR="00616372" w:rsidRPr="00EA7379">
        <w:rPr>
          <w:bCs/>
        </w:rPr>
        <w:t xml:space="preserve"> [Nosaukums B]</w:t>
      </w:r>
      <w:r w:rsidR="0036298F" w:rsidRPr="00EA7379">
        <w:rPr>
          <w:bCs/>
        </w:rPr>
        <w:t xml:space="preserve"> novada </w:t>
      </w:r>
      <w:r w:rsidRPr="00EA7379">
        <w:rPr>
          <w:bCs/>
        </w:rPr>
        <w:t>bāriņties</w:t>
      </w:r>
      <w:r w:rsidR="0036298F" w:rsidRPr="00EA7379">
        <w:rPr>
          <w:bCs/>
        </w:rPr>
        <w:t>ām</w:t>
      </w:r>
      <w:r w:rsidRPr="00EA7379">
        <w:rPr>
          <w:bCs/>
        </w:rPr>
        <w:t>.</w:t>
      </w:r>
    </w:p>
    <w:p w14:paraId="343050BA" w14:textId="77777777" w:rsidR="00490B9D" w:rsidRPr="00EA7379" w:rsidRDefault="00490B9D" w:rsidP="00EA7379">
      <w:pPr>
        <w:shd w:val="clear" w:color="auto" w:fill="FFFFFF"/>
        <w:spacing w:line="276" w:lineRule="auto"/>
        <w:jc w:val="both"/>
        <w:rPr>
          <w:bCs/>
        </w:rPr>
      </w:pPr>
    </w:p>
    <w:p w14:paraId="2D8A69AF" w14:textId="3A0F1711" w:rsidR="00AE3123" w:rsidRPr="00EA7379" w:rsidRDefault="000040C9" w:rsidP="00EA7379">
      <w:pPr>
        <w:shd w:val="clear" w:color="auto" w:fill="FFFFFF"/>
        <w:spacing w:line="276" w:lineRule="auto"/>
        <w:ind w:firstLine="567"/>
        <w:jc w:val="both"/>
        <w:rPr>
          <w:bCs/>
        </w:rPr>
      </w:pPr>
      <w:r w:rsidRPr="00EA7379">
        <w:rPr>
          <w:bCs/>
        </w:rPr>
        <w:t>Lēmums nav pārsūdzams.</w:t>
      </w:r>
    </w:p>
    <w:sectPr w:rsidR="00AE3123" w:rsidRPr="00EA7379" w:rsidSect="002073FD">
      <w:footerReference w:type="default" r:id="rId10"/>
      <w:pgSz w:w="12240" w:h="15840"/>
      <w:pgMar w:top="1134" w:right="1701" w:bottom="1134" w:left="1701" w:header="720" w:footer="3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3D72" w14:textId="77777777" w:rsidR="00FD3898" w:rsidRDefault="00FD3898" w:rsidP="00AE3123">
      <w:r>
        <w:separator/>
      </w:r>
    </w:p>
  </w:endnote>
  <w:endnote w:type="continuationSeparator" w:id="0">
    <w:p w14:paraId="299F348E" w14:textId="77777777" w:rsidR="00FD3898" w:rsidRDefault="00FD3898" w:rsidP="00AE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453393"/>
      <w:docPartObj>
        <w:docPartGallery w:val="Page Numbers (Bottom of Page)"/>
        <w:docPartUnique/>
      </w:docPartObj>
    </w:sdtPr>
    <w:sdtEndPr/>
    <w:sdtContent>
      <w:sdt>
        <w:sdtPr>
          <w:id w:val="-712584141"/>
          <w:docPartObj>
            <w:docPartGallery w:val="Page Numbers (Top of Page)"/>
            <w:docPartUnique/>
          </w:docPartObj>
        </w:sdtPr>
        <w:sdtEndPr/>
        <w:sdtContent>
          <w:p w14:paraId="02131506" w14:textId="77777777" w:rsidR="0095638E" w:rsidRDefault="0095638E" w:rsidP="0095638E">
            <w:pPr>
              <w:pStyle w:val="Footer"/>
              <w:jc w:val="center"/>
              <w:rPr>
                <w:szCs w:val="22"/>
                <w:lang w:eastAsia="en-US"/>
              </w:rPr>
            </w:pPr>
            <w:r>
              <w:fldChar w:fldCharType="begin"/>
            </w:r>
            <w:r>
              <w:instrText xml:space="preserve"> PAGE </w:instrText>
            </w:r>
            <w:r>
              <w:fldChar w:fldCharType="separate"/>
            </w:r>
            <w:r>
              <w:t>1</w:t>
            </w:r>
            <w:r>
              <w:fldChar w:fldCharType="end"/>
            </w:r>
            <w:r>
              <w:t xml:space="preserve"> no </w:t>
            </w:r>
            <w:r>
              <w:fldChar w:fldCharType="begin"/>
            </w:r>
            <w:r>
              <w:instrText xml:space="preserve"> NUMPAGES  </w:instrText>
            </w:r>
            <w:r>
              <w:fldChar w:fldCharType="separate"/>
            </w:r>
            <w:r>
              <w:t>4</w:t>
            </w:r>
            <w:r>
              <w:rPr>
                <w:noProof/>
              </w:rPr>
              <w:fldChar w:fldCharType="end"/>
            </w:r>
          </w:p>
        </w:sdtContent>
      </w:sdt>
    </w:sdtContent>
  </w:sdt>
  <w:p w14:paraId="311A40F3" w14:textId="77777777" w:rsidR="0095638E" w:rsidRDefault="0095638E" w:rsidP="0095638E">
    <w:pPr>
      <w:pStyle w:val="Footer"/>
    </w:pPr>
  </w:p>
  <w:p w14:paraId="33CE6EC6" w14:textId="77777777" w:rsidR="0095638E" w:rsidRDefault="0095638E" w:rsidP="009563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1221" w14:textId="77777777" w:rsidR="00FD3898" w:rsidRDefault="00FD3898" w:rsidP="00AE3123">
      <w:r>
        <w:separator/>
      </w:r>
    </w:p>
  </w:footnote>
  <w:footnote w:type="continuationSeparator" w:id="0">
    <w:p w14:paraId="0090C049" w14:textId="77777777" w:rsidR="00FD3898" w:rsidRDefault="00FD3898" w:rsidP="00AE3123">
      <w:r>
        <w:continuationSeparator/>
      </w:r>
    </w:p>
  </w:footnote>
  <w:footnote w:id="1">
    <w:p w14:paraId="51A19943" w14:textId="04307731" w:rsidR="00845593" w:rsidRDefault="00845593" w:rsidP="00845593">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40C9"/>
    <w:rsid w:val="000049DD"/>
    <w:rsid w:val="0000581C"/>
    <w:rsid w:val="00006F08"/>
    <w:rsid w:val="00016717"/>
    <w:rsid w:val="00055C69"/>
    <w:rsid w:val="001060A0"/>
    <w:rsid w:val="00137F5F"/>
    <w:rsid w:val="001512C3"/>
    <w:rsid w:val="00173F09"/>
    <w:rsid w:val="00177A7F"/>
    <w:rsid w:val="001921D1"/>
    <w:rsid w:val="00200C6D"/>
    <w:rsid w:val="002073FD"/>
    <w:rsid w:val="00230A57"/>
    <w:rsid w:val="00247609"/>
    <w:rsid w:val="00252F3A"/>
    <w:rsid w:val="00253C77"/>
    <w:rsid w:val="002544D3"/>
    <w:rsid w:val="0025583A"/>
    <w:rsid w:val="002666B8"/>
    <w:rsid w:val="002D2D77"/>
    <w:rsid w:val="002E4272"/>
    <w:rsid w:val="00305332"/>
    <w:rsid w:val="003456FC"/>
    <w:rsid w:val="0036298F"/>
    <w:rsid w:val="003851BA"/>
    <w:rsid w:val="003E194F"/>
    <w:rsid w:val="003E782C"/>
    <w:rsid w:val="00447EE6"/>
    <w:rsid w:val="00490B9D"/>
    <w:rsid w:val="004923BB"/>
    <w:rsid w:val="004B2A94"/>
    <w:rsid w:val="004C47A1"/>
    <w:rsid w:val="00502C9F"/>
    <w:rsid w:val="005037CD"/>
    <w:rsid w:val="00513714"/>
    <w:rsid w:val="00517601"/>
    <w:rsid w:val="00523596"/>
    <w:rsid w:val="00534392"/>
    <w:rsid w:val="00547C02"/>
    <w:rsid w:val="00567624"/>
    <w:rsid w:val="00584B43"/>
    <w:rsid w:val="005D6266"/>
    <w:rsid w:val="00616372"/>
    <w:rsid w:val="006266C1"/>
    <w:rsid w:val="0067206B"/>
    <w:rsid w:val="006A2ED0"/>
    <w:rsid w:val="006C3024"/>
    <w:rsid w:val="006E5B90"/>
    <w:rsid w:val="00702E1E"/>
    <w:rsid w:val="00733DBB"/>
    <w:rsid w:val="007439C7"/>
    <w:rsid w:val="007749FD"/>
    <w:rsid w:val="007F373B"/>
    <w:rsid w:val="008433C4"/>
    <w:rsid w:val="00843EA5"/>
    <w:rsid w:val="00845593"/>
    <w:rsid w:val="008474AF"/>
    <w:rsid w:val="00886AAA"/>
    <w:rsid w:val="008E4545"/>
    <w:rsid w:val="008F0317"/>
    <w:rsid w:val="009036B2"/>
    <w:rsid w:val="00907B8D"/>
    <w:rsid w:val="0093768D"/>
    <w:rsid w:val="0095638E"/>
    <w:rsid w:val="009928DD"/>
    <w:rsid w:val="009A4AD5"/>
    <w:rsid w:val="009A7AD7"/>
    <w:rsid w:val="009D4544"/>
    <w:rsid w:val="009F16D0"/>
    <w:rsid w:val="00A27BBA"/>
    <w:rsid w:val="00A31206"/>
    <w:rsid w:val="00A51950"/>
    <w:rsid w:val="00AE3123"/>
    <w:rsid w:val="00AE5360"/>
    <w:rsid w:val="00B026F1"/>
    <w:rsid w:val="00B5492E"/>
    <w:rsid w:val="00B54F4B"/>
    <w:rsid w:val="00B6339B"/>
    <w:rsid w:val="00B97D24"/>
    <w:rsid w:val="00BC2153"/>
    <w:rsid w:val="00BC4C7D"/>
    <w:rsid w:val="00C260DF"/>
    <w:rsid w:val="00C5023B"/>
    <w:rsid w:val="00C60316"/>
    <w:rsid w:val="00C60510"/>
    <w:rsid w:val="00C6338D"/>
    <w:rsid w:val="00C8458C"/>
    <w:rsid w:val="00C91B81"/>
    <w:rsid w:val="00CE1DC0"/>
    <w:rsid w:val="00CE532F"/>
    <w:rsid w:val="00CF4CCF"/>
    <w:rsid w:val="00D12D91"/>
    <w:rsid w:val="00DC252D"/>
    <w:rsid w:val="00DE2735"/>
    <w:rsid w:val="00DE5AF6"/>
    <w:rsid w:val="00DF4938"/>
    <w:rsid w:val="00DF4E05"/>
    <w:rsid w:val="00E044C5"/>
    <w:rsid w:val="00EA7379"/>
    <w:rsid w:val="00EC7509"/>
    <w:rsid w:val="00EF1758"/>
    <w:rsid w:val="00F06974"/>
    <w:rsid w:val="00F2010D"/>
    <w:rsid w:val="00F62FFE"/>
    <w:rsid w:val="00FD3898"/>
    <w:rsid w:val="00FE1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252F3A"/>
    <w:rPr>
      <w:sz w:val="16"/>
      <w:szCs w:val="16"/>
    </w:rPr>
  </w:style>
  <w:style w:type="paragraph" w:styleId="CommentText">
    <w:name w:val="annotation text"/>
    <w:basedOn w:val="Normal"/>
    <w:link w:val="CommentTextChar"/>
    <w:uiPriority w:val="99"/>
    <w:semiHidden/>
    <w:unhideWhenUsed/>
    <w:rsid w:val="00252F3A"/>
    <w:rPr>
      <w:sz w:val="20"/>
      <w:szCs w:val="20"/>
    </w:rPr>
  </w:style>
  <w:style w:type="character" w:customStyle="1" w:styleId="CommentTextChar">
    <w:name w:val="Comment Text Char"/>
    <w:basedOn w:val="DefaultParagraphFont"/>
    <w:link w:val="CommentText"/>
    <w:uiPriority w:val="99"/>
    <w:semiHidden/>
    <w:rsid w:val="00252F3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252F3A"/>
    <w:rPr>
      <w:b/>
      <w:bCs/>
    </w:rPr>
  </w:style>
  <w:style w:type="character" w:customStyle="1" w:styleId="CommentSubjectChar">
    <w:name w:val="Comment Subject Char"/>
    <w:basedOn w:val="CommentTextChar"/>
    <w:link w:val="CommentSubject"/>
    <w:uiPriority w:val="99"/>
    <w:semiHidden/>
    <w:rsid w:val="00252F3A"/>
    <w:rPr>
      <w:rFonts w:eastAsia="Times New Roman" w:cs="Times New Roman"/>
      <w:b/>
      <w:bCs/>
      <w:sz w:val="20"/>
      <w:szCs w:val="20"/>
      <w:lang w:val="lv-LV" w:eastAsia="ru-RU"/>
    </w:rPr>
  </w:style>
  <w:style w:type="character" w:styleId="Hyperlink">
    <w:name w:val="Hyperlink"/>
    <w:basedOn w:val="DefaultParagraphFont"/>
    <w:uiPriority w:val="99"/>
    <w:unhideWhenUsed/>
    <w:rsid w:val="002E4272"/>
    <w:rPr>
      <w:color w:val="0563C1" w:themeColor="hyperlink"/>
      <w:u w:val="single"/>
    </w:rPr>
  </w:style>
  <w:style w:type="character" w:styleId="FollowedHyperlink">
    <w:name w:val="FollowedHyperlink"/>
    <w:basedOn w:val="DefaultParagraphFont"/>
    <w:uiPriority w:val="99"/>
    <w:semiHidden/>
    <w:unhideWhenUsed/>
    <w:rsid w:val="002E4272"/>
    <w:rPr>
      <w:color w:val="954F72" w:themeColor="followedHyperlink"/>
      <w:u w:val="single"/>
    </w:rPr>
  </w:style>
  <w:style w:type="character" w:styleId="UnresolvedMention">
    <w:name w:val="Unresolved Mention"/>
    <w:basedOn w:val="DefaultParagraphFont"/>
    <w:uiPriority w:val="99"/>
    <w:semiHidden/>
    <w:unhideWhenUsed/>
    <w:rsid w:val="002E4272"/>
    <w:rPr>
      <w:color w:val="605E5C"/>
      <w:shd w:val="clear" w:color="auto" w:fill="E1DFDD"/>
    </w:rPr>
  </w:style>
  <w:style w:type="paragraph" w:styleId="Header">
    <w:name w:val="header"/>
    <w:basedOn w:val="Normal"/>
    <w:link w:val="HeaderChar"/>
    <w:uiPriority w:val="99"/>
    <w:unhideWhenUsed/>
    <w:rsid w:val="00AE3123"/>
    <w:pPr>
      <w:tabs>
        <w:tab w:val="center" w:pos="4153"/>
        <w:tab w:val="right" w:pos="8306"/>
      </w:tabs>
    </w:pPr>
  </w:style>
  <w:style w:type="character" w:customStyle="1" w:styleId="HeaderChar">
    <w:name w:val="Header Char"/>
    <w:basedOn w:val="DefaultParagraphFont"/>
    <w:link w:val="Header"/>
    <w:uiPriority w:val="99"/>
    <w:rsid w:val="00AE3123"/>
    <w:rPr>
      <w:rFonts w:eastAsia="Times New Roman" w:cs="Times New Roman"/>
      <w:szCs w:val="24"/>
      <w:lang w:val="lv-LV" w:eastAsia="ru-RU"/>
    </w:rPr>
  </w:style>
  <w:style w:type="paragraph" w:styleId="Footer">
    <w:name w:val="footer"/>
    <w:basedOn w:val="Normal"/>
    <w:link w:val="FooterChar"/>
    <w:uiPriority w:val="99"/>
    <w:unhideWhenUsed/>
    <w:rsid w:val="00AE3123"/>
    <w:pPr>
      <w:tabs>
        <w:tab w:val="center" w:pos="4153"/>
        <w:tab w:val="right" w:pos="8306"/>
      </w:tabs>
    </w:pPr>
  </w:style>
  <w:style w:type="character" w:customStyle="1" w:styleId="FooterChar">
    <w:name w:val="Footer Char"/>
    <w:basedOn w:val="DefaultParagraphFont"/>
    <w:link w:val="Footer"/>
    <w:uiPriority w:val="99"/>
    <w:rsid w:val="00AE3123"/>
    <w:rPr>
      <w:rFonts w:eastAsia="Times New Roman" w:cs="Times New Roman"/>
      <w:szCs w:val="24"/>
      <w:lang w:val="lv-LV" w:eastAsia="ru-RU"/>
    </w:rPr>
  </w:style>
  <w:style w:type="paragraph" w:styleId="Revision">
    <w:name w:val="Revision"/>
    <w:hidden/>
    <w:uiPriority w:val="99"/>
    <w:semiHidden/>
    <w:rsid w:val="002666B8"/>
    <w:pPr>
      <w:spacing w:after="0" w:line="240" w:lineRule="auto"/>
    </w:pPr>
    <w:rPr>
      <w:rFonts w:eastAsia="Times New Roman" w:cs="Times New Roman"/>
      <w:szCs w:val="24"/>
      <w:lang w:val="lv-LV" w:eastAsia="ru-RU"/>
    </w:rPr>
  </w:style>
  <w:style w:type="paragraph" w:styleId="FootnoteText">
    <w:name w:val="footnote text"/>
    <w:basedOn w:val="Normal"/>
    <w:link w:val="FootnoteTextChar"/>
    <w:uiPriority w:val="99"/>
    <w:semiHidden/>
    <w:unhideWhenUsed/>
    <w:rsid w:val="00845593"/>
    <w:rPr>
      <w:sz w:val="20"/>
      <w:szCs w:val="20"/>
      <w:lang w:val="en-GB" w:eastAsia="en-US"/>
    </w:rPr>
  </w:style>
  <w:style w:type="character" w:customStyle="1" w:styleId="FootnoteTextChar">
    <w:name w:val="Footnote Text Char"/>
    <w:basedOn w:val="DefaultParagraphFont"/>
    <w:link w:val="FootnoteText"/>
    <w:uiPriority w:val="99"/>
    <w:semiHidden/>
    <w:rsid w:val="00845593"/>
    <w:rPr>
      <w:rFonts w:eastAsia="Times New Roman" w:cs="Times New Roman"/>
      <w:sz w:val="20"/>
      <w:szCs w:val="20"/>
      <w:lang w:val="en-GB"/>
    </w:rPr>
  </w:style>
  <w:style w:type="paragraph" w:styleId="NoSpacing">
    <w:name w:val="No Spacing"/>
    <w:uiPriority w:val="1"/>
    <w:qFormat/>
    <w:rsid w:val="00845593"/>
    <w:pPr>
      <w:spacing w:after="0" w:line="240" w:lineRule="auto"/>
    </w:pPr>
    <w:rPr>
      <w:rFonts w:eastAsia="Times New Roman" w:cs="Times New Roman"/>
      <w:szCs w:val="24"/>
      <w:lang w:val="lv-LV" w:eastAsia="ru-RU"/>
    </w:rPr>
  </w:style>
  <w:style w:type="character" w:styleId="FootnoteReference">
    <w:name w:val="footnote reference"/>
    <w:semiHidden/>
    <w:unhideWhenUsed/>
    <w:rsid w:val="008455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07989">
      <w:bodyDiv w:val="1"/>
      <w:marLeft w:val="0"/>
      <w:marRight w:val="0"/>
      <w:marTop w:val="0"/>
      <w:marBottom w:val="0"/>
      <w:divBdr>
        <w:top w:val="none" w:sz="0" w:space="0" w:color="auto"/>
        <w:left w:val="none" w:sz="0" w:space="0" w:color="auto"/>
        <w:bottom w:val="none" w:sz="0" w:space="0" w:color="auto"/>
        <w:right w:val="none" w:sz="0" w:space="0" w:color="auto"/>
      </w:divBdr>
    </w:div>
    <w:div w:id="510217586">
      <w:bodyDiv w:val="1"/>
      <w:marLeft w:val="0"/>
      <w:marRight w:val="0"/>
      <w:marTop w:val="0"/>
      <w:marBottom w:val="0"/>
      <w:divBdr>
        <w:top w:val="none" w:sz="0" w:space="0" w:color="auto"/>
        <w:left w:val="none" w:sz="0" w:space="0" w:color="auto"/>
        <w:bottom w:val="none" w:sz="0" w:space="0" w:color="auto"/>
        <w:right w:val="none" w:sz="0" w:space="0" w:color="auto"/>
      </w:divBdr>
    </w:div>
    <w:div w:id="949622896">
      <w:bodyDiv w:val="1"/>
      <w:marLeft w:val="0"/>
      <w:marRight w:val="0"/>
      <w:marTop w:val="0"/>
      <w:marBottom w:val="0"/>
      <w:divBdr>
        <w:top w:val="none" w:sz="0" w:space="0" w:color="auto"/>
        <w:left w:val="none" w:sz="0" w:space="0" w:color="auto"/>
        <w:bottom w:val="none" w:sz="0" w:space="0" w:color="auto"/>
        <w:right w:val="none" w:sz="0" w:space="0" w:color="auto"/>
      </w:divBdr>
    </w:div>
    <w:div w:id="1412775084">
      <w:bodyDiv w:val="1"/>
      <w:marLeft w:val="0"/>
      <w:marRight w:val="0"/>
      <w:marTop w:val="0"/>
      <w:marBottom w:val="0"/>
      <w:divBdr>
        <w:top w:val="none" w:sz="0" w:space="0" w:color="auto"/>
        <w:left w:val="none" w:sz="0" w:space="0" w:color="auto"/>
        <w:bottom w:val="none" w:sz="0" w:space="0" w:color="auto"/>
        <w:right w:val="none" w:sz="0" w:space="0" w:color="auto"/>
      </w:divBdr>
    </w:div>
    <w:div w:id="18930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1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6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A9276-9D44-409A-88D3-2E91A217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5192</Words>
  <Characters>2960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2023-09-18T14:07:00Z</dcterms:created>
  <dcterms:modified xsi:type="dcterms:W3CDTF">2023-11-01T12:21:00Z</dcterms:modified>
</cp:coreProperties>
</file>