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AC375" w14:textId="77777777" w:rsidR="009277DA" w:rsidRPr="009277DA" w:rsidRDefault="009277DA" w:rsidP="0067614E">
      <w:pPr>
        <w:autoSpaceDE w:val="0"/>
        <w:autoSpaceDN w:val="0"/>
        <w:spacing w:line="276" w:lineRule="auto"/>
        <w:jc w:val="both"/>
        <w:rPr>
          <w:rFonts w:ascii="TimesNewRomanPSMT" w:hAnsi="TimesNewRomanPSMT"/>
          <w:b/>
          <w:bCs/>
          <w:color w:val="000000"/>
          <w:lang w:eastAsia="en-US"/>
        </w:rPr>
      </w:pPr>
      <w:r w:rsidRPr="009277DA">
        <w:rPr>
          <w:rFonts w:ascii="TimesNewRomanPSMT" w:hAnsi="TimesNewRomanPSMT"/>
          <w:b/>
          <w:bCs/>
        </w:rPr>
        <w:t>Vienotā dabasgāzes pārvades un uzglabāšanas sistēmas operatora</w:t>
      </w:r>
      <w:r w:rsidRPr="009277DA">
        <w:rPr>
          <w:rFonts w:ascii="TimesNewRomanPSMT" w:hAnsi="TimesNewRomanPSMT"/>
          <w:b/>
          <w:bCs/>
          <w:color w:val="000000"/>
        </w:rPr>
        <w:t xml:space="preserve"> pienākums ievērot tiesību normās noteiktās neatkarības prasības </w:t>
      </w:r>
    </w:p>
    <w:p w14:paraId="37E91D05" w14:textId="77777777" w:rsidR="009277DA" w:rsidRPr="009277DA" w:rsidRDefault="009277DA" w:rsidP="0067614E">
      <w:pPr>
        <w:spacing w:line="276" w:lineRule="auto"/>
        <w:jc w:val="both"/>
        <w:rPr>
          <w:rFonts w:ascii="Calibri" w:hAnsi="Calibri"/>
          <w:sz w:val="22"/>
          <w:szCs w:val="22"/>
          <w:lang w:val="en-US"/>
        </w:rPr>
      </w:pPr>
      <w:r w:rsidRPr="009277DA">
        <w:rPr>
          <w:rFonts w:ascii="TimesNewRomanPSMT" w:hAnsi="TimesNewRomanPSMT"/>
        </w:rPr>
        <w:t>Enerģētikas likuma 111.panta trešajā daļā ir ietverti nosacījumi vienotā dabasgāzes pārvades un uzglabāšanas sistēmas operatora neatkarībai, bet nav noteikti ierobežojumi akcionāriem izmantot balsstiesības.</w:t>
      </w:r>
      <w:r w:rsidRPr="009277DA">
        <w:rPr>
          <w:rFonts w:ascii="TimesNewRomanPSMT" w:hAnsi="TimesNewRomanPSMT"/>
          <w:color w:val="1F497D"/>
        </w:rPr>
        <w:t xml:space="preserve"> </w:t>
      </w:r>
      <w:r w:rsidRPr="009277DA">
        <w:rPr>
          <w:rFonts w:ascii="TimesNewRomanPSMT" w:hAnsi="TimesNewRomanPSMT"/>
        </w:rPr>
        <w:t>Konkrētā norma arī nenoteic sekas, kas iestājas ierobežoto balsstiesību izmantošanas vai neizmatošanas gadījumā. Līdz ar to vienoto dabasgāzes pārvades un uzglabāšanas sistēmas operatora akcionāru balsstiesību izmantošanas ierobežojumi nav noteikti ar likumu. Tā kā nepastāv ne likumā, ne operatora statūtos noteikts balsstiesību ierobežojums, secināms, ka visas operatora akcijas ir balsstiesīgas un ņemamas vērā, nosakot balsstiesīgo pamatkapitālu. Šādos apstākļos, pat ja operatora akcionā</w:t>
      </w:r>
      <w:bookmarkStart w:id="0" w:name="_GoBack"/>
      <w:bookmarkEnd w:id="0"/>
      <w:r w:rsidRPr="009277DA">
        <w:rPr>
          <w:rFonts w:ascii="TimesNewRomanPSMT" w:hAnsi="TimesNewRomanPSMT"/>
        </w:rPr>
        <w:t>rs labprātīgi apņemas neizmantot balsstiesības, nav izslēgta iespēja akcionāram ietekmēt lēmumus sabiedrībai svarīgos jautājumos, un līdz ar to statūtos ietvertais nenodrošina Enerģētikas likuma 111.panta trešajā daļā noteikto neatkarības prasību ievērošanu.</w:t>
      </w:r>
    </w:p>
    <w:p w14:paraId="20503A6B" w14:textId="06590B6F" w:rsidR="009277DA" w:rsidRPr="0067614E" w:rsidRDefault="009277DA" w:rsidP="0067614E">
      <w:pPr>
        <w:autoSpaceDE w:val="0"/>
        <w:autoSpaceDN w:val="0"/>
        <w:spacing w:line="276" w:lineRule="auto"/>
        <w:jc w:val="both"/>
        <w:rPr>
          <w:rFonts w:ascii="TimesNewRomanPSMT" w:hAnsi="TimesNewRomanPSMT"/>
        </w:rPr>
      </w:pPr>
      <w:r w:rsidRPr="009277DA">
        <w:rPr>
          <w:rFonts w:ascii="TimesNewRomanPSMT" w:hAnsi="TimesNewRomanPSMT"/>
        </w:rPr>
        <w:t>Neatkarības prasību ievērošanu vērtē Sabiedrisko pakalpojumu regulēšanas komisija, lemjot par vienotā dabasgāzes pārvades un uzglabāšanas sistēmas operatora atbilstību sertificēšanas prasībām. No tiesiskā regulējuma izriet, ka tieši vienotajam dabasgāzes pārvades un uzglabāšanas sistēmas operatoram ir pienākums nodrošināt atbilstību noteiktajām sertificēšanas prasībām un iesniegt regulatoram to apliecinošus dokumentus. Normatīvie akti neuzliek regulatoram pienākumu norādīt, kādus konkrētus pasākumus vienotajam dabasgāzes pārvades un uzglabāšanas sistēmas operatoram jāveic, lai tas izpildītu neatkarības prasības.</w:t>
      </w:r>
      <w:r>
        <w:rPr>
          <w:rFonts w:ascii="TimesNewRomanPSMT" w:hAnsi="TimesNewRomanPSMT"/>
        </w:rPr>
        <w:t xml:space="preserve"> </w:t>
      </w:r>
    </w:p>
    <w:p w14:paraId="6C1107C3" w14:textId="2A4BDEDF" w:rsidR="0067614E" w:rsidRPr="0067614E" w:rsidRDefault="009277DA" w:rsidP="0067614E">
      <w:pPr>
        <w:spacing w:before="240" w:line="276" w:lineRule="auto"/>
        <w:jc w:val="center"/>
        <w:rPr>
          <w:b/>
        </w:rPr>
      </w:pPr>
      <w:r w:rsidRPr="0067614E">
        <w:rPr>
          <w:b/>
        </w:rPr>
        <w:t>Latvijas Republikas Senāta</w:t>
      </w:r>
      <w:r w:rsidRPr="0067614E">
        <w:rPr>
          <w:b/>
        </w:rPr>
        <w:br/>
        <w:t>A</w:t>
      </w:r>
      <w:r w:rsidR="0067614E" w:rsidRPr="0067614E">
        <w:rPr>
          <w:b/>
        </w:rPr>
        <w:t xml:space="preserve">dministratīvo lietu departamenta </w:t>
      </w:r>
      <w:r w:rsidR="0067614E" w:rsidRPr="0067614E">
        <w:rPr>
          <w:b/>
        </w:rPr>
        <w:br/>
        <w:t>2023.gada 30.augusta</w:t>
      </w:r>
    </w:p>
    <w:p w14:paraId="3813A05E" w14:textId="77777777" w:rsidR="00027662" w:rsidRPr="0067614E" w:rsidRDefault="00027662" w:rsidP="0067614E">
      <w:pPr>
        <w:spacing w:line="276" w:lineRule="auto"/>
        <w:jc w:val="center"/>
        <w:rPr>
          <w:b/>
        </w:rPr>
      </w:pPr>
      <w:r w:rsidRPr="0067614E">
        <w:rPr>
          <w:b/>
        </w:rPr>
        <w:t>SPRIEDUMS</w:t>
      </w:r>
    </w:p>
    <w:p w14:paraId="3D6E8EAA" w14:textId="77777777" w:rsidR="0067614E" w:rsidRPr="0067614E" w:rsidRDefault="0067614E" w:rsidP="0067614E">
      <w:pPr>
        <w:spacing w:line="276" w:lineRule="auto"/>
        <w:ind w:firstLine="567"/>
        <w:contextualSpacing/>
        <w:jc w:val="center"/>
        <w:rPr>
          <w:rFonts w:eastAsiaTheme="minorEastAsia"/>
          <w:b/>
          <w:lang w:eastAsia="en-US"/>
        </w:rPr>
      </w:pPr>
      <w:r w:rsidRPr="0067614E">
        <w:rPr>
          <w:rFonts w:eastAsiaTheme="minorEastAsia"/>
          <w:b/>
          <w:lang w:eastAsia="en-US"/>
        </w:rPr>
        <w:t>Lieta Nr. </w:t>
      </w:r>
      <w:r w:rsidRPr="0067614E">
        <w:rPr>
          <w:b/>
          <w:color w:val="000000"/>
        </w:rPr>
        <w:t>A43008418</w:t>
      </w:r>
      <w:r w:rsidRPr="0067614E">
        <w:rPr>
          <w:rFonts w:eastAsiaTheme="minorEastAsia"/>
          <w:b/>
          <w:lang w:eastAsia="en-US"/>
        </w:rPr>
        <w:t>, SKA</w:t>
      </w:r>
      <w:r w:rsidRPr="0067614E">
        <w:rPr>
          <w:rFonts w:eastAsiaTheme="minorEastAsia"/>
          <w:b/>
          <w:lang w:eastAsia="en-US"/>
        </w:rPr>
        <w:noBreakHyphen/>
        <w:t>60/2023</w:t>
      </w:r>
    </w:p>
    <w:p w14:paraId="21185481" w14:textId="00A6EE07" w:rsidR="0067614E" w:rsidRPr="002B5FE8" w:rsidRDefault="0067614E" w:rsidP="0067614E">
      <w:pPr>
        <w:spacing w:line="276" w:lineRule="auto"/>
        <w:jc w:val="center"/>
      </w:pPr>
      <w:hyperlink r:id="rId8" w:history="1">
        <w:r w:rsidRPr="0067614E">
          <w:rPr>
            <w:rStyle w:val="Hyperlink"/>
            <w:rFonts w:ascii="TimesNewRomanPSMT" w:eastAsiaTheme="minorHAnsi" w:hAnsi="TimesNewRomanPSMT" w:cs="TimesNewRomanPSMT"/>
            <w:lang w:val="en-US" w:eastAsia="en-US"/>
          </w:rPr>
          <w:t>ECLI:LV:AT:2023:0830.A43008418.10.S</w:t>
        </w:r>
      </w:hyperlink>
    </w:p>
    <w:p w14:paraId="56D8FBC6" w14:textId="77777777" w:rsidR="00027662" w:rsidRPr="002B5FE8" w:rsidRDefault="00027662" w:rsidP="0067614E">
      <w:pPr>
        <w:spacing w:line="276" w:lineRule="auto"/>
        <w:ind w:firstLine="567"/>
        <w:jc w:val="both"/>
        <w:rPr>
          <w:noProof/>
        </w:rPr>
      </w:pPr>
    </w:p>
    <w:p w14:paraId="5D3FB2AB" w14:textId="7D531D2A" w:rsidR="00027662" w:rsidRPr="002B5FE8" w:rsidRDefault="00027662" w:rsidP="0067614E">
      <w:pPr>
        <w:spacing w:line="276" w:lineRule="auto"/>
        <w:ind w:firstLine="720"/>
        <w:contextualSpacing/>
        <w:jc w:val="both"/>
      </w:pPr>
      <w:r w:rsidRPr="002B5FE8">
        <w:t>Senāts šādā sastāvā: senatore</w:t>
      </w:r>
      <w:r>
        <w:t xml:space="preserve"> referente</w:t>
      </w:r>
      <w:r w:rsidRPr="002B5FE8">
        <w:t xml:space="preserve"> Līvija Slica</w:t>
      </w:r>
      <w:r w:rsidRPr="002E4494">
        <w:t>, senator</w:t>
      </w:r>
      <w:r w:rsidR="002E4494" w:rsidRPr="002E4494">
        <w:t>i Ermīns Darapoļskis</w:t>
      </w:r>
      <w:r w:rsidRPr="002E4494">
        <w:t xml:space="preserve"> un Veronika Krūmiņa</w:t>
      </w:r>
    </w:p>
    <w:p w14:paraId="6FB63EDB" w14:textId="77777777" w:rsidR="00027662" w:rsidRPr="002B5FE8" w:rsidRDefault="00027662" w:rsidP="0067614E">
      <w:pPr>
        <w:spacing w:line="276" w:lineRule="auto"/>
        <w:ind w:firstLine="720"/>
        <w:contextualSpacing/>
        <w:jc w:val="both"/>
        <w:rPr>
          <w:noProof/>
        </w:rPr>
      </w:pPr>
    </w:p>
    <w:p w14:paraId="0C2C5E43" w14:textId="29121FD5" w:rsidR="00A138AE" w:rsidRPr="0012741F" w:rsidRDefault="00A138AE" w:rsidP="0067614E">
      <w:pPr>
        <w:spacing w:line="276" w:lineRule="auto"/>
        <w:ind w:firstLine="720"/>
        <w:contextualSpacing/>
        <w:jc w:val="both"/>
        <w:rPr>
          <w:noProof/>
        </w:rPr>
      </w:pPr>
      <w:r w:rsidRPr="0012741F">
        <w:rPr>
          <w:noProof/>
        </w:rPr>
        <w:t>rakstveida procesā izskatīja administratīvo lietu, kas ierosināta, pamatojoties</w:t>
      </w:r>
      <w:r w:rsidR="00237922" w:rsidRPr="0012741F">
        <w:rPr>
          <w:noProof/>
        </w:rPr>
        <w:t xml:space="preserve"> </w:t>
      </w:r>
      <w:r w:rsidR="00A65055" w:rsidRPr="0012741F">
        <w:rPr>
          <w:color w:val="000000"/>
        </w:rPr>
        <w:t xml:space="preserve">uz </w:t>
      </w:r>
      <w:r w:rsidR="00BF043E">
        <w:t>akciju sabiedrība</w:t>
      </w:r>
      <w:r w:rsidR="00EE325D">
        <w:t>s</w:t>
      </w:r>
      <w:r w:rsidR="00BF043E">
        <w:t xml:space="preserve"> „Conexus </w:t>
      </w:r>
      <w:r w:rsidR="00BF043E">
        <w:lastRenderedPageBreak/>
        <w:t>Baltic Grid” pieteikumu par Sabiedrisko pakalpojumu regulēšanas komisijas padomes 2018.gada 28.septembra lēmuma Nr.</w:t>
      </w:r>
      <w:r w:rsidR="00C866B5">
        <w:t> </w:t>
      </w:r>
      <w:r w:rsidR="00BF043E">
        <w:t>112 atcelšanu daļā</w:t>
      </w:r>
      <w:r w:rsidR="00C930F1" w:rsidRPr="0012741F">
        <w:rPr>
          <w:color w:val="000000"/>
        </w:rPr>
        <w:t>,</w:t>
      </w:r>
      <w:r w:rsidR="00C930F1" w:rsidRPr="0012741F">
        <w:rPr>
          <w:bCs/>
          <w:noProof/>
        </w:rPr>
        <w:t xml:space="preserve"> </w:t>
      </w:r>
      <w:r w:rsidRPr="0012741F">
        <w:rPr>
          <w:noProof/>
        </w:rPr>
        <w:t xml:space="preserve">sakarā ar </w:t>
      </w:r>
      <w:r w:rsidR="00340C8B">
        <w:t xml:space="preserve">akciju sabiedrības „Conexus Baltic Grid” </w:t>
      </w:r>
      <w:r w:rsidRPr="00AF77CF">
        <w:rPr>
          <w:noProof/>
        </w:rPr>
        <w:t>kasācijas sūdzīb</w:t>
      </w:r>
      <w:r w:rsidR="00AF77CF" w:rsidRPr="00AF77CF">
        <w:rPr>
          <w:noProof/>
        </w:rPr>
        <w:t>u</w:t>
      </w:r>
      <w:r w:rsidRPr="0012741F">
        <w:rPr>
          <w:noProof/>
        </w:rPr>
        <w:t xml:space="preserve"> par Administratīvās apgabaltiesas </w:t>
      </w:r>
      <w:r w:rsidR="00AF77CF">
        <w:rPr>
          <w:noProof/>
        </w:rPr>
        <w:t>2019</w:t>
      </w:r>
      <w:r w:rsidR="00AF77CF" w:rsidRPr="00920EA3">
        <w:rPr>
          <w:noProof/>
        </w:rPr>
        <w:t xml:space="preserve">.gada </w:t>
      </w:r>
      <w:r w:rsidR="00AF77CF">
        <w:rPr>
          <w:noProof/>
        </w:rPr>
        <w:t>2</w:t>
      </w:r>
      <w:r w:rsidR="00AF77CF" w:rsidRPr="00920EA3">
        <w:rPr>
          <w:noProof/>
        </w:rPr>
        <w:t>.</w:t>
      </w:r>
      <w:r w:rsidR="00AF77CF">
        <w:rPr>
          <w:noProof/>
        </w:rPr>
        <w:t>septembra</w:t>
      </w:r>
      <w:r w:rsidR="00AF77CF" w:rsidRPr="00920EA3">
        <w:rPr>
          <w:noProof/>
        </w:rPr>
        <w:t xml:space="preserve"> </w:t>
      </w:r>
      <w:r w:rsidRPr="0012741F">
        <w:rPr>
          <w:noProof/>
        </w:rPr>
        <w:t>spriedumu.</w:t>
      </w:r>
    </w:p>
    <w:p w14:paraId="1D28D5A8" w14:textId="77777777" w:rsidR="00A138AE" w:rsidRPr="0012741F" w:rsidRDefault="00A138AE" w:rsidP="0067614E">
      <w:pPr>
        <w:spacing w:line="276" w:lineRule="auto"/>
        <w:ind w:firstLine="567"/>
        <w:contextualSpacing/>
        <w:jc w:val="both"/>
        <w:rPr>
          <w:noProof/>
        </w:rPr>
      </w:pPr>
    </w:p>
    <w:p w14:paraId="4299530A" w14:textId="77777777" w:rsidR="00A138AE" w:rsidRPr="0012741F" w:rsidRDefault="00A138AE" w:rsidP="0067614E">
      <w:pPr>
        <w:pStyle w:val="ATvirsraksts"/>
        <w:contextualSpacing/>
        <w:rPr>
          <w:noProof/>
        </w:rPr>
      </w:pPr>
      <w:r w:rsidRPr="0012741F">
        <w:rPr>
          <w:noProof/>
        </w:rPr>
        <w:t>Aprakstošā daļa</w:t>
      </w:r>
    </w:p>
    <w:p w14:paraId="0F138BA4" w14:textId="77777777" w:rsidR="00A138AE" w:rsidRPr="0012741F" w:rsidRDefault="00A138AE" w:rsidP="0067614E">
      <w:pPr>
        <w:spacing w:line="276" w:lineRule="auto"/>
        <w:ind w:firstLine="720"/>
        <w:contextualSpacing/>
        <w:mirrorIndents/>
        <w:jc w:val="both"/>
        <w:rPr>
          <w:noProof/>
        </w:rPr>
      </w:pPr>
    </w:p>
    <w:p w14:paraId="10FC8F2C" w14:textId="3BDE652D" w:rsidR="00F55D19" w:rsidRPr="00F55D19" w:rsidRDefault="00A138AE" w:rsidP="0067614E">
      <w:pPr>
        <w:spacing w:line="276" w:lineRule="auto"/>
        <w:ind w:firstLine="720"/>
        <w:contextualSpacing/>
        <w:jc w:val="both"/>
        <w:rPr>
          <w:color w:val="000000"/>
        </w:rPr>
      </w:pPr>
      <w:r w:rsidRPr="00920EA3">
        <w:rPr>
          <w:noProof/>
        </w:rPr>
        <w:t>[1]</w:t>
      </w:r>
      <w:r w:rsidR="0031024F" w:rsidRPr="00920EA3">
        <w:rPr>
          <w:noProof/>
        </w:rPr>
        <w:t> </w:t>
      </w:r>
      <w:r w:rsidR="00F55D19" w:rsidRPr="00F55D19">
        <w:rPr>
          <w:color w:val="000000"/>
        </w:rPr>
        <w:t xml:space="preserve">Ar </w:t>
      </w:r>
      <w:r w:rsidR="00710BCA">
        <w:rPr>
          <w:color w:val="000000"/>
        </w:rPr>
        <w:t>akciju sabiedrības</w:t>
      </w:r>
      <w:r w:rsidR="00077CE8">
        <w:rPr>
          <w:color w:val="000000"/>
        </w:rPr>
        <w:t> </w:t>
      </w:r>
      <w:r w:rsidR="00F55D19" w:rsidRPr="00F55D19">
        <w:rPr>
          <w:color w:val="000000"/>
        </w:rPr>
        <w:t>„Latvijas Gāze” akcionāru sapulces 2016.gada 22.marta lēmumu tika</w:t>
      </w:r>
      <w:r w:rsidR="00F55D19">
        <w:rPr>
          <w:color w:val="000000"/>
        </w:rPr>
        <w:t xml:space="preserve"> </w:t>
      </w:r>
      <w:r w:rsidR="00F55D19" w:rsidRPr="00F55D19">
        <w:rPr>
          <w:color w:val="000000"/>
        </w:rPr>
        <w:t xml:space="preserve">nolemts reorganizēt </w:t>
      </w:r>
      <w:r w:rsidR="00710BCA">
        <w:rPr>
          <w:color w:val="000000"/>
        </w:rPr>
        <w:t>akciju sabiedrību</w:t>
      </w:r>
      <w:r w:rsidR="00077CE8">
        <w:rPr>
          <w:color w:val="000000"/>
        </w:rPr>
        <w:t> </w:t>
      </w:r>
      <w:r w:rsidR="00F55D19" w:rsidRPr="00F55D19">
        <w:rPr>
          <w:color w:val="000000"/>
        </w:rPr>
        <w:t>„Latvija Gāze”, nodalot no tās jaunu akciju sabiedrību un</w:t>
      </w:r>
      <w:r w:rsidR="00F55D19">
        <w:rPr>
          <w:color w:val="000000"/>
        </w:rPr>
        <w:t xml:space="preserve"> </w:t>
      </w:r>
      <w:r w:rsidR="00F55D19" w:rsidRPr="00F55D19">
        <w:rPr>
          <w:color w:val="000000"/>
        </w:rPr>
        <w:t xml:space="preserve">izveidojot </w:t>
      </w:r>
      <w:r w:rsidR="000B6D32">
        <w:rPr>
          <w:color w:val="000000"/>
        </w:rPr>
        <w:t xml:space="preserve">pārvades </w:t>
      </w:r>
      <w:r w:rsidR="00F55D19" w:rsidRPr="00F55D19">
        <w:rPr>
          <w:color w:val="000000"/>
        </w:rPr>
        <w:t xml:space="preserve">sistēmas operatoru. Pieteicēja </w:t>
      </w:r>
      <w:r w:rsidR="005B2F23">
        <w:rPr>
          <w:color w:val="000000"/>
        </w:rPr>
        <w:t>akciju sabiedrība</w:t>
      </w:r>
      <w:r w:rsidR="00077CE8">
        <w:rPr>
          <w:color w:val="000000"/>
        </w:rPr>
        <w:t> </w:t>
      </w:r>
      <w:r w:rsidR="00F55D19" w:rsidRPr="00F55D19">
        <w:rPr>
          <w:color w:val="000000"/>
        </w:rPr>
        <w:t>„Conexus Baltic Grid” ir nodibināta ar</w:t>
      </w:r>
      <w:r w:rsidR="00F55D19">
        <w:rPr>
          <w:color w:val="000000"/>
        </w:rPr>
        <w:t xml:space="preserve"> </w:t>
      </w:r>
      <w:r w:rsidR="00F55D19" w:rsidRPr="00F55D19">
        <w:rPr>
          <w:color w:val="000000"/>
        </w:rPr>
        <w:t xml:space="preserve">akcionāru sapulces 2016.gada </w:t>
      </w:r>
      <w:r w:rsidR="00F55D19" w:rsidRPr="00F55D19">
        <w:rPr>
          <w:color w:val="000000"/>
        </w:rPr>
        <w:lastRenderedPageBreak/>
        <w:t xml:space="preserve">22.decembra lēmumu, nodalot no </w:t>
      </w:r>
      <w:r w:rsidR="005B2F23">
        <w:rPr>
          <w:color w:val="000000"/>
        </w:rPr>
        <w:t>akciju sabiedrības </w:t>
      </w:r>
      <w:r w:rsidR="00F55D19" w:rsidRPr="00F55D19">
        <w:rPr>
          <w:color w:val="000000"/>
        </w:rPr>
        <w:t>„Latvijas Gāze”</w:t>
      </w:r>
      <w:r w:rsidR="00F55D19">
        <w:rPr>
          <w:color w:val="000000"/>
        </w:rPr>
        <w:t xml:space="preserve"> </w:t>
      </w:r>
      <w:r w:rsidR="00F55D19" w:rsidRPr="00F55D19">
        <w:rPr>
          <w:color w:val="000000"/>
        </w:rPr>
        <w:t>dabasgāzes pārvades un uzglabāšanas infrastruktūru, kā arī citus aktīvus, kas</w:t>
      </w:r>
      <w:r w:rsidR="00F55D19">
        <w:rPr>
          <w:color w:val="000000"/>
        </w:rPr>
        <w:t xml:space="preserve"> </w:t>
      </w:r>
      <w:r w:rsidR="00F55D19" w:rsidRPr="00F55D19">
        <w:rPr>
          <w:color w:val="000000"/>
        </w:rPr>
        <w:t xml:space="preserve">nepieciešami </w:t>
      </w:r>
      <w:r w:rsidR="000B6D32">
        <w:rPr>
          <w:color w:val="000000"/>
        </w:rPr>
        <w:t xml:space="preserve">pārvades </w:t>
      </w:r>
      <w:r w:rsidR="00F55D19" w:rsidRPr="00F55D19">
        <w:rPr>
          <w:color w:val="000000"/>
        </w:rPr>
        <w:t>sistēmas operatora pienākumu veikšanai.</w:t>
      </w:r>
    </w:p>
    <w:p w14:paraId="105D4659" w14:textId="6F760F29" w:rsidR="00F55D19" w:rsidRDefault="00F55D19" w:rsidP="0067614E">
      <w:pPr>
        <w:spacing w:line="276" w:lineRule="auto"/>
        <w:ind w:firstLine="720"/>
        <w:contextualSpacing/>
        <w:jc w:val="both"/>
        <w:rPr>
          <w:color w:val="000000"/>
        </w:rPr>
      </w:pPr>
      <w:r w:rsidRPr="00F55D19">
        <w:rPr>
          <w:color w:val="000000"/>
        </w:rPr>
        <w:t xml:space="preserve">Sabiedrisko pakalpojumu regulēšanas komisija (turpmāk </w:t>
      </w:r>
      <w:bookmarkStart w:id="1" w:name="_Hlk143789464"/>
      <w:r w:rsidRPr="00F55D19">
        <w:rPr>
          <w:color w:val="000000"/>
        </w:rPr>
        <w:t xml:space="preserve">– </w:t>
      </w:r>
      <w:bookmarkEnd w:id="1"/>
      <w:r w:rsidR="002E4494">
        <w:rPr>
          <w:color w:val="000000"/>
        </w:rPr>
        <w:t>r</w:t>
      </w:r>
      <w:r w:rsidRPr="00F55D19">
        <w:rPr>
          <w:color w:val="000000"/>
        </w:rPr>
        <w:t>egulators)</w:t>
      </w:r>
      <w:r>
        <w:rPr>
          <w:color w:val="000000"/>
        </w:rPr>
        <w:t xml:space="preserve"> </w:t>
      </w:r>
      <w:r w:rsidRPr="00F55D19">
        <w:rPr>
          <w:color w:val="000000"/>
        </w:rPr>
        <w:t>2017.gada 5.janvār</w:t>
      </w:r>
      <w:r w:rsidR="003C6D49">
        <w:rPr>
          <w:color w:val="000000"/>
        </w:rPr>
        <w:t>ī</w:t>
      </w:r>
      <w:r w:rsidRPr="00F55D19">
        <w:rPr>
          <w:color w:val="000000"/>
        </w:rPr>
        <w:t xml:space="preserve"> pieteicējai izsnie</w:t>
      </w:r>
      <w:r w:rsidR="003C6D49">
        <w:rPr>
          <w:color w:val="000000"/>
        </w:rPr>
        <w:t>dz</w:t>
      </w:r>
      <w:r w:rsidRPr="00F55D19">
        <w:rPr>
          <w:color w:val="000000"/>
        </w:rPr>
        <w:t>a licenc</w:t>
      </w:r>
      <w:r w:rsidR="007446A8">
        <w:rPr>
          <w:color w:val="000000"/>
        </w:rPr>
        <w:t>i</w:t>
      </w:r>
      <w:r w:rsidRPr="00F55D19">
        <w:rPr>
          <w:color w:val="000000"/>
        </w:rPr>
        <w:t xml:space="preserve"> dabasgāzes</w:t>
      </w:r>
      <w:r>
        <w:rPr>
          <w:color w:val="000000"/>
        </w:rPr>
        <w:t xml:space="preserve"> </w:t>
      </w:r>
      <w:r w:rsidRPr="00F55D19">
        <w:rPr>
          <w:color w:val="000000"/>
        </w:rPr>
        <w:t>pārvadei</w:t>
      </w:r>
      <w:r w:rsidR="003C6D49">
        <w:rPr>
          <w:color w:val="000000"/>
        </w:rPr>
        <w:t xml:space="preserve"> un</w:t>
      </w:r>
      <w:r w:rsidRPr="00F55D19">
        <w:rPr>
          <w:color w:val="000000"/>
        </w:rPr>
        <w:t xml:space="preserve"> licence dabasgāzes uzglabāšanai.</w:t>
      </w:r>
      <w:r w:rsidR="003C6D49">
        <w:rPr>
          <w:color w:val="000000"/>
        </w:rPr>
        <w:t xml:space="preserve"> </w:t>
      </w:r>
      <w:r w:rsidRPr="00F55D19">
        <w:rPr>
          <w:color w:val="000000"/>
        </w:rPr>
        <w:t xml:space="preserve">2018.gada 10.janvārī pieteicēja lūdza </w:t>
      </w:r>
      <w:r w:rsidR="002E4494">
        <w:rPr>
          <w:color w:val="000000"/>
        </w:rPr>
        <w:t>r</w:t>
      </w:r>
      <w:r w:rsidRPr="00F55D19">
        <w:rPr>
          <w:color w:val="000000"/>
        </w:rPr>
        <w:t>egulatoru to sertificēt kā vienoto dabasgāzes</w:t>
      </w:r>
      <w:r>
        <w:rPr>
          <w:color w:val="000000"/>
        </w:rPr>
        <w:t xml:space="preserve"> </w:t>
      </w:r>
      <w:r w:rsidRPr="00F55D19">
        <w:rPr>
          <w:color w:val="000000"/>
        </w:rPr>
        <w:t>pārvades un uzglabāšanas sistēmas operatoru.</w:t>
      </w:r>
    </w:p>
    <w:p w14:paraId="17842261" w14:textId="7443E461" w:rsidR="005B2F23" w:rsidRDefault="005B2F23" w:rsidP="0067614E">
      <w:pPr>
        <w:spacing w:line="276" w:lineRule="auto"/>
        <w:ind w:firstLine="720"/>
        <w:contextualSpacing/>
        <w:jc w:val="both"/>
      </w:pPr>
      <w:r>
        <w:t>Ar 2018.gada 28.septembra lēmumu Nr. 112 (prot. Nr. 41, 5.</w:t>
      </w:r>
      <w:r w:rsidR="00077CE8">
        <w:t> </w:t>
      </w:r>
      <w:r>
        <w:t>p</w:t>
      </w:r>
      <w:r w:rsidR="0045238D">
        <w:t>.</w:t>
      </w:r>
      <w:r>
        <w:t xml:space="preserve">) (turpmāk – pārsūdzētais lēmums) </w:t>
      </w:r>
      <w:r w:rsidR="002E4494">
        <w:t>r</w:t>
      </w:r>
      <w:r>
        <w:t xml:space="preserve">egulators </w:t>
      </w:r>
      <w:r w:rsidR="002E4494">
        <w:t xml:space="preserve">citstarp </w:t>
      </w:r>
      <w:r>
        <w:t>nolēma:</w:t>
      </w:r>
    </w:p>
    <w:p w14:paraId="3537BECC" w14:textId="77777777" w:rsidR="005B2F23" w:rsidRPr="005B2F23" w:rsidRDefault="005B2F23" w:rsidP="0067614E">
      <w:pPr>
        <w:pStyle w:val="ListParagraph"/>
        <w:numPr>
          <w:ilvl w:val="0"/>
          <w:numId w:val="8"/>
        </w:numPr>
        <w:spacing w:line="276" w:lineRule="auto"/>
        <w:ind w:left="0" w:firstLine="720"/>
        <w:jc w:val="both"/>
        <w:rPr>
          <w:color w:val="000000"/>
        </w:rPr>
      </w:pPr>
      <w:r>
        <w:lastRenderedPageBreak/>
        <w:t>sertificēt pieteicēju kā vienoto dabasgāzes pārvades un uzglabāšanas sistēmas operatoru ar šādiem nosacījumiem:</w:t>
      </w:r>
    </w:p>
    <w:p w14:paraId="2505966C" w14:textId="6F27963C" w:rsidR="003A05B2" w:rsidRPr="003A05B2" w:rsidRDefault="005B2F23" w:rsidP="0067614E">
      <w:pPr>
        <w:pStyle w:val="ListParagraph"/>
        <w:numPr>
          <w:ilvl w:val="1"/>
          <w:numId w:val="10"/>
        </w:numPr>
        <w:spacing w:line="276" w:lineRule="auto"/>
        <w:ind w:left="0" w:firstLine="720"/>
        <w:jc w:val="both"/>
        <w:rPr>
          <w:color w:val="000000"/>
        </w:rPr>
      </w:pPr>
      <w:r>
        <w:t>nodrošināt, ka sākot ar 2020.gada 1.janvāri personai, kura kontrolē energoapgādes komersantu, kas nodarbojas ar dabasgāzes tirdzniecību, nav iespēju tieši vai netieši kontrolēt pieteicēju, un nodrošināt, ka pieteicēja 2020.gada 1.janvārī pilnībā atbilst Enerģētikas likuma 111.panta trešās daļas 1. un 2.punktā noteiktajām vienotā dabasgāzes pārvades un uzglabāšanas sistēmas operatora neatkarības prasībām;</w:t>
      </w:r>
    </w:p>
    <w:p w14:paraId="1B786D89" w14:textId="187B7A39" w:rsidR="005B2F23" w:rsidRPr="003A05B2" w:rsidRDefault="005B2F23" w:rsidP="0067614E">
      <w:pPr>
        <w:pStyle w:val="ListParagraph"/>
        <w:numPr>
          <w:ilvl w:val="1"/>
          <w:numId w:val="10"/>
        </w:numPr>
        <w:spacing w:line="276" w:lineRule="auto"/>
        <w:ind w:left="0" w:firstLine="720"/>
        <w:jc w:val="both"/>
        <w:rPr>
          <w:color w:val="000000"/>
        </w:rPr>
      </w:pPr>
      <w:r>
        <w:t>nodrošināt, ka sākot ar 2020.gada 1.janvāri finanšu institūciju un īpašam mērķim dibināto komersantu tieša vai netieša darbība pieteicējai nerada nekādu inter</w:t>
      </w:r>
      <w:r>
        <w:lastRenderedPageBreak/>
        <w:t>ešu konfliktu starp pieteicēju un energoapgādes komersantu, kas nodarbojas ar dabasgāzes vai elektroenerģijas ražošanu vai tirdzniecību, un nodrošināt, ka pieteicēja 2020.gada 1.janvārī pilnībā atbilst Enerģētikas likuma 111.panta trešās daļas 1., 2. un 3.punktā noteiktajām vienotā dabasgāzes pārvades un uzglabāšanas sistēmas operatora neatkarības prasībām</w:t>
      </w:r>
      <w:r w:rsidR="00380E9D">
        <w:t>.</w:t>
      </w:r>
    </w:p>
    <w:p w14:paraId="4D941543" w14:textId="6BD9FE68" w:rsidR="0025637E" w:rsidRPr="005B2F23" w:rsidRDefault="00594760" w:rsidP="0067614E">
      <w:pPr>
        <w:pStyle w:val="ListParagraph"/>
        <w:spacing w:line="276" w:lineRule="auto"/>
        <w:ind w:left="0" w:firstLine="720"/>
        <w:jc w:val="both"/>
        <w:rPr>
          <w:color w:val="000000"/>
        </w:rPr>
      </w:pPr>
      <w:r>
        <w:t>Pārsūdzētajā l</w:t>
      </w:r>
      <w:r w:rsidR="0025637E">
        <w:t>ēmumā norādīts, ka publiskā</w:t>
      </w:r>
      <w:r w:rsidR="00027662">
        <w:t>s</w:t>
      </w:r>
      <w:r w:rsidR="0025637E">
        <w:t xml:space="preserve"> </w:t>
      </w:r>
      <w:r w:rsidR="00752897">
        <w:t>akciju sabiedrība</w:t>
      </w:r>
      <w:r w:rsidR="00027662">
        <w:t>s</w:t>
      </w:r>
      <w:r w:rsidR="0045238D">
        <w:t> </w:t>
      </w:r>
      <w:r w:rsidR="0025637E">
        <w:t xml:space="preserve">„Gazprom” </w:t>
      </w:r>
      <w:r w:rsidR="005B5404">
        <w:t xml:space="preserve">(turpmāk – Gazprom) </w:t>
      </w:r>
      <w:r w:rsidR="0025637E">
        <w:t>un „Marguerite Gas</w:t>
      </w:r>
      <w:r w:rsidR="0045238D">
        <w:t> </w:t>
      </w:r>
      <w:r w:rsidR="0025637E">
        <w:t>I S.a.r.l.” (turpmāk – Marguerite Gas</w:t>
      </w:r>
      <w:r w:rsidR="005865B0">
        <w:t> </w:t>
      </w:r>
      <w:r w:rsidR="0025637E">
        <w:t xml:space="preserve">I) līdzdalība </w:t>
      </w:r>
      <w:r w:rsidR="0045238D">
        <w:t>pieteicējā</w:t>
      </w:r>
      <w:r w:rsidR="0025637E">
        <w:t xml:space="preserve"> ir pretrunā Enerģētikas likuma 111.panta trešās daļas 1., 2. un 3.punkta noteikumiem un Eiropas Parlamenta un Padomes 2009.gada 13.jūlija Direktīvas 2009/73/EK par kopīgiem noteikumiem attiecībā uz da</w:t>
      </w:r>
      <w:r w:rsidR="0025637E">
        <w:lastRenderedPageBreak/>
        <w:t xml:space="preserve">basgāzes iekšējo tirgu un par Direktīvas 2003/55/EK atcelšanu (turpmāk </w:t>
      </w:r>
      <w:r w:rsidR="0025637E" w:rsidRPr="00921E91">
        <w:t xml:space="preserve">– </w:t>
      </w:r>
      <w:r w:rsidR="0045238D" w:rsidRPr="00921E91">
        <w:t>d</w:t>
      </w:r>
      <w:r w:rsidR="0025637E" w:rsidRPr="00921E91">
        <w:t>irektīva 2009/73/EK)</w:t>
      </w:r>
      <w:r w:rsidR="0025637E">
        <w:t xml:space="preserve"> 9.panta 1.punkta „b” un „c”</w:t>
      </w:r>
      <w:r w:rsidR="005865B0">
        <w:t> </w:t>
      </w:r>
      <w:r w:rsidR="0025637E">
        <w:t>apakšpunkta un 2.punkta „a” un „b”</w:t>
      </w:r>
      <w:r w:rsidR="005865B0">
        <w:t> </w:t>
      </w:r>
      <w:r w:rsidR="0025637E">
        <w:t>apakšpunkta nosacījumiem.</w:t>
      </w:r>
    </w:p>
    <w:p w14:paraId="3B47C28A" w14:textId="2EB85133" w:rsidR="00232569" w:rsidRPr="00920EA3" w:rsidRDefault="00232569" w:rsidP="0067614E">
      <w:pPr>
        <w:pStyle w:val="NormalWeb"/>
        <w:spacing w:before="0" w:beforeAutospacing="0" w:after="0" w:afterAutospacing="0" w:line="276" w:lineRule="auto"/>
        <w:ind w:firstLine="720"/>
        <w:contextualSpacing/>
        <w:jc w:val="both"/>
        <w:rPr>
          <w:color w:val="000000"/>
        </w:rPr>
      </w:pPr>
    </w:p>
    <w:p w14:paraId="1377668E" w14:textId="1CEC9500" w:rsidR="00BC59AB" w:rsidRPr="00920EA3" w:rsidRDefault="00232569" w:rsidP="0067614E">
      <w:pPr>
        <w:pStyle w:val="NormalWeb"/>
        <w:spacing w:before="0" w:beforeAutospacing="0" w:after="0" w:afterAutospacing="0" w:line="276" w:lineRule="auto"/>
        <w:ind w:firstLine="720"/>
        <w:contextualSpacing/>
        <w:jc w:val="both"/>
        <w:rPr>
          <w:color w:val="000000"/>
        </w:rPr>
      </w:pPr>
      <w:r w:rsidRPr="00920EA3">
        <w:rPr>
          <w:color w:val="000000"/>
        </w:rPr>
        <w:t>[2] </w:t>
      </w:r>
      <w:r w:rsidR="00A65055" w:rsidRPr="00920EA3">
        <w:rPr>
          <w:color w:val="000000"/>
        </w:rPr>
        <w:t>Pieteicēj</w:t>
      </w:r>
      <w:r w:rsidR="007D3E81">
        <w:rPr>
          <w:color w:val="000000"/>
        </w:rPr>
        <w:t>a</w:t>
      </w:r>
      <w:r w:rsidR="00A65055" w:rsidRPr="00920EA3">
        <w:rPr>
          <w:color w:val="000000"/>
        </w:rPr>
        <w:t xml:space="preserve"> vērsās Administratīvajā </w:t>
      </w:r>
      <w:r w:rsidR="007D3E81">
        <w:rPr>
          <w:color w:val="000000"/>
        </w:rPr>
        <w:t>apgabal</w:t>
      </w:r>
      <w:r w:rsidR="00A65055" w:rsidRPr="00920EA3">
        <w:rPr>
          <w:color w:val="000000"/>
        </w:rPr>
        <w:t xml:space="preserve">tiesā ar pieteikumu par </w:t>
      </w:r>
      <w:r w:rsidR="007652FF" w:rsidRPr="00920EA3">
        <w:rPr>
          <w:color w:val="000000"/>
        </w:rPr>
        <w:t>pārsūdzētā lēmuma</w:t>
      </w:r>
      <w:r w:rsidR="00A65055" w:rsidRPr="00920EA3">
        <w:rPr>
          <w:color w:val="000000"/>
        </w:rPr>
        <w:t xml:space="preserve"> atcelšanu</w:t>
      </w:r>
      <w:r w:rsidR="007D3E81">
        <w:rPr>
          <w:color w:val="000000"/>
        </w:rPr>
        <w:t xml:space="preserve"> </w:t>
      </w:r>
      <w:r w:rsidR="007D3E81">
        <w:t>daļā par lemjošās daļas 1</w:t>
      </w:r>
      <w:r w:rsidR="00D06643">
        <w:t>.</w:t>
      </w:r>
      <w:r w:rsidR="00BB6F5A">
        <w:t>1. un 1.2.apakš</w:t>
      </w:r>
      <w:r w:rsidR="00D06643">
        <w:t>punktā</w:t>
      </w:r>
      <w:r w:rsidR="007D3E81">
        <w:t xml:space="preserve"> ietvertajiem nosacījumiem</w:t>
      </w:r>
      <w:r w:rsidRPr="00920EA3">
        <w:rPr>
          <w:color w:val="000000"/>
        </w:rPr>
        <w:t>.</w:t>
      </w:r>
    </w:p>
    <w:p w14:paraId="78C2F1A4" w14:textId="35405084" w:rsidR="00E63BFE" w:rsidRPr="00920EA3" w:rsidRDefault="00E63BFE" w:rsidP="0067614E">
      <w:pPr>
        <w:spacing w:line="276" w:lineRule="auto"/>
        <w:ind w:firstLine="720"/>
        <w:contextualSpacing/>
        <w:jc w:val="both"/>
      </w:pPr>
    </w:p>
    <w:p w14:paraId="41F4A0C8" w14:textId="3ED72E1E" w:rsidR="0079521F" w:rsidRPr="00920EA3" w:rsidRDefault="0031024F" w:rsidP="0067614E">
      <w:pPr>
        <w:spacing w:line="276" w:lineRule="auto"/>
        <w:ind w:firstLine="720"/>
        <w:contextualSpacing/>
        <w:jc w:val="both"/>
      </w:pPr>
      <w:r w:rsidRPr="00920EA3">
        <w:t>[</w:t>
      </w:r>
      <w:r w:rsidR="00E63BFE" w:rsidRPr="00920EA3">
        <w:t>3</w:t>
      </w:r>
      <w:r w:rsidRPr="00920EA3">
        <w:t>] </w:t>
      </w:r>
      <w:r w:rsidR="0079521F" w:rsidRPr="00920EA3">
        <w:rPr>
          <w:rFonts w:eastAsiaTheme="minorEastAsia"/>
          <w:lang w:eastAsia="en-US"/>
        </w:rPr>
        <w:t>Administratīvā apgabaltiesa</w:t>
      </w:r>
      <w:r w:rsidR="00CD728B" w:rsidRPr="00920EA3">
        <w:rPr>
          <w:rFonts w:eastAsiaTheme="minorEastAsia"/>
          <w:lang w:eastAsia="en-US"/>
        </w:rPr>
        <w:t xml:space="preserve"> ar</w:t>
      </w:r>
      <w:r w:rsidR="0079521F" w:rsidRPr="00920EA3">
        <w:rPr>
          <w:rFonts w:eastAsiaTheme="minorEastAsia"/>
          <w:lang w:eastAsia="en-US"/>
        </w:rPr>
        <w:t xml:space="preserve"> </w:t>
      </w:r>
      <w:r w:rsidR="00581950">
        <w:rPr>
          <w:noProof/>
        </w:rPr>
        <w:t>2019</w:t>
      </w:r>
      <w:r w:rsidR="00BC59AB" w:rsidRPr="00920EA3">
        <w:rPr>
          <w:noProof/>
        </w:rPr>
        <w:t xml:space="preserve">.gada </w:t>
      </w:r>
      <w:r w:rsidR="00581950">
        <w:rPr>
          <w:noProof/>
        </w:rPr>
        <w:t>2</w:t>
      </w:r>
      <w:r w:rsidR="00BC59AB" w:rsidRPr="00920EA3">
        <w:rPr>
          <w:noProof/>
        </w:rPr>
        <w:t>.</w:t>
      </w:r>
      <w:r w:rsidR="00581950">
        <w:rPr>
          <w:noProof/>
        </w:rPr>
        <w:t>septembra</w:t>
      </w:r>
      <w:r w:rsidR="00BC59AB" w:rsidRPr="00920EA3">
        <w:rPr>
          <w:noProof/>
        </w:rPr>
        <w:t xml:space="preserve"> </w:t>
      </w:r>
      <w:r w:rsidR="0079521F" w:rsidRPr="00920EA3">
        <w:rPr>
          <w:rFonts w:eastAsiaTheme="minorEastAsia"/>
          <w:lang w:eastAsia="en-US"/>
        </w:rPr>
        <w:t xml:space="preserve">spriedumu </w:t>
      </w:r>
      <w:r w:rsidR="00581950">
        <w:rPr>
          <w:rFonts w:eastAsiaTheme="minorEastAsia"/>
          <w:lang w:eastAsia="en-US"/>
        </w:rPr>
        <w:t>noraidīja pieteicējas pieteikumu</w:t>
      </w:r>
      <w:r w:rsidR="00BC59AB" w:rsidRPr="00920EA3">
        <w:rPr>
          <w:color w:val="000000"/>
        </w:rPr>
        <w:t>.</w:t>
      </w:r>
      <w:r w:rsidR="00581950">
        <w:rPr>
          <w:color w:val="000000"/>
        </w:rPr>
        <w:t xml:space="preserve"> </w:t>
      </w:r>
      <w:r w:rsidR="00331138" w:rsidRPr="00920EA3">
        <w:t>Apgabaltiesas spriedum</w:t>
      </w:r>
      <w:r w:rsidR="005865B0">
        <w:t>s</w:t>
      </w:r>
      <w:r w:rsidR="00331138" w:rsidRPr="00920EA3">
        <w:t xml:space="preserve"> pamato</w:t>
      </w:r>
      <w:r w:rsidR="005865B0">
        <w:t>ts</w:t>
      </w:r>
      <w:r w:rsidR="00331138" w:rsidRPr="00920EA3">
        <w:t xml:space="preserve"> ar turpmāk </w:t>
      </w:r>
      <w:r w:rsidR="00CA78E7">
        <w:t>minētajiem</w:t>
      </w:r>
      <w:r w:rsidR="00331138" w:rsidRPr="00920EA3">
        <w:t xml:space="preserve"> argumenti</w:t>
      </w:r>
      <w:r w:rsidR="00FA5D03">
        <w:t>em</w:t>
      </w:r>
      <w:r w:rsidR="00582D1D" w:rsidRPr="00920EA3">
        <w:t>.</w:t>
      </w:r>
    </w:p>
    <w:p w14:paraId="21AEFBA6" w14:textId="012374DB" w:rsidR="004271ED" w:rsidRDefault="00D5312D" w:rsidP="0067614E">
      <w:pPr>
        <w:spacing w:line="276" w:lineRule="auto"/>
        <w:ind w:firstLine="720"/>
        <w:contextualSpacing/>
        <w:jc w:val="both"/>
      </w:pPr>
      <w:r w:rsidRPr="00920EA3">
        <w:lastRenderedPageBreak/>
        <w:t>[</w:t>
      </w:r>
      <w:r w:rsidR="00E63BFE" w:rsidRPr="00920EA3">
        <w:t>3</w:t>
      </w:r>
      <w:r w:rsidRPr="00920EA3">
        <w:t>.1] </w:t>
      </w:r>
      <w:r w:rsidR="004271ED">
        <w:t xml:space="preserve">Pieteicējas akcijas pieder: </w:t>
      </w:r>
      <w:r w:rsidR="00752897">
        <w:t>akciju sabiedrībai</w:t>
      </w:r>
      <w:r w:rsidR="007446A8">
        <w:t xml:space="preserve"> </w:t>
      </w:r>
      <w:r w:rsidR="004271ED">
        <w:t>„Augstsprieguma tīkls” 34,36</w:t>
      </w:r>
      <w:r w:rsidR="005865B0">
        <w:t> </w:t>
      </w:r>
      <w:r w:rsidR="004271ED">
        <w:t>%, Gazprom 34,10</w:t>
      </w:r>
      <w:r w:rsidR="005865B0">
        <w:t> </w:t>
      </w:r>
      <w:r w:rsidR="004271ED">
        <w:t>%, Marguerite Gas</w:t>
      </w:r>
      <w:r w:rsidR="0045238D">
        <w:t> </w:t>
      </w:r>
      <w:r w:rsidR="004271ED">
        <w:t>I 29,06</w:t>
      </w:r>
      <w:r w:rsidR="005865B0">
        <w:t> </w:t>
      </w:r>
      <w:r w:rsidR="004271ED">
        <w:t>%</w:t>
      </w:r>
      <w:r w:rsidR="00380E9D">
        <w:t xml:space="preserve"> un</w:t>
      </w:r>
      <w:r w:rsidR="004271ED">
        <w:t xml:space="preserve"> pārējiem akcionāriem (fiziskām un juridiskām personām) 2,48</w:t>
      </w:r>
      <w:r w:rsidR="005865B0">
        <w:t> </w:t>
      </w:r>
      <w:r w:rsidR="004271ED">
        <w:t>%.</w:t>
      </w:r>
    </w:p>
    <w:p w14:paraId="348D131C" w14:textId="0436874A" w:rsidR="00B305EB" w:rsidRPr="00920EA3" w:rsidRDefault="00F60462" w:rsidP="0067614E">
      <w:pPr>
        <w:spacing w:line="276" w:lineRule="auto"/>
        <w:ind w:firstLine="720"/>
        <w:contextualSpacing/>
        <w:jc w:val="both"/>
        <w:rPr>
          <w:color w:val="000000"/>
        </w:rPr>
      </w:pPr>
      <w:r>
        <w:t>[3.2] </w:t>
      </w:r>
      <w:r w:rsidR="00B305EB">
        <w:rPr>
          <w:color w:val="000000"/>
        </w:rPr>
        <w:t>L</w:t>
      </w:r>
      <w:r w:rsidR="00B305EB" w:rsidRPr="00B305EB">
        <w:rPr>
          <w:color w:val="000000"/>
        </w:rPr>
        <w:t>ietā ir strīds par to, vai Enerģētikas likuma 111.panta trešā daļa ir uzskatāma par aizliegumu akcionāram izmantot balsstiesības</w:t>
      </w:r>
      <w:r w:rsidR="00A81283">
        <w:rPr>
          <w:color w:val="000000"/>
        </w:rPr>
        <w:t xml:space="preserve"> un</w:t>
      </w:r>
      <w:r w:rsidR="00B305EB" w:rsidRPr="00B305EB">
        <w:rPr>
          <w:color w:val="000000"/>
        </w:rPr>
        <w:t xml:space="preserve"> vai šāds tiesību ierobežojums ir likumā tieši paredzēts gadījums, kad akcionāra balsstiesības ir ierobežotas (Komerclikuma 280.panta trešā daļa) un kad attiecīgu noteikumu drīkst ietvert </w:t>
      </w:r>
      <w:r w:rsidR="0067544E">
        <w:rPr>
          <w:color w:val="000000"/>
        </w:rPr>
        <w:t>kapitāl</w:t>
      </w:r>
      <w:r w:rsidR="00B305EB" w:rsidRPr="00B305EB">
        <w:rPr>
          <w:color w:val="000000"/>
        </w:rPr>
        <w:t>sabiedrības statūtos (Komerclikuma 144.panta pirmās daļas 9.punkts).</w:t>
      </w:r>
    </w:p>
    <w:p w14:paraId="6DE36C1A" w14:textId="48FDD4D0" w:rsidR="00D84E8E" w:rsidRPr="00920EA3" w:rsidRDefault="006D563D" w:rsidP="0067614E">
      <w:pPr>
        <w:spacing w:line="276" w:lineRule="auto"/>
        <w:ind w:firstLine="720"/>
        <w:contextualSpacing/>
        <w:jc w:val="both"/>
        <w:rPr>
          <w:color w:val="000000"/>
        </w:rPr>
      </w:pPr>
      <w:r w:rsidRPr="00920EA3">
        <w:rPr>
          <w:color w:val="000000"/>
        </w:rPr>
        <w:t>[3.</w:t>
      </w:r>
      <w:r w:rsidR="00F60462">
        <w:rPr>
          <w:color w:val="000000"/>
        </w:rPr>
        <w:t>3</w:t>
      </w:r>
      <w:r w:rsidRPr="00920EA3">
        <w:rPr>
          <w:color w:val="000000"/>
        </w:rPr>
        <w:t>] </w:t>
      </w:r>
      <w:r w:rsidR="00D84E8E">
        <w:t>Regulators savu viedokli pamatojis ar Tieslietu ministrijas un Ekonomikas ministrijas skaidrojum</w:t>
      </w:r>
      <w:r w:rsidR="00E73583">
        <w:t>os</w:t>
      </w:r>
      <w:r w:rsidR="00D84E8E">
        <w:t xml:space="preserve">, kā </w:t>
      </w:r>
      <w:r w:rsidR="00D84E8E">
        <w:lastRenderedPageBreak/>
        <w:t xml:space="preserve">arī Eiropas Komisijas atzinumā norādīto. Savukārt pieteicēja </w:t>
      </w:r>
      <w:r w:rsidR="00A81283">
        <w:t>iesniegusi</w:t>
      </w:r>
      <w:r w:rsidR="008C179D" w:rsidRPr="008C179D">
        <w:t xml:space="preserve"> </w:t>
      </w:r>
      <w:r w:rsidR="0067614E">
        <w:t>[pers. A]</w:t>
      </w:r>
      <w:r w:rsidR="008C179D">
        <w:t xml:space="preserve"> atzinum</w:t>
      </w:r>
      <w:r w:rsidR="00A81283">
        <w:t>u, kas</w:t>
      </w:r>
      <w:r w:rsidR="008C179D">
        <w:t xml:space="preserve"> vērtējams kā </w:t>
      </w:r>
      <w:r w:rsidR="00D84E8E">
        <w:t>daļa no pieteicēja</w:t>
      </w:r>
      <w:r w:rsidR="00D90FEA">
        <w:t>s</w:t>
      </w:r>
      <w:r w:rsidR="00D84E8E">
        <w:t xml:space="preserve"> paskaidrojumiem, kas pamatota ar tiesību speciālista viedokli.</w:t>
      </w:r>
    </w:p>
    <w:p w14:paraId="2D03A91E" w14:textId="047D1536" w:rsidR="00201C55" w:rsidRPr="00387DF4" w:rsidRDefault="003C215C" w:rsidP="0067614E">
      <w:pPr>
        <w:spacing w:line="276" w:lineRule="auto"/>
        <w:ind w:firstLine="720"/>
        <w:contextualSpacing/>
        <w:jc w:val="both"/>
      </w:pPr>
      <w:r w:rsidRPr="00387DF4">
        <w:t>[3.</w:t>
      </w:r>
      <w:r w:rsidR="001253F0">
        <w:t>4</w:t>
      </w:r>
      <w:r w:rsidRPr="00387DF4">
        <w:t>] </w:t>
      </w:r>
      <w:r w:rsidR="00201C55" w:rsidRPr="00387DF4">
        <w:t>Kapitālsabiedrība</w:t>
      </w:r>
      <w:r w:rsidR="009A7565">
        <w:t>s</w:t>
      </w:r>
      <w:r w:rsidR="00201C55" w:rsidRPr="00387DF4">
        <w:t xml:space="preserve"> dalībnieku tiesiskās attiecības regulē sabiedrības dibināšanas līgums, statūti un Komerclikums. </w:t>
      </w:r>
      <w:r w:rsidR="004829C7" w:rsidRPr="001253F0">
        <w:t>D</w:t>
      </w:r>
      <w:r w:rsidR="00201C55" w:rsidRPr="001253F0">
        <w:t xml:space="preserve">alībnieku līgumam ir saistību tiesību raksturs un tas ir saistošs vienīgi līdzējiem, šāds līgums nekļūst par daļu no </w:t>
      </w:r>
      <w:r w:rsidR="00FA5D03" w:rsidRPr="001253F0">
        <w:t>komerc</w:t>
      </w:r>
      <w:r w:rsidR="00201C55" w:rsidRPr="001253F0">
        <w:t>sabiedrības korporatīvās pārvaldes dokumentiem (kā, piemēram, statūti un dibināšanas līgums), un nav saistošs daļu ieguvējiem, sabiedrībai un dalībniekiem, kas nav pievienojušies šim līgumam.</w:t>
      </w:r>
    </w:p>
    <w:p w14:paraId="1B11C080" w14:textId="47861F18" w:rsidR="004829C7" w:rsidRDefault="00201C55" w:rsidP="0067614E">
      <w:pPr>
        <w:spacing w:line="276" w:lineRule="auto"/>
        <w:ind w:firstLine="720"/>
        <w:contextualSpacing/>
        <w:jc w:val="both"/>
      </w:pPr>
      <w:r w:rsidRPr="00387DF4">
        <w:t>Apstāklis, vai ir noslēgts dalībnieku (akcionāru) līgums (kura esību konkrētajā gadījumā iestāde ir tikai pre</w:t>
      </w:r>
      <w:r w:rsidRPr="00387DF4">
        <w:lastRenderedPageBreak/>
        <w:t xml:space="preserve">zumējusi), nekādā veidā neietekmē strīda jautājumu </w:t>
      </w:r>
      <w:r w:rsidRPr="00524CDD">
        <w:t>– kādas tiesiskās sekas rada tieši kapitālsabiedrības statūtos ietvertā akcionāra atteikšanās īstenot jebkuras akcionāra tiesības, izņemot tiesības saņemt dividendes un likvidācijas kvotu.</w:t>
      </w:r>
    </w:p>
    <w:p w14:paraId="1A395DE7" w14:textId="1A4D59B1" w:rsidR="00201C55" w:rsidRPr="00920EA3" w:rsidRDefault="00936926" w:rsidP="0067614E">
      <w:pPr>
        <w:spacing w:line="276" w:lineRule="auto"/>
        <w:ind w:firstLine="720"/>
        <w:contextualSpacing/>
        <w:jc w:val="both"/>
        <w:rPr>
          <w:color w:val="000000"/>
        </w:rPr>
      </w:pPr>
      <w:r w:rsidRPr="00920EA3">
        <w:t>[3.</w:t>
      </w:r>
      <w:r w:rsidR="00524CDD">
        <w:t>5</w:t>
      </w:r>
      <w:r w:rsidRPr="00920EA3">
        <w:t>] </w:t>
      </w:r>
      <w:r w:rsidR="00D831FD">
        <w:rPr>
          <w:color w:val="000000"/>
        </w:rPr>
        <w:t>P</w:t>
      </w:r>
      <w:r w:rsidR="00201C55">
        <w:t xml:space="preserve">ersonai, kura kā akcionārs ir ierakstīta akcionāru reģistrā, ir no vārda akcijas izrietošās tiesības uz līdzdalību </w:t>
      </w:r>
      <w:r w:rsidR="00695883">
        <w:t>komerc</w:t>
      </w:r>
      <w:r w:rsidR="00201C55">
        <w:t xml:space="preserve">sabiedrības pamatkapitālā (balsstiesības), tostarp tiesības piedalīties </w:t>
      </w:r>
      <w:r w:rsidR="00695883">
        <w:t>komerc</w:t>
      </w:r>
      <w:r w:rsidR="00201C55">
        <w:t>sabiedrības pārvaldē, saņemt dividendi un likvidācijas kvotu.</w:t>
      </w:r>
      <w:r w:rsidR="00201C55" w:rsidRPr="00201C55">
        <w:t xml:space="preserve"> </w:t>
      </w:r>
      <w:r w:rsidR="00695883">
        <w:t>No akcijas</w:t>
      </w:r>
      <w:r w:rsidR="00201C55">
        <w:t xml:space="preserve"> izrietošās balsstiesības ir neatņemama attiecīgo tiesību uz īpašumu sastāvdaļa. Tomēr balsstiesības iespējams ierobežot, tāpat kā cita veida īpašuma tiesības.</w:t>
      </w:r>
      <w:r w:rsidR="00760E6C">
        <w:t xml:space="preserve"> Attiecīgam ierobežojumam jābūt noteiktam skaidri un nepārprotami.</w:t>
      </w:r>
    </w:p>
    <w:p w14:paraId="7365F059" w14:textId="501F3C3C" w:rsidR="006D3D5A" w:rsidRDefault="00BE4F67" w:rsidP="0067614E">
      <w:pPr>
        <w:spacing w:line="276" w:lineRule="auto"/>
        <w:ind w:firstLine="720"/>
        <w:contextualSpacing/>
        <w:jc w:val="both"/>
      </w:pPr>
      <w:r w:rsidRPr="00920EA3">
        <w:rPr>
          <w:color w:val="000000"/>
        </w:rPr>
        <w:lastRenderedPageBreak/>
        <w:t>[3.</w:t>
      </w:r>
      <w:r w:rsidR="00524CDD">
        <w:rPr>
          <w:color w:val="000000"/>
        </w:rPr>
        <w:t>6</w:t>
      </w:r>
      <w:r w:rsidRPr="00920EA3">
        <w:rPr>
          <w:color w:val="000000"/>
        </w:rPr>
        <w:t>] </w:t>
      </w:r>
      <w:r w:rsidR="00257CAA">
        <w:rPr>
          <w:color w:val="000000"/>
        </w:rPr>
        <w:t>A</w:t>
      </w:r>
      <w:r w:rsidR="006D3D5A">
        <w:t>tšķirībā no speciālajām tiesību normām, kas tieši noteic aizliegumu akcionāram izmantot balsstiesības, kā arī noteic principus, pēc kuriem tādā gadījumā tiek aprēķināts balsstiesīgo akciju skaits, Enerģētikas likuma 111.panta trešā daļa</w:t>
      </w:r>
      <w:r w:rsidR="00387DF4">
        <w:t xml:space="preserve"> </w:t>
      </w:r>
      <w:r w:rsidR="006D3D5A">
        <w:t>ir formulēta atšķirīgi. Tā noteic apstākļus, pastāvot kuriem pārvades</w:t>
      </w:r>
      <w:r w:rsidR="00685327">
        <w:t xml:space="preserve"> sistēmas</w:t>
      </w:r>
      <w:r w:rsidR="006D3D5A">
        <w:t xml:space="preserve"> operators var tikt sertificēts. Minētā tiesību norma noteic </w:t>
      </w:r>
      <w:r w:rsidR="000B21DA">
        <w:t>r</w:t>
      </w:r>
      <w:r w:rsidR="006D3D5A">
        <w:t>egulatora pārbaudes apjomu, nevis balsstiesību ierobežojumu.</w:t>
      </w:r>
      <w:r w:rsidR="00685327">
        <w:t xml:space="preserve"> Š</w:t>
      </w:r>
      <w:r w:rsidR="006D3D5A">
        <w:t>ī tiesību norma arī nenoteic sekas, kādas iestājas balsstiesību neizmantošanas rezultātā. Šādā situācijā, pat ja persona labprātīgi apņemas neizmantot balsstiesības, akcionāru sapulces lemtspēja ir ierobežota.</w:t>
      </w:r>
    </w:p>
    <w:p w14:paraId="7E1047C9" w14:textId="0B677B26" w:rsidR="006D3D5A" w:rsidRPr="00920EA3" w:rsidRDefault="004E142C" w:rsidP="0067614E">
      <w:pPr>
        <w:spacing w:line="276" w:lineRule="auto"/>
        <w:ind w:firstLine="720"/>
        <w:contextualSpacing/>
        <w:jc w:val="both"/>
        <w:rPr>
          <w:color w:val="000000"/>
        </w:rPr>
      </w:pPr>
      <w:r>
        <w:t>N</w:t>
      </w:r>
      <w:r w:rsidR="006D3D5A">
        <w:t>epastāvot likumā noteiktajiem izņēmuma gadījumiem, visas akcijas ir balsstiesīgas</w:t>
      </w:r>
      <w:r w:rsidR="00AA256C">
        <w:t>.</w:t>
      </w:r>
      <w:r w:rsidR="006D3D5A">
        <w:t xml:space="preserve"> </w:t>
      </w:r>
      <w:r w:rsidR="00236544">
        <w:t>J</w:t>
      </w:r>
      <w:r w:rsidR="000B21DA">
        <w:t>a</w:t>
      </w:r>
      <w:r w:rsidR="006D3D5A">
        <w:t xml:space="preserve"> akcionāru sapulcē nepiedal</w:t>
      </w:r>
      <w:r w:rsidR="000B21DA">
        <w:t>ā</w:t>
      </w:r>
      <w:r w:rsidR="006D3D5A">
        <w:t>s Gazprom, pārējo akcionāru pārstāvētais balsstiesīgais kapitāls (65,9</w:t>
      </w:r>
      <w:r w:rsidR="00C866B5">
        <w:t> </w:t>
      </w:r>
      <w:r w:rsidR="006D3D5A">
        <w:t xml:space="preserve">%) neveido nepieciešamās trīs ceturtdaļas no balsstiesīgā kapitāla, lai akcionāru sapulce būtu tiesīga pieņemt lēmumus svarīgos jautājumos. Attiecīgi Gazprom var izmantot tiesības apstrīdēt šādu akcionāru sapulces lēmumu. Šādos apstākļos nav izslēgta iespēja </w:t>
      </w:r>
      <w:r w:rsidR="00191DF9">
        <w:t>Gazprom kā</w:t>
      </w:r>
      <w:r w:rsidR="006D3D5A">
        <w:t xml:space="preserve"> akcionāram ietekmēt lēmumus sabiedrībai svarīgos jautājumos.</w:t>
      </w:r>
    </w:p>
    <w:p w14:paraId="29E17E30" w14:textId="6A22DC32" w:rsidR="006D3D5A" w:rsidRDefault="009C6FBD" w:rsidP="0067614E">
      <w:pPr>
        <w:spacing w:line="276" w:lineRule="auto"/>
        <w:ind w:firstLine="720"/>
        <w:contextualSpacing/>
        <w:jc w:val="both"/>
      </w:pPr>
      <w:r w:rsidRPr="00920EA3">
        <w:rPr>
          <w:color w:val="000000"/>
        </w:rPr>
        <w:t>[3.</w:t>
      </w:r>
      <w:r w:rsidR="00191DF9">
        <w:rPr>
          <w:color w:val="000000"/>
        </w:rPr>
        <w:t>7</w:t>
      </w:r>
      <w:r w:rsidRPr="00920EA3">
        <w:rPr>
          <w:color w:val="000000"/>
        </w:rPr>
        <w:t>] </w:t>
      </w:r>
      <w:r w:rsidR="00B32849">
        <w:rPr>
          <w:color w:val="000000"/>
        </w:rPr>
        <w:t>G</w:t>
      </w:r>
      <w:r w:rsidR="006D3D5A">
        <w:t xml:space="preserve">azprom nav no likuma (un attiecīgi – statūtiem) izrietoša aizlieguma izmantot balsstiesības un tiesības iecelt padomes locekļus. Līdz ar to šāda Gazprom līdzdalība </w:t>
      </w:r>
      <w:r w:rsidR="00AA256C">
        <w:t>pieteicējā</w:t>
      </w:r>
      <w:r w:rsidR="006D3D5A">
        <w:t xml:space="preserve"> neatbilst Enerģētikas likuma 111.panta trešās daļas 1. un 2.punktā noteiktajām neatkarības prasībām</w:t>
      </w:r>
      <w:r w:rsidR="00191DF9">
        <w:t>.</w:t>
      </w:r>
      <w:r w:rsidR="006D3D5A">
        <w:t xml:space="preserve"> </w:t>
      </w:r>
      <w:r w:rsidR="00191DF9">
        <w:t>S</w:t>
      </w:r>
      <w:r w:rsidR="006D3D5A">
        <w:t xml:space="preserve">ecīgi pastāv šķēršļi, lai </w:t>
      </w:r>
      <w:r w:rsidR="00017D27">
        <w:t>pieteicēja</w:t>
      </w:r>
      <w:r w:rsidR="006D3D5A">
        <w:t xml:space="preserve"> tiktu sertificēt</w:t>
      </w:r>
      <w:r w:rsidR="00017D27">
        <w:t>a</w:t>
      </w:r>
      <w:r w:rsidR="006D3D5A">
        <w:t xml:space="preserve"> kā </w:t>
      </w:r>
      <w:r w:rsidR="002D4474">
        <w:t xml:space="preserve">vienotais dabasgāzes pārvades un uzglabāšanas </w:t>
      </w:r>
      <w:r w:rsidR="006D3D5A">
        <w:t>sistēmas operators.</w:t>
      </w:r>
    </w:p>
    <w:p w14:paraId="554A6B46" w14:textId="2D2AEBF3" w:rsidR="006D3D5A" w:rsidRDefault="006D3D5A" w:rsidP="0067614E">
      <w:pPr>
        <w:spacing w:line="276" w:lineRule="auto"/>
        <w:ind w:firstLine="720"/>
        <w:contextualSpacing/>
        <w:jc w:val="both"/>
      </w:pPr>
      <w:r>
        <w:t>Ievērojot minēto, pārsūdzētais lēmums jautājumā par Gazprom kā pieteicējas akcionāru ir pamatots un tiesisks.</w:t>
      </w:r>
    </w:p>
    <w:p w14:paraId="3CE48DE9" w14:textId="0D53F931" w:rsidR="005B5404" w:rsidRDefault="00EB1244" w:rsidP="0067614E">
      <w:pPr>
        <w:spacing w:line="276" w:lineRule="auto"/>
        <w:ind w:firstLine="720"/>
        <w:contextualSpacing/>
        <w:jc w:val="both"/>
      </w:pPr>
      <w:r w:rsidRPr="00920EA3">
        <w:rPr>
          <w:color w:val="000000"/>
        </w:rPr>
        <w:t>[3.</w:t>
      </w:r>
      <w:r w:rsidR="00191DF9">
        <w:rPr>
          <w:color w:val="000000"/>
        </w:rPr>
        <w:t>8</w:t>
      </w:r>
      <w:r w:rsidRPr="00920EA3">
        <w:rPr>
          <w:color w:val="000000"/>
        </w:rPr>
        <w:t>]</w:t>
      </w:r>
      <w:r w:rsidR="00257CAA">
        <w:rPr>
          <w:color w:val="000000"/>
        </w:rPr>
        <w:t> </w:t>
      </w:r>
      <w:r w:rsidR="005B5404">
        <w:t>Regulators uzskata, ka pieteicējas akcionārs Marguerite Gas</w:t>
      </w:r>
      <w:r w:rsidR="00AA256C">
        <w:t> </w:t>
      </w:r>
      <w:r w:rsidR="005B5404">
        <w:t xml:space="preserve">I un </w:t>
      </w:r>
      <w:r w:rsidR="00752897">
        <w:t>akciju sabiedrība</w:t>
      </w:r>
      <w:r w:rsidR="00257CAA">
        <w:t>s</w:t>
      </w:r>
      <w:r w:rsidR="005B5404">
        <w:t> „Latvija Gāze” akcionārs Marguerite Gas</w:t>
      </w:r>
      <w:r w:rsidR="00AA256C">
        <w:t> </w:t>
      </w:r>
      <w:r w:rsidR="005B5404">
        <w:t>II ir savstarpēji saistīti. Marguerite Gas</w:t>
      </w:r>
      <w:r w:rsidR="00AA256C">
        <w:t> </w:t>
      </w:r>
      <w:r w:rsidR="005B5404">
        <w:t xml:space="preserve">I akciju turētājs ir „Marguerite </w:t>
      </w:r>
      <w:r w:rsidR="005B5404" w:rsidRPr="00B4140D">
        <w:t>Holdings S.a.r.l.” (turpmāk – Marguerite Holdings), kuru kontrolē „2020 European Fund for Energy, Climate Change and Infrastructure” (turpmāk – Marguerite Fund</w:t>
      </w:r>
      <w:r w:rsidR="00B32849" w:rsidRPr="00B4140D">
        <w:t>)</w:t>
      </w:r>
      <w:r w:rsidR="005B5404" w:rsidRPr="00B4140D">
        <w:t xml:space="preserve"> – specializēts investīciju fonds, kura uzraudzību veic Luksemburgas finanšu un kapitāla tirgus uzraudzības institūcija. Marguerite Holdings ir Marguerite Fund aktīvu pārvaldīšanas vajadzībām</w:t>
      </w:r>
      <w:r w:rsidR="005B5404">
        <w:t xml:space="preserve"> nodibināta sabiedrība. Marguerite Fund pastarpināti, caur Marguerite Holdings un Marguerite Gas</w:t>
      </w:r>
      <w:r w:rsidR="00AA256C">
        <w:t> </w:t>
      </w:r>
      <w:r w:rsidR="005B5404">
        <w:t>II, pieder 28,97</w:t>
      </w:r>
      <w:r w:rsidR="00C866B5">
        <w:t> </w:t>
      </w:r>
      <w:r w:rsidR="005B5404">
        <w:t xml:space="preserve">% </w:t>
      </w:r>
      <w:r w:rsidR="00752897">
        <w:t>akciju sabiedrības</w:t>
      </w:r>
      <w:r w:rsidR="005B5404">
        <w:t> „Latvijas Gāze” akcij</w:t>
      </w:r>
      <w:r w:rsidR="00D70A56">
        <w:t>u</w:t>
      </w:r>
      <w:r w:rsidR="005B5404">
        <w:t>.</w:t>
      </w:r>
    </w:p>
    <w:p w14:paraId="487B1894" w14:textId="756B9F2F" w:rsidR="00EA75E8" w:rsidRDefault="00EA75E8" w:rsidP="0067614E">
      <w:pPr>
        <w:spacing w:line="276" w:lineRule="auto"/>
        <w:ind w:firstLine="720"/>
        <w:contextualSpacing/>
        <w:jc w:val="both"/>
      </w:pPr>
      <w:r>
        <w:t>Gan Marguerite Gas</w:t>
      </w:r>
      <w:r w:rsidR="00D70A56">
        <w:t> </w:t>
      </w:r>
      <w:r>
        <w:t>I, gan Marguerite Gas</w:t>
      </w:r>
      <w:r w:rsidR="00D70A56">
        <w:t> </w:t>
      </w:r>
      <w:r>
        <w:t xml:space="preserve">II attiecīgajos energoapgādes komersantos ir pilntiesīgs akcionārs ar visām tam piemītošajām tiesībām, tostarp piedalīties akcionāru sapulcēs un balsot, iecelt šo komersantu padomi un valdi. </w:t>
      </w:r>
      <w:r w:rsidR="00547B15">
        <w:t>Pastāv i</w:t>
      </w:r>
      <w:r w:rsidR="00F343B8" w:rsidRPr="00CA66DD">
        <w:t>nterešu konflikta risks un potenciāls stimuls ietekmēt pieteicējas darbību par labu akciju sabiedrībai „Latvijas Gāze”, jo a</w:t>
      </w:r>
      <w:r w:rsidRPr="00CA66DD">
        <w:t>bi energoapgādes komersanti darbojas vienā ģeogrāfiskā teritorijā, vienā nozarē un ir savstarpēji cieši saistīti.</w:t>
      </w:r>
    </w:p>
    <w:p w14:paraId="7A020EF4" w14:textId="7C729484" w:rsidR="00191DF9" w:rsidRDefault="00EA75E8" w:rsidP="0067614E">
      <w:pPr>
        <w:spacing w:line="276" w:lineRule="auto"/>
        <w:ind w:firstLine="720"/>
        <w:contextualSpacing/>
        <w:jc w:val="both"/>
      </w:pPr>
      <w:r>
        <w:t>Marguerite Gas</w:t>
      </w:r>
      <w:r w:rsidR="00CA66DD">
        <w:t> </w:t>
      </w:r>
      <w:r>
        <w:t>I ir iespējams ietekmēt pieteicēja</w:t>
      </w:r>
      <w:r w:rsidR="00F343B8">
        <w:t>s</w:t>
      </w:r>
      <w:r>
        <w:t xml:space="preserve"> akcionāru sapulcēs pieņemtos lēmumus, kā arī iespējams radīt bezizejas stāvokli pieteicējas statūtu 7.9.</w:t>
      </w:r>
      <w:r w:rsidR="00CA66DD">
        <w:t>apakš</w:t>
      </w:r>
      <w:r>
        <w:t>punktā minēto svarīgu lēmumu pieņemšanas procesā. Ievērojot Marguerite Gas</w:t>
      </w:r>
      <w:r w:rsidR="00CA66DD">
        <w:t> </w:t>
      </w:r>
      <w:r>
        <w:t>I piederošo akciju skaitu un kopējo pieteicējas akcionāru struktūru, Marguerite Gas</w:t>
      </w:r>
      <w:r w:rsidR="00CA66DD">
        <w:t> </w:t>
      </w:r>
      <w:r>
        <w:t xml:space="preserve">I apvienošanās balsojumā ar Gazprom vai </w:t>
      </w:r>
      <w:r w:rsidR="00204B1B">
        <w:t>akciju sabiedrību</w:t>
      </w:r>
      <w:r>
        <w:t> „Augstsprieguma tīkls” rezultātā šiem akcionāriem dos balsu vairākumu, tādējādi veidojot kopīgu kontroli. Īpaši stimuls balsot vienādi un veidot kopīgu kontroli ir Marguerite Gas</w:t>
      </w:r>
      <w:r w:rsidR="00CA66DD">
        <w:t> </w:t>
      </w:r>
      <w:r>
        <w:t xml:space="preserve">I un Gazprom, jo abi komersanti ir </w:t>
      </w:r>
      <w:r w:rsidR="00204B1B">
        <w:t>akciju sabiedrības</w:t>
      </w:r>
      <w:r>
        <w:t> „Latvijas Gāze” akcionāri un tiem ir stimuls nodrošināt stratēģisko lēmumu pieņemšanu sava tirgotāja interesēs.</w:t>
      </w:r>
    </w:p>
    <w:p w14:paraId="6F7B4176" w14:textId="1044B1A0" w:rsidR="00EA75E8" w:rsidRPr="00920EA3" w:rsidRDefault="00191DF9" w:rsidP="0067614E">
      <w:pPr>
        <w:spacing w:line="276" w:lineRule="auto"/>
        <w:ind w:firstLine="720"/>
        <w:contextualSpacing/>
        <w:jc w:val="both"/>
        <w:rPr>
          <w:color w:val="000000"/>
        </w:rPr>
      </w:pPr>
      <w:r>
        <w:t>P</w:t>
      </w:r>
      <w:r w:rsidR="00EA75E8">
        <w:t>ieteicējas padomes izvēlē piedalās Marguerite Gas</w:t>
      </w:r>
      <w:r w:rsidR="00CA66DD">
        <w:t> </w:t>
      </w:r>
      <w:r w:rsidR="00EA75E8">
        <w:t xml:space="preserve">I, kurai ir iespējams netiešā veidā caur </w:t>
      </w:r>
      <w:r w:rsidR="00204B1B">
        <w:t>akciju sabiedrības</w:t>
      </w:r>
      <w:r w:rsidR="00EA75E8">
        <w:t> „Latvijas Gāze” akcionāru Marguerite Gas</w:t>
      </w:r>
      <w:r w:rsidR="00CA66DD">
        <w:t> </w:t>
      </w:r>
      <w:r w:rsidR="00EA75E8">
        <w:t xml:space="preserve">II iecelt </w:t>
      </w:r>
      <w:r w:rsidR="00204B1B">
        <w:t>akciju sabiedrības</w:t>
      </w:r>
      <w:r w:rsidR="00EA75E8">
        <w:t> „Latvijas Gāze” padomes locekļus. Pat tad, ja Maguerite Gas</w:t>
      </w:r>
      <w:r w:rsidR="00CA66DD">
        <w:t> </w:t>
      </w:r>
      <w:r w:rsidR="00EA75E8">
        <w:t xml:space="preserve">I kā pieteicējas akcionārs neizmantotu nekādas tiesības, </w:t>
      </w:r>
      <w:r w:rsidR="00204B1B">
        <w:t>akciju sabiedrības</w:t>
      </w:r>
      <w:r w:rsidR="00EA75E8">
        <w:t> „Latvijas Gāze” intereses pieteicēj</w:t>
      </w:r>
      <w:r w:rsidR="00B06A93">
        <w:t>ā</w:t>
      </w:r>
      <w:r w:rsidR="00EA75E8">
        <w:t xml:space="preserve"> tiktu pārstāvētas netieši – ar padomes locekļu starpniecību, kas norāda uz interešu konfliktu.</w:t>
      </w:r>
    </w:p>
    <w:p w14:paraId="190BFFB1" w14:textId="6D92B495" w:rsidR="00EA75E8" w:rsidRPr="00920EA3" w:rsidRDefault="00124BF4" w:rsidP="0067614E">
      <w:pPr>
        <w:spacing w:line="276" w:lineRule="auto"/>
        <w:ind w:firstLine="720"/>
        <w:contextualSpacing/>
        <w:jc w:val="both"/>
        <w:rPr>
          <w:color w:val="000000"/>
        </w:rPr>
      </w:pPr>
      <w:r w:rsidRPr="00920EA3">
        <w:rPr>
          <w:color w:val="000000"/>
        </w:rPr>
        <w:t>[3.</w:t>
      </w:r>
      <w:r w:rsidR="00B06A93">
        <w:rPr>
          <w:color w:val="000000"/>
        </w:rPr>
        <w:t>9</w:t>
      </w:r>
      <w:r w:rsidRPr="00920EA3">
        <w:rPr>
          <w:color w:val="000000"/>
        </w:rPr>
        <w:t>] </w:t>
      </w:r>
      <w:r w:rsidR="00EA75E8">
        <w:t>Regulators pamatoti, atsaucoties arī uz Eiropas Komisijas atzinumā norādīto, secināja, ka nav pieļaujams automātiski konstatēt, ka finanšu investora darbība nerada nekādu interešu konfliktu starp pārvades sistēmas operatoru un energoapgādes komersantu, kas nodarbojas ar dabasgāzes ražošanu vai tirdzniecību. Novērtējumam jābalstās uz katra konkrētā gadījuma individuālu novērtējumu sertificēšanas procesā.</w:t>
      </w:r>
    </w:p>
    <w:p w14:paraId="3B22C401" w14:textId="77777777" w:rsidR="00B06A93" w:rsidRPr="00B4140D" w:rsidRDefault="008A6633" w:rsidP="0067614E">
      <w:pPr>
        <w:spacing w:line="276" w:lineRule="auto"/>
        <w:ind w:firstLine="720"/>
        <w:contextualSpacing/>
        <w:jc w:val="both"/>
      </w:pPr>
      <w:r w:rsidRPr="00920EA3">
        <w:rPr>
          <w:color w:val="000000"/>
        </w:rPr>
        <w:t>[3.1</w:t>
      </w:r>
      <w:r w:rsidR="00B06A93">
        <w:rPr>
          <w:color w:val="000000"/>
        </w:rPr>
        <w:t>0</w:t>
      </w:r>
      <w:r w:rsidRPr="00920EA3">
        <w:rPr>
          <w:color w:val="000000"/>
        </w:rPr>
        <w:t>] </w:t>
      </w:r>
      <w:r w:rsidR="00EA75E8">
        <w:t>Pieteicēja uzskata, ka Marguerite Gas</w:t>
      </w:r>
      <w:r w:rsidR="00CA66DD">
        <w:t> </w:t>
      </w:r>
      <w:r w:rsidR="00EA75E8">
        <w:t xml:space="preserve">I nepastāv ne vienpersoniska, ne kopīga kontrole ne </w:t>
      </w:r>
      <w:r w:rsidR="00CA66DD">
        <w:t>pieteicējā</w:t>
      </w:r>
      <w:r w:rsidR="00EA75E8">
        <w:t xml:space="preserve">, ne </w:t>
      </w:r>
      <w:r w:rsidR="00204B1B">
        <w:t>akciju sabiedrībā</w:t>
      </w:r>
      <w:r w:rsidR="00EA75E8">
        <w:t xml:space="preserve"> „Latvijas Gāze” </w:t>
      </w:r>
      <w:r w:rsidR="00437DEC">
        <w:t>d</w:t>
      </w:r>
      <w:r w:rsidR="00EA75E8">
        <w:t xml:space="preserve">irektīvas </w:t>
      </w:r>
      <w:r w:rsidR="00733598">
        <w:t xml:space="preserve">2009/73/EK </w:t>
      </w:r>
      <w:r w:rsidR="00EA75E8">
        <w:t xml:space="preserve">izpratnē. Ņemot vērā, ka Direktīvā </w:t>
      </w:r>
      <w:r w:rsidR="00733598">
        <w:t xml:space="preserve">2009/73/EK </w:t>
      </w:r>
      <w:r w:rsidR="00EA75E8">
        <w:t xml:space="preserve">lietoto terminu definīcijas ir pārņemtas </w:t>
      </w:r>
      <w:r w:rsidR="00EA75E8" w:rsidRPr="00B4140D">
        <w:t xml:space="preserve">no </w:t>
      </w:r>
      <w:r w:rsidR="009F6D6C" w:rsidRPr="00B4140D">
        <w:t>Padomes Regulas (EK) Nr.</w:t>
      </w:r>
      <w:r w:rsidR="00522E45" w:rsidRPr="00B4140D">
        <w:t> </w:t>
      </w:r>
      <w:r w:rsidR="009F6D6C" w:rsidRPr="00B4140D">
        <w:t>139/2004 par kontroli pār uzņēmumu koncentrāciju (turpmāk –</w:t>
      </w:r>
      <w:r w:rsidR="00522E45" w:rsidRPr="00B4140D">
        <w:t xml:space="preserve"> </w:t>
      </w:r>
      <w:r w:rsidR="00EA75E8" w:rsidRPr="00B4140D">
        <w:t>Apvienošanās regula</w:t>
      </w:r>
      <w:r w:rsidR="009F6D6C" w:rsidRPr="00B4140D">
        <w:t>)</w:t>
      </w:r>
      <w:r w:rsidR="00EA75E8" w:rsidRPr="00B4140D">
        <w:t xml:space="preserve">, pieteicēja atsaucas uz Komisijas konsolidēto jurisdikcijas paziņojumu saskaņā ar </w:t>
      </w:r>
      <w:r w:rsidR="00522460" w:rsidRPr="00B4140D">
        <w:t xml:space="preserve">Apvienošanās regulu </w:t>
      </w:r>
      <w:r w:rsidR="00EA75E8" w:rsidRPr="00B4140D">
        <w:t>(turpmāk – Piemērošanas noteikumi), īpaši tā 58., 74.–76.</w:t>
      </w:r>
      <w:r w:rsidR="00522460" w:rsidRPr="00B4140D">
        <w:t xml:space="preserve"> un</w:t>
      </w:r>
      <w:r w:rsidR="00EA75E8" w:rsidRPr="00B4140D">
        <w:t xml:space="preserve"> 79.p</w:t>
      </w:r>
      <w:r w:rsidR="00B06A93" w:rsidRPr="00B4140D">
        <w:t>unktu.</w:t>
      </w:r>
    </w:p>
    <w:p w14:paraId="7D31276F" w14:textId="5FFD992B" w:rsidR="00522E45" w:rsidRDefault="00B06A93" w:rsidP="0067614E">
      <w:pPr>
        <w:spacing w:line="276" w:lineRule="auto"/>
        <w:ind w:firstLine="720"/>
        <w:contextualSpacing/>
        <w:jc w:val="both"/>
      </w:pPr>
      <w:r w:rsidRPr="00B4140D">
        <w:t>M</w:t>
      </w:r>
      <w:r w:rsidR="00522E45" w:rsidRPr="00B4140D">
        <w:t>arguerite Gas I nav balsstiesību vairākuma, līdz ar to noskaidrojams, vai tā var īstenot negatīvo vienpersonisko</w:t>
      </w:r>
      <w:r w:rsidR="00522E45">
        <w:t xml:space="preserve"> kontroli – bloķēt stratēģisku lēmumu pieņemšanu. </w:t>
      </w:r>
    </w:p>
    <w:p w14:paraId="75470445" w14:textId="6E45170C" w:rsidR="00FA3A91" w:rsidRDefault="00FA3A91" w:rsidP="0067614E">
      <w:pPr>
        <w:spacing w:line="276" w:lineRule="auto"/>
        <w:ind w:firstLine="720"/>
        <w:contextualSpacing/>
        <w:jc w:val="both"/>
      </w:pPr>
      <w:r>
        <w:t xml:space="preserve">No pieteicējas </w:t>
      </w:r>
      <w:r w:rsidR="00EF4518">
        <w:t>s</w:t>
      </w:r>
      <w:r>
        <w:t>tatūtu 7.7., 7.8. un 7.9.</w:t>
      </w:r>
      <w:r w:rsidR="007E61E9">
        <w:t>apakš</w:t>
      </w:r>
      <w:r>
        <w:t>punkta izriet, ka akcionāru sapulce ir tiesīga, ja tajā pārstāvēta vismaz puse no balsstiesīgā kapitāla, savukārt lēmumus par svarīgiem jautājumiem akcionāru sapulce ir tiesīga izlemt, ja tajā pārstāvētas vismaz trīs ceturtdaļas no balsstiesīgā kapitāla. Dalībnieku lēmums ir pieņemts ar pārstāvēto balsstiesīgo akcionāru balsu vairākumu, savukārt lēmums par svarīgiem jautājumiem ir pieņemts, ja par tiem nodoti 85</w:t>
      </w:r>
      <w:r w:rsidR="00C866B5">
        <w:t> </w:t>
      </w:r>
      <w:r>
        <w:t xml:space="preserve">% no akcionāru sapulcē pārstāvēto balsstiesīgo akcionāru balsīm. </w:t>
      </w:r>
      <w:r w:rsidR="00522460">
        <w:t>Proti</w:t>
      </w:r>
      <w:r>
        <w:t>, ja pret lēmumu balso 15</w:t>
      </w:r>
      <w:r w:rsidR="00C866B5">
        <w:t> </w:t>
      </w:r>
      <w:r>
        <w:t>% akcionāru, lēmums par svarīgiem jautājumiem netiks pieņemts. Ņemot vērā, ka Marguerite Gas</w:t>
      </w:r>
      <w:r w:rsidR="00522460">
        <w:t> </w:t>
      </w:r>
      <w:r>
        <w:t>I ir vairāk nekā 15</w:t>
      </w:r>
      <w:r w:rsidR="00C866B5">
        <w:t> </w:t>
      </w:r>
      <w:r>
        <w:t>% akciju, tā var bloķēt šādu lēmumu pieņemšanu.</w:t>
      </w:r>
    </w:p>
    <w:p w14:paraId="29224736" w14:textId="79A0C15B" w:rsidR="00B70233" w:rsidRDefault="007E61E9" w:rsidP="0067614E">
      <w:pPr>
        <w:spacing w:line="276" w:lineRule="auto"/>
        <w:ind w:firstLine="720"/>
        <w:contextualSpacing/>
        <w:jc w:val="both"/>
      </w:pPr>
      <w:r>
        <w:t>P</w:t>
      </w:r>
      <w:r w:rsidR="00B70233">
        <w:t>amatot</w:t>
      </w:r>
      <w:r>
        <w:t xml:space="preserve">s ir </w:t>
      </w:r>
      <w:r w:rsidR="00B70233">
        <w:t>pieteicējas argument</w:t>
      </w:r>
      <w:r>
        <w:t>s</w:t>
      </w:r>
      <w:r w:rsidR="00B70233">
        <w:t>, ka statūtu 7.9.</w:t>
      </w:r>
      <w:r>
        <w:t>apakš</w:t>
      </w:r>
      <w:r w:rsidR="00B70233">
        <w:t xml:space="preserve">punktā norādītie lēmumi nav uzskatāmi par stratēģiskiem lēmumiem </w:t>
      </w:r>
      <w:r w:rsidR="00EF4518">
        <w:t>d</w:t>
      </w:r>
      <w:r w:rsidR="00B70233">
        <w:t>irektīvas</w:t>
      </w:r>
      <w:r w:rsidR="00733598">
        <w:t xml:space="preserve"> 2009/73/EK</w:t>
      </w:r>
      <w:r w:rsidR="00B70233">
        <w:t xml:space="preserve"> izpratnē, tātad veto tiesības šādu lēmumu pieņemšanā nav uzskatāmas par vienpersonisku kontroli.</w:t>
      </w:r>
    </w:p>
    <w:p w14:paraId="7C2C968F" w14:textId="6A807BA1" w:rsidR="00B70233" w:rsidRPr="00920EA3" w:rsidRDefault="00C50A6E" w:rsidP="0067614E">
      <w:pPr>
        <w:spacing w:line="276" w:lineRule="auto"/>
        <w:ind w:firstLine="720"/>
        <w:contextualSpacing/>
        <w:jc w:val="both"/>
        <w:rPr>
          <w:color w:val="000000"/>
        </w:rPr>
      </w:pPr>
      <w:r>
        <w:t>[3.1</w:t>
      </w:r>
      <w:r w:rsidR="00EF4518">
        <w:t>1</w:t>
      </w:r>
      <w:r>
        <w:t>] </w:t>
      </w:r>
      <w:r w:rsidR="00CA78E7">
        <w:t>I</w:t>
      </w:r>
      <w:r w:rsidR="00B70233">
        <w:t>zvērtējams, vai pastāv risks, ka Marguerite Gas</w:t>
      </w:r>
      <w:r w:rsidR="00FB5D63">
        <w:t> </w:t>
      </w:r>
      <w:r w:rsidR="00B70233">
        <w:t xml:space="preserve">I var </w:t>
      </w:r>
      <w:r w:rsidR="00FB5D63">
        <w:t>īstenot</w:t>
      </w:r>
      <w:r w:rsidR="00B70233">
        <w:t xml:space="preserve"> kopīgu kontroli</w:t>
      </w:r>
      <w:r w:rsidR="00CA78E7">
        <w:t>, jo</w:t>
      </w:r>
      <w:r w:rsidR="00B70233">
        <w:t xml:space="preserve"> </w:t>
      </w:r>
      <w:r w:rsidR="00CA78E7">
        <w:t xml:space="preserve">arī </w:t>
      </w:r>
      <w:r w:rsidR="00B70233">
        <w:t>tikai kopīgas kontroles esība ir pietiekama, lai konstatētu neatbilstību sertificēšanas prasībām.</w:t>
      </w:r>
    </w:p>
    <w:p w14:paraId="7BEB935A" w14:textId="217B7782" w:rsidR="006D31D5" w:rsidRDefault="006D31D5" w:rsidP="0067614E">
      <w:pPr>
        <w:spacing w:line="276" w:lineRule="auto"/>
        <w:ind w:firstLine="720"/>
        <w:contextualSpacing/>
        <w:jc w:val="both"/>
      </w:pPr>
      <w:r>
        <w:t xml:space="preserve">Par to, ka </w:t>
      </w:r>
      <w:r w:rsidR="002B0683">
        <w:t>akciju sabiedrības</w:t>
      </w:r>
      <w:r>
        <w:t xml:space="preserve"> „Latvijas Gāze” intereses pieteicējā tiktu pārstāvētas vismaz netieši – ar padomes locekļu starpniecību, liecina apstāklis, ka trīs no septiņiem pieteicējas padomes locekļiem ir saistīti ar komersantu Marguerite Fund, ar kuru saistītais komersants ir </w:t>
      </w:r>
      <w:r w:rsidR="00FD431C">
        <w:t>akciju sabiedrības</w:t>
      </w:r>
      <w:r>
        <w:t xml:space="preserve"> „Latvijas Gāze” akcionārs. Pastāv tādu lēmumu pieņemšanas un rīcības riski, kas izriet no papildu informācijas iegūšanas uz esošās faktiskās komerciālās pārstāvniecības struktūras pastāvēšanas rēķina, tādējādi nodrošinot attiecīgajiem </w:t>
      </w:r>
      <w:r w:rsidR="00FD431C">
        <w:t xml:space="preserve">pieteicējas </w:t>
      </w:r>
      <w:r>
        <w:t>akcionāriem nepamatotas konkurētspējas priekšrocības gūšanu un mainot to vispārējo tirgus uzvedības paradigmu.</w:t>
      </w:r>
    </w:p>
    <w:p w14:paraId="6BA4E801" w14:textId="61529CB8" w:rsidR="00BA2EDC" w:rsidRPr="00920EA3" w:rsidRDefault="00C50A6E" w:rsidP="0067614E">
      <w:pPr>
        <w:spacing w:line="276" w:lineRule="auto"/>
        <w:ind w:firstLine="720"/>
        <w:contextualSpacing/>
        <w:jc w:val="both"/>
        <w:rPr>
          <w:color w:val="000000"/>
        </w:rPr>
      </w:pPr>
      <w:r>
        <w:t>P</w:t>
      </w:r>
      <w:r w:rsidR="00CB1F9A">
        <w:t>ārsūdzētais l</w:t>
      </w:r>
      <w:r w:rsidR="006D31D5">
        <w:t>ēmums jautājumā par Marguerite Gas</w:t>
      </w:r>
      <w:r>
        <w:t> </w:t>
      </w:r>
      <w:r w:rsidR="006D31D5">
        <w:t>I kā pieteicējas akcionāru ir pamatots un tiesisks.</w:t>
      </w:r>
    </w:p>
    <w:p w14:paraId="6F7B13C9" w14:textId="77777777" w:rsidR="0012741F" w:rsidRPr="00920EA3" w:rsidRDefault="0012741F" w:rsidP="0067614E">
      <w:pPr>
        <w:pStyle w:val="BodyText2"/>
        <w:spacing w:after="0" w:line="276" w:lineRule="auto"/>
        <w:ind w:firstLine="720"/>
        <w:contextualSpacing/>
        <w:jc w:val="both"/>
        <w:rPr>
          <w:lang w:val="lv-LV"/>
        </w:rPr>
      </w:pPr>
    </w:p>
    <w:p w14:paraId="1FF09441" w14:textId="283EAD91" w:rsidR="0012741F" w:rsidRPr="00920EA3" w:rsidRDefault="0012741F" w:rsidP="0067614E">
      <w:pPr>
        <w:spacing w:line="276" w:lineRule="auto"/>
        <w:ind w:firstLine="720"/>
        <w:contextualSpacing/>
        <w:jc w:val="both"/>
      </w:pPr>
      <w:r w:rsidRPr="00920EA3">
        <w:t>[4] </w:t>
      </w:r>
      <w:r w:rsidR="00581950">
        <w:t>Pieteicēja</w:t>
      </w:r>
      <w:r w:rsidRPr="00920EA3">
        <w:t xml:space="preserve"> iesniedza kasācijas sūdzību par apgabaltiesas spriedumu</w:t>
      </w:r>
      <w:r w:rsidR="00D250F4">
        <w:t xml:space="preserve">. Kasācijas sūdzībā </w:t>
      </w:r>
      <w:r w:rsidRPr="00920EA3">
        <w:t>norād</w:t>
      </w:r>
      <w:r w:rsidR="00D250F4">
        <w:t>īti</w:t>
      </w:r>
      <w:r w:rsidRPr="00920EA3">
        <w:t xml:space="preserve"> turpmāk minēt</w:t>
      </w:r>
      <w:r w:rsidR="00D250F4">
        <w:t>ie</w:t>
      </w:r>
      <w:r w:rsidRPr="00920EA3">
        <w:t xml:space="preserve"> argument</w:t>
      </w:r>
      <w:r w:rsidR="00D250F4">
        <w:t>i</w:t>
      </w:r>
      <w:r w:rsidRPr="00920EA3">
        <w:t>.</w:t>
      </w:r>
    </w:p>
    <w:p w14:paraId="78F49388" w14:textId="57B8543E" w:rsidR="00E05085" w:rsidRDefault="0012741F" w:rsidP="0067614E">
      <w:pPr>
        <w:spacing w:line="276" w:lineRule="auto"/>
        <w:ind w:firstLine="720"/>
        <w:contextualSpacing/>
        <w:jc w:val="both"/>
      </w:pPr>
      <w:r w:rsidRPr="00920EA3">
        <w:t>[4.1] </w:t>
      </w:r>
      <w:r w:rsidR="001F2490">
        <w:t>T</w:t>
      </w:r>
      <w:r w:rsidR="005B5404">
        <w:t xml:space="preserve">iesa nav vērtējusi argumentus, ka pieteicējai kā komercsabiedrībai nav iespējams izpildīt pārsūdzētā lēmuma nosacījumus. </w:t>
      </w:r>
      <w:r w:rsidR="00D250F4">
        <w:t>Tas ir</w:t>
      </w:r>
      <w:r w:rsidR="00E36FF9" w:rsidRPr="00E36FF9">
        <w:t xml:space="preserve"> Administratīvā procesa likuma 251.panta piektās daļas pārkāpumu, jo tiesa atzinusi par tiesiskiem tādus administratīvā akta nosacījumus, kurus adresātam nav iespējams izpildīt.</w:t>
      </w:r>
    </w:p>
    <w:p w14:paraId="54D4906E" w14:textId="2C0386EB" w:rsidR="00E36FF9" w:rsidRPr="00E36FF9" w:rsidRDefault="00F14F03" w:rsidP="0067614E">
      <w:pPr>
        <w:spacing w:line="276" w:lineRule="auto"/>
        <w:ind w:firstLine="720"/>
        <w:contextualSpacing/>
        <w:jc w:val="both"/>
      </w:pPr>
      <w:r>
        <w:t>T</w:t>
      </w:r>
      <w:r w:rsidR="00E05085">
        <w:t xml:space="preserve">iesai </w:t>
      </w:r>
      <w:r>
        <w:t xml:space="preserve">bija </w:t>
      </w:r>
      <w:r w:rsidR="00E05085">
        <w:t xml:space="preserve">jāpārbauda, vai nosacījumi atbilst </w:t>
      </w:r>
      <w:r w:rsidR="00E05085" w:rsidRPr="00E36FF9">
        <w:t>Administratīvā procesa likuma</w:t>
      </w:r>
      <w:r w:rsidR="00E05085">
        <w:t xml:space="preserve"> 68.panta noteikumiem.</w:t>
      </w:r>
      <w:r w:rsidR="001F2490">
        <w:t xml:space="preserve"> N</w:t>
      </w:r>
      <w:r w:rsidR="00E36FF9" w:rsidRPr="00E36FF9">
        <w:t>osacījumus, kurus adresātam nav iespējams tiesiski izpildīt, nevar atzīt par tiesiskiem atbilstoši Administratīvā procesa likuma 7.pantā nostiprinātajam tiesiskuma principam.</w:t>
      </w:r>
    </w:p>
    <w:p w14:paraId="5B10A322" w14:textId="53230F0E" w:rsidR="00A06122" w:rsidRPr="00A06122" w:rsidRDefault="001A5C89" w:rsidP="0067614E">
      <w:pPr>
        <w:spacing w:line="276" w:lineRule="auto"/>
        <w:ind w:firstLine="720"/>
        <w:contextualSpacing/>
        <w:jc w:val="both"/>
      </w:pPr>
      <w:r w:rsidRPr="00920EA3">
        <w:t>[4.2] </w:t>
      </w:r>
      <w:r w:rsidR="00A06122" w:rsidRPr="00A06122">
        <w:t xml:space="preserve">Tiesa </w:t>
      </w:r>
      <w:r w:rsidR="000F3A36">
        <w:t>n</w:t>
      </w:r>
      <w:r w:rsidR="00A06122" w:rsidRPr="00A06122">
        <w:t xml:space="preserve">epamatoti atzinusi, ka no </w:t>
      </w:r>
      <w:r w:rsidR="00CB1F9A">
        <w:t xml:space="preserve">pārsūdzētā </w:t>
      </w:r>
      <w:r w:rsidR="00A06122">
        <w:t>l</w:t>
      </w:r>
      <w:r w:rsidR="00A06122" w:rsidRPr="00A06122">
        <w:t xml:space="preserve">ēmuma satura nav konstatējams </w:t>
      </w:r>
      <w:r w:rsidR="00E05085">
        <w:t>r</w:t>
      </w:r>
      <w:r w:rsidR="00A06122" w:rsidRPr="00A06122">
        <w:t>egulator</w:t>
      </w:r>
      <w:r w:rsidR="007446A8">
        <w:t>a</w:t>
      </w:r>
      <w:r w:rsidR="00A06122" w:rsidRPr="00A06122">
        <w:t xml:space="preserve"> atzin</w:t>
      </w:r>
      <w:r w:rsidR="007446A8">
        <w:t>ums</w:t>
      </w:r>
      <w:r w:rsidR="00A06122" w:rsidRPr="00A06122">
        <w:t>, ka neatkarības prasības ir izpildāmas vienā konkrēta veidā, proti, Gazprom vai Marguerite Gas</w:t>
      </w:r>
      <w:r w:rsidR="001F2490">
        <w:t> </w:t>
      </w:r>
      <w:r w:rsidR="00A06122" w:rsidRPr="00A06122">
        <w:t xml:space="preserve">I atsavinot savas </w:t>
      </w:r>
      <w:r w:rsidR="00384B62">
        <w:t>pieteicējas</w:t>
      </w:r>
      <w:r w:rsidR="00A06122" w:rsidRPr="00A06122">
        <w:t xml:space="preserve"> vai </w:t>
      </w:r>
      <w:bookmarkStart w:id="2" w:name="_Hlk101451578"/>
      <w:r w:rsidR="00384B62">
        <w:t>akciju sabiedrības</w:t>
      </w:r>
      <w:r w:rsidR="001F2490">
        <w:t> </w:t>
      </w:r>
      <w:r w:rsidR="00384B62">
        <w:t>„</w:t>
      </w:r>
      <w:r w:rsidR="00A06122" w:rsidRPr="00A06122">
        <w:t>Latvijas Gāze</w:t>
      </w:r>
      <w:r w:rsidR="00384B62">
        <w:t>”</w:t>
      </w:r>
      <w:r w:rsidR="00A06122" w:rsidRPr="00A06122">
        <w:t xml:space="preserve"> </w:t>
      </w:r>
      <w:bookmarkEnd w:id="2"/>
      <w:r w:rsidR="00A06122" w:rsidRPr="00A06122">
        <w:t>akcijas. Šāds tiesas atzinums ir pretrunā ar citu tiesas atzinumu, ka tieši Gazprom un Marguerite Gas</w:t>
      </w:r>
      <w:r w:rsidR="001F2490">
        <w:t> </w:t>
      </w:r>
      <w:r w:rsidR="00A06122" w:rsidRPr="00A06122">
        <w:t xml:space="preserve">I līdzdalību </w:t>
      </w:r>
      <w:r w:rsidR="001F2490">
        <w:t>pieteicējā</w:t>
      </w:r>
      <w:r w:rsidR="00A06122" w:rsidRPr="00A06122">
        <w:t xml:space="preserve"> </w:t>
      </w:r>
      <w:r w:rsidR="00E05085">
        <w:t>r</w:t>
      </w:r>
      <w:r w:rsidR="00A06122" w:rsidRPr="00A06122">
        <w:t>egulators atzinis par neatbilstošu neatkarības prasībām un tieši šī līdzdalība bija par iemeslu nosacījumu noteikšanai.</w:t>
      </w:r>
    </w:p>
    <w:p w14:paraId="0F62B07A" w14:textId="6489C08F" w:rsidR="0012741F" w:rsidRDefault="000A0E3B" w:rsidP="0067614E">
      <w:pPr>
        <w:spacing w:line="276" w:lineRule="auto"/>
        <w:ind w:firstLine="720"/>
        <w:contextualSpacing/>
        <w:jc w:val="both"/>
      </w:pPr>
      <w:r>
        <w:t>A</w:t>
      </w:r>
      <w:r w:rsidRPr="000A0E3B">
        <w:t>kciju kategorijas maiņa no akcijām ar balsstiesībām uz akcijām bez balsstiesībām nozīmētu būtisku akciju vērtības samazinājumu.</w:t>
      </w:r>
      <w:r>
        <w:t xml:space="preserve"> </w:t>
      </w:r>
      <w:r w:rsidR="00B62992">
        <w:t>Arī</w:t>
      </w:r>
      <w:r w:rsidRPr="000A0E3B">
        <w:t xml:space="preserve"> akciju kategorijas maiņa atbilstoši Komerclikuma 268.pantam atrodas ekskluzīvā akcionāru sapulces kompetencē un pati akciju sabiedrība nav tiesīga pieņemt lēmumus par akciju kategoriju maiņu.</w:t>
      </w:r>
      <w:r>
        <w:t xml:space="preserve"> </w:t>
      </w:r>
      <w:r w:rsidRPr="000A0E3B">
        <w:t xml:space="preserve">Gazprom piederošās </w:t>
      </w:r>
      <w:r>
        <w:t>pieteicējas</w:t>
      </w:r>
      <w:r w:rsidRPr="000A0E3B">
        <w:t xml:space="preserve"> akcijas </w:t>
      </w:r>
      <w:r w:rsidRPr="000A0E3B">
        <w:rPr>
          <w:i/>
          <w:iCs/>
        </w:rPr>
        <w:t>de facto</w:t>
      </w:r>
      <w:r w:rsidRPr="000A0E3B">
        <w:t xml:space="preserve"> atbilst akcijām bez balsstiesībām, jo atbilstoši </w:t>
      </w:r>
      <w:r>
        <w:t>pieteicējas</w:t>
      </w:r>
      <w:r w:rsidRPr="000A0E3B">
        <w:t xml:space="preserve"> </w:t>
      </w:r>
      <w:r w:rsidR="00CB1F9A">
        <w:t>s</w:t>
      </w:r>
      <w:r w:rsidRPr="000A0E3B">
        <w:t>tatūtu 9.4.</w:t>
      </w:r>
      <w:r w:rsidR="00E05085">
        <w:t>apakš</w:t>
      </w:r>
      <w:r w:rsidRPr="000A0E3B">
        <w:t>punktam Gazprom nav tiesīgs piedalīties akcionāru sapulcēs un izmantot balsstiesības</w:t>
      </w:r>
      <w:r w:rsidR="00F961EE">
        <w:t>.</w:t>
      </w:r>
    </w:p>
    <w:p w14:paraId="0D5C4A27" w14:textId="5D2CAD73" w:rsidR="000A0E3B" w:rsidRPr="000A0E3B" w:rsidRDefault="000A0E3B" w:rsidP="0067614E">
      <w:pPr>
        <w:spacing w:line="276" w:lineRule="auto"/>
        <w:ind w:firstLine="720"/>
        <w:contextualSpacing/>
        <w:jc w:val="both"/>
      </w:pPr>
      <w:r w:rsidRPr="000A0E3B">
        <w:t xml:space="preserve">Kaut arī formāli </w:t>
      </w:r>
      <w:r>
        <w:t>l</w:t>
      </w:r>
      <w:r w:rsidRPr="000A0E3B">
        <w:t xml:space="preserve">ēmuma adresāts ir </w:t>
      </w:r>
      <w:r>
        <w:t>pieteicēja</w:t>
      </w:r>
      <w:r w:rsidRPr="000A0E3B">
        <w:t xml:space="preserve">, </w:t>
      </w:r>
      <w:r w:rsidR="00B62992">
        <w:t xml:space="preserve">pārsūdzētais </w:t>
      </w:r>
      <w:r>
        <w:t>lēmums</w:t>
      </w:r>
      <w:r w:rsidRPr="000A0E3B">
        <w:t xml:space="preserve"> faktiski</w:t>
      </w:r>
      <w:r w:rsidR="00B62992">
        <w:t xml:space="preserve"> ir</w:t>
      </w:r>
      <w:r w:rsidRPr="000A0E3B">
        <w:t xml:space="preserve"> attiecinām</w:t>
      </w:r>
      <w:r w:rsidR="00B62992">
        <w:t>s</w:t>
      </w:r>
      <w:r w:rsidRPr="000A0E3B">
        <w:t xml:space="preserve"> uz </w:t>
      </w:r>
      <w:r>
        <w:t>pieteicējas</w:t>
      </w:r>
      <w:r w:rsidRPr="000A0E3B">
        <w:t xml:space="preserve"> akcionāriem, jo bez akcionāru rīcības nosacījumus izpildīt nav iespējams.</w:t>
      </w:r>
    </w:p>
    <w:p w14:paraId="50C0B5D8" w14:textId="32303AE8" w:rsidR="0012741F" w:rsidRDefault="00244ACD"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sidRPr="00920EA3">
        <w:rPr>
          <w:rFonts w:ascii="Times New Roman" w:hAnsi="Times New Roman"/>
          <w:sz w:val="24"/>
          <w:szCs w:val="24"/>
        </w:rPr>
        <w:t>[4.3] </w:t>
      </w:r>
      <w:r w:rsidR="00B62992">
        <w:rPr>
          <w:rFonts w:ascii="Times New Roman" w:hAnsi="Times New Roman"/>
          <w:sz w:val="24"/>
          <w:szCs w:val="24"/>
        </w:rPr>
        <w:t>T</w:t>
      </w:r>
      <w:r w:rsidR="005526BC" w:rsidRPr="005526BC">
        <w:rPr>
          <w:rFonts w:ascii="Times New Roman" w:hAnsi="Times New Roman"/>
          <w:sz w:val="24"/>
          <w:szCs w:val="24"/>
        </w:rPr>
        <w:t>iesa ir nepareizi iztulkojusi un piemērojusi Enerģētikas likuma 111.panta trešo daļu, it īpaši attiecībā uz kontroles jēdzienu, kuru tiesa vispār nav analizējusi, koncentrējoties uz balsstiesību izmantošanas iespēju</w:t>
      </w:r>
      <w:r w:rsidR="00B62992">
        <w:rPr>
          <w:rFonts w:ascii="Times New Roman" w:hAnsi="Times New Roman"/>
          <w:sz w:val="24"/>
          <w:szCs w:val="24"/>
        </w:rPr>
        <w:t>.</w:t>
      </w:r>
    </w:p>
    <w:p w14:paraId="3D3E7D6D" w14:textId="2A6F8F26" w:rsidR="00645AF3" w:rsidRDefault="00645AF3"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sidRPr="00645AF3">
        <w:rPr>
          <w:rFonts w:ascii="Times New Roman" w:hAnsi="Times New Roman"/>
          <w:sz w:val="24"/>
          <w:szCs w:val="24"/>
        </w:rPr>
        <w:t>Tiesa nav ņēmusi vērā, ka lemttiesīgo akciju skaita aprēķina norādīšana nav obligāts priekšnoteikums balsstiesību ierobežojuma noteikšanai, ko apliecina tiesas minētais piemērs ar Koncernu likumā noteiktiem balsstiesību ierobežojumiem</w:t>
      </w:r>
      <w:r w:rsidR="00C07B71">
        <w:rPr>
          <w:rFonts w:ascii="Times New Roman" w:hAnsi="Times New Roman"/>
          <w:sz w:val="24"/>
          <w:szCs w:val="24"/>
        </w:rPr>
        <w:t>.</w:t>
      </w:r>
      <w:r w:rsidR="00437DEC">
        <w:rPr>
          <w:rFonts w:ascii="Times New Roman" w:hAnsi="Times New Roman"/>
          <w:sz w:val="24"/>
          <w:szCs w:val="24"/>
        </w:rPr>
        <w:t xml:space="preserve"> </w:t>
      </w:r>
      <w:r>
        <w:rPr>
          <w:rFonts w:ascii="Times New Roman" w:hAnsi="Times New Roman"/>
          <w:sz w:val="24"/>
          <w:szCs w:val="24"/>
        </w:rPr>
        <w:t>T</w:t>
      </w:r>
      <w:r w:rsidRPr="00645AF3">
        <w:rPr>
          <w:rFonts w:ascii="Times New Roman" w:hAnsi="Times New Roman"/>
          <w:sz w:val="24"/>
          <w:szCs w:val="24"/>
        </w:rPr>
        <w:t>iesa nav ņēmusi vērā, ka Enerģētikas likumam ir cits regulējuma priekšmets, kurā neietilpst kapitālsabiedrību pārvaldes organizatorisko jautājumu regulējums, tāpēc lemttiesīgo akciju skaita aprēķina neiekļaušana Enerģētikas likumā ir absolūti loģiska un nevar tikt izmantota kā arguments Enerģētikas likuma 111.panta trešās daļas iztulkošanā.</w:t>
      </w:r>
    </w:p>
    <w:p w14:paraId="5A662B6B" w14:textId="67B5B17C" w:rsidR="00791518" w:rsidRDefault="00437DEC"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Pr>
          <w:rFonts w:ascii="Times New Roman" w:hAnsi="Times New Roman"/>
          <w:sz w:val="24"/>
          <w:szCs w:val="24"/>
        </w:rPr>
        <w:t>T</w:t>
      </w:r>
      <w:r w:rsidRPr="00791518">
        <w:rPr>
          <w:rFonts w:ascii="Times New Roman" w:hAnsi="Times New Roman"/>
          <w:sz w:val="24"/>
          <w:szCs w:val="24"/>
        </w:rPr>
        <w:t>iesai bija jāņem vērā,</w:t>
      </w:r>
      <w:r>
        <w:rPr>
          <w:rFonts w:ascii="Times New Roman" w:hAnsi="Times New Roman"/>
          <w:sz w:val="24"/>
          <w:szCs w:val="24"/>
        </w:rPr>
        <w:t xml:space="preserve"> ka</w:t>
      </w:r>
      <w:r w:rsidR="00791518" w:rsidRPr="00791518">
        <w:rPr>
          <w:rFonts w:ascii="Times New Roman" w:hAnsi="Times New Roman"/>
          <w:sz w:val="24"/>
          <w:szCs w:val="24"/>
        </w:rPr>
        <w:t xml:space="preserve"> Enerģētikas likuma 111.panta trešās daļas noteikum</w:t>
      </w:r>
      <w:r>
        <w:rPr>
          <w:rFonts w:ascii="Times New Roman" w:hAnsi="Times New Roman"/>
          <w:sz w:val="24"/>
          <w:szCs w:val="24"/>
        </w:rPr>
        <w:t>i</w:t>
      </w:r>
      <w:r w:rsidR="00791518" w:rsidRPr="00791518">
        <w:rPr>
          <w:rFonts w:ascii="Times New Roman" w:hAnsi="Times New Roman"/>
          <w:sz w:val="24"/>
          <w:szCs w:val="24"/>
        </w:rPr>
        <w:t xml:space="preserve"> ietverti likumā, tieši pārņemot </w:t>
      </w:r>
      <w:r w:rsidRPr="00437DEC">
        <w:rPr>
          <w:sz w:val="24"/>
          <w:szCs w:val="24"/>
        </w:rPr>
        <w:t>direktīvas 2009/73/EK</w:t>
      </w:r>
      <w:r w:rsidR="00791518" w:rsidRPr="00791518">
        <w:rPr>
          <w:rFonts w:ascii="Times New Roman" w:hAnsi="Times New Roman"/>
          <w:sz w:val="24"/>
          <w:szCs w:val="24"/>
        </w:rPr>
        <w:t xml:space="preserve"> 9.</w:t>
      </w:r>
      <w:r>
        <w:rPr>
          <w:rFonts w:ascii="Times New Roman" w:hAnsi="Times New Roman"/>
          <w:sz w:val="24"/>
          <w:szCs w:val="24"/>
        </w:rPr>
        <w:t>p</w:t>
      </w:r>
      <w:r w:rsidR="00791518" w:rsidRPr="00791518">
        <w:rPr>
          <w:rFonts w:ascii="Times New Roman" w:hAnsi="Times New Roman"/>
          <w:sz w:val="24"/>
          <w:szCs w:val="24"/>
        </w:rPr>
        <w:t xml:space="preserve">anta 1.punkta </w:t>
      </w:r>
      <w:r w:rsidR="00791518">
        <w:rPr>
          <w:rFonts w:ascii="Times New Roman" w:hAnsi="Times New Roman"/>
          <w:sz w:val="24"/>
          <w:szCs w:val="24"/>
        </w:rPr>
        <w:t>„</w:t>
      </w:r>
      <w:r w:rsidR="00791518" w:rsidRPr="00791518">
        <w:rPr>
          <w:rFonts w:ascii="Times New Roman" w:hAnsi="Times New Roman"/>
          <w:sz w:val="24"/>
          <w:szCs w:val="24"/>
        </w:rPr>
        <w:t>b</w:t>
      </w:r>
      <w:r w:rsidR="00791518">
        <w:rPr>
          <w:rFonts w:ascii="Times New Roman" w:hAnsi="Times New Roman"/>
          <w:sz w:val="24"/>
          <w:szCs w:val="24"/>
        </w:rPr>
        <w:t>”</w:t>
      </w:r>
      <w:r w:rsidR="00791518" w:rsidRPr="00791518">
        <w:rPr>
          <w:rFonts w:ascii="Times New Roman" w:hAnsi="Times New Roman"/>
          <w:sz w:val="24"/>
          <w:szCs w:val="24"/>
        </w:rPr>
        <w:t xml:space="preserve"> un </w:t>
      </w:r>
      <w:r w:rsidR="00791518">
        <w:rPr>
          <w:rFonts w:ascii="Times New Roman" w:hAnsi="Times New Roman"/>
          <w:sz w:val="24"/>
          <w:szCs w:val="24"/>
        </w:rPr>
        <w:t>„</w:t>
      </w:r>
      <w:r w:rsidR="00791518" w:rsidRPr="00791518">
        <w:rPr>
          <w:rFonts w:ascii="Times New Roman" w:hAnsi="Times New Roman"/>
          <w:sz w:val="24"/>
          <w:szCs w:val="24"/>
        </w:rPr>
        <w:t>c</w:t>
      </w:r>
      <w:r w:rsidR="00791518">
        <w:rPr>
          <w:rFonts w:ascii="Times New Roman" w:hAnsi="Times New Roman"/>
          <w:sz w:val="24"/>
          <w:szCs w:val="24"/>
        </w:rPr>
        <w:t>”</w:t>
      </w:r>
      <w:r w:rsidR="007446A8">
        <w:rPr>
          <w:rFonts w:ascii="Times New Roman" w:hAnsi="Times New Roman"/>
          <w:sz w:val="24"/>
          <w:szCs w:val="24"/>
        </w:rPr>
        <w:t> </w:t>
      </w:r>
      <w:r w:rsidR="00791518" w:rsidRPr="00791518">
        <w:rPr>
          <w:rFonts w:ascii="Times New Roman" w:hAnsi="Times New Roman"/>
          <w:sz w:val="24"/>
          <w:szCs w:val="24"/>
        </w:rPr>
        <w:t xml:space="preserve">apakšpunkta noteikumus. Attiecīgi Enerģētikas likuma 111.panta trešās daļas 1., 2. un 3.punktā noteiktie tiesību ierobežojumi ir jāvērtē kopsakarā ar </w:t>
      </w:r>
      <w:r w:rsidR="00791518" w:rsidRPr="002149AC">
        <w:rPr>
          <w:rFonts w:ascii="Times New Roman" w:hAnsi="Times New Roman"/>
          <w:sz w:val="24"/>
          <w:szCs w:val="24"/>
        </w:rPr>
        <w:t>Enerģētikas likuma 116.pantā norādīto terminu „kontrole” un „jebkādas tiesības” skaidrojumu.</w:t>
      </w:r>
    </w:p>
    <w:p w14:paraId="5563BA39" w14:textId="3E415B7D" w:rsidR="008856E3" w:rsidRDefault="008856E3"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sidRPr="00347419">
        <w:rPr>
          <w:rFonts w:ascii="Times New Roman" w:hAnsi="Times New Roman"/>
          <w:sz w:val="24"/>
          <w:szCs w:val="24"/>
        </w:rPr>
        <w:t>Tiesai vajadzēja secināt</w:t>
      </w:r>
      <w:r w:rsidRPr="002149AC">
        <w:rPr>
          <w:rFonts w:ascii="Times New Roman" w:hAnsi="Times New Roman"/>
          <w:sz w:val="24"/>
          <w:szCs w:val="24"/>
        </w:rPr>
        <w:t>, ka ir iespējama vienas un tās pašas personas dalība gan gāzes ražošanas vai piegādes uzņēmumā, gan pārvades sistēmas operatorā,</w:t>
      </w:r>
      <w:r w:rsidRPr="00294216">
        <w:rPr>
          <w:rFonts w:ascii="Times New Roman" w:hAnsi="Times New Roman"/>
          <w:sz w:val="24"/>
          <w:szCs w:val="24"/>
        </w:rPr>
        <w:t xml:space="preserve"> kā arī Enerģētikas likuma 111.panta trešās daļas 1.punktā noteiktais ierobežojums, t</w:t>
      </w:r>
      <w:r w:rsidRPr="00347419">
        <w:rPr>
          <w:rFonts w:ascii="Times New Roman" w:hAnsi="Times New Roman"/>
          <w:sz w:val="24"/>
          <w:szCs w:val="24"/>
        </w:rPr>
        <w:t xml:space="preserve">ai skaitā ierobežojums izmantot balsstiesības </w:t>
      </w:r>
      <w:r w:rsidR="001D4461" w:rsidRPr="00347419">
        <w:rPr>
          <w:rFonts w:ascii="Times New Roman" w:hAnsi="Times New Roman"/>
          <w:sz w:val="24"/>
          <w:szCs w:val="24"/>
        </w:rPr>
        <w:t>pieteicējā</w:t>
      </w:r>
      <w:r w:rsidRPr="00347419">
        <w:rPr>
          <w:rFonts w:ascii="Times New Roman" w:hAnsi="Times New Roman"/>
          <w:sz w:val="24"/>
          <w:szCs w:val="24"/>
        </w:rPr>
        <w:t>, attiecas uz jebkuru pieteicējas akcionāru, kas tieši vai netieši kontrolē akciju sabiedrīb</w:t>
      </w:r>
      <w:r w:rsidR="004D7BAE">
        <w:rPr>
          <w:rFonts w:ascii="Times New Roman" w:hAnsi="Times New Roman"/>
          <w:sz w:val="24"/>
          <w:szCs w:val="24"/>
        </w:rPr>
        <w:t>u </w:t>
      </w:r>
      <w:r w:rsidRPr="00347419">
        <w:rPr>
          <w:rFonts w:ascii="Times New Roman" w:hAnsi="Times New Roman"/>
          <w:sz w:val="24"/>
          <w:szCs w:val="24"/>
        </w:rPr>
        <w:t>„Latvijas Gāze”, arī tad, ja šis ierobežojums</w:t>
      </w:r>
      <w:r w:rsidR="004D7BAE">
        <w:rPr>
          <w:rFonts w:ascii="Times New Roman" w:hAnsi="Times New Roman"/>
          <w:sz w:val="24"/>
          <w:szCs w:val="24"/>
        </w:rPr>
        <w:t xml:space="preserve"> nebūtu iekļauts pieteicējas statūtos.</w:t>
      </w:r>
    </w:p>
    <w:p w14:paraId="1D0556EA" w14:textId="6A991814" w:rsidR="004D7BAE" w:rsidRPr="00645AF3" w:rsidRDefault="004D7BAE"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sidRPr="002149AC">
        <w:rPr>
          <w:rFonts w:ascii="Times New Roman" w:hAnsi="Times New Roman"/>
          <w:sz w:val="24"/>
          <w:szCs w:val="24"/>
        </w:rPr>
        <w:t>Tiesa nepamatoti atzinusi, ka Enerģētikas likuma 111.panta trešās daļas noteikumi nav atzīstami par patstāvīgiem likumā ietvertiem aizliegumiem akcionāriem īstenot kontroli.</w:t>
      </w:r>
    </w:p>
    <w:p w14:paraId="7FC8927F" w14:textId="0D0F97BC" w:rsidR="0012741F" w:rsidRDefault="00EC0C6F"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sidRPr="00920EA3">
        <w:rPr>
          <w:rFonts w:ascii="Times New Roman" w:hAnsi="Times New Roman"/>
          <w:sz w:val="24"/>
          <w:szCs w:val="24"/>
        </w:rPr>
        <w:t>[4.4] </w:t>
      </w:r>
      <w:r w:rsidR="003E542F">
        <w:rPr>
          <w:rFonts w:ascii="Times New Roman" w:hAnsi="Times New Roman"/>
          <w:sz w:val="24"/>
          <w:szCs w:val="24"/>
        </w:rPr>
        <w:t>T</w:t>
      </w:r>
      <w:r w:rsidR="003E542F" w:rsidRPr="003E542F">
        <w:rPr>
          <w:rFonts w:ascii="Times New Roman" w:hAnsi="Times New Roman"/>
          <w:sz w:val="24"/>
          <w:szCs w:val="24"/>
        </w:rPr>
        <w:t xml:space="preserve">iesa nav analizējusi argumentus par </w:t>
      </w:r>
      <w:r w:rsidR="00CB1F9A">
        <w:rPr>
          <w:rFonts w:ascii="Times New Roman" w:hAnsi="Times New Roman"/>
          <w:sz w:val="24"/>
          <w:szCs w:val="24"/>
        </w:rPr>
        <w:t>s</w:t>
      </w:r>
      <w:r w:rsidR="003E542F" w:rsidRPr="003E542F">
        <w:rPr>
          <w:rFonts w:ascii="Times New Roman" w:hAnsi="Times New Roman"/>
          <w:sz w:val="24"/>
          <w:szCs w:val="24"/>
        </w:rPr>
        <w:t>tatūtu 9.4.</w:t>
      </w:r>
      <w:r w:rsidR="00FC7DF7">
        <w:rPr>
          <w:rFonts w:ascii="Times New Roman" w:hAnsi="Times New Roman"/>
          <w:sz w:val="24"/>
          <w:szCs w:val="24"/>
        </w:rPr>
        <w:t>apakš</w:t>
      </w:r>
      <w:r w:rsidR="003E542F" w:rsidRPr="003E542F">
        <w:rPr>
          <w:rFonts w:ascii="Times New Roman" w:hAnsi="Times New Roman"/>
          <w:sz w:val="24"/>
          <w:szCs w:val="24"/>
        </w:rPr>
        <w:t xml:space="preserve">punktu un tā tiesiskajām sekām. </w:t>
      </w:r>
      <w:r w:rsidR="003E542F">
        <w:rPr>
          <w:rFonts w:ascii="Times New Roman" w:hAnsi="Times New Roman"/>
          <w:sz w:val="24"/>
          <w:szCs w:val="24"/>
        </w:rPr>
        <w:t>T</w:t>
      </w:r>
      <w:r w:rsidR="003E542F" w:rsidRPr="003E542F">
        <w:rPr>
          <w:rFonts w:ascii="Times New Roman" w:hAnsi="Times New Roman"/>
          <w:sz w:val="24"/>
          <w:szCs w:val="24"/>
        </w:rPr>
        <w:t xml:space="preserve">iesa, atsaucoties uz </w:t>
      </w:r>
      <w:r w:rsidR="00CB1F9A">
        <w:rPr>
          <w:rFonts w:ascii="Times New Roman" w:hAnsi="Times New Roman"/>
          <w:sz w:val="24"/>
          <w:szCs w:val="24"/>
        </w:rPr>
        <w:t>s</w:t>
      </w:r>
      <w:r w:rsidR="003E542F" w:rsidRPr="003E542F">
        <w:rPr>
          <w:rFonts w:ascii="Times New Roman" w:hAnsi="Times New Roman"/>
          <w:sz w:val="24"/>
          <w:szCs w:val="24"/>
        </w:rPr>
        <w:t>tatūtu 7.9.</w:t>
      </w:r>
      <w:r w:rsidR="00FC7DF7">
        <w:rPr>
          <w:rFonts w:ascii="Times New Roman" w:hAnsi="Times New Roman"/>
          <w:sz w:val="24"/>
          <w:szCs w:val="24"/>
        </w:rPr>
        <w:t>apakš</w:t>
      </w:r>
      <w:r w:rsidR="003E542F" w:rsidRPr="003E542F">
        <w:rPr>
          <w:rFonts w:ascii="Times New Roman" w:hAnsi="Times New Roman"/>
          <w:sz w:val="24"/>
          <w:szCs w:val="24"/>
        </w:rPr>
        <w:t>punktu, ir pilnībā ignorējusi š</w:t>
      </w:r>
      <w:r w:rsidR="001D4461">
        <w:rPr>
          <w:rFonts w:ascii="Times New Roman" w:hAnsi="Times New Roman"/>
          <w:sz w:val="24"/>
          <w:szCs w:val="24"/>
        </w:rPr>
        <w:t>ā</w:t>
      </w:r>
      <w:r w:rsidR="003E542F" w:rsidRPr="003E542F">
        <w:rPr>
          <w:rFonts w:ascii="Times New Roman" w:hAnsi="Times New Roman"/>
          <w:sz w:val="24"/>
          <w:szCs w:val="24"/>
        </w:rPr>
        <w:t xml:space="preserve"> punkta noteikumus par </w:t>
      </w:r>
      <w:r w:rsidR="00CB1F9A">
        <w:rPr>
          <w:rFonts w:ascii="Times New Roman" w:hAnsi="Times New Roman"/>
          <w:sz w:val="24"/>
          <w:szCs w:val="24"/>
        </w:rPr>
        <w:t>s</w:t>
      </w:r>
      <w:r w:rsidR="003E542F" w:rsidRPr="003E542F">
        <w:rPr>
          <w:rFonts w:ascii="Times New Roman" w:hAnsi="Times New Roman"/>
          <w:sz w:val="24"/>
          <w:szCs w:val="24"/>
        </w:rPr>
        <w:t>tatūtu 9.4.</w:t>
      </w:r>
      <w:r w:rsidR="00FC7DF7">
        <w:rPr>
          <w:rFonts w:ascii="Times New Roman" w:hAnsi="Times New Roman"/>
          <w:sz w:val="24"/>
          <w:szCs w:val="24"/>
        </w:rPr>
        <w:t>apakš</w:t>
      </w:r>
      <w:r w:rsidR="003E542F" w:rsidRPr="003E542F">
        <w:rPr>
          <w:rFonts w:ascii="Times New Roman" w:hAnsi="Times New Roman"/>
          <w:sz w:val="24"/>
          <w:szCs w:val="24"/>
        </w:rPr>
        <w:t>punktā noteikto ierobežojumu ievērošanu, nosakot balsstiesīgo pamatkapitālu balsojumam par svarīgiem jautājumiem, kas ir Administratīvā procesa likuma 154.panta pārkāpums</w:t>
      </w:r>
      <w:r w:rsidR="00A15D36">
        <w:rPr>
          <w:rFonts w:ascii="Times New Roman" w:hAnsi="Times New Roman"/>
          <w:sz w:val="24"/>
          <w:szCs w:val="24"/>
        </w:rPr>
        <w:t>.</w:t>
      </w:r>
    </w:p>
    <w:p w14:paraId="4011C44B" w14:textId="2ECBA79E" w:rsidR="003E542F" w:rsidRDefault="003E542F"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sidRPr="003E542F">
        <w:rPr>
          <w:rFonts w:ascii="Times New Roman" w:hAnsi="Times New Roman"/>
          <w:sz w:val="24"/>
          <w:szCs w:val="24"/>
        </w:rPr>
        <w:t xml:space="preserve">No </w:t>
      </w:r>
      <w:r w:rsidR="00CB1F9A">
        <w:rPr>
          <w:rFonts w:ascii="Times New Roman" w:hAnsi="Times New Roman"/>
          <w:sz w:val="24"/>
          <w:szCs w:val="24"/>
        </w:rPr>
        <w:t>s</w:t>
      </w:r>
      <w:r w:rsidRPr="003E542F">
        <w:rPr>
          <w:rFonts w:ascii="Times New Roman" w:hAnsi="Times New Roman"/>
          <w:sz w:val="24"/>
          <w:szCs w:val="24"/>
        </w:rPr>
        <w:t>tatūtu 9.4.</w:t>
      </w:r>
      <w:r w:rsidR="00FC7DF7">
        <w:rPr>
          <w:rFonts w:ascii="Times New Roman" w:hAnsi="Times New Roman"/>
          <w:sz w:val="24"/>
          <w:szCs w:val="24"/>
        </w:rPr>
        <w:t>apakš</w:t>
      </w:r>
      <w:r w:rsidRPr="003E542F">
        <w:rPr>
          <w:rFonts w:ascii="Times New Roman" w:hAnsi="Times New Roman"/>
          <w:sz w:val="24"/>
          <w:szCs w:val="24"/>
        </w:rPr>
        <w:t>punktā noteikt</w:t>
      </w:r>
      <w:r w:rsidR="0033760E">
        <w:rPr>
          <w:rFonts w:ascii="Times New Roman" w:hAnsi="Times New Roman"/>
          <w:sz w:val="24"/>
          <w:szCs w:val="24"/>
        </w:rPr>
        <w:t>aj</w:t>
      </w:r>
      <w:r w:rsidRPr="003E542F">
        <w:rPr>
          <w:rFonts w:ascii="Times New Roman" w:hAnsi="Times New Roman"/>
          <w:sz w:val="24"/>
          <w:szCs w:val="24"/>
        </w:rPr>
        <w:t>iem ierobežojumiem redzams, ka tie pilnībā atbilst Enerģētikas likuma 111.panta trešās daļas noteikumiem</w:t>
      </w:r>
      <w:r w:rsidR="00E37579">
        <w:rPr>
          <w:rFonts w:ascii="Times New Roman" w:hAnsi="Times New Roman"/>
          <w:sz w:val="24"/>
          <w:szCs w:val="24"/>
        </w:rPr>
        <w:t xml:space="preserve">. </w:t>
      </w:r>
      <w:r w:rsidRPr="003E542F">
        <w:rPr>
          <w:rFonts w:ascii="Times New Roman" w:hAnsi="Times New Roman"/>
          <w:sz w:val="24"/>
          <w:szCs w:val="24"/>
        </w:rPr>
        <w:t xml:space="preserve">Līdz ar to tiesai bija jāpārbauda, vai </w:t>
      </w:r>
      <w:r>
        <w:rPr>
          <w:rFonts w:ascii="Times New Roman" w:hAnsi="Times New Roman"/>
          <w:sz w:val="24"/>
          <w:szCs w:val="24"/>
        </w:rPr>
        <w:t>pieteicēja</w:t>
      </w:r>
      <w:r w:rsidRPr="003E542F">
        <w:rPr>
          <w:rFonts w:ascii="Times New Roman" w:hAnsi="Times New Roman"/>
          <w:sz w:val="24"/>
          <w:szCs w:val="24"/>
        </w:rPr>
        <w:t xml:space="preserve"> var nodrošināt </w:t>
      </w:r>
      <w:r w:rsidR="00CB1F9A">
        <w:rPr>
          <w:rFonts w:ascii="Times New Roman" w:hAnsi="Times New Roman"/>
          <w:sz w:val="24"/>
          <w:szCs w:val="24"/>
        </w:rPr>
        <w:t>s</w:t>
      </w:r>
      <w:r w:rsidRPr="003E542F">
        <w:rPr>
          <w:rFonts w:ascii="Times New Roman" w:hAnsi="Times New Roman"/>
          <w:sz w:val="24"/>
          <w:szCs w:val="24"/>
        </w:rPr>
        <w:t>tatūtu 9.4.</w:t>
      </w:r>
      <w:r w:rsidR="00FC7DF7">
        <w:rPr>
          <w:rFonts w:ascii="Times New Roman" w:hAnsi="Times New Roman"/>
          <w:sz w:val="24"/>
          <w:szCs w:val="24"/>
        </w:rPr>
        <w:t>apakš</w:t>
      </w:r>
      <w:r w:rsidRPr="003E542F">
        <w:rPr>
          <w:rFonts w:ascii="Times New Roman" w:hAnsi="Times New Roman"/>
          <w:sz w:val="24"/>
          <w:szCs w:val="24"/>
        </w:rPr>
        <w:t>punkt</w:t>
      </w:r>
      <w:r w:rsidR="00A15D36">
        <w:rPr>
          <w:rFonts w:ascii="Times New Roman" w:hAnsi="Times New Roman"/>
          <w:sz w:val="24"/>
          <w:szCs w:val="24"/>
        </w:rPr>
        <w:t>a</w:t>
      </w:r>
      <w:r w:rsidRPr="003E542F">
        <w:rPr>
          <w:rFonts w:ascii="Times New Roman" w:hAnsi="Times New Roman"/>
          <w:sz w:val="24"/>
          <w:szCs w:val="24"/>
        </w:rPr>
        <w:t xml:space="preserve"> piemērošanu un attiecīgi Enerģētikas likuma 111.panta trešajā daļā noteikto neatkarības prasību ievērošanu</w:t>
      </w:r>
      <w:r w:rsidR="00A15D36">
        <w:rPr>
          <w:rFonts w:ascii="Times New Roman" w:hAnsi="Times New Roman"/>
          <w:sz w:val="24"/>
          <w:szCs w:val="24"/>
        </w:rPr>
        <w:t>.</w:t>
      </w:r>
    </w:p>
    <w:p w14:paraId="154DDD72" w14:textId="199252FE" w:rsidR="006A6BE4" w:rsidRDefault="000668BD"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Pr>
          <w:rFonts w:ascii="Times New Roman" w:hAnsi="Times New Roman"/>
          <w:sz w:val="24"/>
          <w:szCs w:val="24"/>
        </w:rPr>
        <w:t>[4.5] </w:t>
      </w:r>
      <w:r w:rsidR="006A6BE4" w:rsidRPr="006A6BE4">
        <w:rPr>
          <w:rFonts w:ascii="Times New Roman" w:hAnsi="Times New Roman"/>
          <w:sz w:val="24"/>
          <w:szCs w:val="24"/>
        </w:rPr>
        <w:t xml:space="preserve">Tiesa ir ignorējusi faktu, ka 2018. un 2019.gadā tika sasauktas trīs </w:t>
      </w:r>
      <w:r w:rsidR="006A6BE4">
        <w:rPr>
          <w:rFonts w:ascii="Times New Roman" w:hAnsi="Times New Roman"/>
          <w:sz w:val="24"/>
          <w:szCs w:val="24"/>
        </w:rPr>
        <w:t>pieteicējas</w:t>
      </w:r>
      <w:r w:rsidR="006A6BE4" w:rsidRPr="006A6BE4">
        <w:rPr>
          <w:rFonts w:ascii="Times New Roman" w:hAnsi="Times New Roman"/>
          <w:sz w:val="24"/>
          <w:szCs w:val="24"/>
        </w:rPr>
        <w:t xml:space="preserve"> akcionāru sapulces un nevienā no tām nav piedalījies Gazprom</w:t>
      </w:r>
      <w:r w:rsidR="00A15D36">
        <w:rPr>
          <w:rFonts w:ascii="Times New Roman" w:hAnsi="Times New Roman"/>
          <w:sz w:val="24"/>
          <w:szCs w:val="24"/>
        </w:rPr>
        <w:t>.</w:t>
      </w:r>
    </w:p>
    <w:p w14:paraId="1906505F" w14:textId="4D4561A7" w:rsidR="006A6BE4" w:rsidRPr="003E542F" w:rsidRDefault="006A6BE4" w:rsidP="0067614E">
      <w:pPr>
        <w:pStyle w:val="Style1"/>
        <w:numPr>
          <w:ilvl w:val="0"/>
          <w:numId w:val="0"/>
        </w:numPr>
        <w:tabs>
          <w:tab w:val="left" w:pos="720"/>
        </w:tabs>
        <w:spacing w:line="276" w:lineRule="auto"/>
        <w:ind w:firstLine="720"/>
        <w:contextualSpacing/>
        <w:jc w:val="both"/>
        <w:rPr>
          <w:rFonts w:ascii="Times New Roman" w:hAnsi="Times New Roman"/>
          <w:sz w:val="24"/>
          <w:szCs w:val="24"/>
        </w:rPr>
      </w:pPr>
      <w:r>
        <w:rPr>
          <w:rFonts w:ascii="Times New Roman" w:hAnsi="Times New Roman"/>
          <w:sz w:val="24"/>
          <w:szCs w:val="24"/>
        </w:rPr>
        <w:t>T</w:t>
      </w:r>
      <w:r w:rsidRPr="006A6BE4">
        <w:rPr>
          <w:rFonts w:ascii="Times New Roman" w:hAnsi="Times New Roman"/>
          <w:sz w:val="24"/>
          <w:szCs w:val="24"/>
        </w:rPr>
        <w:t>iesai vajadzēja secinā</w:t>
      </w:r>
      <w:r w:rsidR="00D931B0">
        <w:rPr>
          <w:rFonts w:ascii="Times New Roman" w:hAnsi="Times New Roman"/>
          <w:sz w:val="24"/>
          <w:szCs w:val="24"/>
        </w:rPr>
        <w:t>t</w:t>
      </w:r>
      <w:r w:rsidRPr="006A6BE4">
        <w:rPr>
          <w:rFonts w:ascii="Times New Roman" w:hAnsi="Times New Roman"/>
          <w:sz w:val="24"/>
          <w:szCs w:val="24"/>
        </w:rPr>
        <w:t xml:space="preserve">, ka </w:t>
      </w:r>
      <w:r>
        <w:rPr>
          <w:rFonts w:ascii="Times New Roman" w:hAnsi="Times New Roman"/>
          <w:sz w:val="24"/>
          <w:szCs w:val="24"/>
        </w:rPr>
        <w:t>pieteicēja</w:t>
      </w:r>
      <w:r w:rsidRPr="006A6BE4">
        <w:rPr>
          <w:rFonts w:ascii="Times New Roman" w:hAnsi="Times New Roman"/>
          <w:sz w:val="24"/>
          <w:szCs w:val="24"/>
        </w:rPr>
        <w:t xml:space="preserve"> pienācīgi nodrošina to, ka tie akcionāri, uz kuriem attiecas Enerģētikas likuma 111.panta trešās daļas 1. un 2.punktā un </w:t>
      </w:r>
      <w:r w:rsidR="00CB1F9A">
        <w:rPr>
          <w:rFonts w:ascii="Times New Roman" w:hAnsi="Times New Roman"/>
          <w:sz w:val="24"/>
          <w:szCs w:val="24"/>
        </w:rPr>
        <w:t>s</w:t>
      </w:r>
      <w:r w:rsidRPr="006A6BE4">
        <w:rPr>
          <w:rFonts w:ascii="Times New Roman" w:hAnsi="Times New Roman"/>
          <w:sz w:val="24"/>
          <w:szCs w:val="24"/>
        </w:rPr>
        <w:t>tatūtu 9.4.</w:t>
      </w:r>
      <w:r w:rsidR="00410970">
        <w:rPr>
          <w:rFonts w:ascii="Times New Roman" w:hAnsi="Times New Roman"/>
          <w:sz w:val="24"/>
          <w:szCs w:val="24"/>
        </w:rPr>
        <w:t>apakš</w:t>
      </w:r>
      <w:r w:rsidRPr="006A6BE4">
        <w:rPr>
          <w:rFonts w:ascii="Times New Roman" w:hAnsi="Times New Roman"/>
          <w:sz w:val="24"/>
          <w:szCs w:val="24"/>
        </w:rPr>
        <w:t>punktā noteiktie ierobežojumi, neapmeklē un nepiedalās akcionāru sapulcē</w:t>
      </w:r>
      <w:r w:rsidR="00A15D36">
        <w:rPr>
          <w:rFonts w:ascii="Times New Roman" w:hAnsi="Times New Roman"/>
          <w:sz w:val="24"/>
          <w:szCs w:val="24"/>
        </w:rPr>
        <w:t>s</w:t>
      </w:r>
      <w:r w:rsidRPr="006A6BE4">
        <w:rPr>
          <w:rFonts w:ascii="Times New Roman" w:hAnsi="Times New Roman"/>
          <w:sz w:val="24"/>
          <w:szCs w:val="24"/>
        </w:rPr>
        <w:t xml:space="preserve"> un neīsteno citas akcionāra tiesības, t</w:t>
      </w:r>
      <w:r w:rsidR="00D931B0">
        <w:rPr>
          <w:rFonts w:ascii="Times New Roman" w:hAnsi="Times New Roman"/>
          <w:sz w:val="24"/>
          <w:szCs w:val="24"/>
        </w:rPr>
        <w:t>ostarp</w:t>
      </w:r>
      <w:r w:rsidRPr="006A6BE4">
        <w:rPr>
          <w:rFonts w:ascii="Times New Roman" w:hAnsi="Times New Roman"/>
          <w:sz w:val="24"/>
          <w:szCs w:val="24"/>
        </w:rPr>
        <w:t xml:space="preserve"> balsstiesības, tādējādi nodrošinot likumā noteikto neatkarības prasību ievērošanu.</w:t>
      </w:r>
    </w:p>
    <w:p w14:paraId="32612D1B" w14:textId="41CB963A" w:rsidR="006A6BE4" w:rsidRPr="006A6BE4" w:rsidRDefault="000E6954" w:rsidP="0067614E">
      <w:pPr>
        <w:spacing w:line="276" w:lineRule="auto"/>
        <w:ind w:firstLine="720"/>
        <w:contextualSpacing/>
        <w:jc w:val="both"/>
        <w:rPr>
          <w:lang w:bidi="lv-LV"/>
        </w:rPr>
      </w:pPr>
      <w:r w:rsidRPr="00920EA3">
        <w:t>[4.</w:t>
      </w:r>
      <w:r w:rsidR="000668BD">
        <w:t>6</w:t>
      </w:r>
      <w:r w:rsidRPr="00920EA3">
        <w:t>] </w:t>
      </w:r>
      <w:r w:rsidR="006A6BE4" w:rsidRPr="006A6BE4">
        <w:rPr>
          <w:lang w:bidi="lv-LV"/>
        </w:rPr>
        <w:t>Tiesa nepamatoti atzinusi, ka visas akcijas ir balsstiesīgas un ņemamas vērā, nosakot balsstiesīgo pamatkapitālu.</w:t>
      </w:r>
      <w:r w:rsidR="00A76EA8">
        <w:rPr>
          <w:lang w:bidi="lv-LV"/>
        </w:rPr>
        <w:t xml:space="preserve"> T</w:t>
      </w:r>
      <w:r w:rsidR="006A6BE4" w:rsidRPr="006A6BE4">
        <w:rPr>
          <w:lang w:bidi="lv-LV"/>
        </w:rPr>
        <w:t xml:space="preserve">iesa nav norādījusi tiesību normu, kas pamato šādu secinājumu, jo šādi noteikumi Komerclikumā nav atrodami. Turklāt tiesa ir ignorējusi </w:t>
      </w:r>
      <w:r w:rsidR="00A76EA8">
        <w:rPr>
          <w:lang w:bidi="lv-LV"/>
        </w:rPr>
        <w:t>s</w:t>
      </w:r>
      <w:r w:rsidR="006A6BE4" w:rsidRPr="006A6BE4">
        <w:rPr>
          <w:lang w:bidi="lv-LV"/>
        </w:rPr>
        <w:t xml:space="preserve">tatūtu noteikumus, kas īpaši paredz, ka to akcionāru akcijas, uz kuriem attiecas </w:t>
      </w:r>
      <w:r w:rsidR="00CB1F9A">
        <w:rPr>
          <w:lang w:bidi="lv-LV"/>
        </w:rPr>
        <w:t>s</w:t>
      </w:r>
      <w:r w:rsidR="006A6BE4" w:rsidRPr="006A6BE4">
        <w:rPr>
          <w:lang w:bidi="lv-LV"/>
        </w:rPr>
        <w:t>tatūtu 9.4.</w:t>
      </w:r>
      <w:r w:rsidR="00410970">
        <w:rPr>
          <w:lang w:bidi="lv-LV"/>
        </w:rPr>
        <w:t>apakš</w:t>
      </w:r>
      <w:r w:rsidR="006A6BE4" w:rsidRPr="006A6BE4">
        <w:rPr>
          <w:lang w:bidi="lv-LV"/>
        </w:rPr>
        <w:t>punkta ierobežojumi, netiek ieskaitītas balsstiesīgajā pamatkapitālā</w:t>
      </w:r>
      <w:r w:rsidR="00466AC9">
        <w:rPr>
          <w:lang w:bidi="lv-LV"/>
        </w:rPr>
        <w:t>.</w:t>
      </w:r>
    </w:p>
    <w:p w14:paraId="119DC9E3" w14:textId="0B9FF5F6" w:rsidR="00DC5C03" w:rsidRDefault="00466AC9" w:rsidP="0067614E">
      <w:pPr>
        <w:spacing w:line="276" w:lineRule="auto"/>
        <w:ind w:firstLine="720"/>
        <w:contextualSpacing/>
        <w:jc w:val="both"/>
        <w:rPr>
          <w:lang w:bidi="lv-LV"/>
        </w:rPr>
      </w:pPr>
      <w:r>
        <w:rPr>
          <w:lang w:bidi="lv-LV"/>
        </w:rPr>
        <w:t>Līdz ar to</w:t>
      </w:r>
      <w:r w:rsidR="006A6BE4" w:rsidRPr="006A6BE4">
        <w:rPr>
          <w:lang w:bidi="lv-LV"/>
        </w:rPr>
        <w:t xml:space="preserve"> nav pamatota tiesas norāde, ka bez Gazprom līdzdalības balsojumā nav iespējams pieņemt </w:t>
      </w:r>
      <w:r w:rsidR="00CB1F9A">
        <w:rPr>
          <w:lang w:bidi="lv-LV"/>
        </w:rPr>
        <w:t>s</w:t>
      </w:r>
      <w:r w:rsidR="006A6BE4" w:rsidRPr="006A6BE4">
        <w:rPr>
          <w:lang w:bidi="lv-LV"/>
        </w:rPr>
        <w:t>tatūtu 7.9.</w:t>
      </w:r>
      <w:r w:rsidR="00410970">
        <w:rPr>
          <w:lang w:bidi="lv-LV"/>
        </w:rPr>
        <w:t>apakš</w:t>
      </w:r>
      <w:r w:rsidR="006A6BE4" w:rsidRPr="006A6BE4">
        <w:rPr>
          <w:lang w:bidi="lv-LV"/>
        </w:rPr>
        <w:t>punktā paredzētus lēmumus</w:t>
      </w:r>
      <w:r>
        <w:rPr>
          <w:lang w:bidi="lv-LV"/>
        </w:rPr>
        <w:t>.</w:t>
      </w:r>
    </w:p>
    <w:p w14:paraId="0CD19E37" w14:textId="1B305DC4" w:rsidR="0012741F" w:rsidRPr="00920EA3" w:rsidRDefault="00C63086" w:rsidP="0067614E">
      <w:pPr>
        <w:spacing w:line="276" w:lineRule="auto"/>
        <w:ind w:firstLine="720"/>
        <w:contextualSpacing/>
        <w:jc w:val="both"/>
        <w:rPr>
          <w:shd w:val="clear" w:color="auto" w:fill="FFFFFF"/>
        </w:rPr>
      </w:pPr>
      <w:r w:rsidRPr="00920EA3">
        <w:rPr>
          <w:shd w:val="clear" w:color="auto" w:fill="FFFFFF"/>
        </w:rPr>
        <w:t>[4.</w:t>
      </w:r>
      <w:r w:rsidR="001F12CC">
        <w:rPr>
          <w:shd w:val="clear" w:color="auto" w:fill="FFFFFF"/>
        </w:rPr>
        <w:t>7</w:t>
      </w:r>
      <w:r w:rsidRPr="00920EA3">
        <w:rPr>
          <w:shd w:val="clear" w:color="auto" w:fill="FFFFFF"/>
        </w:rPr>
        <w:t>] </w:t>
      </w:r>
      <w:r w:rsidR="00DC5C03">
        <w:rPr>
          <w:shd w:val="clear" w:color="auto" w:fill="FFFFFF"/>
        </w:rPr>
        <w:t>T</w:t>
      </w:r>
      <w:r w:rsidR="00DC5C03" w:rsidRPr="00DC5C03">
        <w:rPr>
          <w:shd w:val="clear" w:color="auto" w:fill="FFFFFF"/>
        </w:rPr>
        <w:t xml:space="preserve">iesa nepamatoti atzinusi, ka Gazprom varēs izmantot tiesības apstrīdēt </w:t>
      </w:r>
      <w:r w:rsidR="00DC5C03">
        <w:rPr>
          <w:shd w:val="clear" w:color="auto" w:fill="FFFFFF"/>
        </w:rPr>
        <w:t>pieteicējas</w:t>
      </w:r>
      <w:r w:rsidR="00DC5C03" w:rsidRPr="00DC5C03">
        <w:rPr>
          <w:shd w:val="clear" w:color="auto" w:fill="FFFFFF"/>
        </w:rPr>
        <w:t xml:space="preserve"> akcionāru sapulces lēmumus par svarīgiem jautājumiem. Atbilstoši Komerclikuma 287.panta pirmajai daļai un Civilprocesa likuma 1. un 127.pantam prasību tiesā par akcionāru sapulces lēmuma atzīšanu par spēkā neesošu var celt akcionārs, kura subjektīvas tiesības tika aizskartas ar šādu lēmumu. </w:t>
      </w:r>
      <w:r w:rsidR="00466AC9">
        <w:rPr>
          <w:shd w:val="clear" w:color="auto" w:fill="FFFFFF"/>
        </w:rPr>
        <w:t>Tā kā</w:t>
      </w:r>
      <w:r w:rsidR="00DC5C03" w:rsidRPr="00DC5C03">
        <w:rPr>
          <w:shd w:val="clear" w:color="auto" w:fill="FFFFFF"/>
        </w:rPr>
        <w:t xml:space="preserve"> atbilstoši</w:t>
      </w:r>
      <w:r w:rsidR="00DC5C03">
        <w:rPr>
          <w:shd w:val="clear" w:color="auto" w:fill="FFFFFF"/>
        </w:rPr>
        <w:t xml:space="preserve"> </w:t>
      </w:r>
      <w:r w:rsidR="00CB1F9A">
        <w:rPr>
          <w:shd w:val="clear" w:color="auto" w:fill="FFFFFF"/>
        </w:rPr>
        <w:t>s</w:t>
      </w:r>
      <w:r w:rsidR="00DC5C03" w:rsidRPr="00DC5C03">
        <w:rPr>
          <w:shd w:val="clear" w:color="auto" w:fill="FFFFFF"/>
        </w:rPr>
        <w:t>tatūtu 9.4.</w:t>
      </w:r>
      <w:r w:rsidR="00410970">
        <w:rPr>
          <w:shd w:val="clear" w:color="auto" w:fill="FFFFFF"/>
        </w:rPr>
        <w:t>apakš</w:t>
      </w:r>
      <w:r w:rsidR="00DC5C03" w:rsidRPr="00DC5C03">
        <w:rPr>
          <w:shd w:val="clear" w:color="auto" w:fill="FFFFFF"/>
        </w:rPr>
        <w:t xml:space="preserve">punktam Gazprom ir tiesiski liegts piedalīties </w:t>
      </w:r>
      <w:r w:rsidR="00DC5C03">
        <w:rPr>
          <w:shd w:val="clear" w:color="auto" w:fill="FFFFFF"/>
        </w:rPr>
        <w:t>pieteicējas</w:t>
      </w:r>
      <w:r w:rsidR="00DC5C03" w:rsidRPr="00DC5C03">
        <w:rPr>
          <w:shd w:val="clear" w:color="auto" w:fill="FFFFFF"/>
        </w:rPr>
        <w:t xml:space="preserve"> akcionāru sapulcēs un balsot</w:t>
      </w:r>
      <w:r w:rsidR="00466AC9">
        <w:rPr>
          <w:shd w:val="clear" w:color="auto" w:fill="FFFFFF"/>
        </w:rPr>
        <w:t xml:space="preserve"> un </w:t>
      </w:r>
      <w:r w:rsidR="00DC5C03" w:rsidRPr="00DC5C03">
        <w:rPr>
          <w:shd w:val="clear" w:color="auto" w:fill="FFFFFF"/>
        </w:rPr>
        <w:t>pats Gazprom ir balsojis par šād</w:t>
      </w:r>
      <w:r w:rsidR="00466AC9">
        <w:rPr>
          <w:shd w:val="clear" w:color="auto" w:fill="FFFFFF"/>
        </w:rPr>
        <w:t>u</w:t>
      </w:r>
      <w:r w:rsidR="00DC5C03" w:rsidRPr="00DC5C03">
        <w:rPr>
          <w:shd w:val="clear" w:color="auto" w:fill="FFFFFF"/>
        </w:rPr>
        <w:t xml:space="preserve"> noteikumu iekļaušanu</w:t>
      </w:r>
      <w:r w:rsidR="00A76EA8">
        <w:rPr>
          <w:shd w:val="clear" w:color="auto" w:fill="FFFFFF"/>
        </w:rPr>
        <w:t xml:space="preserve"> s</w:t>
      </w:r>
      <w:r w:rsidR="00DC5C03" w:rsidRPr="00DC5C03">
        <w:rPr>
          <w:shd w:val="clear" w:color="auto" w:fill="FFFFFF"/>
        </w:rPr>
        <w:t xml:space="preserve">tatūtos, Gazprom nav subjektīvu tiesību apstrīdēt </w:t>
      </w:r>
      <w:r w:rsidR="00DC5C03">
        <w:rPr>
          <w:shd w:val="clear" w:color="auto" w:fill="FFFFFF"/>
        </w:rPr>
        <w:t>pieteicējas</w:t>
      </w:r>
      <w:r w:rsidR="00DC5C03" w:rsidRPr="00DC5C03">
        <w:rPr>
          <w:shd w:val="clear" w:color="auto" w:fill="FFFFFF"/>
        </w:rPr>
        <w:t xml:space="preserve"> akcionāru sapulces lēmumus uz pamatiem, kas saistīti ar Gazprom nepiedalīšanos akcionāru sapulcē un balsošanā</w:t>
      </w:r>
      <w:r w:rsidR="00C4093C">
        <w:rPr>
          <w:shd w:val="clear" w:color="auto" w:fill="FFFFFF"/>
        </w:rPr>
        <w:t>,</w:t>
      </w:r>
      <w:r w:rsidR="00DC5C03" w:rsidRPr="00DC5C03">
        <w:rPr>
          <w:shd w:val="clear" w:color="auto" w:fill="FFFFFF"/>
        </w:rPr>
        <w:t xml:space="preserve"> balsstiesīg</w:t>
      </w:r>
      <w:r w:rsidR="00C4093C">
        <w:rPr>
          <w:shd w:val="clear" w:color="auto" w:fill="FFFFFF"/>
        </w:rPr>
        <w:t>ā</w:t>
      </w:r>
      <w:r w:rsidR="00DC5C03" w:rsidRPr="00DC5C03">
        <w:rPr>
          <w:shd w:val="clear" w:color="auto" w:fill="FFFFFF"/>
        </w:rPr>
        <w:t xml:space="preserve"> pamatkapitāla noteikšanu</w:t>
      </w:r>
      <w:r w:rsidR="00466AC9">
        <w:rPr>
          <w:shd w:val="clear" w:color="auto" w:fill="FFFFFF"/>
        </w:rPr>
        <w:t xml:space="preserve">, kā arī </w:t>
      </w:r>
      <w:r w:rsidR="00DC5C03" w:rsidRPr="00DC5C03">
        <w:rPr>
          <w:shd w:val="clear" w:color="auto" w:fill="FFFFFF"/>
        </w:rPr>
        <w:t xml:space="preserve">sakarā ar citu Gazprom tiesību neievērošanu, jo </w:t>
      </w:r>
      <w:r w:rsidR="00CB1F9A">
        <w:rPr>
          <w:shd w:val="clear" w:color="auto" w:fill="FFFFFF"/>
        </w:rPr>
        <w:t>s</w:t>
      </w:r>
      <w:r w:rsidR="00DC5C03" w:rsidRPr="00DC5C03">
        <w:rPr>
          <w:shd w:val="clear" w:color="auto" w:fill="FFFFFF"/>
        </w:rPr>
        <w:t>tatūtu 9.4.</w:t>
      </w:r>
      <w:r w:rsidR="00410970">
        <w:rPr>
          <w:shd w:val="clear" w:color="auto" w:fill="FFFFFF"/>
        </w:rPr>
        <w:t>apakš</w:t>
      </w:r>
      <w:r w:rsidR="00DC5C03" w:rsidRPr="00DC5C03">
        <w:rPr>
          <w:shd w:val="clear" w:color="auto" w:fill="FFFFFF"/>
        </w:rPr>
        <w:t>punkts liedz Gazprom izmantot jebkādas akcionāra tiesības, izņemot tiesības saņemt dividendes un likvidācijas kvotu.</w:t>
      </w:r>
    </w:p>
    <w:p w14:paraId="323955D9" w14:textId="3D752A51" w:rsidR="0008361C" w:rsidRPr="00466AC9" w:rsidRDefault="0008361C" w:rsidP="0067614E">
      <w:pPr>
        <w:tabs>
          <w:tab w:val="left" w:pos="720"/>
          <w:tab w:val="left" w:pos="6096"/>
        </w:tabs>
        <w:spacing w:line="276" w:lineRule="auto"/>
        <w:ind w:firstLine="720"/>
        <w:contextualSpacing/>
        <w:jc w:val="both"/>
        <w:rPr>
          <w:color w:val="000000"/>
          <w:lang w:eastAsia="lv-LV" w:bidi="lv-LV"/>
        </w:rPr>
      </w:pPr>
      <w:r w:rsidRPr="00466AC9">
        <w:t>[4.</w:t>
      </w:r>
      <w:r w:rsidR="00B4140D">
        <w:t>8</w:t>
      </w:r>
      <w:r w:rsidRPr="00466AC9">
        <w:t>] </w:t>
      </w:r>
      <w:r w:rsidR="00D034D6" w:rsidRPr="00466AC9">
        <w:rPr>
          <w:lang w:bidi="lv-LV"/>
        </w:rPr>
        <w:t>Tiesa ir nonākusi pie kļūdaina secinājuma jautājumā par Marguerite Gas</w:t>
      </w:r>
      <w:r w:rsidR="00A76EA8" w:rsidRPr="00466AC9">
        <w:rPr>
          <w:lang w:bidi="lv-LV"/>
        </w:rPr>
        <w:t> </w:t>
      </w:r>
      <w:r w:rsidR="00D034D6" w:rsidRPr="00466AC9">
        <w:rPr>
          <w:lang w:bidi="lv-LV"/>
        </w:rPr>
        <w:t xml:space="preserve">I iespējām īstenot kopīgu kontroli </w:t>
      </w:r>
      <w:r w:rsidR="00A76EA8" w:rsidRPr="00466AC9">
        <w:t>pieteicējā</w:t>
      </w:r>
      <w:r w:rsidR="00D034D6" w:rsidRPr="00466AC9">
        <w:rPr>
          <w:lang w:bidi="lv-LV"/>
        </w:rPr>
        <w:t xml:space="preserve">. </w:t>
      </w:r>
      <w:r w:rsidR="001F12CC" w:rsidRPr="00466AC9">
        <w:rPr>
          <w:lang w:bidi="lv-LV"/>
        </w:rPr>
        <w:t>T</w:t>
      </w:r>
      <w:r w:rsidR="00D034D6" w:rsidRPr="00466AC9">
        <w:rPr>
          <w:lang w:bidi="lv-LV"/>
        </w:rPr>
        <w:t xml:space="preserve">iesa nav ņēmusi vērā visus Piemērošanas noteikumus saskaņā ar Apvienošanās regulā ietvertajiem apsvērumiem. </w:t>
      </w:r>
      <w:r w:rsidR="001F12CC" w:rsidRPr="00466AC9">
        <w:rPr>
          <w:lang w:bidi="lv-LV"/>
        </w:rPr>
        <w:t>T</w:t>
      </w:r>
      <w:r w:rsidR="00D034D6" w:rsidRPr="00466AC9">
        <w:rPr>
          <w:lang w:bidi="lv-LV"/>
        </w:rPr>
        <w:t>iesa nav precīzi piemērojusi kopīgas kontroles jēdzienu, kā tas skaidrots Piemērošanas noteikumu 62.punktā.</w:t>
      </w:r>
      <w:r w:rsidR="001F12CC" w:rsidRPr="00466AC9">
        <w:rPr>
          <w:lang w:bidi="lv-LV"/>
        </w:rPr>
        <w:t xml:space="preserve"> </w:t>
      </w:r>
      <w:r w:rsidR="00D034D6" w:rsidRPr="00466AC9">
        <w:rPr>
          <w:color w:val="000000"/>
          <w:lang w:eastAsia="lv-LV" w:bidi="lv-LV"/>
        </w:rPr>
        <w:t>Tiesa ir atsaukusies uz Piemērošanas notiekumu 76.punktu, taču nav vērtējusi visus šajā punktā ietvertos aspektus.</w:t>
      </w:r>
    </w:p>
    <w:p w14:paraId="687B966B" w14:textId="6C2B4223" w:rsidR="009B1FA0" w:rsidRPr="00920EA3" w:rsidRDefault="00466AC9" w:rsidP="0067614E">
      <w:pPr>
        <w:tabs>
          <w:tab w:val="left" w:pos="720"/>
          <w:tab w:val="left" w:pos="6096"/>
        </w:tabs>
        <w:spacing w:line="276" w:lineRule="auto"/>
        <w:ind w:firstLine="720"/>
        <w:contextualSpacing/>
        <w:jc w:val="both"/>
      </w:pPr>
      <w:r>
        <w:rPr>
          <w:color w:val="000000"/>
          <w:lang w:eastAsia="lv-LV" w:bidi="lv-LV"/>
        </w:rPr>
        <w:t>K</w:t>
      </w:r>
      <w:r w:rsidR="009B1FA0" w:rsidRPr="00466AC9">
        <w:rPr>
          <w:color w:val="000000"/>
          <w:lang w:eastAsia="lv-LV" w:bidi="lv-LV"/>
        </w:rPr>
        <w:t>ļūdain</w:t>
      </w:r>
      <w:r>
        <w:rPr>
          <w:color w:val="000000"/>
          <w:lang w:eastAsia="lv-LV" w:bidi="lv-LV"/>
        </w:rPr>
        <w:t>s ir</w:t>
      </w:r>
      <w:r w:rsidR="009B1FA0" w:rsidRPr="00466AC9">
        <w:rPr>
          <w:color w:val="000000"/>
          <w:lang w:eastAsia="lv-LV" w:bidi="lv-LV"/>
        </w:rPr>
        <w:t xml:space="preserve"> tiesas secinājum</w:t>
      </w:r>
      <w:r>
        <w:rPr>
          <w:color w:val="000000"/>
          <w:lang w:eastAsia="lv-LV" w:bidi="lv-LV"/>
        </w:rPr>
        <w:t>s</w:t>
      </w:r>
      <w:r w:rsidR="009B1FA0" w:rsidRPr="00466AC9">
        <w:rPr>
          <w:color w:val="000000"/>
          <w:lang w:eastAsia="lv-LV" w:bidi="lv-LV"/>
        </w:rPr>
        <w:t xml:space="preserve"> jautājumā </w:t>
      </w:r>
      <w:r w:rsidR="009B1FA0" w:rsidRPr="00466AC9">
        <w:rPr>
          <w:color w:val="000000"/>
          <w:lang w:eastAsia="en-US" w:bidi="en-US"/>
        </w:rPr>
        <w:t>par Marguerite Gas</w:t>
      </w:r>
      <w:r w:rsidR="00A76EA8" w:rsidRPr="00466AC9">
        <w:rPr>
          <w:color w:val="000000"/>
          <w:lang w:eastAsia="en-US" w:bidi="en-US"/>
        </w:rPr>
        <w:t> </w:t>
      </w:r>
      <w:r w:rsidR="009B1FA0" w:rsidRPr="00466AC9">
        <w:rPr>
          <w:color w:val="000000"/>
          <w:lang w:eastAsia="lv-LV" w:bidi="lv-LV"/>
        </w:rPr>
        <w:t xml:space="preserve">I līdzdalības tiesiskumu, jo </w:t>
      </w:r>
      <w:r>
        <w:rPr>
          <w:color w:val="000000"/>
          <w:lang w:eastAsia="lv-LV" w:bidi="lv-LV"/>
        </w:rPr>
        <w:t>tas</w:t>
      </w:r>
      <w:r w:rsidR="009B1FA0" w:rsidRPr="00466AC9">
        <w:rPr>
          <w:color w:val="000000"/>
          <w:lang w:eastAsia="lv-LV" w:bidi="lv-LV"/>
        </w:rPr>
        <w:t xml:space="preserve"> ir izdarīts uz nepamatotu pieņēmumu </w:t>
      </w:r>
      <w:r>
        <w:rPr>
          <w:color w:val="000000"/>
          <w:lang w:eastAsia="lv-LV" w:bidi="lv-LV"/>
        </w:rPr>
        <w:t xml:space="preserve">un </w:t>
      </w:r>
      <w:r w:rsidR="009B1FA0" w:rsidRPr="00466AC9">
        <w:rPr>
          <w:color w:val="000000"/>
          <w:lang w:eastAsia="lv-LV" w:bidi="lv-LV"/>
        </w:rPr>
        <w:t>kļūdain</w:t>
      </w:r>
      <w:r>
        <w:rPr>
          <w:color w:val="000000"/>
          <w:lang w:eastAsia="lv-LV" w:bidi="lv-LV"/>
        </w:rPr>
        <w:t>as</w:t>
      </w:r>
      <w:r w:rsidR="009B1FA0" w:rsidRPr="00466AC9">
        <w:rPr>
          <w:color w:val="000000"/>
          <w:lang w:eastAsia="lv-LV" w:bidi="lv-LV"/>
        </w:rPr>
        <w:t xml:space="preserve"> pierādījumu vērtēšan</w:t>
      </w:r>
      <w:r>
        <w:rPr>
          <w:color w:val="000000"/>
          <w:lang w:eastAsia="lv-LV" w:bidi="lv-LV"/>
        </w:rPr>
        <w:t>as pamata</w:t>
      </w:r>
      <w:r w:rsidR="00C4093C">
        <w:rPr>
          <w:color w:val="000000"/>
          <w:lang w:eastAsia="lv-LV" w:bidi="lv-LV"/>
        </w:rPr>
        <w:t>. T</w:t>
      </w:r>
      <w:r w:rsidR="009B1FA0" w:rsidRPr="00466AC9">
        <w:rPr>
          <w:color w:val="000000"/>
          <w:lang w:eastAsia="lv-LV" w:bidi="lv-LV"/>
        </w:rPr>
        <w:t>as ir Administratīvā procesa likuma 154. un 247.panta pārkāpums, kas novedis pie nepareizas Enerģētikas likuma 111</w:t>
      </w:r>
      <w:r w:rsidR="005C1B1B" w:rsidRPr="00466AC9">
        <w:rPr>
          <w:color w:val="000000"/>
          <w:lang w:eastAsia="lv-LV" w:bidi="lv-LV"/>
        </w:rPr>
        <w:t>.</w:t>
      </w:r>
      <w:r w:rsidR="009B1FA0" w:rsidRPr="00466AC9">
        <w:rPr>
          <w:color w:val="000000"/>
          <w:lang w:eastAsia="lv-LV" w:bidi="lv-LV"/>
        </w:rPr>
        <w:t>panta trešās daļas piemērošanas un lietas nepareizas</w:t>
      </w:r>
      <w:r w:rsidR="009B1FA0">
        <w:rPr>
          <w:color w:val="000000"/>
          <w:lang w:eastAsia="lv-LV" w:bidi="lv-LV"/>
        </w:rPr>
        <w:t xml:space="preserve"> izspriešanas.</w:t>
      </w:r>
    </w:p>
    <w:p w14:paraId="1206BACF" w14:textId="7EE6228D" w:rsidR="00F57DB3" w:rsidRPr="00920EA3" w:rsidRDefault="00F57DB3" w:rsidP="0067614E">
      <w:pPr>
        <w:pStyle w:val="NormalWeb"/>
        <w:spacing w:before="0" w:beforeAutospacing="0" w:after="0" w:afterAutospacing="0" w:line="276" w:lineRule="auto"/>
        <w:ind w:firstLine="720"/>
        <w:contextualSpacing/>
        <w:jc w:val="both"/>
      </w:pPr>
    </w:p>
    <w:p w14:paraId="75674731" w14:textId="41C796A7" w:rsidR="00022CBF" w:rsidRDefault="00030BE9" w:rsidP="0067614E">
      <w:pPr>
        <w:spacing w:line="276" w:lineRule="auto"/>
        <w:ind w:firstLine="720"/>
        <w:contextualSpacing/>
        <w:jc w:val="both"/>
      </w:pPr>
      <w:r w:rsidRPr="00920EA3">
        <w:t>[</w:t>
      </w:r>
      <w:r w:rsidR="00390996" w:rsidRPr="00920EA3">
        <w:t>5</w:t>
      </w:r>
      <w:r w:rsidRPr="00920EA3">
        <w:t>] </w:t>
      </w:r>
      <w:r w:rsidR="00874C4E">
        <w:t>Pieteicēja iesniedza</w:t>
      </w:r>
      <w:r w:rsidR="00FB215B" w:rsidRPr="00FB215B">
        <w:t xml:space="preserve"> </w:t>
      </w:r>
      <w:r w:rsidR="00FB215B">
        <w:t>Senātam</w:t>
      </w:r>
      <w:r w:rsidR="00874C4E">
        <w:t xml:space="preserve"> lūgumu </w:t>
      </w:r>
      <w:r w:rsidR="00FB215B">
        <w:t>uzdot</w:t>
      </w:r>
      <w:r w:rsidR="00874C4E">
        <w:t xml:space="preserve"> </w:t>
      </w:r>
      <w:r w:rsidR="009B1FA0">
        <w:t xml:space="preserve">Eiropas Savienības </w:t>
      </w:r>
      <w:r w:rsidR="005C1B1B">
        <w:t>T</w:t>
      </w:r>
      <w:r w:rsidR="009B1FA0">
        <w:t>ies</w:t>
      </w:r>
      <w:r w:rsidR="00FB215B">
        <w:t>ai</w:t>
      </w:r>
      <w:r w:rsidR="009B1FA0">
        <w:t xml:space="preserve"> prejudiciāl</w:t>
      </w:r>
      <w:r w:rsidR="00FB215B">
        <w:t>o</w:t>
      </w:r>
      <w:r w:rsidR="009B1FA0">
        <w:t xml:space="preserve"> jautājum</w:t>
      </w:r>
      <w:r w:rsidR="00FB215B">
        <w:t>u</w:t>
      </w:r>
      <w:r w:rsidR="00022CBF">
        <w:t>:</w:t>
      </w:r>
      <w:r w:rsidR="005C1B1B">
        <w:t xml:space="preserve"> </w:t>
      </w:r>
      <w:r w:rsidR="00C4093C">
        <w:t>v</w:t>
      </w:r>
      <w:r w:rsidR="00022CBF" w:rsidRPr="00FB67B2">
        <w:t>ai</w:t>
      </w:r>
      <w:r w:rsidR="00022CBF">
        <w:t xml:space="preserve"> </w:t>
      </w:r>
      <w:r w:rsidR="00022CBF" w:rsidRPr="00FB67B2">
        <w:t xml:space="preserve">ar </w:t>
      </w:r>
      <w:r w:rsidR="00410970">
        <w:t>d</w:t>
      </w:r>
      <w:r w:rsidR="00022CBF" w:rsidRPr="00FB67B2">
        <w:t>irektīvas 2009/73/EK 9.panta 1. un 2.punktu;</w:t>
      </w:r>
      <w:r w:rsidR="00022CBF">
        <w:t xml:space="preserve"> </w:t>
      </w:r>
      <w:r w:rsidR="00022CBF" w:rsidRPr="00FB67B2">
        <w:t>un/vai</w:t>
      </w:r>
      <w:r w:rsidR="00022CBF">
        <w:t xml:space="preserve"> </w:t>
      </w:r>
      <w:r w:rsidR="00022CBF" w:rsidRPr="00FB67B2">
        <w:t>Līguma par Eiropas Savienības darbību 63.pantu</w:t>
      </w:r>
      <w:r w:rsidR="00C4093C">
        <w:t>,</w:t>
      </w:r>
      <w:r w:rsidR="00022CBF">
        <w:t xml:space="preserve"> </w:t>
      </w:r>
      <w:r w:rsidR="00022CBF" w:rsidRPr="00FB67B2">
        <w:t>un/vai</w:t>
      </w:r>
      <w:r w:rsidR="00022CBF">
        <w:t xml:space="preserve"> </w:t>
      </w:r>
      <w:r w:rsidR="00022CBF" w:rsidRPr="00FB67B2">
        <w:t>Eiropas Savienības Pamattiesību hartas 17.pantu</w:t>
      </w:r>
      <w:r w:rsidR="00C4093C">
        <w:t>,</w:t>
      </w:r>
      <w:r w:rsidR="00022CBF">
        <w:t xml:space="preserve"> </w:t>
      </w:r>
      <w:r w:rsidR="00022CBF" w:rsidRPr="00FB67B2">
        <w:t>un/vai</w:t>
      </w:r>
      <w:r w:rsidR="00022CBF">
        <w:t xml:space="preserve"> </w:t>
      </w:r>
      <w:r w:rsidR="00022CBF" w:rsidRPr="00FB67B2">
        <w:t xml:space="preserve">principu </w:t>
      </w:r>
      <w:r w:rsidR="00022CBF" w:rsidRPr="00FB67B2">
        <w:rPr>
          <w:rStyle w:val="sscitts"/>
        </w:rPr>
        <w:t>nulla poena sine culpa</w:t>
      </w:r>
      <w:r w:rsidR="00022CBF">
        <w:rPr>
          <w:rStyle w:val="sscitts"/>
          <w:i w:val="0"/>
        </w:rPr>
        <w:t xml:space="preserve"> </w:t>
      </w:r>
      <w:r w:rsidR="00022CBF" w:rsidRPr="00FB67B2">
        <w:t>saderīgs ir tāds dalībvalsts regulējums, kas dabasgāzes sistēmas operatoram uzdod nodrošināt, ka to nekontrolē</w:t>
      </w:r>
      <w:r w:rsidR="00022CBF">
        <w:t xml:space="preserve"> </w:t>
      </w:r>
      <w:r w:rsidR="00022CBF" w:rsidRPr="00FB67B2">
        <w:t>persona, kas nodarbojas ar dabasgāzes tirdzniecību</w:t>
      </w:r>
      <w:r w:rsidR="00022CBF">
        <w:t xml:space="preserve"> </w:t>
      </w:r>
      <w:r w:rsidR="00022CBF" w:rsidRPr="00FB67B2">
        <w:t>vai</w:t>
      </w:r>
      <w:r w:rsidR="00022CBF">
        <w:t xml:space="preserve"> </w:t>
      </w:r>
      <w:r w:rsidR="00022CBF" w:rsidRPr="00FB67B2">
        <w:t>persona, kas nodarbojas ar dabasgāzes ražošanu,</w:t>
      </w:r>
      <w:r w:rsidR="00022CBF">
        <w:t xml:space="preserve"> </w:t>
      </w:r>
      <w:r w:rsidR="00022CBF" w:rsidRPr="00FB67B2">
        <w:t xml:space="preserve">ja dabasgāzes sistēmas operatora rīcībā nav </w:t>
      </w:r>
      <w:r w:rsidR="00022CBF">
        <w:t>tiesisku instrumentu</w:t>
      </w:r>
      <w:r w:rsidR="00022CBF" w:rsidRPr="00FB67B2">
        <w:t>, ar kuriem</w:t>
      </w:r>
      <w:r w:rsidR="00022CBF">
        <w:t xml:space="preserve"> </w:t>
      </w:r>
      <w:r w:rsidR="00022CBF" w:rsidRPr="00FB67B2">
        <w:t>panākt akcionāra akciju atsavināšanu</w:t>
      </w:r>
      <w:r w:rsidR="00022CBF">
        <w:t xml:space="preserve"> </w:t>
      </w:r>
      <w:r w:rsidR="00022CBF" w:rsidRPr="00FB67B2">
        <w:t>vai</w:t>
      </w:r>
      <w:r w:rsidR="00022CBF">
        <w:t xml:space="preserve"> </w:t>
      </w:r>
      <w:r w:rsidR="00022CBF" w:rsidRPr="00FB67B2">
        <w:t>liegt akcionāram izmantot no akcijām izrietošās īpašnieka parastās tiesības.</w:t>
      </w:r>
    </w:p>
    <w:p w14:paraId="44C83654" w14:textId="5272F1DB" w:rsidR="00E828CC" w:rsidRPr="00E828CC" w:rsidRDefault="00E828CC" w:rsidP="0067614E">
      <w:pPr>
        <w:spacing w:line="276" w:lineRule="auto"/>
        <w:ind w:firstLine="720"/>
        <w:contextualSpacing/>
        <w:jc w:val="both"/>
        <w:rPr>
          <w:rStyle w:val="sscitts"/>
        </w:rPr>
      </w:pPr>
      <w:r w:rsidRPr="00E828CC">
        <w:rPr>
          <w:noProof/>
          <w:lang w:eastAsia="lv-LV"/>
        </w:rPr>
        <w:t>Lūgumu pieteicēja pamato ar to, ka</w:t>
      </w:r>
      <w:r w:rsidRPr="00E828CC">
        <w:rPr>
          <w:lang w:bidi="lv-LV"/>
        </w:rPr>
        <w:t xml:space="preserve"> Enerģētikas likuma 114.pants, kas paredz </w:t>
      </w:r>
      <w:r w:rsidR="00592993">
        <w:rPr>
          <w:lang w:bidi="lv-LV"/>
        </w:rPr>
        <w:t xml:space="preserve">pārvades </w:t>
      </w:r>
      <w:r w:rsidRPr="00E828CC">
        <w:rPr>
          <w:lang w:bidi="lv-LV"/>
        </w:rPr>
        <w:t>sistēmas operatora pienākumu nodrošināt paša neatkarību, un 101.</w:t>
      </w:r>
      <w:r w:rsidRPr="00E828CC">
        <w:rPr>
          <w:vertAlign w:val="superscript"/>
          <w:lang w:bidi="lv-LV"/>
        </w:rPr>
        <w:t>1</w:t>
      </w:r>
      <w:r w:rsidRPr="00E828CC">
        <w:rPr>
          <w:lang w:bidi="lv-LV"/>
        </w:rPr>
        <w:t xml:space="preserve">pants, kas paredz naudas sodu </w:t>
      </w:r>
      <w:r w:rsidR="00592993">
        <w:rPr>
          <w:lang w:bidi="lv-LV"/>
        </w:rPr>
        <w:t xml:space="preserve">pārvades </w:t>
      </w:r>
      <w:r w:rsidRPr="00E828CC">
        <w:rPr>
          <w:lang w:bidi="lv-LV"/>
        </w:rPr>
        <w:t xml:space="preserve">sistēmas operatoram par šādu prasību nenodrošināšanu, nav atbilstošs </w:t>
      </w:r>
      <w:r w:rsidRPr="00E828CC">
        <w:t xml:space="preserve">direktīvai 2009/73/EK. </w:t>
      </w:r>
      <w:r w:rsidR="00217C95">
        <w:t xml:space="preserve">Pieteicēja uzskata, ka </w:t>
      </w:r>
      <w:r w:rsidRPr="00E828CC">
        <w:rPr>
          <w:lang w:bidi="lv-LV"/>
        </w:rPr>
        <w:t>Enerģētikas likuma 101.</w:t>
      </w:r>
      <w:r w:rsidRPr="00E828CC">
        <w:rPr>
          <w:vertAlign w:val="superscript"/>
          <w:lang w:bidi="lv-LV"/>
        </w:rPr>
        <w:t>1</w:t>
      </w:r>
      <w:r w:rsidRPr="00E828CC">
        <w:rPr>
          <w:lang w:bidi="lv-LV"/>
        </w:rPr>
        <w:t xml:space="preserve">, 111. un 114.panta regulējums kopsakarā paredz atkāpes no </w:t>
      </w:r>
      <w:r w:rsidRPr="00E828CC">
        <w:t xml:space="preserve">direktīvā 2009/73/EK likumdevējam noteiktajām saistībām. Likumdevējs nepamatoti un neatbilstoši direktīvas 2009/73/EK 9.panta 1.punktā noteiktajam uzdevumam pienākumu nodrošināt neatkarības prasību izpildi ir pārnesis uz </w:t>
      </w:r>
      <w:r>
        <w:t xml:space="preserve">pārvades </w:t>
      </w:r>
      <w:r w:rsidRPr="00E828CC">
        <w:t xml:space="preserve">sistēmas operatoru. Tas neatbilst direktīvas regulējumam, jo </w:t>
      </w:r>
      <w:r>
        <w:t>pieteicējai</w:t>
      </w:r>
      <w:r w:rsidRPr="00E828CC">
        <w:t xml:space="preserve"> nav tiesisku līdzekļu, lai nodrošinātu pārsūdzētā lēmuma 1.1. un 1.2.apakšpunktā noteikto pienākumu izpildi. Izvēlēto direktīvas transponēšanas veidu padara par neatbilstošu Eiropas Savienības tiesībām tiesiskā regulējuma trūkums, kas ļautu pieteicējai izpildīt pārsūdzētā lēmuma 1.1. un 1.2.apakšpunkta prasības. Savukārt</w:t>
      </w:r>
      <w:r w:rsidRPr="00E828CC">
        <w:rPr>
          <w:lang w:bidi="lv-LV"/>
        </w:rPr>
        <w:t xml:space="preserve"> Enerģētikas likuma 101.</w:t>
      </w:r>
      <w:r w:rsidRPr="00E828CC">
        <w:rPr>
          <w:vertAlign w:val="superscript"/>
          <w:lang w:bidi="lv-LV"/>
        </w:rPr>
        <w:t>1</w:t>
      </w:r>
      <w:r w:rsidRPr="00E828CC">
        <w:rPr>
          <w:lang w:bidi="lv-LV"/>
        </w:rPr>
        <w:t xml:space="preserve">panta 6.punkts nepamatoti aizskar to </w:t>
      </w:r>
      <w:r>
        <w:rPr>
          <w:lang w:bidi="lv-LV"/>
        </w:rPr>
        <w:t>pieteicējas</w:t>
      </w:r>
      <w:r w:rsidRPr="00E828CC">
        <w:rPr>
          <w:lang w:bidi="lv-LV"/>
        </w:rPr>
        <w:t xml:space="preserve"> akcionāru tiesības, kas ievēro šā likuma 111.panta trešās un ceturtās daļas prasības. Enerģētikas likuma regulējums nonāk pretrunā ar Eiropas Savienības primāro tiesību normām, proti, tiek pārkāpts </w:t>
      </w:r>
      <w:r w:rsidRPr="00FB67B2">
        <w:t>Līguma par Eiropas Savienības darbību</w:t>
      </w:r>
      <w:r w:rsidRPr="00E828CC">
        <w:rPr>
          <w:lang w:bidi="lv-LV"/>
        </w:rPr>
        <w:t xml:space="preserve"> 63.pants, kas garantē kapitāla apriti iekšējā tirgū, tiek ierobežotas pieteicējas Eiropas Savienības Pamattiesību hartas 17.pantā garantētās tiesības uz īpašumu, un tiek pārkāpts tiesību princips </w:t>
      </w:r>
      <w:r w:rsidRPr="00E5612A">
        <w:rPr>
          <w:rStyle w:val="sscitts"/>
        </w:rPr>
        <w:t>nulla poena sine culpa.</w:t>
      </w:r>
    </w:p>
    <w:p w14:paraId="1EA12E74" w14:textId="77777777" w:rsidR="00E828CC" w:rsidRDefault="00E828CC" w:rsidP="0067614E">
      <w:pPr>
        <w:spacing w:line="276" w:lineRule="auto"/>
        <w:ind w:firstLine="720"/>
        <w:contextualSpacing/>
        <w:jc w:val="both"/>
        <w:rPr>
          <w:noProof/>
          <w:lang w:eastAsia="lv-LV"/>
        </w:rPr>
      </w:pPr>
    </w:p>
    <w:p w14:paraId="4F2DEE5C" w14:textId="2A716B82" w:rsidR="009B1FA0" w:rsidRDefault="009B1FA0" w:rsidP="0067614E">
      <w:pPr>
        <w:spacing w:line="276" w:lineRule="auto"/>
        <w:ind w:firstLine="720"/>
        <w:contextualSpacing/>
        <w:jc w:val="both"/>
      </w:pPr>
      <w:r w:rsidRPr="00F543E5">
        <w:rPr>
          <w:noProof/>
          <w:lang w:eastAsia="lv-LV"/>
        </w:rPr>
        <w:t>[6] </w:t>
      </w:r>
      <w:r>
        <w:rPr>
          <w:noProof/>
          <w:lang w:eastAsia="lv-LV"/>
        </w:rPr>
        <w:t xml:space="preserve">Regulators </w:t>
      </w:r>
      <w:r>
        <w:t>paskaidrojumos par kasācijas sūdzību norāda, ka sūdzība nav pamatota, bet apgabaltiesas spriedums ir pareizs un nav pamata tā atcelšanai.</w:t>
      </w:r>
    </w:p>
    <w:p w14:paraId="6B90BC45" w14:textId="47C9801B" w:rsidR="001812B8" w:rsidRDefault="001812B8" w:rsidP="0067614E">
      <w:pPr>
        <w:spacing w:line="276" w:lineRule="auto"/>
        <w:ind w:firstLine="720"/>
        <w:contextualSpacing/>
        <w:jc w:val="both"/>
      </w:pPr>
      <w:r>
        <w:t>Paskaidrojumā par pieteicējas lūgumu uzdo</w:t>
      </w:r>
      <w:r w:rsidR="0013494B">
        <w:t>t</w:t>
      </w:r>
      <w:r>
        <w:t xml:space="preserve"> prejudiciālo jautājumu Eiropas Savienības </w:t>
      </w:r>
      <w:r w:rsidRPr="00E5612A">
        <w:t>Tiesai regulators</w:t>
      </w:r>
      <w:r w:rsidR="00E5612A">
        <w:t xml:space="preserve"> norāda, ka </w:t>
      </w:r>
      <w:r w:rsidR="00217C95">
        <w:t xml:space="preserve">nav </w:t>
      </w:r>
      <w:r w:rsidR="00E5612A">
        <w:t>nedz nepieciešamības, nedz pamata vērsties</w:t>
      </w:r>
      <w:r w:rsidR="00E5612A" w:rsidRPr="00E5612A">
        <w:t xml:space="preserve"> </w:t>
      </w:r>
      <w:r w:rsidR="00E5612A">
        <w:t xml:space="preserve">Eiropas Savienības </w:t>
      </w:r>
      <w:r w:rsidR="00E5612A" w:rsidRPr="00E5612A">
        <w:t>Ties</w:t>
      </w:r>
      <w:r w:rsidR="00E5612A">
        <w:t>ā</w:t>
      </w:r>
      <w:r w:rsidRPr="00E5612A">
        <w:t>.</w:t>
      </w:r>
      <w:r w:rsidR="00E5612A">
        <w:t xml:space="preserve"> Pieteicējas uzdotais jautājums nesatur lūgumu saistībā ar Eiropas Savienības tiesību normu </w:t>
      </w:r>
      <w:r w:rsidR="00217C95">
        <w:t>interpretāciju.</w:t>
      </w:r>
    </w:p>
    <w:p w14:paraId="125DA2D1" w14:textId="77777777" w:rsidR="00A138AE" w:rsidRPr="009E1B7B" w:rsidRDefault="00A138AE" w:rsidP="0067614E">
      <w:pPr>
        <w:pStyle w:val="ATvirsraksts"/>
        <w:ind w:firstLine="720"/>
        <w:contextualSpacing/>
        <w:jc w:val="both"/>
        <w:rPr>
          <w:noProof/>
        </w:rPr>
      </w:pPr>
    </w:p>
    <w:p w14:paraId="2D3BD7AF" w14:textId="77777777" w:rsidR="00A138AE" w:rsidRPr="009E1B7B" w:rsidRDefault="00A138AE" w:rsidP="0067614E">
      <w:pPr>
        <w:pStyle w:val="ATvirsraksts"/>
        <w:keepNext/>
        <w:ind w:firstLine="720"/>
        <w:contextualSpacing/>
        <w:rPr>
          <w:noProof/>
        </w:rPr>
      </w:pPr>
      <w:r w:rsidRPr="009E1B7B">
        <w:rPr>
          <w:noProof/>
        </w:rPr>
        <w:t>Motīvu daļa</w:t>
      </w:r>
    </w:p>
    <w:p w14:paraId="6BCE3168" w14:textId="6F4A48B6" w:rsidR="00A138AE" w:rsidRDefault="00A138AE" w:rsidP="0067614E">
      <w:pPr>
        <w:keepNext/>
        <w:spacing w:line="276" w:lineRule="auto"/>
        <w:ind w:firstLine="720"/>
        <w:contextualSpacing/>
        <w:jc w:val="both"/>
        <w:rPr>
          <w:noProof/>
          <w:lang w:eastAsia="lv-LV"/>
        </w:rPr>
      </w:pPr>
    </w:p>
    <w:p w14:paraId="0EA3FE87" w14:textId="3C549490" w:rsidR="004A2398" w:rsidRDefault="008F6F68" w:rsidP="0067614E">
      <w:pPr>
        <w:spacing w:line="276" w:lineRule="auto"/>
        <w:ind w:firstLine="720"/>
        <w:contextualSpacing/>
        <w:jc w:val="both"/>
        <w:rPr>
          <w:lang w:eastAsia="lv-LV" w:bidi="lv-LV"/>
        </w:rPr>
      </w:pPr>
      <w:r w:rsidRPr="00E828CC">
        <w:rPr>
          <w:noProof/>
          <w:lang w:eastAsia="lv-LV"/>
        </w:rPr>
        <w:t>[7] </w:t>
      </w:r>
      <w:r w:rsidR="006D36C8" w:rsidRPr="00E828CC">
        <w:rPr>
          <w:noProof/>
          <w:lang w:eastAsia="lv-LV"/>
        </w:rPr>
        <w:t xml:space="preserve">Lietā </w:t>
      </w:r>
      <w:r w:rsidR="00B4140D">
        <w:rPr>
          <w:noProof/>
          <w:lang w:eastAsia="lv-LV"/>
        </w:rPr>
        <w:t xml:space="preserve">ir </w:t>
      </w:r>
      <w:r w:rsidR="006D36C8" w:rsidRPr="00E828CC">
        <w:rPr>
          <w:noProof/>
          <w:lang w:eastAsia="lv-LV"/>
        </w:rPr>
        <w:t xml:space="preserve">strīds par </w:t>
      </w:r>
      <w:r w:rsidR="006D36C8" w:rsidRPr="00E828CC">
        <w:rPr>
          <w:lang w:eastAsia="lv-LV" w:bidi="lv-LV"/>
        </w:rPr>
        <w:t>Enerģētikas likuma 111.panta trešās daļas interpretāciju</w:t>
      </w:r>
      <w:r w:rsidR="00E5612A">
        <w:rPr>
          <w:lang w:eastAsia="lv-LV" w:bidi="lv-LV"/>
        </w:rPr>
        <w:t xml:space="preserve">, proti, vai šī </w:t>
      </w:r>
      <w:r w:rsidR="00844831">
        <w:rPr>
          <w:lang w:eastAsia="lv-LV" w:bidi="lv-LV"/>
        </w:rPr>
        <w:t xml:space="preserve">tiesību </w:t>
      </w:r>
      <w:r w:rsidR="00E5612A">
        <w:rPr>
          <w:lang w:eastAsia="lv-LV" w:bidi="lv-LV"/>
        </w:rPr>
        <w:t xml:space="preserve">norma nosaka </w:t>
      </w:r>
      <w:r w:rsidR="00B4140D">
        <w:rPr>
          <w:lang w:eastAsia="lv-LV" w:bidi="lv-LV"/>
        </w:rPr>
        <w:t xml:space="preserve">pieteicējas </w:t>
      </w:r>
      <w:r w:rsidR="00E5612A">
        <w:rPr>
          <w:lang w:eastAsia="lv-LV" w:bidi="lv-LV"/>
        </w:rPr>
        <w:t>akcionāru</w:t>
      </w:r>
      <w:r w:rsidR="00844831">
        <w:rPr>
          <w:lang w:eastAsia="lv-LV" w:bidi="lv-LV"/>
        </w:rPr>
        <w:t xml:space="preserve"> tiesību, tostarp</w:t>
      </w:r>
      <w:r w:rsidR="00E5612A">
        <w:rPr>
          <w:lang w:eastAsia="lv-LV" w:bidi="lv-LV"/>
        </w:rPr>
        <w:t xml:space="preserve"> balsstiesību</w:t>
      </w:r>
      <w:r w:rsidR="00844831">
        <w:rPr>
          <w:lang w:eastAsia="lv-LV" w:bidi="lv-LV"/>
        </w:rPr>
        <w:t>,</w:t>
      </w:r>
      <w:r w:rsidR="00E5612A">
        <w:rPr>
          <w:lang w:eastAsia="lv-LV" w:bidi="lv-LV"/>
        </w:rPr>
        <w:t xml:space="preserve"> ierobežojumu. Minētajam jautājumam ir pakārtots nākamais strīdus jautājums lietā, vai pieteicējas statūtu 9.4.apakšpunktā paredzētie akcionār</w:t>
      </w:r>
      <w:r w:rsidR="00B4140D">
        <w:rPr>
          <w:lang w:eastAsia="lv-LV" w:bidi="lv-LV"/>
        </w:rPr>
        <w:t>u</w:t>
      </w:r>
      <w:r w:rsidR="00E5612A">
        <w:rPr>
          <w:lang w:eastAsia="lv-LV" w:bidi="lv-LV"/>
        </w:rPr>
        <w:t xml:space="preserve"> tiesību, tostarp balsstiesību, ierobežojumi ir pietiekami, lai garantētu, ka Gazprom neizmantos jebkādas tiesības pieteicējā kā </w:t>
      </w:r>
      <w:r w:rsidR="00E5612A" w:rsidRPr="00E828CC">
        <w:t>vienot</w:t>
      </w:r>
      <w:r w:rsidR="00E5612A">
        <w:t>ajā</w:t>
      </w:r>
      <w:r w:rsidR="00E5612A" w:rsidRPr="00E828CC">
        <w:t xml:space="preserve"> dabasgāzes pārvades un uzglabāšanas sistēmas operator</w:t>
      </w:r>
      <w:r w:rsidR="00E5612A">
        <w:t>ā.</w:t>
      </w:r>
    </w:p>
    <w:p w14:paraId="63025716" w14:textId="77777777" w:rsidR="00E5612A" w:rsidRDefault="00E5612A" w:rsidP="0067614E">
      <w:pPr>
        <w:spacing w:line="276" w:lineRule="auto"/>
        <w:ind w:firstLine="720"/>
        <w:contextualSpacing/>
        <w:jc w:val="both"/>
        <w:rPr>
          <w:i/>
          <w:iCs/>
          <w:u w:val="single"/>
          <w:lang w:bidi="lv-LV"/>
        </w:rPr>
      </w:pPr>
    </w:p>
    <w:p w14:paraId="1EE770B2" w14:textId="28748166" w:rsidR="005015C7" w:rsidRPr="00E828CC" w:rsidRDefault="004A2398" w:rsidP="0067614E">
      <w:pPr>
        <w:spacing w:line="276" w:lineRule="auto"/>
        <w:ind w:firstLine="720"/>
        <w:contextualSpacing/>
        <w:jc w:val="both"/>
      </w:pPr>
      <w:r w:rsidRPr="00E828CC">
        <w:t>[</w:t>
      </w:r>
      <w:r w:rsidR="00E828CC">
        <w:t>8</w:t>
      </w:r>
      <w:r w:rsidRPr="00E828CC">
        <w:t>] </w:t>
      </w:r>
      <w:r w:rsidR="005015C7" w:rsidRPr="00E828CC">
        <w:t xml:space="preserve">Direktīvas </w:t>
      </w:r>
      <w:r w:rsidR="00BE1BCD" w:rsidRPr="00E828CC">
        <w:t xml:space="preserve">2009/73/EK </w:t>
      </w:r>
      <w:r w:rsidR="005015C7" w:rsidRPr="00E828CC">
        <w:t>mērķi</w:t>
      </w:r>
      <w:r w:rsidR="00C4093C">
        <w:t>s</w:t>
      </w:r>
      <w:r w:rsidR="005015C7" w:rsidRPr="00E828CC">
        <w:t xml:space="preserve"> ir izveidot dabasgāzes iekšējo tirgu, kurā pamatelements ir nediskriminējošas sistēmu piekļuves garantēšana. Direktīvas </w:t>
      </w:r>
      <w:r w:rsidR="00BE1BCD" w:rsidRPr="00E828CC">
        <w:t xml:space="preserve">2009/73/EK </w:t>
      </w:r>
      <w:r w:rsidR="005015C7" w:rsidRPr="00E828CC">
        <w:t>9.panta 1.punkta, kas aplūkots kopā ar direktīvas 6.apsvērumu, mērķis ir nodrošināt, pirmkārt, attiecīgi dabasgāzes pārvades sistēmu un, otrkārt, ražošanas un piegādes darbību efektīvu nodalīšanu.</w:t>
      </w:r>
      <w:r w:rsidR="00BE1BCD" w:rsidRPr="00E828CC">
        <w:t xml:space="preserve"> </w:t>
      </w:r>
      <w:r w:rsidR="005015C7" w:rsidRPr="00E828CC">
        <w:t>No direktīvas</w:t>
      </w:r>
      <w:r w:rsidR="00BE1BCD" w:rsidRPr="00E828CC">
        <w:t xml:space="preserve"> </w:t>
      </w:r>
      <w:r w:rsidR="005015C7" w:rsidRPr="00E828CC">
        <w:t xml:space="preserve">6.apsvēruma izriet, ka, nenodrošinot </w:t>
      </w:r>
      <w:r w:rsidR="00BE1BCD" w:rsidRPr="00E828CC">
        <w:t>minēto</w:t>
      </w:r>
      <w:r w:rsidR="005015C7" w:rsidRPr="00E828CC">
        <w:t xml:space="preserve"> </w:t>
      </w:r>
      <w:r w:rsidR="0046265A">
        <w:t xml:space="preserve">darbību </w:t>
      </w:r>
      <w:r w:rsidR="005015C7" w:rsidRPr="00E828CC">
        <w:t>efektīv</w:t>
      </w:r>
      <w:r w:rsidR="0046265A">
        <w:t>u</w:t>
      </w:r>
      <w:r w:rsidR="005015C7" w:rsidRPr="00E828CC">
        <w:t xml:space="preserve"> nodalīšanu, saistībā ar šo piekļuvi pastāv diskriminācijas risks. Š</w:t>
      </w:r>
      <w:r w:rsidR="00BE1BCD" w:rsidRPr="00E828CC">
        <w:t>ā</w:t>
      </w:r>
      <w:r w:rsidR="005015C7" w:rsidRPr="00E828CC">
        <w:t xml:space="preserve"> riska novēršana, kā izriet no </w:t>
      </w:r>
      <w:r w:rsidR="00BE1BCD" w:rsidRPr="00E828CC">
        <w:t>d</w:t>
      </w:r>
      <w:r w:rsidR="005015C7" w:rsidRPr="00E828CC">
        <w:t>irektīvas</w:t>
      </w:r>
      <w:r w:rsidR="00BE1BCD" w:rsidRPr="00E828CC">
        <w:t xml:space="preserve"> </w:t>
      </w:r>
      <w:r w:rsidR="005015C7" w:rsidRPr="00E828CC">
        <w:t>8., 9.</w:t>
      </w:r>
      <w:r w:rsidR="00BE1BCD" w:rsidRPr="00E828CC">
        <w:t xml:space="preserve"> </w:t>
      </w:r>
      <w:r w:rsidR="005015C7" w:rsidRPr="00E828CC">
        <w:t xml:space="preserve">un 13.apsvēruma, prasa likvidēt jebkādu interešu konfliktu, pirmkārt, </w:t>
      </w:r>
      <w:r w:rsidR="0046265A">
        <w:t xml:space="preserve">starp </w:t>
      </w:r>
      <w:r w:rsidR="005015C7" w:rsidRPr="00E828CC">
        <w:t>energoproduktu ražotājiem un piegādātājiem un, otrkārt,</w:t>
      </w:r>
      <w:r w:rsidR="0046265A">
        <w:t xml:space="preserve"> starp</w:t>
      </w:r>
      <w:r w:rsidR="005015C7" w:rsidRPr="00E828CC">
        <w:t xml:space="preserve"> pārvades sistēmu operatoriem.</w:t>
      </w:r>
      <w:r w:rsidR="00BE1BCD" w:rsidRPr="00E828CC">
        <w:t xml:space="preserve"> Direktīvā 2009/73/EK noteikto efektīv</w:t>
      </w:r>
      <w:r w:rsidR="0046265A">
        <w:t>ā</w:t>
      </w:r>
      <w:r w:rsidR="00BE1BCD" w:rsidRPr="00E828CC">
        <w:t>s nodalīšanas prasību mērķis tādējādi ir nodrošināt pārvades sistēmas operatoru pilnīgu un faktisku neatkarību no ražošanas un piegādes darbībām</w:t>
      </w:r>
      <w:r w:rsidR="00205BCE" w:rsidRPr="00E828CC">
        <w:t xml:space="preserve"> (</w:t>
      </w:r>
      <w:r w:rsidR="00205BCE" w:rsidRPr="00E828CC">
        <w:rPr>
          <w:i/>
          <w:iCs/>
        </w:rPr>
        <w:t xml:space="preserve">Eiropas Savienības Tiesas 2021.gada 2.septembra sprieduma lietā C-718/18, </w:t>
      </w:r>
      <w:hyperlink r:id="rId9" w:history="1">
        <w:r w:rsidR="00205BCE" w:rsidRPr="002E3DD7">
          <w:rPr>
            <w:rStyle w:val="Hyperlink"/>
            <w:i/>
            <w:iCs/>
          </w:rPr>
          <w:t>ECLI:EU:C:2021:662</w:t>
        </w:r>
      </w:hyperlink>
      <w:r w:rsidR="00205BCE" w:rsidRPr="002E3DD7">
        <w:rPr>
          <w:i/>
          <w:iCs/>
        </w:rPr>
        <w:t>,</w:t>
      </w:r>
      <w:r w:rsidR="00205BCE" w:rsidRPr="00E828CC">
        <w:rPr>
          <w:i/>
          <w:iCs/>
        </w:rPr>
        <w:t xml:space="preserve"> 34.</w:t>
      </w:r>
      <w:r w:rsidR="0013494B" w:rsidRPr="0013494B">
        <w:rPr>
          <w:i/>
          <w:iCs/>
        </w:rPr>
        <w:t>–</w:t>
      </w:r>
      <w:r w:rsidR="00205BCE" w:rsidRPr="00E828CC">
        <w:rPr>
          <w:i/>
          <w:iCs/>
        </w:rPr>
        <w:t>36.punkts</w:t>
      </w:r>
      <w:r w:rsidR="00205BCE" w:rsidRPr="00E828CC">
        <w:t>).</w:t>
      </w:r>
    </w:p>
    <w:p w14:paraId="522D6A13" w14:textId="77777777" w:rsidR="00A32F55" w:rsidRPr="00E828CC" w:rsidRDefault="004A2398" w:rsidP="0067614E">
      <w:pPr>
        <w:spacing w:line="276" w:lineRule="auto"/>
        <w:ind w:firstLine="720"/>
        <w:contextualSpacing/>
        <w:jc w:val="both"/>
      </w:pPr>
      <w:r w:rsidRPr="00E828CC">
        <w:t xml:space="preserve">Īstenojot </w:t>
      </w:r>
      <w:r w:rsidR="00205BCE" w:rsidRPr="00E828CC">
        <w:t>di</w:t>
      </w:r>
      <w:r w:rsidRPr="00E828CC">
        <w:t>rektīvas</w:t>
      </w:r>
      <w:r w:rsidR="00EB361F" w:rsidRPr="00E828CC">
        <w:t xml:space="preserve"> </w:t>
      </w:r>
      <w:r w:rsidR="00651A90" w:rsidRPr="00E828CC">
        <w:t>2009/73/EK</w:t>
      </w:r>
      <w:r w:rsidR="00EB361F" w:rsidRPr="00E828CC">
        <w:t xml:space="preserve"> prasības,</w:t>
      </w:r>
      <w:r w:rsidRPr="00E828CC">
        <w:t xml:space="preserve"> Enerģētikas likuma 111.</w:t>
      </w:r>
      <w:r w:rsidR="00651A90" w:rsidRPr="00E828CC">
        <w:t xml:space="preserve"> </w:t>
      </w:r>
      <w:r w:rsidRPr="00E828CC">
        <w:t xml:space="preserve">un 114.pantā ietvertas prasības </w:t>
      </w:r>
      <w:r w:rsidR="002D4474" w:rsidRPr="00E828CC">
        <w:t xml:space="preserve">vienotā dabasgāzes pārvades un uzglabāšanas </w:t>
      </w:r>
      <w:r w:rsidRPr="00E828CC">
        <w:t>sistēmas operatora</w:t>
      </w:r>
      <w:r w:rsidR="002D4474" w:rsidRPr="00E828CC">
        <w:t xml:space="preserve"> </w:t>
      </w:r>
      <w:r w:rsidRPr="00E828CC">
        <w:t>neatkarības nodrošināšanai un sertificēšanai.</w:t>
      </w:r>
    </w:p>
    <w:p w14:paraId="23819746" w14:textId="0D56691C" w:rsidR="00701B03" w:rsidRPr="00E828CC" w:rsidRDefault="004A2398" w:rsidP="0067614E">
      <w:pPr>
        <w:spacing w:line="276" w:lineRule="auto"/>
        <w:ind w:firstLine="720"/>
        <w:contextualSpacing/>
        <w:jc w:val="both"/>
      </w:pPr>
      <w:r w:rsidRPr="00E828CC">
        <w:t xml:space="preserve">Enerģētikas likuma 111.panta trešā daļa paredz nosacījumus, kas jāievēro, lai nodrošinātu </w:t>
      </w:r>
      <w:r w:rsidR="009028E0" w:rsidRPr="00E828CC">
        <w:t xml:space="preserve">vienotā dabasgāzes pārvades un uzglabāšanas sistēmas operatora </w:t>
      </w:r>
      <w:r w:rsidRPr="00E828CC">
        <w:t>neatkarību un efektīvi novērstu jebkādu interešu konfliktu starp vienoto dabasgāzes pārvades un uzglabāšanas sistēmas operatoru un energoapgādes komersantiem, kas nodarbojas ar dabasgāzes vai elektroenerģijas ražošanu vai tirdzniecību (turpmāk – neatkarības prasības)</w:t>
      </w:r>
      <w:r w:rsidR="00831715" w:rsidRPr="00E828CC">
        <w:t>.</w:t>
      </w:r>
      <w:r w:rsidRPr="00E828CC">
        <w:t xml:space="preserve"> </w:t>
      </w:r>
      <w:r w:rsidR="00831715" w:rsidRPr="00E828CC">
        <w:t>Lietā ir piemēroti trīs no normā minētajiem nosacījumiem</w:t>
      </w:r>
      <w:r w:rsidRPr="00E828CC">
        <w:t>:</w:t>
      </w:r>
    </w:p>
    <w:p w14:paraId="674DD427" w14:textId="77777777" w:rsidR="009C3B72" w:rsidRPr="00E828CC" w:rsidRDefault="004A2398" w:rsidP="0067614E">
      <w:pPr>
        <w:spacing w:line="276" w:lineRule="auto"/>
        <w:ind w:firstLine="720"/>
        <w:contextualSpacing/>
        <w:jc w:val="both"/>
      </w:pPr>
      <w:r w:rsidRPr="00E828CC">
        <w:t>1)</w:t>
      </w:r>
      <w:r w:rsidR="00701B03" w:rsidRPr="00E828CC">
        <w:t> </w:t>
      </w:r>
      <w:r w:rsidRPr="00E828CC">
        <w:t>viena un tā pati persona vai personas, kuras tieši vai netieši kontrolē energoapgādes komersantu, kas nodarbojas ar dabasgāzes vai elektroenerģijas ražošanu vai tirdzniecību, nedrīkst tieši vai netieši kontrolēt vienoto dabasgāzes pārvades un uzglabāšanas sistēmas operatoru, dabasgāzes pārvades sistēmu vai Inčukalna pazemes gāzes krātuvi vai izmantot jebkādas tiesības vienotajā dabasgāzes pārvades un uzglabāšanas sistēmas operatorā;</w:t>
      </w:r>
    </w:p>
    <w:p w14:paraId="569A44BF" w14:textId="77777777" w:rsidR="009C3B72" w:rsidRPr="00E828CC" w:rsidRDefault="004A2398" w:rsidP="0067614E">
      <w:pPr>
        <w:spacing w:line="276" w:lineRule="auto"/>
        <w:ind w:firstLine="720"/>
        <w:contextualSpacing/>
        <w:jc w:val="both"/>
      </w:pPr>
      <w:r w:rsidRPr="00E828CC">
        <w:t>2)</w:t>
      </w:r>
      <w:r w:rsidR="00701B03" w:rsidRPr="00E828CC">
        <w:t> </w:t>
      </w:r>
      <w:r w:rsidRPr="00E828CC">
        <w:t>viena un tā pati persona vai personas, kuras tieši vai netieši kontrolē vienoto dabasgāzes pārvades un uzglabāšanas sistēmas operatoru vai Inčukalna pazemes gāzes krātuvi, nedrīkst tieši vai netieši kontrolēt energoapgādes komersantu, kas nodarbojas ar dabasgāzes vai elektroenerģijas ražošanu vai tirdzniecību, vai izmantot jebkādas tiesības šādā komersantā;</w:t>
      </w:r>
    </w:p>
    <w:p w14:paraId="64D94819" w14:textId="2B7B649F" w:rsidR="00701B03" w:rsidRPr="00E828CC" w:rsidRDefault="004A2398" w:rsidP="0067614E">
      <w:pPr>
        <w:spacing w:line="276" w:lineRule="auto"/>
        <w:ind w:firstLine="720"/>
        <w:contextualSpacing/>
        <w:jc w:val="both"/>
      </w:pPr>
      <w:r w:rsidRPr="00E828CC">
        <w:t>3)</w:t>
      </w:r>
      <w:r w:rsidR="00701B03" w:rsidRPr="00E828CC">
        <w:t> </w:t>
      </w:r>
      <w:r w:rsidRPr="00E828CC">
        <w:t>viena un tā pati persona nedrīkst iecelt vienotā dabasgāzes pārvades un uzglabāšanas sistēmas operatora padomes, valdes vai tādu institūciju locekļus, kurām ir tiesības pārstāvēt vienoto dabasgāzes pārvades un uzglabāšanas sistēmas operatoru vai dabasgāzes pārvades sistēmu, vai Inčukalna pazemes gāzes krātuvi, un vienlaikus tieši vai netieši kontrolēt dabasgāzes apgādes komersantu, kas nodarbojas ar dabasgāzes ražošanu un tirdzniecību, vai izmantot jebkādas tiesības šādā komersantā.</w:t>
      </w:r>
    </w:p>
    <w:p w14:paraId="43A63B1A" w14:textId="152FB041" w:rsidR="004A2398" w:rsidRDefault="000149AD" w:rsidP="0067614E">
      <w:pPr>
        <w:spacing w:line="276" w:lineRule="auto"/>
        <w:ind w:firstLine="720"/>
        <w:contextualSpacing/>
        <w:jc w:val="both"/>
      </w:pPr>
      <w:r w:rsidRPr="00E828CC">
        <w:t xml:space="preserve">Saskaņā ar </w:t>
      </w:r>
      <w:r w:rsidR="004A2398" w:rsidRPr="00E828CC">
        <w:t>Enerģētikas likuma 114.panta otr</w:t>
      </w:r>
      <w:r w:rsidRPr="00E828CC">
        <w:t>o</w:t>
      </w:r>
      <w:r w:rsidR="004A2398" w:rsidRPr="00E828CC">
        <w:t xml:space="preserve"> daļ</w:t>
      </w:r>
      <w:r w:rsidRPr="00E828CC">
        <w:t xml:space="preserve">u </w:t>
      </w:r>
      <w:r w:rsidR="004A2398" w:rsidRPr="00E828CC">
        <w:t>vienotais dabasgāzes pārvades un uzglabāšanas sistēmas operators atbilst sertificēšanas prasībām, ja citastarp ievēro šā likuma</w:t>
      </w:r>
      <w:r w:rsidR="00701B03" w:rsidRPr="00E828CC">
        <w:t xml:space="preserve"> </w:t>
      </w:r>
      <w:hyperlink r:id="rId10" w:anchor="p111" w:history="1">
        <w:r w:rsidR="004A2398" w:rsidRPr="00E828CC">
          <w:t>111.panta</w:t>
        </w:r>
      </w:hyperlink>
      <w:r w:rsidR="00701B03" w:rsidRPr="00E828CC">
        <w:t xml:space="preserve"> </w:t>
      </w:r>
      <w:r w:rsidR="004A2398" w:rsidRPr="00E828CC">
        <w:t>trešajā daļā noteiktās neatkarības prasības.</w:t>
      </w:r>
    </w:p>
    <w:p w14:paraId="745D1A9C" w14:textId="4599B01F" w:rsidR="00BC0058" w:rsidRPr="00BC0058" w:rsidRDefault="00E828CC" w:rsidP="0067614E">
      <w:pPr>
        <w:spacing w:line="276" w:lineRule="auto"/>
        <w:ind w:firstLine="720"/>
        <w:contextualSpacing/>
        <w:jc w:val="both"/>
        <w:rPr>
          <w:noProof/>
          <w:lang w:eastAsia="lv-LV"/>
        </w:rPr>
      </w:pPr>
      <w:r>
        <w:t xml:space="preserve">Tātad </w:t>
      </w:r>
      <w:r w:rsidRPr="00E828CC">
        <w:t>Enerģētikas likuma 111.panta treš</w:t>
      </w:r>
      <w:r w:rsidR="00BC0058">
        <w:t>aj</w:t>
      </w:r>
      <w:r w:rsidRPr="00E828CC">
        <w:t>ā daļā</w:t>
      </w:r>
      <w:r w:rsidRPr="00E828CC">
        <w:rPr>
          <w:noProof/>
          <w:lang w:eastAsia="lv-LV"/>
        </w:rPr>
        <w:t xml:space="preserve"> ir norādītas interešu konflikta situācijas, kuras nav pieļaujamas, lai nodrošinātu </w:t>
      </w:r>
      <w:r w:rsidRPr="00E828CC">
        <w:t>vienotā dabasgāzes pārvades un uzglabāšanas sistēmas operatora neatkarību. Šo prasību ievērošanu vērtē</w:t>
      </w:r>
      <w:r w:rsidRPr="00E828CC">
        <w:rPr>
          <w:noProof/>
          <w:lang w:eastAsia="lv-LV"/>
        </w:rPr>
        <w:t xml:space="preserve"> regulators, lemjot par </w:t>
      </w:r>
      <w:r w:rsidRPr="00E828CC">
        <w:t xml:space="preserve">vienotā dabasgāzes pārvades un uzglabāšanas sistēmas operatora </w:t>
      </w:r>
      <w:r w:rsidRPr="00E828CC">
        <w:rPr>
          <w:noProof/>
          <w:lang w:eastAsia="lv-LV"/>
        </w:rPr>
        <w:t xml:space="preserve">atbilstību </w:t>
      </w:r>
      <w:r w:rsidRPr="00BC0058">
        <w:rPr>
          <w:noProof/>
          <w:lang w:eastAsia="lv-LV"/>
        </w:rPr>
        <w:t xml:space="preserve">sertificēšanas prasībām. </w:t>
      </w:r>
      <w:r w:rsidR="00BC0058" w:rsidRPr="00BC0058">
        <w:rPr>
          <w:noProof/>
          <w:lang w:eastAsia="lv-LV"/>
        </w:rPr>
        <w:t xml:space="preserve">Saskaņā ar </w:t>
      </w:r>
      <w:r w:rsidR="00BC0058" w:rsidRPr="00BC0058">
        <w:t>Enerģētikas likuma 114.panta pirmo daļu tieši v</w:t>
      </w:r>
      <w:r w:rsidR="00BC0058" w:rsidRPr="00BC0058">
        <w:rPr>
          <w:shd w:val="clear" w:color="auto" w:fill="FFFFFF"/>
        </w:rPr>
        <w:t>ienotajam dabasgāzes pārvades un uzglabāšanas sistēmas operatoram ir pienākums nodrošināt atbilstību šā panta otrajā daļā noteiktajām sertificēšanas prasībām un iesniegt regulatoram to apliecinošus dokumentus.</w:t>
      </w:r>
    </w:p>
    <w:p w14:paraId="3C9616EB" w14:textId="77777777" w:rsidR="00901DED" w:rsidRPr="00E828CC" w:rsidRDefault="00901DED" w:rsidP="0067614E">
      <w:pPr>
        <w:spacing w:line="276" w:lineRule="auto"/>
        <w:ind w:firstLine="720"/>
        <w:contextualSpacing/>
        <w:jc w:val="both"/>
      </w:pPr>
    </w:p>
    <w:p w14:paraId="395D29A3" w14:textId="5690EEEA" w:rsidR="00FB3702" w:rsidRPr="00E828CC" w:rsidRDefault="00BB5685" w:rsidP="0067614E">
      <w:pPr>
        <w:spacing w:line="276" w:lineRule="auto"/>
        <w:ind w:firstLine="720"/>
        <w:contextualSpacing/>
        <w:jc w:val="both"/>
        <w:rPr>
          <w:lang w:bidi="lv-LV"/>
        </w:rPr>
      </w:pPr>
      <w:r w:rsidRPr="00E828CC">
        <w:t>[</w:t>
      </w:r>
      <w:r w:rsidR="00E828CC">
        <w:t>9</w:t>
      </w:r>
      <w:r w:rsidRPr="00E828CC">
        <w:t>] </w:t>
      </w:r>
      <w:r w:rsidR="00464092">
        <w:t>Ievērojot minēto, atzīstams, ka a</w:t>
      </w:r>
      <w:r w:rsidR="00FB3702">
        <w:t>pga</w:t>
      </w:r>
      <w:r w:rsidR="00FB3702" w:rsidRPr="00E828CC">
        <w:t xml:space="preserve">baltiesa ir pareizi </w:t>
      </w:r>
      <w:r w:rsidR="00464092">
        <w:t>secinājusi</w:t>
      </w:r>
      <w:r w:rsidR="00FB3702" w:rsidRPr="00E828CC">
        <w:t>, ka Enerģētikas likuma 111.panta trešajā daļā ir ietverti nosacījumi vienotā dabasgāzes pārvades un uzglabāšanas sistēmas operatora neatkarībai</w:t>
      </w:r>
      <w:r w:rsidR="00464092">
        <w:t xml:space="preserve">, bet </w:t>
      </w:r>
      <w:r w:rsidR="00FB3702" w:rsidRPr="00E828CC">
        <w:t>nav noteikti ierobežojumi akcionāriem</w:t>
      </w:r>
      <w:r w:rsidR="00FB3702">
        <w:t xml:space="preserve"> izmantot balsstiesības</w:t>
      </w:r>
      <w:r w:rsidR="00FB3702" w:rsidRPr="00E828CC">
        <w:t>, kā to uzskata pieteicēja.</w:t>
      </w:r>
      <w:r w:rsidR="00FB3702" w:rsidRPr="00E828CC">
        <w:rPr>
          <w:lang w:bidi="lv-LV"/>
        </w:rPr>
        <w:t xml:space="preserve"> Proti, Enerģētikas likuma 111.panta trešā daļa neatbilst Komerclikuma 280.panta treš</w:t>
      </w:r>
      <w:r w:rsidR="00FB3702">
        <w:rPr>
          <w:lang w:bidi="lv-LV"/>
        </w:rPr>
        <w:t>ās</w:t>
      </w:r>
      <w:r w:rsidR="00FB3702" w:rsidRPr="00E828CC">
        <w:rPr>
          <w:lang w:bidi="lv-LV"/>
        </w:rPr>
        <w:t xml:space="preserve"> daļ</w:t>
      </w:r>
      <w:r w:rsidR="00FB3702">
        <w:rPr>
          <w:lang w:bidi="lv-LV"/>
        </w:rPr>
        <w:t>as</w:t>
      </w:r>
      <w:r w:rsidR="00FB3702" w:rsidRPr="00E828CC">
        <w:rPr>
          <w:lang w:bidi="lv-LV"/>
        </w:rPr>
        <w:t xml:space="preserve"> (a</w:t>
      </w:r>
      <w:r w:rsidR="00FB3702" w:rsidRPr="00E828CC">
        <w:rPr>
          <w:shd w:val="clear" w:color="auto" w:fill="FFFFFF"/>
        </w:rPr>
        <w:t>kcionāru balsstiesības ir ierobežojamas arī citos likumā noteiktajos gadījumos</w:t>
      </w:r>
      <w:r w:rsidR="00FB3702" w:rsidRPr="00E828CC">
        <w:rPr>
          <w:lang w:bidi="lv-LV"/>
        </w:rPr>
        <w:t xml:space="preserve">) </w:t>
      </w:r>
      <w:r w:rsidR="00FB3702">
        <w:rPr>
          <w:lang w:bidi="lv-LV"/>
        </w:rPr>
        <w:t>noteikumiem par</w:t>
      </w:r>
      <w:r w:rsidR="00FB3702" w:rsidRPr="00E828CC">
        <w:rPr>
          <w:lang w:bidi="lv-LV"/>
        </w:rPr>
        <w:t xml:space="preserve"> likumiskajiem akcionāru balsstiesību ierobežojumiem.</w:t>
      </w:r>
    </w:p>
    <w:p w14:paraId="6C9F3D69" w14:textId="0A0B569D" w:rsidR="001812B8" w:rsidRPr="00E828CC" w:rsidRDefault="00971C19" w:rsidP="0067614E">
      <w:pPr>
        <w:spacing w:line="276" w:lineRule="auto"/>
        <w:ind w:firstLine="720"/>
        <w:contextualSpacing/>
        <w:jc w:val="both"/>
        <w:rPr>
          <w:noProof/>
          <w:lang w:eastAsia="lv-LV"/>
        </w:rPr>
      </w:pPr>
      <w:r>
        <w:t>Lai pamatotu savu secinājumu, a</w:t>
      </w:r>
      <w:r w:rsidR="00B744FF" w:rsidRPr="00E828CC">
        <w:t>pgabaltiesa</w:t>
      </w:r>
      <w:r>
        <w:t xml:space="preserve"> papildus</w:t>
      </w:r>
      <w:r w:rsidR="00B744FF" w:rsidRPr="00E828CC">
        <w:t xml:space="preserve"> ir salīdzinājusi</w:t>
      </w:r>
      <w:r w:rsidR="008A127E">
        <w:t xml:space="preserve"> </w:t>
      </w:r>
      <w:r w:rsidR="008A127E" w:rsidRPr="00E828CC">
        <w:t>Enerģētikas likuma 111.panta treš</w:t>
      </w:r>
      <w:r w:rsidR="008A127E">
        <w:t>o</w:t>
      </w:r>
      <w:r w:rsidR="008A127E" w:rsidRPr="00E828CC">
        <w:t xml:space="preserve"> daļu</w:t>
      </w:r>
      <w:r w:rsidR="008A127E">
        <w:t xml:space="preserve"> ar citām</w:t>
      </w:r>
      <w:r w:rsidR="00B744FF" w:rsidRPr="00E828CC">
        <w:t xml:space="preserve"> Latvijas tiesību sistēmā pastāv</w:t>
      </w:r>
      <w:r w:rsidR="008A127E">
        <w:t>ošajām</w:t>
      </w:r>
      <w:r w:rsidR="00B744FF" w:rsidRPr="00E828CC">
        <w:t xml:space="preserve"> likum</w:t>
      </w:r>
      <w:r w:rsidR="008A127E">
        <w:t>u</w:t>
      </w:r>
      <w:r w:rsidR="00B744FF" w:rsidRPr="00E828CC">
        <w:t xml:space="preserve"> norm</w:t>
      </w:r>
      <w:r w:rsidR="008A127E">
        <w:t>ām</w:t>
      </w:r>
      <w:r w:rsidR="00B744FF" w:rsidRPr="00E828CC">
        <w:t>, kurās ietverti likumiski akcionāru tiesību ierobežojumi</w:t>
      </w:r>
      <w:r w:rsidR="001A786A" w:rsidRPr="00E828CC">
        <w:t xml:space="preserve"> (</w:t>
      </w:r>
      <w:r w:rsidR="00E828CC" w:rsidRPr="00E828CC">
        <w:t xml:space="preserve">piemēram, </w:t>
      </w:r>
      <w:r w:rsidR="001A786A" w:rsidRPr="00E828CC">
        <w:t>Kredītiestāžu likuma 33.panta otrā un trešā daļā, Koncernu likuma</w:t>
      </w:r>
      <w:r w:rsidR="002C63A8">
        <w:t xml:space="preserve"> 7.panta</w:t>
      </w:r>
      <w:r w:rsidR="001A786A" w:rsidRPr="00E828CC">
        <w:t xml:space="preserve"> pirmā un otrā daļa)</w:t>
      </w:r>
      <w:r w:rsidR="008A127E">
        <w:t xml:space="preserve"> un </w:t>
      </w:r>
      <w:r w:rsidR="001812B8" w:rsidRPr="00E828CC">
        <w:rPr>
          <w:noProof/>
          <w:lang w:eastAsia="lv-LV"/>
        </w:rPr>
        <w:t>k</w:t>
      </w:r>
      <w:r w:rsidR="008A127E">
        <w:rPr>
          <w:noProof/>
          <w:lang w:eastAsia="lv-LV"/>
        </w:rPr>
        <w:t>urās parasti ir</w:t>
      </w:r>
      <w:r w:rsidR="001A786A" w:rsidRPr="00E828CC">
        <w:rPr>
          <w:noProof/>
          <w:lang w:eastAsia="lv-LV"/>
        </w:rPr>
        <w:t xml:space="preserve"> paredzēti</w:t>
      </w:r>
      <w:r w:rsidR="008A127E">
        <w:rPr>
          <w:noProof/>
          <w:lang w:eastAsia="lv-LV"/>
        </w:rPr>
        <w:t xml:space="preserve"> arī</w:t>
      </w:r>
      <w:r w:rsidR="001A786A" w:rsidRPr="00E828CC">
        <w:rPr>
          <w:noProof/>
          <w:lang w:eastAsia="lv-LV"/>
        </w:rPr>
        <w:t xml:space="preserve"> principi, pēc kuriem </w:t>
      </w:r>
      <w:r w:rsidR="00E20649">
        <w:rPr>
          <w:noProof/>
          <w:lang w:eastAsia="lv-LV"/>
        </w:rPr>
        <w:t>š</w:t>
      </w:r>
      <w:r w:rsidR="001A786A" w:rsidRPr="00E828CC">
        <w:rPr>
          <w:noProof/>
          <w:lang w:eastAsia="lv-LV"/>
        </w:rPr>
        <w:t>ādā gadījumā tiek aprēķināts</w:t>
      </w:r>
      <w:r w:rsidR="001812B8" w:rsidRPr="00E828CC">
        <w:rPr>
          <w:noProof/>
          <w:lang w:eastAsia="lv-LV"/>
        </w:rPr>
        <w:t xml:space="preserve"> balsstiesī</w:t>
      </w:r>
      <w:r w:rsidR="001A786A" w:rsidRPr="00E828CC">
        <w:rPr>
          <w:noProof/>
          <w:lang w:eastAsia="lv-LV"/>
        </w:rPr>
        <w:t>go akciju skaits.</w:t>
      </w:r>
      <w:r w:rsidR="00464092">
        <w:rPr>
          <w:noProof/>
          <w:lang w:eastAsia="lv-LV"/>
        </w:rPr>
        <w:t xml:space="preserve"> Apgabaltiesa norādījusi, ka </w:t>
      </w:r>
      <w:r w:rsidR="00464092" w:rsidRPr="00E828CC">
        <w:t>Enerģētikas likuma 111.panta treš</w:t>
      </w:r>
      <w:r w:rsidR="00464092">
        <w:t>ā</w:t>
      </w:r>
      <w:r w:rsidR="00464092" w:rsidRPr="00E828CC">
        <w:t xml:space="preserve"> daļ</w:t>
      </w:r>
      <w:r w:rsidR="00464092">
        <w:t xml:space="preserve">a ir formulēta atšķirīgi un nenoteic sekas, kas iestājas </w:t>
      </w:r>
      <w:r>
        <w:t xml:space="preserve">ierobežoto balsstiesību izmantošanas vai neizmatošanas gadījumā. </w:t>
      </w:r>
      <w:r w:rsidR="00B744FF" w:rsidRPr="00E828CC">
        <w:rPr>
          <w:noProof/>
          <w:lang w:eastAsia="lv-LV"/>
        </w:rPr>
        <w:t xml:space="preserve">Pieteicējas norādītais, ka ne visos gadījumos, kad akcionāru </w:t>
      </w:r>
      <w:r w:rsidR="001A786A" w:rsidRPr="00E828CC">
        <w:rPr>
          <w:noProof/>
          <w:lang w:eastAsia="lv-LV"/>
        </w:rPr>
        <w:t xml:space="preserve">balsttiesības ir ierobežotas ar likumu, </w:t>
      </w:r>
      <w:r>
        <w:rPr>
          <w:noProof/>
          <w:lang w:eastAsia="lv-LV"/>
        </w:rPr>
        <w:t xml:space="preserve">attiecīgajā normā </w:t>
      </w:r>
      <w:r w:rsidR="001A786A" w:rsidRPr="00E828CC">
        <w:rPr>
          <w:noProof/>
          <w:lang w:eastAsia="lv-LV"/>
        </w:rPr>
        <w:t>ir ietverts arī mehānisms lemttiesīgo akciju skaita aprēķināšanai, piemēram, Koncernu likumā, nemaina seci</w:t>
      </w:r>
      <w:r w:rsidR="00FB3702">
        <w:rPr>
          <w:noProof/>
          <w:lang w:eastAsia="lv-LV"/>
        </w:rPr>
        <w:t>nā</w:t>
      </w:r>
      <w:r w:rsidR="001A786A" w:rsidRPr="00E828CC">
        <w:rPr>
          <w:noProof/>
          <w:lang w:eastAsia="lv-LV"/>
        </w:rPr>
        <w:t xml:space="preserve">jumu par to, ka </w:t>
      </w:r>
      <w:r w:rsidR="001A786A" w:rsidRPr="00E828CC">
        <w:t xml:space="preserve">Enerģētikas likuma </w:t>
      </w:r>
      <w:r w:rsidR="001A786A" w:rsidRPr="00E828CC">
        <w:rPr>
          <w:noProof/>
          <w:lang w:eastAsia="lv-LV"/>
        </w:rPr>
        <w:t>111.panta trešā daļa nenosaka akcionāru balsstiesību ierobežojumus.</w:t>
      </w:r>
      <w:r w:rsidRPr="00971C19">
        <w:t xml:space="preserve"> </w:t>
      </w:r>
      <w:r w:rsidRPr="00E828CC">
        <w:t xml:space="preserve">Arī pieteicējas argumenti par terminu „kontrole” un „jebkādas tiesības” izpratni neliecina par pretējo, </w:t>
      </w:r>
      <w:r w:rsidR="00B229A9">
        <w:t xml:space="preserve">jo </w:t>
      </w:r>
      <w:r w:rsidRPr="00E828CC">
        <w:t xml:space="preserve">šo jēdzienu tulkojums attiecas uz vērtējumu pēc būtības, vai pastāv normā norādītā interešu konflikta situācija. </w:t>
      </w:r>
      <w:r w:rsidR="001812B8" w:rsidRPr="00E828CC">
        <w:rPr>
          <w:noProof/>
          <w:lang w:eastAsia="lv-LV"/>
        </w:rPr>
        <w:t>Turklāt arī pieteicēja kasācijas sūdzīb</w:t>
      </w:r>
      <w:r w:rsidR="00EF7DBC">
        <w:rPr>
          <w:noProof/>
          <w:lang w:eastAsia="lv-LV"/>
        </w:rPr>
        <w:t>ā</w:t>
      </w:r>
      <w:r w:rsidR="001812B8" w:rsidRPr="00E828CC">
        <w:rPr>
          <w:noProof/>
          <w:lang w:eastAsia="lv-LV"/>
        </w:rPr>
        <w:t xml:space="preserve"> </w:t>
      </w:r>
      <w:r w:rsidR="001A786A" w:rsidRPr="00E828CC">
        <w:rPr>
          <w:noProof/>
          <w:lang w:eastAsia="lv-LV"/>
        </w:rPr>
        <w:t xml:space="preserve">pareizi </w:t>
      </w:r>
      <w:r w:rsidR="001812B8" w:rsidRPr="00E828CC">
        <w:rPr>
          <w:noProof/>
          <w:lang w:eastAsia="lv-LV"/>
        </w:rPr>
        <w:t>norād</w:t>
      </w:r>
      <w:r w:rsidR="00B229A9">
        <w:rPr>
          <w:noProof/>
          <w:lang w:eastAsia="lv-LV"/>
        </w:rPr>
        <w:t>a</w:t>
      </w:r>
      <w:r w:rsidR="001812B8" w:rsidRPr="00E828CC">
        <w:rPr>
          <w:noProof/>
          <w:lang w:eastAsia="lv-LV"/>
        </w:rPr>
        <w:t xml:space="preserve">, ka </w:t>
      </w:r>
      <w:r w:rsidR="001A786A" w:rsidRPr="00E828CC">
        <w:rPr>
          <w:noProof/>
          <w:lang w:eastAsia="lv-LV"/>
        </w:rPr>
        <w:t xml:space="preserve">šai </w:t>
      </w:r>
      <w:r w:rsidR="001812B8" w:rsidRPr="00E828CC">
        <w:rPr>
          <w:noProof/>
          <w:lang w:eastAsia="lv-LV"/>
        </w:rPr>
        <w:t>normai ir cits regulējuma priekšmets, kurā neietilpst kapiltālsabiedrību pārvaldes organizatorisko jautājumu regulējums</w:t>
      </w:r>
      <w:r w:rsidR="001A786A" w:rsidRPr="00E828CC">
        <w:rPr>
          <w:noProof/>
          <w:lang w:eastAsia="lv-LV"/>
        </w:rPr>
        <w:t>.</w:t>
      </w:r>
    </w:p>
    <w:p w14:paraId="25CAE482" w14:textId="4C07B030" w:rsidR="00E828CC" w:rsidRPr="00E828CC" w:rsidRDefault="002C63A8" w:rsidP="0067614E">
      <w:pPr>
        <w:spacing w:line="276" w:lineRule="auto"/>
        <w:ind w:firstLine="720"/>
        <w:contextualSpacing/>
        <w:jc w:val="both"/>
      </w:pPr>
      <w:r>
        <w:rPr>
          <w:noProof/>
          <w:lang w:eastAsia="lv-LV"/>
        </w:rPr>
        <w:t xml:space="preserve">Lai gan pieteicēja uzskata, ka </w:t>
      </w:r>
      <w:r w:rsidR="001812B8" w:rsidRPr="00E828CC">
        <w:rPr>
          <w:noProof/>
          <w:lang w:eastAsia="lv-LV"/>
        </w:rPr>
        <w:t>apgabaltiesa</w:t>
      </w:r>
      <w:r>
        <w:rPr>
          <w:noProof/>
          <w:lang w:eastAsia="lv-LV"/>
        </w:rPr>
        <w:t xml:space="preserve"> ir nepareizi interpretējusi</w:t>
      </w:r>
      <w:r w:rsidR="001812B8" w:rsidRPr="00E828CC">
        <w:rPr>
          <w:noProof/>
          <w:lang w:eastAsia="lv-LV"/>
        </w:rPr>
        <w:t xml:space="preserve"> </w:t>
      </w:r>
      <w:r w:rsidR="00971C19" w:rsidRPr="00E828CC">
        <w:t xml:space="preserve">Enerģētikas likuma </w:t>
      </w:r>
      <w:r w:rsidR="00971C19" w:rsidRPr="00E828CC">
        <w:rPr>
          <w:noProof/>
          <w:lang w:eastAsia="lv-LV"/>
        </w:rPr>
        <w:t xml:space="preserve">111.panta trešo </w:t>
      </w:r>
      <w:r w:rsidR="00E828CC" w:rsidRPr="00E828CC">
        <w:rPr>
          <w:noProof/>
          <w:lang w:eastAsia="lv-LV"/>
        </w:rPr>
        <w:t>daļu</w:t>
      </w:r>
      <w:r>
        <w:rPr>
          <w:noProof/>
          <w:lang w:eastAsia="lv-LV"/>
        </w:rPr>
        <w:t xml:space="preserve">, jo ir izmantojusi tikai </w:t>
      </w:r>
      <w:r w:rsidR="001812B8" w:rsidRPr="00E828CC">
        <w:rPr>
          <w:noProof/>
          <w:lang w:eastAsia="lv-LV"/>
        </w:rPr>
        <w:t>gramatisk</w:t>
      </w:r>
      <w:r>
        <w:rPr>
          <w:noProof/>
          <w:lang w:eastAsia="lv-LV"/>
        </w:rPr>
        <w:t>o interpretācijas metodi, pieteicēja n</w:t>
      </w:r>
      <w:r w:rsidR="001812B8" w:rsidRPr="00E828CC">
        <w:rPr>
          <w:noProof/>
          <w:lang w:eastAsia="lv-LV"/>
        </w:rPr>
        <w:t xml:space="preserve">av pamatojusi, </w:t>
      </w:r>
      <w:r>
        <w:rPr>
          <w:noProof/>
          <w:lang w:eastAsia="lv-LV"/>
        </w:rPr>
        <w:t>ar kādām interpretācijas met</w:t>
      </w:r>
      <w:r w:rsidR="00971C19">
        <w:rPr>
          <w:noProof/>
          <w:lang w:eastAsia="lv-LV"/>
        </w:rPr>
        <w:t>o</w:t>
      </w:r>
      <w:r>
        <w:rPr>
          <w:noProof/>
          <w:lang w:eastAsia="lv-LV"/>
        </w:rPr>
        <w:t xml:space="preserve">dēm var </w:t>
      </w:r>
      <w:r w:rsidR="001812B8" w:rsidRPr="00E828CC">
        <w:rPr>
          <w:noProof/>
          <w:lang w:eastAsia="lv-LV"/>
        </w:rPr>
        <w:t xml:space="preserve">nonākt pie pieteicējas </w:t>
      </w:r>
      <w:r>
        <w:rPr>
          <w:noProof/>
          <w:lang w:eastAsia="lv-LV"/>
        </w:rPr>
        <w:t>norādītās</w:t>
      </w:r>
      <w:r w:rsidR="001812B8" w:rsidRPr="00E828CC">
        <w:rPr>
          <w:noProof/>
          <w:lang w:eastAsia="lv-LV"/>
        </w:rPr>
        <w:t xml:space="preserve"> tiesību normas </w:t>
      </w:r>
      <w:r>
        <w:rPr>
          <w:noProof/>
          <w:lang w:eastAsia="lv-LV"/>
        </w:rPr>
        <w:t>satura izpratnes</w:t>
      </w:r>
      <w:r w:rsidR="001812B8" w:rsidRPr="00E828CC">
        <w:rPr>
          <w:noProof/>
          <w:lang w:eastAsia="lv-LV"/>
        </w:rPr>
        <w:t>.</w:t>
      </w:r>
      <w:r w:rsidR="00E828CC" w:rsidRPr="00E828CC">
        <w:t xml:space="preserve"> Senāts atzīst, ka ne ar vienu no tiesību normu interpretācijas metodēm nevar nonākt pie pieteicējas </w:t>
      </w:r>
      <w:r w:rsidR="00971C19">
        <w:t>norādītā rezultāta</w:t>
      </w:r>
      <w:r w:rsidR="0046265A">
        <w:t xml:space="preserve">, </w:t>
      </w:r>
      <w:r w:rsidR="00E828CC" w:rsidRPr="00E828CC">
        <w:t xml:space="preserve">ka </w:t>
      </w:r>
      <w:r w:rsidR="00971C19" w:rsidRPr="00E828CC">
        <w:t xml:space="preserve">Enerģētikas likuma </w:t>
      </w:r>
      <w:r w:rsidR="00971C19" w:rsidRPr="00E828CC">
        <w:rPr>
          <w:noProof/>
          <w:lang w:eastAsia="lv-LV"/>
        </w:rPr>
        <w:t>111.panta treš</w:t>
      </w:r>
      <w:r w:rsidR="00971C19">
        <w:rPr>
          <w:noProof/>
          <w:lang w:eastAsia="lv-LV"/>
        </w:rPr>
        <w:t>ā d</w:t>
      </w:r>
      <w:r w:rsidR="0046265A">
        <w:rPr>
          <w:noProof/>
          <w:lang w:eastAsia="lv-LV"/>
        </w:rPr>
        <w:t>aļa</w:t>
      </w:r>
      <w:r w:rsidR="00971C19" w:rsidRPr="00E828CC">
        <w:rPr>
          <w:noProof/>
          <w:lang w:eastAsia="lv-LV"/>
        </w:rPr>
        <w:t xml:space="preserve"> </w:t>
      </w:r>
      <w:r w:rsidR="00E828CC" w:rsidRPr="00E828CC">
        <w:t>nosaka akcionāru balsstiesību ierobežojumu.</w:t>
      </w:r>
    </w:p>
    <w:p w14:paraId="4A7C0758" w14:textId="30751122" w:rsidR="00FB3702" w:rsidRPr="00E828CC" w:rsidRDefault="00B229A9" w:rsidP="0067614E">
      <w:pPr>
        <w:spacing w:line="276" w:lineRule="auto"/>
        <w:ind w:firstLine="720"/>
        <w:contextualSpacing/>
        <w:jc w:val="both"/>
      </w:pPr>
      <w:r>
        <w:t>Līdz ar to nav pamatots p</w:t>
      </w:r>
      <w:r w:rsidR="00FB3702" w:rsidRPr="00E828CC">
        <w:t>ieteicēja</w:t>
      </w:r>
      <w:r>
        <w:t>s</w:t>
      </w:r>
      <w:r w:rsidR="00FB3702" w:rsidRPr="00E828CC">
        <w:t xml:space="preserve"> kasācijas sūdzīb</w:t>
      </w:r>
      <w:r>
        <w:t xml:space="preserve">as arguments, ka apgabaltiesa ir nepareizi interpretējusi </w:t>
      </w:r>
      <w:r w:rsidR="00FB3702" w:rsidRPr="00E828CC">
        <w:t>Enerģētikas likuma 111.panta treš</w:t>
      </w:r>
      <w:r>
        <w:t>o daļu</w:t>
      </w:r>
      <w:r w:rsidR="00FB3702" w:rsidRPr="00E828CC">
        <w:t>.</w:t>
      </w:r>
    </w:p>
    <w:p w14:paraId="23C3830C" w14:textId="77777777" w:rsidR="00FB3702" w:rsidRDefault="00FB3702" w:rsidP="0067614E">
      <w:pPr>
        <w:spacing w:line="276" w:lineRule="auto"/>
        <w:ind w:firstLine="720"/>
        <w:contextualSpacing/>
        <w:jc w:val="both"/>
      </w:pPr>
    </w:p>
    <w:p w14:paraId="4AF4C242" w14:textId="1FB7F9F7" w:rsidR="00E828CC" w:rsidRPr="00E828CC" w:rsidRDefault="00E828CC" w:rsidP="0067614E">
      <w:pPr>
        <w:spacing w:line="276" w:lineRule="auto"/>
        <w:ind w:firstLine="720"/>
        <w:contextualSpacing/>
        <w:jc w:val="both"/>
      </w:pPr>
      <w:r w:rsidRPr="00E828CC">
        <w:t xml:space="preserve">[10] Pieteicēja pareizi norāda, ka Enerģētikas likuma 111.panta trešās daļas 1., 2. un 3.punkta noteikumi jāvērtē kopsakarā ar Enerģētikas likuma 116.pantā </w:t>
      </w:r>
      <w:r w:rsidR="00B229A9">
        <w:t>sniegto</w:t>
      </w:r>
      <w:r w:rsidRPr="00E828CC">
        <w:t xml:space="preserve"> terminu „kontrole” un „jebkādas tiesības” skaidrojumu. </w:t>
      </w:r>
    </w:p>
    <w:p w14:paraId="2002F0B0" w14:textId="31F814C9" w:rsidR="00E828CC" w:rsidRPr="00E828CC" w:rsidRDefault="00E828CC" w:rsidP="0067614E">
      <w:pPr>
        <w:spacing w:line="276" w:lineRule="auto"/>
        <w:ind w:firstLine="720"/>
        <w:contextualSpacing/>
        <w:jc w:val="both"/>
      </w:pPr>
      <w:r w:rsidRPr="00E828CC">
        <w:t>Enerģētikas likuma 116.pants noteic, ka šā likuma 111., 114. un 115.pantā termins „kontrole” lietots Apvienošanās regula</w:t>
      </w:r>
      <w:r w:rsidR="0046265A">
        <w:t>s</w:t>
      </w:r>
      <w:r w:rsidRPr="00E828CC">
        <w:t xml:space="preserve"> izpratnē, ar to saprotot tiesības, līgumus vai citus līdzekļus, tostarp īpašumtiesības vai tiesības izmantot visus energoapgādes komersanta aktīvus vai to daļu un tiesības vai līgumus, kas piešķir izšķirošu ietekmi attiecībā uz energoapgādes komersanta pārvaldes institūciju sastāvu, balsošanu vai lēmumiem, kas atsevišķi vai kopā faktiski vai juridiski dod iespēju izšķiroši ietekmēt energoapgādes komersantu. Savukārt minēto tiesību normu izpratnē ar terminu „jebkādas tiesības” saprot iespējas izmantot balsstiesības, tiesības iecelt energoapgādes komersanta padomes, valdes vai tādu institūciju locekļus, kurām ir tiesības pārstāvēt šādu komersantu, vai kontrolpaketes turēšanu.</w:t>
      </w:r>
    </w:p>
    <w:p w14:paraId="2BD844FD" w14:textId="00466B8D" w:rsidR="00E828CC" w:rsidRPr="00E828CC" w:rsidRDefault="00E828CC" w:rsidP="0067614E">
      <w:pPr>
        <w:spacing w:line="276" w:lineRule="auto"/>
        <w:ind w:firstLine="720"/>
        <w:contextualSpacing/>
        <w:jc w:val="both"/>
      </w:pPr>
      <w:r w:rsidRPr="00E828CC">
        <w:t>Apgabaltiesa pareizi norādījusi, ka minētais atbilst direktīvas 2009/73/EK 10.apsvērumam, kas noteic, ka termina „kontrole” definīcija ir pārņemta no Apvienošanās regula</w:t>
      </w:r>
      <w:r w:rsidR="0046265A">
        <w:t>s</w:t>
      </w:r>
      <w:r w:rsidRPr="00E828CC">
        <w:t>, kā arī direktīvas 9.panta 2.punkta nosacījumam, ka šā panta 1.punkta „b”</w:t>
      </w:r>
      <w:r w:rsidR="00B229A9">
        <w:t xml:space="preserve"> </w:t>
      </w:r>
      <w:r w:rsidRPr="00E828CC">
        <w:t>un „c” apakšpunktā minētās tiesības attiecas jo īpaši uz: a) iespējām izmantot balsstiesības</w:t>
      </w:r>
      <w:r w:rsidR="0046265A">
        <w:t>;</w:t>
      </w:r>
      <w:r w:rsidRPr="00E828CC">
        <w:t xml:space="preserve"> b) tiesībām iecelt Uzraudzības padomes, Administratīvās valdes vai to struktūru locekļus, kas juridiski pārstāv uzņēmumu; vai c) kontrolpaketes turēšanu.</w:t>
      </w:r>
    </w:p>
    <w:p w14:paraId="22DB6877" w14:textId="5025ED22" w:rsidR="00E828CC" w:rsidRDefault="00E828CC" w:rsidP="0067614E">
      <w:pPr>
        <w:spacing w:line="276" w:lineRule="auto"/>
        <w:ind w:firstLine="720"/>
        <w:contextualSpacing/>
        <w:jc w:val="both"/>
      </w:pPr>
      <w:r w:rsidRPr="00E828CC">
        <w:t xml:space="preserve">Tādējādi nav pamata secināt, ka apgabaltiesa terminus „kontrole” un „jebkādas tiesības” izpratusi </w:t>
      </w:r>
      <w:r w:rsidR="0046265A">
        <w:t>citādāk</w:t>
      </w:r>
      <w:r w:rsidRPr="00E828CC">
        <w:t>, kā tas noteikts</w:t>
      </w:r>
      <w:r w:rsidR="00B229A9">
        <w:t xml:space="preserve"> minētajās</w:t>
      </w:r>
      <w:r w:rsidRPr="00E828CC">
        <w:t xml:space="preserve"> tiesību normās. Pieteicēja nav arī pamatojusi, k</w:t>
      </w:r>
      <w:r w:rsidR="00B229A9">
        <w:t>ā</w:t>
      </w:r>
      <w:r w:rsidRPr="00E828CC">
        <w:t xml:space="preserve"> no šo jēdzienu analīzes var nonākt pie secinājuma, ka Enerģētikas likuma 111.panta trešajā daļā ir noteikti likumiski ierobežojumi akcionāru balsstiesību izmantošanai.</w:t>
      </w:r>
    </w:p>
    <w:p w14:paraId="1623B998" w14:textId="77777777" w:rsidR="0083281A" w:rsidRPr="00E5612A" w:rsidRDefault="0083281A" w:rsidP="0067614E">
      <w:pPr>
        <w:spacing w:line="276" w:lineRule="auto"/>
        <w:ind w:firstLine="720"/>
        <w:contextualSpacing/>
        <w:jc w:val="both"/>
      </w:pPr>
    </w:p>
    <w:p w14:paraId="5274E29A" w14:textId="19F630B4" w:rsidR="00E06FB8" w:rsidRDefault="00E828CC" w:rsidP="0067614E">
      <w:pPr>
        <w:spacing w:line="276" w:lineRule="auto"/>
        <w:ind w:firstLine="720"/>
        <w:contextualSpacing/>
        <w:jc w:val="both"/>
      </w:pPr>
      <w:r w:rsidRPr="00E5612A">
        <w:t>[11] </w:t>
      </w:r>
      <w:r w:rsidR="0083281A" w:rsidRPr="00E5612A">
        <w:t>Pieteicēja atsaucas uz Eiropas Komisijas 2018.gada 25.jūlija atzinumā par pieteicējas sertifikāciju norādīto, ka saskaņā ar direktīvas 2009/73/EK 9.panta 1.punktu uzņēmumi, ka</w:t>
      </w:r>
      <w:r w:rsidR="0050253D">
        <w:t>m</w:t>
      </w:r>
      <w:r w:rsidR="0083281A" w:rsidRPr="00E5612A">
        <w:t xml:space="preserve"> ir kontrolpakete gāzes ražošanas un piegādes uzņēmumā, var saglabāt dalību pārvades sistēmas operatoros, ja šāda dalība nerada „nekādas tiesības” direktīvas 2009/73/EK 9.panta 2.punktu nozīmē, t.i., tā ir pasīva dalība, neesot kontrolpaketes turētājam, bez balsstiesībām vai tiesībām iecelt valdes locekļus</w:t>
      </w:r>
      <w:r w:rsidR="00E06FB8">
        <w:t>.</w:t>
      </w:r>
    </w:p>
    <w:p w14:paraId="4E52BBB5" w14:textId="060771DF" w:rsidR="00FD0506" w:rsidRDefault="00E5612A" w:rsidP="0067614E">
      <w:pPr>
        <w:spacing w:line="276" w:lineRule="auto"/>
        <w:ind w:firstLine="720"/>
        <w:contextualSpacing/>
        <w:jc w:val="both"/>
      </w:pPr>
      <w:r w:rsidRPr="00E5612A">
        <w:t>Apgabaltiesa nav izdarījusi pretējus secinājumus.</w:t>
      </w:r>
      <w:r w:rsidR="00B229A9">
        <w:t xml:space="preserve"> Lietā ir strīds par to, vai pieteicēja ir nodrošinājusi, ka pārsūdzētajā lēmumā minētajiem pieteicējas akcionāriem Gazprom un </w:t>
      </w:r>
      <w:r w:rsidR="00B229A9" w:rsidRPr="00466AC9">
        <w:rPr>
          <w:color w:val="000000"/>
          <w:lang w:eastAsia="en-US" w:bidi="en-US"/>
        </w:rPr>
        <w:t>Marguerite Gas </w:t>
      </w:r>
      <w:r w:rsidR="00B229A9" w:rsidRPr="00466AC9">
        <w:rPr>
          <w:color w:val="000000"/>
          <w:lang w:eastAsia="lv-LV" w:bidi="lv-LV"/>
        </w:rPr>
        <w:t>I</w:t>
      </w:r>
      <w:r w:rsidR="00B229A9">
        <w:rPr>
          <w:color w:val="000000"/>
          <w:lang w:eastAsia="lv-LV" w:bidi="lv-LV"/>
        </w:rPr>
        <w:t xml:space="preserve"> pieteicējā ir tikai pasīva dalība.</w:t>
      </w:r>
    </w:p>
    <w:p w14:paraId="4DE4AC0D" w14:textId="77777777" w:rsidR="00AE2FAF" w:rsidRDefault="00AE2FAF" w:rsidP="0067614E">
      <w:pPr>
        <w:spacing w:line="276" w:lineRule="auto"/>
        <w:ind w:firstLine="720"/>
        <w:contextualSpacing/>
        <w:jc w:val="both"/>
        <w:rPr>
          <w:highlight w:val="cyan"/>
        </w:rPr>
      </w:pPr>
    </w:p>
    <w:p w14:paraId="39D87641" w14:textId="611CAA6F" w:rsidR="00E06FB8" w:rsidRPr="004359DC" w:rsidRDefault="00AE2FAF" w:rsidP="0067614E">
      <w:pPr>
        <w:spacing w:line="276" w:lineRule="auto"/>
        <w:ind w:firstLine="720"/>
        <w:contextualSpacing/>
        <w:jc w:val="both"/>
      </w:pPr>
      <w:r w:rsidRPr="004359DC">
        <w:t>[12] </w:t>
      </w:r>
      <w:r w:rsidR="004359DC" w:rsidRPr="004359DC">
        <w:t>V</w:t>
      </w:r>
      <w:r w:rsidR="004359DC" w:rsidRPr="004359DC">
        <w:rPr>
          <w:lang w:bidi="lv-LV"/>
        </w:rPr>
        <w:t>ienīgais a</w:t>
      </w:r>
      <w:r w:rsidR="004359DC" w:rsidRPr="004359DC">
        <w:rPr>
          <w:noProof/>
          <w:lang w:eastAsia="lv-LV"/>
        </w:rPr>
        <w:t>vots, ka</w:t>
      </w:r>
      <w:r w:rsidR="00B6055D">
        <w:rPr>
          <w:noProof/>
          <w:lang w:eastAsia="lv-LV"/>
        </w:rPr>
        <w:t>s</w:t>
      </w:r>
      <w:r w:rsidR="004359DC" w:rsidRPr="004359DC">
        <w:rPr>
          <w:noProof/>
          <w:lang w:eastAsia="lv-LV"/>
        </w:rPr>
        <w:t xml:space="preserve"> satur </w:t>
      </w:r>
      <w:r w:rsidR="00B6055D">
        <w:rPr>
          <w:noProof/>
          <w:lang w:eastAsia="lv-LV"/>
        </w:rPr>
        <w:t xml:space="preserve">norādes </w:t>
      </w:r>
      <w:r w:rsidR="004359DC" w:rsidRPr="004359DC">
        <w:rPr>
          <w:noProof/>
          <w:lang w:eastAsia="lv-LV"/>
        </w:rPr>
        <w:t>pieteicējas akcionāru (attiecināms tikai uz Gazprom) balsstiesību un citu tiesību</w:t>
      </w:r>
      <w:r w:rsidR="00414768">
        <w:rPr>
          <w:noProof/>
          <w:lang w:eastAsia="lv-LV"/>
        </w:rPr>
        <w:t xml:space="preserve"> izmantošanas</w:t>
      </w:r>
      <w:r w:rsidR="004359DC" w:rsidRPr="004359DC">
        <w:rPr>
          <w:noProof/>
          <w:lang w:eastAsia="lv-LV"/>
        </w:rPr>
        <w:t xml:space="preserve"> ierobežojumu, ir pieteicējas statūtu 9.4.apakšpunkts. </w:t>
      </w:r>
      <w:r w:rsidR="00B229A9" w:rsidRPr="004359DC">
        <w:t>P</w:t>
      </w:r>
      <w:r w:rsidR="00E5612A" w:rsidRPr="004359DC">
        <w:t xml:space="preserve">ieteicēja </w:t>
      </w:r>
      <w:r w:rsidR="00B229A9" w:rsidRPr="004359DC">
        <w:t>uzskata, ka ar</w:t>
      </w:r>
      <w:r w:rsidR="004359DC" w:rsidRPr="004359DC">
        <w:t xml:space="preserve"> to </w:t>
      </w:r>
      <w:r w:rsidR="00E5612A" w:rsidRPr="004359DC">
        <w:t>ir nodrošināt</w:t>
      </w:r>
      <w:r w:rsidR="00414768">
        <w:t>a</w:t>
      </w:r>
      <w:r w:rsidR="00E5612A" w:rsidRPr="004359DC">
        <w:t xml:space="preserve"> Gazprom </w:t>
      </w:r>
      <w:r w:rsidR="00414768">
        <w:t xml:space="preserve">pasīva </w:t>
      </w:r>
      <w:r w:rsidR="00E5612A" w:rsidRPr="004359DC">
        <w:t>dalība pieteicējā</w:t>
      </w:r>
      <w:r w:rsidR="00414768">
        <w:t>, kas</w:t>
      </w:r>
      <w:r w:rsidR="00E5612A" w:rsidRPr="004359DC">
        <w:t xml:space="preserve"> nerada „nekādas tiesības”. </w:t>
      </w:r>
      <w:r w:rsidR="00E14F68" w:rsidRPr="004359DC">
        <w:t>Šajā jautājumā atšķiras pieteicējas un regulatora viedoklis, kā arī pieteicēja nepiekrīt apgabaltiesas vērtējumam.</w:t>
      </w:r>
    </w:p>
    <w:p w14:paraId="306E431C" w14:textId="489A28C5" w:rsidR="004D769B" w:rsidRDefault="004D769B" w:rsidP="0067614E">
      <w:pPr>
        <w:spacing w:line="276" w:lineRule="auto"/>
        <w:ind w:firstLine="720"/>
        <w:contextualSpacing/>
        <w:jc w:val="both"/>
        <w:rPr>
          <w:noProof/>
          <w:lang w:eastAsia="lv-LV"/>
        </w:rPr>
      </w:pPr>
      <w:r w:rsidRPr="004D769B">
        <w:t xml:space="preserve">Pieteicēja pareizi norāda, ka kapitālsabiedrības statūti ir saistoši sabiedrības dalībniekiem, pašai sabiedrībai, kā arī tās valdes un padomes locekļiem. </w:t>
      </w:r>
      <w:r w:rsidRPr="004D769B">
        <w:rPr>
          <w:noProof/>
          <w:lang w:eastAsia="lv-LV"/>
        </w:rPr>
        <w:t>Komerclikuma 144.pants noteic tos noteikumus, kas jānorāda kapitālsabiedrības statūtos. Minētā tiesību norma paredz, ka dibinātāji statūtos var norādīt arī citus noteikumu</w:t>
      </w:r>
      <w:r w:rsidR="00414768">
        <w:rPr>
          <w:noProof/>
          <w:lang w:eastAsia="lv-LV"/>
        </w:rPr>
        <w:t>s</w:t>
      </w:r>
      <w:r w:rsidRPr="004D769B">
        <w:rPr>
          <w:noProof/>
          <w:lang w:eastAsia="lv-LV"/>
        </w:rPr>
        <w:t>, k</w:t>
      </w:r>
      <w:r w:rsidR="00414768">
        <w:rPr>
          <w:noProof/>
          <w:lang w:eastAsia="lv-LV"/>
        </w:rPr>
        <w:t>urus</w:t>
      </w:r>
      <w:r w:rsidRPr="004D769B">
        <w:rPr>
          <w:noProof/>
          <w:lang w:eastAsia="lv-LV"/>
        </w:rPr>
        <w:t xml:space="preserve"> dibinātāji uzskata par būtiskiem un kas nav pretrunā ar likumu. </w:t>
      </w:r>
    </w:p>
    <w:p w14:paraId="4FCA0C92" w14:textId="467EC4F2" w:rsidR="00114102" w:rsidRDefault="00414768" w:rsidP="0067614E">
      <w:pPr>
        <w:spacing w:line="276" w:lineRule="auto"/>
        <w:ind w:firstLine="720"/>
        <w:contextualSpacing/>
        <w:jc w:val="both"/>
      </w:pPr>
      <w:r w:rsidRPr="004D769B">
        <w:t xml:space="preserve">Pieteicēja uzskata, ka </w:t>
      </w:r>
      <w:r>
        <w:t xml:space="preserve">statūtu 9.4.apakšpunktā norādītais </w:t>
      </w:r>
      <w:r w:rsidRPr="004D769B">
        <w:t xml:space="preserve">balsstiesību ierobežojums </w:t>
      </w:r>
      <w:r>
        <w:t xml:space="preserve">izriet no </w:t>
      </w:r>
      <w:r w:rsidRPr="004D769B">
        <w:t>likum</w:t>
      </w:r>
      <w:r>
        <w:t>a</w:t>
      </w:r>
      <w:r w:rsidRPr="004D769B">
        <w:t xml:space="preserve"> (Enerģētikas likuma 111.panta treš</w:t>
      </w:r>
      <w:r>
        <w:t>ās</w:t>
      </w:r>
      <w:r w:rsidRPr="004D769B">
        <w:t xml:space="preserve"> daļ</w:t>
      </w:r>
      <w:r>
        <w:t>as</w:t>
      </w:r>
      <w:r w:rsidRPr="004D769B">
        <w:t>).</w:t>
      </w:r>
      <w:r w:rsidR="00114102">
        <w:t xml:space="preserve"> </w:t>
      </w:r>
      <w:r w:rsidR="00114102" w:rsidRPr="004D769B">
        <w:t>Kā jau tika secināts iepriekš, Enerģētikas likuma 111.panta trešā daļa nenosaka balsstiesību ierobežojumu</w:t>
      </w:r>
      <w:r w:rsidR="00114102">
        <w:t xml:space="preserve">s un </w:t>
      </w:r>
      <w:r w:rsidR="00114102" w:rsidRPr="004D769B">
        <w:t>līdz ar to pieteicējas akcionāra (Gazprom) balsstiesīb</w:t>
      </w:r>
      <w:r w:rsidR="00114102">
        <w:t>u izmantošanas ierobežojumi nav noteikti</w:t>
      </w:r>
      <w:r w:rsidR="00114102" w:rsidRPr="004D769B">
        <w:t xml:space="preserve"> ar likumu.</w:t>
      </w:r>
      <w:r w:rsidR="00114102" w:rsidRPr="00381D51">
        <w:t xml:space="preserve"> </w:t>
      </w:r>
      <w:r w:rsidR="00114102">
        <w:t>Statūtu 9.4.apakšpunktā faktiski ir ietverta vienīgi kārtība, kādā nodrošināt no Enerģētikas likuma izrietošo akcionāru tiesību ierobežojumu ievērošanu. Taču, tā kā Enerģētikas likumā šādi ierobežojumi nemaz nav noteikti, apgabaltiesa pamatoti secināja, ka nepastāv ne likumā noteikti, ne statūtos tiesiski iestrādāti ierobežojumi Gazprom balsstiesību izmantošanai.</w:t>
      </w:r>
    </w:p>
    <w:p w14:paraId="5D55B1E5" w14:textId="3CBD3D9F" w:rsidR="00264249" w:rsidRDefault="00E14F68" w:rsidP="0067614E">
      <w:pPr>
        <w:spacing w:line="276" w:lineRule="auto"/>
        <w:ind w:firstLine="720"/>
        <w:contextualSpacing/>
        <w:jc w:val="both"/>
      </w:pPr>
      <w:r w:rsidRPr="00472465">
        <w:t>Nav pamatots pieteicējas arguments, ka apgabalt</w:t>
      </w:r>
      <w:r w:rsidRPr="00472465">
        <w:rPr>
          <w:lang w:bidi="lv-LV"/>
        </w:rPr>
        <w:t>iesa nav analizējusi statūtu 9.4.apakšpunktu un tā tiesiskās sekas, tādējādi pārkāpjot Administratīvā procesa likuma 154.pantu.</w:t>
      </w:r>
      <w:r w:rsidR="00472465" w:rsidRPr="00472465">
        <w:rPr>
          <w:noProof/>
          <w:lang w:eastAsia="lv-LV"/>
        </w:rPr>
        <w:t xml:space="preserve"> </w:t>
      </w:r>
      <w:r w:rsidRPr="00472465">
        <w:rPr>
          <w:lang w:bidi="lv-LV"/>
        </w:rPr>
        <w:t xml:space="preserve">Apgabaltiesa ir norādījusi, ka atbilstoši </w:t>
      </w:r>
      <w:r w:rsidRPr="00472465">
        <w:t>Komerclikuma 228.panta otrajai daļai personai, kura kā akcionārs ir ierakstīta akcionāru reģistrā, ir no vārda akcijas izrietošās tiesības uz līdzdalību sabiedrības pamatkapitālā (balsstiesības), tostarp tiesības piedalīties sabiedrības pārvaldē, saņemt dividend</w:t>
      </w:r>
      <w:r w:rsidR="0017035D">
        <w:t>es</w:t>
      </w:r>
      <w:r w:rsidRPr="00472465">
        <w:t xml:space="preserve"> un likvidācijas kvotu. No akcijas izrietošās balsstiesības ir neatņemama tiesību uz īpašumu sastāvdaļa. </w:t>
      </w:r>
      <w:r w:rsidR="0017035D" w:rsidRPr="00264249">
        <w:t>Nav strīda, ka visām pieteicējas akcijām ir vienāds tiesību apjoms, proti, tās ir vienas kategorijas akcijas, kas ietver arī balsstiesības akcionāru sapulcē.</w:t>
      </w:r>
      <w:r w:rsidR="0017035D">
        <w:t xml:space="preserve"> </w:t>
      </w:r>
      <w:r w:rsidR="0017035D" w:rsidRPr="00472465">
        <w:t xml:space="preserve">Apgabaltiesa ir secinājusi, ka tā kā nepastāv </w:t>
      </w:r>
      <w:r w:rsidR="0017035D">
        <w:t xml:space="preserve">ne </w:t>
      </w:r>
      <w:r w:rsidR="0017035D" w:rsidRPr="00472465">
        <w:t>likumā</w:t>
      </w:r>
      <w:r w:rsidR="0017035D">
        <w:t>, ne statūtos</w:t>
      </w:r>
      <w:r w:rsidR="0017035D" w:rsidRPr="00472465">
        <w:t xml:space="preserve"> noteikts balsstiesību ierobežojums, visas pieteicējas akcijas ir balsstiesīgas un ņemamas vērā, nosakot balsstiesīgo pamatkapitālu</w:t>
      </w:r>
      <w:r w:rsidR="0017035D" w:rsidRPr="00264249">
        <w:t>.</w:t>
      </w:r>
    </w:p>
    <w:p w14:paraId="322477CE" w14:textId="6CAF6283" w:rsidR="00E14F68" w:rsidRDefault="00264249" w:rsidP="0067614E">
      <w:pPr>
        <w:spacing w:line="276" w:lineRule="auto"/>
        <w:ind w:firstLine="720"/>
        <w:contextualSpacing/>
        <w:jc w:val="both"/>
      </w:pPr>
      <w:r w:rsidRPr="00264249">
        <w:t>Apgabaltiesa ir vērtējusi 9.4.apakšpunkta noteikumus</w:t>
      </w:r>
      <w:r w:rsidR="0017035D">
        <w:t xml:space="preserve"> arī </w:t>
      </w:r>
      <w:r w:rsidRPr="00264249">
        <w:t>kopsakarā ar citiem statūtu noteikumiem. Proti, statūtu 7.7.apakšpunkts paredz, ka akcionāru sapulce ir tiesīga, ja tajā pārstāvēta vismaz puse no balsstiesīgā kapitāla, savukārt statūtu 7.9.apakšpunkts paredz, ka lēmumus par svarīgiem jautājumiem akcionāru sapulce ir tiesīga izlemt, ja tajā pārstāvētas vismaz trīs ceturtdaļas no balsstiesīgā kapitāla. Pieteicējas statūtu 7.8.apakšpunkts paredz, ka dalībnieku lēmums ir pieņemts ar pārstāvēto balsstiesīgo akcionāru balsu vairākumu, savukārt statūtu 7.9.apakšpunkts paredz, ka lēmums par svarīgiem jautājumiem ir pieņemts, ja par tiem nodoti 85 % no akcionāru sapulcē pārstāvēto balsstiesīgo akcionāru balsīm. Ņemot vērā minēto, apgabaltiesa secinājusi, akcionāru sapulcē nepiedaloties Gazprom, pārējo akcionāru pārstāvētais balsstiesīgais kapitāls (65,9 %) neveido nepieciešamās trīs ceturtdaļas no balsstiesīgā kapitāla, lai akcionāru sapulce būtu tiesīga pieņemt lēmumus svarīgos jautājumos.</w:t>
      </w:r>
    </w:p>
    <w:p w14:paraId="2A29285B" w14:textId="77777777" w:rsidR="0017035D" w:rsidRDefault="0017035D" w:rsidP="0067614E">
      <w:pPr>
        <w:spacing w:line="276" w:lineRule="auto"/>
        <w:ind w:firstLine="720"/>
        <w:contextualSpacing/>
        <w:jc w:val="both"/>
        <w:rPr>
          <w:lang w:bidi="lv-LV"/>
        </w:rPr>
      </w:pPr>
      <w:r>
        <w:t xml:space="preserve">Tādējādi apgabaltiesa ir pamatoti secinājusi, ka šādos apstākļos, pat ja Gazprom labprātīgi apņemas neizmantot balsstiesības, nav izslēgta iespēja šādam akcionāram ietekmēt lēmumus sabiedrībai svarīgos jautājumos, un līdz ar to pieteicējas statūtu </w:t>
      </w:r>
      <w:r w:rsidRPr="00AE2FAF">
        <w:rPr>
          <w:lang w:bidi="lv-LV"/>
        </w:rPr>
        <w:t>9.4.apakšpunkt</w:t>
      </w:r>
      <w:r>
        <w:rPr>
          <w:lang w:bidi="lv-LV"/>
        </w:rPr>
        <w:t>s nenodrošina neatkarības prasību ievērošanu.</w:t>
      </w:r>
    </w:p>
    <w:p w14:paraId="6072060F" w14:textId="77777777" w:rsidR="00414768" w:rsidRDefault="00414768" w:rsidP="0067614E">
      <w:pPr>
        <w:spacing w:line="276" w:lineRule="auto"/>
        <w:ind w:firstLine="720"/>
        <w:contextualSpacing/>
        <w:jc w:val="both"/>
        <w:rPr>
          <w:lang w:bidi="lv-LV"/>
        </w:rPr>
      </w:pPr>
    </w:p>
    <w:p w14:paraId="77DA26F3" w14:textId="14FEEA62" w:rsidR="00FD0506" w:rsidRPr="00AE2FAF" w:rsidRDefault="00E06FB8" w:rsidP="0067614E">
      <w:pPr>
        <w:spacing w:line="276" w:lineRule="auto"/>
        <w:ind w:firstLine="720"/>
        <w:contextualSpacing/>
        <w:jc w:val="both"/>
        <w:rPr>
          <w:lang w:bidi="lv-LV"/>
        </w:rPr>
      </w:pPr>
      <w:r w:rsidRPr="00AE2FAF">
        <w:rPr>
          <w:lang w:bidi="lv-LV"/>
        </w:rPr>
        <w:t>[</w:t>
      </w:r>
      <w:r w:rsidR="00264249">
        <w:rPr>
          <w:lang w:bidi="lv-LV"/>
        </w:rPr>
        <w:t>13</w:t>
      </w:r>
      <w:r w:rsidRPr="00AE2FAF">
        <w:rPr>
          <w:lang w:bidi="lv-LV"/>
        </w:rPr>
        <w:t>] Pieteicēja norāda, ka a</w:t>
      </w:r>
      <w:r w:rsidRPr="00AE2FAF">
        <w:t>pgabalt</w:t>
      </w:r>
      <w:r w:rsidRPr="00AE2FAF">
        <w:rPr>
          <w:lang w:bidi="lv-LV"/>
        </w:rPr>
        <w:t>iesa neesot vērtējusi faktu, ka Gazprom nav piedalījies akcionāru sapulcēs un nav īstenojis citas akcionāra tiesības, tostarp balsstiesības.</w:t>
      </w:r>
    </w:p>
    <w:p w14:paraId="4911D660" w14:textId="20F410FC" w:rsidR="00AE2FAF" w:rsidRPr="00AE2FAF" w:rsidRDefault="00AE2FAF" w:rsidP="0067614E">
      <w:pPr>
        <w:spacing w:line="276" w:lineRule="auto"/>
        <w:ind w:firstLine="720"/>
        <w:contextualSpacing/>
        <w:jc w:val="both"/>
        <w:rPr>
          <w:lang w:bidi="lv-LV"/>
        </w:rPr>
      </w:pPr>
      <w:r w:rsidRPr="00AE2FAF">
        <w:rPr>
          <w:lang w:bidi="lv-LV"/>
        </w:rPr>
        <w:t>Apgabaltiesa vērtēja, vai pieteicējas statūtu 9.4.apakšpunktā ietvertie ierobežojumi akcionāram ir pietiekami, lai garantēt</w:t>
      </w:r>
      <w:r w:rsidR="002B518C">
        <w:rPr>
          <w:lang w:bidi="lv-LV"/>
        </w:rPr>
        <w:t>u</w:t>
      </w:r>
      <w:r w:rsidRPr="00AE2FAF">
        <w:rPr>
          <w:lang w:bidi="lv-LV"/>
        </w:rPr>
        <w:t>, ka Gazprom neizma</w:t>
      </w:r>
      <w:r w:rsidR="002B518C">
        <w:rPr>
          <w:lang w:bidi="lv-LV"/>
        </w:rPr>
        <w:t>n</w:t>
      </w:r>
      <w:r w:rsidRPr="00AE2FAF">
        <w:rPr>
          <w:lang w:bidi="lv-LV"/>
        </w:rPr>
        <w:t>tos „nekādas tiesības”. Šo vērtējumu nevar ietekmēt konstatējums, vai pieteicēja un Gazprom ievēroja vai neievēroja statūtos paredzētos ierobežojumus. Tāds nav arī regulatora kontroles apjoms, izvērtējot pieteicējas atbilstību sertificēšanas prasībām.</w:t>
      </w:r>
    </w:p>
    <w:p w14:paraId="5CF8740F" w14:textId="77777777" w:rsidR="00264249" w:rsidRDefault="00264249" w:rsidP="0067614E">
      <w:pPr>
        <w:spacing w:line="276" w:lineRule="auto"/>
        <w:ind w:firstLine="720"/>
        <w:contextualSpacing/>
        <w:jc w:val="both"/>
        <w:rPr>
          <w:lang w:bidi="lv-LV"/>
        </w:rPr>
      </w:pPr>
    </w:p>
    <w:p w14:paraId="691A8C6F" w14:textId="763D1AF6" w:rsidR="00695884" w:rsidRPr="00B0041D" w:rsidRDefault="00D2265A" w:rsidP="0067614E">
      <w:pPr>
        <w:spacing w:line="276" w:lineRule="auto"/>
        <w:ind w:firstLine="720"/>
        <w:contextualSpacing/>
        <w:jc w:val="both"/>
        <w:rPr>
          <w:lang w:bidi="lv-LV"/>
        </w:rPr>
      </w:pPr>
      <w:r w:rsidRPr="00B0041D">
        <w:rPr>
          <w:lang w:bidi="lv-LV"/>
        </w:rPr>
        <w:t>[</w:t>
      </w:r>
      <w:r w:rsidR="00264249">
        <w:rPr>
          <w:lang w:bidi="lv-LV"/>
        </w:rPr>
        <w:t>14</w:t>
      </w:r>
      <w:r w:rsidRPr="00B0041D">
        <w:rPr>
          <w:lang w:bidi="lv-LV"/>
        </w:rPr>
        <w:t xml:space="preserve">] Pieteicēja </w:t>
      </w:r>
      <w:r w:rsidR="00E5612A" w:rsidRPr="00B0041D">
        <w:rPr>
          <w:lang w:bidi="lv-LV"/>
        </w:rPr>
        <w:t xml:space="preserve">kasācijas sūdzībā </w:t>
      </w:r>
      <w:r w:rsidR="00024D68" w:rsidRPr="00B0041D">
        <w:rPr>
          <w:lang w:bidi="lv-LV"/>
        </w:rPr>
        <w:t>nepiekrīt apgabaltiesas secinājumiem par Marguerite Gas I iespēju kopīgi ar citu akcionāru kontrolēt pieteicēju, kā arī apgabaltiesas sniegtajai atsevišķas un kopīgas kontroles jēdzienu interpretācijai (nav precīzi piemērots Piemērošanas noteikumu 62.punktā skaidrotais kopīgas kontroles jēdziens, nav vērtēti visi 76.punktā minētie aspekti, kā arī nav ņemts vērā 77.punkta skaidrojums par interešu kopību)</w:t>
      </w:r>
      <w:r w:rsidR="00F13439" w:rsidRPr="00B0041D">
        <w:rPr>
          <w:lang w:bidi="lv-LV"/>
        </w:rPr>
        <w:t>. Pieteicēja uzskata, ka apgabaltiesa ir nonākusi pie kļūdaina secinājuma</w:t>
      </w:r>
      <w:r w:rsidR="006B759E" w:rsidRPr="00B0041D">
        <w:rPr>
          <w:lang w:bidi="lv-LV"/>
        </w:rPr>
        <w:t xml:space="preserve"> </w:t>
      </w:r>
      <w:r w:rsidR="00F13439" w:rsidRPr="00B0041D">
        <w:rPr>
          <w:lang w:bidi="lv-LV"/>
        </w:rPr>
        <w:t xml:space="preserve">attiecībā uz Marguerite Gas I dalības pieteicējā atbilstību Enerģētikas likuma 111.panta trešās daļas noteikumiem. </w:t>
      </w:r>
    </w:p>
    <w:p w14:paraId="5C136302" w14:textId="0BEEB2BA" w:rsidR="00CD2EC8" w:rsidRPr="00B0041D" w:rsidRDefault="00CD2EC8" w:rsidP="0067614E">
      <w:pPr>
        <w:spacing w:line="276" w:lineRule="auto"/>
        <w:ind w:firstLine="720"/>
        <w:contextualSpacing/>
        <w:jc w:val="both"/>
        <w:rPr>
          <w:lang w:bidi="lv-LV"/>
        </w:rPr>
      </w:pPr>
      <w:r w:rsidRPr="00B0041D">
        <w:rPr>
          <w:noProof/>
          <w:lang w:eastAsia="lv-LV"/>
        </w:rPr>
        <w:t xml:space="preserve">Regulators paskaidrojumā par kasācijas sūdzību </w:t>
      </w:r>
      <w:r w:rsidR="00F13439" w:rsidRPr="00B0041D">
        <w:rPr>
          <w:noProof/>
          <w:lang w:eastAsia="lv-LV"/>
        </w:rPr>
        <w:t>vērsis uzmanību</w:t>
      </w:r>
      <w:r w:rsidRPr="00B0041D">
        <w:rPr>
          <w:noProof/>
          <w:lang w:eastAsia="lv-LV"/>
        </w:rPr>
        <w:t>, ka p</w:t>
      </w:r>
      <w:r w:rsidR="00D2265A" w:rsidRPr="00B0041D">
        <w:rPr>
          <w:noProof/>
          <w:lang w:eastAsia="lv-LV"/>
        </w:rPr>
        <w:t xml:space="preserve">ārsūdzētā lēmuma 1.2.punktā regulators ir konstatējis, ka </w:t>
      </w:r>
      <w:r w:rsidR="00D2265A" w:rsidRPr="00B0041D">
        <w:rPr>
          <w:lang w:bidi="lv-LV"/>
        </w:rPr>
        <w:t xml:space="preserve">Marguerite Gas I </w:t>
      </w:r>
      <w:r w:rsidR="00D2265A" w:rsidRPr="00B0041D">
        <w:rPr>
          <w:noProof/>
          <w:lang w:eastAsia="lv-LV"/>
        </w:rPr>
        <w:t>dalība pieteicēj</w:t>
      </w:r>
      <w:r w:rsidR="000C7047" w:rsidRPr="00B0041D">
        <w:rPr>
          <w:noProof/>
          <w:lang w:eastAsia="lv-LV"/>
        </w:rPr>
        <w:t>ā</w:t>
      </w:r>
      <w:r w:rsidR="00D2265A" w:rsidRPr="00B0041D">
        <w:rPr>
          <w:noProof/>
          <w:lang w:eastAsia="lv-LV"/>
        </w:rPr>
        <w:t xml:space="preserve"> neatbilst </w:t>
      </w:r>
      <w:r w:rsidR="00D2265A" w:rsidRPr="00B0041D">
        <w:rPr>
          <w:lang w:bidi="lv-LV"/>
        </w:rPr>
        <w:t xml:space="preserve">Enerģētikas likuma 111.panta trešās daļas 1., 2. un 3.punktam. </w:t>
      </w:r>
      <w:r w:rsidRPr="00B0041D">
        <w:rPr>
          <w:lang w:bidi="lv-LV"/>
        </w:rPr>
        <w:t xml:space="preserve">Kasācijas sūdzībā izteiktie argumenti attiecas uz </w:t>
      </w:r>
      <w:r w:rsidRPr="00B0041D">
        <w:rPr>
          <w:noProof/>
          <w:lang w:eastAsia="lv-LV"/>
        </w:rPr>
        <w:t>neatbilst</w:t>
      </w:r>
      <w:r w:rsidR="00F13439" w:rsidRPr="00B0041D">
        <w:rPr>
          <w:noProof/>
          <w:lang w:eastAsia="lv-LV"/>
        </w:rPr>
        <w:t>ību</w:t>
      </w:r>
      <w:r w:rsidRPr="00B0041D">
        <w:rPr>
          <w:noProof/>
          <w:lang w:eastAsia="lv-LV"/>
        </w:rPr>
        <w:t xml:space="preserve"> </w:t>
      </w:r>
      <w:r w:rsidRPr="00B0041D">
        <w:rPr>
          <w:lang w:bidi="lv-LV"/>
        </w:rPr>
        <w:t xml:space="preserve">Enerģētikas likuma 111.panta trešās daļas 1. un 2.punkta prasībām, </w:t>
      </w:r>
      <w:r w:rsidR="00F13439" w:rsidRPr="00B0041D">
        <w:rPr>
          <w:lang w:bidi="lv-LV"/>
        </w:rPr>
        <w:t xml:space="preserve">bet </w:t>
      </w:r>
      <w:r w:rsidRPr="00B0041D">
        <w:rPr>
          <w:lang w:bidi="lv-LV"/>
        </w:rPr>
        <w:t xml:space="preserve">pieteicēja nav izvirzījusi argumentus par </w:t>
      </w:r>
      <w:r w:rsidR="00F13439" w:rsidRPr="00B0041D">
        <w:rPr>
          <w:lang w:bidi="lv-LV"/>
        </w:rPr>
        <w:t>neatbilstību 3.punkta prasībām.</w:t>
      </w:r>
    </w:p>
    <w:p w14:paraId="02FA7005" w14:textId="130F5D39" w:rsidR="008E313A" w:rsidRPr="00B0041D" w:rsidRDefault="00F13439" w:rsidP="0067614E">
      <w:pPr>
        <w:spacing w:line="276" w:lineRule="auto"/>
        <w:ind w:firstLine="720"/>
        <w:contextualSpacing/>
        <w:jc w:val="both"/>
      </w:pPr>
      <w:r w:rsidRPr="00B0041D">
        <w:rPr>
          <w:lang w:bidi="lv-LV"/>
        </w:rPr>
        <w:t xml:space="preserve">Senāts piekrīt minētajiem regulatora apsvērumiem. </w:t>
      </w:r>
      <w:r w:rsidR="008E313A" w:rsidRPr="00B0041D">
        <w:rPr>
          <w:lang w:bidi="lv-LV"/>
        </w:rPr>
        <w:t>Apgabaltiesa ir konstatējusi, ka Marguerite Gas I ir tiesī</w:t>
      </w:r>
      <w:r w:rsidR="00F112E3" w:rsidRPr="00B0041D">
        <w:rPr>
          <w:lang w:bidi="lv-LV"/>
        </w:rPr>
        <w:t>g</w:t>
      </w:r>
      <w:r w:rsidR="008E313A" w:rsidRPr="00B0041D">
        <w:rPr>
          <w:lang w:bidi="lv-LV"/>
        </w:rPr>
        <w:t>a un faktiski ieceļ pieteicējas padomes locekļus</w:t>
      </w:r>
      <w:r w:rsidR="00F112E3" w:rsidRPr="00B0041D">
        <w:rPr>
          <w:lang w:bidi="lv-LV"/>
        </w:rPr>
        <w:t xml:space="preserve">, savukārt </w:t>
      </w:r>
      <w:r w:rsidR="00F112E3" w:rsidRPr="00B0041D">
        <w:t xml:space="preserve">Marguerite Gas II ir tiesības iecelt padomes locekļus </w:t>
      </w:r>
      <w:r w:rsidR="00F112E3" w:rsidRPr="00B0041D">
        <w:rPr>
          <w:lang w:bidi="lv-LV"/>
        </w:rPr>
        <w:t>akcija sabiedrībā „Latvijas gāze”</w:t>
      </w:r>
      <w:r w:rsidR="008E313A" w:rsidRPr="00B0041D">
        <w:rPr>
          <w:lang w:bidi="lv-LV"/>
        </w:rPr>
        <w:t xml:space="preserve">. </w:t>
      </w:r>
      <w:r w:rsidR="006B759E" w:rsidRPr="00B0041D">
        <w:t>Pieteicēja minēto nav apstrīdējusi.</w:t>
      </w:r>
    </w:p>
    <w:p w14:paraId="208EBF32" w14:textId="7D49C14D" w:rsidR="00B0041D" w:rsidRDefault="00B0041D" w:rsidP="0067614E">
      <w:pPr>
        <w:spacing w:line="276" w:lineRule="auto"/>
        <w:ind w:firstLine="720"/>
        <w:contextualSpacing/>
        <w:jc w:val="both"/>
      </w:pPr>
      <w:r w:rsidRPr="00B0041D">
        <w:rPr>
          <w:lang w:bidi="lv-LV"/>
        </w:rPr>
        <w:t xml:space="preserve">Kā jau tika noskaidrots, </w:t>
      </w:r>
      <w:r w:rsidR="00056937">
        <w:rPr>
          <w:lang w:bidi="lv-LV"/>
        </w:rPr>
        <w:t>„</w:t>
      </w:r>
      <w:r w:rsidRPr="00B0041D">
        <w:rPr>
          <w:lang w:bidi="lv-LV"/>
        </w:rPr>
        <w:t>jebkādu tiesību</w:t>
      </w:r>
      <w:r w:rsidR="00056937">
        <w:rPr>
          <w:lang w:bidi="lv-LV"/>
        </w:rPr>
        <w:t>”</w:t>
      </w:r>
      <w:r w:rsidRPr="00B0041D">
        <w:rPr>
          <w:lang w:bidi="lv-LV"/>
        </w:rPr>
        <w:t xml:space="preserve"> izmantošana </w:t>
      </w:r>
      <w:r w:rsidR="00056937">
        <w:rPr>
          <w:lang w:bidi="lv-LV"/>
        </w:rPr>
        <w:t>aptver</w:t>
      </w:r>
      <w:r w:rsidRPr="00B0041D">
        <w:rPr>
          <w:lang w:bidi="lv-LV"/>
        </w:rPr>
        <w:t xml:space="preserve"> balsstiesību izmantošanu un tiesības iecelt padomes locekļus. Tā kā lietā ir konstatēts, ka Marguerite Gas I ir tiesības iecelt pieteicējas padomes locekļus un Marguerite Gas II ir tiesības iecelt akcija sabiedrības „Latvijas gāze” padomes locekļus, minētais atbilst Enerģētikas likuma 111.panta trešās daļas 3.punktā aprakstītajai interešu konflikta situācijai</w:t>
      </w:r>
      <w:r w:rsidRPr="00B0041D">
        <w:t>.</w:t>
      </w:r>
    </w:p>
    <w:p w14:paraId="2DDAA599" w14:textId="4F00AC4D" w:rsidR="000263C6" w:rsidRPr="00B0041D" w:rsidRDefault="00B0041D" w:rsidP="0067614E">
      <w:pPr>
        <w:spacing w:line="276" w:lineRule="auto"/>
        <w:ind w:firstLine="720"/>
        <w:contextualSpacing/>
        <w:jc w:val="both"/>
        <w:rPr>
          <w:lang w:bidi="lv-LV"/>
        </w:rPr>
      </w:pPr>
      <w:r w:rsidRPr="00B0041D">
        <w:t>Tādējādi p</w:t>
      </w:r>
      <w:r w:rsidR="000263C6" w:rsidRPr="00B0041D">
        <w:t>ieteicējas kasācijas sūdzīb</w:t>
      </w:r>
      <w:r>
        <w:t>as</w:t>
      </w:r>
      <w:r w:rsidR="000263C6" w:rsidRPr="00B0041D">
        <w:t xml:space="preserve"> </w:t>
      </w:r>
      <w:r w:rsidRPr="00B0041D">
        <w:t xml:space="preserve">argumenti par </w:t>
      </w:r>
      <w:r w:rsidR="00056937">
        <w:t xml:space="preserve">to, cik pareizi apgabaltiesa ir novērtējusi </w:t>
      </w:r>
      <w:r w:rsidRPr="00B0041D">
        <w:rPr>
          <w:lang w:bidi="lv-LV"/>
        </w:rPr>
        <w:t>Marguerite Gas I</w:t>
      </w:r>
      <w:r w:rsidR="000263C6" w:rsidRPr="00B0041D">
        <w:t xml:space="preserve"> kontroli </w:t>
      </w:r>
      <w:r w:rsidRPr="00B0041D">
        <w:t>pieteicējā</w:t>
      </w:r>
      <w:r w:rsidR="00056937">
        <w:t>,</w:t>
      </w:r>
      <w:r w:rsidRPr="00B0041D">
        <w:t xml:space="preserve"> </w:t>
      </w:r>
      <w:r w:rsidR="000263C6" w:rsidRPr="00B0041D">
        <w:t xml:space="preserve">neietekmē secinājumu, ka </w:t>
      </w:r>
      <w:r w:rsidR="000263C6" w:rsidRPr="00B0041D">
        <w:rPr>
          <w:lang w:bidi="lv-LV"/>
        </w:rPr>
        <w:t>Marguerite Gas I dalība pieteicējā rada</w:t>
      </w:r>
      <w:r w:rsidR="00024D68" w:rsidRPr="00B0041D">
        <w:rPr>
          <w:lang w:bidi="lv-LV"/>
        </w:rPr>
        <w:t xml:space="preserve"> interešu konfliktu, kas norādīts</w:t>
      </w:r>
      <w:r w:rsidR="00024D68" w:rsidRPr="00B0041D">
        <w:rPr>
          <w:noProof/>
          <w:lang w:eastAsia="lv-LV"/>
        </w:rPr>
        <w:t xml:space="preserve"> </w:t>
      </w:r>
      <w:r w:rsidR="00024D68" w:rsidRPr="00B0041D">
        <w:rPr>
          <w:lang w:bidi="lv-LV"/>
        </w:rPr>
        <w:t xml:space="preserve">Enerģētikas likuma 111.panta trešās daļas 3.punktā un </w:t>
      </w:r>
      <w:r w:rsidRPr="00B0041D">
        <w:rPr>
          <w:lang w:bidi="lv-LV"/>
        </w:rPr>
        <w:t xml:space="preserve">kas </w:t>
      </w:r>
      <w:r w:rsidR="00024D68" w:rsidRPr="00B0041D">
        <w:rPr>
          <w:lang w:bidi="lv-LV"/>
        </w:rPr>
        <w:t>ir pietiekams pamats regulatoram atteikt sertificēt pieteicēju.</w:t>
      </w:r>
      <w:r>
        <w:rPr>
          <w:lang w:bidi="lv-LV"/>
        </w:rPr>
        <w:t xml:space="preserve"> </w:t>
      </w:r>
    </w:p>
    <w:p w14:paraId="358B0376" w14:textId="77777777" w:rsidR="00264249" w:rsidRDefault="00264249" w:rsidP="0067614E">
      <w:pPr>
        <w:spacing w:line="276" w:lineRule="auto"/>
        <w:ind w:firstLine="720"/>
        <w:contextualSpacing/>
        <w:jc w:val="both"/>
        <w:rPr>
          <w:lang w:bidi="lv-LV"/>
        </w:rPr>
      </w:pPr>
    </w:p>
    <w:p w14:paraId="54DA22B1" w14:textId="67380C9B" w:rsidR="0047066E" w:rsidRPr="00E828CC" w:rsidRDefault="006938AE" w:rsidP="0067614E">
      <w:pPr>
        <w:spacing w:line="276" w:lineRule="auto"/>
        <w:ind w:firstLine="720"/>
        <w:contextualSpacing/>
        <w:jc w:val="both"/>
      </w:pPr>
      <w:r w:rsidRPr="00E828CC">
        <w:rPr>
          <w:lang w:bidi="lv-LV"/>
        </w:rPr>
        <w:t>[</w:t>
      </w:r>
      <w:r w:rsidR="00264249">
        <w:rPr>
          <w:lang w:bidi="lv-LV"/>
        </w:rPr>
        <w:t>15</w:t>
      </w:r>
      <w:r w:rsidRPr="00E828CC">
        <w:rPr>
          <w:lang w:bidi="lv-LV"/>
        </w:rPr>
        <w:t>] </w:t>
      </w:r>
      <w:r w:rsidR="000F7486" w:rsidRPr="00E828CC">
        <w:rPr>
          <w:lang w:bidi="lv-LV"/>
        </w:rPr>
        <w:t xml:space="preserve">Ne Enerģētikas likuma 111.panta trešā daļa, ne kāda cita tiesību norma neparedz konkrētu veidu, kādā </w:t>
      </w:r>
      <w:r w:rsidR="0047066E" w:rsidRPr="00E828CC">
        <w:t xml:space="preserve">vienotajam dabasgāzes pārvades un uzglabāšanas </w:t>
      </w:r>
      <w:r w:rsidR="000F7486" w:rsidRPr="00E828CC">
        <w:rPr>
          <w:lang w:bidi="lv-LV"/>
        </w:rPr>
        <w:t xml:space="preserve">sistēmas operatoram jānodrošina atbilstība </w:t>
      </w:r>
      <w:r w:rsidR="0047066E" w:rsidRPr="00E828CC">
        <w:rPr>
          <w:lang w:bidi="lv-LV"/>
        </w:rPr>
        <w:t>neatkarības</w:t>
      </w:r>
      <w:r w:rsidR="000F7486" w:rsidRPr="00E828CC">
        <w:rPr>
          <w:lang w:bidi="lv-LV"/>
        </w:rPr>
        <w:t xml:space="preserve"> prasībām, bet definē rezultātu, kāds </w:t>
      </w:r>
      <w:r w:rsidR="0047066E" w:rsidRPr="00E828CC">
        <w:rPr>
          <w:lang w:bidi="lv-LV"/>
        </w:rPr>
        <w:t>tam</w:t>
      </w:r>
      <w:r w:rsidR="000F7486" w:rsidRPr="00E828CC">
        <w:rPr>
          <w:lang w:bidi="lv-LV"/>
        </w:rPr>
        <w:t xml:space="preserve"> jāsasniedz. </w:t>
      </w:r>
      <w:r w:rsidRPr="00E828CC">
        <w:rPr>
          <w:lang w:bidi="lv-LV"/>
        </w:rPr>
        <w:t xml:space="preserve">Apgabaltiesa pareizi norādījusi, ka </w:t>
      </w:r>
      <w:r w:rsidR="00672A0E" w:rsidRPr="00E828CC">
        <w:rPr>
          <w:lang w:bidi="lv-LV"/>
        </w:rPr>
        <w:t>n</w:t>
      </w:r>
      <w:r w:rsidR="00672A0E" w:rsidRPr="00E828CC">
        <w:t xml:space="preserve">ormatīvie akti neuzliek regulatoram pienākumu norādīt, kādus konkrētus pasākumus vienotajam dabasgāzes pārvades un uzglabāšanas sistēmas operatoram jāveic, lai tas izpildītu </w:t>
      </w:r>
      <w:r w:rsidR="00056937">
        <w:t>neatkarības prasības</w:t>
      </w:r>
      <w:r w:rsidR="00672A0E" w:rsidRPr="00E828CC">
        <w:t>. No pārsūdzētā lēmuma satura apgabaltiesa konstatēj</w:t>
      </w:r>
      <w:r w:rsidR="00056937">
        <w:t>usi</w:t>
      </w:r>
      <w:r w:rsidR="00672A0E" w:rsidRPr="00E828CC">
        <w:t>, ka regulators</w:t>
      </w:r>
      <w:r w:rsidR="0047066E" w:rsidRPr="00E828CC">
        <w:t xml:space="preserve"> nav norādījis konkrētus risinājumus un </w:t>
      </w:r>
      <w:r w:rsidR="00672A0E" w:rsidRPr="00E828CC">
        <w:t xml:space="preserve">nav atzinis, ka neatkarības prasības ir izpildāmas vienā konkrētā veidā, proti, Gazprom vai Marguerite Gas I atsavinot savas pieteicējas vai akciju sabiedrības „Latvijas Gāze” akcijas. </w:t>
      </w:r>
    </w:p>
    <w:p w14:paraId="27ABA96F" w14:textId="50CF71B3" w:rsidR="0047066E" w:rsidRPr="00E828CC" w:rsidRDefault="0047066E" w:rsidP="0067614E">
      <w:pPr>
        <w:spacing w:line="276" w:lineRule="auto"/>
        <w:ind w:firstLine="720"/>
        <w:contextualSpacing/>
        <w:jc w:val="both"/>
      </w:pPr>
      <w:r w:rsidRPr="00E828CC">
        <w:rPr>
          <w:lang w:bidi="lv-LV"/>
        </w:rPr>
        <w:t xml:space="preserve">Pastāv arī citi veidi, kā bez akciju atsavināšanas varētu ierobežot akcionāru tiesības, minimizējot </w:t>
      </w:r>
      <w:r w:rsidR="002B518C">
        <w:rPr>
          <w:lang w:bidi="lv-LV"/>
        </w:rPr>
        <w:t xml:space="preserve">tās </w:t>
      </w:r>
      <w:r w:rsidRPr="00E828CC">
        <w:rPr>
          <w:lang w:bidi="lv-LV"/>
        </w:rPr>
        <w:t xml:space="preserve">līdz tiesībām saņemt dividendes un likvidācijas kvotas, ko pieļauj gan Enerģētikas likums, gan direktīva </w:t>
      </w:r>
      <w:r w:rsidRPr="00E828CC">
        <w:t>2009/73/EK</w:t>
      </w:r>
      <w:r w:rsidRPr="00E828CC">
        <w:rPr>
          <w:lang w:bidi="lv-LV"/>
        </w:rPr>
        <w:t xml:space="preserve">. No </w:t>
      </w:r>
      <w:r w:rsidRPr="00E828CC">
        <w:t>kasācijas sūdzības argumentiem izriet, ka pieteicējai ir zināmi citi veidi, kā nodrošināt neatkarības prasību izpildīšanu, piemēram, akciju kategorijas maiņa. Taču pieteicēja norāda, ka akciju kategorijas maiņa no akcijām ar balsstiesībām uz akcijām bez balsstiesībām nozīmētu būtisku akciju vērtības samazinājumu.</w:t>
      </w:r>
    </w:p>
    <w:p w14:paraId="0882C3AF" w14:textId="01B2DAF9" w:rsidR="00056937" w:rsidRPr="00E828CC" w:rsidRDefault="0047066E" w:rsidP="0067614E">
      <w:pPr>
        <w:spacing w:line="276" w:lineRule="auto"/>
        <w:ind w:firstLine="720"/>
        <w:contextualSpacing/>
        <w:jc w:val="both"/>
      </w:pPr>
      <w:r w:rsidRPr="00E828CC">
        <w:t xml:space="preserve">Tādējādi nav pamatots pieteicējas arguments, ka neatkarības prasības bija iespējams izpildīt tikai vienā </w:t>
      </w:r>
      <w:r w:rsidR="00056937" w:rsidRPr="00E828CC">
        <w:rPr>
          <w:lang w:bidi="lv-LV"/>
        </w:rPr>
        <w:t xml:space="preserve">konkrētā veidā – Gazprom un Marguerite Gas I atsavinot savas pieteicējas vai AS „Latvijas Gāze” akcijas. </w:t>
      </w:r>
      <w:r w:rsidR="00056937">
        <w:rPr>
          <w:lang w:bidi="lv-LV"/>
        </w:rPr>
        <w:t>T</w:t>
      </w:r>
      <w:r w:rsidR="00056937" w:rsidRPr="00E828CC">
        <w:t>ā bija pieteicējas rīcības brīvība izvēlēties piemērotāko veidu</w:t>
      </w:r>
      <w:r w:rsidR="00056937">
        <w:t xml:space="preserve"> neatkarības prasību izpildīšanai</w:t>
      </w:r>
      <w:r w:rsidR="00056937" w:rsidRPr="00E828CC">
        <w:t>.</w:t>
      </w:r>
    </w:p>
    <w:p w14:paraId="5B4A9229" w14:textId="77777777" w:rsidR="00D2265A" w:rsidRDefault="00D2265A" w:rsidP="0067614E">
      <w:pPr>
        <w:spacing w:line="276" w:lineRule="auto"/>
        <w:ind w:firstLine="720"/>
        <w:contextualSpacing/>
        <w:jc w:val="both"/>
        <w:rPr>
          <w:i/>
          <w:iCs/>
          <w:u w:val="single"/>
          <w:lang w:bidi="lv-LV"/>
        </w:rPr>
      </w:pPr>
    </w:p>
    <w:p w14:paraId="56D6207C" w14:textId="529C8970" w:rsidR="00D2265A" w:rsidRPr="00E828CC" w:rsidRDefault="00D2265A" w:rsidP="0067614E">
      <w:pPr>
        <w:spacing w:line="276" w:lineRule="auto"/>
        <w:ind w:firstLine="720"/>
        <w:contextualSpacing/>
        <w:jc w:val="both"/>
        <w:rPr>
          <w:lang w:bidi="lv-LV"/>
        </w:rPr>
      </w:pPr>
      <w:r w:rsidRPr="00E828CC">
        <w:rPr>
          <w:lang w:bidi="lv-LV"/>
        </w:rPr>
        <w:t>[</w:t>
      </w:r>
      <w:r w:rsidR="00264249">
        <w:rPr>
          <w:lang w:bidi="lv-LV"/>
        </w:rPr>
        <w:t>16</w:t>
      </w:r>
      <w:r w:rsidRPr="00E828CC">
        <w:rPr>
          <w:lang w:bidi="lv-LV"/>
        </w:rPr>
        <w:t>] Pieteicēja norāda, ka apgabaltiesa nav ņēmusi vērā, ka pieteicēja ir pārsūdzējusi regulatora lēmumu tieši daļā par nosacījumu noteikšanu, līdz ar to tiesai bija jāpārbauda, vai nosacījumi atbilst Administratīvā procesa likuma 68.panta noteikumiem</w:t>
      </w:r>
      <w:r w:rsidR="00F84594">
        <w:rPr>
          <w:lang w:bidi="lv-LV"/>
        </w:rPr>
        <w:t xml:space="preserve"> un</w:t>
      </w:r>
      <w:r w:rsidRPr="00E828CC">
        <w:rPr>
          <w:lang w:bidi="lv-LV"/>
        </w:rPr>
        <w:t xml:space="preserve"> vai pieteicējai ir iespējams tos tiesiski izpildīt. Lai gan pārsūdzētā lēmuma adresāts ir pieteicēja kā vienotais </w:t>
      </w:r>
      <w:r w:rsidRPr="00E828CC">
        <w:t xml:space="preserve">dabasgāzes pārvades un uzglabāšanas </w:t>
      </w:r>
      <w:r w:rsidRPr="00E828CC">
        <w:rPr>
          <w:lang w:bidi="lv-LV"/>
        </w:rPr>
        <w:t>sistēmas operators, lēmumā sertificēšanas nosacījumi noteikti sakarā ar pieteicējas akciju piederību konkrētiem akcionāriem, tātad tie faktiski attiecas uz akcionāriem, jo bez akcionāru rīcības nav izpildāmi. Pieteicēja atsaucas uz Komerclikuma 291. (padome) un 301.pantu (valde) un norāda, ka likums neparedz akciju sabiedrības valdes vai padomes tiesības ierobežot akcionāra balsstiesības vai ietekmēt akcionāra lēmumu atsavināt akcijas, lai nodrošinātu atbilstību likumam.</w:t>
      </w:r>
    </w:p>
    <w:p w14:paraId="45C953D3" w14:textId="6608684F" w:rsidR="00D2265A" w:rsidRPr="00E828CC" w:rsidRDefault="00290B9C" w:rsidP="0067614E">
      <w:pPr>
        <w:spacing w:line="276" w:lineRule="auto"/>
        <w:ind w:firstLine="720"/>
        <w:contextualSpacing/>
        <w:jc w:val="both"/>
        <w:rPr>
          <w:noProof/>
          <w:lang w:eastAsia="lv-LV"/>
        </w:rPr>
      </w:pPr>
      <w:r w:rsidRPr="00E828CC">
        <w:rPr>
          <w:noProof/>
          <w:lang w:eastAsia="lv-LV"/>
        </w:rPr>
        <w:t xml:space="preserve">Attiecībā uz pieteicējas argumentu par pārsūdzētā lēmuma nosacījumu atbilstību </w:t>
      </w:r>
      <w:r w:rsidRPr="00E828CC">
        <w:rPr>
          <w:lang w:bidi="lv-LV"/>
        </w:rPr>
        <w:t>Administratīvā procesa likuma 68.panta noteikumiem Senāts pievienojas regul</w:t>
      </w:r>
      <w:r w:rsidR="00961B58" w:rsidRPr="00E828CC">
        <w:rPr>
          <w:lang w:bidi="lv-LV"/>
        </w:rPr>
        <w:t>ato</w:t>
      </w:r>
      <w:r w:rsidRPr="00E828CC">
        <w:rPr>
          <w:lang w:bidi="lv-LV"/>
        </w:rPr>
        <w:t xml:space="preserve">ra paskaidrojumos norādītajam, ka </w:t>
      </w:r>
      <w:r w:rsidR="00961B58" w:rsidRPr="00E828CC">
        <w:rPr>
          <w:lang w:bidi="lv-LV"/>
        </w:rPr>
        <w:t>pārsūdzētajā lēmumā nav noteikti jauni sertificēšanas nosacījumi</w:t>
      </w:r>
      <w:r w:rsidR="00F84594">
        <w:rPr>
          <w:lang w:bidi="lv-LV"/>
        </w:rPr>
        <w:t xml:space="preserve">, </w:t>
      </w:r>
      <w:r w:rsidR="00961B58" w:rsidRPr="00E828CC">
        <w:rPr>
          <w:lang w:bidi="lv-LV"/>
        </w:rPr>
        <w:t>1.1. un 1.2.punktā ir atkārtotas likumā noteiktās obligātās prasības. Tātad sertificēšanas nosacījumi, neatkarīgi no to norādīšanas pārsūdzētajā lēmumā, ir noteikti Enerģētikas likumā. Ar pārsūdzēto lēmumu pieteicējai radītas labvēlīgākas sekas, dodot iespēju izpildīt sertificēšanas nosacījumu ilgākā termiņā. Attiecībā uz termiņ</w:t>
      </w:r>
      <w:r w:rsidR="00F84594">
        <w:rPr>
          <w:lang w:bidi="lv-LV"/>
        </w:rPr>
        <w:t>a</w:t>
      </w:r>
      <w:r w:rsidR="00961B58" w:rsidRPr="00E828CC">
        <w:rPr>
          <w:lang w:bidi="lv-LV"/>
        </w:rPr>
        <w:t xml:space="preserve"> samērīgumu pieteicēja nav izteikusi argumentus.</w:t>
      </w:r>
    </w:p>
    <w:p w14:paraId="57A197B3" w14:textId="2BBD9E2C" w:rsidR="00D2265A" w:rsidRPr="00E828CC" w:rsidRDefault="00D2265A" w:rsidP="0067614E">
      <w:pPr>
        <w:spacing w:line="276" w:lineRule="auto"/>
        <w:ind w:firstLine="720"/>
        <w:contextualSpacing/>
        <w:jc w:val="both"/>
        <w:rPr>
          <w:lang w:bidi="lv-LV"/>
        </w:rPr>
      </w:pPr>
      <w:r w:rsidRPr="00E828CC">
        <w:rPr>
          <w:noProof/>
          <w:lang w:eastAsia="lv-LV"/>
        </w:rPr>
        <w:t xml:space="preserve">Pieteicēja pareizi norādījusi, ka pārsūdzētā lēmuma adresāts ir pieteicēja kā </w:t>
      </w:r>
      <w:r w:rsidRPr="00E828CC">
        <w:rPr>
          <w:lang w:bidi="lv-LV"/>
        </w:rPr>
        <w:t xml:space="preserve">vienotais </w:t>
      </w:r>
      <w:r w:rsidRPr="00E828CC">
        <w:t xml:space="preserve">dabasgāzes pārvades un uzglabāšanas </w:t>
      </w:r>
      <w:r w:rsidRPr="00E828CC">
        <w:rPr>
          <w:noProof/>
          <w:lang w:eastAsia="lv-LV"/>
        </w:rPr>
        <w:t>sistēmas operators, jo saskaņā ar Enerģētikas likuma 115.pantu atbilstīb</w:t>
      </w:r>
      <w:r w:rsidR="002B518C">
        <w:rPr>
          <w:noProof/>
          <w:lang w:eastAsia="lv-LV"/>
        </w:rPr>
        <w:t>a</w:t>
      </w:r>
      <w:r w:rsidRPr="00E828CC">
        <w:rPr>
          <w:noProof/>
          <w:lang w:eastAsia="lv-LV"/>
        </w:rPr>
        <w:t xml:space="preserve"> sertificēšanas prasībām tiek vērtēt</w:t>
      </w:r>
      <w:r w:rsidR="002B518C">
        <w:rPr>
          <w:noProof/>
          <w:lang w:eastAsia="lv-LV"/>
        </w:rPr>
        <w:t>a</w:t>
      </w:r>
      <w:r w:rsidRPr="00E828CC">
        <w:rPr>
          <w:noProof/>
          <w:lang w:eastAsia="lv-LV"/>
        </w:rPr>
        <w:t xml:space="preserve"> un lēmums tiek pieņemts attiecībā uz </w:t>
      </w:r>
      <w:r w:rsidRPr="00E828CC">
        <w:rPr>
          <w:lang w:bidi="lv-LV"/>
        </w:rPr>
        <w:t xml:space="preserve">vienoto </w:t>
      </w:r>
      <w:r w:rsidRPr="00E828CC">
        <w:t xml:space="preserve">dabasgāzes pārvades un uzglabāšanas </w:t>
      </w:r>
      <w:r w:rsidRPr="00E828CC">
        <w:rPr>
          <w:noProof/>
          <w:lang w:eastAsia="lv-LV"/>
        </w:rPr>
        <w:t xml:space="preserve">sistēmas operatoru. </w:t>
      </w:r>
      <w:r w:rsidRPr="00E828CC">
        <w:rPr>
          <w:lang w:bidi="lv-LV"/>
        </w:rPr>
        <w:t>Regulators nav tiesīgs nepiemērot Enerģētikas likumā noteiktos sertificēšanas priekšnoteikumus tāpēc, ka pieteicējai varētu būt grūtības vai neērtības tos izpildīt. Prasības attiecas uz pieteicēju kā pārsūdzētā lēmuma adresātu, nevis tās akcionāriem.</w:t>
      </w:r>
    </w:p>
    <w:p w14:paraId="6D4583E5" w14:textId="6B0993EC" w:rsidR="00D2265A" w:rsidRPr="00E828CC" w:rsidRDefault="00D2265A" w:rsidP="0067614E">
      <w:pPr>
        <w:spacing w:line="276" w:lineRule="auto"/>
        <w:ind w:firstLine="720"/>
        <w:contextualSpacing/>
        <w:jc w:val="both"/>
        <w:rPr>
          <w:lang w:bidi="lv-LV"/>
        </w:rPr>
      </w:pPr>
      <w:r w:rsidRPr="00E828CC">
        <w:rPr>
          <w:lang w:bidi="lv-LV"/>
        </w:rPr>
        <w:t>Senāts atgādina pieteicējai, ka saskaņā ar Komerclikuma 266.pantu kapitālsabiedrības pārvaldes institūcijas ir ne tikai padome un valde, bet arī akcionāru sapulce, proti, sabiedrību pārvalda akcionāru sapulce, padome un valde. Valdei un padomei ir tiesības sasaukt kārtējo un arī ārkārtas akcionāru sapulci, lai izlemtu akcionāru sapulces kompetencē esošus jautājumus (Komerclikuma 269. un 270.pants). Kā jau tika minēts iepriekšējā punktā, r</w:t>
      </w:r>
      <w:r w:rsidRPr="00E828CC">
        <w:rPr>
          <w:noProof/>
          <w:lang w:eastAsia="lv-LV"/>
        </w:rPr>
        <w:t xml:space="preserve">egulators pārsūdzētajā lēmumā nav norādījis konkrētus risinājumus sertificēšanas nosacījumu izpildei, tostarp nav norādījis, ka Gazprom vai </w:t>
      </w:r>
      <w:r w:rsidRPr="00E828CC">
        <w:rPr>
          <w:lang w:bidi="lv-LV"/>
        </w:rPr>
        <w:t xml:space="preserve">Marguerite Gas I būtu jāatsavina </w:t>
      </w:r>
      <w:r w:rsidR="00F84594">
        <w:rPr>
          <w:lang w:bidi="lv-LV"/>
        </w:rPr>
        <w:t>savas</w:t>
      </w:r>
      <w:r w:rsidRPr="00E828CC">
        <w:rPr>
          <w:lang w:bidi="lv-LV"/>
        </w:rPr>
        <w:t xml:space="preserve"> akcijas. Tādējādi risinājums bija pieteicējas kā kapitālsabiedrības ar visām tās pārvaldes institūcijām (valdi, padomi, kā arī akcionāru sapulci) ziņā.</w:t>
      </w:r>
    </w:p>
    <w:p w14:paraId="2BA7E4BB" w14:textId="77777777" w:rsidR="00567CB9" w:rsidRPr="00E828CC" w:rsidRDefault="00567CB9" w:rsidP="0067614E">
      <w:pPr>
        <w:spacing w:line="276" w:lineRule="auto"/>
        <w:ind w:firstLine="720"/>
        <w:contextualSpacing/>
        <w:jc w:val="both"/>
        <w:rPr>
          <w:lang w:bidi="lv-LV"/>
        </w:rPr>
      </w:pPr>
    </w:p>
    <w:p w14:paraId="5A720A47" w14:textId="7718785B" w:rsidR="00B02DCD" w:rsidRPr="00C1627C" w:rsidRDefault="00B02DCD" w:rsidP="0067614E">
      <w:pPr>
        <w:spacing w:line="276" w:lineRule="auto"/>
        <w:ind w:firstLine="720"/>
        <w:contextualSpacing/>
        <w:jc w:val="both"/>
      </w:pPr>
      <w:bookmarkStart w:id="3" w:name="_Hlk80184107"/>
      <w:r w:rsidRPr="00C1627C">
        <w:t>[</w:t>
      </w:r>
      <w:r w:rsidR="00264249">
        <w:t>17</w:t>
      </w:r>
      <w:r w:rsidRPr="00C1627C">
        <w:t>] Senāts atzīst, ka nav objektīvas nepieciešamības uzdot Eiropas Savienības Tiesai jautājumu prejudiciāla nolēmuma pieņemšanai.</w:t>
      </w:r>
    </w:p>
    <w:p w14:paraId="6D460D7F" w14:textId="550D8AA1" w:rsidR="005270DF" w:rsidRPr="00C1627C" w:rsidRDefault="00B02DCD" w:rsidP="0067614E">
      <w:pPr>
        <w:spacing w:line="276" w:lineRule="auto"/>
        <w:ind w:firstLine="720"/>
        <w:contextualSpacing/>
        <w:jc w:val="both"/>
      </w:pPr>
      <w:r w:rsidRPr="00C1627C">
        <w:t>Ar Līguma par Eiropas Savienības darbību 267.pantu tiesām ir piešķirtas visplašākās iespējas vērsties Eiropas Savienības Tiesā, ja tās uzskata, ka lietā, kuru tās izskata, rodas jautājumi par Savienības tiesību normu, kas nepieciešamas to izskatīšanā esošā strīda atrisināšanai, interpretāciju vai spēkā esamības vērtējumu. Tāpēc valsts tiesām ir iespēja un vajadzības gadījumā pienākums uzdot prejudiciālu jautājumu, ja tās pēc savas iniciatīvas vai pēc lietas dalībnieku lūguma konstatē, ka strīda pamatā ir atrisināms jautājums, uz kuru attiecas šā panta pirmā daļa (</w:t>
      </w:r>
      <w:r w:rsidRPr="00C1627C">
        <w:rPr>
          <w:i/>
          <w:iCs/>
        </w:rPr>
        <w:t>Eiropas Savienības Tiesa 2017.gada 1.februāra sprieduma lietā „Tolley”, C</w:t>
      </w:r>
      <w:r w:rsidRPr="00C1627C">
        <w:rPr>
          <w:i/>
          <w:iCs/>
        </w:rPr>
        <w:noBreakHyphen/>
      </w:r>
      <w:r w:rsidR="005270DF" w:rsidRPr="00C1627C">
        <w:rPr>
          <w:i/>
          <w:iCs/>
        </w:rPr>
        <w:t>430</w:t>
      </w:r>
      <w:r w:rsidRPr="00C1627C">
        <w:rPr>
          <w:i/>
          <w:iCs/>
        </w:rPr>
        <w:t>/</w:t>
      </w:r>
      <w:r w:rsidR="005270DF" w:rsidRPr="00C1627C">
        <w:rPr>
          <w:i/>
          <w:iCs/>
        </w:rPr>
        <w:t>15</w:t>
      </w:r>
      <w:r w:rsidRPr="00C1627C">
        <w:rPr>
          <w:i/>
          <w:iCs/>
        </w:rPr>
        <w:t xml:space="preserve">, </w:t>
      </w:r>
      <w:hyperlink r:id="rId11" w:history="1">
        <w:r w:rsidRPr="002E3DD7">
          <w:rPr>
            <w:rStyle w:val="Hyperlink"/>
            <w:i/>
            <w:iCs/>
          </w:rPr>
          <w:t>ECLI:EU:C:20</w:t>
        </w:r>
        <w:r w:rsidR="005270DF" w:rsidRPr="002E3DD7">
          <w:rPr>
            <w:rStyle w:val="Hyperlink"/>
            <w:i/>
            <w:iCs/>
          </w:rPr>
          <w:t>17</w:t>
        </w:r>
        <w:r w:rsidRPr="002E3DD7">
          <w:rPr>
            <w:rStyle w:val="Hyperlink"/>
            <w:i/>
            <w:iCs/>
          </w:rPr>
          <w:t>:</w:t>
        </w:r>
        <w:r w:rsidR="005270DF" w:rsidRPr="002E3DD7">
          <w:rPr>
            <w:rStyle w:val="Hyperlink"/>
            <w:i/>
            <w:iCs/>
          </w:rPr>
          <w:t>74</w:t>
        </w:r>
      </w:hyperlink>
      <w:r w:rsidRPr="002E3DD7">
        <w:rPr>
          <w:rStyle w:val="Hyperlink"/>
          <w:i/>
          <w:iCs/>
          <w:color w:val="auto"/>
          <w:u w:val="none"/>
        </w:rPr>
        <w:t>,</w:t>
      </w:r>
      <w:r w:rsidRPr="00C1627C">
        <w:rPr>
          <w:rStyle w:val="Hyperlink"/>
          <w:i/>
          <w:iCs/>
          <w:color w:val="auto"/>
          <w:u w:val="none"/>
        </w:rPr>
        <w:t xml:space="preserve"> 3</w:t>
      </w:r>
      <w:r w:rsidR="005270DF" w:rsidRPr="00C1627C">
        <w:rPr>
          <w:rStyle w:val="Hyperlink"/>
          <w:i/>
          <w:iCs/>
          <w:color w:val="auto"/>
          <w:u w:val="none"/>
        </w:rPr>
        <w:t>0</w:t>
      </w:r>
      <w:r w:rsidRPr="00C1627C">
        <w:rPr>
          <w:rStyle w:val="Hyperlink"/>
          <w:i/>
          <w:iCs/>
          <w:color w:val="auto"/>
          <w:u w:val="none"/>
        </w:rPr>
        <w:t>.punkts</w:t>
      </w:r>
      <w:r w:rsidRPr="00C1627C">
        <w:t>).</w:t>
      </w:r>
    </w:p>
    <w:p w14:paraId="5340DFF1" w14:textId="5E812829" w:rsidR="005270DF" w:rsidRPr="00C1627C" w:rsidRDefault="005270DF" w:rsidP="0067614E">
      <w:pPr>
        <w:spacing w:line="276" w:lineRule="auto"/>
        <w:ind w:firstLine="720"/>
        <w:contextualSpacing/>
        <w:jc w:val="both"/>
      </w:pPr>
      <w:r w:rsidRPr="00C1627C">
        <w:t>Eiropas Savienības Tiesa ir atgādinājusi, ka Tiesai saistībā ar lūgumu sniegt prejudiciālu nolēmumu nav jālemj nedz par valsts tiesību normu interpretāciju, nedz arī jāspriež par to, vai iesniedzējtiesas veiktā šo normu interpretācija ir pareiza. Vienīgi valsts tiesas ir kompetentas lemt par iekšējo tiesību interpretāciju (</w:t>
      </w:r>
      <w:r w:rsidRPr="00C1627C">
        <w:rPr>
          <w:i/>
          <w:iCs/>
        </w:rPr>
        <w:t>Eiropas Savienības Tiesa 2015.gada 17.decembra sprieduma lietā „Tall”, C</w:t>
      </w:r>
      <w:r w:rsidRPr="00C1627C">
        <w:rPr>
          <w:i/>
          <w:iCs/>
        </w:rPr>
        <w:noBreakHyphen/>
        <w:t xml:space="preserve">239/14, </w:t>
      </w:r>
      <w:hyperlink r:id="rId12" w:history="1">
        <w:r w:rsidRPr="00244AC9">
          <w:rPr>
            <w:rStyle w:val="Hyperlink"/>
            <w:i/>
            <w:iCs/>
          </w:rPr>
          <w:t>ECLI:EU:C:2015:824</w:t>
        </w:r>
      </w:hyperlink>
      <w:r w:rsidRPr="00244AC9">
        <w:rPr>
          <w:rStyle w:val="Hyperlink"/>
          <w:i/>
          <w:iCs/>
          <w:color w:val="auto"/>
          <w:u w:val="none"/>
        </w:rPr>
        <w:t xml:space="preserve">, </w:t>
      </w:r>
      <w:r w:rsidRPr="00244AC9">
        <w:rPr>
          <w:i/>
          <w:iCs/>
        </w:rPr>
        <w:t>35.punkts</w:t>
      </w:r>
      <w:r w:rsidRPr="00244AC9">
        <w:t>).</w:t>
      </w:r>
    </w:p>
    <w:p w14:paraId="7EAF8086" w14:textId="0AC49F5B" w:rsidR="00166A49" w:rsidRPr="00C1627C" w:rsidRDefault="005270DF" w:rsidP="0067614E">
      <w:pPr>
        <w:spacing w:line="276" w:lineRule="auto"/>
        <w:ind w:firstLine="720"/>
        <w:contextualSpacing/>
        <w:jc w:val="both"/>
      </w:pPr>
      <w:r w:rsidRPr="00C1627C">
        <w:t>Pieteicējas jautājums</w:t>
      </w:r>
      <w:r w:rsidR="00F97523" w:rsidRPr="00C1627C">
        <w:t xml:space="preserve"> (</w:t>
      </w:r>
      <w:r w:rsidR="00F97523" w:rsidRPr="00C1627C">
        <w:rPr>
          <w:i/>
          <w:iCs/>
        </w:rPr>
        <w:t>sk. sprieduma 5.punktu</w:t>
      </w:r>
      <w:r w:rsidR="00F97523" w:rsidRPr="00C1627C">
        <w:t>)</w:t>
      </w:r>
      <w:r w:rsidRPr="00C1627C">
        <w:t xml:space="preserve"> neattiecas uz Eiropas Savienības tiesību normu interpretācijas pareizību</w:t>
      </w:r>
      <w:r w:rsidR="008346DF" w:rsidRPr="00C1627C">
        <w:t>.</w:t>
      </w:r>
      <w:r w:rsidR="00166A49" w:rsidRPr="00C1627C">
        <w:t xml:space="preserve"> </w:t>
      </w:r>
      <w:r w:rsidR="008346DF" w:rsidRPr="00C1627C">
        <w:t>P</w:t>
      </w:r>
      <w:r w:rsidR="00F97523" w:rsidRPr="00C1627C">
        <w:t xml:space="preserve">ieteicēja </w:t>
      </w:r>
      <w:r w:rsidR="00166A49" w:rsidRPr="00C1627C">
        <w:t xml:space="preserve">apšauba dalībvalsts tiesiskā regulējuma atbilstību Eiropas Savienības normatīvajiem aktiem. </w:t>
      </w:r>
      <w:r w:rsidR="00A35A22">
        <w:t>Valsts tiesību normu interpretācija nav Eiropas Savienības Tiesas kompetencē.</w:t>
      </w:r>
    </w:p>
    <w:p w14:paraId="122C73ED" w14:textId="26A6760F" w:rsidR="005270DF" w:rsidRDefault="00166A49" w:rsidP="0067614E">
      <w:pPr>
        <w:spacing w:line="276" w:lineRule="auto"/>
        <w:ind w:firstLine="720"/>
        <w:contextualSpacing/>
        <w:jc w:val="both"/>
      </w:pPr>
      <w:r w:rsidRPr="00C1627C">
        <w:t xml:space="preserve">Senāts </w:t>
      </w:r>
      <w:r w:rsidR="008346DF" w:rsidRPr="00C1627C">
        <w:t xml:space="preserve">piekrīt </w:t>
      </w:r>
      <w:r w:rsidRPr="00C1627C">
        <w:t>regulatora paskaidrojumos norādīt</w:t>
      </w:r>
      <w:r w:rsidR="008346DF" w:rsidRPr="00C1627C">
        <w:t>ajam</w:t>
      </w:r>
      <w:r w:rsidRPr="00C1627C">
        <w:t xml:space="preserve">, ka </w:t>
      </w:r>
      <w:r w:rsidR="008346DF" w:rsidRPr="00C1627C">
        <w:t>nav konstatējamas pretrunas</w:t>
      </w:r>
      <w:r w:rsidR="004E35DA" w:rsidRPr="00C1627C">
        <w:t xml:space="preserve"> starp direktīvā 2009/73/EK un Enerģētikas likumā</w:t>
      </w:r>
      <w:r w:rsidR="008346DF" w:rsidRPr="00C1627C">
        <w:t xml:space="preserve"> </w:t>
      </w:r>
      <w:r w:rsidR="004E35DA" w:rsidRPr="00C1627C">
        <w:t>ietvertajām neatkarības prasībām pārvades sistēmas operatoram, jo gan direktīvas 2009/73/EK 9.panta 1. un 2.punktā, gan Enerģētikas likuma 111.panta pirmajā, otrajā un trešajā daļā ietvertās prasības būtībā ir identiskas</w:t>
      </w:r>
      <w:r w:rsidR="00CD29EA" w:rsidRPr="00C1627C">
        <w:t>. Direktīva 2009/73/EK nenosaka konkrētu veidu, kādā dalībvalstij jāsasniedz direktīvā noteikto pārvades sistēmas operatora neatkarības prasību ievērošana, līdz ar to no</w:t>
      </w:r>
      <w:r w:rsidR="002B518C">
        <w:t xml:space="preserve"> pieteicējas piedāvātā</w:t>
      </w:r>
      <w:r w:rsidR="00CD29EA" w:rsidRPr="00C1627C">
        <w:t xml:space="preserve"> jautājuma nav skaidrs, kā izpaužas atkāpe no direktīvas regulējuma. Turklāt jautājums prasa lietas faktisko apstākļu </w:t>
      </w:r>
      <w:r w:rsidR="00C1627C" w:rsidRPr="00C1627C">
        <w:t>vērtējumu, kas nav Eiropas Savienības Tiesas kompetencē.</w:t>
      </w:r>
    </w:p>
    <w:p w14:paraId="692FC1F7" w14:textId="77777777" w:rsidR="00C1627C" w:rsidRDefault="00C1627C" w:rsidP="0067614E">
      <w:pPr>
        <w:spacing w:line="276" w:lineRule="auto"/>
        <w:ind w:firstLine="720"/>
        <w:jc w:val="both"/>
      </w:pPr>
    </w:p>
    <w:p w14:paraId="58428E87" w14:textId="11F28178" w:rsidR="00C1627C" w:rsidRDefault="00C1627C" w:rsidP="0067614E">
      <w:pPr>
        <w:spacing w:line="276" w:lineRule="auto"/>
        <w:ind w:firstLine="720"/>
        <w:jc w:val="both"/>
      </w:pPr>
      <w:r>
        <w:t>[</w:t>
      </w:r>
      <w:r w:rsidR="00264249">
        <w:t>18</w:t>
      </w:r>
      <w:r>
        <w:t xml:space="preserve">] Ievērojot minēto, Senāts atzīst, ka nav pamata apgabaltiesas sprieduma atcelšanai </w:t>
      </w:r>
      <w:r w:rsidR="00A8387A">
        <w:t>un pieteicējas kasācijas sūdzība noraidāma kā nepamatota.</w:t>
      </w:r>
    </w:p>
    <w:p w14:paraId="73A12E1C" w14:textId="77777777" w:rsidR="00C1627C" w:rsidRPr="00C1627C" w:rsidRDefault="00C1627C" w:rsidP="0067614E">
      <w:pPr>
        <w:spacing w:line="276" w:lineRule="auto"/>
        <w:ind w:firstLine="720"/>
        <w:jc w:val="both"/>
      </w:pPr>
    </w:p>
    <w:bookmarkEnd w:id="3"/>
    <w:p w14:paraId="4F961887" w14:textId="77777777" w:rsidR="00A138AE" w:rsidRPr="0012741F" w:rsidRDefault="00A138AE" w:rsidP="0067614E">
      <w:pPr>
        <w:pStyle w:val="ATvirsraksts"/>
        <w:ind w:firstLine="567"/>
        <w:contextualSpacing/>
      </w:pPr>
      <w:r w:rsidRPr="0012741F">
        <w:t>Rezolutīvā daļa</w:t>
      </w:r>
    </w:p>
    <w:p w14:paraId="4C37D726" w14:textId="77777777" w:rsidR="00A138AE" w:rsidRPr="0012741F" w:rsidRDefault="00A138AE" w:rsidP="0067614E">
      <w:pPr>
        <w:spacing w:line="276" w:lineRule="auto"/>
        <w:ind w:firstLine="567"/>
        <w:contextualSpacing/>
        <w:jc w:val="both"/>
        <w:rPr>
          <w:noProof/>
        </w:rPr>
      </w:pPr>
    </w:p>
    <w:p w14:paraId="37E7DC81" w14:textId="77777777" w:rsidR="00A35A22" w:rsidRDefault="00A35A22" w:rsidP="0067614E">
      <w:pPr>
        <w:tabs>
          <w:tab w:val="left" w:pos="6660"/>
        </w:tabs>
        <w:spacing w:line="276" w:lineRule="auto"/>
        <w:ind w:firstLine="720"/>
        <w:jc w:val="both"/>
      </w:pPr>
      <w:r w:rsidRPr="002B5FE8">
        <w:t>Pamatojoties uz Administratīvā procesa likuma 348.panta pirmās daļas 1.punktu un 351.pantu, Senāts</w:t>
      </w:r>
    </w:p>
    <w:p w14:paraId="39456021" w14:textId="77777777" w:rsidR="000E6954" w:rsidRDefault="000E6954" w:rsidP="0067614E">
      <w:pPr>
        <w:spacing w:line="276" w:lineRule="auto"/>
        <w:ind w:firstLine="567"/>
        <w:contextualSpacing/>
        <w:jc w:val="center"/>
        <w:rPr>
          <w:b/>
        </w:rPr>
      </w:pPr>
    </w:p>
    <w:p w14:paraId="2571B7CC" w14:textId="361AB2AD" w:rsidR="00A138AE" w:rsidRPr="0012741F" w:rsidRDefault="00A138AE" w:rsidP="0067614E">
      <w:pPr>
        <w:spacing w:line="276" w:lineRule="auto"/>
        <w:ind w:firstLine="567"/>
        <w:contextualSpacing/>
        <w:jc w:val="center"/>
        <w:rPr>
          <w:b/>
        </w:rPr>
      </w:pPr>
      <w:r w:rsidRPr="0012741F">
        <w:rPr>
          <w:b/>
        </w:rPr>
        <w:t>nosprieda</w:t>
      </w:r>
    </w:p>
    <w:p w14:paraId="16A4C2C3" w14:textId="77777777" w:rsidR="00A138AE" w:rsidRPr="0012741F" w:rsidRDefault="00A138AE" w:rsidP="0067614E">
      <w:pPr>
        <w:spacing w:line="276" w:lineRule="auto"/>
        <w:ind w:firstLine="720"/>
        <w:contextualSpacing/>
        <w:jc w:val="center"/>
        <w:rPr>
          <w:b/>
        </w:rPr>
      </w:pPr>
    </w:p>
    <w:p w14:paraId="4C811D45" w14:textId="56A61ABC" w:rsidR="00A35A22" w:rsidRDefault="00A35A22" w:rsidP="0067614E">
      <w:pPr>
        <w:keepNext/>
        <w:tabs>
          <w:tab w:val="left" w:pos="2700"/>
          <w:tab w:val="left" w:pos="6660"/>
        </w:tabs>
        <w:spacing w:line="276" w:lineRule="auto"/>
        <w:ind w:firstLine="720"/>
        <w:contextualSpacing/>
        <w:jc w:val="both"/>
      </w:pPr>
      <w:r w:rsidRPr="002B5FE8">
        <w:rPr>
          <w:color w:val="000000"/>
        </w:rPr>
        <w:t>atstāt negrozītu</w:t>
      </w:r>
      <w:r w:rsidRPr="002B5FE8">
        <w:t xml:space="preserve"> Administratīvās apgabaltiesas </w:t>
      </w:r>
      <w:r w:rsidRPr="00274284">
        <w:rPr>
          <w:noProof/>
        </w:rPr>
        <w:t>20</w:t>
      </w:r>
      <w:r w:rsidR="00A033FC">
        <w:rPr>
          <w:noProof/>
        </w:rPr>
        <w:t>19</w:t>
      </w:r>
      <w:r w:rsidRPr="00274284">
        <w:rPr>
          <w:noProof/>
        </w:rPr>
        <w:t xml:space="preserve">.gada </w:t>
      </w:r>
      <w:r w:rsidR="00A033FC">
        <w:rPr>
          <w:noProof/>
        </w:rPr>
        <w:t>2.septembra</w:t>
      </w:r>
      <w:r w:rsidRPr="00274284">
        <w:rPr>
          <w:noProof/>
        </w:rPr>
        <w:t xml:space="preserve"> </w:t>
      </w:r>
      <w:r w:rsidRPr="002B5FE8">
        <w:t xml:space="preserve">spriedumu, bet </w:t>
      </w:r>
      <w:r w:rsidR="00A033FC">
        <w:t xml:space="preserve">akciju sabiedrības „Conexus Baltic Grid” </w:t>
      </w:r>
      <w:r w:rsidRPr="002B5FE8">
        <w:rPr>
          <w:noProof/>
        </w:rPr>
        <w:t xml:space="preserve">kasācijas sūdzību </w:t>
      </w:r>
      <w:r w:rsidRPr="002B5FE8">
        <w:t>noraidīt.</w:t>
      </w:r>
    </w:p>
    <w:p w14:paraId="638D47D8" w14:textId="77777777" w:rsidR="00A35A22" w:rsidRPr="002B5FE8" w:rsidRDefault="00A35A22" w:rsidP="0067614E">
      <w:pPr>
        <w:keepNext/>
        <w:tabs>
          <w:tab w:val="left" w:pos="2700"/>
          <w:tab w:val="left" w:pos="6660"/>
        </w:tabs>
        <w:spacing w:line="276" w:lineRule="auto"/>
        <w:ind w:firstLine="720"/>
        <w:contextualSpacing/>
        <w:jc w:val="both"/>
      </w:pPr>
    </w:p>
    <w:p w14:paraId="00D9FC2A" w14:textId="52D16E81" w:rsidR="00A138AE" w:rsidRPr="0012741F" w:rsidRDefault="00645643" w:rsidP="0067614E">
      <w:pPr>
        <w:tabs>
          <w:tab w:val="left" w:pos="2700"/>
          <w:tab w:val="left" w:pos="6660"/>
        </w:tabs>
        <w:spacing w:line="276" w:lineRule="auto"/>
        <w:ind w:firstLine="720"/>
        <w:contextualSpacing/>
      </w:pPr>
      <w:r w:rsidRPr="0012741F">
        <w:t>Spriedums nav pārsūdzams</w:t>
      </w:r>
      <w:r w:rsidR="00404241" w:rsidRPr="0012741F">
        <w:t>.</w:t>
      </w:r>
    </w:p>
    <w:p w14:paraId="1DF2E7ED" w14:textId="77777777" w:rsidR="00FE0160" w:rsidRPr="0012741F" w:rsidRDefault="00FE0160" w:rsidP="00E72EC8">
      <w:pPr>
        <w:spacing w:line="276" w:lineRule="auto"/>
        <w:ind w:firstLine="720"/>
        <w:contextualSpacing/>
        <w:jc w:val="both"/>
        <w:rPr>
          <w:bCs/>
        </w:rPr>
      </w:pPr>
    </w:p>
    <w:p w14:paraId="0AB840A0" w14:textId="77777777" w:rsidR="00FE0160" w:rsidRDefault="00FE0160" w:rsidP="00E72EC8">
      <w:pPr>
        <w:spacing w:line="276" w:lineRule="auto"/>
        <w:ind w:firstLine="720"/>
        <w:contextualSpacing/>
        <w:jc w:val="both"/>
        <w:rPr>
          <w:bCs/>
        </w:rPr>
      </w:pPr>
    </w:p>
    <w:p w14:paraId="368C0230" w14:textId="77777777" w:rsidR="002E3DD7" w:rsidRPr="002E3DD7" w:rsidRDefault="002E3DD7" w:rsidP="00E72EC8">
      <w:pPr>
        <w:spacing w:line="276" w:lineRule="auto"/>
        <w:ind w:firstLine="720"/>
        <w:contextualSpacing/>
        <w:jc w:val="both"/>
        <w:rPr>
          <w:bCs/>
          <w:sz w:val="18"/>
          <w:szCs w:val="18"/>
        </w:rPr>
      </w:pPr>
    </w:p>
    <w:p w14:paraId="47E17F12" w14:textId="77777777" w:rsidR="00A033FC" w:rsidRPr="00C44F2B" w:rsidRDefault="00A033FC" w:rsidP="00625A33">
      <w:pPr>
        <w:tabs>
          <w:tab w:val="left" w:pos="1380"/>
          <w:tab w:val="left" w:pos="1845"/>
          <w:tab w:val="center" w:pos="4819"/>
          <w:tab w:val="left" w:pos="7170"/>
          <w:tab w:val="left" w:pos="7350"/>
          <w:tab w:val="left" w:pos="7860"/>
        </w:tabs>
        <w:spacing w:line="276" w:lineRule="auto"/>
        <w:ind w:firstLine="567"/>
      </w:pPr>
    </w:p>
    <w:sectPr w:rsidR="00A033FC" w:rsidRPr="00C44F2B" w:rsidSect="000A2141">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7545" w14:textId="77777777" w:rsidR="003A1FDF" w:rsidRDefault="003A1FDF">
      <w:r>
        <w:separator/>
      </w:r>
    </w:p>
  </w:endnote>
  <w:endnote w:type="continuationSeparator" w:id="0">
    <w:p w14:paraId="4F11D88D" w14:textId="77777777" w:rsidR="003A1FDF" w:rsidRDefault="003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BA"/>
    <w:family w:val="roman"/>
    <w:pitch w:val="variable"/>
  </w:font>
  <w:font w:name="TimesNewRomanPSMT">
    <w:altName w:val="Times New Roman"/>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5B5A" w14:textId="4D2C0E5B" w:rsidR="00E92AFD" w:rsidRPr="00374103" w:rsidRDefault="00645643" w:rsidP="00374103">
    <w:pPr>
      <w:pStyle w:val="Footer"/>
      <w:tabs>
        <w:tab w:val="clear" w:pos="4153"/>
        <w:tab w:val="clear" w:pos="8306"/>
      </w:tabs>
      <w:jc w:val="center"/>
      <w:rPr>
        <w:sz w:val="20"/>
        <w:szCs w:val="20"/>
      </w:rPr>
    </w:pPr>
    <w:r w:rsidRPr="00B32849">
      <w:rPr>
        <w:rStyle w:val="PageNumber"/>
        <w:sz w:val="20"/>
        <w:szCs w:val="20"/>
      </w:rPr>
      <w:fldChar w:fldCharType="begin"/>
    </w:r>
    <w:r w:rsidRPr="00B32849">
      <w:rPr>
        <w:rStyle w:val="PageNumber"/>
        <w:sz w:val="20"/>
        <w:szCs w:val="20"/>
      </w:rPr>
      <w:instrText xml:space="preserve">PAGE  </w:instrText>
    </w:r>
    <w:r w:rsidRPr="00B32849">
      <w:rPr>
        <w:rStyle w:val="PageNumber"/>
        <w:sz w:val="20"/>
        <w:szCs w:val="20"/>
      </w:rPr>
      <w:fldChar w:fldCharType="separate"/>
    </w:r>
    <w:r w:rsidR="006E36DD">
      <w:rPr>
        <w:rStyle w:val="PageNumber"/>
        <w:noProof/>
        <w:sz w:val="20"/>
        <w:szCs w:val="20"/>
      </w:rPr>
      <w:t>2</w:t>
    </w:r>
    <w:r w:rsidRPr="00B32849">
      <w:rPr>
        <w:rStyle w:val="PageNumber"/>
        <w:sz w:val="20"/>
        <w:szCs w:val="20"/>
      </w:rPr>
      <w:fldChar w:fldCharType="end"/>
    </w:r>
    <w:r w:rsidRPr="00B32849">
      <w:rPr>
        <w:rStyle w:val="PageNumber"/>
        <w:sz w:val="20"/>
        <w:szCs w:val="20"/>
      </w:rPr>
      <w:t xml:space="preserve"> no </w:t>
    </w:r>
    <w:r w:rsidRPr="00B32849">
      <w:rPr>
        <w:rStyle w:val="PageNumber"/>
        <w:noProof/>
        <w:sz w:val="20"/>
        <w:szCs w:val="20"/>
      </w:rPr>
      <w:fldChar w:fldCharType="begin"/>
    </w:r>
    <w:r w:rsidRPr="00B32849">
      <w:rPr>
        <w:rStyle w:val="PageNumber"/>
        <w:noProof/>
        <w:sz w:val="20"/>
        <w:szCs w:val="20"/>
      </w:rPr>
      <w:instrText xml:space="preserve"> SECTIONPAGES   \* MERGEFORMAT </w:instrText>
    </w:r>
    <w:r w:rsidRPr="00B32849">
      <w:rPr>
        <w:rStyle w:val="PageNumber"/>
        <w:noProof/>
        <w:sz w:val="20"/>
        <w:szCs w:val="20"/>
      </w:rPr>
      <w:fldChar w:fldCharType="separate"/>
    </w:r>
    <w:r w:rsidR="006E36DD">
      <w:rPr>
        <w:rStyle w:val="PageNumber"/>
        <w:noProof/>
        <w:sz w:val="20"/>
        <w:szCs w:val="20"/>
      </w:rPr>
      <w:t>15</w:t>
    </w:r>
    <w:r w:rsidRPr="00B32849">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C1284" w14:textId="77777777" w:rsidR="003A1FDF" w:rsidRDefault="003A1FDF">
      <w:r>
        <w:separator/>
      </w:r>
    </w:p>
  </w:footnote>
  <w:footnote w:type="continuationSeparator" w:id="0">
    <w:p w14:paraId="79946142" w14:textId="77777777" w:rsidR="003A1FDF" w:rsidRDefault="003A1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1C9"/>
    <w:multiLevelType w:val="multilevel"/>
    <w:tmpl w:val="E454F732"/>
    <w:lvl w:ilvl="0">
      <w:start w:val="1"/>
      <w:numFmt w:val="decimal"/>
      <w:lvlText w:val="%1."/>
      <w:lvlJc w:val="left"/>
      <w:pPr>
        <w:ind w:left="444" w:hanging="444"/>
      </w:pPr>
      <w:rPr>
        <w:rFonts w:hint="default"/>
        <w:color w:val="auto"/>
      </w:rPr>
    </w:lvl>
    <w:lvl w:ilvl="1">
      <w:start w:val="1"/>
      <w:numFmt w:val="decimal"/>
      <w:lvlText w:val="%1.%2."/>
      <w:lvlJc w:val="left"/>
      <w:pPr>
        <w:ind w:left="1884" w:hanging="444"/>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abstractNum w:abstractNumId="1" w15:restartNumberingAfterBreak="0">
    <w:nsid w:val="0A35371C"/>
    <w:multiLevelType w:val="hybridMultilevel"/>
    <w:tmpl w:val="92D0A7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FFA1E0C"/>
    <w:multiLevelType w:val="multilevel"/>
    <w:tmpl w:val="C338D9F4"/>
    <w:lvl w:ilvl="0">
      <w:start w:val="1"/>
      <w:numFmt w:val="decimal"/>
      <w:lvlText w:val="%1."/>
      <w:lvlJc w:val="left"/>
      <w:pPr>
        <w:ind w:left="384" w:hanging="384"/>
      </w:pPr>
      <w:rPr>
        <w:rFonts w:hint="default"/>
        <w:color w:val="auto"/>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abstractNum w:abstractNumId="4" w15:restartNumberingAfterBreak="1">
    <w:nsid w:val="4070530F"/>
    <w:multiLevelType w:val="multilevel"/>
    <w:tmpl w:val="3814B2F8"/>
    <w:lvl w:ilvl="0">
      <w:start w:val="1"/>
      <w:numFmt w:val="decimal"/>
      <w:pStyle w:val="Style1"/>
      <w:lvlText w:val="[%1]"/>
      <w:lvlJc w:val="left"/>
      <w:pPr>
        <w:tabs>
          <w:tab w:val="num" w:pos="1549"/>
        </w:tabs>
        <w:ind w:left="131" w:firstLine="720"/>
      </w:pPr>
      <w:rPr>
        <w:rFonts w:hint="default"/>
      </w:rPr>
    </w:lvl>
    <w:lvl w:ilvl="1">
      <w:start w:val="1"/>
      <w:numFmt w:val="decimal"/>
      <w:lvlText w:val="[%1.%2]"/>
      <w:lvlJc w:val="left"/>
      <w:pPr>
        <w:tabs>
          <w:tab w:val="num" w:pos="1369"/>
        </w:tabs>
        <w:ind w:left="-49" w:firstLine="720"/>
      </w:pPr>
      <w:rPr>
        <w:rFonts w:hint="default"/>
        <w:b w:val="0"/>
        <w:i w:val="0"/>
        <w:sz w:val="28"/>
        <w:szCs w:val="28"/>
      </w:rPr>
    </w:lvl>
    <w:lvl w:ilvl="2">
      <w:start w:val="1"/>
      <w:numFmt w:val="decimal"/>
      <w:lvlText w:val="[%1.%2.%3]"/>
      <w:lvlJc w:val="left"/>
      <w:pPr>
        <w:tabs>
          <w:tab w:val="num" w:pos="1369"/>
        </w:tabs>
        <w:ind w:left="-49" w:firstLine="720"/>
      </w:pPr>
      <w:rPr>
        <w:rFonts w:hint="default"/>
      </w:rPr>
    </w:lvl>
    <w:lvl w:ilvl="3">
      <w:start w:val="1"/>
      <w:numFmt w:val="decimal"/>
      <w:lvlText w:val="%1.%2.%3.%4."/>
      <w:lvlJc w:val="left"/>
      <w:pPr>
        <w:tabs>
          <w:tab w:val="num" w:pos="2831"/>
        </w:tabs>
        <w:ind w:left="2399" w:hanging="648"/>
      </w:pPr>
      <w:rPr>
        <w:rFonts w:hint="default"/>
      </w:rPr>
    </w:lvl>
    <w:lvl w:ilvl="4">
      <w:start w:val="1"/>
      <w:numFmt w:val="decimal"/>
      <w:lvlText w:val="%1.%2.%3.%4.%5."/>
      <w:lvlJc w:val="left"/>
      <w:pPr>
        <w:tabs>
          <w:tab w:val="num" w:pos="3191"/>
        </w:tabs>
        <w:ind w:left="2903" w:hanging="792"/>
      </w:pPr>
      <w:rPr>
        <w:rFonts w:hint="default"/>
      </w:rPr>
    </w:lvl>
    <w:lvl w:ilvl="5">
      <w:start w:val="1"/>
      <w:numFmt w:val="decimal"/>
      <w:lvlText w:val="%1.%2.%3.%4.%5.%6."/>
      <w:lvlJc w:val="left"/>
      <w:pPr>
        <w:tabs>
          <w:tab w:val="num" w:pos="3911"/>
        </w:tabs>
        <w:ind w:left="3407" w:hanging="936"/>
      </w:pPr>
      <w:rPr>
        <w:rFonts w:hint="default"/>
      </w:rPr>
    </w:lvl>
    <w:lvl w:ilvl="6">
      <w:start w:val="1"/>
      <w:numFmt w:val="decimal"/>
      <w:lvlText w:val="%1.%2.%3.%4.%5.%6.%7."/>
      <w:lvlJc w:val="left"/>
      <w:pPr>
        <w:tabs>
          <w:tab w:val="num" w:pos="4631"/>
        </w:tabs>
        <w:ind w:left="3911" w:hanging="1080"/>
      </w:pPr>
      <w:rPr>
        <w:rFonts w:hint="default"/>
      </w:rPr>
    </w:lvl>
    <w:lvl w:ilvl="7">
      <w:start w:val="1"/>
      <w:numFmt w:val="decimal"/>
      <w:lvlText w:val="%1.%2.%3.%4.%5.%6.%7.%8."/>
      <w:lvlJc w:val="left"/>
      <w:pPr>
        <w:tabs>
          <w:tab w:val="num" w:pos="4991"/>
        </w:tabs>
        <w:ind w:left="4415" w:hanging="1224"/>
      </w:pPr>
      <w:rPr>
        <w:rFonts w:hint="default"/>
      </w:rPr>
    </w:lvl>
    <w:lvl w:ilvl="8">
      <w:start w:val="1"/>
      <w:numFmt w:val="decimal"/>
      <w:lvlText w:val="%1.%2.%3.%4.%5.%6.%7.%8.%9."/>
      <w:lvlJc w:val="left"/>
      <w:pPr>
        <w:tabs>
          <w:tab w:val="num" w:pos="5711"/>
        </w:tabs>
        <w:ind w:left="4991" w:hanging="1440"/>
      </w:pPr>
      <w:rPr>
        <w:rFonts w:hint="default"/>
      </w:rPr>
    </w:lvl>
  </w:abstractNum>
  <w:abstractNum w:abstractNumId="5"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551E17"/>
    <w:multiLevelType w:val="hybridMultilevel"/>
    <w:tmpl w:val="82D6AA02"/>
    <w:lvl w:ilvl="0" w:tplc="C20CC5A6">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1">
    <w:nsid w:val="58BB3D2B"/>
    <w:multiLevelType w:val="hybridMultilevel"/>
    <w:tmpl w:val="D1CE8D4A"/>
    <w:lvl w:ilvl="0" w:tplc="8062A3C2">
      <w:start w:val="1"/>
      <w:numFmt w:val="decimal"/>
      <w:lvlText w:val="%1."/>
      <w:lvlJc w:val="left"/>
      <w:pPr>
        <w:ind w:left="1095" w:hanging="375"/>
      </w:pPr>
      <w:rPr>
        <w:rFonts w:hint="default"/>
      </w:rPr>
    </w:lvl>
    <w:lvl w:ilvl="1" w:tplc="CD002546" w:tentative="1">
      <w:start w:val="1"/>
      <w:numFmt w:val="lowerLetter"/>
      <w:lvlText w:val="%2."/>
      <w:lvlJc w:val="left"/>
      <w:pPr>
        <w:ind w:left="1800" w:hanging="360"/>
      </w:pPr>
    </w:lvl>
    <w:lvl w:ilvl="2" w:tplc="35184FE2" w:tentative="1">
      <w:start w:val="1"/>
      <w:numFmt w:val="lowerRoman"/>
      <w:lvlText w:val="%3."/>
      <w:lvlJc w:val="right"/>
      <w:pPr>
        <w:ind w:left="2520" w:hanging="180"/>
      </w:pPr>
    </w:lvl>
    <w:lvl w:ilvl="3" w:tplc="FBE04472" w:tentative="1">
      <w:start w:val="1"/>
      <w:numFmt w:val="decimal"/>
      <w:lvlText w:val="%4."/>
      <w:lvlJc w:val="left"/>
      <w:pPr>
        <w:ind w:left="3240" w:hanging="360"/>
      </w:pPr>
    </w:lvl>
    <w:lvl w:ilvl="4" w:tplc="2B828546" w:tentative="1">
      <w:start w:val="1"/>
      <w:numFmt w:val="lowerLetter"/>
      <w:lvlText w:val="%5."/>
      <w:lvlJc w:val="left"/>
      <w:pPr>
        <w:ind w:left="3960" w:hanging="360"/>
      </w:pPr>
    </w:lvl>
    <w:lvl w:ilvl="5" w:tplc="6B7E3830" w:tentative="1">
      <w:start w:val="1"/>
      <w:numFmt w:val="lowerRoman"/>
      <w:lvlText w:val="%6."/>
      <w:lvlJc w:val="right"/>
      <w:pPr>
        <w:ind w:left="4680" w:hanging="180"/>
      </w:pPr>
    </w:lvl>
    <w:lvl w:ilvl="6" w:tplc="0C5A56D6" w:tentative="1">
      <w:start w:val="1"/>
      <w:numFmt w:val="decimal"/>
      <w:lvlText w:val="%7."/>
      <w:lvlJc w:val="left"/>
      <w:pPr>
        <w:ind w:left="5400" w:hanging="360"/>
      </w:pPr>
    </w:lvl>
    <w:lvl w:ilvl="7" w:tplc="ACAE356C" w:tentative="1">
      <w:start w:val="1"/>
      <w:numFmt w:val="lowerLetter"/>
      <w:lvlText w:val="%8."/>
      <w:lvlJc w:val="left"/>
      <w:pPr>
        <w:ind w:left="6120" w:hanging="360"/>
      </w:pPr>
    </w:lvl>
    <w:lvl w:ilvl="8" w:tplc="C6683EE0" w:tentative="1">
      <w:start w:val="1"/>
      <w:numFmt w:val="lowerRoman"/>
      <w:lvlText w:val="%9."/>
      <w:lvlJc w:val="right"/>
      <w:pPr>
        <w:ind w:left="6840" w:hanging="180"/>
      </w:pPr>
    </w:lvl>
  </w:abstractNum>
  <w:abstractNum w:abstractNumId="9" w15:restartNumberingAfterBreak="0">
    <w:nsid w:val="60BA11CC"/>
    <w:multiLevelType w:val="hybridMultilevel"/>
    <w:tmpl w:val="F29E2712"/>
    <w:lvl w:ilvl="0" w:tplc="D14AA7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7650291E"/>
    <w:multiLevelType w:val="hybridMultilevel"/>
    <w:tmpl w:val="7B6EA60A"/>
    <w:lvl w:ilvl="0" w:tplc="C2C0C4EE">
      <w:start w:val="1"/>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C8E253A"/>
    <w:multiLevelType w:val="hybridMultilevel"/>
    <w:tmpl w:val="CB74C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5"/>
  </w:num>
  <w:num w:numId="5">
    <w:abstractNumId w:val="4"/>
  </w:num>
  <w:num w:numId="6">
    <w:abstractNumId w:val="8"/>
  </w:num>
  <w:num w:numId="7">
    <w:abstractNumId w:val="12"/>
  </w:num>
  <w:num w:numId="8">
    <w:abstractNumId w:val="11"/>
  </w:num>
  <w:num w:numId="9">
    <w:abstractNumId w:val="0"/>
  </w:num>
  <w:num w:numId="10">
    <w:abstractNumId w:val="3"/>
  </w:num>
  <w:num w:numId="11">
    <w:abstractNumId w:val="4"/>
  </w:num>
  <w:num w:numId="12">
    <w:abstractNumId w:val="4"/>
  </w:num>
  <w:num w:numId="13">
    <w:abstractNumId w:val="4"/>
  </w:num>
  <w:num w:numId="14">
    <w:abstractNumId w:val="6"/>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AD7"/>
    <w:rsid w:val="0001088B"/>
    <w:rsid w:val="0001200D"/>
    <w:rsid w:val="00012304"/>
    <w:rsid w:val="000149AD"/>
    <w:rsid w:val="00014E24"/>
    <w:rsid w:val="000154E7"/>
    <w:rsid w:val="00015DCA"/>
    <w:rsid w:val="0001620B"/>
    <w:rsid w:val="000171C8"/>
    <w:rsid w:val="00017749"/>
    <w:rsid w:val="00017D27"/>
    <w:rsid w:val="00021417"/>
    <w:rsid w:val="00022026"/>
    <w:rsid w:val="00022421"/>
    <w:rsid w:val="00022CBF"/>
    <w:rsid w:val="00024D68"/>
    <w:rsid w:val="000263C6"/>
    <w:rsid w:val="00027541"/>
    <w:rsid w:val="00027662"/>
    <w:rsid w:val="000276EB"/>
    <w:rsid w:val="000309D3"/>
    <w:rsid w:val="00030BE9"/>
    <w:rsid w:val="0003327C"/>
    <w:rsid w:val="00033A54"/>
    <w:rsid w:val="00035064"/>
    <w:rsid w:val="00036046"/>
    <w:rsid w:val="0004121D"/>
    <w:rsid w:val="00041837"/>
    <w:rsid w:val="00042148"/>
    <w:rsid w:val="0004286A"/>
    <w:rsid w:val="000441D2"/>
    <w:rsid w:val="00044C77"/>
    <w:rsid w:val="00044E17"/>
    <w:rsid w:val="00047387"/>
    <w:rsid w:val="00051652"/>
    <w:rsid w:val="000523F2"/>
    <w:rsid w:val="00053CFA"/>
    <w:rsid w:val="0005421D"/>
    <w:rsid w:val="00056937"/>
    <w:rsid w:val="0005781F"/>
    <w:rsid w:val="000668BD"/>
    <w:rsid w:val="00067F76"/>
    <w:rsid w:val="00067FF7"/>
    <w:rsid w:val="00070539"/>
    <w:rsid w:val="00070FE4"/>
    <w:rsid w:val="0007151A"/>
    <w:rsid w:val="000729E1"/>
    <w:rsid w:val="000737FE"/>
    <w:rsid w:val="0007495A"/>
    <w:rsid w:val="00074C30"/>
    <w:rsid w:val="00077CE8"/>
    <w:rsid w:val="00077E9B"/>
    <w:rsid w:val="00081956"/>
    <w:rsid w:val="0008224C"/>
    <w:rsid w:val="0008361C"/>
    <w:rsid w:val="000859AC"/>
    <w:rsid w:val="000861B3"/>
    <w:rsid w:val="000866EB"/>
    <w:rsid w:val="00092BDC"/>
    <w:rsid w:val="000936B9"/>
    <w:rsid w:val="000943E5"/>
    <w:rsid w:val="00096131"/>
    <w:rsid w:val="000A0E3B"/>
    <w:rsid w:val="000A2141"/>
    <w:rsid w:val="000A3654"/>
    <w:rsid w:val="000A3882"/>
    <w:rsid w:val="000A44F2"/>
    <w:rsid w:val="000B21DA"/>
    <w:rsid w:val="000B23AD"/>
    <w:rsid w:val="000B2427"/>
    <w:rsid w:val="000B43FC"/>
    <w:rsid w:val="000B5510"/>
    <w:rsid w:val="000B6D32"/>
    <w:rsid w:val="000C007D"/>
    <w:rsid w:val="000C015F"/>
    <w:rsid w:val="000C69C9"/>
    <w:rsid w:val="000C7047"/>
    <w:rsid w:val="000D4377"/>
    <w:rsid w:val="000E4AAC"/>
    <w:rsid w:val="000E561B"/>
    <w:rsid w:val="000E60FF"/>
    <w:rsid w:val="000E6954"/>
    <w:rsid w:val="000F23DC"/>
    <w:rsid w:val="000F25AD"/>
    <w:rsid w:val="000F3A36"/>
    <w:rsid w:val="000F525C"/>
    <w:rsid w:val="000F6CD3"/>
    <w:rsid w:val="000F7026"/>
    <w:rsid w:val="000F7486"/>
    <w:rsid w:val="000F74AC"/>
    <w:rsid w:val="000F752B"/>
    <w:rsid w:val="00103576"/>
    <w:rsid w:val="001056F9"/>
    <w:rsid w:val="001078CB"/>
    <w:rsid w:val="001102BE"/>
    <w:rsid w:val="0011200D"/>
    <w:rsid w:val="001123CC"/>
    <w:rsid w:val="00114102"/>
    <w:rsid w:val="00120F90"/>
    <w:rsid w:val="00121C25"/>
    <w:rsid w:val="00122373"/>
    <w:rsid w:val="0012333A"/>
    <w:rsid w:val="00124BF4"/>
    <w:rsid w:val="001253F0"/>
    <w:rsid w:val="00125A46"/>
    <w:rsid w:val="0012741F"/>
    <w:rsid w:val="001302D3"/>
    <w:rsid w:val="0013127B"/>
    <w:rsid w:val="0013243D"/>
    <w:rsid w:val="00134275"/>
    <w:rsid w:val="0013494B"/>
    <w:rsid w:val="0013542D"/>
    <w:rsid w:val="00136CE3"/>
    <w:rsid w:val="00137983"/>
    <w:rsid w:val="00142439"/>
    <w:rsid w:val="001438B1"/>
    <w:rsid w:val="00152CCA"/>
    <w:rsid w:val="00161218"/>
    <w:rsid w:val="001633E5"/>
    <w:rsid w:val="0016504B"/>
    <w:rsid w:val="00166A49"/>
    <w:rsid w:val="00170216"/>
    <w:rsid w:val="0017035D"/>
    <w:rsid w:val="00170628"/>
    <w:rsid w:val="00171662"/>
    <w:rsid w:val="00174F30"/>
    <w:rsid w:val="00177666"/>
    <w:rsid w:val="001812B8"/>
    <w:rsid w:val="00184670"/>
    <w:rsid w:val="00186094"/>
    <w:rsid w:val="00186867"/>
    <w:rsid w:val="00191DF9"/>
    <w:rsid w:val="001938F1"/>
    <w:rsid w:val="00195B55"/>
    <w:rsid w:val="00196C13"/>
    <w:rsid w:val="001A25C6"/>
    <w:rsid w:val="001A3239"/>
    <w:rsid w:val="001A338B"/>
    <w:rsid w:val="001A5C89"/>
    <w:rsid w:val="001A786A"/>
    <w:rsid w:val="001B1533"/>
    <w:rsid w:val="001B1907"/>
    <w:rsid w:val="001B7758"/>
    <w:rsid w:val="001C0F4F"/>
    <w:rsid w:val="001C16FF"/>
    <w:rsid w:val="001C24EC"/>
    <w:rsid w:val="001C5FE9"/>
    <w:rsid w:val="001C7206"/>
    <w:rsid w:val="001D288F"/>
    <w:rsid w:val="001D4461"/>
    <w:rsid w:val="001D4EFE"/>
    <w:rsid w:val="001D61AB"/>
    <w:rsid w:val="001D63D8"/>
    <w:rsid w:val="001D65E9"/>
    <w:rsid w:val="001D7770"/>
    <w:rsid w:val="001E5220"/>
    <w:rsid w:val="001E555C"/>
    <w:rsid w:val="001E5BB3"/>
    <w:rsid w:val="001E6464"/>
    <w:rsid w:val="001E67B2"/>
    <w:rsid w:val="001F12CC"/>
    <w:rsid w:val="001F1587"/>
    <w:rsid w:val="001F2490"/>
    <w:rsid w:val="001F6F7F"/>
    <w:rsid w:val="001F7B15"/>
    <w:rsid w:val="00201584"/>
    <w:rsid w:val="00201C55"/>
    <w:rsid w:val="00204554"/>
    <w:rsid w:val="00204B1B"/>
    <w:rsid w:val="00205BCE"/>
    <w:rsid w:val="00206D37"/>
    <w:rsid w:val="002102B0"/>
    <w:rsid w:val="00210781"/>
    <w:rsid w:val="00210EE2"/>
    <w:rsid w:val="00210F00"/>
    <w:rsid w:val="00212509"/>
    <w:rsid w:val="00212B51"/>
    <w:rsid w:val="002149AC"/>
    <w:rsid w:val="002159CB"/>
    <w:rsid w:val="00217C95"/>
    <w:rsid w:val="00221AF9"/>
    <w:rsid w:val="002253DA"/>
    <w:rsid w:val="00225F0B"/>
    <w:rsid w:val="00230686"/>
    <w:rsid w:val="00231704"/>
    <w:rsid w:val="00232569"/>
    <w:rsid w:val="00232AD3"/>
    <w:rsid w:val="002356BE"/>
    <w:rsid w:val="00236544"/>
    <w:rsid w:val="00237922"/>
    <w:rsid w:val="00237EFA"/>
    <w:rsid w:val="002445AC"/>
    <w:rsid w:val="00244A63"/>
    <w:rsid w:val="00244AC9"/>
    <w:rsid w:val="00244ACD"/>
    <w:rsid w:val="00250322"/>
    <w:rsid w:val="00251A2F"/>
    <w:rsid w:val="00254457"/>
    <w:rsid w:val="00254806"/>
    <w:rsid w:val="002557DE"/>
    <w:rsid w:val="0025637E"/>
    <w:rsid w:val="00257CAA"/>
    <w:rsid w:val="00260C4D"/>
    <w:rsid w:val="00264249"/>
    <w:rsid w:val="00272B3E"/>
    <w:rsid w:val="00274875"/>
    <w:rsid w:val="00276936"/>
    <w:rsid w:val="002774C0"/>
    <w:rsid w:val="002776EF"/>
    <w:rsid w:val="0028771C"/>
    <w:rsid w:val="002903CA"/>
    <w:rsid w:val="00290B9C"/>
    <w:rsid w:val="00290ECE"/>
    <w:rsid w:val="00294216"/>
    <w:rsid w:val="00294E25"/>
    <w:rsid w:val="00297C9D"/>
    <w:rsid w:val="002A014E"/>
    <w:rsid w:val="002A03DE"/>
    <w:rsid w:val="002A0C62"/>
    <w:rsid w:val="002A132B"/>
    <w:rsid w:val="002A4CFE"/>
    <w:rsid w:val="002A5E04"/>
    <w:rsid w:val="002A68E9"/>
    <w:rsid w:val="002A79BA"/>
    <w:rsid w:val="002B01AA"/>
    <w:rsid w:val="002B0379"/>
    <w:rsid w:val="002B0683"/>
    <w:rsid w:val="002B1064"/>
    <w:rsid w:val="002B34CA"/>
    <w:rsid w:val="002B518C"/>
    <w:rsid w:val="002B6986"/>
    <w:rsid w:val="002C1747"/>
    <w:rsid w:val="002C1C26"/>
    <w:rsid w:val="002C351B"/>
    <w:rsid w:val="002C5865"/>
    <w:rsid w:val="002C63A8"/>
    <w:rsid w:val="002D08AD"/>
    <w:rsid w:val="002D0A02"/>
    <w:rsid w:val="002D2CEC"/>
    <w:rsid w:val="002D3EFC"/>
    <w:rsid w:val="002D4474"/>
    <w:rsid w:val="002D5478"/>
    <w:rsid w:val="002D58B2"/>
    <w:rsid w:val="002D757F"/>
    <w:rsid w:val="002D7A2C"/>
    <w:rsid w:val="002E14E3"/>
    <w:rsid w:val="002E3D86"/>
    <w:rsid w:val="002E3DD7"/>
    <w:rsid w:val="002E4494"/>
    <w:rsid w:val="002F16B5"/>
    <w:rsid w:val="002F3C99"/>
    <w:rsid w:val="002F6A61"/>
    <w:rsid w:val="00300B71"/>
    <w:rsid w:val="0031024F"/>
    <w:rsid w:val="00310BAB"/>
    <w:rsid w:val="003110DF"/>
    <w:rsid w:val="003111BA"/>
    <w:rsid w:val="003122CE"/>
    <w:rsid w:val="0031364E"/>
    <w:rsid w:val="00313F0F"/>
    <w:rsid w:val="00321C0D"/>
    <w:rsid w:val="0032579F"/>
    <w:rsid w:val="00326788"/>
    <w:rsid w:val="00327FE1"/>
    <w:rsid w:val="0033091D"/>
    <w:rsid w:val="00331138"/>
    <w:rsid w:val="003314E5"/>
    <w:rsid w:val="00331F5A"/>
    <w:rsid w:val="0033359C"/>
    <w:rsid w:val="00333737"/>
    <w:rsid w:val="003345B2"/>
    <w:rsid w:val="003372B5"/>
    <w:rsid w:val="0033760E"/>
    <w:rsid w:val="00337630"/>
    <w:rsid w:val="00337753"/>
    <w:rsid w:val="003405EB"/>
    <w:rsid w:val="00340C8B"/>
    <w:rsid w:val="0034214B"/>
    <w:rsid w:val="00342273"/>
    <w:rsid w:val="00342971"/>
    <w:rsid w:val="00347419"/>
    <w:rsid w:val="00347C77"/>
    <w:rsid w:val="0035010D"/>
    <w:rsid w:val="0035123F"/>
    <w:rsid w:val="00352249"/>
    <w:rsid w:val="00355DBF"/>
    <w:rsid w:val="00360AC5"/>
    <w:rsid w:val="00361D10"/>
    <w:rsid w:val="00362234"/>
    <w:rsid w:val="00363766"/>
    <w:rsid w:val="00373F62"/>
    <w:rsid w:val="00374103"/>
    <w:rsid w:val="00374617"/>
    <w:rsid w:val="003766E2"/>
    <w:rsid w:val="00380E9D"/>
    <w:rsid w:val="003824E3"/>
    <w:rsid w:val="003829F3"/>
    <w:rsid w:val="00382C4E"/>
    <w:rsid w:val="003845DD"/>
    <w:rsid w:val="00384B62"/>
    <w:rsid w:val="003867D4"/>
    <w:rsid w:val="00387422"/>
    <w:rsid w:val="003876C5"/>
    <w:rsid w:val="00387B15"/>
    <w:rsid w:val="00387DF4"/>
    <w:rsid w:val="00390996"/>
    <w:rsid w:val="00394A51"/>
    <w:rsid w:val="003A05B2"/>
    <w:rsid w:val="003A0F25"/>
    <w:rsid w:val="003A1FDF"/>
    <w:rsid w:val="003A21B9"/>
    <w:rsid w:val="003A4636"/>
    <w:rsid w:val="003A75F1"/>
    <w:rsid w:val="003B2933"/>
    <w:rsid w:val="003B3DFA"/>
    <w:rsid w:val="003B6309"/>
    <w:rsid w:val="003C02F7"/>
    <w:rsid w:val="003C0D18"/>
    <w:rsid w:val="003C16E5"/>
    <w:rsid w:val="003C16EB"/>
    <w:rsid w:val="003C1C9A"/>
    <w:rsid w:val="003C215C"/>
    <w:rsid w:val="003C2816"/>
    <w:rsid w:val="003C2A07"/>
    <w:rsid w:val="003C39B9"/>
    <w:rsid w:val="003C6D49"/>
    <w:rsid w:val="003D29B7"/>
    <w:rsid w:val="003D75A7"/>
    <w:rsid w:val="003E500B"/>
    <w:rsid w:val="003E542F"/>
    <w:rsid w:val="003E6E3B"/>
    <w:rsid w:val="003F5A84"/>
    <w:rsid w:val="00404241"/>
    <w:rsid w:val="00405BD6"/>
    <w:rsid w:val="00407AAA"/>
    <w:rsid w:val="00410058"/>
    <w:rsid w:val="00410970"/>
    <w:rsid w:val="00413E4E"/>
    <w:rsid w:val="00414768"/>
    <w:rsid w:val="00417041"/>
    <w:rsid w:val="004178FE"/>
    <w:rsid w:val="00423377"/>
    <w:rsid w:val="004271ED"/>
    <w:rsid w:val="00427483"/>
    <w:rsid w:val="004300DB"/>
    <w:rsid w:val="00431678"/>
    <w:rsid w:val="00432C25"/>
    <w:rsid w:val="00432C49"/>
    <w:rsid w:val="00433009"/>
    <w:rsid w:val="00433840"/>
    <w:rsid w:val="004359DC"/>
    <w:rsid w:val="00437102"/>
    <w:rsid w:val="00437DEC"/>
    <w:rsid w:val="00440CF1"/>
    <w:rsid w:val="00442184"/>
    <w:rsid w:val="004430BB"/>
    <w:rsid w:val="00445784"/>
    <w:rsid w:val="0045238D"/>
    <w:rsid w:val="004616AD"/>
    <w:rsid w:val="00461F74"/>
    <w:rsid w:val="0046265A"/>
    <w:rsid w:val="00463412"/>
    <w:rsid w:val="00463537"/>
    <w:rsid w:val="00463976"/>
    <w:rsid w:val="00464092"/>
    <w:rsid w:val="00466AC9"/>
    <w:rsid w:val="0047066E"/>
    <w:rsid w:val="00471FB4"/>
    <w:rsid w:val="00472465"/>
    <w:rsid w:val="00477B63"/>
    <w:rsid w:val="00480DEE"/>
    <w:rsid w:val="004829C7"/>
    <w:rsid w:val="00484834"/>
    <w:rsid w:val="004879B7"/>
    <w:rsid w:val="00491506"/>
    <w:rsid w:val="00495AC9"/>
    <w:rsid w:val="00495BA7"/>
    <w:rsid w:val="004A127A"/>
    <w:rsid w:val="004A1D03"/>
    <w:rsid w:val="004A2398"/>
    <w:rsid w:val="004A33FF"/>
    <w:rsid w:val="004A3B2C"/>
    <w:rsid w:val="004A4F91"/>
    <w:rsid w:val="004A620F"/>
    <w:rsid w:val="004A7244"/>
    <w:rsid w:val="004B11F1"/>
    <w:rsid w:val="004B144C"/>
    <w:rsid w:val="004B1F23"/>
    <w:rsid w:val="004B36FD"/>
    <w:rsid w:val="004B5DDC"/>
    <w:rsid w:val="004B5F8C"/>
    <w:rsid w:val="004C02F2"/>
    <w:rsid w:val="004C0FAD"/>
    <w:rsid w:val="004C1825"/>
    <w:rsid w:val="004C3392"/>
    <w:rsid w:val="004C5620"/>
    <w:rsid w:val="004D1170"/>
    <w:rsid w:val="004D293D"/>
    <w:rsid w:val="004D3A0B"/>
    <w:rsid w:val="004D6D0A"/>
    <w:rsid w:val="004D769B"/>
    <w:rsid w:val="004D7BAE"/>
    <w:rsid w:val="004E142C"/>
    <w:rsid w:val="004E2222"/>
    <w:rsid w:val="004E35DA"/>
    <w:rsid w:val="004E3FAA"/>
    <w:rsid w:val="004E4D18"/>
    <w:rsid w:val="004E4E7E"/>
    <w:rsid w:val="004E696E"/>
    <w:rsid w:val="004E6C6E"/>
    <w:rsid w:val="004E7750"/>
    <w:rsid w:val="004F3234"/>
    <w:rsid w:val="004F5DE5"/>
    <w:rsid w:val="004F6A93"/>
    <w:rsid w:val="005015C7"/>
    <w:rsid w:val="0050253D"/>
    <w:rsid w:val="0050471F"/>
    <w:rsid w:val="005052C5"/>
    <w:rsid w:val="00511CEE"/>
    <w:rsid w:val="005128CE"/>
    <w:rsid w:val="00514CA9"/>
    <w:rsid w:val="005153E1"/>
    <w:rsid w:val="00515B61"/>
    <w:rsid w:val="00520571"/>
    <w:rsid w:val="00520D0C"/>
    <w:rsid w:val="00522460"/>
    <w:rsid w:val="00522E45"/>
    <w:rsid w:val="00524CDD"/>
    <w:rsid w:val="00524DF1"/>
    <w:rsid w:val="00525150"/>
    <w:rsid w:val="00525D15"/>
    <w:rsid w:val="005270DF"/>
    <w:rsid w:val="00533EF6"/>
    <w:rsid w:val="0053426E"/>
    <w:rsid w:val="0053468D"/>
    <w:rsid w:val="00535597"/>
    <w:rsid w:val="00540B29"/>
    <w:rsid w:val="00540DA9"/>
    <w:rsid w:val="00540DAB"/>
    <w:rsid w:val="00547B15"/>
    <w:rsid w:val="0055082D"/>
    <w:rsid w:val="0055114F"/>
    <w:rsid w:val="005526BC"/>
    <w:rsid w:val="005530E9"/>
    <w:rsid w:val="005534A6"/>
    <w:rsid w:val="0055355D"/>
    <w:rsid w:val="00556A8E"/>
    <w:rsid w:val="00563C7C"/>
    <w:rsid w:val="0056451F"/>
    <w:rsid w:val="00566CED"/>
    <w:rsid w:val="00567CB9"/>
    <w:rsid w:val="00570763"/>
    <w:rsid w:val="00570E16"/>
    <w:rsid w:val="00572792"/>
    <w:rsid w:val="005736BF"/>
    <w:rsid w:val="00573AD9"/>
    <w:rsid w:val="00575FCE"/>
    <w:rsid w:val="005766C0"/>
    <w:rsid w:val="00576D8F"/>
    <w:rsid w:val="00577D8C"/>
    <w:rsid w:val="00580EDE"/>
    <w:rsid w:val="00581950"/>
    <w:rsid w:val="00582D1D"/>
    <w:rsid w:val="005865B0"/>
    <w:rsid w:val="00587D3C"/>
    <w:rsid w:val="00592993"/>
    <w:rsid w:val="005929D9"/>
    <w:rsid w:val="00592C13"/>
    <w:rsid w:val="0059307C"/>
    <w:rsid w:val="00594557"/>
    <w:rsid w:val="00594760"/>
    <w:rsid w:val="005959BE"/>
    <w:rsid w:val="00597B42"/>
    <w:rsid w:val="005A1279"/>
    <w:rsid w:val="005A23BC"/>
    <w:rsid w:val="005A45E7"/>
    <w:rsid w:val="005A4AF9"/>
    <w:rsid w:val="005A5C37"/>
    <w:rsid w:val="005A5E04"/>
    <w:rsid w:val="005A5F0C"/>
    <w:rsid w:val="005B110C"/>
    <w:rsid w:val="005B1BC9"/>
    <w:rsid w:val="005B1ED7"/>
    <w:rsid w:val="005B2F23"/>
    <w:rsid w:val="005B396C"/>
    <w:rsid w:val="005B4B9F"/>
    <w:rsid w:val="005B5404"/>
    <w:rsid w:val="005B5FC0"/>
    <w:rsid w:val="005C0D2F"/>
    <w:rsid w:val="005C18F2"/>
    <w:rsid w:val="005C1B1B"/>
    <w:rsid w:val="005C3931"/>
    <w:rsid w:val="005C3E28"/>
    <w:rsid w:val="005C4D64"/>
    <w:rsid w:val="005C5893"/>
    <w:rsid w:val="005C7FA2"/>
    <w:rsid w:val="005D11BF"/>
    <w:rsid w:val="005D2865"/>
    <w:rsid w:val="005D5CF3"/>
    <w:rsid w:val="005E3459"/>
    <w:rsid w:val="005E5BF5"/>
    <w:rsid w:val="005F1403"/>
    <w:rsid w:val="005F2700"/>
    <w:rsid w:val="005F3924"/>
    <w:rsid w:val="005F56F4"/>
    <w:rsid w:val="005F7E99"/>
    <w:rsid w:val="006005C1"/>
    <w:rsid w:val="00602003"/>
    <w:rsid w:val="0060669C"/>
    <w:rsid w:val="00606B7F"/>
    <w:rsid w:val="0060783A"/>
    <w:rsid w:val="006079BC"/>
    <w:rsid w:val="00610931"/>
    <w:rsid w:val="00611AF7"/>
    <w:rsid w:val="00612A4A"/>
    <w:rsid w:val="00614CC2"/>
    <w:rsid w:val="0061555F"/>
    <w:rsid w:val="00616B9C"/>
    <w:rsid w:val="006176D9"/>
    <w:rsid w:val="006200D7"/>
    <w:rsid w:val="00620202"/>
    <w:rsid w:val="00622D58"/>
    <w:rsid w:val="00623043"/>
    <w:rsid w:val="00625A33"/>
    <w:rsid w:val="00627295"/>
    <w:rsid w:val="006276C8"/>
    <w:rsid w:val="00627F97"/>
    <w:rsid w:val="00634948"/>
    <w:rsid w:val="006352B8"/>
    <w:rsid w:val="00635320"/>
    <w:rsid w:val="006357EB"/>
    <w:rsid w:val="0063732D"/>
    <w:rsid w:val="00645643"/>
    <w:rsid w:val="00645AF3"/>
    <w:rsid w:val="00646288"/>
    <w:rsid w:val="00646330"/>
    <w:rsid w:val="00651047"/>
    <w:rsid w:val="006513A4"/>
    <w:rsid w:val="00651495"/>
    <w:rsid w:val="00651A90"/>
    <w:rsid w:val="00651BA8"/>
    <w:rsid w:val="0065257F"/>
    <w:rsid w:val="00655DB7"/>
    <w:rsid w:val="00661B45"/>
    <w:rsid w:val="00663A23"/>
    <w:rsid w:val="00665536"/>
    <w:rsid w:val="00672A0E"/>
    <w:rsid w:val="00672D75"/>
    <w:rsid w:val="00673674"/>
    <w:rsid w:val="00673B72"/>
    <w:rsid w:val="0067544E"/>
    <w:rsid w:val="0067614E"/>
    <w:rsid w:val="006776F3"/>
    <w:rsid w:val="006776FA"/>
    <w:rsid w:val="006820EF"/>
    <w:rsid w:val="00683028"/>
    <w:rsid w:val="00684537"/>
    <w:rsid w:val="00685327"/>
    <w:rsid w:val="0068558E"/>
    <w:rsid w:val="00691066"/>
    <w:rsid w:val="006938AE"/>
    <w:rsid w:val="00695883"/>
    <w:rsid w:val="00695884"/>
    <w:rsid w:val="006A0BE0"/>
    <w:rsid w:val="006A6BE4"/>
    <w:rsid w:val="006A6F8E"/>
    <w:rsid w:val="006B1EF9"/>
    <w:rsid w:val="006B28C4"/>
    <w:rsid w:val="006B28EA"/>
    <w:rsid w:val="006B759E"/>
    <w:rsid w:val="006C0767"/>
    <w:rsid w:val="006C0B6B"/>
    <w:rsid w:val="006C130C"/>
    <w:rsid w:val="006C1FA3"/>
    <w:rsid w:val="006C42CD"/>
    <w:rsid w:val="006C4AB5"/>
    <w:rsid w:val="006C4FE3"/>
    <w:rsid w:val="006C73F1"/>
    <w:rsid w:val="006D0010"/>
    <w:rsid w:val="006D1CD8"/>
    <w:rsid w:val="006D31D5"/>
    <w:rsid w:val="006D36C8"/>
    <w:rsid w:val="006D3D5A"/>
    <w:rsid w:val="006D3E59"/>
    <w:rsid w:val="006D563D"/>
    <w:rsid w:val="006E34C5"/>
    <w:rsid w:val="006E36DD"/>
    <w:rsid w:val="006F0378"/>
    <w:rsid w:val="006F4E31"/>
    <w:rsid w:val="006F676F"/>
    <w:rsid w:val="006F6775"/>
    <w:rsid w:val="007017A6"/>
    <w:rsid w:val="00701B03"/>
    <w:rsid w:val="00703D38"/>
    <w:rsid w:val="007050B6"/>
    <w:rsid w:val="007067D4"/>
    <w:rsid w:val="00707523"/>
    <w:rsid w:val="0071018F"/>
    <w:rsid w:val="00710510"/>
    <w:rsid w:val="00710BCA"/>
    <w:rsid w:val="00711BA0"/>
    <w:rsid w:val="00717B1B"/>
    <w:rsid w:val="00726DFA"/>
    <w:rsid w:val="00727882"/>
    <w:rsid w:val="00731455"/>
    <w:rsid w:val="007320E1"/>
    <w:rsid w:val="00733598"/>
    <w:rsid w:val="00733601"/>
    <w:rsid w:val="00736364"/>
    <w:rsid w:val="007446A8"/>
    <w:rsid w:val="007450A6"/>
    <w:rsid w:val="00746629"/>
    <w:rsid w:val="007516CE"/>
    <w:rsid w:val="00752897"/>
    <w:rsid w:val="00752ED5"/>
    <w:rsid w:val="007533E9"/>
    <w:rsid w:val="007565BA"/>
    <w:rsid w:val="00760E6C"/>
    <w:rsid w:val="0076121D"/>
    <w:rsid w:val="007637CA"/>
    <w:rsid w:val="007652FF"/>
    <w:rsid w:val="00766337"/>
    <w:rsid w:val="00766C4C"/>
    <w:rsid w:val="00767C82"/>
    <w:rsid w:val="00771586"/>
    <w:rsid w:val="00773AD6"/>
    <w:rsid w:val="00775EE8"/>
    <w:rsid w:val="007761C7"/>
    <w:rsid w:val="00776502"/>
    <w:rsid w:val="00787E6A"/>
    <w:rsid w:val="00791518"/>
    <w:rsid w:val="00793134"/>
    <w:rsid w:val="007945CC"/>
    <w:rsid w:val="0079521F"/>
    <w:rsid w:val="007975CC"/>
    <w:rsid w:val="007A0186"/>
    <w:rsid w:val="007A2896"/>
    <w:rsid w:val="007B0B62"/>
    <w:rsid w:val="007B1359"/>
    <w:rsid w:val="007B2662"/>
    <w:rsid w:val="007B4686"/>
    <w:rsid w:val="007B4C29"/>
    <w:rsid w:val="007B642A"/>
    <w:rsid w:val="007B70BE"/>
    <w:rsid w:val="007B749D"/>
    <w:rsid w:val="007B76B8"/>
    <w:rsid w:val="007C1E38"/>
    <w:rsid w:val="007C7981"/>
    <w:rsid w:val="007D2594"/>
    <w:rsid w:val="007D3E81"/>
    <w:rsid w:val="007D6274"/>
    <w:rsid w:val="007D6646"/>
    <w:rsid w:val="007D6844"/>
    <w:rsid w:val="007D7829"/>
    <w:rsid w:val="007E27A5"/>
    <w:rsid w:val="007E3D8E"/>
    <w:rsid w:val="007E61E9"/>
    <w:rsid w:val="007F14D2"/>
    <w:rsid w:val="007F1A5F"/>
    <w:rsid w:val="007F2CF3"/>
    <w:rsid w:val="007F43EA"/>
    <w:rsid w:val="007F6367"/>
    <w:rsid w:val="007F66B0"/>
    <w:rsid w:val="0080204F"/>
    <w:rsid w:val="00802D45"/>
    <w:rsid w:val="00805168"/>
    <w:rsid w:val="008078DC"/>
    <w:rsid w:val="00807F36"/>
    <w:rsid w:val="00811555"/>
    <w:rsid w:val="008141DD"/>
    <w:rsid w:val="00816948"/>
    <w:rsid w:val="00816E5E"/>
    <w:rsid w:val="008170F4"/>
    <w:rsid w:val="00817D11"/>
    <w:rsid w:val="00820359"/>
    <w:rsid w:val="00820F3F"/>
    <w:rsid w:val="00822465"/>
    <w:rsid w:val="00822A85"/>
    <w:rsid w:val="008230A3"/>
    <w:rsid w:val="008234C8"/>
    <w:rsid w:val="00827991"/>
    <w:rsid w:val="00831715"/>
    <w:rsid w:val="0083281A"/>
    <w:rsid w:val="008339E5"/>
    <w:rsid w:val="008346DF"/>
    <w:rsid w:val="008405E1"/>
    <w:rsid w:val="00842FBD"/>
    <w:rsid w:val="008446A5"/>
    <w:rsid w:val="00844831"/>
    <w:rsid w:val="008457F9"/>
    <w:rsid w:val="0084723C"/>
    <w:rsid w:val="0084747C"/>
    <w:rsid w:val="00847F02"/>
    <w:rsid w:val="008511F0"/>
    <w:rsid w:val="00851C99"/>
    <w:rsid w:val="008542DE"/>
    <w:rsid w:val="00855ECB"/>
    <w:rsid w:val="00856E34"/>
    <w:rsid w:val="0086002F"/>
    <w:rsid w:val="00861FBF"/>
    <w:rsid w:val="00863AB8"/>
    <w:rsid w:val="008662AE"/>
    <w:rsid w:val="00870091"/>
    <w:rsid w:val="00871619"/>
    <w:rsid w:val="00874C4E"/>
    <w:rsid w:val="00877ECE"/>
    <w:rsid w:val="008856E3"/>
    <w:rsid w:val="00886204"/>
    <w:rsid w:val="00890A33"/>
    <w:rsid w:val="00891CA1"/>
    <w:rsid w:val="00894834"/>
    <w:rsid w:val="008A127E"/>
    <w:rsid w:val="008A1BE6"/>
    <w:rsid w:val="008A478A"/>
    <w:rsid w:val="008A647C"/>
    <w:rsid w:val="008A6633"/>
    <w:rsid w:val="008B1376"/>
    <w:rsid w:val="008B2121"/>
    <w:rsid w:val="008B49CF"/>
    <w:rsid w:val="008B7358"/>
    <w:rsid w:val="008C179D"/>
    <w:rsid w:val="008C3612"/>
    <w:rsid w:val="008C5E96"/>
    <w:rsid w:val="008C6543"/>
    <w:rsid w:val="008C7DE8"/>
    <w:rsid w:val="008D0F2B"/>
    <w:rsid w:val="008D29FD"/>
    <w:rsid w:val="008D3CF8"/>
    <w:rsid w:val="008D6041"/>
    <w:rsid w:val="008D6262"/>
    <w:rsid w:val="008D6C57"/>
    <w:rsid w:val="008E313A"/>
    <w:rsid w:val="008E6222"/>
    <w:rsid w:val="008E698D"/>
    <w:rsid w:val="008F21EE"/>
    <w:rsid w:val="008F2CA0"/>
    <w:rsid w:val="008F375A"/>
    <w:rsid w:val="008F5062"/>
    <w:rsid w:val="008F6F68"/>
    <w:rsid w:val="00901DED"/>
    <w:rsid w:val="00902868"/>
    <w:rsid w:val="009028E0"/>
    <w:rsid w:val="00902B5B"/>
    <w:rsid w:val="009143BB"/>
    <w:rsid w:val="009179F9"/>
    <w:rsid w:val="00920EA3"/>
    <w:rsid w:val="00921E91"/>
    <w:rsid w:val="00924766"/>
    <w:rsid w:val="009247BA"/>
    <w:rsid w:val="009277DA"/>
    <w:rsid w:val="00931930"/>
    <w:rsid w:val="00935503"/>
    <w:rsid w:val="0093648B"/>
    <w:rsid w:val="00936926"/>
    <w:rsid w:val="009370D0"/>
    <w:rsid w:val="00937B43"/>
    <w:rsid w:val="00937CD2"/>
    <w:rsid w:val="0094332B"/>
    <w:rsid w:val="00945305"/>
    <w:rsid w:val="009466AE"/>
    <w:rsid w:val="00946D04"/>
    <w:rsid w:val="00947692"/>
    <w:rsid w:val="00947B1F"/>
    <w:rsid w:val="00950E34"/>
    <w:rsid w:val="009518E1"/>
    <w:rsid w:val="00961B58"/>
    <w:rsid w:val="0096323C"/>
    <w:rsid w:val="00970368"/>
    <w:rsid w:val="009710D1"/>
    <w:rsid w:val="0097146F"/>
    <w:rsid w:val="00971C19"/>
    <w:rsid w:val="00972760"/>
    <w:rsid w:val="00972B56"/>
    <w:rsid w:val="00973BC6"/>
    <w:rsid w:val="00974FCB"/>
    <w:rsid w:val="009754D4"/>
    <w:rsid w:val="00983FA9"/>
    <w:rsid w:val="00984327"/>
    <w:rsid w:val="0098651B"/>
    <w:rsid w:val="00986585"/>
    <w:rsid w:val="00986CA3"/>
    <w:rsid w:val="00986CDE"/>
    <w:rsid w:val="00990CD6"/>
    <w:rsid w:val="00991984"/>
    <w:rsid w:val="009958D6"/>
    <w:rsid w:val="009A030C"/>
    <w:rsid w:val="009A1C35"/>
    <w:rsid w:val="009A3947"/>
    <w:rsid w:val="009A6D73"/>
    <w:rsid w:val="009A7565"/>
    <w:rsid w:val="009B140D"/>
    <w:rsid w:val="009B1FA0"/>
    <w:rsid w:val="009B3B7C"/>
    <w:rsid w:val="009B4CE6"/>
    <w:rsid w:val="009C24C1"/>
    <w:rsid w:val="009C3B72"/>
    <w:rsid w:val="009C50E9"/>
    <w:rsid w:val="009C5EF4"/>
    <w:rsid w:val="009C611C"/>
    <w:rsid w:val="009C6FBD"/>
    <w:rsid w:val="009D3C84"/>
    <w:rsid w:val="009D3C8B"/>
    <w:rsid w:val="009E0839"/>
    <w:rsid w:val="009E1B7B"/>
    <w:rsid w:val="009E2FFF"/>
    <w:rsid w:val="009E3957"/>
    <w:rsid w:val="009F0253"/>
    <w:rsid w:val="009F0F79"/>
    <w:rsid w:val="009F3815"/>
    <w:rsid w:val="009F391C"/>
    <w:rsid w:val="009F6D6C"/>
    <w:rsid w:val="009F71BB"/>
    <w:rsid w:val="00A005A3"/>
    <w:rsid w:val="00A00997"/>
    <w:rsid w:val="00A033FC"/>
    <w:rsid w:val="00A06122"/>
    <w:rsid w:val="00A0617E"/>
    <w:rsid w:val="00A101A3"/>
    <w:rsid w:val="00A10F9A"/>
    <w:rsid w:val="00A1325A"/>
    <w:rsid w:val="00A138AE"/>
    <w:rsid w:val="00A15CF9"/>
    <w:rsid w:val="00A15D36"/>
    <w:rsid w:val="00A16F44"/>
    <w:rsid w:val="00A20611"/>
    <w:rsid w:val="00A20B2E"/>
    <w:rsid w:val="00A2241B"/>
    <w:rsid w:val="00A22AF6"/>
    <w:rsid w:val="00A22C4F"/>
    <w:rsid w:val="00A23774"/>
    <w:rsid w:val="00A257DF"/>
    <w:rsid w:val="00A272A9"/>
    <w:rsid w:val="00A27859"/>
    <w:rsid w:val="00A27FFA"/>
    <w:rsid w:val="00A30A84"/>
    <w:rsid w:val="00A32C43"/>
    <w:rsid w:val="00A32F55"/>
    <w:rsid w:val="00A35900"/>
    <w:rsid w:val="00A35A22"/>
    <w:rsid w:val="00A36843"/>
    <w:rsid w:val="00A36DF5"/>
    <w:rsid w:val="00A40AF4"/>
    <w:rsid w:val="00A40B62"/>
    <w:rsid w:val="00A41039"/>
    <w:rsid w:val="00A41670"/>
    <w:rsid w:val="00A42B41"/>
    <w:rsid w:val="00A42F5F"/>
    <w:rsid w:val="00A433AB"/>
    <w:rsid w:val="00A44421"/>
    <w:rsid w:val="00A46D72"/>
    <w:rsid w:val="00A50947"/>
    <w:rsid w:val="00A50B5F"/>
    <w:rsid w:val="00A51D24"/>
    <w:rsid w:val="00A520FA"/>
    <w:rsid w:val="00A57393"/>
    <w:rsid w:val="00A6299B"/>
    <w:rsid w:val="00A642FC"/>
    <w:rsid w:val="00A65055"/>
    <w:rsid w:val="00A67915"/>
    <w:rsid w:val="00A67BD7"/>
    <w:rsid w:val="00A73398"/>
    <w:rsid w:val="00A73505"/>
    <w:rsid w:val="00A76EA8"/>
    <w:rsid w:val="00A81283"/>
    <w:rsid w:val="00A8187C"/>
    <w:rsid w:val="00A8387A"/>
    <w:rsid w:val="00A83F09"/>
    <w:rsid w:val="00A848B1"/>
    <w:rsid w:val="00A86C25"/>
    <w:rsid w:val="00A87790"/>
    <w:rsid w:val="00A901A7"/>
    <w:rsid w:val="00A93D60"/>
    <w:rsid w:val="00A93F54"/>
    <w:rsid w:val="00A94A5C"/>
    <w:rsid w:val="00A959E5"/>
    <w:rsid w:val="00A96456"/>
    <w:rsid w:val="00A96486"/>
    <w:rsid w:val="00AA005E"/>
    <w:rsid w:val="00AA05EE"/>
    <w:rsid w:val="00AA092E"/>
    <w:rsid w:val="00AA1F3C"/>
    <w:rsid w:val="00AA256C"/>
    <w:rsid w:val="00AA2885"/>
    <w:rsid w:val="00AA3E54"/>
    <w:rsid w:val="00AA5353"/>
    <w:rsid w:val="00AA5CFD"/>
    <w:rsid w:val="00AB3000"/>
    <w:rsid w:val="00AB3207"/>
    <w:rsid w:val="00AC138E"/>
    <w:rsid w:val="00AC4847"/>
    <w:rsid w:val="00AC53D6"/>
    <w:rsid w:val="00AC7CBA"/>
    <w:rsid w:val="00AD70B2"/>
    <w:rsid w:val="00AD7C8E"/>
    <w:rsid w:val="00AE02DA"/>
    <w:rsid w:val="00AE2FAF"/>
    <w:rsid w:val="00AE4B8C"/>
    <w:rsid w:val="00AF0BF6"/>
    <w:rsid w:val="00AF1308"/>
    <w:rsid w:val="00AF3B57"/>
    <w:rsid w:val="00AF3CC2"/>
    <w:rsid w:val="00AF7245"/>
    <w:rsid w:val="00AF77CF"/>
    <w:rsid w:val="00B00371"/>
    <w:rsid w:val="00B0041D"/>
    <w:rsid w:val="00B007A8"/>
    <w:rsid w:val="00B01322"/>
    <w:rsid w:val="00B02DCD"/>
    <w:rsid w:val="00B0311E"/>
    <w:rsid w:val="00B038CD"/>
    <w:rsid w:val="00B04EC7"/>
    <w:rsid w:val="00B06A93"/>
    <w:rsid w:val="00B06B22"/>
    <w:rsid w:val="00B1034D"/>
    <w:rsid w:val="00B11EA8"/>
    <w:rsid w:val="00B13302"/>
    <w:rsid w:val="00B21184"/>
    <w:rsid w:val="00B229A9"/>
    <w:rsid w:val="00B22E51"/>
    <w:rsid w:val="00B2777B"/>
    <w:rsid w:val="00B27E27"/>
    <w:rsid w:val="00B305EB"/>
    <w:rsid w:val="00B32849"/>
    <w:rsid w:val="00B3352C"/>
    <w:rsid w:val="00B342C0"/>
    <w:rsid w:val="00B37467"/>
    <w:rsid w:val="00B376CB"/>
    <w:rsid w:val="00B4140D"/>
    <w:rsid w:val="00B41412"/>
    <w:rsid w:val="00B41A9F"/>
    <w:rsid w:val="00B4364D"/>
    <w:rsid w:val="00B43CE3"/>
    <w:rsid w:val="00B46827"/>
    <w:rsid w:val="00B46B92"/>
    <w:rsid w:val="00B52433"/>
    <w:rsid w:val="00B557EE"/>
    <w:rsid w:val="00B56D3D"/>
    <w:rsid w:val="00B6055D"/>
    <w:rsid w:val="00B62992"/>
    <w:rsid w:val="00B63047"/>
    <w:rsid w:val="00B63A12"/>
    <w:rsid w:val="00B65576"/>
    <w:rsid w:val="00B659E4"/>
    <w:rsid w:val="00B66AF7"/>
    <w:rsid w:val="00B67A80"/>
    <w:rsid w:val="00B67D37"/>
    <w:rsid w:val="00B70233"/>
    <w:rsid w:val="00B70E09"/>
    <w:rsid w:val="00B715FB"/>
    <w:rsid w:val="00B719C9"/>
    <w:rsid w:val="00B744FF"/>
    <w:rsid w:val="00B7451A"/>
    <w:rsid w:val="00B84C2F"/>
    <w:rsid w:val="00B85ACB"/>
    <w:rsid w:val="00B876C3"/>
    <w:rsid w:val="00B902A0"/>
    <w:rsid w:val="00B906B5"/>
    <w:rsid w:val="00B93AA7"/>
    <w:rsid w:val="00B93C83"/>
    <w:rsid w:val="00B93E09"/>
    <w:rsid w:val="00B94182"/>
    <w:rsid w:val="00BA1A71"/>
    <w:rsid w:val="00BA2EDC"/>
    <w:rsid w:val="00BA6EEF"/>
    <w:rsid w:val="00BB5685"/>
    <w:rsid w:val="00BB6F5A"/>
    <w:rsid w:val="00BC0058"/>
    <w:rsid w:val="00BC33A9"/>
    <w:rsid w:val="00BC4644"/>
    <w:rsid w:val="00BC526D"/>
    <w:rsid w:val="00BC59AB"/>
    <w:rsid w:val="00BC5B7B"/>
    <w:rsid w:val="00BC6C2B"/>
    <w:rsid w:val="00BD2123"/>
    <w:rsid w:val="00BD4EB0"/>
    <w:rsid w:val="00BD58F4"/>
    <w:rsid w:val="00BD6B9F"/>
    <w:rsid w:val="00BD7C65"/>
    <w:rsid w:val="00BE16DA"/>
    <w:rsid w:val="00BE1837"/>
    <w:rsid w:val="00BE1BCD"/>
    <w:rsid w:val="00BE2732"/>
    <w:rsid w:val="00BE34CB"/>
    <w:rsid w:val="00BE3B2F"/>
    <w:rsid w:val="00BE3ED2"/>
    <w:rsid w:val="00BE4F67"/>
    <w:rsid w:val="00BE6AD6"/>
    <w:rsid w:val="00BF043E"/>
    <w:rsid w:val="00BF0D34"/>
    <w:rsid w:val="00C01090"/>
    <w:rsid w:val="00C01FD2"/>
    <w:rsid w:val="00C04492"/>
    <w:rsid w:val="00C0542B"/>
    <w:rsid w:val="00C05F0B"/>
    <w:rsid w:val="00C0752B"/>
    <w:rsid w:val="00C07B71"/>
    <w:rsid w:val="00C10B2E"/>
    <w:rsid w:val="00C13D1E"/>
    <w:rsid w:val="00C15F9F"/>
    <w:rsid w:val="00C1627C"/>
    <w:rsid w:val="00C1668B"/>
    <w:rsid w:val="00C30BEA"/>
    <w:rsid w:val="00C32E5D"/>
    <w:rsid w:val="00C3630C"/>
    <w:rsid w:val="00C3774F"/>
    <w:rsid w:val="00C37A69"/>
    <w:rsid w:val="00C4093C"/>
    <w:rsid w:val="00C4454A"/>
    <w:rsid w:val="00C46F21"/>
    <w:rsid w:val="00C50A6E"/>
    <w:rsid w:val="00C51115"/>
    <w:rsid w:val="00C54CEF"/>
    <w:rsid w:val="00C55334"/>
    <w:rsid w:val="00C55403"/>
    <w:rsid w:val="00C56B80"/>
    <w:rsid w:val="00C61DB6"/>
    <w:rsid w:val="00C62070"/>
    <w:rsid w:val="00C63086"/>
    <w:rsid w:val="00C64FF5"/>
    <w:rsid w:val="00C65FAC"/>
    <w:rsid w:val="00C67AB2"/>
    <w:rsid w:val="00C70696"/>
    <w:rsid w:val="00C7409C"/>
    <w:rsid w:val="00C7444E"/>
    <w:rsid w:val="00C74620"/>
    <w:rsid w:val="00C76C11"/>
    <w:rsid w:val="00C81286"/>
    <w:rsid w:val="00C812DD"/>
    <w:rsid w:val="00C818D7"/>
    <w:rsid w:val="00C824AD"/>
    <w:rsid w:val="00C84BA0"/>
    <w:rsid w:val="00C85683"/>
    <w:rsid w:val="00C85C6B"/>
    <w:rsid w:val="00C866B5"/>
    <w:rsid w:val="00C92305"/>
    <w:rsid w:val="00C930F1"/>
    <w:rsid w:val="00C93E5E"/>
    <w:rsid w:val="00C94B7B"/>
    <w:rsid w:val="00C965C4"/>
    <w:rsid w:val="00C97525"/>
    <w:rsid w:val="00CA15BA"/>
    <w:rsid w:val="00CA17E1"/>
    <w:rsid w:val="00CA24AB"/>
    <w:rsid w:val="00CA66DD"/>
    <w:rsid w:val="00CA6A1C"/>
    <w:rsid w:val="00CA78E7"/>
    <w:rsid w:val="00CB08D4"/>
    <w:rsid w:val="00CB1F9A"/>
    <w:rsid w:val="00CC6C84"/>
    <w:rsid w:val="00CC7B56"/>
    <w:rsid w:val="00CD0EEB"/>
    <w:rsid w:val="00CD29EA"/>
    <w:rsid w:val="00CD2EC8"/>
    <w:rsid w:val="00CD3377"/>
    <w:rsid w:val="00CD40FF"/>
    <w:rsid w:val="00CD50BF"/>
    <w:rsid w:val="00CD6623"/>
    <w:rsid w:val="00CD728B"/>
    <w:rsid w:val="00CE35FF"/>
    <w:rsid w:val="00CE3C90"/>
    <w:rsid w:val="00CE7131"/>
    <w:rsid w:val="00CF0B9A"/>
    <w:rsid w:val="00D00737"/>
    <w:rsid w:val="00D01890"/>
    <w:rsid w:val="00D028FD"/>
    <w:rsid w:val="00D034D6"/>
    <w:rsid w:val="00D0408C"/>
    <w:rsid w:val="00D06643"/>
    <w:rsid w:val="00D100DD"/>
    <w:rsid w:val="00D10C1E"/>
    <w:rsid w:val="00D11133"/>
    <w:rsid w:val="00D11783"/>
    <w:rsid w:val="00D145EA"/>
    <w:rsid w:val="00D16F84"/>
    <w:rsid w:val="00D20D4C"/>
    <w:rsid w:val="00D21DFF"/>
    <w:rsid w:val="00D2265A"/>
    <w:rsid w:val="00D250F4"/>
    <w:rsid w:val="00D252E4"/>
    <w:rsid w:val="00D25C54"/>
    <w:rsid w:val="00D269DD"/>
    <w:rsid w:val="00D313DB"/>
    <w:rsid w:val="00D31531"/>
    <w:rsid w:val="00D31D29"/>
    <w:rsid w:val="00D326B8"/>
    <w:rsid w:val="00D335F6"/>
    <w:rsid w:val="00D344B1"/>
    <w:rsid w:val="00D3459D"/>
    <w:rsid w:val="00D349E9"/>
    <w:rsid w:val="00D363F8"/>
    <w:rsid w:val="00D36EF1"/>
    <w:rsid w:val="00D37B36"/>
    <w:rsid w:val="00D401BA"/>
    <w:rsid w:val="00D4190B"/>
    <w:rsid w:val="00D43797"/>
    <w:rsid w:val="00D4510A"/>
    <w:rsid w:val="00D46B1B"/>
    <w:rsid w:val="00D5312D"/>
    <w:rsid w:val="00D53C72"/>
    <w:rsid w:val="00D53DC2"/>
    <w:rsid w:val="00D56DC5"/>
    <w:rsid w:val="00D571B4"/>
    <w:rsid w:val="00D57BE4"/>
    <w:rsid w:val="00D60688"/>
    <w:rsid w:val="00D6232A"/>
    <w:rsid w:val="00D63923"/>
    <w:rsid w:val="00D650F2"/>
    <w:rsid w:val="00D65409"/>
    <w:rsid w:val="00D66272"/>
    <w:rsid w:val="00D67335"/>
    <w:rsid w:val="00D6790D"/>
    <w:rsid w:val="00D70A56"/>
    <w:rsid w:val="00D72B33"/>
    <w:rsid w:val="00D74304"/>
    <w:rsid w:val="00D76050"/>
    <w:rsid w:val="00D77DB5"/>
    <w:rsid w:val="00D77F27"/>
    <w:rsid w:val="00D811F0"/>
    <w:rsid w:val="00D831FD"/>
    <w:rsid w:val="00D84E8E"/>
    <w:rsid w:val="00D90FEA"/>
    <w:rsid w:val="00D91887"/>
    <w:rsid w:val="00D931B0"/>
    <w:rsid w:val="00D93408"/>
    <w:rsid w:val="00D958BC"/>
    <w:rsid w:val="00DA0000"/>
    <w:rsid w:val="00DA07EE"/>
    <w:rsid w:val="00DA0FDE"/>
    <w:rsid w:val="00DA227D"/>
    <w:rsid w:val="00DB10B5"/>
    <w:rsid w:val="00DB4BEC"/>
    <w:rsid w:val="00DB71B8"/>
    <w:rsid w:val="00DB731C"/>
    <w:rsid w:val="00DC077D"/>
    <w:rsid w:val="00DC2B34"/>
    <w:rsid w:val="00DC514C"/>
    <w:rsid w:val="00DC5C03"/>
    <w:rsid w:val="00DD1D1C"/>
    <w:rsid w:val="00DD351F"/>
    <w:rsid w:val="00DD3FE5"/>
    <w:rsid w:val="00DD7514"/>
    <w:rsid w:val="00DE02B4"/>
    <w:rsid w:val="00DE37BB"/>
    <w:rsid w:val="00DE538C"/>
    <w:rsid w:val="00DF14B5"/>
    <w:rsid w:val="00DF1F32"/>
    <w:rsid w:val="00DF292B"/>
    <w:rsid w:val="00DF57F6"/>
    <w:rsid w:val="00DF5E06"/>
    <w:rsid w:val="00DF7748"/>
    <w:rsid w:val="00DF7A64"/>
    <w:rsid w:val="00E00F3B"/>
    <w:rsid w:val="00E01181"/>
    <w:rsid w:val="00E01A23"/>
    <w:rsid w:val="00E01D4A"/>
    <w:rsid w:val="00E05085"/>
    <w:rsid w:val="00E06FB8"/>
    <w:rsid w:val="00E0792F"/>
    <w:rsid w:val="00E14F68"/>
    <w:rsid w:val="00E1755B"/>
    <w:rsid w:val="00E17CCA"/>
    <w:rsid w:val="00E17E72"/>
    <w:rsid w:val="00E2000F"/>
    <w:rsid w:val="00E20649"/>
    <w:rsid w:val="00E26FBA"/>
    <w:rsid w:val="00E3039B"/>
    <w:rsid w:val="00E30767"/>
    <w:rsid w:val="00E33103"/>
    <w:rsid w:val="00E335C3"/>
    <w:rsid w:val="00E34C2A"/>
    <w:rsid w:val="00E36E5B"/>
    <w:rsid w:val="00E36FF9"/>
    <w:rsid w:val="00E37579"/>
    <w:rsid w:val="00E439FB"/>
    <w:rsid w:val="00E5092B"/>
    <w:rsid w:val="00E54F71"/>
    <w:rsid w:val="00E56044"/>
    <w:rsid w:val="00E5612A"/>
    <w:rsid w:val="00E564F8"/>
    <w:rsid w:val="00E63445"/>
    <w:rsid w:val="00E636FE"/>
    <w:rsid w:val="00E63BFE"/>
    <w:rsid w:val="00E72EC8"/>
    <w:rsid w:val="00E7300E"/>
    <w:rsid w:val="00E730D2"/>
    <w:rsid w:val="00E73583"/>
    <w:rsid w:val="00E7644C"/>
    <w:rsid w:val="00E80715"/>
    <w:rsid w:val="00E810A1"/>
    <w:rsid w:val="00E828CC"/>
    <w:rsid w:val="00E84F38"/>
    <w:rsid w:val="00E84FB6"/>
    <w:rsid w:val="00E86BBC"/>
    <w:rsid w:val="00E87449"/>
    <w:rsid w:val="00E92AFD"/>
    <w:rsid w:val="00EA0638"/>
    <w:rsid w:val="00EA7205"/>
    <w:rsid w:val="00EA75E8"/>
    <w:rsid w:val="00EB1244"/>
    <w:rsid w:val="00EB361F"/>
    <w:rsid w:val="00EB3C3F"/>
    <w:rsid w:val="00EB4531"/>
    <w:rsid w:val="00EC0C6F"/>
    <w:rsid w:val="00EC0D8C"/>
    <w:rsid w:val="00EC0ECB"/>
    <w:rsid w:val="00EC232B"/>
    <w:rsid w:val="00EC2C80"/>
    <w:rsid w:val="00EC30AF"/>
    <w:rsid w:val="00EC31EC"/>
    <w:rsid w:val="00EC326A"/>
    <w:rsid w:val="00EC37A1"/>
    <w:rsid w:val="00EC4CC2"/>
    <w:rsid w:val="00EC6A8F"/>
    <w:rsid w:val="00ED33F0"/>
    <w:rsid w:val="00ED477F"/>
    <w:rsid w:val="00ED6401"/>
    <w:rsid w:val="00EE222C"/>
    <w:rsid w:val="00EE325D"/>
    <w:rsid w:val="00EE3ADA"/>
    <w:rsid w:val="00EE5A4E"/>
    <w:rsid w:val="00EE7741"/>
    <w:rsid w:val="00EF4518"/>
    <w:rsid w:val="00EF49D4"/>
    <w:rsid w:val="00EF542C"/>
    <w:rsid w:val="00EF7DBC"/>
    <w:rsid w:val="00F00410"/>
    <w:rsid w:val="00F00590"/>
    <w:rsid w:val="00F013E8"/>
    <w:rsid w:val="00F01DB9"/>
    <w:rsid w:val="00F07595"/>
    <w:rsid w:val="00F07CD0"/>
    <w:rsid w:val="00F1054E"/>
    <w:rsid w:val="00F112E3"/>
    <w:rsid w:val="00F13439"/>
    <w:rsid w:val="00F14F03"/>
    <w:rsid w:val="00F177A4"/>
    <w:rsid w:val="00F243DC"/>
    <w:rsid w:val="00F2513F"/>
    <w:rsid w:val="00F32BB2"/>
    <w:rsid w:val="00F32DC5"/>
    <w:rsid w:val="00F343B8"/>
    <w:rsid w:val="00F36123"/>
    <w:rsid w:val="00F364F5"/>
    <w:rsid w:val="00F36748"/>
    <w:rsid w:val="00F36E6F"/>
    <w:rsid w:val="00F42A4C"/>
    <w:rsid w:val="00F434DE"/>
    <w:rsid w:val="00F468F7"/>
    <w:rsid w:val="00F46DDD"/>
    <w:rsid w:val="00F514ED"/>
    <w:rsid w:val="00F51FE0"/>
    <w:rsid w:val="00F53583"/>
    <w:rsid w:val="00F543E5"/>
    <w:rsid w:val="00F55D19"/>
    <w:rsid w:val="00F5686D"/>
    <w:rsid w:val="00F56A3C"/>
    <w:rsid w:val="00F57C02"/>
    <w:rsid w:val="00F57DB3"/>
    <w:rsid w:val="00F60462"/>
    <w:rsid w:val="00F60950"/>
    <w:rsid w:val="00F626DE"/>
    <w:rsid w:val="00F6414B"/>
    <w:rsid w:val="00F65F90"/>
    <w:rsid w:val="00F6627A"/>
    <w:rsid w:val="00F7138B"/>
    <w:rsid w:val="00F7159E"/>
    <w:rsid w:val="00F72277"/>
    <w:rsid w:val="00F722DE"/>
    <w:rsid w:val="00F74589"/>
    <w:rsid w:val="00F76E1E"/>
    <w:rsid w:val="00F81A6C"/>
    <w:rsid w:val="00F84594"/>
    <w:rsid w:val="00F84835"/>
    <w:rsid w:val="00F85485"/>
    <w:rsid w:val="00F854FA"/>
    <w:rsid w:val="00F855F9"/>
    <w:rsid w:val="00F856B4"/>
    <w:rsid w:val="00F861A9"/>
    <w:rsid w:val="00F87C54"/>
    <w:rsid w:val="00F87F3D"/>
    <w:rsid w:val="00F94B5D"/>
    <w:rsid w:val="00F961EE"/>
    <w:rsid w:val="00F97523"/>
    <w:rsid w:val="00F97908"/>
    <w:rsid w:val="00FA07F1"/>
    <w:rsid w:val="00FA3A91"/>
    <w:rsid w:val="00FA5D03"/>
    <w:rsid w:val="00FA6E78"/>
    <w:rsid w:val="00FB215B"/>
    <w:rsid w:val="00FB3702"/>
    <w:rsid w:val="00FB5D63"/>
    <w:rsid w:val="00FC0A73"/>
    <w:rsid w:val="00FC0AC8"/>
    <w:rsid w:val="00FC1212"/>
    <w:rsid w:val="00FC30B1"/>
    <w:rsid w:val="00FC4185"/>
    <w:rsid w:val="00FC444F"/>
    <w:rsid w:val="00FC537B"/>
    <w:rsid w:val="00FC7DF7"/>
    <w:rsid w:val="00FD0506"/>
    <w:rsid w:val="00FD069B"/>
    <w:rsid w:val="00FD1C3D"/>
    <w:rsid w:val="00FD2316"/>
    <w:rsid w:val="00FD31BB"/>
    <w:rsid w:val="00FD431C"/>
    <w:rsid w:val="00FD526D"/>
    <w:rsid w:val="00FD7CF7"/>
    <w:rsid w:val="00FD7E44"/>
    <w:rsid w:val="00FE0160"/>
    <w:rsid w:val="00FE0306"/>
    <w:rsid w:val="00FE3A12"/>
    <w:rsid w:val="00FE6598"/>
    <w:rsid w:val="00FE6BD7"/>
    <w:rsid w:val="00FF1573"/>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2">
    <w:name w:val="heading 2"/>
    <w:basedOn w:val="Normal"/>
    <w:next w:val="Normal"/>
    <w:link w:val="Heading2Char"/>
    <w:uiPriority w:val="9"/>
    <w:unhideWhenUsed/>
    <w:qFormat/>
    <w:rsid w:val="005959B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semiHidden/>
    <w:unhideWhenUsed/>
    <w:rsid w:val="00EF49D4"/>
    <w:rPr>
      <w:sz w:val="20"/>
      <w:szCs w:val="20"/>
    </w:rPr>
  </w:style>
  <w:style w:type="character" w:customStyle="1" w:styleId="FootnoteTextChar">
    <w:name w:val="Footnote Text Char"/>
    <w:basedOn w:val="DefaultParagraphFont"/>
    <w:link w:val="FootnoteText"/>
    <w:semiHidden/>
    <w:rsid w:val="00EF49D4"/>
    <w:rPr>
      <w:rFonts w:eastAsia="Times New Roman" w:cs="Times New Roman"/>
      <w:sz w:val="20"/>
      <w:szCs w:val="20"/>
      <w:lang w:val="lv-LV" w:eastAsia="ru-RU"/>
    </w:rPr>
  </w:style>
  <w:style w:type="character" w:styleId="FootnoteReference">
    <w:name w:val="footnote reference"/>
    <w:basedOn w:val="DefaultParagraphFont"/>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customStyle="1" w:styleId="Style1">
    <w:name w:val="Style1"/>
    <w:basedOn w:val="Normal"/>
    <w:qFormat/>
    <w:rsid w:val="0012741F"/>
    <w:pPr>
      <w:numPr>
        <w:numId w:val="5"/>
      </w:numPr>
    </w:pPr>
    <w:rPr>
      <w:rFonts w:ascii="Times New (W1)" w:hAnsi="Times New (W1)"/>
      <w:sz w:val="28"/>
      <w:szCs w:val="28"/>
      <w:lang w:eastAsia="lv-LV"/>
    </w:rPr>
  </w:style>
  <w:style w:type="paragraph" w:styleId="CommentText">
    <w:name w:val="annotation text"/>
    <w:basedOn w:val="Normal"/>
    <w:link w:val="CommentTextChar"/>
    <w:uiPriority w:val="99"/>
    <w:semiHidden/>
    <w:unhideWhenUsed/>
    <w:rsid w:val="00D16F84"/>
    <w:rPr>
      <w:sz w:val="20"/>
      <w:szCs w:val="20"/>
    </w:rPr>
  </w:style>
  <w:style w:type="character" w:customStyle="1" w:styleId="CommentTextChar">
    <w:name w:val="Comment Text Char"/>
    <w:basedOn w:val="DefaultParagraphFont"/>
    <w:link w:val="CommentText"/>
    <w:uiPriority w:val="99"/>
    <w:semiHidden/>
    <w:rsid w:val="00D16F84"/>
    <w:rPr>
      <w:rFonts w:eastAsia="Times New Roman" w:cs="Times New Roman"/>
      <w:sz w:val="20"/>
      <w:szCs w:val="20"/>
      <w:lang w:val="lv-LV" w:eastAsia="ru-RU"/>
    </w:rPr>
  </w:style>
  <w:style w:type="character" w:customStyle="1" w:styleId="Bodytext20">
    <w:name w:val="Body text (2)_"/>
    <w:basedOn w:val="DefaultParagraphFont"/>
    <w:link w:val="Bodytext21"/>
    <w:rsid w:val="00E36FF9"/>
    <w:rPr>
      <w:rFonts w:eastAsia="Times New Roman" w:cs="Times New Roman"/>
      <w:shd w:val="clear" w:color="auto" w:fill="FFFFFF"/>
    </w:rPr>
  </w:style>
  <w:style w:type="paragraph" w:customStyle="1" w:styleId="Bodytext21">
    <w:name w:val="Body text (2)"/>
    <w:basedOn w:val="Normal"/>
    <w:link w:val="Bodytext20"/>
    <w:rsid w:val="00E36FF9"/>
    <w:pPr>
      <w:widowControl w:val="0"/>
      <w:shd w:val="clear" w:color="auto" w:fill="FFFFFF"/>
      <w:spacing w:after="540" w:line="274" w:lineRule="exact"/>
      <w:ind w:hanging="420"/>
      <w:jc w:val="center"/>
    </w:pPr>
    <w:rPr>
      <w:szCs w:val="22"/>
      <w:lang w:val="en-US" w:eastAsia="en-US"/>
    </w:rPr>
  </w:style>
  <w:style w:type="character" w:customStyle="1" w:styleId="sscitts">
    <w:name w:val="Īss citāts"/>
    <w:uiPriority w:val="1"/>
    <w:qFormat/>
    <w:rsid w:val="00022CBF"/>
    <w:rPr>
      <w:i/>
    </w:rPr>
  </w:style>
  <w:style w:type="character" w:customStyle="1" w:styleId="outputecli">
    <w:name w:val="outputecli"/>
    <w:basedOn w:val="DefaultParagraphFont"/>
    <w:rsid w:val="00B67A80"/>
  </w:style>
  <w:style w:type="paragraph" w:customStyle="1" w:styleId="c19centre">
    <w:name w:val="c19centre"/>
    <w:basedOn w:val="Normal"/>
    <w:rsid w:val="00B67A80"/>
    <w:pPr>
      <w:spacing w:before="100" w:beforeAutospacing="1" w:after="100" w:afterAutospacing="1"/>
    </w:pPr>
    <w:rPr>
      <w:lang w:val="en-US" w:eastAsia="en-US"/>
    </w:rPr>
  </w:style>
  <w:style w:type="paragraph" w:customStyle="1" w:styleId="c71indicateur">
    <w:name w:val="c71indicateur"/>
    <w:basedOn w:val="Normal"/>
    <w:rsid w:val="00B67A80"/>
    <w:pPr>
      <w:spacing w:before="100" w:beforeAutospacing="1" w:after="100" w:afterAutospacing="1"/>
    </w:pPr>
    <w:rPr>
      <w:lang w:val="en-US" w:eastAsia="en-US"/>
    </w:rPr>
  </w:style>
  <w:style w:type="paragraph" w:customStyle="1" w:styleId="c02alineaalta">
    <w:name w:val="c02alineaalta"/>
    <w:basedOn w:val="Normal"/>
    <w:rsid w:val="00B67A80"/>
    <w:pPr>
      <w:spacing w:before="100" w:beforeAutospacing="1" w:after="100" w:afterAutospacing="1"/>
    </w:pPr>
    <w:rPr>
      <w:lang w:val="en-US" w:eastAsia="en-US"/>
    </w:rPr>
  </w:style>
  <w:style w:type="paragraph" w:customStyle="1" w:styleId="c72alineadroite">
    <w:name w:val="c72alineadroite"/>
    <w:basedOn w:val="Normal"/>
    <w:rsid w:val="00B67A80"/>
    <w:pPr>
      <w:spacing w:before="100" w:beforeAutospacing="1" w:after="100" w:afterAutospacing="1"/>
    </w:pPr>
    <w:rPr>
      <w:lang w:val="en-US" w:eastAsia="en-US"/>
    </w:rPr>
  </w:style>
  <w:style w:type="paragraph" w:customStyle="1" w:styleId="c06titre3">
    <w:name w:val="c06titre3"/>
    <w:basedOn w:val="Normal"/>
    <w:rsid w:val="00B67A80"/>
    <w:pPr>
      <w:spacing w:before="100" w:beforeAutospacing="1" w:after="100" w:afterAutospacing="1"/>
    </w:pPr>
    <w:rPr>
      <w:lang w:val="en-US" w:eastAsia="en-US"/>
    </w:rPr>
  </w:style>
  <w:style w:type="paragraph" w:customStyle="1" w:styleId="c01pointnumerotealtn">
    <w:name w:val="c01pointnumerotealtn"/>
    <w:basedOn w:val="Normal"/>
    <w:rsid w:val="00B67A80"/>
    <w:pPr>
      <w:spacing w:before="100" w:beforeAutospacing="1" w:after="100" w:afterAutospacing="1"/>
    </w:pPr>
    <w:rPr>
      <w:lang w:val="en-US" w:eastAsia="en-US"/>
    </w:rPr>
  </w:style>
  <w:style w:type="paragraph" w:styleId="Header">
    <w:name w:val="header"/>
    <w:basedOn w:val="Normal"/>
    <w:link w:val="HeaderChar"/>
    <w:uiPriority w:val="99"/>
    <w:unhideWhenUsed/>
    <w:rsid w:val="00B32849"/>
    <w:pPr>
      <w:tabs>
        <w:tab w:val="center" w:pos="4680"/>
        <w:tab w:val="right" w:pos="9360"/>
      </w:tabs>
    </w:pPr>
  </w:style>
  <w:style w:type="character" w:customStyle="1" w:styleId="HeaderChar">
    <w:name w:val="Header Char"/>
    <w:basedOn w:val="DefaultParagraphFont"/>
    <w:link w:val="Header"/>
    <w:uiPriority w:val="99"/>
    <w:rsid w:val="00B32849"/>
    <w:rPr>
      <w:rFonts w:eastAsia="Times New Roman" w:cs="Times New Roman"/>
      <w:szCs w:val="24"/>
      <w:lang w:val="lv-LV" w:eastAsia="ru-RU"/>
    </w:rPr>
  </w:style>
  <w:style w:type="paragraph" w:customStyle="1" w:styleId="Normal1">
    <w:name w:val="Normal1"/>
    <w:basedOn w:val="Normal"/>
    <w:rsid w:val="00766337"/>
    <w:pPr>
      <w:spacing w:before="100" w:beforeAutospacing="1" w:after="100" w:afterAutospacing="1"/>
    </w:pPr>
    <w:rPr>
      <w:lang w:val="en-US" w:eastAsia="en-US"/>
    </w:rPr>
  </w:style>
  <w:style w:type="character" w:customStyle="1" w:styleId="super">
    <w:name w:val="super"/>
    <w:basedOn w:val="DefaultParagraphFont"/>
    <w:rsid w:val="00766337"/>
  </w:style>
  <w:style w:type="paragraph" w:customStyle="1" w:styleId="ti-art">
    <w:name w:val="ti-art"/>
    <w:basedOn w:val="Normal"/>
    <w:rsid w:val="004879B7"/>
    <w:pPr>
      <w:spacing w:before="100" w:beforeAutospacing="1" w:after="100" w:afterAutospacing="1"/>
    </w:pPr>
    <w:rPr>
      <w:lang w:val="en-US" w:eastAsia="en-US"/>
    </w:rPr>
  </w:style>
  <w:style w:type="paragraph" w:customStyle="1" w:styleId="sti-art">
    <w:name w:val="sti-art"/>
    <w:basedOn w:val="Normal"/>
    <w:rsid w:val="004879B7"/>
    <w:pPr>
      <w:spacing w:before="100" w:beforeAutospacing="1" w:after="100" w:afterAutospacing="1"/>
    </w:pPr>
    <w:rPr>
      <w:lang w:val="en-US" w:eastAsia="en-US"/>
    </w:rPr>
  </w:style>
  <w:style w:type="character" w:customStyle="1" w:styleId="italic">
    <w:name w:val="italic"/>
    <w:basedOn w:val="DefaultParagraphFont"/>
    <w:rsid w:val="004879B7"/>
  </w:style>
  <w:style w:type="character" w:customStyle="1" w:styleId="Heading2Char">
    <w:name w:val="Heading 2 Char"/>
    <w:basedOn w:val="DefaultParagraphFont"/>
    <w:link w:val="Heading2"/>
    <w:uiPriority w:val="9"/>
    <w:rsid w:val="005959BE"/>
    <w:rPr>
      <w:rFonts w:asciiTheme="majorHAnsi" w:eastAsiaTheme="majorEastAsia" w:hAnsiTheme="majorHAnsi" w:cstheme="majorBidi"/>
      <w:color w:val="2E74B5" w:themeColor="accent1" w:themeShade="BF"/>
      <w:sz w:val="26"/>
      <w:szCs w:val="26"/>
      <w:lang w:val="lv-LV"/>
    </w:rPr>
  </w:style>
  <w:style w:type="character" w:customStyle="1" w:styleId="UnresolvedMention">
    <w:name w:val="Unresolved Mention"/>
    <w:basedOn w:val="DefaultParagraphFont"/>
    <w:uiPriority w:val="99"/>
    <w:semiHidden/>
    <w:unhideWhenUsed/>
    <w:rsid w:val="002E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637">
      <w:bodyDiv w:val="1"/>
      <w:marLeft w:val="0"/>
      <w:marRight w:val="0"/>
      <w:marTop w:val="0"/>
      <w:marBottom w:val="0"/>
      <w:divBdr>
        <w:top w:val="none" w:sz="0" w:space="0" w:color="auto"/>
        <w:left w:val="none" w:sz="0" w:space="0" w:color="auto"/>
        <w:bottom w:val="none" w:sz="0" w:space="0" w:color="auto"/>
        <w:right w:val="none" w:sz="0" w:space="0" w:color="auto"/>
      </w:divBdr>
    </w:div>
    <w:div w:id="193080868">
      <w:bodyDiv w:val="1"/>
      <w:marLeft w:val="0"/>
      <w:marRight w:val="0"/>
      <w:marTop w:val="0"/>
      <w:marBottom w:val="0"/>
      <w:divBdr>
        <w:top w:val="none" w:sz="0" w:space="0" w:color="auto"/>
        <w:left w:val="none" w:sz="0" w:space="0" w:color="auto"/>
        <w:bottom w:val="none" w:sz="0" w:space="0" w:color="auto"/>
        <w:right w:val="none" w:sz="0" w:space="0" w:color="auto"/>
      </w:divBdr>
    </w:div>
    <w:div w:id="193544479">
      <w:bodyDiv w:val="1"/>
      <w:marLeft w:val="0"/>
      <w:marRight w:val="0"/>
      <w:marTop w:val="0"/>
      <w:marBottom w:val="0"/>
      <w:divBdr>
        <w:top w:val="none" w:sz="0" w:space="0" w:color="auto"/>
        <w:left w:val="none" w:sz="0" w:space="0" w:color="auto"/>
        <w:bottom w:val="none" w:sz="0" w:space="0" w:color="auto"/>
        <w:right w:val="none" w:sz="0" w:space="0" w:color="auto"/>
      </w:divBdr>
    </w:div>
    <w:div w:id="298725828">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458836683">
      <w:bodyDiv w:val="1"/>
      <w:marLeft w:val="0"/>
      <w:marRight w:val="0"/>
      <w:marTop w:val="0"/>
      <w:marBottom w:val="0"/>
      <w:divBdr>
        <w:top w:val="none" w:sz="0" w:space="0" w:color="auto"/>
        <w:left w:val="none" w:sz="0" w:space="0" w:color="auto"/>
        <w:bottom w:val="none" w:sz="0" w:space="0" w:color="auto"/>
        <w:right w:val="none" w:sz="0" w:space="0" w:color="auto"/>
      </w:divBdr>
    </w:div>
    <w:div w:id="563368434">
      <w:bodyDiv w:val="1"/>
      <w:marLeft w:val="0"/>
      <w:marRight w:val="0"/>
      <w:marTop w:val="0"/>
      <w:marBottom w:val="0"/>
      <w:divBdr>
        <w:top w:val="none" w:sz="0" w:space="0" w:color="auto"/>
        <w:left w:val="none" w:sz="0" w:space="0" w:color="auto"/>
        <w:bottom w:val="none" w:sz="0" w:space="0" w:color="auto"/>
        <w:right w:val="none" w:sz="0" w:space="0" w:color="auto"/>
      </w:divBdr>
    </w:div>
    <w:div w:id="599215625">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96029520">
      <w:bodyDiv w:val="1"/>
      <w:marLeft w:val="0"/>
      <w:marRight w:val="0"/>
      <w:marTop w:val="0"/>
      <w:marBottom w:val="0"/>
      <w:divBdr>
        <w:top w:val="none" w:sz="0" w:space="0" w:color="auto"/>
        <w:left w:val="none" w:sz="0" w:space="0" w:color="auto"/>
        <w:bottom w:val="none" w:sz="0" w:space="0" w:color="auto"/>
        <w:right w:val="none" w:sz="0" w:space="0" w:color="auto"/>
      </w:divBdr>
    </w:div>
    <w:div w:id="1003360684">
      <w:bodyDiv w:val="1"/>
      <w:marLeft w:val="0"/>
      <w:marRight w:val="0"/>
      <w:marTop w:val="0"/>
      <w:marBottom w:val="0"/>
      <w:divBdr>
        <w:top w:val="none" w:sz="0" w:space="0" w:color="auto"/>
        <w:left w:val="none" w:sz="0" w:space="0" w:color="auto"/>
        <w:bottom w:val="none" w:sz="0" w:space="0" w:color="auto"/>
        <w:right w:val="none" w:sz="0" w:space="0" w:color="auto"/>
      </w:divBdr>
    </w:div>
    <w:div w:id="1059674635">
      <w:bodyDiv w:val="1"/>
      <w:marLeft w:val="0"/>
      <w:marRight w:val="0"/>
      <w:marTop w:val="0"/>
      <w:marBottom w:val="0"/>
      <w:divBdr>
        <w:top w:val="none" w:sz="0" w:space="0" w:color="auto"/>
        <w:left w:val="none" w:sz="0" w:space="0" w:color="auto"/>
        <w:bottom w:val="none" w:sz="0" w:space="0" w:color="auto"/>
        <w:right w:val="none" w:sz="0" w:space="0" w:color="auto"/>
      </w:divBdr>
    </w:div>
    <w:div w:id="1120412221">
      <w:bodyDiv w:val="1"/>
      <w:marLeft w:val="0"/>
      <w:marRight w:val="0"/>
      <w:marTop w:val="0"/>
      <w:marBottom w:val="0"/>
      <w:divBdr>
        <w:top w:val="none" w:sz="0" w:space="0" w:color="auto"/>
        <w:left w:val="none" w:sz="0" w:space="0" w:color="auto"/>
        <w:bottom w:val="none" w:sz="0" w:space="0" w:color="auto"/>
        <w:right w:val="none" w:sz="0" w:space="0" w:color="auto"/>
      </w:divBdr>
    </w:div>
    <w:div w:id="1145777296">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11959652">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6620292">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579556877">
      <w:bodyDiv w:val="1"/>
      <w:marLeft w:val="0"/>
      <w:marRight w:val="0"/>
      <w:marTop w:val="0"/>
      <w:marBottom w:val="0"/>
      <w:divBdr>
        <w:top w:val="none" w:sz="0" w:space="0" w:color="auto"/>
        <w:left w:val="none" w:sz="0" w:space="0" w:color="auto"/>
        <w:bottom w:val="none" w:sz="0" w:space="0" w:color="auto"/>
        <w:right w:val="none" w:sz="0" w:space="0" w:color="auto"/>
      </w:divBdr>
    </w:div>
    <w:div w:id="1713991064">
      <w:bodyDiv w:val="1"/>
      <w:marLeft w:val="0"/>
      <w:marRight w:val="0"/>
      <w:marTop w:val="0"/>
      <w:marBottom w:val="0"/>
      <w:divBdr>
        <w:top w:val="none" w:sz="0" w:space="0" w:color="auto"/>
        <w:left w:val="none" w:sz="0" w:space="0" w:color="auto"/>
        <w:bottom w:val="none" w:sz="0" w:space="0" w:color="auto"/>
        <w:right w:val="none" w:sz="0" w:space="0" w:color="auto"/>
      </w:divBdr>
    </w:div>
    <w:div w:id="1826623623">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79796269">
      <w:bodyDiv w:val="1"/>
      <w:marLeft w:val="0"/>
      <w:marRight w:val="0"/>
      <w:marTop w:val="0"/>
      <w:marBottom w:val="0"/>
      <w:divBdr>
        <w:top w:val="none" w:sz="0" w:space="0" w:color="auto"/>
        <w:left w:val="none" w:sz="0" w:space="0" w:color="auto"/>
        <w:bottom w:val="none" w:sz="0" w:space="0" w:color="auto"/>
        <w:right w:val="none" w:sz="0" w:space="0" w:color="auto"/>
      </w:divBdr>
      <w:divsChild>
        <w:div w:id="1206211085">
          <w:marLeft w:val="300"/>
          <w:marRight w:val="0"/>
          <w:marTop w:val="0"/>
          <w:marBottom w:val="0"/>
          <w:divBdr>
            <w:top w:val="none" w:sz="0" w:space="0" w:color="auto"/>
            <w:left w:val="none" w:sz="0" w:space="0" w:color="auto"/>
            <w:bottom w:val="none" w:sz="0" w:space="0" w:color="auto"/>
            <w:right w:val="none" w:sz="0" w:space="0" w:color="auto"/>
          </w:divBdr>
        </w:div>
        <w:div w:id="1438138802">
          <w:marLeft w:val="75"/>
          <w:marRight w:val="75"/>
          <w:marTop w:val="75"/>
          <w:marBottom w:val="75"/>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1447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295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text=&amp;docid=173121&amp;pageIndex=0&amp;doclang=LV&amp;mode=req&amp;dir=&amp;occ=first&amp;part=1&amp;cid=27140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187342&amp;pageIndex=0&amp;doclang=LV&amp;mode=req&amp;dir=&amp;occ=first&amp;part=1&amp;cid=27140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49833" TargetMode="External"/><Relationship Id="rId4" Type="http://schemas.openxmlformats.org/officeDocument/2006/relationships/settings" Target="settings.xml"/><Relationship Id="rId9" Type="http://schemas.openxmlformats.org/officeDocument/2006/relationships/hyperlink" Target="https://curia.europa.eu/juris/document/document.jsf?text=&amp;docid=245521&amp;pageIndex=0&amp;doclang=LV&amp;mode=req&amp;dir=&amp;occ=first&amp;part=1&amp;cid=27140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1C7A-5D1F-4455-82BA-28BE9F6A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7242</Words>
  <Characters>41285</Characters>
  <Application>Microsoft Office Word</Application>
  <DocSecurity>0</DocSecurity>
  <Lines>344</Lines>
  <Paragraphs>96</Paragraphs>
  <ScaleCrop>false</ScaleCrop>
  <Company/>
  <LinksUpToDate>false</LinksUpToDate>
  <CharactersWithSpaces>48431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2023-09-26T13:19:00Z</dcterms:created>
  <dcterms:modified xsi:type="dcterms:W3CDTF">2023-09-26T13:19:00Z</dcterms:modified>
</cp:coreProperties>
</file>