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8111" w14:textId="643751A0" w:rsidR="001F378C" w:rsidRDefault="0032179A" w:rsidP="0032179A">
      <w:pPr>
        <w:spacing w:after="0" w:line="276" w:lineRule="auto"/>
        <w:jc w:val="both"/>
        <w:rPr>
          <w:rFonts w:eastAsia="Calibri" w:cs="Times New Roman"/>
          <w:b/>
          <w:bCs/>
        </w:rPr>
      </w:pPr>
      <w:r w:rsidRPr="00941A26">
        <w:rPr>
          <w:rFonts w:eastAsia="Calibri" w:cs="Times New Roman"/>
          <w:b/>
          <w:bCs/>
        </w:rPr>
        <w:t>Savstarpēji izslēdzošu pierādījumu – notariālā akta un zvērināta notāra tiesas sēdē sniegtās liecības – pienācīga novērtēšana situācijā, kad to avots ir viena</w:t>
      </w:r>
      <w:r>
        <w:rPr>
          <w:rFonts w:eastAsia="Calibri" w:cs="Times New Roman"/>
          <w:b/>
          <w:bCs/>
        </w:rPr>
        <w:t xml:space="preserve"> persona</w:t>
      </w:r>
    </w:p>
    <w:p w14:paraId="65ACC38E" w14:textId="77777777" w:rsidR="0032179A" w:rsidRPr="00A960DE" w:rsidRDefault="0032179A" w:rsidP="0032179A">
      <w:pPr>
        <w:spacing w:after="0" w:line="276" w:lineRule="auto"/>
        <w:ind w:right="-1"/>
        <w:jc w:val="both"/>
        <w:rPr>
          <w:rFonts w:eastAsia="Times New Roman" w:cs="Times New Roman"/>
          <w:szCs w:val="24"/>
          <w:lang w:eastAsia="lv-LV"/>
        </w:rPr>
      </w:pPr>
    </w:p>
    <w:p w14:paraId="1BF8341B" w14:textId="1437DE24" w:rsidR="001F378C" w:rsidRPr="00A960DE" w:rsidRDefault="001F378C" w:rsidP="00A960DE">
      <w:pPr>
        <w:spacing w:after="0" w:line="276" w:lineRule="auto"/>
        <w:ind w:right="2"/>
        <w:jc w:val="center"/>
        <w:rPr>
          <w:rFonts w:eastAsia="Times New Roman" w:cs="Times New Roman"/>
          <w:b/>
          <w:szCs w:val="24"/>
          <w:lang w:eastAsia="lv-LV"/>
        </w:rPr>
      </w:pPr>
      <w:r w:rsidRPr="00A960DE">
        <w:rPr>
          <w:rFonts w:eastAsia="Times New Roman" w:cs="Times New Roman"/>
          <w:b/>
          <w:szCs w:val="24"/>
          <w:lang w:eastAsia="lv-LV"/>
        </w:rPr>
        <w:t>Latvijas Republikas Senāt</w:t>
      </w:r>
      <w:r w:rsidR="00A960DE" w:rsidRPr="00A960DE">
        <w:rPr>
          <w:rFonts w:eastAsia="Times New Roman" w:cs="Times New Roman"/>
          <w:b/>
          <w:szCs w:val="24"/>
          <w:lang w:eastAsia="lv-LV"/>
        </w:rPr>
        <w:t>a</w:t>
      </w:r>
    </w:p>
    <w:p w14:paraId="5FDA4CD6" w14:textId="7C12862B" w:rsidR="00A960DE" w:rsidRPr="00A960DE" w:rsidRDefault="00A960DE" w:rsidP="00A960DE">
      <w:pPr>
        <w:spacing w:after="0" w:line="276" w:lineRule="auto"/>
        <w:ind w:right="2"/>
        <w:jc w:val="center"/>
        <w:rPr>
          <w:rFonts w:eastAsia="Times New Roman" w:cs="Times New Roman"/>
          <w:b/>
          <w:szCs w:val="24"/>
          <w:lang w:eastAsia="lv-LV"/>
        </w:rPr>
      </w:pPr>
      <w:r w:rsidRPr="00A960DE">
        <w:rPr>
          <w:rFonts w:eastAsia="Times New Roman" w:cs="Times New Roman"/>
          <w:b/>
          <w:szCs w:val="24"/>
          <w:lang w:eastAsia="lv-LV"/>
        </w:rPr>
        <w:t>Civillietu departamenta</w:t>
      </w:r>
    </w:p>
    <w:p w14:paraId="65845316" w14:textId="2D909B85" w:rsidR="00A960DE" w:rsidRPr="00A960DE" w:rsidRDefault="00A960DE" w:rsidP="00A960DE">
      <w:pPr>
        <w:spacing w:after="0" w:line="276" w:lineRule="auto"/>
        <w:ind w:right="2"/>
        <w:jc w:val="center"/>
        <w:rPr>
          <w:rFonts w:eastAsia="Times New Roman" w:cs="Times New Roman"/>
          <w:b/>
          <w:szCs w:val="24"/>
          <w:lang w:eastAsia="lv-LV"/>
        </w:rPr>
      </w:pPr>
      <w:r w:rsidRPr="00A960DE">
        <w:rPr>
          <w:rFonts w:eastAsia="Times New Roman" w:cs="Times New Roman"/>
          <w:b/>
          <w:szCs w:val="24"/>
          <w:lang w:eastAsia="lv-LV"/>
        </w:rPr>
        <w:t>2023. gada 25. septembra</w:t>
      </w:r>
    </w:p>
    <w:p w14:paraId="1BF3BBDD" w14:textId="77777777" w:rsidR="001F378C" w:rsidRPr="00A960DE" w:rsidRDefault="001F378C" w:rsidP="00A960DE">
      <w:pPr>
        <w:spacing w:after="0" w:line="276" w:lineRule="auto"/>
        <w:ind w:right="2"/>
        <w:jc w:val="center"/>
        <w:rPr>
          <w:rFonts w:eastAsia="Times New Roman" w:cs="Times New Roman"/>
          <w:b/>
          <w:szCs w:val="24"/>
          <w:lang w:eastAsia="lv-LV"/>
        </w:rPr>
      </w:pPr>
      <w:r w:rsidRPr="00A960DE">
        <w:rPr>
          <w:rFonts w:eastAsia="Times New Roman" w:cs="Times New Roman"/>
          <w:b/>
          <w:szCs w:val="24"/>
          <w:lang w:eastAsia="lv-LV"/>
        </w:rPr>
        <w:t>SPRIEDUMS</w:t>
      </w:r>
    </w:p>
    <w:p w14:paraId="22C08FDA" w14:textId="77777777" w:rsidR="00A960DE" w:rsidRPr="00A960DE" w:rsidRDefault="00A960DE" w:rsidP="00A960DE">
      <w:pPr>
        <w:spacing w:after="0" w:line="276" w:lineRule="auto"/>
        <w:ind w:right="-1"/>
        <w:jc w:val="center"/>
        <w:rPr>
          <w:rFonts w:eastAsia="Times New Roman" w:cs="Times New Roman"/>
          <w:b/>
          <w:szCs w:val="24"/>
          <w:lang w:eastAsia="lv-LV"/>
        </w:rPr>
      </w:pPr>
      <w:r w:rsidRPr="00A960DE">
        <w:rPr>
          <w:rFonts w:eastAsia="Times New Roman" w:cs="Times New Roman"/>
          <w:b/>
          <w:szCs w:val="24"/>
          <w:lang w:eastAsia="lv-LV"/>
        </w:rPr>
        <w:t>Lieta Nr. C33548318, SKC-35/2023</w:t>
      </w:r>
    </w:p>
    <w:p w14:paraId="5CFF66A2" w14:textId="0D621963" w:rsidR="00A960DE" w:rsidRPr="00A960DE" w:rsidRDefault="0032179A" w:rsidP="00A960DE">
      <w:pPr>
        <w:spacing w:after="0" w:line="276" w:lineRule="auto"/>
        <w:ind w:right="-1"/>
        <w:jc w:val="center"/>
        <w:rPr>
          <w:rFonts w:eastAsia="Times New Roman" w:cs="Times New Roman"/>
          <w:b/>
          <w:szCs w:val="24"/>
          <w:lang w:eastAsia="lv-LV"/>
        </w:rPr>
      </w:pPr>
      <w:hyperlink r:id="rId8" w:history="1">
        <w:r w:rsidR="00A960DE" w:rsidRPr="00A960DE">
          <w:rPr>
            <w:rStyle w:val="Hyperlink"/>
            <w:rFonts w:eastAsiaTheme="majorEastAsia" w:cs="Times New Roman"/>
            <w:szCs w:val="24"/>
            <w:shd w:val="clear" w:color="auto" w:fill="FFFFFF"/>
          </w:rPr>
          <w:t>ECLI:LV:AT:2023:0925.C33548318.9.S</w:t>
        </w:r>
      </w:hyperlink>
    </w:p>
    <w:p w14:paraId="04649BFB" w14:textId="77777777" w:rsidR="00A960DE" w:rsidRPr="00A960DE" w:rsidRDefault="00A960DE" w:rsidP="00A960DE">
      <w:pPr>
        <w:spacing w:after="0" w:line="276" w:lineRule="auto"/>
        <w:ind w:right="2"/>
        <w:jc w:val="center"/>
        <w:rPr>
          <w:rFonts w:eastAsia="Times New Roman" w:cs="Times New Roman"/>
          <w:b/>
          <w:szCs w:val="24"/>
          <w:lang w:eastAsia="lv-LV"/>
        </w:rPr>
      </w:pPr>
    </w:p>
    <w:p w14:paraId="00B69546" w14:textId="705C2F06" w:rsidR="00C97B1B" w:rsidRPr="00A960DE" w:rsidRDefault="001F378C" w:rsidP="00A960DE">
      <w:pPr>
        <w:spacing w:after="0" w:line="276" w:lineRule="auto"/>
        <w:ind w:right="-1" w:firstLine="720"/>
        <w:jc w:val="both"/>
        <w:rPr>
          <w:rFonts w:eastAsia="Times New Roman" w:cs="Times New Roman"/>
          <w:szCs w:val="24"/>
          <w:lang w:eastAsia="lv-LV"/>
        </w:rPr>
      </w:pPr>
      <w:r w:rsidRPr="00A960DE">
        <w:rPr>
          <w:rFonts w:eastAsia="Times New Roman" w:cs="Times New Roman"/>
          <w:szCs w:val="24"/>
          <w:lang w:eastAsia="lv-LV"/>
        </w:rPr>
        <w:t>Senāts šādā sastāvā:</w:t>
      </w:r>
      <w:bookmarkStart w:id="0" w:name="_Hlk71812598"/>
      <w:r w:rsidR="00E81804" w:rsidRPr="00A960DE">
        <w:rPr>
          <w:rFonts w:eastAsia="Times New Roman" w:cs="Times New Roman"/>
          <w:szCs w:val="24"/>
          <w:lang w:eastAsia="lv-LV"/>
        </w:rPr>
        <w:t xml:space="preserve"> </w:t>
      </w:r>
      <w:r w:rsidRPr="00A960DE">
        <w:rPr>
          <w:rFonts w:eastAsia="Times New Roman" w:cs="Times New Roman"/>
          <w:szCs w:val="24"/>
          <w:lang w:eastAsia="lv-LV"/>
        </w:rPr>
        <w:t>senators referents Intars Bisters</w:t>
      </w:r>
      <w:r w:rsidR="00E81804" w:rsidRPr="00A960DE">
        <w:rPr>
          <w:rFonts w:eastAsia="Times New Roman" w:cs="Times New Roman"/>
          <w:szCs w:val="24"/>
          <w:lang w:eastAsia="lv-LV"/>
        </w:rPr>
        <w:t>, senator</w:t>
      </w:r>
      <w:r w:rsidR="00C97B1B" w:rsidRPr="00A960DE">
        <w:rPr>
          <w:rFonts w:eastAsia="Times New Roman" w:cs="Times New Roman"/>
          <w:szCs w:val="24"/>
          <w:lang w:eastAsia="lv-LV"/>
        </w:rPr>
        <w:t xml:space="preserve">es </w:t>
      </w:r>
      <w:bookmarkEnd w:id="0"/>
      <w:r w:rsidR="00F04A65" w:rsidRPr="00A960DE">
        <w:rPr>
          <w:rFonts w:eastAsia="Times New Roman" w:cs="Times New Roman"/>
          <w:szCs w:val="24"/>
          <w:lang w:eastAsia="lv-LV"/>
        </w:rPr>
        <w:t xml:space="preserve">Dzintra Balta un </w:t>
      </w:r>
      <w:r w:rsidR="00C97B1B" w:rsidRPr="00A960DE">
        <w:rPr>
          <w:rFonts w:eastAsia="Times New Roman" w:cs="Times New Roman"/>
          <w:szCs w:val="24"/>
          <w:lang w:eastAsia="lv-LV"/>
        </w:rPr>
        <w:t xml:space="preserve">Ināra Garda </w:t>
      </w:r>
    </w:p>
    <w:p w14:paraId="6B87F266" w14:textId="77777777" w:rsidR="00C97B1B" w:rsidRPr="00A960DE" w:rsidRDefault="00C97B1B" w:rsidP="00D02F3C">
      <w:pPr>
        <w:spacing w:after="0" w:line="276" w:lineRule="auto"/>
        <w:ind w:right="-1"/>
        <w:jc w:val="both"/>
        <w:rPr>
          <w:rFonts w:eastAsia="Times New Roman" w:cs="Times New Roman"/>
          <w:szCs w:val="24"/>
          <w:lang w:eastAsia="lv-LV"/>
        </w:rPr>
      </w:pPr>
    </w:p>
    <w:p w14:paraId="0BF5D749" w14:textId="30671F5D" w:rsidR="00CF2063" w:rsidRPr="00A960DE" w:rsidRDefault="001F378C" w:rsidP="00A960DE">
      <w:pPr>
        <w:spacing w:after="0" w:line="276" w:lineRule="auto"/>
        <w:ind w:right="-1" w:firstLine="720"/>
        <w:jc w:val="both"/>
        <w:rPr>
          <w:rFonts w:cs="Times New Roman"/>
          <w:szCs w:val="24"/>
        </w:rPr>
      </w:pPr>
      <w:r w:rsidRPr="00A960DE">
        <w:rPr>
          <w:rFonts w:cs="Times New Roman"/>
          <w:szCs w:val="24"/>
        </w:rPr>
        <w:t xml:space="preserve">izskatīja rakstveida procesā </w:t>
      </w:r>
      <w:r w:rsidR="009A1B00" w:rsidRPr="00A960DE">
        <w:rPr>
          <w:rFonts w:cs="Times New Roman"/>
          <w:szCs w:val="24"/>
        </w:rPr>
        <w:t xml:space="preserve">civillietu sakarā ar </w:t>
      </w:r>
      <w:r w:rsidR="00A960DE">
        <w:rPr>
          <w:rFonts w:cs="Times New Roman"/>
          <w:szCs w:val="24"/>
        </w:rPr>
        <w:t xml:space="preserve">[pers. A] </w:t>
      </w:r>
      <w:r w:rsidR="00A3473F" w:rsidRPr="00A960DE">
        <w:rPr>
          <w:rFonts w:cs="Times New Roman"/>
          <w:szCs w:val="24"/>
        </w:rPr>
        <w:t xml:space="preserve">kasācijas sūdzību par Rīgas apgabaltiesas </w:t>
      </w:r>
      <w:r w:rsidR="00C97B1B" w:rsidRPr="00A960DE">
        <w:rPr>
          <w:rFonts w:cs="Times New Roman"/>
          <w:szCs w:val="24"/>
        </w:rPr>
        <w:t>2021. gada 31. marta</w:t>
      </w:r>
      <w:r w:rsidR="00A3473F" w:rsidRPr="00A960DE">
        <w:rPr>
          <w:rFonts w:cs="Times New Roman"/>
          <w:szCs w:val="24"/>
        </w:rPr>
        <w:t xml:space="preserve"> spriedumu </w:t>
      </w:r>
      <w:r w:rsidR="00A960DE">
        <w:rPr>
          <w:rFonts w:cs="Times New Roman"/>
          <w:szCs w:val="24"/>
        </w:rPr>
        <w:t>[pers. A]</w:t>
      </w:r>
      <w:r w:rsidR="00C97B1B" w:rsidRPr="00A960DE">
        <w:rPr>
          <w:rFonts w:cs="Times New Roman"/>
          <w:szCs w:val="24"/>
        </w:rPr>
        <w:t xml:space="preserve"> prasībā pret </w:t>
      </w:r>
      <w:r w:rsidR="00A960DE">
        <w:rPr>
          <w:rFonts w:cs="Times New Roman"/>
          <w:szCs w:val="24"/>
        </w:rPr>
        <w:t>[pers. B]</w:t>
      </w:r>
      <w:r w:rsidR="00C97B1B" w:rsidRPr="00A960DE">
        <w:rPr>
          <w:rFonts w:cs="Times New Roman"/>
          <w:szCs w:val="24"/>
        </w:rPr>
        <w:t xml:space="preserve"> par </w:t>
      </w:r>
      <w:r w:rsidR="0078515D" w:rsidRPr="00A960DE">
        <w:rPr>
          <w:rFonts w:cs="Times New Roman"/>
          <w:szCs w:val="24"/>
        </w:rPr>
        <w:t>mantojuma tiesību atzīšanu</w:t>
      </w:r>
      <w:r w:rsidR="00FA2209" w:rsidRPr="00A960DE">
        <w:rPr>
          <w:rFonts w:cs="Times New Roman"/>
          <w:szCs w:val="24"/>
        </w:rPr>
        <w:t>.</w:t>
      </w:r>
    </w:p>
    <w:p w14:paraId="34FD7FDB" w14:textId="77777777" w:rsidR="00035113" w:rsidRPr="00A960DE" w:rsidRDefault="00035113" w:rsidP="00A960DE">
      <w:pPr>
        <w:spacing w:after="0" w:line="276" w:lineRule="auto"/>
        <w:ind w:right="-1" w:firstLine="720"/>
        <w:jc w:val="both"/>
        <w:rPr>
          <w:rFonts w:cs="Times New Roman"/>
          <w:szCs w:val="24"/>
        </w:rPr>
      </w:pPr>
    </w:p>
    <w:p w14:paraId="2ED7BDEE" w14:textId="7B1C1232" w:rsidR="001F378C" w:rsidRPr="00A960DE" w:rsidRDefault="001F378C" w:rsidP="00A960DE">
      <w:pPr>
        <w:spacing w:after="0" w:line="276" w:lineRule="auto"/>
        <w:ind w:right="-1"/>
        <w:jc w:val="center"/>
        <w:rPr>
          <w:rFonts w:eastAsia="Times New Roman" w:cs="Times New Roman"/>
          <w:b/>
          <w:szCs w:val="24"/>
          <w:lang w:eastAsia="lv-LV"/>
        </w:rPr>
      </w:pPr>
      <w:r w:rsidRPr="00A960DE">
        <w:rPr>
          <w:rFonts w:eastAsia="Times New Roman" w:cs="Times New Roman"/>
          <w:b/>
          <w:szCs w:val="24"/>
          <w:lang w:eastAsia="lv-LV"/>
        </w:rPr>
        <w:t>Aprakstošā daļa</w:t>
      </w:r>
    </w:p>
    <w:p w14:paraId="259E2369" w14:textId="77777777" w:rsidR="001F378C" w:rsidRPr="00A960DE" w:rsidRDefault="001F378C" w:rsidP="00A960DE">
      <w:pPr>
        <w:spacing w:after="0" w:line="276" w:lineRule="auto"/>
        <w:ind w:right="-1"/>
        <w:jc w:val="center"/>
        <w:rPr>
          <w:rFonts w:eastAsia="Times New Roman" w:cs="Times New Roman"/>
          <w:b/>
          <w:szCs w:val="24"/>
          <w:lang w:eastAsia="lv-LV"/>
        </w:rPr>
      </w:pPr>
    </w:p>
    <w:p w14:paraId="157C84DF" w14:textId="290B37BE" w:rsidR="00E174D6" w:rsidRPr="00A960DE" w:rsidRDefault="00CB23A5" w:rsidP="00A960DE">
      <w:pPr>
        <w:spacing w:after="0" w:line="276" w:lineRule="auto"/>
        <w:ind w:firstLine="567"/>
        <w:jc w:val="both"/>
        <w:rPr>
          <w:rFonts w:cs="Times New Roman"/>
          <w:szCs w:val="24"/>
        </w:rPr>
      </w:pPr>
      <w:r w:rsidRPr="00A960DE">
        <w:rPr>
          <w:rFonts w:cs="Times New Roman"/>
          <w:szCs w:val="24"/>
        </w:rPr>
        <w:t>[1] </w:t>
      </w:r>
      <w:r w:rsidR="00A960DE">
        <w:rPr>
          <w:rFonts w:cs="Times New Roman"/>
          <w:szCs w:val="24"/>
        </w:rPr>
        <w:t>[Pers. A]</w:t>
      </w:r>
      <w:r w:rsidR="00E174D6" w:rsidRPr="00A960DE">
        <w:rPr>
          <w:rFonts w:cs="Times New Roman"/>
          <w:szCs w:val="24"/>
        </w:rPr>
        <w:t xml:space="preserve"> tiesā cēla mantojuma prasību pret </w:t>
      </w:r>
      <w:r w:rsidR="00A960DE">
        <w:rPr>
          <w:rFonts w:cs="Times New Roman"/>
          <w:szCs w:val="24"/>
        </w:rPr>
        <w:t>[pers. B]</w:t>
      </w:r>
      <w:r w:rsidR="00E174D6" w:rsidRPr="00A960DE">
        <w:rPr>
          <w:rFonts w:cs="Times New Roman"/>
          <w:szCs w:val="24"/>
        </w:rPr>
        <w:t>, lūdzot tiesu:</w:t>
      </w:r>
    </w:p>
    <w:p w14:paraId="2C59A81B" w14:textId="44EB0E70" w:rsidR="00E174D6" w:rsidRPr="00A960DE" w:rsidRDefault="00E174D6" w:rsidP="00A960DE">
      <w:pPr>
        <w:spacing w:after="0" w:line="276" w:lineRule="auto"/>
        <w:ind w:firstLine="567"/>
        <w:jc w:val="both"/>
        <w:rPr>
          <w:rFonts w:cs="Times New Roman"/>
          <w:szCs w:val="24"/>
        </w:rPr>
      </w:pPr>
      <w:r w:rsidRPr="00A960DE">
        <w:rPr>
          <w:rFonts w:cs="Times New Roman"/>
          <w:szCs w:val="24"/>
        </w:rPr>
        <w:t xml:space="preserve">- atzīt, ka prasītāja ir pieņēmusi mātes </w:t>
      </w:r>
      <w:r w:rsidR="00A960DE">
        <w:rPr>
          <w:rFonts w:cs="Times New Roman"/>
          <w:szCs w:val="24"/>
        </w:rPr>
        <w:t>[pers. C]</w:t>
      </w:r>
      <w:r w:rsidRPr="00A960DE">
        <w:rPr>
          <w:rFonts w:cs="Times New Roman"/>
          <w:szCs w:val="24"/>
        </w:rPr>
        <w:t xml:space="preserve"> </w:t>
      </w:r>
      <w:r w:rsidR="00A960DE">
        <w:rPr>
          <w:rFonts w:cs="Times New Roman"/>
          <w:szCs w:val="24"/>
        </w:rPr>
        <w:t>[..]</w:t>
      </w:r>
      <w:r w:rsidRPr="00A960DE">
        <w:rPr>
          <w:rFonts w:cs="Times New Roman"/>
          <w:szCs w:val="24"/>
        </w:rPr>
        <w:t xml:space="preserve"> atklājušos mantojumu;</w:t>
      </w:r>
    </w:p>
    <w:p w14:paraId="20058DD9" w14:textId="2C8A83BE" w:rsidR="00E174D6" w:rsidRPr="00A960DE" w:rsidRDefault="00E174D6" w:rsidP="00A960DE">
      <w:pPr>
        <w:spacing w:after="0" w:line="276" w:lineRule="auto"/>
        <w:ind w:firstLine="567"/>
        <w:jc w:val="both"/>
        <w:rPr>
          <w:rFonts w:cs="Times New Roman"/>
          <w:szCs w:val="24"/>
        </w:rPr>
      </w:pPr>
      <w:r w:rsidRPr="00A960DE">
        <w:rPr>
          <w:rFonts w:cs="Times New Roman"/>
          <w:szCs w:val="24"/>
        </w:rPr>
        <w:t xml:space="preserve">- atzīt par spēkā neesošu </w:t>
      </w:r>
      <w:r w:rsidR="00DC55D2">
        <w:rPr>
          <w:rFonts w:cs="Times New Roman"/>
          <w:szCs w:val="24"/>
        </w:rPr>
        <w:t>[..]</w:t>
      </w:r>
      <w:r w:rsidR="00CB23A5" w:rsidRPr="00A960DE">
        <w:rPr>
          <w:rFonts w:cs="Times New Roman"/>
          <w:szCs w:val="24"/>
        </w:rPr>
        <w:t xml:space="preserve"> mantojuma apliecību, ar kuru par vienīgo mantinieci </w:t>
      </w:r>
      <w:r w:rsidR="001D3FEF" w:rsidRPr="00A960DE">
        <w:rPr>
          <w:rFonts w:cs="Times New Roman"/>
          <w:szCs w:val="24"/>
        </w:rPr>
        <w:t>iecelta</w:t>
      </w:r>
      <w:r w:rsidR="00CB23A5" w:rsidRPr="00A960DE">
        <w:rPr>
          <w:rFonts w:cs="Times New Roman"/>
          <w:szCs w:val="24"/>
        </w:rPr>
        <w:t xml:space="preserve"> </w:t>
      </w:r>
      <w:r w:rsidR="00A960DE">
        <w:rPr>
          <w:rFonts w:cs="Times New Roman"/>
          <w:szCs w:val="24"/>
        </w:rPr>
        <w:t>[pers. B]</w:t>
      </w:r>
      <w:r w:rsidR="00CB23A5" w:rsidRPr="00A960DE">
        <w:rPr>
          <w:rFonts w:cs="Times New Roman"/>
          <w:szCs w:val="24"/>
        </w:rPr>
        <w:t>;</w:t>
      </w:r>
    </w:p>
    <w:p w14:paraId="627009BC" w14:textId="6B80396C" w:rsidR="00CB23A5" w:rsidRPr="00A960DE" w:rsidRDefault="00CB23A5" w:rsidP="00A960DE">
      <w:pPr>
        <w:spacing w:after="0" w:line="276" w:lineRule="auto"/>
        <w:ind w:firstLine="567"/>
        <w:jc w:val="both"/>
        <w:rPr>
          <w:rFonts w:cs="Times New Roman"/>
          <w:szCs w:val="24"/>
        </w:rPr>
      </w:pPr>
      <w:r w:rsidRPr="00A960DE">
        <w:rPr>
          <w:rFonts w:cs="Times New Roman"/>
          <w:szCs w:val="24"/>
        </w:rPr>
        <w:t xml:space="preserve">- atzīt prasītāju par līdzmantinieci saskaņā ar </w:t>
      </w:r>
      <w:r w:rsidR="00A960DE">
        <w:rPr>
          <w:rFonts w:cs="Times New Roman"/>
          <w:szCs w:val="24"/>
        </w:rPr>
        <w:t xml:space="preserve">[pers. C] </w:t>
      </w:r>
      <w:r w:rsidRPr="00A960DE">
        <w:rPr>
          <w:rFonts w:cs="Times New Roman"/>
          <w:szCs w:val="24"/>
        </w:rPr>
        <w:t>2017.</w:t>
      </w:r>
      <w:r w:rsidR="00035113" w:rsidRPr="00A960DE">
        <w:rPr>
          <w:rFonts w:cs="Times New Roman"/>
          <w:szCs w:val="24"/>
        </w:rPr>
        <w:t> </w:t>
      </w:r>
      <w:r w:rsidRPr="00A960DE">
        <w:rPr>
          <w:rFonts w:cs="Times New Roman"/>
          <w:szCs w:val="24"/>
        </w:rPr>
        <w:t>gada 26.</w:t>
      </w:r>
      <w:r w:rsidR="00035113" w:rsidRPr="00A960DE">
        <w:rPr>
          <w:rFonts w:cs="Times New Roman"/>
          <w:szCs w:val="24"/>
        </w:rPr>
        <w:t> </w:t>
      </w:r>
      <w:r w:rsidRPr="00A960DE">
        <w:rPr>
          <w:rFonts w:cs="Times New Roman"/>
          <w:szCs w:val="24"/>
        </w:rPr>
        <w:t>oktobrī sastādīto testamentu.</w:t>
      </w:r>
    </w:p>
    <w:p w14:paraId="1AD475BA" w14:textId="319B3563" w:rsidR="00CB23A5" w:rsidRPr="00A960DE" w:rsidRDefault="00CB23A5" w:rsidP="00A960DE">
      <w:pPr>
        <w:spacing w:after="0" w:line="276" w:lineRule="auto"/>
        <w:ind w:firstLine="567"/>
        <w:jc w:val="both"/>
        <w:rPr>
          <w:rFonts w:cs="Times New Roman"/>
          <w:szCs w:val="24"/>
        </w:rPr>
      </w:pPr>
      <w:r w:rsidRPr="00A960DE">
        <w:rPr>
          <w:rFonts w:cs="Times New Roman"/>
          <w:szCs w:val="24"/>
        </w:rPr>
        <w:t>Prasība pamatota ar šādiem apstākļiem.</w:t>
      </w:r>
    </w:p>
    <w:p w14:paraId="23839A50" w14:textId="705DB3C9" w:rsidR="00522F0F" w:rsidRPr="00A960DE" w:rsidRDefault="001D1998" w:rsidP="00A960DE">
      <w:pPr>
        <w:spacing w:after="0" w:line="276" w:lineRule="auto"/>
        <w:ind w:firstLine="567"/>
        <w:jc w:val="both"/>
        <w:rPr>
          <w:rFonts w:cs="Times New Roman"/>
          <w:szCs w:val="24"/>
        </w:rPr>
      </w:pPr>
      <w:r w:rsidRPr="00A960DE">
        <w:rPr>
          <w:rFonts w:cs="Times New Roman"/>
          <w:szCs w:val="24"/>
        </w:rPr>
        <w:t>[1</w:t>
      </w:r>
      <w:r w:rsidR="00CB23A5" w:rsidRPr="00A960DE">
        <w:rPr>
          <w:rFonts w:cs="Times New Roman"/>
          <w:szCs w:val="24"/>
        </w:rPr>
        <w:t>.1</w:t>
      </w:r>
      <w:r w:rsidRPr="00A960DE">
        <w:rPr>
          <w:rFonts w:cs="Times New Roman"/>
          <w:szCs w:val="24"/>
        </w:rPr>
        <w:t>] </w:t>
      </w:r>
      <w:r w:rsidR="00522F0F" w:rsidRPr="00A960DE">
        <w:rPr>
          <w:rFonts w:cs="Times New Roman"/>
          <w:szCs w:val="24"/>
        </w:rPr>
        <w:t xml:space="preserve">Saskaņā ar </w:t>
      </w:r>
      <w:r w:rsidR="00A960DE">
        <w:rPr>
          <w:rFonts w:cs="Times New Roman"/>
          <w:szCs w:val="24"/>
        </w:rPr>
        <w:t xml:space="preserve">[pers. C] </w:t>
      </w:r>
      <w:r w:rsidR="00522F0F" w:rsidRPr="00A960DE">
        <w:rPr>
          <w:rFonts w:cs="Times New Roman"/>
          <w:szCs w:val="24"/>
        </w:rPr>
        <w:t>testamentu</w:t>
      </w:r>
      <w:r w:rsidR="00CB23A5" w:rsidRPr="00A960DE">
        <w:rPr>
          <w:rFonts w:cs="Times New Roman"/>
          <w:szCs w:val="24"/>
        </w:rPr>
        <w:t xml:space="preserve"> kā</w:t>
      </w:r>
      <w:r w:rsidR="00522F0F" w:rsidRPr="00A960DE">
        <w:rPr>
          <w:rFonts w:cs="Times New Roman"/>
          <w:szCs w:val="24"/>
        </w:rPr>
        <w:t xml:space="preserve"> testamentār</w:t>
      </w:r>
      <w:r w:rsidR="00CB23A5" w:rsidRPr="00A960DE">
        <w:rPr>
          <w:rFonts w:cs="Times New Roman"/>
          <w:szCs w:val="24"/>
        </w:rPr>
        <w:t>ās</w:t>
      </w:r>
      <w:r w:rsidR="00522F0F" w:rsidRPr="00A960DE">
        <w:rPr>
          <w:rFonts w:cs="Times New Roman"/>
          <w:szCs w:val="24"/>
        </w:rPr>
        <w:t xml:space="preserve"> mantiniec</w:t>
      </w:r>
      <w:r w:rsidR="00CB23A5" w:rsidRPr="00A960DE">
        <w:rPr>
          <w:rFonts w:cs="Times New Roman"/>
          <w:szCs w:val="24"/>
        </w:rPr>
        <w:t xml:space="preserve">es </w:t>
      </w:r>
      <w:r w:rsidR="00AB2598" w:rsidRPr="00A960DE">
        <w:rPr>
          <w:rFonts w:cs="Times New Roman"/>
          <w:szCs w:val="24"/>
        </w:rPr>
        <w:t>norādītas</w:t>
      </w:r>
      <w:r w:rsidR="00CB23A5" w:rsidRPr="00A960DE">
        <w:rPr>
          <w:rFonts w:cs="Times New Roman"/>
          <w:szCs w:val="24"/>
        </w:rPr>
        <w:t xml:space="preserve"> </w:t>
      </w:r>
      <w:r w:rsidR="00503CB7" w:rsidRPr="00A960DE">
        <w:rPr>
          <w:rFonts w:cs="Times New Roman"/>
          <w:szCs w:val="24"/>
        </w:rPr>
        <w:t>meita</w:t>
      </w:r>
      <w:r w:rsidR="00CB23A5" w:rsidRPr="00A960DE">
        <w:rPr>
          <w:rFonts w:cs="Times New Roman"/>
          <w:szCs w:val="24"/>
        </w:rPr>
        <w:t>s</w:t>
      </w:r>
      <w:r w:rsidR="00503CB7" w:rsidRPr="00A960DE">
        <w:rPr>
          <w:rFonts w:cs="Times New Roman"/>
          <w:szCs w:val="24"/>
        </w:rPr>
        <w:t xml:space="preserve"> </w:t>
      </w:r>
      <w:r w:rsidR="00035113" w:rsidRPr="00A960DE">
        <w:rPr>
          <w:rFonts w:cs="Times New Roman"/>
          <w:szCs w:val="24"/>
        </w:rPr>
        <w:t>–</w:t>
      </w:r>
      <w:r w:rsidR="00AB2598" w:rsidRPr="00A960DE">
        <w:rPr>
          <w:rFonts w:cs="Times New Roman"/>
          <w:szCs w:val="24"/>
        </w:rPr>
        <w:t xml:space="preserve"> </w:t>
      </w:r>
      <w:r w:rsidR="00A960DE">
        <w:rPr>
          <w:rFonts w:cs="Times New Roman"/>
          <w:szCs w:val="24"/>
        </w:rPr>
        <w:t>[pers. A]</w:t>
      </w:r>
      <w:r w:rsidR="00522F0F" w:rsidRPr="00A960DE">
        <w:rPr>
          <w:rFonts w:cs="Times New Roman"/>
          <w:szCs w:val="24"/>
        </w:rPr>
        <w:t xml:space="preserve"> un </w:t>
      </w:r>
      <w:r w:rsidR="00A960DE">
        <w:rPr>
          <w:rFonts w:cs="Times New Roman"/>
          <w:szCs w:val="24"/>
        </w:rPr>
        <w:t>[pers. B]</w:t>
      </w:r>
      <w:r w:rsidR="00522F0F" w:rsidRPr="00A960DE">
        <w:rPr>
          <w:rFonts w:cs="Times New Roman"/>
          <w:szCs w:val="24"/>
        </w:rPr>
        <w:t xml:space="preserve">. </w:t>
      </w:r>
    </w:p>
    <w:p w14:paraId="064F5A41" w14:textId="015317DD" w:rsidR="00A46308" w:rsidRPr="00A960DE" w:rsidRDefault="00AB2598" w:rsidP="00A960DE">
      <w:pPr>
        <w:spacing w:after="0" w:line="276" w:lineRule="auto"/>
        <w:ind w:firstLine="567"/>
        <w:jc w:val="both"/>
        <w:rPr>
          <w:rFonts w:cs="Times New Roman"/>
          <w:szCs w:val="24"/>
        </w:rPr>
      </w:pPr>
      <w:r w:rsidRPr="00A960DE">
        <w:rPr>
          <w:rFonts w:cs="Times New Roman"/>
          <w:szCs w:val="24"/>
        </w:rPr>
        <w:t xml:space="preserve">[1.2] </w:t>
      </w:r>
      <w:r w:rsidR="00C97B1B" w:rsidRPr="00A960DE">
        <w:rPr>
          <w:rFonts w:cs="Times New Roman"/>
          <w:szCs w:val="24"/>
        </w:rPr>
        <w:t xml:space="preserve">Zvērināts notārs </w:t>
      </w:r>
      <w:r w:rsidR="00DC55D2">
        <w:rPr>
          <w:rFonts w:cs="Times New Roman"/>
          <w:szCs w:val="24"/>
        </w:rPr>
        <w:t>[..]</w:t>
      </w:r>
      <w:r w:rsidR="00C97B1B" w:rsidRPr="00A960DE">
        <w:rPr>
          <w:rFonts w:cs="Times New Roman"/>
          <w:szCs w:val="24"/>
        </w:rPr>
        <w:t xml:space="preserve"> nosūtīj</w:t>
      </w:r>
      <w:r w:rsidR="00F04A65" w:rsidRPr="00A960DE">
        <w:rPr>
          <w:rFonts w:cs="Times New Roman"/>
          <w:szCs w:val="24"/>
        </w:rPr>
        <w:t>a</w:t>
      </w:r>
      <w:r w:rsidR="00C97B1B" w:rsidRPr="00A960DE">
        <w:rPr>
          <w:rFonts w:cs="Times New Roman"/>
          <w:szCs w:val="24"/>
        </w:rPr>
        <w:t xml:space="preserve"> prasītājai </w:t>
      </w:r>
      <w:r w:rsidR="00A960DE">
        <w:rPr>
          <w:rFonts w:cs="Times New Roman"/>
          <w:szCs w:val="24"/>
        </w:rPr>
        <w:t>[pers. A]</w:t>
      </w:r>
      <w:r w:rsidR="00C97B1B" w:rsidRPr="00A960DE">
        <w:rPr>
          <w:rFonts w:cs="Times New Roman"/>
          <w:szCs w:val="24"/>
        </w:rPr>
        <w:t xml:space="preserve"> paziņojumu</w:t>
      </w:r>
      <w:r w:rsidR="009D1640" w:rsidRPr="00A960DE">
        <w:rPr>
          <w:rFonts w:cs="Times New Roman"/>
          <w:szCs w:val="24"/>
        </w:rPr>
        <w:t xml:space="preserve">, </w:t>
      </w:r>
      <w:proofErr w:type="gramStart"/>
      <w:r w:rsidR="009D1640" w:rsidRPr="00A960DE">
        <w:rPr>
          <w:rFonts w:cs="Times New Roman"/>
          <w:szCs w:val="24"/>
        </w:rPr>
        <w:t xml:space="preserve">kurā </w:t>
      </w:r>
      <w:r w:rsidR="00522F0F" w:rsidRPr="00A960DE">
        <w:rPr>
          <w:rFonts w:cs="Times New Roman"/>
          <w:szCs w:val="24"/>
        </w:rPr>
        <w:t>informēja</w:t>
      </w:r>
      <w:r w:rsidR="009D1640" w:rsidRPr="00A960DE">
        <w:rPr>
          <w:rFonts w:cs="Times New Roman"/>
          <w:szCs w:val="24"/>
        </w:rPr>
        <w:t xml:space="preserve"> </w:t>
      </w:r>
      <w:r w:rsidR="00B76ECC" w:rsidRPr="00A960DE">
        <w:rPr>
          <w:rFonts w:cs="Times New Roman"/>
          <w:szCs w:val="24"/>
        </w:rPr>
        <w:t xml:space="preserve">par </w:t>
      </w:r>
      <w:r w:rsidR="00522F0F" w:rsidRPr="00A960DE">
        <w:rPr>
          <w:rFonts w:cs="Times New Roman"/>
          <w:szCs w:val="24"/>
        </w:rPr>
        <w:t>testamenta nolasīšanas vietu</w:t>
      </w:r>
      <w:proofErr w:type="gramEnd"/>
      <w:r w:rsidR="00522F0F" w:rsidRPr="00A960DE">
        <w:rPr>
          <w:rFonts w:cs="Times New Roman"/>
          <w:szCs w:val="24"/>
        </w:rPr>
        <w:t xml:space="preserve"> un laiku</w:t>
      </w:r>
      <w:r w:rsidR="006E49EF" w:rsidRPr="00A960DE">
        <w:rPr>
          <w:rFonts w:cs="Times New Roman"/>
          <w:szCs w:val="24"/>
        </w:rPr>
        <w:t xml:space="preserve">, </w:t>
      </w:r>
      <w:r w:rsidR="00CB0F44" w:rsidRPr="00A960DE">
        <w:rPr>
          <w:rFonts w:cs="Times New Roman"/>
          <w:szCs w:val="24"/>
        </w:rPr>
        <w:t>kā arī norādīja</w:t>
      </w:r>
      <w:r w:rsidR="00B76ECC" w:rsidRPr="00A960DE">
        <w:rPr>
          <w:rFonts w:cs="Times New Roman"/>
          <w:szCs w:val="24"/>
        </w:rPr>
        <w:t>: „Ja vēlaties pieteikt savas tiesības uz mantojumu, saskaņā ar Civillikuma 693. pantu Jums 3 (trīs) mēnešu laikā no mantojuma izsludināšanas dienas oficiālajā izdevumā „Latvijas Vēstnesis”</w:t>
      </w:r>
      <w:r w:rsidR="00DC55D2">
        <w:rPr>
          <w:rFonts w:cs="Times New Roman"/>
          <w:szCs w:val="24"/>
        </w:rPr>
        <w:t xml:space="preserve"> [..]</w:t>
      </w:r>
      <w:r w:rsidR="00B76ECC" w:rsidRPr="00A960DE">
        <w:rPr>
          <w:rFonts w:cs="Times New Roman"/>
          <w:szCs w:val="24"/>
        </w:rPr>
        <w:t xml:space="preserve"> jāierodas manā, zvērināta notāra Renātes Rones birojā </w:t>
      </w:r>
      <w:r w:rsidR="00DC55D2">
        <w:rPr>
          <w:rFonts w:cs="Times New Roman"/>
          <w:szCs w:val="24"/>
        </w:rPr>
        <w:t xml:space="preserve">[..], </w:t>
      </w:r>
      <w:r w:rsidR="00B76ECC" w:rsidRPr="00A960DE">
        <w:rPr>
          <w:rFonts w:cs="Times New Roman"/>
          <w:szCs w:val="24"/>
        </w:rPr>
        <w:t>līdzi ņemot radniecību pierādoš</w:t>
      </w:r>
      <w:r w:rsidR="00FA2209" w:rsidRPr="00A960DE">
        <w:rPr>
          <w:rFonts w:cs="Times New Roman"/>
          <w:szCs w:val="24"/>
        </w:rPr>
        <w:t>us</w:t>
      </w:r>
      <w:r w:rsidR="00B76ECC" w:rsidRPr="00A960DE">
        <w:rPr>
          <w:rFonts w:cs="Times New Roman"/>
          <w:szCs w:val="24"/>
        </w:rPr>
        <w:t xml:space="preserve"> dokumentus un personas apliecinošu dokumentu. Neierašanās gadījumā tiks atzīts, ka Jūs mantojumu esat atraidījis.”</w:t>
      </w:r>
    </w:p>
    <w:p w14:paraId="49509B0B" w14:textId="41C5A2CA" w:rsidR="00F147B8" w:rsidRPr="00A960DE" w:rsidRDefault="0039331F" w:rsidP="00A960DE">
      <w:pPr>
        <w:spacing w:after="0" w:line="276" w:lineRule="auto"/>
        <w:ind w:firstLine="567"/>
        <w:jc w:val="both"/>
        <w:rPr>
          <w:rFonts w:cs="Times New Roman"/>
          <w:szCs w:val="24"/>
        </w:rPr>
      </w:pPr>
      <w:r w:rsidRPr="00A960DE">
        <w:rPr>
          <w:rFonts w:cs="Times New Roman"/>
          <w:szCs w:val="24"/>
        </w:rPr>
        <w:t xml:space="preserve">[1.3] Prasītāja </w:t>
      </w:r>
      <w:r w:rsidR="00DC55D2">
        <w:rPr>
          <w:rFonts w:cs="Times New Roman"/>
          <w:szCs w:val="24"/>
        </w:rPr>
        <w:t>[..]</w:t>
      </w:r>
      <w:r w:rsidR="00F147B8" w:rsidRPr="00A960DE">
        <w:rPr>
          <w:rFonts w:cs="Times New Roman"/>
          <w:szCs w:val="24"/>
        </w:rPr>
        <w:t xml:space="preserve"> ieradās zvērināta notāra birojā uz pēdējā</w:t>
      </w:r>
      <w:r w:rsidR="00BA7AF6" w:rsidRPr="00A960DE">
        <w:rPr>
          <w:rFonts w:cs="Times New Roman"/>
          <w:szCs w:val="24"/>
        </w:rPr>
        <w:t>s</w:t>
      </w:r>
      <w:r w:rsidR="00F147B8" w:rsidRPr="00A960DE">
        <w:rPr>
          <w:rFonts w:cs="Times New Roman"/>
          <w:szCs w:val="24"/>
        </w:rPr>
        <w:t xml:space="preserve"> gribas rīkojuma nolasīšanu, līdzi ņemot radniecību un personu apliecinošus dokumentus. Tādejādi </w:t>
      </w:r>
      <w:r w:rsidRPr="00A960DE">
        <w:rPr>
          <w:rFonts w:cs="Times New Roman"/>
          <w:szCs w:val="24"/>
        </w:rPr>
        <w:t xml:space="preserve">gribu pieņemt mantojumu </w:t>
      </w:r>
      <w:r w:rsidR="00F147B8" w:rsidRPr="00A960DE">
        <w:rPr>
          <w:rFonts w:cs="Times New Roman"/>
          <w:szCs w:val="24"/>
        </w:rPr>
        <w:t xml:space="preserve">prasītāja </w:t>
      </w:r>
      <w:r w:rsidRPr="00A960DE">
        <w:rPr>
          <w:rFonts w:cs="Times New Roman"/>
          <w:szCs w:val="24"/>
        </w:rPr>
        <w:t>izteikusi ar darbību</w:t>
      </w:r>
      <w:r w:rsidR="00F147B8" w:rsidRPr="00A960DE">
        <w:rPr>
          <w:rFonts w:cs="Times New Roman"/>
          <w:szCs w:val="24"/>
        </w:rPr>
        <w:t>,</w:t>
      </w:r>
      <w:r w:rsidRPr="00A960DE">
        <w:rPr>
          <w:rFonts w:cs="Times New Roman"/>
          <w:szCs w:val="24"/>
        </w:rPr>
        <w:t xml:space="preserve"> </w:t>
      </w:r>
      <w:r w:rsidR="001D3FEF" w:rsidRPr="00A960DE">
        <w:rPr>
          <w:rFonts w:cs="Times New Roman"/>
          <w:szCs w:val="24"/>
        </w:rPr>
        <w:t>kas uzskatām</w:t>
      </w:r>
      <w:r w:rsidR="006B1E00" w:rsidRPr="00A960DE">
        <w:rPr>
          <w:rFonts w:cs="Times New Roman"/>
          <w:szCs w:val="24"/>
        </w:rPr>
        <w:t>a</w:t>
      </w:r>
      <w:r w:rsidR="001D3FEF" w:rsidRPr="00A960DE">
        <w:rPr>
          <w:rFonts w:cs="Times New Roman"/>
          <w:szCs w:val="24"/>
        </w:rPr>
        <w:t xml:space="preserve"> par klusējot izdarītu gribas iz</w:t>
      </w:r>
      <w:r w:rsidR="00F147B8" w:rsidRPr="00A960DE">
        <w:rPr>
          <w:rFonts w:cs="Times New Roman"/>
          <w:szCs w:val="24"/>
        </w:rPr>
        <w:t>paudumu.</w:t>
      </w:r>
    </w:p>
    <w:p w14:paraId="3CA4E0BD" w14:textId="328FF0F9" w:rsidR="0078515D" w:rsidRPr="00A960DE" w:rsidRDefault="00AB2598" w:rsidP="00A960DE">
      <w:pPr>
        <w:spacing w:after="0" w:line="276" w:lineRule="auto"/>
        <w:ind w:firstLine="567"/>
        <w:jc w:val="both"/>
        <w:rPr>
          <w:rFonts w:cs="Times New Roman"/>
          <w:szCs w:val="24"/>
        </w:rPr>
      </w:pPr>
      <w:r w:rsidRPr="00A960DE">
        <w:rPr>
          <w:rFonts w:cs="Times New Roman"/>
          <w:szCs w:val="24"/>
        </w:rPr>
        <w:t xml:space="preserve">Lai gan prasītāja izpildīja </w:t>
      </w:r>
      <w:r w:rsidR="00F147B8" w:rsidRPr="00A960DE">
        <w:rPr>
          <w:rFonts w:cs="Times New Roman"/>
          <w:szCs w:val="24"/>
        </w:rPr>
        <w:t xml:space="preserve">zvērināta notāra </w:t>
      </w:r>
      <w:r w:rsidRPr="00A960DE">
        <w:rPr>
          <w:rFonts w:cs="Times New Roman"/>
          <w:szCs w:val="24"/>
        </w:rPr>
        <w:t>paziņojumā norādītās prasības</w:t>
      </w:r>
      <w:r w:rsidR="00F147B8" w:rsidRPr="00A960DE">
        <w:rPr>
          <w:rFonts w:cs="Times New Roman"/>
          <w:szCs w:val="24"/>
        </w:rPr>
        <w:t>,</w:t>
      </w:r>
      <w:r w:rsidRPr="00A960DE">
        <w:rPr>
          <w:rFonts w:cs="Times New Roman"/>
          <w:szCs w:val="24"/>
        </w:rPr>
        <w:t xml:space="preserve"> </w:t>
      </w:r>
      <w:r w:rsidR="00510FF0" w:rsidRPr="00A960DE">
        <w:rPr>
          <w:rFonts w:cs="Times New Roman"/>
          <w:szCs w:val="24"/>
        </w:rPr>
        <w:t>a</w:t>
      </w:r>
      <w:r w:rsidR="0078515D" w:rsidRPr="00A960DE">
        <w:rPr>
          <w:rFonts w:cs="Times New Roman"/>
          <w:szCs w:val="24"/>
        </w:rPr>
        <w:t xml:space="preserve">r 2018. gada </w:t>
      </w:r>
      <w:r w:rsidR="00DC55D2">
        <w:rPr>
          <w:rFonts w:cs="Times New Roman"/>
          <w:szCs w:val="24"/>
        </w:rPr>
        <w:t>[..]</w:t>
      </w:r>
      <w:r w:rsidR="0078515D" w:rsidRPr="00A960DE">
        <w:rPr>
          <w:rFonts w:cs="Times New Roman"/>
          <w:szCs w:val="24"/>
        </w:rPr>
        <w:t xml:space="preserve"> mantojuma apliecību par vienīgo </w:t>
      </w:r>
      <w:r w:rsidR="00A960DE">
        <w:rPr>
          <w:rFonts w:cs="Times New Roman"/>
          <w:szCs w:val="24"/>
        </w:rPr>
        <w:t xml:space="preserve">[pers. C] </w:t>
      </w:r>
      <w:r w:rsidR="0078515D" w:rsidRPr="00A960DE">
        <w:rPr>
          <w:rFonts w:cs="Times New Roman"/>
          <w:szCs w:val="24"/>
        </w:rPr>
        <w:t xml:space="preserve">mantinieci iecelta atbildētāja </w:t>
      </w:r>
      <w:r w:rsidR="00A960DE">
        <w:rPr>
          <w:rFonts w:cs="Times New Roman"/>
          <w:szCs w:val="24"/>
        </w:rPr>
        <w:t>[pers. B]</w:t>
      </w:r>
      <w:r w:rsidR="0078515D" w:rsidRPr="00A960DE">
        <w:rPr>
          <w:rFonts w:cs="Times New Roman"/>
          <w:szCs w:val="24"/>
        </w:rPr>
        <w:t xml:space="preserve">, </w:t>
      </w:r>
      <w:r w:rsidR="00510FF0" w:rsidRPr="00A960DE">
        <w:rPr>
          <w:rFonts w:cs="Times New Roman"/>
          <w:szCs w:val="24"/>
        </w:rPr>
        <w:t>ignorējot prasīt</w:t>
      </w:r>
      <w:r w:rsidR="00BA14D5" w:rsidRPr="00A960DE">
        <w:rPr>
          <w:rFonts w:cs="Times New Roman"/>
          <w:szCs w:val="24"/>
        </w:rPr>
        <w:t>ājas gribas izteikumu pieņemt mātes atstāto mantojumu.</w:t>
      </w:r>
    </w:p>
    <w:p w14:paraId="42987876" w14:textId="6E522247" w:rsidR="00C97B1B" w:rsidRPr="00A960DE" w:rsidRDefault="00C97B1B" w:rsidP="00A960DE">
      <w:pPr>
        <w:spacing w:after="0" w:line="276" w:lineRule="auto"/>
        <w:ind w:firstLine="567"/>
        <w:jc w:val="both"/>
        <w:rPr>
          <w:rFonts w:cs="Times New Roman"/>
          <w:szCs w:val="24"/>
        </w:rPr>
      </w:pPr>
    </w:p>
    <w:p w14:paraId="5E413920" w14:textId="68C34291" w:rsidR="00BA14D5" w:rsidRPr="00A960DE" w:rsidRDefault="00B76ECC" w:rsidP="00A960DE">
      <w:pPr>
        <w:spacing w:after="0" w:line="276" w:lineRule="auto"/>
        <w:ind w:firstLine="567"/>
        <w:jc w:val="both"/>
        <w:rPr>
          <w:rFonts w:cs="Times New Roman"/>
          <w:szCs w:val="24"/>
        </w:rPr>
      </w:pPr>
      <w:r w:rsidRPr="00A960DE">
        <w:rPr>
          <w:rFonts w:cs="Times New Roman"/>
          <w:szCs w:val="24"/>
        </w:rPr>
        <w:t>[2] </w:t>
      </w:r>
      <w:r w:rsidR="00BA14D5" w:rsidRPr="00A960DE">
        <w:rPr>
          <w:rFonts w:cs="Times New Roman"/>
          <w:szCs w:val="24"/>
        </w:rPr>
        <w:t>A</w:t>
      </w:r>
      <w:r w:rsidRPr="00A960DE">
        <w:rPr>
          <w:rFonts w:cs="Times New Roman"/>
          <w:szCs w:val="24"/>
        </w:rPr>
        <w:t xml:space="preserve">r Rīgas apgabaltiesas 2021. gada 31. marta spriedumu </w:t>
      </w:r>
      <w:r w:rsidR="00BA14D5" w:rsidRPr="00A960DE">
        <w:rPr>
          <w:rFonts w:cs="Times New Roman"/>
          <w:szCs w:val="24"/>
        </w:rPr>
        <w:t>prasība noraidīta.</w:t>
      </w:r>
    </w:p>
    <w:p w14:paraId="6491EA74" w14:textId="77777777" w:rsidR="00BA14D5" w:rsidRPr="00A960DE" w:rsidRDefault="00BA14D5" w:rsidP="00A960DE">
      <w:pPr>
        <w:spacing w:after="0" w:line="276" w:lineRule="auto"/>
        <w:ind w:firstLine="567"/>
        <w:jc w:val="both"/>
        <w:rPr>
          <w:rFonts w:cs="Times New Roman"/>
          <w:szCs w:val="24"/>
        </w:rPr>
      </w:pPr>
      <w:r w:rsidRPr="00A960DE">
        <w:rPr>
          <w:rFonts w:cs="Times New Roman"/>
          <w:szCs w:val="24"/>
        </w:rPr>
        <w:lastRenderedPageBreak/>
        <w:t>Pievienojoties pirmās instances tiesas motīviem, nolēmumā sniegts šāds pamatojums.</w:t>
      </w:r>
    </w:p>
    <w:p w14:paraId="5FF9EEB5" w14:textId="39E49E30" w:rsidR="00C97B1B" w:rsidRPr="00A960DE" w:rsidRDefault="001A5470" w:rsidP="00A960DE">
      <w:pPr>
        <w:spacing w:after="0" w:line="276" w:lineRule="auto"/>
        <w:ind w:firstLine="567"/>
        <w:jc w:val="both"/>
        <w:rPr>
          <w:rFonts w:cs="Times New Roman"/>
          <w:szCs w:val="24"/>
        </w:rPr>
      </w:pPr>
      <w:r w:rsidRPr="00A960DE">
        <w:rPr>
          <w:rFonts w:cs="Times New Roman"/>
          <w:szCs w:val="24"/>
        </w:rPr>
        <w:t>[2.1] </w:t>
      </w:r>
      <w:r w:rsidR="003942B4" w:rsidRPr="00A960DE">
        <w:rPr>
          <w:rFonts w:cs="Times New Roman"/>
          <w:szCs w:val="24"/>
        </w:rPr>
        <w:t>Lai gan</w:t>
      </w:r>
      <w:r w:rsidR="00DC0157" w:rsidRPr="00A960DE">
        <w:rPr>
          <w:rFonts w:cs="Times New Roman"/>
          <w:szCs w:val="24"/>
        </w:rPr>
        <w:t xml:space="preserve"> zvērināta notāra paziņojums</w:t>
      </w:r>
      <w:r w:rsidR="002A648C" w:rsidRPr="00A960DE">
        <w:rPr>
          <w:rFonts w:cs="Times New Roman"/>
          <w:szCs w:val="24"/>
        </w:rPr>
        <w:t xml:space="preserve"> prasītājai</w:t>
      </w:r>
      <w:r w:rsidR="00DC0157" w:rsidRPr="00A960DE">
        <w:rPr>
          <w:rFonts w:cs="Times New Roman"/>
          <w:szCs w:val="24"/>
        </w:rPr>
        <w:t xml:space="preserve"> ir nepilnīgs un var būt maldinošs, i</w:t>
      </w:r>
      <w:r w:rsidRPr="00A960DE">
        <w:rPr>
          <w:rFonts w:cs="Times New Roman"/>
          <w:szCs w:val="24"/>
        </w:rPr>
        <w:t>erašanās</w:t>
      </w:r>
      <w:r w:rsidR="00443520" w:rsidRPr="00A960DE">
        <w:rPr>
          <w:rFonts w:cs="Times New Roman"/>
          <w:szCs w:val="24"/>
        </w:rPr>
        <w:t xml:space="preserve"> uz testamenta nolasīšanu</w:t>
      </w:r>
      <w:r w:rsidRPr="00A960DE">
        <w:rPr>
          <w:rFonts w:cs="Times New Roman"/>
          <w:szCs w:val="24"/>
        </w:rPr>
        <w:t xml:space="preserve"> nevar tikt atzīta par tādu darbību</w:t>
      </w:r>
      <w:r w:rsidR="00443520" w:rsidRPr="00A960DE">
        <w:rPr>
          <w:rFonts w:cs="Times New Roman"/>
          <w:szCs w:val="24"/>
        </w:rPr>
        <w:t xml:space="preserve">, </w:t>
      </w:r>
      <w:r w:rsidR="00A25F6B" w:rsidRPr="00A960DE">
        <w:rPr>
          <w:rFonts w:cs="Times New Roman"/>
          <w:szCs w:val="24"/>
        </w:rPr>
        <w:t>kas</w:t>
      </w:r>
      <w:r w:rsidRPr="00A960DE">
        <w:rPr>
          <w:rFonts w:cs="Times New Roman"/>
          <w:szCs w:val="24"/>
        </w:rPr>
        <w:t xml:space="preserve"> Civillikuma 691. panta tiesību normas izpratnē</w:t>
      </w:r>
      <w:r w:rsidR="00A25F6B" w:rsidRPr="00A960DE">
        <w:rPr>
          <w:rFonts w:cs="Times New Roman"/>
          <w:szCs w:val="24"/>
        </w:rPr>
        <w:t xml:space="preserve"> ļauj konstatēt prasītājas</w:t>
      </w:r>
      <w:r w:rsidRPr="00A960DE">
        <w:rPr>
          <w:rFonts w:cs="Times New Roman"/>
          <w:szCs w:val="24"/>
        </w:rPr>
        <w:t xml:space="preserve"> </w:t>
      </w:r>
      <w:r w:rsidR="00EC4DCD" w:rsidRPr="00A960DE">
        <w:rPr>
          <w:rFonts w:cs="Times New Roman"/>
          <w:szCs w:val="24"/>
        </w:rPr>
        <w:t>skaidr</w:t>
      </w:r>
      <w:r w:rsidR="00A25F6B" w:rsidRPr="00A960DE">
        <w:rPr>
          <w:rFonts w:cs="Times New Roman"/>
          <w:szCs w:val="24"/>
        </w:rPr>
        <w:t>i</w:t>
      </w:r>
      <w:r w:rsidR="00EC4DCD" w:rsidRPr="00A960DE">
        <w:rPr>
          <w:rFonts w:cs="Times New Roman"/>
          <w:szCs w:val="24"/>
        </w:rPr>
        <w:t xml:space="preserve"> un</w:t>
      </w:r>
      <w:r w:rsidRPr="00A960DE">
        <w:rPr>
          <w:rFonts w:cs="Times New Roman"/>
          <w:szCs w:val="24"/>
        </w:rPr>
        <w:t xml:space="preserve"> nepārprotam</w:t>
      </w:r>
      <w:r w:rsidR="00A25F6B" w:rsidRPr="00A960DE">
        <w:rPr>
          <w:rFonts w:cs="Times New Roman"/>
          <w:szCs w:val="24"/>
        </w:rPr>
        <w:t>i paustu</w:t>
      </w:r>
      <w:r w:rsidRPr="00A960DE">
        <w:rPr>
          <w:rFonts w:cs="Times New Roman"/>
          <w:szCs w:val="24"/>
        </w:rPr>
        <w:t xml:space="preserve"> </w:t>
      </w:r>
      <w:r w:rsidR="00EC4DCD" w:rsidRPr="00A960DE">
        <w:rPr>
          <w:rFonts w:cs="Times New Roman"/>
          <w:szCs w:val="24"/>
        </w:rPr>
        <w:t xml:space="preserve">gribu </w:t>
      </w:r>
      <w:r w:rsidRPr="00A960DE">
        <w:rPr>
          <w:rFonts w:cs="Times New Roman"/>
          <w:szCs w:val="24"/>
        </w:rPr>
        <w:t>pieņemt mantojumu.</w:t>
      </w:r>
    </w:p>
    <w:p w14:paraId="74645FF6" w14:textId="50AB9BB6" w:rsidR="00542027" w:rsidRPr="00A960DE" w:rsidRDefault="002A648C" w:rsidP="00A960DE">
      <w:pPr>
        <w:spacing w:after="0" w:line="276" w:lineRule="auto"/>
        <w:ind w:firstLine="567"/>
        <w:jc w:val="both"/>
        <w:rPr>
          <w:rFonts w:cs="Times New Roman"/>
          <w:szCs w:val="24"/>
        </w:rPr>
      </w:pPr>
      <w:r w:rsidRPr="00A960DE">
        <w:rPr>
          <w:rFonts w:cs="Times New Roman"/>
          <w:szCs w:val="24"/>
        </w:rPr>
        <w:t>Š</w:t>
      </w:r>
      <w:r w:rsidR="00BB7B7E" w:rsidRPr="00A960DE">
        <w:rPr>
          <w:rFonts w:cs="Times New Roman"/>
          <w:szCs w:val="24"/>
        </w:rPr>
        <w:t xml:space="preserve">āda rīcība ir iztulkojama </w:t>
      </w:r>
      <w:r w:rsidR="00C20861" w:rsidRPr="00A960DE">
        <w:rPr>
          <w:rFonts w:cs="Times New Roman"/>
          <w:szCs w:val="24"/>
        </w:rPr>
        <w:t xml:space="preserve">vienīgi </w:t>
      </w:r>
      <w:r w:rsidR="00BB7B7E" w:rsidRPr="00A960DE">
        <w:rPr>
          <w:rFonts w:cs="Times New Roman"/>
          <w:szCs w:val="24"/>
        </w:rPr>
        <w:t xml:space="preserve">kā vēlme noskaidrot </w:t>
      </w:r>
      <w:r w:rsidR="00DC0157" w:rsidRPr="00A960DE">
        <w:rPr>
          <w:rFonts w:cs="Times New Roman"/>
          <w:szCs w:val="24"/>
        </w:rPr>
        <w:t>mantojuma</w:t>
      </w:r>
      <w:r w:rsidR="00BB7B7E" w:rsidRPr="00A960DE">
        <w:rPr>
          <w:rFonts w:cs="Times New Roman"/>
          <w:szCs w:val="24"/>
        </w:rPr>
        <w:t xml:space="preserve"> s</w:t>
      </w:r>
      <w:r w:rsidRPr="00A960DE">
        <w:rPr>
          <w:rFonts w:cs="Times New Roman"/>
          <w:szCs w:val="24"/>
        </w:rPr>
        <w:t>astāvu</w:t>
      </w:r>
      <w:r w:rsidR="00BB7B7E" w:rsidRPr="00A960DE">
        <w:rPr>
          <w:rFonts w:cs="Times New Roman"/>
          <w:szCs w:val="24"/>
        </w:rPr>
        <w:t>, kas</w:t>
      </w:r>
      <w:r w:rsidR="0074486B" w:rsidRPr="00A960DE">
        <w:rPr>
          <w:rFonts w:cs="Times New Roman"/>
          <w:szCs w:val="24"/>
        </w:rPr>
        <w:t>, kā tas izriet no</w:t>
      </w:r>
      <w:r w:rsidR="00BB7B7E" w:rsidRPr="00A960DE">
        <w:rPr>
          <w:rFonts w:cs="Times New Roman"/>
          <w:szCs w:val="24"/>
        </w:rPr>
        <w:t xml:space="preserve"> Civillikuma 692. panta</w:t>
      </w:r>
      <w:r w:rsidR="0074486B" w:rsidRPr="00A960DE">
        <w:rPr>
          <w:rFonts w:cs="Times New Roman"/>
          <w:szCs w:val="24"/>
        </w:rPr>
        <w:t>,</w:t>
      </w:r>
      <w:r w:rsidR="00BB7B7E" w:rsidRPr="00A960DE">
        <w:rPr>
          <w:rFonts w:cs="Times New Roman"/>
          <w:szCs w:val="24"/>
        </w:rPr>
        <w:t xml:space="preserve"> nevar būt </w:t>
      </w:r>
      <w:r w:rsidR="00FE415E" w:rsidRPr="00A960DE">
        <w:rPr>
          <w:rFonts w:cs="Times New Roman"/>
          <w:szCs w:val="24"/>
        </w:rPr>
        <w:t xml:space="preserve">patstāvīgs </w:t>
      </w:r>
      <w:r w:rsidR="00BB7B7E" w:rsidRPr="00A960DE">
        <w:rPr>
          <w:rFonts w:cs="Times New Roman"/>
          <w:szCs w:val="24"/>
        </w:rPr>
        <w:t>pamats, lai konstatētu mantojuma pieņemšanas faktu.</w:t>
      </w:r>
    </w:p>
    <w:p w14:paraId="1AF59C2C" w14:textId="71C5A862" w:rsidR="00542027" w:rsidRPr="00A960DE" w:rsidRDefault="00542027" w:rsidP="00A960DE">
      <w:pPr>
        <w:spacing w:after="0" w:line="276" w:lineRule="auto"/>
        <w:ind w:firstLine="567"/>
        <w:jc w:val="both"/>
        <w:rPr>
          <w:rFonts w:cs="Times New Roman"/>
          <w:szCs w:val="24"/>
        </w:rPr>
      </w:pPr>
      <w:r w:rsidRPr="00A960DE">
        <w:rPr>
          <w:rFonts w:cs="Times New Roman"/>
          <w:szCs w:val="24"/>
        </w:rPr>
        <w:t>[2.2] </w:t>
      </w:r>
      <w:r w:rsidR="00EC4DCD" w:rsidRPr="00A960DE">
        <w:rPr>
          <w:rFonts w:cs="Times New Roman"/>
          <w:szCs w:val="24"/>
        </w:rPr>
        <w:t xml:space="preserve">No zvērināta notāra liecībām izriet, ka, nolasot testamentu, </w:t>
      </w:r>
      <w:r w:rsidRPr="00A960DE">
        <w:rPr>
          <w:rFonts w:cs="Times New Roman"/>
          <w:szCs w:val="24"/>
        </w:rPr>
        <w:t xml:space="preserve">mantiniekiem </w:t>
      </w:r>
      <w:r w:rsidR="00EC4DCD" w:rsidRPr="00A960DE">
        <w:rPr>
          <w:rFonts w:cs="Times New Roman"/>
          <w:szCs w:val="24"/>
        </w:rPr>
        <w:t xml:space="preserve">tika izskaidrotas tiesības un darbību </w:t>
      </w:r>
      <w:r w:rsidR="00DC0157" w:rsidRPr="00A960DE">
        <w:rPr>
          <w:rFonts w:cs="Times New Roman"/>
          <w:szCs w:val="24"/>
        </w:rPr>
        <w:t xml:space="preserve">neizdarīšanas </w:t>
      </w:r>
      <w:r w:rsidR="00EC4DCD" w:rsidRPr="00A960DE">
        <w:rPr>
          <w:rFonts w:cs="Times New Roman"/>
          <w:szCs w:val="24"/>
        </w:rPr>
        <w:t>sekas, kā arī ti</w:t>
      </w:r>
      <w:r w:rsidRPr="00A960DE">
        <w:rPr>
          <w:rFonts w:cs="Times New Roman"/>
          <w:szCs w:val="24"/>
        </w:rPr>
        <w:t>ka</w:t>
      </w:r>
      <w:r w:rsidR="00EC4DCD" w:rsidRPr="00A960DE">
        <w:rPr>
          <w:rFonts w:cs="Times New Roman"/>
          <w:szCs w:val="24"/>
        </w:rPr>
        <w:t xml:space="preserve"> norādīts pieteikšanās termiņš. </w:t>
      </w:r>
      <w:r w:rsidRPr="00A960DE">
        <w:rPr>
          <w:rFonts w:cs="Times New Roman"/>
          <w:szCs w:val="24"/>
        </w:rPr>
        <w:t>Tāpat notāre liecināj</w:t>
      </w:r>
      <w:r w:rsidR="00DC0157" w:rsidRPr="00A960DE">
        <w:rPr>
          <w:rFonts w:cs="Times New Roman"/>
          <w:szCs w:val="24"/>
        </w:rPr>
        <w:t>a</w:t>
      </w:r>
      <w:r w:rsidRPr="00A960DE">
        <w:rPr>
          <w:rFonts w:cs="Times New Roman"/>
          <w:szCs w:val="24"/>
        </w:rPr>
        <w:t xml:space="preserve">, ka uz </w:t>
      </w:r>
      <w:r w:rsidR="0074486B" w:rsidRPr="00A960DE">
        <w:rPr>
          <w:rFonts w:cs="Times New Roman"/>
          <w:szCs w:val="24"/>
        </w:rPr>
        <w:t xml:space="preserve">uzdoto </w:t>
      </w:r>
      <w:r w:rsidRPr="00A960DE">
        <w:rPr>
          <w:rFonts w:cs="Times New Roman"/>
          <w:szCs w:val="24"/>
        </w:rPr>
        <w:t xml:space="preserve">jautājumu, vai prasītāja pieteiksies mantojumam, viņa atbildēja, ka par to vēl domā. </w:t>
      </w:r>
    </w:p>
    <w:p w14:paraId="62E4BF9B" w14:textId="2DFFBB1F" w:rsidR="00542027" w:rsidRPr="00A960DE" w:rsidRDefault="00542027" w:rsidP="00A960DE">
      <w:pPr>
        <w:spacing w:after="0" w:line="276" w:lineRule="auto"/>
        <w:ind w:firstLine="567"/>
        <w:jc w:val="both"/>
        <w:rPr>
          <w:rFonts w:cs="Times New Roman"/>
          <w:szCs w:val="24"/>
        </w:rPr>
      </w:pPr>
      <w:r w:rsidRPr="00A960DE">
        <w:rPr>
          <w:rFonts w:cs="Times New Roman"/>
          <w:szCs w:val="24"/>
        </w:rPr>
        <w:t xml:space="preserve">Minētās liecības tiesai nav pamata apšaubīt, jo </w:t>
      </w:r>
      <w:r w:rsidR="00384E2F" w:rsidRPr="00A960DE">
        <w:rPr>
          <w:rFonts w:cs="Times New Roman"/>
          <w:szCs w:val="24"/>
        </w:rPr>
        <w:t xml:space="preserve">zvērinātam </w:t>
      </w:r>
      <w:r w:rsidRPr="00A960DE">
        <w:rPr>
          <w:rFonts w:cs="Times New Roman"/>
          <w:szCs w:val="24"/>
        </w:rPr>
        <w:t>notār</w:t>
      </w:r>
      <w:r w:rsidR="0074486B" w:rsidRPr="00A960DE">
        <w:rPr>
          <w:rFonts w:cs="Times New Roman"/>
          <w:szCs w:val="24"/>
        </w:rPr>
        <w:t>am</w:t>
      </w:r>
      <w:r w:rsidRPr="00A960DE">
        <w:rPr>
          <w:rFonts w:cs="Times New Roman"/>
          <w:szCs w:val="24"/>
        </w:rPr>
        <w:t xml:space="preserve"> kā amatpersonai, kura ir neatkarīga, neitrāla fizisko un juridisko personu civilo tiesību un likumisko interešu nodrošinātāja, nav nekādas intereses </w:t>
      </w:r>
      <w:r w:rsidR="002A648C" w:rsidRPr="00A960DE">
        <w:rPr>
          <w:rFonts w:cs="Times New Roman"/>
          <w:szCs w:val="24"/>
        </w:rPr>
        <w:t>nepatiesi liecināt.</w:t>
      </w:r>
    </w:p>
    <w:p w14:paraId="5C03ACF7" w14:textId="5434F420" w:rsidR="00E76B4C" w:rsidRPr="00A960DE" w:rsidRDefault="00E76B4C" w:rsidP="00A960DE">
      <w:pPr>
        <w:spacing w:after="0" w:line="276" w:lineRule="auto"/>
        <w:ind w:firstLine="567"/>
        <w:jc w:val="both"/>
        <w:rPr>
          <w:rFonts w:cs="Times New Roman"/>
          <w:szCs w:val="24"/>
        </w:rPr>
      </w:pPr>
      <w:r w:rsidRPr="00A960DE">
        <w:rPr>
          <w:rFonts w:cs="Times New Roman"/>
          <w:szCs w:val="24"/>
        </w:rPr>
        <w:t>[2.3] Lietā nav strīda, ka prasītāja bija aicināta izteikt gribu pieņemt mantojumu. Uzaicinājuma termiņā griba nav izteikta, tāpēc saskaņā ar Civillikuma 694.</w:t>
      </w:r>
      <w:r w:rsidR="00035113" w:rsidRPr="00A960DE">
        <w:rPr>
          <w:rFonts w:cs="Times New Roman"/>
          <w:szCs w:val="24"/>
        </w:rPr>
        <w:t> </w:t>
      </w:r>
      <w:r w:rsidRPr="00A960DE">
        <w:rPr>
          <w:rFonts w:cs="Times New Roman"/>
          <w:szCs w:val="24"/>
        </w:rPr>
        <w:t>pantu atzīstams, ka prasītāja mantojumu atraidījusi, jo mantojums neatradās viņas valdījumā.</w:t>
      </w:r>
    </w:p>
    <w:p w14:paraId="44E36C9A" w14:textId="3D950D97" w:rsidR="00443520" w:rsidRPr="00A960DE" w:rsidRDefault="00443520" w:rsidP="00A960DE">
      <w:pPr>
        <w:spacing w:after="0" w:line="276" w:lineRule="auto"/>
        <w:jc w:val="both"/>
        <w:rPr>
          <w:rFonts w:cs="Times New Roman"/>
          <w:szCs w:val="24"/>
        </w:rPr>
      </w:pPr>
    </w:p>
    <w:p w14:paraId="0CDCB884" w14:textId="24DC96A3" w:rsidR="00895C35" w:rsidRPr="00A960DE" w:rsidRDefault="00B20A06" w:rsidP="00A960DE">
      <w:pPr>
        <w:spacing w:after="0" w:line="276" w:lineRule="auto"/>
        <w:ind w:firstLine="567"/>
        <w:jc w:val="both"/>
        <w:rPr>
          <w:rFonts w:cs="Times New Roman"/>
          <w:szCs w:val="24"/>
        </w:rPr>
      </w:pPr>
      <w:r w:rsidRPr="00A960DE">
        <w:rPr>
          <w:rFonts w:cs="Times New Roman"/>
          <w:szCs w:val="24"/>
        </w:rPr>
        <w:t>[</w:t>
      </w:r>
      <w:r w:rsidR="00BB7B7E" w:rsidRPr="00A960DE">
        <w:rPr>
          <w:rFonts w:cs="Times New Roman"/>
          <w:szCs w:val="24"/>
        </w:rPr>
        <w:t>3</w:t>
      </w:r>
      <w:r w:rsidRPr="00A960DE">
        <w:rPr>
          <w:rFonts w:cs="Times New Roman"/>
          <w:szCs w:val="24"/>
        </w:rPr>
        <w:t>]</w:t>
      </w:r>
      <w:r w:rsidR="00124164" w:rsidRPr="00A960DE">
        <w:rPr>
          <w:rFonts w:cs="Times New Roman"/>
          <w:szCs w:val="24"/>
        </w:rPr>
        <w:t xml:space="preserve"> Par </w:t>
      </w:r>
      <w:r w:rsidR="002A648C" w:rsidRPr="00A960DE">
        <w:rPr>
          <w:rFonts w:cs="Times New Roman"/>
          <w:szCs w:val="24"/>
        </w:rPr>
        <w:t>apgabaltiesa</w:t>
      </w:r>
      <w:r w:rsidR="00035113" w:rsidRPr="00A960DE">
        <w:rPr>
          <w:rFonts w:cs="Times New Roman"/>
          <w:szCs w:val="24"/>
        </w:rPr>
        <w:t>s</w:t>
      </w:r>
      <w:r w:rsidR="00124164" w:rsidRPr="00A960DE">
        <w:rPr>
          <w:rFonts w:cs="Times New Roman"/>
          <w:szCs w:val="24"/>
        </w:rPr>
        <w:t xml:space="preserve"> spriedumu </w:t>
      </w:r>
      <w:r w:rsidR="00115FC4" w:rsidRPr="00A960DE">
        <w:rPr>
          <w:rFonts w:cs="Times New Roman"/>
          <w:szCs w:val="24"/>
        </w:rPr>
        <w:t>prasītāja</w:t>
      </w:r>
      <w:r w:rsidR="00124164" w:rsidRPr="00A960DE">
        <w:rPr>
          <w:rFonts w:cs="Times New Roman"/>
          <w:szCs w:val="24"/>
        </w:rPr>
        <w:t xml:space="preserve"> iesnie</w:t>
      </w:r>
      <w:r w:rsidR="00BB7B7E" w:rsidRPr="00A960DE">
        <w:rPr>
          <w:rFonts w:cs="Times New Roman"/>
          <w:szCs w:val="24"/>
        </w:rPr>
        <w:t>gusi</w:t>
      </w:r>
      <w:r w:rsidR="00124164" w:rsidRPr="00A960DE">
        <w:rPr>
          <w:rFonts w:cs="Times New Roman"/>
          <w:szCs w:val="24"/>
        </w:rPr>
        <w:t xml:space="preserve"> kasācijas sūdzīb</w:t>
      </w:r>
      <w:r w:rsidR="00650F7B" w:rsidRPr="00A960DE">
        <w:rPr>
          <w:rFonts w:cs="Times New Roman"/>
          <w:szCs w:val="24"/>
        </w:rPr>
        <w:t>u</w:t>
      </w:r>
      <w:r w:rsidR="00124164" w:rsidRPr="00A960DE">
        <w:rPr>
          <w:rFonts w:cs="Times New Roman"/>
          <w:szCs w:val="24"/>
        </w:rPr>
        <w:t xml:space="preserve">, </w:t>
      </w:r>
      <w:r w:rsidR="00895C35" w:rsidRPr="00A960DE">
        <w:rPr>
          <w:rFonts w:cs="Times New Roman"/>
          <w:szCs w:val="24"/>
        </w:rPr>
        <w:t>lūdzot spriedumu atcelt.</w:t>
      </w:r>
    </w:p>
    <w:p w14:paraId="1DDD4E4C" w14:textId="42A5FC92" w:rsidR="00895C35" w:rsidRPr="00A960DE" w:rsidRDefault="00895C35" w:rsidP="00A960DE">
      <w:pPr>
        <w:spacing w:after="0" w:line="276" w:lineRule="auto"/>
        <w:ind w:firstLine="567"/>
        <w:jc w:val="both"/>
        <w:rPr>
          <w:rFonts w:cs="Times New Roman"/>
          <w:szCs w:val="24"/>
        </w:rPr>
      </w:pPr>
      <w:r w:rsidRPr="00A960DE">
        <w:rPr>
          <w:rFonts w:cs="Times New Roman"/>
          <w:szCs w:val="24"/>
        </w:rPr>
        <w:t>Kasācijas sūdzībā norādīts šāds pamatojums.</w:t>
      </w:r>
    </w:p>
    <w:p w14:paraId="131269A8" w14:textId="24FF83DD" w:rsidR="00434D54" w:rsidRPr="00A960DE" w:rsidRDefault="00895C35" w:rsidP="00A960DE">
      <w:pPr>
        <w:spacing w:after="0" w:line="276" w:lineRule="auto"/>
        <w:ind w:firstLine="567"/>
        <w:jc w:val="both"/>
        <w:rPr>
          <w:rFonts w:cs="Times New Roman"/>
          <w:szCs w:val="24"/>
        </w:rPr>
      </w:pPr>
      <w:r w:rsidRPr="00A960DE">
        <w:rPr>
          <w:rFonts w:cs="Times New Roman"/>
          <w:szCs w:val="24"/>
        </w:rPr>
        <w:t xml:space="preserve">[3.1] </w:t>
      </w:r>
      <w:r w:rsidR="00434D54" w:rsidRPr="00A960DE">
        <w:rPr>
          <w:rFonts w:cs="Times New Roman"/>
          <w:szCs w:val="24"/>
        </w:rPr>
        <w:t>Tiesa nepareizi iztulkoj</w:t>
      </w:r>
      <w:r w:rsidR="00ED67BE" w:rsidRPr="00A960DE">
        <w:rPr>
          <w:rFonts w:cs="Times New Roman"/>
          <w:szCs w:val="24"/>
        </w:rPr>
        <w:t>a</w:t>
      </w:r>
      <w:proofErr w:type="gramStart"/>
      <w:r w:rsidR="00434D54" w:rsidRPr="00A960DE">
        <w:rPr>
          <w:rFonts w:cs="Times New Roman"/>
          <w:szCs w:val="24"/>
        </w:rPr>
        <w:t xml:space="preserve"> un</w:t>
      </w:r>
      <w:proofErr w:type="gramEnd"/>
      <w:r w:rsidR="00434D54" w:rsidRPr="00A960DE">
        <w:rPr>
          <w:rFonts w:cs="Times New Roman"/>
          <w:szCs w:val="24"/>
        </w:rPr>
        <w:t xml:space="preserve"> piemēroj</w:t>
      </w:r>
      <w:r w:rsidR="00ED67BE" w:rsidRPr="00A960DE">
        <w:rPr>
          <w:rFonts w:cs="Times New Roman"/>
          <w:szCs w:val="24"/>
        </w:rPr>
        <w:t>a</w:t>
      </w:r>
      <w:r w:rsidR="00434D54" w:rsidRPr="00A960DE">
        <w:rPr>
          <w:rFonts w:cs="Times New Roman"/>
          <w:szCs w:val="24"/>
        </w:rPr>
        <w:t xml:space="preserve"> Civillikuma </w:t>
      </w:r>
      <w:r w:rsidR="00FA2209" w:rsidRPr="00A960DE">
        <w:rPr>
          <w:rFonts w:cs="Times New Roman"/>
          <w:szCs w:val="24"/>
        </w:rPr>
        <w:t>normas, kas regulē mantojuma pieņemšanu</w:t>
      </w:r>
      <w:r w:rsidR="00434D54" w:rsidRPr="00A960DE">
        <w:rPr>
          <w:rFonts w:cs="Times New Roman"/>
          <w:szCs w:val="24"/>
        </w:rPr>
        <w:t>, kā arī nav izpildījusi pienākumu, kas nostiprināts Civilprocesa likuma 4</w:t>
      </w:r>
      <w:r w:rsidR="00575DF8" w:rsidRPr="00A960DE">
        <w:rPr>
          <w:rFonts w:cs="Times New Roman"/>
          <w:szCs w:val="24"/>
        </w:rPr>
        <w:t>2</w:t>
      </w:r>
      <w:r w:rsidR="00434D54" w:rsidRPr="00A960DE">
        <w:rPr>
          <w:rFonts w:cs="Times New Roman"/>
          <w:szCs w:val="24"/>
        </w:rPr>
        <w:t>6.</w:t>
      </w:r>
      <w:r w:rsidR="00035113" w:rsidRPr="00A960DE">
        <w:rPr>
          <w:rFonts w:cs="Times New Roman"/>
          <w:szCs w:val="24"/>
        </w:rPr>
        <w:t> </w:t>
      </w:r>
      <w:r w:rsidR="00434D54" w:rsidRPr="00A960DE">
        <w:rPr>
          <w:rFonts w:cs="Times New Roman"/>
          <w:szCs w:val="24"/>
        </w:rPr>
        <w:t>p</w:t>
      </w:r>
      <w:r w:rsidR="00035113" w:rsidRPr="00A960DE">
        <w:rPr>
          <w:rFonts w:cs="Times New Roman"/>
          <w:szCs w:val="24"/>
        </w:rPr>
        <w:t>an</w:t>
      </w:r>
      <w:r w:rsidR="00434D54" w:rsidRPr="00A960DE">
        <w:rPr>
          <w:rFonts w:cs="Times New Roman"/>
          <w:szCs w:val="24"/>
        </w:rPr>
        <w:t xml:space="preserve">tā, jo nav sniegusi apelācijas sūdzībā norādīto vairāku argumentu vērtējumu, kas ir būtiski no tiesību </w:t>
      </w:r>
      <w:r w:rsidR="00FA2209" w:rsidRPr="00A960DE">
        <w:rPr>
          <w:rFonts w:cs="Times New Roman"/>
          <w:szCs w:val="24"/>
        </w:rPr>
        <w:t xml:space="preserve">piemērošanas </w:t>
      </w:r>
      <w:r w:rsidR="00434D54" w:rsidRPr="00A960DE">
        <w:rPr>
          <w:rFonts w:cs="Times New Roman"/>
          <w:szCs w:val="24"/>
        </w:rPr>
        <w:t>viedokļa.</w:t>
      </w:r>
    </w:p>
    <w:p w14:paraId="0004F36D" w14:textId="12DBC159" w:rsidR="00434D54" w:rsidRPr="00A960DE" w:rsidRDefault="00575DF8" w:rsidP="00A960DE">
      <w:pPr>
        <w:spacing w:after="0" w:line="276" w:lineRule="auto"/>
        <w:ind w:firstLine="567"/>
        <w:jc w:val="both"/>
        <w:rPr>
          <w:rFonts w:cs="Times New Roman"/>
          <w:szCs w:val="24"/>
        </w:rPr>
      </w:pPr>
      <w:r w:rsidRPr="00A960DE">
        <w:rPr>
          <w:rFonts w:cs="Times New Roman"/>
          <w:szCs w:val="24"/>
        </w:rPr>
        <w:t xml:space="preserve">[3.2] </w:t>
      </w:r>
      <w:r w:rsidR="00035113" w:rsidRPr="00A960DE">
        <w:rPr>
          <w:rFonts w:cs="Times New Roman"/>
          <w:szCs w:val="24"/>
        </w:rPr>
        <w:t>R</w:t>
      </w:r>
      <w:r w:rsidR="00434D54" w:rsidRPr="00A960DE">
        <w:rPr>
          <w:rFonts w:cs="Times New Roman"/>
          <w:szCs w:val="24"/>
        </w:rPr>
        <w:t>īkojoties stingrā saskaņā ar zvērināta notāra norādījumiem,</w:t>
      </w:r>
      <w:r w:rsidR="00035113" w:rsidRPr="00A960DE">
        <w:rPr>
          <w:rFonts w:cs="Times New Roman"/>
          <w:szCs w:val="24"/>
        </w:rPr>
        <w:t xml:space="preserve"> prasītāja</w:t>
      </w:r>
      <w:r w:rsidR="00434D54" w:rsidRPr="00A960DE">
        <w:rPr>
          <w:rFonts w:cs="Times New Roman"/>
          <w:szCs w:val="24"/>
        </w:rPr>
        <w:t xml:space="preserve"> pēc mātes nāves bija izdarījusi tādas darbības, k</w:t>
      </w:r>
      <w:r w:rsidR="006B1E00" w:rsidRPr="00A960DE">
        <w:rPr>
          <w:rFonts w:cs="Times New Roman"/>
          <w:szCs w:val="24"/>
        </w:rPr>
        <w:t>uru</w:t>
      </w:r>
      <w:r w:rsidR="00434D54" w:rsidRPr="00A960DE">
        <w:rPr>
          <w:rFonts w:cs="Times New Roman"/>
          <w:szCs w:val="24"/>
        </w:rPr>
        <w:t xml:space="preserve"> izvērtējums pēc loģikas un taisnības noved pie slēdziena, ka prasītāja pauda gribu pieņemt mātes atstāto mantojumu, un š</w:t>
      </w:r>
      <w:r w:rsidR="002C11DE" w:rsidRPr="00A960DE">
        <w:rPr>
          <w:rFonts w:cs="Times New Roman"/>
          <w:szCs w:val="24"/>
        </w:rPr>
        <w:t>ā</w:t>
      </w:r>
      <w:r w:rsidR="00434D54" w:rsidRPr="00A960DE">
        <w:rPr>
          <w:rFonts w:cs="Times New Roman"/>
          <w:szCs w:val="24"/>
        </w:rPr>
        <w:t xml:space="preserve">das darbības attiecīgajos apstākļos var iztulkot </w:t>
      </w:r>
      <w:r w:rsidR="002C11DE" w:rsidRPr="00A960DE">
        <w:rPr>
          <w:rFonts w:cs="Times New Roman"/>
          <w:szCs w:val="24"/>
        </w:rPr>
        <w:t>vienīgi tā, ka prasītāja atzīst sevi par mantinieci.</w:t>
      </w:r>
    </w:p>
    <w:p w14:paraId="2DDD37D4" w14:textId="187CDBFB" w:rsidR="00575DF8" w:rsidRPr="00A960DE" w:rsidRDefault="002C11DE" w:rsidP="00A960DE">
      <w:pPr>
        <w:spacing w:after="0" w:line="276" w:lineRule="auto"/>
        <w:ind w:firstLine="567"/>
        <w:jc w:val="both"/>
        <w:rPr>
          <w:rFonts w:cs="Times New Roman"/>
          <w:szCs w:val="24"/>
        </w:rPr>
      </w:pPr>
      <w:r w:rsidRPr="00A960DE">
        <w:rPr>
          <w:rFonts w:cs="Times New Roman"/>
          <w:szCs w:val="24"/>
        </w:rPr>
        <w:t>Tiesa šiem lietas apstākļiem devusi iepriekš minētajai loģikai pretēju vērtējumu, nepievēršot uzmanību, kādos griba pieņemt mantojumu izteikta. Tiesa ticamību piešķīra zvērinātas notāres sniegtajām ziņām par faktiem, kas ietekmēja lietas iznākumu</w:t>
      </w:r>
      <w:r w:rsidR="00575DF8" w:rsidRPr="00A960DE">
        <w:rPr>
          <w:rFonts w:cs="Times New Roman"/>
          <w:szCs w:val="24"/>
        </w:rPr>
        <w:t>, bez ievērības atstājot apelācijas sūdzībā norādīto argumentu, ka prasītāja līdz mantojuma atklāšanās brīdim ar māti dzīvoja vienā dzīvoklī. Šī iemesla dēļ prasītājai objektīvi bija zināms mātes atstātā mantojuma mantas sastāvs.</w:t>
      </w:r>
    </w:p>
    <w:p w14:paraId="6363026B" w14:textId="5C849E5F" w:rsidR="001F23EA" w:rsidRPr="00A960DE" w:rsidRDefault="00DB734E" w:rsidP="00A960DE">
      <w:pPr>
        <w:spacing w:after="0" w:line="276" w:lineRule="auto"/>
        <w:ind w:firstLine="567"/>
        <w:jc w:val="both"/>
        <w:rPr>
          <w:rFonts w:cs="Times New Roman"/>
          <w:szCs w:val="24"/>
        </w:rPr>
      </w:pPr>
      <w:r w:rsidRPr="00A960DE">
        <w:rPr>
          <w:rFonts w:cs="Times New Roman"/>
          <w:szCs w:val="24"/>
        </w:rPr>
        <w:t>Tiesa n</w:t>
      </w:r>
      <w:r w:rsidR="001F23EA" w:rsidRPr="00A960DE">
        <w:rPr>
          <w:rFonts w:cs="Times New Roman"/>
          <w:szCs w:val="24"/>
        </w:rPr>
        <w:t>evar ignorēt</w:t>
      </w:r>
      <w:r w:rsidR="00B17BE7" w:rsidRPr="00A960DE">
        <w:rPr>
          <w:rFonts w:cs="Times New Roman"/>
          <w:szCs w:val="24"/>
        </w:rPr>
        <w:t xml:space="preserve"> faktu</w:t>
      </w:r>
      <w:r w:rsidR="001F23EA" w:rsidRPr="00A960DE">
        <w:rPr>
          <w:rFonts w:cs="Times New Roman"/>
          <w:szCs w:val="24"/>
        </w:rPr>
        <w:t xml:space="preserve">, ka mantot aicinātais rīkojies atbilstoši </w:t>
      </w:r>
      <w:r w:rsidR="00FA2209" w:rsidRPr="00A960DE">
        <w:rPr>
          <w:rFonts w:cs="Times New Roman"/>
          <w:szCs w:val="24"/>
        </w:rPr>
        <w:t xml:space="preserve">zvērināta notāra </w:t>
      </w:r>
      <w:r w:rsidR="001F23EA" w:rsidRPr="00A960DE">
        <w:rPr>
          <w:rFonts w:cs="Times New Roman"/>
          <w:szCs w:val="24"/>
        </w:rPr>
        <w:t>paziņojum</w:t>
      </w:r>
      <w:r w:rsidR="00B17BE7" w:rsidRPr="00A960DE">
        <w:rPr>
          <w:rFonts w:cs="Times New Roman"/>
          <w:szCs w:val="24"/>
        </w:rPr>
        <w:t>ā izteikt</w:t>
      </w:r>
      <w:r w:rsidRPr="00A960DE">
        <w:rPr>
          <w:rFonts w:cs="Times New Roman"/>
          <w:szCs w:val="24"/>
        </w:rPr>
        <w:t>ajām</w:t>
      </w:r>
      <w:r w:rsidR="00B17BE7" w:rsidRPr="00A960DE">
        <w:rPr>
          <w:rFonts w:cs="Times New Roman"/>
          <w:szCs w:val="24"/>
        </w:rPr>
        <w:t xml:space="preserve"> rīcības vadlīnijām</w:t>
      </w:r>
      <w:r w:rsidRPr="00A960DE">
        <w:rPr>
          <w:rFonts w:cs="Times New Roman"/>
          <w:szCs w:val="24"/>
        </w:rPr>
        <w:t>, tāpēc</w:t>
      </w:r>
      <w:r w:rsidR="001F23EA" w:rsidRPr="00A960DE">
        <w:rPr>
          <w:rFonts w:cs="Times New Roman"/>
          <w:szCs w:val="24"/>
        </w:rPr>
        <w:t xml:space="preserve"> mantinieka rīcība kvalificējama atbilstoši Civillikuma 691.</w:t>
      </w:r>
      <w:r w:rsidR="00035113" w:rsidRPr="00A960DE">
        <w:rPr>
          <w:rFonts w:cs="Times New Roman"/>
          <w:szCs w:val="24"/>
        </w:rPr>
        <w:t> </w:t>
      </w:r>
      <w:r w:rsidR="001F23EA" w:rsidRPr="00A960DE">
        <w:rPr>
          <w:rFonts w:cs="Times New Roman"/>
          <w:szCs w:val="24"/>
        </w:rPr>
        <w:t>pantā ietvertās tiesību normas sastāvam</w:t>
      </w:r>
      <w:r w:rsidR="00B17BE7" w:rsidRPr="00A960DE">
        <w:rPr>
          <w:rFonts w:cs="Times New Roman"/>
          <w:szCs w:val="24"/>
        </w:rPr>
        <w:t xml:space="preserve"> – kā </w:t>
      </w:r>
      <w:r w:rsidRPr="00A960DE">
        <w:rPr>
          <w:rFonts w:cs="Times New Roman"/>
          <w:szCs w:val="24"/>
        </w:rPr>
        <w:t xml:space="preserve">klusējot pausts </w:t>
      </w:r>
      <w:r w:rsidR="00B17BE7" w:rsidRPr="00A960DE">
        <w:rPr>
          <w:rFonts w:cs="Times New Roman"/>
          <w:szCs w:val="24"/>
        </w:rPr>
        <w:t xml:space="preserve">gribas izteikums pieņemt </w:t>
      </w:r>
      <w:r w:rsidRPr="00A960DE">
        <w:rPr>
          <w:rFonts w:cs="Times New Roman"/>
          <w:szCs w:val="24"/>
        </w:rPr>
        <w:t xml:space="preserve">mātes atstāto </w:t>
      </w:r>
      <w:r w:rsidR="00B17BE7" w:rsidRPr="00A960DE">
        <w:rPr>
          <w:rFonts w:cs="Times New Roman"/>
          <w:szCs w:val="24"/>
        </w:rPr>
        <w:t>mantojumu.</w:t>
      </w:r>
    </w:p>
    <w:p w14:paraId="0B2CFA0D" w14:textId="77777777" w:rsidR="00B17BE7" w:rsidRPr="00A960DE" w:rsidRDefault="00B17BE7" w:rsidP="00A960DE">
      <w:pPr>
        <w:spacing w:after="0" w:line="276" w:lineRule="auto"/>
        <w:jc w:val="center"/>
        <w:rPr>
          <w:rFonts w:cs="Times New Roman"/>
          <w:b/>
          <w:szCs w:val="24"/>
        </w:rPr>
      </w:pPr>
    </w:p>
    <w:p w14:paraId="07D81130" w14:textId="5DD3388A" w:rsidR="00B10CFE" w:rsidRPr="00A960DE" w:rsidRDefault="00B10CFE" w:rsidP="00A960DE">
      <w:pPr>
        <w:spacing w:after="0" w:line="276" w:lineRule="auto"/>
        <w:jc w:val="center"/>
        <w:rPr>
          <w:rFonts w:cs="Times New Roman"/>
          <w:b/>
          <w:szCs w:val="24"/>
        </w:rPr>
      </w:pPr>
      <w:r w:rsidRPr="00A960DE">
        <w:rPr>
          <w:rFonts w:cs="Times New Roman"/>
          <w:b/>
          <w:szCs w:val="24"/>
        </w:rPr>
        <w:t>Motīvu daļa</w:t>
      </w:r>
    </w:p>
    <w:p w14:paraId="2CAD96AF" w14:textId="77777777" w:rsidR="00B10CFE" w:rsidRPr="00A960DE" w:rsidRDefault="00B10CFE" w:rsidP="00A960DE">
      <w:pPr>
        <w:spacing w:after="0" w:line="276" w:lineRule="auto"/>
        <w:jc w:val="center"/>
        <w:rPr>
          <w:rFonts w:cs="Times New Roman"/>
          <w:b/>
          <w:szCs w:val="24"/>
        </w:rPr>
      </w:pPr>
    </w:p>
    <w:p w14:paraId="072B5461" w14:textId="5EA46AFE" w:rsidR="005A64DF" w:rsidRPr="00A960DE" w:rsidRDefault="00B10CFE" w:rsidP="00A960DE">
      <w:pPr>
        <w:spacing w:after="0" w:line="276" w:lineRule="auto"/>
        <w:ind w:firstLine="567"/>
        <w:jc w:val="both"/>
        <w:rPr>
          <w:rFonts w:cs="Times New Roman"/>
          <w:szCs w:val="24"/>
        </w:rPr>
      </w:pPr>
      <w:r w:rsidRPr="00A960DE">
        <w:rPr>
          <w:rFonts w:cs="Times New Roman"/>
          <w:szCs w:val="24"/>
        </w:rPr>
        <w:lastRenderedPageBreak/>
        <w:t>[</w:t>
      </w:r>
      <w:r w:rsidR="00F04A65" w:rsidRPr="00A960DE">
        <w:rPr>
          <w:rFonts w:cs="Times New Roman"/>
          <w:szCs w:val="24"/>
        </w:rPr>
        <w:t>4</w:t>
      </w:r>
      <w:r w:rsidR="005A64DF" w:rsidRPr="00A960DE">
        <w:rPr>
          <w:rFonts w:cs="Times New Roman"/>
          <w:szCs w:val="24"/>
        </w:rPr>
        <w:t>] Pārbaudījis spriedum</w:t>
      </w:r>
      <w:r w:rsidR="008920C7" w:rsidRPr="00A960DE">
        <w:rPr>
          <w:rFonts w:cs="Times New Roman"/>
          <w:szCs w:val="24"/>
        </w:rPr>
        <w:t>u</w:t>
      </w:r>
      <w:r w:rsidR="005A64DF" w:rsidRPr="00A960DE">
        <w:rPr>
          <w:rFonts w:cs="Times New Roman"/>
          <w:szCs w:val="24"/>
        </w:rPr>
        <w:t xml:space="preserve"> attiecībā uz personu, kura to pārsūdzējusi, un attiecībā uz argumentiem, kas minēti kasācijas sūdzībā, kā to nosaka Civilprocesa likuma 473.</w:t>
      </w:r>
      <w:r w:rsidR="00CD3C75" w:rsidRPr="00A960DE">
        <w:rPr>
          <w:rFonts w:cs="Times New Roman"/>
          <w:szCs w:val="24"/>
        </w:rPr>
        <w:t> </w:t>
      </w:r>
      <w:r w:rsidR="005A64DF" w:rsidRPr="00A960DE">
        <w:rPr>
          <w:rFonts w:cs="Times New Roman"/>
          <w:szCs w:val="24"/>
        </w:rPr>
        <w:t xml:space="preserve">panta pirmā daļa, Senāts atzīst, ka spriedums </w:t>
      </w:r>
      <w:r w:rsidRPr="00A960DE">
        <w:rPr>
          <w:rFonts w:cs="Times New Roman"/>
          <w:szCs w:val="24"/>
        </w:rPr>
        <w:t xml:space="preserve">ir </w:t>
      </w:r>
      <w:r w:rsidR="005A64DF" w:rsidRPr="00A960DE">
        <w:rPr>
          <w:rFonts w:cs="Times New Roman"/>
          <w:szCs w:val="24"/>
        </w:rPr>
        <w:t>atceļams.</w:t>
      </w:r>
    </w:p>
    <w:p w14:paraId="2450BAA6" w14:textId="77777777" w:rsidR="005A64DF" w:rsidRPr="00A960DE" w:rsidRDefault="005A64DF" w:rsidP="00A960DE">
      <w:pPr>
        <w:spacing w:after="0" w:line="276" w:lineRule="auto"/>
        <w:ind w:firstLine="567"/>
        <w:jc w:val="both"/>
        <w:rPr>
          <w:rFonts w:cs="Times New Roman"/>
          <w:szCs w:val="24"/>
        </w:rPr>
      </w:pPr>
    </w:p>
    <w:p w14:paraId="5E97F923" w14:textId="6BCF24D7" w:rsidR="00911BB1" w:rsidRPr="00A960DE" w:rsidRDefault="00B10CFE" w:rsidP="00A960DE">
      <w:pPr>
        <w:spacing w:after="0" w:line="276" w:lineRule="auto"/>
        <w:ind w:firstLine="567"/>
        <w:jc w:val="both"/>
        <w:rPr>
          <w:rFonts w:cs="Times New Roman"/>
          <w:szCs w:val="24"/>
        </w:rPr>
      </w:pPr>
      <w:r w:rsidRPr="00A960DE">
        <w:rPr>
          <w:rFonts w:cs="Times New Roman"/>
          <w:szCs w:val="24"/>
        </w:rPr>
        <w:t>[</w:t>
      </w:r>
      <w:r w:rsidR="00F04A65" w:rsidRPr="00A960DE">
        <w:rPr>
          <w:rFonts w:cs="Times New Roman"/>
          <w:szCs w:val="24"/>
        </w:rPr>
        <w:t>5</w:t>
      </w:r>
      <w:r w:rsidR="005A64DF" w:rsidRPr="00A960DE">
        <w:rPr>
          <w:rFonts w:cs="Times New Roman"/>
          <w:szCs w:val="24"/>
        </w:rPr>
        <w:t>]</w:t>
      </w:r>
      <w:r w:rsidR="006F29CB" w:rsidRPr="00A960DE">
        <w:rPr>
          <w:rFonts w:cs="Times New Roman"/>
          <w:szCs w:val="24"/>
        </w:rPr>
        <w:t> </w:t>
      </w:r>
      <w:r w:rsidR="00C664F7" w:rsidRPr="00A960DE">
        <w:rPr>
          <w:rFonts w:cs="Times New Roman"/>
          <w:szCs w:val="24"/>
        </w:rPr>
        <w:t>No Civillikuma 691. panta tiesību normas tiesiskā sastāva nepārprotami izriet, ka mantinieka veikto darbību pietiekamība, lai būtu identificējams klusējot pausts gribas izteikums pieņemt mantojumu, ir izvērtējams individuāli atbilstoši konkrētās lietas faktiskajiem apstākļiem.</w:t>
      </w:r>
    </w:p>
    <w:p w14:paraId="3820BE5C" w14:textId="02360B51" w:rsidR="00FA2209" w:rsidRPr="00A960DE" w:rsidRDefault="00EB4F4D" w:rsidP="00A960DE">
      <w:pPr>
        <w:spacing w:after="0" w:line="276" w:lineRule="auto"/>
        <w:ind w:firstLine="567"/>
        <w:jc w:val="both"/>
        <w:rPr>
          <w:rFonts w:cs="Times New Roman"/>
          <w:szCs w:val="24"/>
        </w:rPr>
      </w:pPr>
      <w:r w:rsidRPr="00A960DE">
        <w:rPr>
          <w:rFonts w:cs="Times New Roman"/>
          <w:szCs w:val="24"/>
        </w:rPr>
        <w:t>V</w:t>
      </w:r>
      <w:r w:rsidR="0043043F" w:rsidRPr="00A960DE">
        <w:rPr>
          <w:rFonts w:cs="Times New Roman"/>
          <w:szCs w:val="24"/>
        </w:rPr>
        <w:t>ispārīgi v</w:t>
      </w:r>
      <w:r w:rsidRPr="00A960DE">
        <w:rPr>
          <w:rFonts w:cs="Times New Roman"/>
          <w:szCs w:val="24"/>
        </w:rPr>
        <w:t xml:space="preserve">ar piekrist apgabaltiesas secinājumam, </w:t>
      </w:r>
      <w:proofErr w:type="gramStart"/>
      <w:r w:rsidRPr="00A960DE">
        <w:rPr>
          <w:rFonts w:cs="Times New Roman"/>
          <w:szCs w:val="24"/>
        </w:rPr>
        <w:t>ka mantinieka klāt</w:t>
      </w:r>
      <w:r w:rsidR="00384E2F" w:rsidRPr="00A960DE">
        <w:rPr>
          <w:rFonts w:cs="Times New Roman"/>
          <w:szCs w:val="24"/>
        </w:rPr>
        <w:t>esam</w:t>
      </w:r>
      <w:r w:rsidRPr="00A960DE">
        <w:rPr>
          <w:rFonts w:cs="Times New Roman"/>
          <w:szCs w:val="24"/>
        </w:rPr>
        <w:t>ība pēdējā</w:t>
      </w:r>
      <w:r w:rsidR="00E31606" w:rsidRPr="00A960DE">
        <w:rPr>
          <w:rFonts w:cs="Times New Roman"/>
          <w:szCs w:val="24"/>
        </w:rPr>
        <w:t>s</w:t>
      </w:r>
      <w:r w:rsidRPr="00A960DE">
        <w:rPr>
          <w:rFonts w:cs="Times New Roman"/>
          <w:szCs w:val="24"/>
        </w:rPr>
        <w:t xml:space="preserve"> gribas rīkojuma nolasīšanā </w:t>
      </w:r>
      <w:r w:rsidR="00DB71ED" w:rsidRPr="00A960DE">
        <w:rPr>
          <w:rFonts w:cs="Times New Roman"/>
          <w:szCs w:val="24"/>
        </w:rPr>
        <w:t>atbilstoši</w:t>
      </w:r>
      <w:r w:rsidRPr="00A960DE">
        <w:rPr>
          <w:rFonts w:cs="Times New Roman"/>
          <w:szCs w:val="24"/>
        </w:rPr>
        <w:t xml:space="preserve"> Civillikuma 692. panta pirm</w:t>
      </w:r>
      <w:r w:rsidR="00DB71ED" w:rsidRPr="00A960DE">
        <w:rPr>
          <w:rFonts w:cs="Times New Roman"/>
          <w:szCs w:val="24"/>
        </w:rPr>
        <w:t>ajai daļai</w:t>
      </w:r>
      <w:proofErr w:type="gramEnd"/>
      <w:r w:rsidR="00DB71ED" w:rsidRPr="00A960DE">
        <w:rPr>
          <w:rFonts w:cs="Times New Roman"/>
          <w:szCs w:val="24"/>
        </w:rPr>
        <w:t xml:space="preserve"> </w:t>
      </w:r>
      <w:r w:rsidRPr="00A960DE">
        <w:rPr>
          <w:rFonts w:cs="Times New Roman"/>
          <w:szCs w:val="24"/>
        </w:rPr>
        <w:t>pat</w:t>
      </w:r>
      <w:r w:rsidR="003F14CE" w:rsidRPr="00A960DE">
        <w:rPr>
          <w:rFonts w:cs="Times New Roman"/>
          <w:szCs w:val="24"/>
        </w:rPr>
        <w:t>i</w:t>
      </w:r>
      <w:r w:rsidRPr="00A960DE">
        <w:rPr>
          <w:rFonts w:cs="Times New Roman"/>
          <w:szCs w:val="24"/>
        </w:rPr>
        <w:t xml:space="preserve"> par sevi nevar </w:t>
      </w:r>
      <w:r w:rsidR="00AE563D" w:rsidRPr="00A960DE">
        <w:rPr>
          <w:rFonts w:cs="Times New Roman"/>
          <w:szCs w:val="24"/>
        </w:rPr>
        <w:t>tikt atzīt</w:t>
      </w:r>
      <w:r w:rsidR="003F14CE" w:rsidRPr="00A960DE">
        <w:rPr>
          <w:rFonts w:cs="Times New Roman"/>
          <w:szCs w:val="24"/>
        </w:rPr>
        <w:t>a</w:t>
      </w:r>
      <w:r w:rsidR="00AE563D" w:rsidRPr="00A960DE">
        <w:rPr>
          <w:rFonts w:cs="Times New Roman"/>
          <w:szCs w:val="24"/>
        </w:rPr>
        <w:t xml:space="preserve"> par</w:t>
      </w:r>
      <w:r w:rsidRPr="00A960DE">
        <w:rPr>
          <w:rFonts w:cs="Times New Roman"/>
          <w:szCs w:val="24"/>
        </w:rPr>
        <w:t xml:space="preserve"> </w:t>
      </w:r>
      <w:r w:rsidR="00AE563D" w:rsidRPr="00A960DE">
        <w:rPr>
          <w:rFonts w:cs="Times New Roman"/>
          <w:szCs w:val="24"/>
        </w:rPr>
        <w:t>vienīgo</w:t>
      </w:r>
      <w:r w:rsidR="00FA2209" w:rsidRPr="00A960DE">
        <w:rPr>
          <w:rFonts w:cs="Times New Roman"/>
          <w:szCs w:val="24"/>
        </w:rPr>
        <w:t xml:space="preserve"> un</w:t>
      </w:r>
      <w:r w:rsidR="00AE563D" w:rsidRPr="00A960DE">
        <w:rPr>
          <w:rFonts w:cs="Times New Roman"/>
          <w:szCs w:val="24"/>
        </w:rPr>
        <w:t xml:space="preserve"> nepieciešamo priekšnoteikumu</w:t>
      </w:r>
      <w:r w:rsidRPr="00A960DE">
        <w:rPr>
          <w:rFonts w:cs="Times New Roman"/>
          <w:szCs w:val="24"/>
        </w:rPr>
        <w:t xml:space="preserve"> mantojuma pieņemšanas fakta konstatēšanai.</w:t>
      </w:r>
      <w:r w:rsidR="00E31606" w:rsidRPr="00A960DE">
        <w:rPr>
          <w:rFonts w:cs="Times New Roman"/>
          <w:szCs w:val="24"/>
        </w:rPr>
        <w:t xml:space="preserve"> </w:t>
      </w:r>
    </w:p>
    <w:p w14:paraId="3093A33E" w14:textId="6FF5BF53" w:rsidR="00EB4F4D" w:rsidRPr="00A960DE" w:rsidRDefault="00E31606" w:rsidP="00A960DE">
      <w:pPr>
        <w:spacing w:after="0" w:line="276" w:lineRule="auto"/>
        <w:ind w:firstLine="567"/>
        <w:jc w:val="both"/>
        <w:rPr>
          <w:rFonts w:cs="Times New Roman"/>
          <w:szCs w:val="24"/>
        </w:rPr>
      </w:pPr>
      <w:r w:rsidRPr="00A960DE">
        <w:rPr>
          <w:rFonts w:cs="Times New Roman"/>
          <w:szCs w:val="24"/>
        </w:rPr>
        <w:t>Tajā pašā laikā bez ievērības nevar palikt tādi konkrētās lietas faktiskie apstākļi</w:t>
      </w:r>
      <w:r w:rsidR="00597FD3" w:rsidRPr="00A960DE">
        <w:rPr>
          <w:rFonts w:cs="Times New Roman"/>
          <w:szCs w:val="24"/>
        </w:rPr>
        <w:t xml:space="preserve">, </w:t>
      </w:r>
      <w:r w:rsidR="007907C0" w:rsidRPr="00A960DE">
        <w:rPr>
          <w:rFonts w:cs="Times New Roman"/>
          <w:szCs w:val="24"/>
        </w:rPr>
        <w:t>kuri</w:t>
      </w:r>
      <w:r w:rsidR="00AE563D" w:rsidRPr="00A960DE">
        <w:rPr>
          <w:rFonts w:cs="Times New Roman"/>
          <w:szCs w:val="24"/>
        </w:rPr>
        <w:t xml:space="preserve"> apstiprinās ar pierādījumiem lietā un</w:t>
      </w:r>
      <w:r w:rsidR="007907C0" w:rsidRPr="00A960DE">
        <w:rPr>
          <w:rFonts w:cs="Times New Roman"/>
          <w:szCs w:val="24"/>
        </w:rPr>
        <w:t xml:space="preserve"> ir būtiski no tiesību piemērošanas viedokļa, uz ko pareizi norādīts kasācijas sūdzībā</w:t>
      </w:r>
      <w:r w:rsidR="00773B85" w:rsidRPr="00A960DE">
        <w:rPr>
          <w:rFonts w:cs="Times New Roman"/>
          <w:szCs w:val="24"/>
        </w:rPr>
        <w:t>, un kuriem tiesa</w:t>
      </w:r>
      <w:r w:rsidR="00AE563D" w:rsidRPr="00A960DE">
        <w:rPr>
          <w:rFonts w:cs="Times New Roman"/>
          <w:szCs w:val="24"/>
        </w:rPr>
        <w:t xml:space="preserve"> atbilstošu vērtējumu, kādu prasa </w:t>
      </w:r>
      <w:r w:rsidR="00AE563D" w:rsidRPr="00A960DE">
        <w:rPr>
          <w:rFonts w:eastAsia="Times New Roman" w:cs="Times New Roman"/>
          <w:szCs w:val="24"/>
          <w:lang w:eastAsia="lv-LV"/>
        </w:rPr>
        <w:t>Civilprocesa likuma 97. panta trešās daļas un 193. panta piektās daļas tiesību norm</w:t>
      </w:r>
      <w:r w:rsidR="00FA2209" w:rsidRPr="00A960DE">
        <w:rPr>
          <w:rFonts w:eastAsia="Times New Roman" w:cs="Times New Roman"/>
          <w:szCs w:val="24"/>
          <w:lang w:eastAsia="lv-LV"/>
        </w:rPr>
        <w:t>as</w:t>
      </w:r>
      <w:r w:rsidR="00AE563D" w:rsidRPr="00A960DE">
        <w:rPr>
          <w:rFonts w:eastAsia="Times New Roman" w:cs="Times New Roman"/>
          <w:szCs w:val="24"/>
          <w:lang w:eastAsia="lv-LV"/>
        </w:rPr>
        <w:t xml:space="preserve"> noteikumi,</w:t>
      </w:r>
      <w:r w:rsidR="00773B85" w:rsidRPr="00A960DE">
        <w:rPr>
          <w:rFonts w:cs="Times New Roman"/>
          <w:szCs w:val="24"/>
        </w:rPr>
        <w:t xml:space="preserve"> nav devusi.</w:t>
      </w:r>
    </w:p>
    <w:p w14:paraId="33FBB9A7" w14:textId="0C8DAA0F" w:rsidR="00911BB1" w:rsidRPr="00A960DE" w:rsidRDefault="00E31606" w:rsidP="00A960DE">
      <w:pPr>
        <w:spacing w:after="0" w:line="276" w:lineRule="auto"/>
        <w:ind w:firstLine="567"/>
        <w:jc w:val="both"/>
        <w:rPr>
          <w:rFonts w:cs="Times New Roman"/>
          <w:szCs w:val="24"/>
        </w:rPr>
      </w:pPr>
      <w:r w:rsidRPr="00A960DE">
        <w:rPr>
          <w:rFonts w:cs="Times New Roman"/>
          <w:szCs w:val="24"/>
        </w:rPr>
        <w:t>[5.1]</w:t>
      </w:r>
      <w:r w:rsidR="00357FB1" w:rsidRPr="00A960DE">
        <w:rPr>
          <w:rFonts w:cs="Times New Roman"/>
          <w:szCs w:val="24"/>
        </w:rPr>
        <w:t> </w:t>
      </w:r>
      <w:r w:rsidR="00597FD3" w:rsidRPr="00A960DE">
        <w:rPr>
          <w:rFonts w:cs="Times New Roman"/>
          <w:szCs w:val="24"/>
        </w:rPr>
        <w:t>Tiesa</w:t>
      </w:r>
      <w:r w:rsidR="00773B85" w:rsidRPr="00A960DE">
        <w:rPr>
          <w:rFonts w:cs="Times New Roman"/>
          <w:szCs w:val="24"/>
        </w:rPr>
        <w:t xml:space="preserve"> pārbaudāmajā spriedumā pareizi norādījusi uz</w:t>
      </w:r>
      <w:r w:rsidR="00597FD3" w:rsidRPr="00A960DE">
        <w:rPr>
          <w:rFonts w:cs="Times New Roman"/>
          <w:szCs w:val="24"/>
        </w:rPr>
        <w:t xml:space="preserve"> zvērināta notāra </w:t>
      </w:r>
      <w:r w:rsidR="007907C0" w:rsidRPr="00A960DE">
        <w:rPr>
          <w:rFonts w:cs="Times New Roman"/>
          <w:szCs w:val="24"/>
        </w:rPr>
        <w:t xml:space="preserve">īpašo </w:t>
      </w:r>
      <w:r w:rsidR="00597FD3" w:rsidRPr="00A960DE">
        <w:rPr>
          <w:rFonts w:cs="Times New Roman"/>
          <w:szCs w:val="24"/>
        </w:rPr>
        <w:t>amatpersonas statusu un nozīmi personu civilo tiesību un likumīgo interešu nodrošināšanā</w:t>
      </w:r>
      <w:r w:rsidR="00D32831" w:rsidRPr="00A960DE">
        <w:rPr>
          <w:rFonts w:cs="Times New Roman"/>
          <w:szCs w:val="24"/>
        </w:rPr>
        <w:t>,</w:t>
      </w:r>
      <w:r w:rsidR="00911BB1" w:rsidRPr="00A960DE">
        <w:rPr>
          <w:rFonts w:cs="Times New Roman"/>
          <w:szCs w:val="24"/>
        </w:rPr>
        <w:t xml:space="preserve"> uz kura kompetenci un neatkarību pakalpojuma saņēmējs </w:t>
      </w:r>
      <w:r w:rsidR="00CB515A" w:rsidRPr="00A960DE">
        <w:rPr>
          <w:rFonts w:cs="Times New Roman"/>
          <w:szCs w:val="24"/>
        </w:rPr>
        <w:t xml:space="preserve">parasti </w:t>
      </w:r>
      <w:r w:rsidR="00911BB1" w:rsidRPr="00A960DE">
        <w:rPr>
          <w:rFonts w:cs="Times New Roman"/>
          <w:szCs w:val="24"/>
        </w:rPr>
        <w:t xml:space="preserve">var paļauties. </w:t>
      </w:r>
    </w:p>
    <w:p w14:paraId="3057B51F" w14:textId="64657F78" w:rsidR="0020780E" w:rsidRPr="00A960DE" w:rsidRDefault="00035A1A" w:rsidP="00A960DE">
      <w:pPr>
        <w:spacing w:after="0" w:line="276" w:lineRule="auto"/>
        <w:ind w:firstLine="567"/>
        <w:jc w:val="both"/>
        <w:rPr>
          <w:rFonts w:cs="Times New Roman"/>
          <w:szCs w:val="24"/>
        </w:rPr>
      </w:pPr>
      <w:r w:rsidRPr="00A960DE">
        <w:rPr>
          <w:rFonts w:cs="Times New Roman"/>
          <w:szCs w:val="24"/>
        </w:rPr>
        <w:t>[5.2]</w:t>
      </w:r>
      <w:r w:rsidR="00357FB1" w:rsidRPr="00A960DE">
        <w:rPr>
          <w:rFonts w:cs="Times New Roman"/>
          <w:szCs w:val="24"/>
        </w:rPr>
        <w:t> </w:t>
      </w:r>
      <w:r w:rsidR="00911BB1" w:rsidRPr="00A960DE">
        <w:rPr>
          <w:rFonts w:cs="Times New Roman"/>
          <w:szCs w:val="24"/>
        </w:rPr>
        <w:t>Abu instanču tiesas atzina zvērināta notāra paziņojumu</w:t>
      </w:r>
      <w:r w:rsidR="00D04709" w:rsidRPr="00A960DE">
        <w:rPr>
          <w:rFonts w:cs="Times New Roman"/>
          <w:szCs w:val="24"/>
        </w:rPr>
        <w:t>, kas atreferēts sprieduma 1. punktā,</w:t>
      </w:r>
      <w:r w:rsidR="00911BB1" w:rsidRPr="00A960DE">
        <w:rPr>
          <w:rFonts w:cs="Times New Roman"/>
          <w:szCs w:val="24"/>
        </w:rPr>
        <w:t xml:space="preserve"> par “nepilnīgu, tekstuāli neviennozīmīgu un personu maldinošu”</w:t>
      </w:r>
      <w:r w:rsidR="00D04709" w:rsidRPr="00A960DE">
        <w:rPr>
          <w:rFonts w:cs="Times New Roman"/>
          <w:szCs w:val="24"/>
        </w:rPr>
        <w:t>.</w:t>
      </w:r>
    </w:p>
    <w:p w14:paraId="5C978176" w14:textId="65324C67" w:rsidR="001E47D7" w:rsidRPr="00A960DE" w:rsidRDefault="00CB515A" w:rsidP="00A960DE">
      <w:pPr>
        <w:spacing w:after="0" w:line="276" w:lineRule="auto"/>
        <w:ind w:firstLine="567"/>
        <w:jc w:val="both"/>
        <w:rPr>
          <w:rFonts w:cs="Times New Roman"/>
          <w:szCs w:val="24"/>
        </w:rPr>
      </w:pPr>
      <w:r w:rsidRPr="00A960DE">
        <w:rPr>
          <w:rFonts w:cs="Times New Roman"/>
          <w:szCs w:val="24"/>
        </w:rPr>
        <w:t>S</w:t>
      </w:r>
      <w:r w:rsidR="00D32831" w:rsidRPr="00A960DE">
        <w:rPr>
          <w:rFonts w:cs="Times New Roman"/>
          <w:szCs w:val="24"/>
        </w:rPr>
        <w:t>ituācijā, kad mantot ai</w:t>
      </w:r>
      <w:r w:rsidR="007907C0" w:rsidRPr="00A960DE">
        <w:rPr>
          <w:rFonts w:cs="Times New Roman"/>
          <w:szCs w:val="24"/>
        </w:rPr>
        <w:t>cinātais</w:t>
      </w:r>
      <w:r w:rsidR="00E830FB" w:rsidRPr="00A960DE">
        <w:rPr>
          <w:rFonts w:cs="Times New Roman"/>
          <w:szCs w:val="24"/>
        </w:rPr>
        <w:t xml:space="preserve">, </w:t>
      </w:r>
      <w:r w:rsidR="00236D1B" w:rsidRPr="00A960DE">
        <w:rPr>
          <w:rFonts w:cs="Times New Roman"/>
          <w:szCs w:val="24"/>
        </w:rPr>
        <w:t>paužot</w:t>
      </w:r>
      <w:r w:rsidR="00E830FB" w:rsidRPr="00A960DE">
        <w:rPr>
          <w:rFonts w:cs="Times New Roman"/>
          <w:szCs w:val="24"/>
        </w:rPr>
        <w:t xml:space="preserve"> gribu pieņemt mantojumu,</w:t>
      </w:r>
      <w:r w:rsidR="00E2002B" w:rsidRPr="00A960DE">
        <w:rPr>
          <w:rFonts w:cs="Times New Roman"/>
          <w:szCs w:val="24"/>
        </w:rPr>
        <w:t xml:space="preserve"> ir</w:t>
      </w:r>
      <w:r w:rsidR="007907C0" w:rsidRPr="00A960DE">
        <w:rPr>
          <w:rFonts w:cs="Times New Roman"/>
          <w:szCs w:val="24"/>
        </w:rPr>
        <w:t xml:space="preserve"> rīkojies stingrā saskaņā ar zvērināta notāra </w:t>
      </w:r>
      <w:r w:rsidR="00E2002B" w:rsidRPr="00A960DE">
        <w:rPr>
          <w:rFonts w:cs="Times New Roman"/>
          <w:szCs w:val="24"/>
        </w:rPr>
        <w:t>paziņojuma priekšrakstiem</w:t>
      </w:r>
      <w:r w:rsidR="00E830FB" w:rsidRPr="00A960DE">
        <w:rPr>
          <w:rFonts w:cs="Times New Roman"/>
          <w:szCs w:val="24"/>
        </w:rPr>
        <w:t xml:space="preserve"> un rēķinājies ar paziņojumā norādītajām neierašanās sekām,</w:t>
      </w:r>
      <w:r w:rsidR="00D32831" w:rsidRPr="00A960DE">
        <w:rPr>
          <w:rFonts w:cs="Times New Roman"/>
          <w:szCs w:val="24"/>
        </w:rPr>
        <w:t xml:space="preserve"> </w:t>
      </w:r>
      <w:r w:rsidR="00E830FB" w:rsidRPr="00A960DE">
        <w:rPr>
          <w:rFonts w:cs="Times New Roman"/>
          <w:szCs w:val="24"/>
        </w:rPr>
        <w:t>pārmest prasītājai likuma prasību ne</w:t>
      </w:r>
      <w:r w:rsidR="00BE3DEF" w:rsidRPr="00A960DE">
        <w:rPr>
          <w:rFonts w:cs="Times New Roman"/>
          <w:szCs w:val="24"/>
        </w:rPr>
        <w:t>zināšanu</w:t>
      </w:r>
      <w:r w:rsidRPr="00A960DE">
        <w:rPr>
          <w:rFonts w:cs="Times New Roman"/>
          <w:szCs w:val="24"/>
        </w:rPr>
        <w:t xml:space="preserve"> </w:t>
      </w:r>
      <w:r w:rsidR="001E47D7" w:rsidRPr="00A960DE">
        <w:rPr>
          <w:rFonts w:cs="Times New Roman"/>
          <w:szCs w:val="24"/>
        </w:rPr>
        <w:t xml:space="preserve">kā šķērsli tiesību </w:t>
      </w:r>
      <w:r w:rsidR="00627B2B" w:rsidRPr="00A960DE">
        <w:rPr>
          <w:rFonts w:cs="Times New Roman"/>
          <w:szCs w:val="24"/>
        </w:rPr>
        <w:t>īstenošanai</w:t>
      </w:r>
      <w:r w:rsidR="001E47D7" w:rsidRPr="00A960DE">
        <w:rPr>
          <w:rFonts w:cs="Times New Roman"/>
          <w:szCs w:val="24"/>
        </w:rPr>
        <w:t xml:space="preserve">, </w:t>
      </w:r>
      <w:r w:rsidR="006A6D0F" w:rsidRPr="00A960DE">
        <w:rPr>
          <w:rFonts w:cs="Times New Roman"/>
          <w:szCs w:val="24"/>
        </w:rPr>
        <w:t>ir ne</w:t>
      </w:r>
      <w:r w:rsidR="0014399F" w:rsidRPr="00A960DE">
        <w:rPr>
          <w:rFonts w:cs="Times New Roman"/>
          <w:szCs w:val="24"/>
        </w:rPr>
        <w:t xml:space="preserve">vietā. </w:t>
      </w:r>
    </w:p>
    <w:p w14:paraId="2AEFC5E3" w14:textId="5B2604EB" w:rsidR="00082626" w:rsidRPr="00A960DE" w:rsidRDefault="0014399F" w:rsidP="00A960DE">
      <w:pPr>
        <w:spacing w:after="0" w:line="276" w:lineRule="auto"/>
        <w:ind w:firstLine="567"/>
        <w:jc w:val="both"/>
        <w:rPr>
          <w:rFonts w:cs="Times New Roman"/>
          <w:szCs w:val="24"/>
        </w:rPr>
      </w:pPr>
      <w:r w:rsidRPr="00A960DE">
        <w:rPr>
          <w:rFonts w:cs="Times New Roman"/>
          <w:szCs w:val="24"/>
        </w:rPr>
        <w:t>Mantinie</w:t>
      </w:r>
      <w:r w:rsidR="00082626" w:rsidRPr="00A960DE">
        <w:rPr>
          <w:rFonts w:cs="Times New Roman"/>
          <w:szCs w:val="24"/>
        </w:rPr>
        <w:t>ku</w:t>
      </w:r>
      <w:r w:rsidRPr="00A960DE">
        <w:rPr>
          <w:rFonts w:cs="Times New Roman"/>
          <w:szCs w:val="24"/>
        </w:rPr>
        <w:t xml:space="preserve"> strīdā netiek </w:t>
      </w:r>
      <w:r w:rsidR="00082626" w:rsidRPr="00A960DE">
        <w:rPr>
          <w:rFonts w:cs="Times New Roman"/>
          <w:szCs w:val="24"/>
        </w:rPr>
        <w:t>pretstatīta</w:t>
      </w:r>
      <w:r w:rsidR="00035A1A" w:rsidRPr="00A960DE">
        <w:rPr>
          <w:rFonts w:cs="Times New Roman"/>
          <w:szCs w:val="24"/>
        </w:rPr>
        <w:t xml:space="preserve"> prāvnieka un amatpersonas</w:t>
      </w:r>
      <w:r w:rsidRPr="00A960DE">
        <w:rPr>
          <w:rFonts w:cs="Times New Roman"/>
          <w:szCs w:val="24"/>
        </w:rPr>
        <w:t xml:space="preserve"> juridiskā zinātība</w:t>
      </w:r>
      <w:r w:rsidR="00035A1A" w:rsidRPr="00A960DE">
        <w:rPr>
          <w:rFonts w:cs="Times New Roman"/>
          <w:szCs w:val="24"/>
        </w:rPr>
        <w:t>, bet gan pārbaudīts</w:t>
      </w:r>
      <w:r w:rsidR="00F17ECA" w:rsidRPr="00A960DE">
        <w:rPr>
          <w:rFonts w:cs="Times New Roman"/>
          <w:szCs w:val="24"/>
        </w:rPr>
        <w:t xml:space="preserve"> prasības pamatā norādītais</w:t>
      </w:r>
      <w:r w:rsidRPr="00A960DE">
        <w:rPr>
          <w:rFonts w:cs="Times New Roman"/>
          <w:szCs w:val="24"/>
        </w:rPr>
        <w:t>, vai amatpersonas maldinošā rīcība</w:t>
      </w:r>
      <w:r w:rsidR="00035A1A" w:rsidRPr="00A960DE">
        <w:rPr>
          <w:rFonts w:cs="Times New Roman"/>
          <w:szCs w:val="24"/>
        </w:rPr>
        <w:t xml:space="preserve"> nav </w:t>
      </w:r>
      <w:r w:rsidR="0020780E" w:rsidRPr="00A960DE">
        <w:rPr>
          <w:rFonts w:cs="Times New Roman"/>
          <w:szCs w:val="24"/>
        </w:rPr>
        <w:t>atstājusi negatīvu ietekmi uz</w:t>
      </w:r>
      <w:r w:rsidR="00035A1A" w:rsidRPr="00A960DE">
        <w:rPr>
          <w:rFonts w:cs="Times New Roman"/>
          <w:szCs w:val="24"/>
        </w:rPr>
        <w:t xml:space="preserve"> </w:t>
      </w:r>
      <w:r w:rsidR="0020780E" w:rsidRPr="00A960DE">
        <w:rPr>
          <w:rFonts w:cs="Times New Roman"/>
          <w:szCs w:val="24"/>
        </w:rPr>
        <w:t xml:space="preserve">mantinieka tiesībām iestāties </w:t>
      </w:r>
      <w:r w:rsidR="00035A1A" w:rsidRPr="00A960DE">
        <w:rPr>
          <w:rFonts w:cs="Times New Roman"/>
          <w:szCs w:val="24"/>
        </w:rPr>
        <w:t>mantojum</w:t>
      </w:r>
      <w:r w:rsidR="0020780E" w:rsidRPr="00A960DE">
        <w:rPr>
          <w:rFonts w:cs="Times New Roman"/>
          <w:szCs w:val="24"/>
        </w:rPr>
        <w:t>ā.</w:t>
      </w:r>
    </w:p>
    <w:p w14:paraId="78BAA3DD" w14:textId="717180CF" w:rsidR="00451B93" w:rsidRPr="00A960DE" w:rsidRDefault="0020780E" w:rsidP="00A960DE">
      <w:pPr>
        <w:spacing w:after="0" w:line="276" w:lineRule="auto"/>
        <w:ind w:firstLine="567"/>
        <w:jc w:val="both"/>
        <w:rPr>
          <w:rFonts w:cs="Times New Roman"/>
          <w:szCs w:val="24"/>
        </w:rPr>
      </w:pPr>
      <w:r w:rsidRPr="00A960DE">
        <w:rPr>
          <w:rFonts w:cs="Times New Roman"/>
          <w:szCs w:val="24"/>
        </w:rPr>
        <w:t>[5.3]</w:t>
      </w:r>
      <w:r w:rsidR="00357FB1" w:rsidRPr="00A960DE">
        <w:rPr>
          <w:rFonts w:cs="Times New Roman"/>
          <w:szCs w:val="24"/>
        </w:rPr>
        <w:t> </w:t>
      </w:r>
      <w:r w:rsidRPr="00A960DE">
        <w:rPr>
          <w:rFonts w:cs="Times New Roman"/>
          <w:szCs w:val="24"/>
        </w:rPr>
        <w:t>T</w:t>
      </w:r>
      <w:r w:rsidR="00CB515A" w:rsidRPr="00A960DE">
        <w:rPr>
          <w:rFonts w:cs="Times New Roman"/>
          <w:szCs w:val="24"/>
        </w:rPr>
        <w:t xml:space="preserve">iesa piešķīra ticamību faktam, kas izriet no </w:t>
      </w:r>
      <w:r w:rsidR="006A6D0F" w:rsidRPr="00A960DE">
        <w:rPr>
          <w:rFonts w:cs="Times New Roman"/>
          <w:szCs w:val="24"/>
        </w:rPr>
        <w:t xml:space="preserve">zvērināta </w:t>
      </w:r>
      <w:r w:rsidR="00CB515A" w:rsidRPr="00A960DE">
        <w:rPr>
          <w:rFonts w:cs="Times New Roman"/>
          <w:szCs w:val="24"/>
        </w:rPr>
        <w:t>notāra liecības</w:t>
      </w:r>
      <w:r w:rsidR="00451B93" w:rsidRPr="00A960DE">
        <w:rPr>
          <w:rFonts w:cs="Times New Roman"/>
          <w:szCs w:val="24"/>
        </w:rPr>
        <w:t xml:space="preserve"> tiesas sēdē</w:t>
      </w:r>
      <w:r w:rsidR="00CB515A" w:rsidRPr="00A960DE">
        <w:rPr>
          <w:rFonts w:cs="Times New Roman"/>
          <w:szCs w:val="24"/>
        </w:rPr>
        <w:t>, ka</w:t>
      </w:r>
      <w:r w:rsidR="00E830FB" w:rsidRPr="00A960DE">
        <w:rPr>
          <w:rFonts w:cs="Times New Roman"/>
          <w:szCs w:val="24"/>
        </w:rPr>
        <w:t xml:space="preserve"> pēc testamenta nolasīšanas prasītāja </w:t>
      </w:r>
      <w:r w:rsidR="00CB515A" w:rsidRPr="00A960DE">
        <w:rPr>
          <w:rFonts w:cs="Times New Roman"/>
          <w:szCs w:val="24"/>
        </w:rPr>
        <w:t>paziņojusi</w:t>
      </w:r>
      <w:r w:rsidR="00E830FB" w:rsidRPr="00A960DE">
        <w:rPr>
          <w:rFonts w:cs="Times New Roman"/>
          <w:szCs w:val="24"/>
        </w:rPr>
        <w:t>, ka vēl domās par mantojuma pieņemšanu</w:t>
      </w:r>
      <w:r w:rsidR="00F17ECA" w:rsidRPr="00A960DE">
        <w:rPr>
          <w:rFonts w:cs="Times New Roman"/>
          <w:szCs w:val="24"/>
        </w:rPr>
        <w:t xml:space="preserve">. </w:t>
      </w:r>
      <w:r w:rsidR="00C8082F" w:rsidRPr="00A960DE">
        <w:rPr>
          <w:rFonts w:cs="Times New Roman"/>
          <w:szCs w:val="24"/>
        </w:rPr>
        <w:t>Savukārt t</w:t>
      </w:r>
      <w:r w:rsidR="005B1A58" w:rsidRPr="00A960DE">
        <w:rPr>
          <w:rFonts w:cs="Times New Roman"/>
          <w:szCs w:val="24"/>
        </w:rPr>
        <w:t>as bija par pamatu</w:t>
      </w:r>
      <w:r w:rsidR="00F17ECA" w:rsidRPr="00A960DE">
        <w:rPr>
          <w:rFonts w:cs="Times New Roman"/>
          <w:szCs w:val="24"/>
        </w:rPr>
        <w:t xml:space="preserve"> tiesa</w:t>
      </w:r>
      <w:r w:rsidR="00C8082F" w:rsidRPr="00A960DE">
        <w:rPr>
          <w:rFonts w:cs="Times New Roman"/>
          <w:szCs w:val="24"/>
        </w:rPr>
        <w:t>s</w:t>
      </w:r>
      <w:r w:rsidR="00F17ECA" w:rsidRPr="00A960DE">
        <w:rPr>
          <w:rFonts w:cs="Times New Roman"/>
          <w:szCs w:val="24"/>
        </w:rPr>
        <w:t xml:space="preserve"> secināj</w:t>
      </w:r>
      <w:r w:rsidR="005B1A58" w:rsidRPr="00A960DE">
        <w:rPr>
          <w:rFonts w:cs="Times New Roman"/>
          <w:szCs w:val="24"/>
        </w:rPr>
        <w:t>umam</w:t>
      </w:r>
      <w:r w:rsidR="00F17ECA" w:rsidRPr="00A960DE">
        <w:rPr>
          <w:rFonts w:cs="Times New Roman"/>
          <w:szCs w:val="24"/>
        </w:rPr>
        <w:t xml:space="preserve">, ka </w:t>
      </w:r>
      <w:r w:rsidR="005B1A58" w:rsidRPr="00A960DE">
        <w:rPr>
          <w:rFonts w:cs="Times New Roman"/>
          <w:szCs w:val="24"/>
        </w:rPr>
        <w:t>prasītāja</w:t>
      </w:r>
      <w:r w:rsidR="00F17ECA" w:rsidRPr="00A960DE">
        <w:rPr>
          <w:rFonts w:cs="Times New Roman"/>
          <w:szCs w:val="24"/>
        </w:rPr>
        <w:t xml:space="preserve"> gribu pieņemt mantojumu neizteica. </w:t>
      </w:r>
    </w:p>
    <w:p w14:paraId="2D99744F" w14:textId="4AC00AAD" w:rsidR="00E830FB" w:rsidRPr="00A960DE" w:rsidRDefault="00627B2B" w:rsidP="00A960DE">
      <w:pPr>
        <w:spacing w:after="0" w:line="276" w:lineRule="auto"/>
        <w:ind w:firstLine="567"/>
        <w:jc w:val="both"/>
        <w:rPr>
          <w:rFonts w:cs="Times New Roman"/>
          <w:szCs w:val="24"/>
        </w:rPr>
      </w:pPr>
      <w:r w:rsidRPr="00A960DE">
        <w:rPr>
          <w:rFonts w:cs="Times New Roman"/>
          <w:szCs w:val="24"/>
        </w:rPr>
        <w:t xml:space="preserve">Šāds </w:t>
      </w:r>
      <w:r w:rsidR="00F17ECA" w:rsidRPr="00A960DE">
        <w:rPr>
          <w:rFonts w:cs="Times New Roman"/>
          <w:szCs w:val="24"/>
        </w:rPr>
        <w:t xml:space="preserve">tiesas </w:t>
      </w:r>
      <w:r w:rsidR="00C52D51" w:rsidRPr="00A960DE">
        <w:rPr>
          <w:rFonts w:cs="Times New Roman"/>
          <w:szCs w:val="24"/>
        </w:rPr>
        <w:t>nodibinātais</w:t>
      </w:r>
      <w:r w:rsidR="0020780E" w:rsidRPr="00A960DE">
        <w:rPr>
          <w:rFonts w:cs="Times New Roman"/>
          <w:szCs w:val="24"/>
        </w:rPr>
        <w:t xml:space="preserve"> fakts ir </w:t>
      </w:r>
      <w:r w:rsidR="00E830FB" w:rsidRPr="00A960DE">
        <w:rPr>
          <w:rFonts w:cs="Times New Roman"/>
          <w:szCs w:val="24"/>
        </w:rPr>
        <w:t xml:space="preserve">izslēdzošā pretrunā </w:t>
      </w:r>
      <w:r w:rsidRPr="00A960DE">
        <w:rPr>
          <w:rFonts w:cs="Times New Roman"/>
          <w:szCs w:val="24"/>
        </w:rPr>
        <w:t xml:space="preserve">gan </w:t>
      </w:r>
      <w:r w:rsidR="00E830FB" w:rsidRPr="00A960DE">
        <w:rPr>
          <w:rFonts w:cs="Times New Roman"/>
          <w:szCs w:val="24"/>
        </w:rPr>
        <w:t xml:space="preserve">ar </w:t>
      </w:r>
      <w:r w:rsidR="0020780E" w:rsidRPr="00A960DE">
        <w:rPr>
          <w:rFonts w:cs="Times New Roman"/>
          <w:szCs w:val="24"/>
        </w:rPr>
        <w:t xml:space="preserve">prasītājas </w:t>
      </w:r>
      <w:r w:rsidRPr="00A960DE">
        <w:rPr>
          <w:rFonts w:cs="Times New Roman"/>
          <w:szCs w:val="24"/>
        </w:rPr>
        <w:t>sniegtajiem paskaidrojumiem</w:t>
      </w:r>
      <w:r w:rsidR="00135506" w:rsidRPr="00A960DE">
        <w:rPr>
          <w:rFonts w:cs="Times New Roman"/>
          <w:szCs w:val="24"/>
        </w:rPr>
        <w:t xml:space="preserve">, </w:t>
      </w:r>
      <w:r w:rsidRPr="00A960DE">
        <w:rPr>
          <w:rFonts w:cs="Times New Roman"/>
          <w:szCs w:val="24"/>
        </w:rPr>
        <w:t xml:space="preserve">gan </w:t>
      </w:r>
      <w:r w:rsidR="00135506" w:rsidRPr="00A960DE">
        <w:rPr>
          <w:rFonts w:cs="Times New Roman"/>
          <w:szCs w:val="24"/>
        </w:rPr>
        <w:t xml:space="preserve">ar </w:t>
      </w:r>
      <w:r w:rsidR="00A84CD6" w:rsidRPr="00A960DE">
        <w:rPr>
          <w:rFonts w:cs="Times New Roman"/>
          <w:szCs w:val="24"/>
        </w:rPr>
        <w:t xml:space="preserve">citu pierādījumu lietā </w:t>
      </w:r>
      <w:r w:rsidRPr="00A960DE">
        <w:rPr>
          <w:rFonts w:cs="Times New Roman"/>
          <w:szCs w:val="24"/>
        </w:rPr>
        <w:t>–</w:t>
      </w:r>
      <w:r w:rsidR="00A84CD6" w:rsidRPr="00A960DE">
        <w:rPr>
          <w:rFonts w:cs="Times New Roman"/>
          <w:szCs w:val="24"/>
        </w:rPr>
        <w:t xml:space="preserve"> pašas </w:t>
      </w:r>
      <w:r w:rsidR="005B1A58" w:rsidRPr="00A960DE">
        <w:rPr>
          <w:rFonts w:cs="Times New Roman"/>
          <w:szCs w:val="24"/>
        </w:rPr>
        <w:t>liecinājušās</w:t>
      </w:r>
      <w:r w:rsidR="0020780E" w:rsidRPr="00A960DE">
        <w:rPr>
          <w:rFonts w:cs="Times New Roman"/>
          <w:szCs w:val="24"/>
        </w:rPr>
        <w:t xml:space="preserve"> </w:t>
      </w:r>
      <w:r w:rsidR="0014399F" w:rsidRPr="00A960DE">
        <w:rPr>
          <w:rFonts w:cs="Times New Roman"/>
          <w:szCs w:val="24"/>
        </w:rPr>
        <w:t>amatpersonas</w:t>
      </w:r>
      <w:r w:rsidR="005B1A58" w:rsidRPr="00A960DE">
        <w:rPr>
          <w:rFonts w:cs="Times New Roman"/>
          <w:szCs w:val="24"/>
        </w:rPr>
        <w:t xml:space="preserve"> </w:t>
      </w:r>
      <w:r w:rsidR="00451B93" w:rsidRPr="00A960DE">
        <w:rPr>
          <w:rFonts w:cs="Times New Roman"/>
          <w:szCs w:val="24"/>
        </w:rPr>
        <w:t xml:space="preserve">notariālā akta kārtībā </w:t>
      </w:r>
      <w:r w:rsidR="0020780E" w:rsidRPr="00A960DE">
        <w:rPr>
          <w:rFonts w:cs="Times New Roman"/>
          <w:szCs w:val="24"/>
        </w:rPr>
        <w:t>sastādī</w:t>
      </w:r>
      <w:r w:rsidR="004C43DC" w:rsidRPr="00A960DE">
        <w:rPr>
          <w:rFonts w:cs="Times New Roman"/>
          <w:szCs w:val="24"/>
        </w:rPr>
        <w:t>to</w:t>
      </w:r>
      <w:r w:rsidR="00135506" w:rsidRPr="00A960DE">
        <w:rPr>
          <w:rFonts w:cs="Times New Roman"/>
          <w:szCs w:val="24"/>
        </w:rPr>
        <w:t xml:space="preserve"> dokument</w:t>
      </w:r>
      <w:r w:rsidR="004C43DC" w:rsidRPr="00A960DE">
        <w:rPr>
          <w:rFonts w:cs="Times New Roman"/>
          <w:szCs w:val="24"/>
        </w:rPr>
        <w:t>u</w:t>
      </w:r>
      <w:r w:rsidR="0020780E" w:rsidRPr="00A960DE">
        <w:rPr>
          <w:rFonts w:cs="Times New Roman"/>
          <w:szCs w:val="24"/>
        </w:rPr>
        <w:t xml:space="preserve"> </w:t>
      </w:r>
      <w:r w:rsidRPr="00A960DE">
        <w:rPr>
          <w:rFonts w:cs="Times New Roman"/>
          <w:szCs w:val="24"/>
        </w:rPr>
        <w:t>„</w:t>
      </w:r>
      <w:r w:rsidR="0020780E" w:rsidRPr="00A960DE">
        <w:rPr>
          <w:rFonts w:cs="Times New Roman"/>
          <w:szCs w:val="24"/>
        </w:rPr>
        <w:t>A</w:t>
      </w:r>
      <w:r w:rsidR="00773B85" w:rsidRPr="00A960DE">
        <w:rPr>
          <w:rFonts w:cs="Times New Roman"/>
          <w:szCs w:val="24"/>
        </w:rPr>
        <w:t>pliecīb</w:t>
      </w:r>
      <w:r w:rsidR="00135506" w:rsidRPr="00A960DE">
        <w:rPr>
          <w:rFonts w:cs="Times New Roman"/>
          <w:szCs w:val="24"/>
        </w:rPr>
        <w:t>a</w:t>
      </w:r>
      <w:r w:rsidR="00773B85" w:rsidRPr="00A960DE">
        <w:rPr>
          <w:rFonts w:cs="Times New Roman"/>
          <w:szCs w:val="24"/>
        </w:rPr>
        <w:t xml:space="preserve"> par pēdējās gribas rīkojuma akta nolasīšanu</w:t>
      </w:r>
      <w:r w:rsidR="00135506" w:rsidRPr="00A960DE">
        <w:rPr>
          <w:rFonts w:cs="Times New Roman"/>
          <w:szCs w:val="24"/>
        </w:rPr>
        <w:t>”</w:t>
      </w:r>
      <w:r w:rsidR="004C43DC" w:rsidRPr="00A960DE">
        <w:rPr>
          <w:rFonts w:cs="Times New Roman"/>
          <w:szCs w:val="24"/>
        </w:rPr>
        <w:t>. Tajā norādīts</w:t>
      </w:r>
      <w:r w:rsidR="00135506" w:rsidRPr="00A960DE">
        <w:rPr>
          <w:rFonts w:cs="Times New Roman"/>
          <w:szCs w:val="24"/>
        </w:rPr>
        <w:t xml:space="preserve">, ka klātesošās personas: </w:t>
      </w:r>
      <w:r w:rsidRPr="00A960DE">
        <w:rPr>
          <w:rFonts w:cs="Times New Roman"/>
          <w:szCs w:val="24"/>
        </w:rPr>
        <w:t>„</w:t>
      </w:r>
      <w:r w:rsidR="00135506" w:rsidRPr="00A960DE">
        <w:rPr>
          <w:rFonts w:cs="Times New Roman"/>
          <w:szCs w:val="24"/>
        </w:rPr>
        <w:t>[..] pie testamenta nolasīšanas nekādus paziņojumus nesniedza.”</w:t>
      </w:r>
      <w:r w:rsidR="004C43DC" w:rsidRPr="00A960DE">
        <w:rPr>
          <w:rFonts w:cs="Times New Roman"/>
          <w:i/>
          <w:iCs/>
          <w:szCs w:val="24"/>
        </w:rPr>
        <w:t xml:space="preserve"> </w:t>
      </w:r>
      <w:r w:rsidR="004C43DC" w:rsidRPr="00A960DE">
        <w:rPr>
          <w:rFonts w:cs="Times New Roman"/>
          <w:szCs w:val="24"/>
        </w:rPr>
        <w:t>(</w:t>
      </w:r>
      <w:r w:rsidR="004C43DC" w:rsidRPr="00A960DE">
        <w:rPr>
          <w:rFonts w:cs="Times New Roman"/>
          <w:i/>
          <w:iCs/>
          <w:szCs w:val="24"/>
        </w:rPr>
        <w:t>lietas 16.</w:t>
      </w:r>
      <w:r w:rsidRPr="00A960DE">
        <w:rPr>
          <w:rFonts w:cs="Times New Roman"/>
          <w:i/>
          <w:iCs/>
          <w:szCs w:val="24"/>
        </w:rPr>
        <w:t> </w:t>
      </w:r>
      <w:r w:rsidR="004C43DC" w:rsidRPr="00A960DE">
        <w:rPr>
          <w:rFonts w:cs="Times New Roman"/>
          <w:i/>
          <w:iCs/>
          <w:szCs w:val="24"/>
        </w:rPr>
        <w:t>l</w:t>
      </w:r>
      <w:r w:rsidRPr="00A960DE">
        <w:rPr>
          <w:rFonts w:cs="Times New Roman"/>
          <w:i/>
          <w:iCs/>
          <w:szCs w:val="24"/>
        </w:rPr>
        <w:t>apa</w:t>
      </w:r>
      <w:r w:rsidR="004C43DC" w:rsidRPr="00A960DE">
        <w:rPr>
          <w:rFonts w:cs="Times New Roman"/>
          <w:szCs w:val="24"/>
        </w:rPr>
        <w:t>)</w:t>
      </w:r>
    </w:p>
    <w:p w14:paraId="1E008B97" w14:textId="3B110B14" w:rsidR="00134489" w:rsidRPr="00A960DE" w:rsidRDefault="005F187F" w:rsidP="00A960DE">
      <w:pPr>
        <w:spacing w:after="0" w:line="276" w:lineRule="auto"/>
        <w:ind w:firstLine="567"/>
        <w:jc w:val="both"/>
        <w:rPr>
          <w:rFonts w:cs="Times New Roman"/>
          <w:szCs w:val="24"/>
        </w:rPr>
      </w:pPr>
      <w:r w:rsidRPr="00A960DE">
        <w:rPr>
          <w:rFonts w:cs="Times New Roman"/>
          <w:szCs w:val="24"/>
        </w:rPr>
        <w:t>Ab</w:t>
      </w:r>
      <w:r w:rsidR="005E5813" w:rsidRPr="00A960DE">
        <w:rPr>
          <w:rFonts w:cs="Times New Roman"/>
          <w:szCs w:val="24"/>
        </w:rPr>
        <w:t>u</w:t>
      </w:r>
      <w:r w:rsidRPr="00A960DE">
        <w:rPr>
          <w:rFonts w:cs="Times New Roman"/>
          <w:szCs w:val="24"/>
        </w:rPr>
        <w:t xml:space="preserve"> savstarpēji izslēdzošo pierādījumu avots ir viena persona. </w:t>
      </w:r>
      <w:r w:rsidR="00ED67BE" w:rsidRPr="00A960DE">
        <w:rPr>
          <w:rFonts w:cs="Times New Roman"/>
          <w:szCs w:val="24"/>
        </w:rPr>
        <w:t>Ir jāņem vērā, ka n</w:t>
      </w:r>
      <w:r w:rsidR="0076396E" w:rsidRPr="00A960DE">
        <w:rPr>
          <w:rFonts w:cs="Times New Roman"/>
          <w:szCs w:val="24"/>
        </w:rPr>
        <w:t>otariālā akta saturs par dalībnieku rīcību attiecīgas notariālās darbības izdarīšanas laikā ir īpaši reglamentēts.</w:t>
      </w:r>
    </w:p>
    <w:p w14:paraId="5884059F" w14:textId="0288ADA0" w:rsidR="00F77FA6" w:rsidRPr="00A960DE" w:rsidRDefault="00134489" w:rsidP="00A960DE">
      <w:pPr>
        <w:spacing w:after="0" w:line="276" w:lineRule="auto"/>
        <w:ind w:firstLine="567"/>
        <w:jc w:val="both"/>
        <w:rPr>
          <w:rFonts w:cs="Times New Roman"/>
          <w:szCs w:val="24"/>
        </w:rPr>
      </w:pPr>
      <w:r w:rsidRPr="00A960DE">
        <w:rPr>
          <w:rFonts w:cs="Times New Roman"/>
          <w:szCs w:val="24"/>
        </w:rPr>
        <w:t xml:space="preserve">Ja tiesa uzskatīja, </w:t>
      </w:r>
      <w:r w:rsidR="00BF3A3C" w:rsidRPr="00A960DE">
        <w:rPr>
          <w:rFonts w:cs="Times New Roman"/>
          <w:szCs w:val="24"/>
        </w:rPr>
        <w:t>ka ar amatpersonas liecībām tiesas sēdē var pārgrozīt notariālā akta saturu un izdarīt no</w:t>
      </w:r>
      <w:r w:rsidR="00476316" w:rsidRPr="00A960DE">
        <w:rPr>
          <w:rFonts w:cs="Times New Roman"/>
          <w:szCs w:val="24"/>
        </w:rPr>
        <w:t>tariālajā</w:t>
      </w:r>
      <w:r w:rsidR="00BF3A3C" w:rsidRPr="00A960DE">
        <w:rPr>
          <w:rFonts w:cs="Times New Roman"/>
          <w:szCs w:val="24"/>
        </w:rPr>
        <w:t xml:space="preserve"> aktā norādītāj</w:t>
      </w:r>
      <w:r w:rsidR="00476316" w:rsidRPr="00A960DE">
        <w:rPr>
          <w:rFonts w:cs="Times New Roman"/>
          <w:szCs w:val="24"/>
        </w:rPr>
        <w:t>iem faktiem</w:t>
      </w:r>
      <w:r w:rsidR="00BF3A3C" w:rsidRPr="00A960DE">
        <w:rPr>
          <w:rFonts w:cs="Times New Roman"/>
          <w:szCs w:val="24"/>
        </w:rPr>
        <w:t xml:space="preserve"> pretēju slēdzienu</w:t>
      </w:r>
      <w:r w:rsidRPr="00A960DE">
        <w:rPr>
          <w:rFonts w:cs="Times New Roman"/>
          <w:szCs w:val="24"/>
        </w:rPr>
        <w:t xml:space="preserve">, tad spriedumā bija jānorāda šādu apsvērumu juridiskais pamatojums. No pārbaudāmā </w:t>
      </w:r>
      <w:r w:rsidRPr="00A960DE">
        <w:rPr>
          <w:rFonts w:cs="Times New Roman"/>
          <w:szCs w:val="24"/>
        </w:rPr>
        <w:lastRenderedPageBreak/>
        <w:t xml:space="preserve">sprieduma netop skaidrs, kādēļ </w:t>
      </w:r>
      <w:r w:rsidR="00627B2B" w:rsidRPr="00A960DE">
        <w:rPr>
          <w:rFonts w:cs="Times New Roman"/>
          <w:szCs w:val="24"/>
        </w:rPr>
        <w:t>a</w:t>
      </w:r>
      <w:r w:rsidRPr="00A960DE">
        <w:rPr>
          <w:rFonts w:cs="Times New Roman"/>
          <w:szCs w:val="24"/>
        </w:rPr>
        <w:t>pliecība par pēdējās gribas rīkojuma akta nolasīšanu nav ņemta vērā vai kādēļ tā noraidīta kā nederīga</w:t>
      </w:r>
      <w:r w:rsidR="00F77FA6" w:rsidRPr="00A960DE">
        <w:rPr>
          <w:rFonts w:cs="Times New Roman"/>
          <w:szCs w:val="24"/>
        </w:rPr>
        <w:t>, lai gūtu</w:t>
      </w:r>
      <w:r w:rsidRPr="00A960DE">
        <w:rPr>
          <w:rFonts w:cs="Times New Roman"/>
          <w:szCs w:val="24"/>
        </w:rPr>
        <w:t xml:space="preserve"> pareiz</w:t>
      </w:r>
      <w:r w:rsidR="00F77FA6" w:rsidRPr="00A960DE">
        <w:rPr>
          <w:rFonts w:cs="Times New Roman"/>
          <w:szCs w:val="24"/>
        </w:rPr>
        <w:t>u</w:t>
      </w:r>
      <w:r w:rsidRPr="00A960DE">
        <w:rPr>
          <w:rFonts w:cs="Times New Roman"/>
          <w:szCs w:val="24"/>
        </w:rPr>
        <w:t>, objektīvai realitātei atbilstoš</w:t>
      </w:r>
      <w:r w:rsidR="00F77FA6" w:rsidRPr="00A960DE">
        <w:rPr>
          <w:rFonts w:cs="Times New Roman"/>
          <w:szCs w:val="24"/>
        </w:rPr>
        <w:t>u</w:t>
      </w:r>
      <w:r w:rsidRPr="00A960DE">
        <w:rPr>
          <w:rFonts w:cs="Times New Roman"/>
          <w:szCs w:val="24"/>
        </w:rPr>
        <w:t xml:space="preserve"> priekšstat</w:t>
      </w:r>
      <w:r w:rsidR="00F77FA6" w:rsidRPr="00A960DE">
        <w:rPr>
          <w:rFonts w:cs="Times New Roman"/>
          <w:szCs w:val="24"/>
        </w:rPr>
        <w:t>u p</w:t>
      </w:r>
      <w:r w:rsidRPr="00A960DE">
        <w:rPr>
          <w:rFonts w:cs="Times New Roman"/>
          <w:szCs w:val="24"/>
        </w:rPr>
        <w:t xml:space="preserve">ar </w:t>
      </w:r>
      <w:r w:rsidR="00F77FA6" w:rsidRPr="00A960DE">
        <w:rPr>
          <w:rFonts w:cs="Times New Roman"/>
          <w:szCs w:val="24"/>
        </w:rPr>
        <w:t>notariālā</w:t>
      </w:r>
      <w:r w:rsidR="007F6F35" w:rsidRPr="00A960DE">
        <w:rPr>
          <w:rFonts w:cs="Times New Roman"/>
          <w:szCs w:val="24"/>
        </w:rPr>
        <w:t>s</w:t>
      </w:r>
      <w:r w:rsidR="00F77FA6" w:rsidRPr="00A960DE">
        <w:rPr>
          <w:rFonts w:cs="Times New Roman"/>
          <w:szCs w:val="24"/>
        </w:rPr>
        <w:t xml:space="preserve"> </w:t>
      </w:r>
      <w:r w:rsidR="00990EB3" w:rsidRPr="00A960DE">
        <w:rPr>
          <w:rFonts w:cs="Times New Roman"/>
          <w:szCs w:val="24"/>
        </w:rPr>
        <w:t>darbības</w:t>
      </w:r>
      <w:r w:rsidR="00F77FA6" w:rsidRPr="00A960DE">
        <w:rPr>
          <w:rFonts w:cs="Times New Roman"/>
          <w:szCs w:val="24"/>
        </w:rPr>
        <w:t xml:space="preserve"> </w:t>
      </w:r>
      <w:r w:rsidR="00465DA2" w:rsidRPr="00A960DE">
        <w:rPr>
          <w:rFonts w:cs="Times New Roman"/>
          <w:szCs w:val="24"/>
        </w:rPr>
        <w:t xml:space="preserve">norises </w:t>
      </w:r>
      <w:r w:rsidR="00990EB3" w:rsidRPr="00A960DE">
        <w:rPr>
          <w:rFonts w:cs="Times New Roman"/>
          <w:szCs w:val="24"/>
        </w:rPr>
        <w:t xml:space="preserve">faktiskajiem </w:t>
      </w:r>
      <w:r w:rsidR="00F77FA6" w:rsidRPr="00A960DE">
        <w:rPr>
          <w:rFonts w:cs="Times New Roman"/>
          <w:szCs w:val="24"/>
        </w:rPr>
        <w:t>apstākļiem.</w:t>
      </w:r>
    </w:p>
    <w:p w14:paraId="6F004E52" w14:textId="4B262EF2" w:rsidR="00F77FA6" w:rsidRPr="00A960DE" w:rsidRDefault="00F77FA6" w:rsidP="00A960DE">
      <w:pPr>
        <w:spacing w:after="0" w:line="276" w:lineRule="auto"/>
        <w:ind w:firstLine="567"/>
        <w:jc w:val="both"/>
        <w:rPr>
          <w:rFonts w:eastAsia="Times New Roman" w:cs="Times New Roman"/>
          <w:szCs w:val="24"/>
          <w:lang w:eastAsia="lv-LV"/>
        </w:rPr>
      </w:pPr>
      <w:r w:rsidRPr="00A960DE">
        <w:rPr>
          <w:rFonts w:cs="Times New Roman"/>
          <w:szCs w:val="24"/>
        </w:rPr>
        <w:t xml:space="preserve">Šī iemesla dēļ nevar atzīt par izpildītām Civilprocesa likuma </w:t>
      </w:r>
      <w:r w:rsidRPr="00A960DE">
        <w:rPr>
          <w:rFonts w:eastAsia="Times New Roman" w:cs="Times New Roman"/>
          <w:szCs w:val="24"/>
          <w:lang w:eastAsia="lv-LV"/>
        </w:rPr>
        <w:t>97.</w:t>
      </w:r>
      <w:r w:rsidR="00627B2B" w:rsidRPr="00A960DE">
        <w:rPr>
          <w:rFonts w:eastAsia="Times New Roman" w:cs="Times New Roman"/>
          <w:szCs w:val="24"/>
          <w:lang w:eastAsia="lv-LV"/>
        </w:rPr>
        <w:t> </w:t>
      </w:r>
      <w:r w:rsidRPr="00A960DE">
        <w:rPr>
          <w:rFonts w:eastAsia="Times New Roman" w:cs="Times New Roman"/>
          <w:szCs w:val="24"/>
          <w:lang w:eastAsia="lv-LV"/>
        </w:rPr>
        <w:t>panta pirmās un trešās daļas un 193.</w:t>
      </w:r>
      <w:r w:rsidR="00627B2B" w:rsidRPr="00A960DE">
        <w:rPr>
          <w:rFonts w:eastAsia="Times New Roman" w:cs="Times New Roman"/>
          <w:szCs w:val="24"/>
          <w:lang w:eastAsia="lv-LV"/>
        </w:rPr>
        <w:t> </w:t>
      </w:r>
      <w:r w:rsidRPr="00A960DE">
        <w:rPr>
          <w:rFonts w:eastAsia="Times New Roman" w:cs="Times New Roman"/>
          <w:szCs w:val="24"/>
          <w:lang w:eastAsia="lv-LV"/>
        </w:rPr>
        <w:t>panta piektās daļas prasības.</w:t>
      </w:r>
    </w:p>
    <w:p w14:paraId="3BD1E945" w14:textId="5C2E6383" w:rsidR="007F6F35" w:rsidRPr="00A960DE" w:rsidRDefault="00F77FA6" w:rsidP="00A960DE">
      <w:pPr>
        <w:spacing w:after="0" w:line="276" w:lineRule="auto"/>
        <w:ind w:firstLine="567"/>
        <w:jc w:val="both"/>
        <w:rPr>
          <w:rFonts w:eastAsia="Times New Roman" w:cs="Times New Roman"/>
          <w:szCs w:val="24"/>
          <w:lang w:eastAsia="lv-LV"/>
        </w:rPr>
      </w:pPr>
      <w:r w:rsidRPr="00A960DE">
        <w:rPr>
          <w:rFonts w:eastAsia="Times New Roman" w:cs="Times New Roman"/>
          <w:szCs w:val="24"/>
          <w:lang w:eastAsia="lv-LV"/>
        </w:rPr>
        <w:t>[5.4]</w:t>
      </w:r>
      <w:r w:rsidR="00357FB1" w:rsidRPr="00A960DE">
        <w:rPr>
          <w:rFonts w:eastAsia="Times New Roman" w:cs="Times New Roman"/>
          <w:szCs w:val="24"/>
          <w:lang w:eastAsia="lv-LV"/>
        </w:rPr>
        <w:t> </w:t>
      </w:r>
      <w:r w:rsidR="00465DA2" w:rsidRPr="00A960DE">
        <w:rPr>
          <w:rFonts w:eastAsia="Times New Roman" w:cs="Times New Roman"/>
          <w:szCs w:val="24"/>
          <w:lang w:eastAsia="lv-LV"/>
        </w:rPr>
        <w:t>Tiesa spriedumā gan norāda, ka uzaicinājuma termiņā mantojums neatradās prasītājas valdījumā, un tādēļ, neizsakot gribu pieņemt mātes mantojumu,</w:t>
      </w:r>
      <w:r w:rsidR="00D33100" w:rsidRPr="00A960DE">
        <w:rPr>
          <w:rFonts w:eastAsia="Times New Roman" w:cs="Times New Roman"/>
          <w:szCs w:val="24"/>
          <w:lang w:eastAsia="lv-LV"/>
        </w:rPr>
        <w:t xml:space="preserve"> prasītāja</w:t>
      </w:r>
      <w:r w:rsidR="00465DA2" w:rsidRPr="00A960DE">
        <w:rPr>
          <w:rFonts w:eastAsia="Times New Roman" w:cs="Times New Roman"/>
          <w:szCs w:val="24"/>
          <w:lang w:eastAsia="lv-LV"/>
        </w:rPr>
        <w:t xml:space="preserve"> to atraidījusi</w:t>
      </w:r>
      <w:r w:rsidR="00990EB3" w:rsidRPr="00A960DE">
        <w:rPr>
          <w:rFonts w:eastAsia="Times New Roman" w:cs="Times New Roman"/>
          <w:szCs w:val="24"/>
          <w:lang w:eastAsia="lv-LV"/>
        </w:rPr>
        <w:t xml:space="preserve">, taču tiesa pilnībā bez ievērības atstājusi apelācijas sūdzībā īpaši uzsvērto faktu, ka prasītājai un mantojuma atstājējai bija viena dzīvesvieta. </w:t>
      </w:r>
    </w:p>
    <w:p w14:paraId="7F9D1600" w14:textId="2739AA48" w:rsidR="007D58E0" w:rsidRPr="00A960DE" w:rsidRDefault="005B6434" w:rsidP="00A960DE">
      <w:pPr>
        <w:spacing w:after="0" w:line="276" w:lineRule="auto"/>
        <w:ind w:firstLine="567"/>
        <w:jc w:val="both"/>
        <w:rPr>
          <w:rFonts w:eastAsia="Times New Roman" w:cs="Times New Roman"/>
          <w:szCs w:val="24"/>
          <w:lang w:eastAsia="lv-LV"/>
        </w:rPr>
      </w:pPr>
      <w:r w:rsidRPr="00A960DE">
        <w:rPr>
          <w:rFonts w:eastAsia="Times New Roman" w:cs="Times New Roman"/>
          <w:szCs w:val="24"/>
          <w:lang w:eastAsia="lv-LV"/>
        </w:rPr>
        <w:t xml:space="preserve">Ja </w:t>
      </w:r>
      <w:proofErr w:type="gramStart"/>
      <w:r w:rsidRPr="00A960DE">
        <w:rPr>
          <w:rFonts w:eastAsia="Times New Roman" w:cs="Times New Roman"/>
          <w:szCs w:val="24"/>
          <w:lang w:eastAsia="lv-LV"/>
        </w:rPr>
        <w:t>mantot</w:t>
      </w:r>
      <w:proofErr w:type="gramEnd"/>
      <w:r w:rsidRPr="00A960DE">
        <w:rPr>
          <w:rFonts w:eastAsia="Times New Roman" w:cs="Times New Roman"/>
          <w:szCs w:val="24"/>
          <w:lang w:eastAsia="lv-LV"/>
        </w:rPr>
        <w:t xml:space="preserve"> aicinātais ar mantojuma atstājēju dzīvoja kopīgā saimniecībā, tad </w:t>
      </w:r>
      <w:proofErr w:type="spellStart"/>
      <w:r w:rsidRPr="00A960DE">
        <w:rPr>
          <w:rFonts w:eastAsia="Times New Roman" w:cs="Times New Roman"/>
          <w:szCs w:val="24"/>
          <w:lang w:eastAsia="lv-LV"/>
        </w:rPr>
        <w:t>cēloņsakarīgi</w:t>
      </w:r>
      <w:proofErr w:type="spellEnd"/>
      <w:r w:rsidR="00990EB3" w:rsidRPr="00A960DE">
        <w:rPr>
          <w:rFonts w:eastAsia="Times New Roman" w:cs="Times New Roman"/>
          <w:szCs w:val="24"/>
          <w:lang w:eastAsia="lv-LV"/>
        </w:rPr>
        <w:t xml:space="preserve">, ka </w:t>
      </w:r>
      <w:r w:rsidR="007F6F35" w:rsidRPr="00A960DE">
        <w:rPr>
          <w:rFonts w:eastAsia="Times New Roman" w:cs="Times New Roman"/>
          <w:szCs w:val="24"/>
          <w:lang w:eastAsia="lv-LV"/>
        </w:rPr>
        <w:t xml:space="preserve">personīgās mantas paliek </w:t>
      </w:r>
      <w:r w:rsidR="007D58E0" w:rsidRPr="00A960DE">
        <w:rPr>
          <w:rFonts w:eastAsia="Times New Roman" w:cs="Times New Roman"/>
          <w:szCs w:val="24"/>
          <w:lang w:eastAsia="lv-LV"/>
        </w:rPr>
        <w:t xml:space="preserve">mantojuma atstājēja </w:t>
      </w:r>
      <w:r w:rsidR="007F6F35" w:rsidRPr="00A960DE">
        <w:rPr>
          <w:rFonts w:eastAsia="Times New Roman" w:cs="Times New Roman"/>
          <w:szCs w:val="24"/>
          <w:lang w:eastAsia="lv-LV"/>
        </w:rPr>
        <w:t>pēdējā dzīvesvietā</w:t>
      </w:r>
      <w:r w:rsidRPr="00A960DE">
        <w:rPr>
          <w:rFonts w:eastAsia="Times New Roman" w:cs="Times New Roman"/>
          <w:szCs w:val="24"/>
          <w:lang w:eastAsia="lv-LV"/>
        </w:rPr>
        <w:t xml:space="preserve">, citiem vārdiem, </w:t>
      </w:r>
      <w:r w:rsidR="001413C1" w:rsidRPr="00A960DE">
        <w:rPr>
          <w:rFonts w:eastAsia="Times New Roman" w:cs="Times New Roman"/>
          <w:szCs w:val="24"/>
          <w:lang w:eastAsia="lv-LV"/>
        </w:rPr>
        <w:t>mantot aicinātā</w:t>
      </w:r>
      <w:r w:rsidRPr="00A960DE">
        <w:rPr>
          <w:rFonts w:eastAsia="Times New Roman" w:cs="Times New Roman"/>
          <w:szCs w:val="24"/>
          <w:lang w:eastAsia="lv-LV"/>
        </w:rPr>
        <w:t xml:space="preserve"> faktiskajā valdījumā</w:t>
      </w:r>
      <w:r w:rsidR="001413C1" w:rsidRPr="00A960DE">
        <w:rPr>
          <w:rFonts w:eastAsia="Times New Roman" w:cs="Times New Roman"/>
          <w:szCs w:val="24"/>
          <w:lang w:eastAsia="lv-LV"/>
        </w:rPr>
        <w:t xml:space="preserve">. </w:t>
      </w:r>
      <w:r w:rsidR="007D58E0" w:rsidRPr="00A960DE">
        <w:rPr>
          <w:rFonts w:eastAsia="Times New Roman" w:cs="Times New Roman"/>
          <w:szCs w:val="24"/>
          <w:lang w:eastAsia="lv-LV"/>
        </w:rPr>
        <w:t xml:space="preserve">Šī iemesla dēļ mantojuma sastāvs, kas </w:t>
      </w:r>
      <w:r w:rsidR="00302509" w:rsidRPr="00A960DE">
        <w:rPr>
          <w:rFonts w:eastAsia="Times New Roman" w:cs="Times New Roman"/>
          <w:szCs w:val="24"/>
          <w:lang w:eastAsia="lv-LV"/>
        </w:rPr>
        <w:t>tur atrodas</w:t>
      </w:r>
      <w:r w:rsidR="007D58E0" w:rsidRPr="00A960DE">
        <w:rPr>
          <w:rFonts w:eastAsia="Times New Roman" w:cs="Times New Roman"/>
          <w:szCs w:val="24"/>
          <w:lang w:eastAsia="lv-LV"/>
        </w:rPr>
        <w:t>, mantot aicinātajam ir zināms.</w:t>
      </w:r>
    </w:p>
    <w:p w14:paraId="30F23D4B" w14:textId="02A689AC" w:rsidR="000F250A" w:rsidRPr="00A960DE" w:rsidRDefault="00815935" w:rsidP="00A960DE">
      <w:pPr>
        <w:spacing w:after="0" w:line="276" w:lineRule="auto"/>
        <w:ind w:firstLine="567"/>
        <w:jc w:val="both"/>
        <w:rPr>
          <w:rFonts w:eastAsia="Times New Roman" w:cs="Times New Roman"/>
          <w:szCs w:val="24"/>
          <w:lang w:eastAsia="lv-LV"/>
        </w:rPr>
      </w:pPr>
      <w:r w:rsidRPr="00A960DE">
        <w:rPr>
          <w:rFonts w:eastAsia="Times New Roman" w:cs="Times New Roman"/>
          <w:szCs w:val="24"/>
          <w:lang w:eastAsia="lv-LV"/>
        </w:rPr>
        <w:t>Valdījuma esība nav pietiekama gribas</w:t>
      </w:r>
      <w:r w:rsidR="001413C1" w:rsidRPr="00A960DE">
        <w:rPr>
          <w:rFonts w:eastAsia="Times New Roman" w:cs="Times New Roman"/>
          <w:szCs w:val="24"/>
          <w:lang w:eastAsia="lv-LV"/>
        </w:rPr>
        <w:t xml:space="preserve"> izteikuma</w:t>
      </w:r>
      <w:r w:rsidRPr="00A960DE">
        <w:rPr>
          <w:rFonts w:eastAsia="Times New Roman" w:cs="Times New Roman"/>
          <w:szCs w:val="24"/>
          <w:lang w:eastAsia="lv-LV"/>
        </w:rPr>
        <w:t xml:space="preserve"> </w:t>
      </w:r>
      <w:r w:rsidR="003E6E0F" w:rsidRPr="00A960DE">
        <w:rPr>
          <w:rFonts w:eastAsia="Times New Roman" w:cs="Times New Roman"/>
          <w:szCs w:val="24"/>
          <w:lang w:eastAsia="lv-LV"/>
        </w:rPr>
        <w:t>–</w:t>
      </w:r>
      <w:r w:rsidRPr="00A960DE">
        <w:rPr>
          <w:rFonts w:eastAsia="Times New Roman" w:cs="Times New Roman"/>
          <w:szCs w:val="24"/>
          <w:lang w:eastAsia="lv-LV"/>
        </w:rPr>
        <w:t xml:space="preserve"> pieņemt mantojumu </w:t>
      </w:r>
      <w:r w:rsidR="003E6E0F" w:rsidRPr="00A960DE">
        <w:rPr>
          <w:rFonts w:eastAsia="Times New Roman" w:cs="Times New Roman"/>
          <w:szCs w:val="24"/>
          <w:lang w:eastAsia="lv-LV"/>
        </w:rPr>
        <w:t>–</w:t>
      </w:r>
      <w:r w:rsidRPr="00A960DE">
        <w:rPr>
          <w:rFonts w:eastAsia="Times New Roman" w:cs="Times New Roman"/>
          <w:szCs w:val="24"/>
          <w:lang w:eastAsia="lv-LV"/>
        </w:rPr>
        <w:t xml:space="preserve"> konstatēšanai,</w:t>
      </w:r>
      <w:r w:rsidR="001413C1" w:rsidRPr="00A960DE">
        <w:rPr>
          <w:rFonts w:eastAsia="Times New Roman" w:cs="Times New Roman"/>
          <w:szCs w:val="24"/>
          <w:lang w:eastAsia="lv-LV"/>
        </w:rPr>
        <w:t xml:space="preserve"> kā to paredz Civillikuma 692.</w:t>
      </w:r>
      <w:r w:rsidR="007D58E0" w:rsidRPr="00A960DE">
        <w:rPr>
          <w:rFonts w:eastAsia="Times New Roman" w:cs="Times New Roman"/>
          <w:szCs w:val="24"/>
          <w:lang w:eastAsia="lv-LV"/>
        </w:rPr>
        <w:t> </w:t>
      </w:r>
      <w:r w:rsidR="001413C1" w:rsidRPr="00A960DE">
        <w:rPr>
          <w:rFonts w:eastAsia="Times New Roman" w:cs="Times New Roman"/>
          <w:szCs w:val="24"/>
          <w:lang w:eastAsia="lv-LV"/>
        </w:rPr>
        <w:t>panta otrā daļa,</w:t>
      </w:r>
      <w:r w:rsidRPr="00A960DE">
        <w:rPr>
          <w:rFonts w:eastAsia="Times New Roman" w:cs="Times New Roman"/>
          <w:szCs w:val="24"/>
          <w:lang w:eastAsia="lv-LV"/>
        </w:rPr>
        <w:t xml:space="preserve"> taču, ja </w:t>
      </w:r>
      <w:r w:rsidR="003F14CE" w:rsidRPr="00A960DE">
        <w:rPr>
          <w:rFonts w:eastAsia="Times New Roman" w:cs="Times New Roman"/>
          <w:szCs w:val="24"/>
          <w:lang w:eastAsia="lv-LV"/>
        </w:rPr>
        <w:t xml:space="preserve">valdījums turpinās un </w:t>
      </w:r>
      <w:r w:rsidRPr="00A960DE">
        <w:rPr>
          <w:rFonts w:eastAsia="Times New Roman" w:cs="Times New Roman"/>
          <w:szCs w:val="24"/>
          <w:lang w:eastAsia="lv-LV"/>
        </w:rPr>
        <w:t xml:space="preserve">klusēšana uzaicinājuma laikā netiek pārtraukta, </w:t>
      </w:r>
      <w:r w:rsidR="000F250A" w:rsidRPr="00A960DE">
        <w:rPr>
          <w:rFonts w:eastAsia="Times New Roman" w:cs="Times New Roman"/>
          <w:szCs w:val="24"/>
          <w:lang w:eastAsia="lv-LV"/>
        </w:rPr>
        <w:t>tad atbilstoši Civillikuma 1430. un 694. pantam atzīstams, ka mantot aicinātais mantojumu ir pieņēmis.</w:t>
      </w:r>
    </w:p>
    <w:p w14:paraId="58263093" w14:textId="13953A11" w:rsidR="000F250A" w:rsidRPr="00A960DE" w:rsidRDefault="000F250A" w:rsidP="00A960DE">
      <w:pPr>
        <w:spacing w:after="0" w:line="276" w:lineRule="auto"/>
        <w:ind w:firstLine="567"/>
        <w:jc w:val="both"/>
        <w:rPr>
          <w:rFonts w:eastAsia="Times New Roman" w:cs="Times New Roman"/>
          <w:iCs/>
          <w:szCs w:val="24"/>
          <w:lang w:eastAsia="lv-LV"/>
        </w:rPr>
      </w:pPr>
      <w:r w:rsidRPr="00A960DE">
        <w:rPr>
          <w:rFonts w:cs="Times New Roman"/>
          <w:szCs w:val="24"/>
        </w:rPr>
        <w:t xml:space="preserve">Tas liecina, ka </w:t>
      </w:r>
      <w:r w:rsidRPr="00A960DE">
        <w:rPr>
          <w:rFonts w:eastAsia="Times New Roman" w:cs="Times New Roman"/>
          <w:iCs/>
          <w:szCs w:val="24"/>
          <w:lang w:eastAsia="lv-LV"/>
        </w:rPr>
        <w:t>apgabaltiesa pārbaudāmajā spriedumā izšķiramā dzīves gadījuma juridiski nozīmīgus apstākļus (faktiskais sastāvs) nav salīdzinājusi ar Civillikuma 694.</w:t>
      </w:r>
      <w:r w:rsidR="006B1E00" w:rsidRPr="00A960DE">
        <w:rPr>
          <w:rFonts w:eastAsia="Times New Roman" w:cs="Times New Roman"/>
          <w:iCs/>
          <w:szCs w:val="24"/>
          <w:lang w:eastAsia="lv-LV"/>
        </w:rPr>
        <w:t> </w:t>
      </w:r>
      <w:r w:rsidRPr="00A960DE">
        <w:rPr>
          <w:rFonts w:eastAsia="Times New Roman" w:cs="Times New Roman"/>
          <w:iCs/>
          <w:szCs w:val="24"/>
          <w:lang w:eastAsia="lv-LV"/>
        </w:rPr>
        <w:t>panta tiesību normas sastāva pazīmēm, nonākot pie kļūdaina secinājuma, ka faktiskais sastāvs tām neatbilst.</w:t>
      </w:r>
    </w:p>
    <w:p w14:paraId="00169D2F" w14:textId="77777777" w:rsidR="007D58E0" w:rsidRPr="00A960DE" w:rsidRDefault="007D58E0" w:rsidP="00A960DE">
      <w:pPr>
        <w:spacing w:after="0" w:line="276" w:lineRule="auto"/>
        <w:ind w:firstLine="567"/>
        <w:jc w:val="both"/>
        <w:rPr>
          <w:rFonts w:eastAsia="Times New Roman" w:cs="Times New Roman"/>
          <w:szCs w:val="24"/>
          <w:lang w:eastAsia="lv-LV"/>
        </w:rPr>
      </w:pPr>
    </w:p>
    <w:p w14:paraId="5439FB19" w14:textId="4649C524" w:rsidR="007D58E0" w:rsidRPr="00A960DE" w:rsidRDefault="007D58E0" w:rsidP="00A960DE">
      <w:pPr>
        <w:shd w:val="clear" w:color="auto" w:fill="FFFFFF"/>
        <w:tabs>
          <w:tab w:val="left" w:pos="-284"/>
          <w:tab w:val="left" w:pos="426"/>
        </w:tabs>
        <w:spacing w:after="0" w:line="276" w:lineRule="auto"/>
        <w:ind w:firstLine="567"/>
        <w:jc w:val="both"/>
        <w:rPr>
          <w:rFonts w:eastAsia="Calibri" w:cs="Times New Roman"/>
          <w:szCs w:val="24"/>
        </w:rPr>
      </w:pPr>
      <w:r w:rsidRPr="00A960DE">
        <w:rPr>
          <w:rFonts w:eastAsia="Times New Roman" w:cs="Times New Roman"/>
          <w:szCs w:val="24"/>
          <w:lang w:eastAsia="lv-LV"/>
        </w:rPr>
        <w:t>[6]</w:t>
      </w:r>
      <w:r w:rsidR="00357FB1" w:rsidRPr="00A960DE">
        <w:rPr>
          <w:rFonts w:cs="Times New Roman"/>
          <w:szCs w:val="24"/>
        </w:rPr>
        <w:t> </w:t>
      </w:r>
      <w:r w:rsidRPr="00A960DE">
        <w:rPr>
          <w:rFonts w:cs="Times New Roman"/>
          <w:szCs w:val="24"/>
        </w:rPr>
        <w:t xml:space="preserve">Apkopojot iepriekš teikto, Senāts atzīst, ka lietas apstākļu skaidrošanu tiesa veica vienpusēji un selektīvi, nevis to kopsakarībā. Materiālo tiesību normu nepareiza </w:t>
      </w:r>
      <w:r w:rsidR="000F250A" w:rsidRPr="00A960DE">
        <w:rPr>
          <w:rFonts w:cs="Times New Roman"/>
          <w:szCs w:val="24"/>
        </w:rPr>
        <w:t>piemērošana</w:t>
      </w:r>
      <w:r w:rsidRPr="00A960DE">
        <w:rPr>
          <w:rFonts w:cs="Times New Roman"/>
          <w:szCs w:val="24"/>
        </w:rPr>
        <w:t xml:space="preserve">, kā arī procesuālo tiesību normu būtiski pārkāpumi </w:t>
      </w:r>
      <w:r w:rsidRPr="00A960DE">
        <w:rPr>
          <w:rFonts w:eastAsia="Calibri" w:cs="Times New Roman"/>
          <w:szCs w:val="24"/>
        </w:rPr>
        <w:t>varēja novest pie lietas nepareizas izspriešanas, kas dod pamatu kasācijas sūdzības apmierināšanai.</w:t>
      </w:r>
    </w:p>
    <w:p w14:paraId="46433CDC" w14:textId="56A2C915" w:rsidR="007D58E0" w:rsidRPr="00A960DE" w:rsidRDefault="007D58E0" w:rsidP="00A960DE">
      <w:pPr>
        <w:spacing w:after="0" w:line="276" w:lineRule="auto"/>
        <w:ind w:firstLine="567"/>
        <w:jc w:val="both"/>
        <w:rPr>
          <w:rFonts w:cs="Times New Roman"/>
          <w:szCs w:val="24"/>
        </w:rPr>
      </w:pPr>
      <w:r w:rsidRPr="00A960DE">
        <w:rPr>
          <w:rFonts w:cs="Times New Roman"/>
          <w:szCs w:val="24"/>
        </w:rPr>
        <w:t>Atceļot spriedumu, saskaņā ar Civilprocesa likuma 458.</w:t>
      </w:r>
      <w:r w:rsidR="003E6E0F" w:rsidRPr="00A960DE">
        <w:rPr>
          <w:rFonts w:cs="Times New Roman"/>
          <w:szCs w:val="24"/>
        </w:rPr>
        <w:t> </w:t>
      </w:r>
      <w:r w:rsidRPr="00A960DE">
        <w:rPr>
          <w:rFonts w:cs="Times New Roman"/>
          <w:szCs w:val="24"/>
        </w:rPr>
        <w:t>panta otro daļu atmaksājama</w:t>
      </w:r>
      <w:r w:rsidRPr="00A960DE">
        <w:rPr>
          <w:rFonts w:cs="Times New Roman"/>
          <w:color w:val="000000"/>
          <w:szCs w:val="24"/>
        </w:rPr>
        <w:t xml:space="preserve"> drošības nauda 300</w:t>
      </w:r>
      <w:r w:rsidRPr="00A960DE">
        <w:rPr>
          <w:rFonts w:cs="Times New Roman"/>
          <w:szCs w:val="24"/>
        </w:rPr>
        <w:t> </w:t>
      </w:r>
      <w:proofErr w:type="spellStart"/>
      <w:r w:rsidR="003E6E0F" w:rsidRPr="00A960DE">
        <w:rPr>
          <w:rFonts w:cs="Times New Roman"/>
          <w:i/>
          <w:iCs/>
          <w:szCs w:val="24"/>
        </w:rPr>
        <w:t>euro</w:t>
      </w:r>
      <w:proofErr w:type="spellEnd"/>
      <w:r w:rsidR="003E6E0F" w:rsidRPr="00A960DE">
        <w:rPr>
          <w:rFonts w:cs="Times New Roman"/>
          <w:szCs w:val="24"/>
        </w:rPr>
        <w:t>.</w:t>
      </w:r>
    </w:p>
    <w:p w14:paraId="79542006" w14:textId="77777777" w:rsidR="00092786" w:rsidRPr="00A960DE" w:rsidRDefault="00092786" w:rsidP="00A960DE">
      <w:pPr>
        <w:spacing w:after="0" w:line="276" w:lineRule="auto"/>
        <w:ind w:firstLine="567"/>
        <w:jc w:val="both"/>
        <w:rPr>
          <w:rFonts w:cs="Times New Roman"/>
          <w:szCs w:val="24"/>
        </w:rPr>
      </w:pPr>
    </w:p>
    <w:p w14:paraId="24D7848D" w14:textId="77777777" w:rsidR="005A64DF" w:rsidRPr="00A960DE" w:rsidRDefault="005A64DF" w:rsidP="00A960DE">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A960DE">
        <w:rPr>
          <w:rFonts w:eastAsiaTheme="minorEastAsia" w:cs="Times New Roman"/>
          <w:b/>
          <w:bCs/>
          <w:szCs w:val="24"/>
          <w:lang w:eastAsia="lv-LV"/>
        </w:rPr>
        <w:t>Rezolutīvā daļa</w:t>
      </w:r>
    </w:p>
    <w:p w14:paraId="7B04CF83" w14:textId="77777777" w:rsidR="005A64DF" w:rsidRPr="00A960DE" w:rsidRDefault="005A64DF" w:rsidP="00A960DE">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0299E0EF" w14:textId="1C2FE967" w:rsidR="005A64DF" w:rsidRPr="00A960DE" w:rsidRDefault="005A64DF" w:rsidP="00A960DE">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A960DE">
        <w:rPr>
          <w:rFonts w:eastAsiaTheme="minorEastAsia" w:cs="Times New Roman"/>
          <w:spacing w:val="-1"/>
          <w:szCs w:val="24"/>
          <w:lang w:eastAsia="lv-LV"/>
        </w:rPr>
        <w:t>Pamatojoties uz Civ</w:t>
      </w:r>
      <w:r w:rsidR="0016722C" w:rsidRPr="00A960DE">
        <w:rPr>
          <w:rFonts w:eastAsiaTheme="minorEastAsia" w:cs="Times New Roman"/>
          <w:spacing w:val="-1"/>
          <w:szCs w:val="24"/>
          <w:lang w:eastAsia="lv-LV"/>
        </w:rPr>
        <w:t>ilprocesa likuma 474.</w:t>
      </w:r>
      <w:r w:rsidR="00B84A6E" w:rsidRPr="00A960DE">
        <w:rPr>
          <w:rFonts w:eastAsiaTheme="minorEastAsia" w:cs="Times New Roman"/>
          <w:spacing w:val="-1"/>
          <w:szCs w:val="24"/>
          <w:lang w:eastAsia="lv-LV"/>
        </w:rPr>
        <w:t> </w:t>
      </w:r>
      <w:r w:rsidRPr="00A960DE">
        <w:rPr>
          <w:rFonts w:eastAsiaTheme="minorEastAsia" w:cs="Times New Roman"/>
          <w:spacing w:val="-1"/>
          <w:szCs w:val="24"/>
          <w:lang w:eastAsia="lv-LV"/>
        </w:rPr>
        <w:t>panta 2</w:t>
      </w:r>
      <w:r w:rsidR="0016722C" w:rsidRPr="00A960DE">
        <w:rPr>
          <w:rFonts w:eastAsiaTheme="minorEastAsia" w:cs="Times New Roman"/>
          <w:spacing w:val="-1"/>
          <w:szCs w:val="24"/>
          <w:lang w:eastAsia="lv-LV"/>
        </w:rPr>
        <w:t>.</w:t>
      </w:r>
      <w:r w:rsidR="00B84A6E" w:rsidRPr="00A960DE">
        <w:rPr>
          <w:rFonts w:eastAsiaTheme="minorEastAsia" w:cs="Times New Roman"/>
          <w:spacing w:val="-1"/>
          <w:szCs w:val="24"/>
          <w:lang w:eastAsia="lv-LV"/>
        </w:rPr>
        <w:t> </w:t>
      </w:r>
      <w:r w:rsidRPr="00A960DE">
        <w:rPr>
          <w:rFonts w:eastAsiaTheme="minorEastAsia" w:cs="Times New Roman"/>
          <w:spacing w:val="-1"/>
          <w:szCs w:val="24"/>
          <w:lang w:eastAsia="lv-LV"/>
        </w:rPr>
        <w:t>punktu, Senāts</w:t>
      </w:r>
    </w:p>
    <w:p w14:paraId="6456EC8A" w14:textId="77777777" w:rsidR="005A64DF" w:rsidRPr="00A960DE" w:rsidRDefault="005A64DF" w:rsidP="00A960DE">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75BD616B" w14:textId="77777777" w:rsidR="005A64DF" w:rsidRPr="00A960DE" w:rsidRDefault="005A64DF" w:rsidP="00A960DE">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A960DE">
        <w:rPr>
          <w:rFonts w:eastAsiaTheme="minorEastAsia" w:cs="Times New Roman"/>
          <w:b/>
          <w:bCs/>
          <w:spacing w:val="-1"/>
          <w:szCs w:val="24"/>
          <w:lang w:eastAsia="lv-LV"/>
        </w:rPr>
        <w:t>nosprieda</w:t>
      </w:r>
    </w:p>
    <w:p w14:paraId="7D4F3D4E" w14:textId="77777777" w:rsidR="005A64DF" w:rsidRPr="00A960DE" w:rsidRDefault="005A64DF" w:rsidP="00A960DE">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4EE61B32" w14:textId="205B4AD0" w:rsidR="00B31DA8" w:rsidRPr="00A960DE" w:rsidRDefault="00B84A6E" w:rsidP="00A960DE">
      <w:pPr>
        <w:widowControl w:val="0"/>
        <w:kinsoku w:val="0"/>
        <w:overflowPunct w:val="0"/>
        <w:autoSpaceDE w:val="0"/>
        <w:autoSpaceDN w:val="0"/>
        <w:adjustRightInd w:val="0"/>
        <w:spacing w:after="0" w:line="276" w:lineRule="auto"/>
        <w:ind w:right="-8" w:firstLine="567"/>
        <w:jc w:val="both"/>
        <w:rPr>
          <w:rFonts w:cs="Times New Roman"/>
          <w:szCs w:val="24"/>
        </w:rPr>
      </w:pPr>
      <w:r w:rsidRPr="00A960DE">
        <w:rPr>
          <w:rFonts w:cs="Times New Roman"/>
          <w:szCs w:val="24"/>
        </w:rPr>
        <w:t xml:space="preserve">Rīgas </w:t>
      </w:r>
      <w:r w:rsidR="00211C2A" w:rsidRPr="00A960DE">
        <w:rPr>
          <w:rFonts w:cs="Times New Roman"/>
          <w:szCs w:val="24"/>
        </w:rPr>
        <w:t xml:space="preserve">apgabaltiesas </w:t>
      </w:r>
      <w:r w:rsidRPr="00A960DE">
        <w:rPr>
          <w:rFonts w:cs="Times New Roman"/>
          <w:szCs w:val="24"/>
        </w:rPr>
        <w:t xml:space="preserve">2021. gada </w:t>
      </w:r>
      <w:r w:rsidR="00F04A65" w:rsidRPr="00A960DE">
        <w:rPr>
          <w:rFonts w:cs="Times New Roman"/>
          <w:szCs w:val="24"/>
        </w:rPr>
        <w:t>31. marta</w:t>
      </w:r>
      <w:r w:rsidR="00211C2A" w:rsidRPr="00A960DE">
        <w:rPr>
          <w:rFonts w:cs="Times New Roman"/>
          <w:szCs w:val="24"/>
        </w:rPr>
        <w:t xml:space="preserve"> spriedumu </w:t>
      </w:r>
      <w:r w:rsidR="0016722C" w:rsidRPr="00A960DE">
        <w:rPr>
          <w:rFonts w:cs="Times New Roman"/>
          <w:szCs w:val="24"/>
        </w:rPr>
        <w:t xml:space="preserve">atcelt un nodot </w:t>
      </w:r>
      <w:r w:rsidR="00630943" w:rsidRPr="00A960DE">
        <w:rPr>
          <w:rFonts w:cs="Times New Roman"/>
          <w:szCs w:val="24"/>
        </w:rPr>
        <w:t xml:space="preserve">lietu </w:t>
      </w:r>
      <w:r w:rsidR="0016722C" w:rsidRPr="00A960DE">
        <w:rPr>
          <w:rFonts w:cs="Times New Roman"/>
          <w:szCs w:val="24"/>
        </w:rPr>
        <w:t xml:space="preserve">jaunai izskatīšanai </w:t>
      </w:r>
      <w:r w:rsidR="00F04A65" w:rsidRPr="00A960DE">
        <w:rPr>
          <w:rFonts w:cs="Times New Roman"/>
          <w:szCs w:val="24"/>
        </w:rPr>
        <w:t>Rīgas apgabalties</w:t>
      </w:r>
      <w:r w:rsidR="00ED67BE" w:rsidRPr="00A960DE">
        <w:rPr>
          <w:rFonts w:cs="Times New Roman"/>
          <w:szCs w:val="24"/>
        </w:rPr>
        <w:t>ā</w:t>
      </w:r>
      <w:r w:rsidR="00F04A65" w:rsidRPr="00A960DE">
        <w:rPr>
          <w:rFonts w:cs="Times New Roman"/>
          <w:szCs w:val="24"/>
        </w:rPr>
        <w:t>;</w:t>
      </w:r>
    </w:p>
    <w:p w14:paraId="4EBAD26D" w14:textId="4B3232B8" w:rsidR="00F04A65" w:rsidRPr="00A960DE" w:rsidRDefault="00F04A65" w:rsidP="00A960DE">
      <w:pPr>
        <w:widowControl w:val="0"/>
        <w:kinsoku w:val="0"/>
        <w:overflowPunct w:val="0"/>
        <w:autoSpaceDE w:val="0"/>
        <w:autoSpaceDN w:val="0"/>
        <w:adjustRightInd w:val="0"/>
        <w:spacing w:after="0" w:line="276" w:lineRule="auto"/>
        <w:ind w:right="-8" w:firstLine="567"/>
        <w:jc w:val="both"/>
        <w:rPr>
          <w:rFonts w:cs="Times New Roman"/>
          <w:szCs w:val="24"/>
        </w:rPr>
      </w:pPr>
      <w:r w:rsidRPr="00A960DE">
        <w:rPr>
          <w:rFonts w:cs="Times New Roman"/>
          <w:szCs w:val="24"/>
        </w:rPr>
        <w:t xml:space="preserve">atmaksāt </w:t>
      </w:r>
      <w:r w:rsidR="00A960DE">
        <w:rPr>
          <w:rFonts w:cs="Times New Roman"/>
          <w:szCs w:val="24"/>
        </w:rPr>
        <w:t xml:space="preserve">[pers. A] </w:t>
      </w:r>
      <w:r w:rsidRPr="00A960DE">
        <w:rPr>
          <w:rFonts w:cs="Times New Roman"/>
          <w:szCs w:val="24"/>
        </w:rPr>
        <w:t xml:space="preserve">drošības naudu 300 </w:t>
      </w:r>
      <w:proofErr w:type="spellStart"/>
      <w:r w:rsidRPr="00A960DE">
        <w:rPr>
          <w:rFonts w:cs="Times New Roman"/>
          <w:i/>
          <w:iCs/>
          <w:szCs w:val="24"/>
        </w:rPr>
        <w:t>euro</w:t>
      </w:r>
      <w:proofErr w:type="spellEnd"/>
      <w:r w:rsidRPr="00A960DE">
        <w:rPr>
          <w:rFonts w:cs="Times New Roman"/>
          <w:szCs w:val="24"/>
        </w:rPr>
        <w:t>.</w:t>
      </w:r>
    </w:p>
    <w:p w14:paraId="4F021629" w14:textId="77777777" w:rsidR="00E81804" w:rsidRPr="00A960DE" w:rsidRDefault="00E81804" w:rsidP="00A960DE">
      <w:pPr>
        <w:widowControl w:val="0"/>
        <w:kinsoku w:val="0"/>
        <w:overflowPunct w:val="0"/>
        <w:autoSpaceDE w:val="0"/>
        <w:autoSpaceDN w:val="0"/>
        <w:adjustRightInd w:val="0"/>
        <w:spacing w:after="0" w:line="276" w:lineRule="auto"/>
        <w:ind w:right="-8" w:firstLine="567"/>
        <w:jc w:val="both"/>
        <w:rPr>
          <w:rFonts w:cs="Times New Roman"/>
          <w:szCs w:val="24"/>
        </w:rPr>
      </w:pPr>
    </w:p>
    <w:p w14:paraId="29D84C48" w14:textId="613085B2" w:rsidR="006E5E6F" w:rsidRPr="00A960DE" w:rsidRDefault="006E5E6F" w:rsidP="00A960DE">
      <w:pPr>
        <w:widowControl w:val="0"/>
        <w:kinsoku w:val="0"/>
        <w:overflowPunct w:val="0"/>
        <w:autoSpaceDE w:val="0"/>
        <w:autoSpaceDN w:val="0"/>
        <w:adjustRightInd w:val="0"/>
        <w:spacing w:after="0" w:line="276" w:lineRule="auto"/>
        <w:ind w:right="-8" w:firstLine="567"/>
        <w:jc w:val="both"/>
        <w:rPr>
          <w:rFonts w:cs="Times New Roman"/>
          <w:szCs w:val="24"/>
        </w:rPr>
      </w:pPr>
      <w:r w:rsidRPr="00A960DE">
        <w:rPr>
          <w:rFonts w:cs="Times New Roman"/>
          <w:szCs w:val="24"/>
        </w:rPr>
        <w:t>Spriedums nav pārsūdzams.</w:t>
      </w:r>
    </w:p>
    <w:sectPr w:rsidR="006E5E6F" w:rsidRPr="00A960DE" w:rsidSect="00E8180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5E58" w14:textId="77777777" w:rsidR="00037815" w:rsidRDefault="00037815">
      <w:pPr>
        <w:spacing w:after="0" w:line="240" w:lineRule="auto"/>
      </w:pPr>
      <w:r>
        <w:separator/>
      </w:r>
    </w:p>
  </w:endnote>
  <w:endnote w:type="continuationSeparator" w:id="0">
    <w:p w14:paraId="4C66421D" w14:textId="77777777" w:rsidR="00037815" w:rsidRDefault="0003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47712"/>
      <w:docPartObj>
        <w:docPartGallery w:val="Page Numbers (Bottom of Page)"/>
        <w:docPartUnique/>
      </w:docPartObj>
    </w:sdtPr>
    <w:sdtEndPr/>
    <w:sdtContent>
      <w:sdt>
        <w:sdtPr>
          <w:id w:val="1728636285"/>
          <w:docPartObj>
            <w:docPartGallery w:val="Page Numbers (Top of Page)"/>
            <w:docPartUnique/>
          </w:docPartObj>
        </w:sdtPr>
        <w:sdtEndPr/>
        <w:sdtContent>
          <w:p w14:paraId="1456CAF7" w14:textId="74F7A553" w:rsidR="00035113" w:rsidRDefault="00035113">
            <w:pPr>
              <w:pStyle w:val="Footer"/>
              <w:jc w:val="center"/>
            </w:pPr>
            <w:r w:rsidRPr="00035113">
              <w:rPr>
                <w:szCs w:val="24"/>
              </w:rPr>
              <w:fldChar w:fldCharType="begin"/>
            </w:r>
            <w:r w:rsidRPr="00035113">
              <w:instrText xml:space="preserve"> PAGE </w:instrText>
            </w:r>
            <w:r w:rsidRPr="00035113">
              <w:rPr>
                <w:szCs w:val="24"/>
              </w:rPr>
              <w:fldChar w:fldCharType="separate"/>
            </w:r>
            <w:r w:rsidRPr="00035113">
              <w:rPr>
                <w:noProof/>
              </w:rPr>
              <w:t>2</w:t>
            </w:r>
            <w:r w:rsidRPr="00035113">
              <w:rPr>
                <w:szCs w:val="24"/>
              </w:rPr>
              <w:fldChar w:fldCharType="end"/>
            </w:r>
            <w:r w:rsidRPr="00035113">
              <w:t xml:space="preserve"> no </w:t>
            </w:r>
            <w:r w:rsidR="0032179A">
              <w:fldChar w:fldCharType="begin"/>
            </w:r>
            <w:r w:rsidR="0032179A">
              <w:instrText xml:space="preserve"> NUMPAGES  </w:instrText>
            </w:r>
            <w:r w:rsidR="0032179A">
              <w:fldChar w:fldCharType="separate"/>
            </w:r>
            <w:r w:rsidRPr="00035113">
              <w:rPr>
                <w:noProof/>
              </w:rPr>
              <w:t>2</w:t>
            </w:r>
            <w:r w:rsidR="0032179A">
              <w:rPr>
                <w:noProof/>
              </w:rPr>
              <w:fldChar w:fldCharType="end"/>
            </w:r>
          </w:p>
        </w:sdtContent>
      </w:sdt>
    </w:sdtContent>
  </w:sdt>
  <w:p w14:paraId="737325DC" w14:textId="77777777" w:rsidR="00185214" w:rsidRDefault="0018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E543" w14:textId="77777777" w:rsidR="00037815" w:rsidRDefault="00037815">
      <w:pPr>
        <w:spacing w:after="0" w:line="240" w:lineRule="auto"/>
      </w:pPr>
      <w:r>
        <w:separator/>
      </w:r>
    </w:p>
  </w:footnote>
  <w:footnote w:type="continuationSeparator" w:id="0">
    <w:p w14:paraId="06377A90" w14:textId="77777777" w:rsidR="00037815" w:rsidRDefault="00037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2741"/>
    <w:multiLevelType w:val="hybridMultilevel"/>
    <w:tmpl w:val="60F070D4"/>
    <w:lvl w:ilvl="0" w:tplc="E160D1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E2EA7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18689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B0035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A8324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F6550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0EBBC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842F6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2C49C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8112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3434"/>
    <w:rsid w:val="00006BEA"/>
    <w:rsid w:val="0001034B"/>
    <w:rsid w:val="00012BD2"/>
    <w:rsid w:val="00013337"/>
    <w:rsid w:val="00016C5D"/>
    <w:rsid w:val="00026DE8"/>
    <w:rsid w:val="00035113"/>
    <w:rsid w:val="00035A1A"/>
    <w:rsid w:val="00037815"/>
    <w:rsid w:val="00044933"/>
    <w:rsid w:val="00047042"/>
    <w:rsid w:val="000517F8"/>
    <w:rsid w:val="0005207B"/>
    <w:rsid w:val="00057DED"/>
    <w:rsid w:val="00082626"/>
    <w:rsid w:val="00092786"/>
    <w:rsid w:val="00095596"/>
    <w:rsid w:val="000B054E"/>
    <w:rsid w:val="000C22E8"/>
    <w:rsid w:val="000C2D5F"/>
    <w:rsid w:val="000D1AED"/>
    <w:rsid w:val="000F14A8"/>
    <w:rsid w:val="000F250A"/>
    <w:rsid w:val="000F7A4F"/>
    <w:rsid w:val="00106ED7"/>
    <w:rsid w:val="00115FC4"/>
    <w:rsid w:val="00124164"/>
    <w:rsid w:val="00124DB6"/>
    <w:rsid w:val="001272B1"/>
    <w:rsid w:val="00130241"/>
    <w:rsid w:val="0013109B"/>
    <w:rsid w:val="00134489"/>
    <w:rsid w:val="00135506"/>
    <w:rsid w:val="00137A27"/>
    <w:rsid w:val="001405A5"/>
    <w:rsid w:val="001413C1"/>
    <w:rsid w:val="001424F4"/>
    <w:rsid w:val="001436AC"/>
    <w:rsid w:val="0014399F"/>
    <w:rsid w:val="00151CE3"/>
    <w:rsid w:val="00153BD8"/>
    <w:rsid w:val="0016722C"/>
    <w:rsid w:val="0016765E"/>
    <w:rsid w:val="00170E39"/>
    <w:rsid w:val="0017236F"/>
    <w:rsid w:val="00183E66"/>
    <w:rsid w:val="00184C94"/>
    <w:rsid w:val="00185214"/>
    <w:rsid w:val="001951B3"/>
    <w:rsid w:val="001A3703"/>
    <w:rsid w:val="001A3A64"/>
    <w:rsid w:val="001A4F70"/>
    <w:rsid w:val="001A5470"/>
    <w:rsid w:val="001B4EB0"/>
    <w:rsid w:val="001B5180"/>
    <w:rsid w:val="001B616A"/>
    <w:rsid w:val="001B7A09"/>
    <w:rsid w:val="001C3987"/>
    <w:rsid w:val="001D1998"/>
    <w:rsid w:val="001D3FEF"/>
    <w:rsid w:val="001D5FAE"/>
    <w:rsid w:val="001E267F"/>
    <w:rsid w:val="001E47D7"/>
    <w:rsid w:val="001E666D"/>
    <w:rsid w:val="001E72E7"/>
    <w:rsid w:val="001F23EA"/>
    <w:rsid w:val="001F378C"/>
    <w:rsid w:val="00200EEE"/>
    <w:rsid w:val="00206676"/>
    <w:rsid w:val="002069A9"/>
    <w:rsid w:val="002074EA"/>
    <w:rsid w:val="0020780E"/>
    <w:rsid w:val="002118D6"/>
    <w:rsid w:val="00211C2A"/>
    <w:rsid w:val="00213B15"/>
    <w:rsid w:val="00215A37"/>
    <w:rsid w:val="00221F02"/>
    <w:rsid w:val="002302FB"/>
    <w:rsid w:val="00236D1B"/>
    <w:rsid w:val="00243B9C"/>
    <w:rsid w:val="00254B11"/>
    <w:rsid w:val="00255278"/>
    <w:rsid w:val="00261465"/>
    <w:rsid w:val="0026428C"/>
    <w:rsid w:val="002651E3"/>
    <w:rsid w:val="00266D06"/>
    <w:rsid w:val="002700BD"/>
    <w:rsid w:val="002704BD"/>
    <w:rsid w:val="0028168F"/>
    <w:rsid w:val="00286E77"/>
    <w:rsid w:val="0029257F"/>
    <w:rsid w:val="002A648C"/>
    <w:rsid w:val="002B4F72"/>
    <w:rsid w:val="002B62A2"/>
    <w:rsid w:val="002B7A37"/>
    <w:rsid w:val="002C11DE"/>
    <w:rsid w:val="002C7093"/>
    <w:rsid w:val="002D3A56"/>
    <w:rsid w:val="002E20EE"/>
    <w:rsid w:val="002E31F1"/>
    <w:rsid w:val="002F4656"/>
    <w:rsid w:val="00301A7B"/>
    <w:rsid w:val="00301CD9"/>
    <w:rsid w:val="00302509"/>
    <w:rsid w:val="00303F40"/>
    <w:rsid w:val="00303F5A"/>
    <w:rsid w:val="00305172"/>
    <w:rsid w:val="00306F93"/>
    <w:rsid w:val="00320A46"/>
    <w:rsid w:val="0032179A"/>
    <w:rsid w:val="00331F9C"/>
    <w:rsid w:val="00334038"/>
    <w:rsid w:val="00343BEB"/>
    <w:rsid w:val="00347F91"/>
    <w:rsid w:val="003576EE"/>
    <w:rsid w:val="00357FB1"/>
    <w:rsid w:val="0036114B"/>
    <w:rsid w:val="00363CC5"/>
    <w:rsid w:val="00381955"/>
    <w:rsid w:val="00382AA0"/>
    <w:rsid w:val="00383739"/>
    <w:rsid w:val="00384E2F"/>
    <w:rsid w:val="00392CAA"/>
    <w:rsid w:val="0039331F"/>
    <w:rsid w:val="003942B4"/>
    <w:rsid w:val="003B0F3A"/>
    <w:rsid w:val="003B6E14"/>
    <w:rsid w:val="003C324B"/>
    <w:rsid w:val="003C7E96"/>
    <w:rsid w:val="003D16B9"/>
    <w:rsid w:val="003E0574"/>
    <w:rsid w:val="003E6E0F"/>
    <w:rsid w:val="003F0C82"/>
    <w:rsid w:val="003F14CE"/>
    <w:rsid w:val="003F2C4F"/>
    <w:rsid w:val="003F337F"/>
    <w:rsid w:val="003F5198"/>
    <w:rsid w:val="004133F8"/>
    <w:rsid w:val="00420665"/>
    <w:rsid w:val="00423E5E"/>
    <w:rsid w:val="00424F27"/>
    <w:rsid w:val="0042737C"/>
    <w:rsid w:val="0043043F"/>
    <w:rsid w:val="004312A4"/>
    <w:rsid w:val="00434D54"/>
    <w:rsid w:val="00443520"/>
    <w:rsid w:val="0044355D"/>
    <w:rsid w:val="00446144"/>
    <w:rsid w:val="00451B93"/>
    <w:rsid w:val="004619A0"/>
    <w:rsid w:val="00465DA2"/>
    <w:rsid w:val="00466CCB"/>
    <w:rsid w:val="00471324"/>
    <w:rsid w:val="00476316"/>
    <w:rsid w:val="00477645"/>
    <w:rsid w:val="00485152"/>
    <w:rsid w:val="004A2E68"/>
    <w:rsid w:val="004A5F0A"/>
    <w:rsid w:val="004B7967"/>
    <w:rsid w:val="004C026A"/>
    <w:rsid w:val="004C1A95"/>
    <w:rsid w:val="004C43DC"/>
    <w:rsid w:val="004D551C"/>
    <w:rsid w:val="004D6522"/>
    <w:rsid w:val="005011FA"/>
    <w:rsid w:val="0050156C"/>
    <w:rsid w:val="00503CB7"/>
    <w:rsid w:val="00510FF0"/>
    <w:rsid w:val="00514225"/>
    <w:rsid w:val="00521ECA"/>
    <w:rsid w:val="00522F0F"/>
    <w:rsid w:val="00523EC8"/>
    <w:rsid w:val="00530EC3"/>
    <w:rsid w:val="005324D5"/>
    <w:rsid w:val="0053265C"/>
    <w:rsid w:val="00535C18"/>
    <w:rsid w:val="00536023"/>
    <w:rsid w:val="00536060"/>
    <w:rsid w:val="005371AF"/>
    <w:rsid w:val="0053725F"/>
    <w:rsid w:val="00542027"/>
    <w:rsid w:val="00544865"/>
    <w:rsid w:val="00551C90"/>
    <w:rsid w:val="0055221B"/>
    <w:rsid w:val="005535A9"/>
    <w:rsid w:val="005609AF"/>
    <w:rsid w:val="005705A7"/>
    <w:rsid w:val="00575DF8"/>
    <w:rsid w:val="00576766"/>
    <w:rsid w:val="00577579"/>
    <w:rsid w:val="00581134"/>
    <w:rsid w:val="005816F7"/>
    <w:rsid w:val="00583EDE"/>
    <w:rsid w:val="0058411A"/>
    <w:rsid w:val="005850E6"/>
    <w:rsid w:val="005950A5"/>
    <w:rsid w:val="00597FD3"/>
    <w:rsid w:val="005A3F0F"/>
    <w:rsid w:val="005A64DF"/>
    <w:rsid w:val="005B14F9"/>
    <w:rsid w:val="005B1A58"/>
    <w:rsid w:val="005B1B0B"/>
    <w:rsid w:val="005B3355"/>
    <w:rsid w:val="005B3E7D"/>
    <w:rsid w:val="005B6434"/>
    <w:rsid w:val="005D5978"/>
    <w:rsid w:val="005D5D3E"/>
    <w:rsid w:val="005D610A"/>
    <w:rsid w:val="005D6B67"/>
    <w:rsid w:val="005E02E0"/>
    <w:rsid w:val="005E5813"/>
    <w:rsid w:val="005F187F"/>
    <w:rsid w:val="005F556C"/>
    <w:rsid w:val="006025DB"/>
    <w:rsid w:val="00613041"/>
    <w:rsid w:val="0061726E"/>
    <w:rsid w:val="00617B65"/>
    <w:rsid w:val="00627294"/>
    <w:rsid w:val="00627B2B"/>
    <w:rsid w:val="00630943"/>
    <w:rsid w:val="0063690C"/>
    <w:rsid w:val="00636E2A"/>
    <w:rsid w:val="00640B2D"/>
    <w:rsid w:val="00643368"/>
    <w:rsid w:val="00644EDF"/>
    <w:rsid w:val="00650F7B"/>
    <w:rsid w:val="006561AE"/>
    <w:rsid w:val="00660471"/>
    <w:rsid w:val="006705AE"/>
    <w:rsid w:val="00672B2C"/>
    <w:rsid w:val="00676D03"/>
    <w:rsid w:val="006A4392"/>
    <w:rsid w:val="006A6D0F"/>
    <w:rsid w:val="006B1113"/>
    <w:rsid w:val="006B1E00"/>
    <w:rsid w:val="006C5137"/>
    <w:rsid w:val="006C66CC"/>
    <w:rsid w:val="006D494C"/>
    <w:rsid w:val="006D6C8C"/>
    <w:rsid w:val="006E49EF"/>
    <w:rsid w:val="006E5E6F"/>
    <w:rsid w:val="006F29CB"/>
    <w:rsid w:val="00704702"/>
    <w:rsid w:val="00704F36"/>
    <w:rsid w:val="007062D6"/>
    <w:rsid w:val="00710E47"/>
    <w:rsid w:val="00710FA0"/>
    <w:rsid w:val="00717D12"/>
    <w:rsid w:val="00720CFD"/>
    <w:rsid w:val="0072112F"/>
    <w:rsid w:val="007248B8"/>
    <w:rsid w:val="00737237"/>
    <w:rsid w:val="00740F53"/>
    <w:rsid w:val="00744820"/>
    <w:rsid w:val="0074486B"/>
    <w:rsid w:val="007448BA"/>
    <w:rsid w:val="00745942"/>
    <w:rsid w:val="007479C8"/>
    <w:rsid w:val="00752C40"/>
    <w:rsid w:val="0076396E"/>
    <w:rsid w:val="00765212"/>
    <w:rsid w:val="007673D2"/>
    <w:rsid w:val="0077024A"/>
    <w:rsid w:val="00773B85"/>
    <w:rsid w:val="00777211"/>
    <w:rsid w:val="007820F9"/>
    <w:rsid w:val="00783DC5"/>
    <w:rsid w:val="00784E40"/>
    <w:rsid w:val="0078515D"/>
    <w:rsid w:val="007858E6"/>
    <w:rsid w:val="007907C0"/>
    <w:rsid w:val="00795445"/>
    <w:rsid w:val="007A790C"/>
    <w:rsid w:val="007B0B7C"/>
    <w:rsid w:val="007B3787"/>
    <w:rsid w:val="007B3A92"/>
    <w:rsid w:val="007B40DD"/>
    <w:rsid w:val="007B7DC0"/>
    <w:rsid w:val="007C06C0"/>
    <w:rsid w:val="007C49C7"/>
    <w:rsid w:val="007C6262"/>
    <w:rsid w:val="007D2099"/>
    <w:rsid w:val="007D58E0"/>
    <w:rsid w:val="007D72EB"/>
    <w:rsid w:val="007E0F84"/>
    <w:rsid w:val="007E1F5A"/>
    <w:rsid w:val="007F5682"/>
    <w:rsid w:val="007F5C86"/>
    <w:rsid w:val="007F6F35"/>
    <w:rsid w:val="008023AF"/>
    <w:rsid w:val="00807A2A"/>
    <w:rsid w:val="00815935"/>
    <w:rsid w:val="00815C0E"/>
    <w:rsid w:val="00820A10"/>
    <w:rsid w:val="0083110A"/>
    <w:rsid w:val="0083412B"/>
    <w:rsid w:val="00837325"/>
    <w:rsid w:val="0084078B"/>
    <w:rsid w:val="008408B1"/>
    <w:rsid w:val="008450F8"/>
    <w:rsid w:val="0085362C"/>
    <w:rsid w:val="00853712"/>
    <w:rsid w:val="008542E8"/>
    <w:rsid w:val="008572D5"/>
    <w:rsid w:val="008616C7"/>
    <w:rsid w:val="008757B2"/>
    <w:rsid w:val="00875F0F"/>
    <w:rsid w:val="00882B34"/>
    <w:rsid w:val="00883C4F"/>
    <w:rsid w:val="00884181"/>
    <w:rsid w:val="008920C7"/>
    <w:rsid w:val="00892C42"/>
    <w:rsid w:val="00895C35"/>
    <w:rsid w:val="008A453D"/>
    <w:rsid w:val="008A5B05"/>
    <w:rsid w:val="008A6392"/>
    <w:rsid w:val="008B281F"/>
    <w:rsid w:val="008B51F3"/>
    <w:rsid w:val="008E0BFF"/>
    <w:rsid w:val="00901885"/>
    <w:rsid w:val="0091071F"/>
    <w:rsid w:val="00911BB1"/>
    <w:rsid w:val="00912D55"/>
    <w:rsid w:val="00923824"/>
    <w:rsid w:val="00923FD9"/>
    <w:rsid w:val="009301E2"/>
    <w:rsid w:val="00930362"/>
    <w:rsid w:val="009345F6"/>
    <w:rsid w:val="00942278"/>
    <w:rsid w:val="00960416"/>
    <w:rsid w:val="00971B6A"/>
    <w:rsid w:val="00980DE4"/>
    <w:rsid w:val="00981F33"/>
    <w:rsid w:val="00982CA7"/>
    <w:rsid w:val="00982E6A"/>
    <w:rsid w:val="00983839"/>
    <w:rsid w:val="00984F71"/>
    <w:rsid w:val="00990EB3"/>
    <w:rsid w:val="009A1B00"/>
    <w:rsid w:val="009A2F29"/>
    <w:rsid w:val="009A6424"/>
    <w:rsid w:val="009B15F5"/>
    <w:rsid w:val="009C147A"/>
    <w:rsid w:val="009C16F9"/>
    <w:rsid w:val="009C787C"/>
    <w:rsid w:val="009D1640"/>
    <w:rsid w:val="009F2477"/>
    <w:rsid w:val="00A022BD"/>
    <w:rsid w:val="00A07AC8"/>
    <w:rsid w:val="00A2449F"/>
    <w:rsid w:val="00A25716"/>
    <w:rsid w:val="00A25F6B"/>
    <w:rsid w:val="00A30D63"/>
    <w:rsid w:val="00A3473F"/>
    <w:rsid w:val="00A36E22"/>
    <w:rsid w:val="00A46308"/>
    <w:rsid w:val="00A60801"/>
    <w:rsid w:val="00A62640"/>
    <w:rsid w:val="00A62A76"/>
    <w:rsid w:val="00A776E1"/>
    <w:rsid w:val="00A80547"/>
    <w:rsid w:val="00A81B43"/>
    <w:rsid w:val="00A84CD6"/>
    <w:rsid w:val="00A91FB5"/>
    <w:rsid w:val="00A93A36"/>
    <w:rsid w:val="00A960DE"/>
    <w:rsid w:val="00A974E0"/>
    <w:rsid w:val="00AA1420"/>
    <w:rsid w:val="00AA2C6C"/>
    <w:rsid w:val="00AA2EBA"/>
    <w:rsid w:val="00AA6B87"/>
    <w:rsid w:val="00AB05F8"/>
    <w:rsid w:val="00AB2598"/>
    <w:rsid w:val="00AB28DE"/>
    <w:rsid w:val="00AB353F"/>
    <w:rsid w:val="00AB4917"/>
    <w:rsid w:val="00AC3C22"/>
    <w:rsid w:val="00AE2FBC"/>
    <w:rsid w:val="00AE3A82"/>
    <w:rsid w:val="00AE3E19"/>
    <w:rsid w:val="00AE563D"/>
    <w:rsid w:val="00AE7E5A"/>
    <w:rsid w:val="00AF4354"/>
    <w:rsid w:val="00B10575"/>
    <w:rsid w:val="00B10CFE"/>
    <w:rsid w:val="00B12265"/>
    <w:rsid w:val="00B17BE7"/>
    <w:rsid w:val="00B20A06"/>
    <w:rsid w:val="00B31DA8"/>
    <w:rsid w:val="00B42394"/>
    <w:rsid w:val="00B52254"/>
    <w:rsid w:val="00B53FAA"/>
    <w:rsid w:val="00B54360"/>
    <w:rsid w:val="00B55B7F"/>
    <w:rsid w:val="00B57E52"/>
    <w:rsid w:val="00B66511"/>
    <w:rsid w:val="00B67414"/>
    <w:rsid w:val="00B70B1F"/>
    <w:rsid w:val="00B76ECC"/>
    <w:rsid w:val="00B82223"/>
    <w:rsid w:val="00B83C7A"/>
    <w:rsid w:val="00B84A6E"/>
    <w:rsid w:val="00B84BAF"/>
    <w:rsid w:val="00B87D07"/>
    <w:rsid w:val="00B90F24"/>
    <w:rsid w:val="00B94151"/>
    <w:rsid w:val="00B976B4"/>
    <w:rsid w:val="00BA14D5"/>
    <w:rsid w:val="00BA3D14"/>
    <w:rsid w:val="00BA7AF6"/>
    <w:rsid w:val="00BA7F42"/>
    <w:rsid w:val="00BB7B7E"/>
    <w:rsid w:val="00BC36F9"/>
    <w:rsid w:val="00BD2D18"/>
    <w:rsid w:val="00BD46CB"/>
    <w:rsid w:val="00BE113A"/>
    <w:rsid w:val="00BE1FB1"/>
    <w:rsid w:val="00BE3DEF"/>
    <w:rsid w:val="00BF0729"/>
    <w:rsid w:val="00BF3A3C"/>
    <w:rsid w:val="00BF6427"/>
    <w:rsid w:val="00C015AD"/>
    <w:rsid w:val="00C06FD2"/>
    <w:rsid w:val="00C1798E"/>
    <w:rsid w:val="00C20861"/>
    <w:rsid w:val="00C34717"/>
    <w:rsid w:val="00C36C4D"/>
    <w:rsid w:val="00C422E3"/>
    <w:rsid w:val="00C47621"/>
    <w:rsid w:val="00C52D51"/>
    <w:rsid w:val="00C52DEA"/>
    <w:rsid w:val="00C628FD"/>
    <w:rsid w:val="00C664F7"/>
    <w:rsid w:val="00C7021B"/>
    <w:rsid w:val="00C73E08"/>
    <w:rsid w:val="00C8082F"/>
    <w:rsid w:val="00C80B13"/>
    <w:rsid w:val="00C83558"/>
    <w:rsid w:val="00C911DC"/>
    <w:rsid w:val="00C9499B"/>
    <w:rsid w:val="00C972AC"/>
    <w:rsid w:val="00C97B1B"/>
    <w:rsid w:val="00CA61D1"/>
    <w:rsid w:val="00CB0F44"/>
    <w:rsid w:val="00CB163E"/>
    <w:rsid w:val="00CB23A5"/>
    <w:rsid w:val="00CB5051"/>
    <w:rsid w:val="00CB515A"/>
    <w:rsid w:val="00CD371A"/>
    <w:rsid w:val="00CD39C0"/>
    <w:rsid w:val="00CD3C75"/>
    <w:rsid w:val="00CE092A"/>
    <w:rsid w:val="00CE14D5"/>
    <w:rsid w:val="00CE45CD"/>
    <w:rsid w:val="00CF07D2"/>
    <w:rsid w:val="00CF2063"/>
    <w:rsid w:val="00CF3EA0"/>
    <w:rsid w:val="00D0059F"/>
    <w:rsid w:val="00D02F3C"/>
    <w:rsid w:val="00D039BD"/>
    <w:rsid w:val="00D04709"/>
    <w:rsid w:val="00D07915"/>
    <w:rsid w:val="00D10BD2"/>
    <w:rsid w:val="00D155C7"/>
    <w:rsid w:val="00D16FF7"/>
    <w:rsid w:val="00D215CB"/>
    <w:rsid w:val="00D2256A"/>
    <w:rsid w:val="00D24BF3"/>
    <w:rsid w:val="00D2530C"/>
    <w:rsid w:val="00D268E1"/>
    <w:rsid w:val="00D32831"/>
    <w:rsid w:val="00D33100"/>
    <w:rsid w:val="00D33656"/>
    <w:rsid w:val="00D34E7D"/>
    <w:rsid w:val="00D354BF"/>
    <w:rsid w:val="00D35EF0"/>
    <w:rsid w:val="00D46DE2"/>
    <w:rsid w:val="00D474B4"/>
    <w:rsid w:val="00D662D7"/>
    <w:rsid w:val="00D73F2E"/>
    <w:rsid w:val="00D74E72"/>
    <w:rsid w:val="00D822B8"/>
    <w:rsid w:val="00D835E2"/>
    <w:rsid w:val="00D858FF"/>
    <w:rsid w:val="00D875EE"/>
    <w:rsid w:val="00D90EC8"/>
    <w:rsid w:val="00D919EB"/>
    <w:rsid w:val="00D95094"/>
    <w:rsid w:val="00DA2F4D"/>
    <w:rsid w:val="00DB3DC0"/>
    <w:rsid w:val="00DB71ED"/>
    <w:rsid w:val="00DB734E"/>
    <w:rsid w:val="00DC0157"/>
    <w:rsid w:val="00DC05BC"/>
    <w:rsid w:val="00DC0AF2"/>
    <w:rsid w:val="00DC506D"/>
    <w:rsid w:val="00DC55D2"/>
    <w:rsid w:val="00DD399E"/>
    <w:rsid w:val="00DD3A6A"/>
    <w:rsid w:val="00DD6048"/>
    <w:rsid w:val="00DF1DE5"/>
    <w:rsid w:val="00DF4AA6"/>
    <w:rsid w:val="00E03E3F"/>
    <w:rsid w:val="00E06417"/>
    <w:rsid w:val="00E114D2"/>
    <w:rsid w:val="00E174D6"/>
    <w:rsid w:val="00E2002B"/>
    <w:rsid w:val="00E20358"/>
    <w:rsid w:val="00E21C58"/>
    <w:rsid w:val="00E23AEA"/>
    <w:rsid w:val="00E27C11"/>
    <w:rsid w:val="00E30207"/>
    <w:rsid w:val="00E31606"/>
    <w:rsid w:val="00E326AA"/>
    <w:rsid w:val="00E35DF7"/>
    <w:rsid w:val="00E55B9A"/>
    <w:rsid w:val="00E56567"/>
    <w:rsid w:val="00E57690"/>
    <w:rsid w:val="00E73D23"/>
    <w:rsid w:val="00E76B4C"/>
    <w:rsid w:val="00E77C5A"/>
    <w:rsid w:val="00E81804"/>
    <w:rsid w:val="00E82493"/>
    <w:rsid w:val="00E830FB"/>
    <w:rsid w:val="00E926BB"/>
    <w:rsid w:val="00E97A3F"/>
    <w:rsid w:val="00EA1C5C"/>
    <w:rsid w:val="00EA56B0"/>
    <w:rsid w:val="00EA5C4C"/>
    <w:rsid w:val="00EB07E9"/>
    <w:rsid w:val="00EB4F4D"/>
    <w:rsid w:val="00EB57C4"/>
    <w:rsid w:val="00EC0ABF"/>
    <w:rsid w:val="00EC191F"/>
    <w:rsid w:val="00EC2028"/>
    <w:rsid w:val="00EC4DCD"/>
    <w:rsid w:val="00ED02E8"/>
    <w:rsid w:val="00ED0A4C"/>
    <w:rsid w:val="00ED22A1"/>
    <w:rsid w:val="00ED67BE"/>
    <w:rsid w:val="00ED782B"/>
    <w:rsid w:val="00EF000F"/>
    <w:rsid w:val="00F03464"/>
    <w:rsid w:val="00F04148"/>
    <w:rsid w:val="00F04A65"/>
    <w:rsid w:val="00F05F5C"/>
    <w:rsid w:val="00F147B8"/>
    <w:rsid w:val="00F17ECA"/>
    <w:rsid w:val="00F24424"/>
    <w:rsid w:val="00F263BE"/>
    <w:rsid w:val="00F31D30"/>
    <w:rsid w:val="00F34449"/>
    <w:rsid w:val="00F40842"/>
    <w:rsid w:val="00F42219"/>
    <w:rsid w:val="00F51CAA"/>
    <w:rsid w:val="00F7183B"/>
    <w:rsid w:val="00F72029"/>
    <w:rsid w:val="00F769B6"/>
    <w:rsid w:val="00F77FA6"/>
    <w:rsid w:val="00F82AF4"/>
    <w:rsid w:val="00F90C36"/>
    <w:rsid w:val="00F92709"/>
    <w:rsid w:val="00F94966"/>
    <w:rsid w:val="00F96407"/>
    <w:rsid w:val="00F97648"/>
    <w:rsid w:val="00F9794A"/>
    <w:rsid w:val="00FA2209"/>
    <w:rsid w:val="00FB116C"/>
    <w:rsid w:val="00FB6637"/>
    <w:rsid w:val="00FC3E6C"/>
    <w:rsid w:val="00FC4C75"/>
    <w:rsid w:val="00FD37CC"/>
    <w:rsid w:val="00FE415E"/>
    <w:rsid w:val="00FE4850"/>
    <w:rsid w:val="00FE4AF7"/>
    <w:rsid w:val="00FE7AD3"/>
    <w:rsid w:val="00FF28EA"/>
    <w:rsid w:val="00FF5373"/>
    <w:rsid w:val="00FF7E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A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character" w:styleId="Hyperlink">
    <w:name w:val="Hyperlink"/>
    <w:basedOn w:val="DefaultParagraphFont"/>
    <w:uiPriority w:val="99"/>
    <w:unhideWhenUsed/>
    <w:rsid w:val="00A96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418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9B6E-F593-4C27-BA38-22828758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6905</Words>
  <Characters>3936</Characters>
  <Application>Microsoft Office Word</Application>
  <DocSecurity>0</DocSecurity>
  <Lines>32</Lines>
  <Paragraphs>21</Paragraphs>
  <ScaleCrop>false</ScaleCrop>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2023-10-03T06:27:00Z</dcterms:created>
  <dcterms:modified xsi:type="dcterms:W3CDTF">2023-10-18T09:28:00Z</dcterms:modified>
</cp:coreProperties>
</file>