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6A0DA" w14:textId="482C3E80" w:rsidR="00770DB4" w:rsidRPr="00EC0C08" w:rsidRDefault="00EC0C08" w:rsidP="00EC0C08">
      <w:pPr>
        <w:widowControl w:val="0"/>
        <w:spacing w:after="0" w:line="276" w:lineRule="auto"/>
        <w:jc w:val="both"/>
        <w:rPr>
          <w:b/>
          <w:bCs/>
          <w:shd w:val="clear" w:color="auto" w:fill="FFFFFF"/>
        </w:rPr>
      </w:pPr>
      <w:r w:rsidRPr="00EC0C08">
        <w:rPr>
          <w:b/>
          <w:bCs/>
          <w:shd w:val="clear" w:color="auto" w:fill="FFFFFF"/>
        </w:rPr>
        <w:t>Lietas iztiesāšanas pamatforma apelācijas instances tiesā – mutvārdu process</w:t>
      </w:r>
    </w:p>
    <w:p w14:paraId="44869899" w14:textId="07E5BBFE" w:rsidR="00EC0C08" w:rsidRPr="00EC0C08" w:rsidRDefault="00EC0C08" w:rsidP="00EC0C08">
      <w:pPr>
        <w:pStyle w:val="ListParagraph"/>
        <w:widowControl w:val="0"/>
        <w:numPr>
          <w:ilvl w:val="0"/>
          <w:numId w:val="2"/>
        </w:numPr>
        <w:spacing w:line="276" w:lineRule="auto"/>
        <w:jc w:val="both"/>
      </w:pPr>
      <w:r w:rsidRPr="00EC0C08">
        <w:t>Kriminālprocesuālās formas prasību ievērošana ir priekšnoteikums procesā iesaistīto personu tiesību pilnvērtīgai īstenošanai. Atbilstoši spēkā esošajām Kriminālprocesa likuma normām lietu iztiesāšanas pamatforma apelācijas instances tiesā ir mutvārdu process. Lietas iztiesāšana rakstveida procesā ir noteikta kā izņēmums Kriminālprocesa likuma 559. panta ceturtajā daļā paredzētajos gadījumos.</w:t>
      </w:r>
    </w:p>
    <w:p w14:paraId="09E38075" w14:textId="71E9F89A" w:rsidR="00EC0C08" w:rsidRPr="00EC0C08" w:rsidRDefault="00EC0C08" w:rsidP="00EC0C08">
      <w:pPr>
        <w:pStyle w:val="ListParagraph"/>
        <w:widowControl w:val="0"/>
        <w:numPr>
          <w:ilvl w:val="0"/>
          <w:numId w:val="2"/>
        </w:numPr>
        <w:spacing w:line="276" w:lineRule="auto"/>
        <w:jc w:val="both"/>
        <w:rPr>
          <w:noProof/>
        </w:rPr>
      </w:pPr>
      <w:r w:rsidRPr="00EC0C08">
        <w:rPr>
          <w:noProof/>
        </w:rPr>
        <w:t>Covid-19 infekcijas izplatības pārvaldības likums nevar būt tiesiskais pamats tādu personas tiesību ierobežojumu noteikšanai, kas nav vērsti uz sabiedrības drošības risku novēršanu saistībā ar Covid-19 infekcijas izplatību.</w:t>
      </w:r>
    </w:p>
    <w:p w14:paraId="5D4AFC00" w14:textId="3D3A9426" w:rsidR="00770DB4" w:rsidRPr="001A4084" w:rsidRDefault="00770DB4" w:rsidP="00EC0C08">
      <w:pPr>
        <w:widowControl w:val="0"/>
        <w:spacing w:after="0" w:line="276" w:lineRule="auto"/>
      </w:pPr>
    </w:p>
    <w:p w14:paraId="3CBAD8C2" w14:textId="77777777" w:rsidR="00EC0C08" w:rsidRPr="00EC0C08" w:rsidRDefault="00770DB4" w:rsidP="00770DB4">
      <w:pPr>
        <w:widowControl w:val="0"/>
        <w:spacing w:after="0" w:line="276" w:lineRule="auto"/>
        <w:jc w:val="center"/>
        <w:rPr>
          <w:rFonts w:cs="Times New Roman"/>
          <w:b/>
          <w:szCs w:val="24"/>
        </w:rPr>
      </w:pPr>
      <w:r w:rsidRPr="00EC0C08">
        <w:rPr>
          <w:rFonts w:cs="Times New Roman"/>
          <w:b/>
          <w:szCs w:val="24"/>
        </w:rPr>
        <w:t>Latvijas Republikas Senāt</w:t>
      </w:r>
      <w:r w:rsidR="00EC0C08" w:rsidRPr="00EC0C08">
        <w:rPr>
          <w:rFonts w:cs="Times New Roman"/>
          <w:b/>
          <w:szCs w:val="24"/>
        </w:rPr>
        <w:t xml:space="preserve">a </w:t>
      </w:r>
    </w:p>
    <w:p w14:paraId="5FEF1876" w14:textId="77777777" w:rsidR="00EC0C08" w:rsidRPr="00EC0C08" w:rsidRDefault="00EC0C08" w:rsidP="00770DB4">
      <w:pPr>
        <w:widowControl w:val="0"/>
        <w:spacing w:after="0" w:line="276" w:lineRule="auto"/>
        <w:jc w:val="center"/>
        <w:rPr>
          <w:rFonts w:cs="Times New Roman"/>
          <w:b/>
          <w:szCs w:val="24"/>
        </w:rPr>
      </w:pPr>
      <w:r w:rsidRPr="00EC0C08">
        <w:rPr>
          <w:rFonts w:cs="Times New Roman"/>
          <w:b/>
          <w:szCs w:val="24"/>
        </w:rPr>
        <w:t>Krimināllietu departamenta</w:t>
      </w:r>
    </w:p>
    <w:p w14:paraId="20B28323" w14:textId="1AEBB799" w:rsidR="00770DB4" w:rsidRPr="00EC0C08" w:rsidRDefault="00EC0C08" w:rsidP="00770DB4">
      <w:pPr>
        <w:widowControl w:val="0"/>
        <w:spacing w:after="0" w:line="276" w:lineRule="auto"/>
        <w:jc w:val="center"/>
        <w:rPr>
          <w:rFonts w:cs="Times New Roman"/>
          <w:b/>
          <w:szCs w:val="24"/>
        </w:rPr>
      </w:pPr>
      <w:r w:rsidRPr="00EC0C08">
        <w:rPr>
          <w:rFonts w:cs="Times New Roman"/>
          <w:b/>
          <w:szCs w:val="24"/>
        </w:rPr>
        <w:t>2023. gada 28. septembra</w:t>
      </w:r>
    </w:p>
    <w:p w14:paraId="7B5DA835" w14:textId="77777777" w:rsidR="00770DB4" w:rsidRPr="00EC0C08" w:rsidRDefault="00770DB4" w:rsidP="00770DB4">
      <w:pPr>
        <w:widowControl w:val="0"/>
        <w:spacing w:after="0" w:line="276" w:lineRule="auto"/>
        <w:jc w:val="center"/>
        <w:rPr>
          <w:rFonts w:cs="Times New Roman"/>
          <w:b/>
          <w:szCs w:val="24"/>
        </w:rPr>
      </w:pPr>
      <w:r w:rsidRPr="00EC0C08">
        <w:rPr>
          <w:rFonts w:cs="Times New Roman"/>
          <w:b/>
          <w:szCs w:val="24"/>
        </w:rPr>
        <w:t>LĒMUMS</w:t>
      </w:r>
    </w:p>
    <w:p w14:paraId="530AF8EE" w14:textId="39D2763C" w:rsidR="00770DB4" w:rsidRPr="00EC0C08" w:rsidRDefault="00EC0C08" w:rsidP="00770DB4">
      <w:pPr>
        <w:widowControl w:val="0"/>
        <w:tabs>
          <w:tab w:val="left" w:pos="6096"/>
        </w:tabs>
        <w:spacing w:after="0" w:line="276" w:lineRule="auto"/>
        <w:jc w:val="center"/>
        <w:rPr>
          <w:rFonts w:cs="Times New Roman"/>
          <w:b/>
          <w:szCs w:val="24"/>
        </w:rPr>
      </w:pPr>
      <w:r w:rsidRPr="00EC0C08">
        <w:rPr>
          <w:rFonts w:cs="Times New Roman"/>
          <w:b/>
          <w:szCs w:val="24"/>
        </w:rPr>
        <w:t>Lieta Nr. 11352068119, SKK-411/2023</w:t>
      </w:r>
    </w:p>
    <w:p w14:paraId="3DA69E5C" w14:textId="235A7B12" w:rsidR="00EC0C08" w:rsidRPr="00EC0C08" w:rsidRDefault="00DA04B1" w:rsidP="00770DB4">
      <w:pPr>
        <w:widowControl w:val="0"/>
        <w:tabs>
          <w:tab w:val="left" w:pos="6096"/>
        </w:tabs>
        <w:spacing w:after="0" w:line="276" w:lineRule="auto"/>
        <w:jc w:val="center"/>
        <w:rPr>
          <w:rFonts w:cs="Times New Roman"/>
          <w:szCs w:val="24"/>
        </w:rPr>
      </w:pPr>
      <w:hyperlink r:id="rId8" w:history="1">
        <w:r w:rsidR="00EC0C08" w:rsidRPr="00EC0C08">
          <w:rPr>
            <w:rStyle w:val="Hyperlink"/>
            <w:rFonts w:cs="Times New Roman"/>
            <w:szCs w:val="24"/>
            <w:shd w:val="clear" w:color="auto" w:fill="FFFFFF"/>
          </w:rPr>
          <w:t>ECLI:LV:AT:2023:0928.11352068119.9.L</w:t>
        </w:r>
      </w:hyperlink>
    </w:p>
    <w:p w14:paraId="66FCB014" w14:textId="77777777" w:rsidR="00770DB4" w:rsidRPr="00E043D4" w:rsidRDefault="00770DB4" w:rsidP="00770DB4">
      <w:pPr>
        <w:widowControl w:val="0"/>
        <w:tabs>
          <w:tab w:val="left" w:pos="6096"/>
        </w:tabs>
        <w:spacing w:after="0" w:line="276" w:lineRule="auto"/>
        <w:ind w:firstLine="720"/>
        <w:jc w:val="both"/>
        <w:rPr>
          <w:rFonts w:asciiTheme="majorBidi" w:hAnsiTheme="majorBidi" w:cstheme="majorBidi"/>
          <w:szCs w:val="24"/>
        </w:rPr>
      </w:pPr>
    </w:p>
    <w:p w14:paraId="06FBE582" w14:textId="75085A1C" w:rsidR="00770DB4" w:rsidRPr="00E043D4" w:rsidRDefault="00945211" w:rsidP="00D93331">
      <w:pPr>
        <w:widowControl w:val="0"/>
        <w:tabs>
          <w:tab w:val="left" w:pos="6096"/>
        </w:tabs>
        <w:spacing w:after="0" w:line="276" w:lineRule="auto"/>
        <w:ind w:firstLine="720"/>
        <w:jc w:val="both"/>
        <w:rPr>
          <w:rFonts w:asciiTheme="majorBidi" w:hAnsiTheme="majorBidi" w:cstheme="majorBidi"/>
          <w:szCs w:val="24"/>
        </w:rPr>
      </w:pPr>
      <w:r w:rsidRPr="00072808">
        <w:rPr>
          <w:rFonts w:asciiTheme="majorBidi" w:hAnsiTheme="majorBidi" w:cstheme="majorBidi"/>
        </w:rPr>
        <w:t xml:space="preserve">Senāts šādā sastāvā: senatore referente </w:t>
      </w:r>
      <w:r w:rsidR="00D93331">
        <w:rPr>
          <w:rFonts w:asciiTheme="majorBidi" w:hAnsiTheme="majorBidi" w:cstheme="majorBidi"/>
          <w:szCs w:val="24"/>
        </w:rPr>
        <w:t>Sandra Kaija</w:t>
      </w:r>
      <w:r w:rsidR="00B539B6">
        <w:rPr>
          <w:rFonts w:asciiTheme="majorBidi" w:hAnsiTheme="majorBidi" w:cstheme="majorBidi"/>
          <w:szCs w:val="24"/>
        </w:rPr>
        <w:t xml:space="preserve">, </w:t>
      </w:r>
      <w:r>
        <w:rPr>
          <w:rFonts w:asciiTheme="majorBidi" w:hAnsiTheme="majorBidi" w:cstheme="majorBidi"/>
          <w:szCs w:val="24"/>
        </w:rPr>
        <w:t xml:space="preserve">senatori </w:t>
      </w:r>
      <w:r w:rsidR="00C710B7">
        <w:rPr>
          <w:rFonts w:asciiTheme="majorBidi" w:hAnsiTheme="majorBidi" w:cstheme="majorBidi"/>
          <w:szCs w:val="24"/>
        </w:rPr>
        <w:t>Aivars Uminskis</w:t>
      </w:r>
      <w:r w:rsidR="00B539B6">
        <w:rPr>
          <w:rFonts w:asciiTheme="majorBidi" w:hAnsiTheme="majorBidi" w:cstheme="majorBidi"/>
          <w:szCs w:val="24"/>
        </w:rPr>
        <w:t xml:space="preserve"> un</w:t>
      </w:r>
      <w:r w:rsidR="00C710B7">
        <w:rPr>
          <w:rFonts w:asciiTheme="majorBidi" w:hAnsiTheme="majorBidi" w:cstheme="majorBidi"/>
          <w:szCs w:val="24"/>
        </w:rPr>
        <w:t xml:space="preserve"> Inese Laura Zemīte</w:t>
      </w:r>
    </w:p>
    <w:p w14:paraId="08A05178" w14:textId="77777777" w:rsidR="00770DB4" w:rsidRPr="00726DC8" w:rsidRDefault="00770DB4" w:rsidP="00770DB4">
      <w:pPr>
        <w:widowControl w:val="0"/>
        <w:tabs>
          <w:tab w:val="left" w:pos="6096"/>
        </w:tabs>
        <w:spacing w:after="0" w:line="276" w:lineRule="auto"/>
        <w:ind w:firstLine="720"/>
        <w:jc w:val="both"/>
        <w:rPr>
          <w:rFonts w:asciiTheme="majorBidi" w:hAnsiTheme="majorBidi" w:cstheme="majorBidi"/>
          <w:szCs w:val="24"/>
        </w:rPr>
      </w:pPr>
    </w:p>
    <w:p w14:paraId="4201D1EF" w14:textId="19D3C29E" w:rsidR="009968D1" w:rsidRPr="009968D1" w:rsidRDefault="009968D1" w:rsidP="009968D1">
      <w:pPr>
        <w:spacing w:after="0" w:line="276" w:lineRule="auto"/>
        <w:ind w:firstLine="720"/>
        <w:jc w:val="both"/>
        <w:rPr>
          <w:rFonts w:eastAsia="Times New Roman" w:cs="Times New Roman"/>
          <w:szCs w:val="24"/>
          <w:lang w:eastAsia="ru-RU"/>
        </w:rPr>
      </w:pPr>
      <w:r w:rsidRPr="009968D1">
        <w:rPr>
          <w:rFonts w:eastAsia="Times New Roman" w:cs="Times New Roman"/>
          <w:szCs w:val="24"/>
          <w:lang w:eastAsia="ru-RU"/>
        </w:rPr>
        <w:t xml:space="preserve">izskatīja rakstveida procesā krimināllietu sakarā ar </w:t>
      </w:r>
      <w:bookmarkStart w:id="0" w:name="_Hlk143091203"/>
      <w:r w:rsidR="00D6664F">
        <w:rPr>
          <w:rFonts w:eastAsia="Times New Roman" w:cs="Times New Roman"/>
          <w:szCs w:val="24"/>
          <w:lang w:eastAsia="ru-RU"/>
        </w:rPr>
        <w:t>[pers. A]</w:t>
      </w:r>
      <w:r>
        <w:rPr>
          <w:rFonts w:eastAsia="Times New Roman" w:cs="Times New Roman"/>
          <w:szCs w:val="24"/>
          <w:lang w:eastAsia="ru-RU"/>
        </w:rPr>
        <w:t xml:space="preserve"> </w:t>
      </w:r>
      <w:r w:rsidRPr="009968D1">
        <w:rPr>
          <w:rFonts w:eastAsia="Times New Roman" w:cs="Times New Roman"/>
          <w:szCs w:val="24"/>
          <w:lang w:eastAsia="ru-RU"/>
        </w:rPr>
        <w:t xml:space="preserve">kasācijas </w:t>
      </w:r>
      <w:bookmarkEnd w:id="0"/>
      <w:r>
        <w:rPr>
          <w:rFonts w:eastAsia="Times New Roman" w:cs="Times New Roman"/>
          <w:szCs w:val="24"/>
          <w:lang w:eastAsia="ru-RU"/>
        </w:rPr>
        <w:t>sūdzību</w:t>
      </w:r>
      <w:r w:rsidRPr="009968D1">
        <w:rPr>
          <w:rFonts w:eastAsia="Times New Roman" w:cs="Times New Roman"/>
          <w:szCs w:val="24"/>
          <w:lang w:eastAsia="ru-RU"/>
        </w:rPr>
        <w:t xml:space="preserve"> par </w:t>
      </w:r>
      <w:r w:rsidR="00251608">
        <w:rPr>
          <w:rFonts w:eastAsia="Times New Roman" w:cs="Times New Roman"/>
          <w:iCs/>
          <w:szCs w:val="24"/>
          <w:lang w:eastAsia="ru-RU"/>
        </w:rPr>
        <w:t xml:space="preserve">Kurzemes </w:t>
      </w:r>
      <w:r w:rsidRPr="009968D1">
        <w:rPr>
          <w:rFonts w:eastAsia="Times New Roman" w:cs="Times New Roman"/>
          <w:iCs/>
          <w:szCs w:val="24"/>
          <w:lang w:eastAsia="ru-RU"/>
        </w:rPr>
        <w:t xml:space="preserve">apgabaltiesas 2023. gada </w:t>
      </w:r>
      <w:r w:rsidR="00251608">
        <w:rPr>
          <w:rFonts w:eastAsia="Times New Roman" w:cs="Times New Roman"/>
          <w:iCs/>
          <w:szCs w:val="24"/>
          <w:lang w:eastAsia="ru-RU"/>
        </w:rPr>
        <w:t>23</w:t>
      </w:r>
      <w:r w:rsidRPr="009968D1">
        <w:rPr>
          <w:rFonts w:eastAsia="Times New Roman" w:cs="Times New Roman"/>
          <w:iCs/>
          <w:szCs w:val="24"/>
          <w:lang w:eastAsia="ru-RU"/>
        </w:rPr>
        <w:t>. </w:t>
      </w:r>
      <w:r w:rsidR="00251608">
        <w:rPr>
          <w:rFonts w:eastAsia="Times New Roman" w:cs="Times New Roman"/>
          <w:iCs/>
          <w:szCs w:val="24"/>
          <w:lang w:eastAsia="ru-RU"/>
        </w:rPr>
        <w:t>maija</w:t>
      </w:r>
      <w:r w:rsidRPr="009968D1">
        <w:rPr>
          <w:rFonts w:eastAsia="Times New Roman" w:cs="Times New Roman"/>
          <w:iCs/>
          <w:szCs w:val="24"/>
          <w:lang w:eastAsia="ru-RU"/>
        </w:rPr>
        <w:t xml:space="preserve"> </w:t>
      </w:r>
      <w:r w:rsidR="00251608">
        <w:rPr>
          <w:rFonts w:eastAsia="Times New Roman" w:cs="Times New Roman"/>
          <w:iCs/>
          <w:szCs w:val="24"/>
          <w:lang w:eastAsia="ru-RU"/>
        </w:rPr>
        <w:t>lēm</w:t>
      </w:r>
      <w:r w:rsidRPr="009968D1">
        <w:rPr>
          <w:rFonts w:eastAsia="Times New Roman" w:cs="Times New Roman"/>
          <w:iCs/>
          <w:szCs w:val="24"/>
          <w:lang w:eastAsia="ru-RU"/>
        </w:rPr>
        <w:t>umu.</w:t>
      </w:r>
    </w:p>
    <w:p w14:paraId="5ADF8C33" w14:textId="77777777" w:rsidR="009968D1" w:rsidRPr="009968D1" w:rsidRDefault="009968D1" w:rsidP="009968D1">
      <w:pPr>
        <w:spacing w:after="0" w:line="276" w:lineRule="auto"/>
        <w:ind w:firstLine="567"/>
        <w:jc w:val="both"/>
        <w:rPr>
          <w:rFonts w:eastAsia="Times New Roman" w:cs="Times New Roman"/>
          <w:szCs w:val="24"/>
          <w:lang w:eastAsia="ru-RU"/>
        </w:rPr>
      </w:pPr>
    </w:p>
    <w:p w14:paraId="4D125A37" w14:textId="77777777" w:rsidR="009968D1" w:rsidRPr="009968D1" w:rsidRDefault="009968D1" w:rsidP="009968D1">
      <w:pPr>
        <w:spacing w:after="0" w:line="276" w:lineRule="auto"/>
        <w:jc w:val="center"/>
        <w:rPr>
          <w:rFonts w:eastAsia="Times New Roman" w:cs="Times New Roman"/>
          <w:b/>
          <w:szCs w:val="24"/>
          <w:lang w:eastAsia="ru-RU"/>
        </w:rPr>
      </w:pPr>
      <w:r w:rsidRPr="009968D1">
        <w:rPr>
          <w:rFonts w:eastAsia="Times New Roman" w:cs="Times New Roman"/>
          <w:b/>
          <w:szCs w:val="24"/>
          <w:lang w:eastAsia="ru-RU"/>
        </w:rPr>
        <w:t>Aprakstošā daļa</w:t>
      </w:r>
    </w:p>
    <w:p w14:paraId="541BDA14" w14:textId="77777777" w:rsidR="009968D1" w:rsidRPr="009968D1" w:rsidRDefault="009968D1" w:rsidP="009968D1">
      <w:pPr>
        <w:spacing w:after="0" w:line="276" w:lineRule="auto"/>
        <w:ind w:firstLine="567"/>
        <w:jc w:val="both"/>
        <w:rPr>
          <w:rFonts w:eastAsia="Times New Roman" w:cs="Times New Roman"/>
          <w:szCs w:val="24"/>
          <w:lang w:eastAsia="ru-RU"/>
        </w:rPr>
      </w:pPr>
    </w:p>
    <w:p w14:paraId="4B8A12E6" w14:textId="40A1FCD2" w:rsidR="009968D1" w:rsidRPr="009968D1" w:rsidRDefault="009968D1" w:rsidP="009968D1">
      <w:pPr>
        <w:spacing w:after="0" w:line="276" w:lineRule="auto"/>
        <w:ind w:firstLine="720"/>
        <w:jc w:val="both"/>
        <w:rPr>
          <w:rFonts w:eastAsia="Times New Roman" w:cs="Times New Roman"/>
          <w:szCs w:val="24"/>
          <w:lang w:eastAsia="ru-RU"/>
        </w:rPr>
      </w:pPr>
      <w:r w:rsidRPr="009968D1">
        <w:rPr>
          <w:rFonts w:eastAsia="Times New Roman" w:cs="Times New Roman"/>
          <w:szCs w:val="24"/>
          <w:lang w:eastAsia="ru-RU"/>
        </w:rPr>
        <w:t xml:space="preserve">[1] Ar </w:t>
      </w:r>
      <w:bookmarkStart w:id="1" w:name="_Hlk122506980"/>
      <w:bookmarkStart w:id="2" w:name="_Hlk143159686"/>
      <w:r w:rsidR="00251608">
        <w:rPr>
          <w:rFonts w:eastAsia="Times New Roman" w:cs="Times New Roman"/>
          <w:szCs w:val="24"/>
          <w:lang w:eastAsia="ru-RU"/>
        </w:rPr>
        <w:t xml:space="preserve">Rīgas rajona tiesas </w:t>
      </w:r>
      <w:r w:rsidRPr="009968D1">
        <w:rPr>
          <w:rFonts w:eastAsia="Times New Roman" w:cs="Times New Roman"/>
          <w:szCs w:val="24"/>
          <w:lang w:eastAsia="ru-RU"/>
        </w:rPr>
        <w:t>2022. gada 11. </w:t>
      </w:r>
      <w:r w:rsidR="00251608">
        <w:rPr>
          <w:rFonts w:eastAsia="Times New Roman" w:cs="Times New Roman"/>
          <w:szCs w:val="24"/>
          <w:lang w:eastAsia="ru-RU"/>
        </w:rPr>
        <w:t>oktobra</w:t>
      </w:r>
      <w:r w:rsidRPr="009968D1">
        <w:rPr>
          <w:rFonts w:eastAsia="Times New Roman" w:cs="Times New Roman"/>
          <w:szCs w:val="24"/>
          <w:lang w:eastAsia="ru-RU"/>
        </w:rPr>
        <w:t xml:space="preserve"> </w:t>
      </w:r>
      <w:bookmarkEnd w:id="1"/>
      <w:r w:rsidRPr="009968D1">
        <w:rPr>
          <w:rFonts w:eastAsia="Times New Roman" w:cs="Times New Roman"/>
          <w:szCs w:val="24"/>
          <w:lang w:eastAsia="ru-RU"/>
        </w:rPr>
        <w:t>spriedumu</w:t>
      </w:r>
      <w:bookmarkEnd w:id="2"/>
    </w:p>
    <w:p w14:paraId="0B03CF09" w14:textId="2AC8597C" w:rsidR="009968D1" w:rsidRPr="009968D1" w:rsidRDefault="00D6664F" w:rsidP="009968D1">
      <w:pPr>
        <w:spacing w:after="0" w:line="276" w:lineRule="auto"/>
        <w:ind w:firstLine="720"/>
        <w:jc w:val="both"/>
        <w:rPr>
          <w:rFonts w:eastAsia="Times New Roman" w:cs="Times New Roman"/>
          <w:szCs w:val="24"/>
          <w:lang w:eastAsia="ru-RU"/>
        </w:rPr>
      </w:pPr>
      <w:r>
        <w:rPr>
          <w:rFonts w:eastAsia="Times New Roman" w:cs="Times New Roman"/>
          <w:szCs w:val="24"/>
          <w:lang w:eastAsia="ru-RU"/>
        </w:rPr>
        <w:t>[pers. A]</w:t>
      </w:r>
      <w:r w:rsidR="009968D1" w:rsidRPr="009968D1">
        <w:rPr>
          <w:rFonts w:eastAsia="Times New Roman" w:cs="Times New Roman"/>
          <w:szCs w:val="24"/>
          <w:lang w:eastAsia="ru-RU"/>
        </w:rPr>
        <w:t xml:space="preserve">, </w:t>
      </w:r>
      <w:bookmarkStart w:id="3" w:name="_Hlk122505110"/>
      <w:r w:rsidR="009968D1" w:rsidRPr="009968D1">
        <w:rPr>
          <w:rFonts w:eastAsia="Times New Roman" w:cs="Times New Roman"/>
          <w:szCs w:val="24"/>
          <w:lang w:eastAsia="ru-RU"/>
        </w:rPr>
        <w:t xml:space="preserve">personas kods </w:t>
      </w:r>
      <w:r>
        <w:rPr>
          <w:rFonts w:eastAsia="Times New Roman" w:cs="Times New Roman"/>
          <w:szCs w:val="24"/>
          <w:lang w:eastAsia="ru-RU"/>
        </w:rPr>
        <w:t>[..]</w:t>
      </w:r>
      <w:r w:rsidR="009968D1" w:rsidRPr="009968D1">
        <w:rPr>
          <w:rFonts w:eastAsia="Times New Roman" w:cs="Times New Roman"/>
          <w:szCs w:val="24"/>
          <w:lang w:eastAsia="ru-RU"/>
        </w:rPr>
        <w:t>,</w:t>
      </w:r>
    </w:p>
    <w:p w14:paraId="2C2A38B4" w14:textId="2F90E109" w:rsidR="009968D1" w:rsidRPr="009968D1" w:rsidRDefault="009968D1" w:rsidP="009968D1">
      <w:pPr>
        <w:spacing w:after="0" w:line="276" w:lineRule="auto"/>
        <w:ind w:firstLine="720"/>
        <w:jc w:val="both"/>
        <w:rPr>
          <w:rFonts w:eastAsia="Times New Roman" w:cs="Times New Roman"/>
          <w:szCs w:val="24"/>
          <w:lang w:eastAsia="ru-RU"/>
        </w:rPr>
      </w:pPr>
      <w:r w:rsidRPr="009968D1">
        <w:rPr>
          <w:rFonts w:eastAsia="Times New Roman" w:cs="Times New Roman"/>
          <w:szCs w:val="24"/>
          <w:lang w:eastAsia="ru-RU"/>
        </w:rPr>
        <w:t>atzīts par vainīgu Krimināllikuma 1</w:t>
      </w:r>
      <w:r w:rsidR="00251608">
        <w:rPr>
          <w:rFonts w:eastAsia="Times New Roman" w:cs="Times New Roman"/>
          <w:szCs w:val="24"/>
          <w:lang w:eastAsia="ru-RU"/>
        </w:rPr>
        <w:t>26</w:t>
      </w:r>
      <w:r w:rsidRPr="009968D1">
        <w:rPr>
          <w:rFonts w:eastAsia="Times New Roman" w:cs="Times New Roman"/>
          <w:szCs w:val="24"/>
          <w:lang w:eastAsia="ru-RU"/>
        </w:rPr>
        <w:t xml:space="preserve">. panta </w:t>
      </w:r>
      <w:r w:rsidR="00251608">
        <w:rPr>
          <w:rFonts w:eastAsia="Times New Roman" w:cs="Times New Roman"/>
          <w:szCs w:val="24"/>
          <w:lang w:eastAsia="ru-RU"/>
        </w:rPr>
        <w:t>pirmajā</w:t>
      </w:r>
      <w:r w:rsidRPr="009968D1">
        <w:rPr>
          <w:rFonts w:eastAsia="Times New Roman" w:cs="Times New Roman"/>
          <w:szCs w:val="24"/>
          <w:lang w:eastAsia="ru-RU"/>
        </w:rPr>
        <w:t xml:space="preserve"> daļā paredzētajā noziedzīgajā nodarījumā un </w:t>
      </w:r>
      <w:r w:rsidR="00251608" w:rsidRPr="009968D1">
        <w:rPr>
          <w:rFonts w:eastAsia="Times New Roman" w:cs="Times New Roman"/>
          <w:szCs w:val="24"/>
          <w:lang w:eastAsia="ru-RU"/>
        </w:rPr>
        <w:t xml:space="preserve">sodīts ar brīvības atņemšanu uz </w:t>
      </w:r>
      <w:r w:rsidR="00251608">
        <w:rPr>
          <w:rFonts w:eastAsia="Times New Roman" w:cs="Times New Roman"/>
          <w:szCs w:val="24"/>
          <w:lang w:eastAsia="ru-RU"/>
        </w:rPr>
        <w:t>1</w:t>
      </w:r>
      <w:r w:rsidR="00251608" w:rsidRPr="009968D1">
        <w:rPr>
          <w:rFonts w:eastAsia="Times New Roman" w:cs="Times New Roman"/>
          <w:szCs w:val="24"/>
          <w:lang w:eastAsia="ru-RU"/>
        </w:rPr>
        <w:t xml:space="preserve"> gad</w:t>
      </w:r>
      <w:r w:rsidR="00251608">
        <w:rPr>
          <w:rFonts w:eastAsia="Times New Roman" w:cs="Times New Roman"/>
          <w:szCs w:val="24"/>
          <w:lang w:eastAsia="ru-RU"/>
        </w:rPr>
        <w:t>u;</w:t>
      </w:r>
    </w:p>
    <w:p w14:paraId="6ACE2037" w14:textId="5078607E" w:rsidR="009968D1" w:rsidRDefault="009968D1" w:rsidP="009968D1">
      <w:pPr>
        <w:spacing w:after="0" w:line="276" w:lineRule="auto"/>
        <w:ind w:firstLine="720"/>
        <w:jc w:val="both"/>
        <w:rPr>
          <w:rFonts w:eastAsia="Times New Roman" w:cs="Times New Roman"/>
          <w:szCs w:val="24"/>
          <w:lang w:eastAsia="ru-RU"/>
        </w:rPr>
      </w:pPr>
      <w:bookmarkStart w:id="4" w:name="_Hlk143091039"/>
      <w:bookmarkStart w:id="5" w:name="_Hlk122505146"/>
      <w:bookmarkEnd w:id="3"/>
      <w:r w:rsidRPr="009968D1">
        <w:rPr>
          <w:rFonts w:eastAsia="Times New Roman" w:cs="Times New Roman"/>
          <w:szCs w:val="24"/>
          <w:lang w:eastAsia="ru-RU"/>
        </w:rPr>
        <w:t xml:space="preserve">atzīts par vainīgu </w:t>
      </w:r>
      <w:bookmarkStart w:id="6" w:name="_Hlk121319357"/>
      <w:r w:rsidRPr="009968D1">
        <w:rPr>
          <w:rFonts w:eastAsia="Times New Roman" w:cs="Times New Roman"/>
          <w:szCs w:val="24"/>
          <w:lang w:eastAsia="ru-RU"/>
        </w:rPr>
        <w:t>Krimināllikuma 17</w:t>
      </w:r>
      <w:r w:rsidR="00251608">
        <w:rPr>
          <w:rFonts w:eastAsia="Times New Roman" w:cs="Times New Roman"/>
          <w:szCs w:val="24"/>
          <w:lang w:eastAsia="ru-RU"/>
        </w:rPr>
        <w:t>6</w:t>
      </w:r>
      <w:r w:rsidRPr="009968D1">
        <w:rPr>
          <w:rFonts w:eastAsia="Times New Roman" w:cs="Times New Roman"/>
          <w:szCs w:val="24"/>
          <w:lang w:eastAsia="ru-RU"/>
        </w:rPr>
        <w:t xml:space="preserve">. panta </w:t>
      </w:r>
      <w:r w:rsidR="00251608">
        <w:rPr>
          <w:rFonts w:eastAsia="Times New Roman" w:cs="Times New Roman"/>
          <w:szCs w:val="24"/>
          <w:lang w:eastAsia="ru-RU"/>
        </w:rPr>
        <w:t>pirmajā</w:t>
      </w:r>
      <w:r w:rsidRPr="009968D1">
        <w:rPr>
          <w:rFonts w:eastAsia="Times New Roman" w:cs="Times New Roman"/>
          <w:szCs w:val="24"/>
          <w:lang w:eastAsia="ru-RU"/>
        </w:rPr>
        <w:t xml:space="preserve"> daļā paredzētajā noziedzīgajā nodarījumā</w:t>
      </w:r>
      <w:bookmarkEnd w:id="6"/>
      <w:r w:rsidRPr="009968D1">
        <w:rPr>
          <w:rFonts w:eastAsia="Times New Roman" w:cs="Times New Roman"/>
          <w:szCs w:val="24"/>
          <w:lang w:eastAsia="ru-RU"/>
        </w:rPr>
        <w:t xml:space="preserve"> un sodīts ar brīvības atņemšanu uz </w:t>
      </w:r>
      <w:r w:rsidR="00251608">
        <w:rPr>
          <w:rFonts w:eastAsia="Times New Roman" w:cs="Times New Roman"/>
          <w:szCs w:val="24"/>
          <w:lang w:eastAsia="ru-RU"/>
        </w:rPr>
        <w:t>10</w:t>
      </w:r>
      <w:r w:rsidRPr="009968D1">
        <w:rPr>
          <w:rFonts w:eastAsia="Times New Roman" w:cs="Times New Roman"/>
          <w:szCs w:val="24"/>
          <w:lang w:eastAsia="ru-RU"/>
        </w:rPr>
        <w:t xml:space="preserve"> </w:t>
      </w:r>
      <w:r w:rsidR="00251608">
        <w:rPr>
          <w:rFonts w:eastAsia="Times New Roman" w:cs="Times New Roman"/>
          <w:szCs w:val="24"/>
          <w:lang w:eastAsia="ru-RU"/>
        </w:rPr>
        <w:t>mēnešiem</w:t>
      </w:r>
      <w:r w:rsidRPr="009968D1">
        <w:rPr>
          <w:rFonts w:eastAsia="Times New Roman" w:cs="Times New Roman"/>
          <w:szCs w:val="24"/>
          <w:lang w:eastAsia="ru-RU"/>
        </w:rPr>
        <w:t>.</w:t>
      </w:r>
    </w:p>
    <w:p w14:paraId="3E895C2F" w14:textId="7A3F167F" w:rsidR="00251608" w:rsidRDefault="00251608" w:rsidP="00251608">
      <w:pPr>
        <w:spacing w:after="0" w:line="276" w:lineRule="auto"/>
        <w:ind w:right="-1" w:firstLine="720"/>
        <w:jc w:val="both"/>
        <w:rPr>
          <w:rFonts w:eastAsia="Times New Roman" w:cs="Times New Roman"/>
          <w:szCs w:val="24"/>
          <w:lang w:eastAsia="ru-RU"/>
        </w:rPr>
      </w:pPr>
      <w:bookmarkStart w:id="7" w:name="_Hlk127986113"/>
      <w:bookmarkStart w:id="8" w:name="_Hlk142994792"/>
      <w:r w:rsidRPr="00251608">
        <w:rPr>
          <w:rFonts w:eastAsia="Times New Roman" w:cs="Times New Roman"/>
          <w:szCs w:val="24"/>
          <w:lang w:eastAsia="ru-RU"/>
        </w:rPr>
        <w:t>Saskaņā ar Krimināllikuma 50. panta pirmo</w:t>
      </w:r>
      <w:r>
        <w:rPr>
          <w:rFonts w:eastAsia="Times New Roman" w:cs="Times New Roman"/>
          <w:szCs w:val="24"/>
          <w:lang w:eastAsia="ru-RU"/>
        </w:rPr>
        <w:t xml:space="preserve"> un</w:t>
      </w:r>
      <w:r w:rsidRPr="00251608">
        <w:rPr>
          <w:rFonts w:eastAsia="Times New Roman" w:cs="Times New Roman"/>
          <w:szCs w:val="24"/>
          <w:lang w:eastAsia="ru-RU"/>
        </w:rPr>
        <w:t xml:space="preserve"> trešo daļu </w:t>
      </w:r>
      <w:bookmarkEnd w:id="7"/>
      <w:r w:rsidRPr="00251608">
        <w:rPr>
          <w:rFonts w:eastAsia="Times New Roman" w:cs="Times New Roman"/>
          <w:szCs w:val="24"/>
          <w:lang w:eastAsia="ru-RU"/>
        </w:rPr>
        <w:t>sods</w:t>
      </w:r>
      <w:r>
        <w:rPr>
          <w:rFonts w:eastAsia="Times New Roman" w:cs="Times New Roman"/>
          <w:szCs w:val="24"/>
          <w:lang w:eastAsia="ru-RU"/>
        </w:rPr>
        <w:t xml:space="preserve"> </w:t>
      </w:r>
      <w:r w:rsidR="00D6664F">
        <w:rPr>
          <w:rFonts w:eastAsia="Times New Roman" w:cs="Times New Roman"/>
          <w:szCs w:val="24"/>
          <w:lang w:eastAsia="ru-RU"/>
        </w:rPr>
        <w:t>[pers. A]</w:t>
      </w:r>
      <w:r w:rsidRPr="00251608">
        <w:rPr>
          <w:rFonts w:eastAsia="Times New Roman" w:cs="Times New Roman"/>
          <w:szCs w:val="24"/>
          <w:lang w:eastAsia="ru-RU"/>
        </w:rPr>
        <w:t xml:space="preserve"> </w:t>
      </w:r>
      <w:proofErr w:type="gramStart"/>
      <w:r w:rsidRPr="00251608">
        <w:rPr>
          <w:rFonts w:eastAsia="Times New Roman" w:cs="Times New Roman"/>
          <w:szCs w:val="24"/>
          <w:lang w:eastAsia="ru-RU"/>
        </w:rPr>
        <w:t>noteikts brīvības atņemšana</w:t>
      </w:r>
      <w:proofErr w:type="gramEnd"/>
      <w:r w:rsidRPr="00251608">
        <w:rPr>
          <w:rFonts w:eastAsia="Times New Roman" w:cs="Times New Roman"/>
          <w:szCs w:val="24"/>
          <w:lang w:eastAsia="ru-RU"/>
        </w:rPr>
        <w:t xml:space="preserve"> </w:t>
      </w:r>
      <w:r>
        <w:rPr>
          <w:rFonts w:eastAsia="Times New Roman" w:cs="Times New Roman"/>
          <w:szCs w:val="24"/>
          <w:lang w:eastAsia="ru-RU"/>
        </w:rPr>
        <w:t>1</w:t>
      </w:r>
      <w:r w:rsidRPr="00251608">
        <w:rPr>
          <w:rFonts w:eastAsia="Times New Roman" w:cs="Times New Roman"/>
          <w:szCs w:val="24"/>
          <w:lang w:eastAsia="ru-RU"/>
        </w:rPr>
        <w:t xml:space="preserve"> gad</w:t>
      </w:r>
      <w:r>
        <w:rPr>
          <w:rFonts w:eastAsia="Times New Roman" w:cs="Times New Roman"/>
          <w:szCs w:val="24"/>
          <w:lang w:eastAsia="ru-RU"/>
        </w:rPr>
        <w:t>s 3</w:t>
      </w:r>
      <w:r w:rsidRPr="00251608">
        <w:rPr>
          <w:rFonts w:eastAsia="Times New Roman" w:cs="Times New Roman"/>
          <w:szCs w:val="24"/>
          <w:lang w:eastAsia="ru-RU"/>
        </w:rPr>
        <w:t xml:space="preserve"> mēneši.</w:t>
      </w:r>
    </w:p>
    <w:p w14:paraId="5C6E3E10" w14:textId="4F02A102" w:rsidR="00251608" w:rsidRPr="009968D1" w:rsidRDefault="00251608" w:rsidP="00251608">
      <w:pPr>
        <w:spacing w:after="0" w:line="276" w:lineRule="auto"/>
        <w:ind w:right="-1" w:firstLine="720"/>
        <w:jc w:val="both"/>
        <w:rPr>
          <w:rFonts w:eastAsia="Times New Roman" w:cs="Times New Roman"/>
          <w:szCs w:val="24"/>
          <w:lang w:eastAsia="ru-RU"/>
        </w:rPr>
      </w:pPr>
      <w:r w:rsidRPr="00251608">
        <w:rPr>
          <w:rFonts w:eastAsia="Times New Roman" w:cs="Times New Roman"/>
          <w:szCs w:val="24"/>
          <w:lang w:eastAsia="ru-RU"/>
        </w:rPr>
        <w:t xml:space="preserve">Saskaņā ar Krimināllikuma 50. panta </w:t>
      </w:r>
      <w:r>
        <w:rPr>
          <w:rFonts w:eastAsia="Times New Roman" w:cs="Times New Roman"/>
          <w:szCs w:val="24"/>
          <w:lang w:eastAsia="ru-RU"/>
        </w:rPr>
        <w:t xml:space="preserve">piekto </w:t>
      </w:r>
      <w:r w:rsidRPr="00251608">
        <w:rPr>
          <w:rFonts w:eastAsia="Times New Roman" w:cs="Times New Roman"/>
          <w:szCs w:val="24"/>
          <w:lang w:eastAsia="ru-RU"/>
        </w:rPr>
        <w:t xml:space="preserve">daļu </w:t>
      </w:r>
      <w:r>
        <w:rPr>
          <w:rFonts w:eastAsia="Times New Roman" w:cs="Times New Roman"/>
          <w:szCs w:val="24"/>
          <w:lang w:eastAsia="ru-RU"/>
        </w:rPr>
        <w:t xml:space="preserve">galīgais </w:t>
      </w:r>
      <w:r w:rsidRPr="00251608">
        <w:rPr>
          <w:rFonts w:eastAsia="Times New Roman" w:cs="Times New Roman"/>
          <w:szCs w:val="24"/>
          <w:lang w:eastAsia="ru-RU"/>
        </w:rPr>
        <w:t>sods</w:t>
      </w:r>
      <w:r>
        <w:rPr>
          <w:rFonts w:eastAsia="Times New Roman" w:cs="Times New Roman"/>
          <w:szCs w:val="24"/>
          <w:lang w:eastAsia="ru-RU"/>
        </w:rPr>
        <w:t xml:space="preserve"> </w:t>
      </w:r>
      <w:r w:rsidR="00D6664F">
        <w:rPr>
          <w:rFonts w:eastAsia="Times New Roman" w:cs="Times New Roman"/>
          <w:szCs w:val="24"/>
          <w:lang w:eastAsia="ru-RU"/>
        </w:rPr>
        <w:t>[pers. A]</w:t>
      </w:r>
      <w:r w:rsidRPr="00251608">
        <w:rPr>
          <w:rFonts w:eastAsia="Times New Roman" w:cs="Times New Roman"/>
          <w:szCs w:val="24"/>
          <w:lang w:eastAsia="ru-RU"/>
        </w:rPr>
        <w:t xml:space="preserve"> </w:t>
      </w:r>
      <w:proofErr w:type="gramStart"/>
      <w:r w:rsidRPr="00251608">
        <w:rPr>
          <w:rFonts w:eastAsia="Times New Roman" w:cs="Times New Roman"/>
          <w:szCs w:val="24"/>
          <w:lang w:eastAsia="ru-RU"/>
        </w:rPr>
        <w:t>noteikts brīvības atņemšana</w:t>
      </w:r>
      <w:proofErr w:type="gramEnd"/>
      <w:r w:rsidRPr="00251608">
        <w:rPr>
          <w:rFonts w:eastAsia="Times New Roman" w:cs="Times New Roman"/>
          <w:szCs w:val="24"/>
          <w:lang w:eastAsia="ru-RU"/>
        </w:rPr>
        <w:t xml:space="preserve"> </w:t>
      </w:r>
      <w:r>
        <w:rPr>
          <w:rFonts w:eastAsia="Times New Roman" w:cs="Times New Roman"/>
          <w:szCs w:val="24"/>
          <w:lang w:eastAsia="ru-RU"/>
        </w:rPr>
        <w:t>1</w:t>
      </w:r>
      <w:r w:rsidRPr="00251608">
        <w:rPr>
          <w:rFonts w:eastAsia="Times New Roman" w:cs="Times New Roman"/>
          <w:szCs w:val="24"/>
          <w:lang w:eastAsia="ru-RU"/>
        </w:rPr>
        <w:t xml:space="preserve"> gad</w:t>
      </w:r>
      <w:r>
        <w:rPr>
          <w:rFonts w:eastAsia="Times New Roman" w:cs="Times New Roman"/>
          <w:szCs w:val="24"/>
          <w:lang w:eastAsia="ru-RU"/>
        </w:rPr>
        <w:t>s 4</w:t>
      </w:r>
      <w:r w:rsidRPr="00251608">
        <w:rPr>
          <w:rFonts w:eastAsia="Times New Roman" w:cs="Times New Roman"/>
          <w:szCs w:val="24"/>
          <w:lang w:eastAsia="ru-RU"/>
        </w:rPr>
        <w:t xml:space="preserve"> mēneši.</w:t>
      </w:r>
      <w:bookmarkEnd w:id="8"/>
    </w:p>
    <w:bookmarkEnd w:id="4"/>
    <w:bookmarkEnd w:id="5"/>
    <w:p w14:paraId="7D353F58" w14:textId="619AEAB9" w:rsidR="009968D1" w:rsidRPr="009968D1" w:rsidRDefault="009968D1" w:rsidP="00945211">
      <w:pPr>
        <w:spacing w:after="0" w:line="276" w:lineRule="auto"/>
        <w:ind w:firstLine="720"/>
        <w:jc w:val="both"/>
        <w:rPr>
          <w:rFonts w:eastAsia="Times New Roman" w:cs="Times New Roman"/>
          <w:szCs w:val="24"/>
          <w:lang w:eastAsia="ru-RU"/>
        </w:rPr>
      </w:pPr>
      <w:r w:rsidRPr="009968D1">
        <w:rPr>
          <w:rFonts w:eastAsia="Times New Roman" w:cs="Times New Roman"/>
          <w:szCs w:val="24"/>
          <w:lang w:eastAsia="ru-RU"/>
        </w:rPr>
        <w:t xml:space="preserve">No </w:t>
      </w:r>
      <w:r w:rsidR="00D6664F">
        <w:rPr>
          <w:rFonts w:eastAsia="Times New Roman" w:cs="Times New Roman"/>
          <w:szCs w:val="24"/>
          <w:lang w:eastAsia="ru-RU"/>
        </w:rPr>
        <w:t>[pers. A]</w:t>
      </w:r>
      <w:r w:rsidR="00251608">
        <w:rPr>
          <w:rFonts w:eastAsia="Times New Roman" w:cs="Times New Roman"/>
          <w:szCs w:val="24"/>
          <w:lang w:eastAsia="ru-RU"/>
        </w:rPr>
        <w:t xml:space="preserve"> valsts </w:t>
      </w:r>
      <w:proofErr w:type="gramStart"/>
      <w:r w:rsidRPr="009968D1">
        <w:rPr>
          <w:rFonts w:eastAsia="Times New Roman" w:cs="Times New Roman"/>
          <w:szCs w:val="24"/>
          <w:lang w:eastAsia="ru-RU"/>
        </w:rPr>
        <w:t>labā piedzīta kaitējuma</w:t>
      </w:r>
      <w:proofErr w:type="gramEnd"/>
      <w:r w:rsidRPr="009968D1">
        <w:rPr>
          <w:rFonts w:eastAsia="Times New Roman" w:cs="Times New Roman"/>
          <w:szCs w:val="24"/>
          <w:lang w:eastAsia="ru-RU"/>
        </w:rPr>
        <w:t xml:space="preserve"> kompensācija </w:t>
      </w:r>
      <w:r w:rsidR="00251608">
        <w:rPr>
          <w:rFonts w:eastAsia="Times New Roman" w:cs="Times New Roman"/>
          <w:szCs w:val="24"/>
          <w:lang w:eastAsia="ru-RU"/>
        </w:rPr>
        <w:t>1075 </w:t>
      </w:r>
      <w:r w:rsidRPr="009968D1">
        <w:rPr>
          <w:rFonts w:eastAsia="Times New Roman" w:cs="Times New Roman"/>
          <w:i/>
          <w:iCs/>
          <w:szCs w:val="24"/>
          <w:lang w:eastAsia="ru-RU"/>
        </w:rPr>
        <w:t>euro</w:t>
      </w:r>
      <w:r w:rsidR="00945211">
        <w:rPr>
          <w:rFonts w:eastAsia="Times New Roman" w:cs="Times New Roman"/>
          <w:szCs w:val="24"/>
          <w:lang w:eastAsia="ru-RU"/>
        </w:rPr>
        <w:t>.</w:t>
      </w:r>
    </w:p>
    <w:p w14:paraId="7ECBFDD0" w14:textId="77777777" w:rsidR="009968D1" w:rsidRPr="009968D1" w:rsidRDefault="009968D1" w:rsidP="009968D1">
      <w:pPr>
        <w:spacing w:after="0" w:line="276" w:lineRule="auto"/>
        <w:ind w:firstLine="567"/>
        <w:jc w:val="both"/>
        <w:rPr>
          <w:rFonts w:eastAsia="Times New Roman" w:cs="Times New Roman"/>
          <w:szCs w:val="24"/>
          <w:lang w:eastAsia="ru-RU"/>
        </w:rPr>
      </w:pPr>
    </w:p>
    <w:p w14:paraId="0C425C42" w14:textId="7B156BFE" w:rsidR="007F7B87" w:rsidRDefault="009968D1" w:rsidP="009968D1">
      <w:pPr>
        <w:widowControl w:val="0"/>
        <w:tabs>
          <w:tab w:val="left" w:pos="6096"/>
        </w:tabs>
        <w:spacing w:after="0" w:line="276" w:lineRule="auto"/>
        <w:ind w:firstLine="720"/>
        <w:jc w:val="both"/>
        <w:rPr>
          <w:rFonts w:eastAsia="Times New Roman" w:cs="Times New Roman"/>
          <w:szCs w:val="24"/>
          <w:lang w:eastAsia="ru-RU"/>
        </w:rPr>
      </w:pPr>
      <w:r w:rsidRPr="009968D1">
        <w:rPr>
          <w:rFonts w:eastAsia="Times New Roman" w:cs="Times New Roman"/>
          <w:szCs w:val="24"/>
          <w:lang w:eastAsia="ru-RU"/>
        </w:rPr>
        <w:t xml:space="preserve">[2] Ar </w:t>
      </w:r>
      <w:bookmarkStart w:id="9" w:name="_Hlk125100365"/>
      <w:bookmarkStart w:id="10" w:name="_Hlk125109740"/>
      <w:bookmarkStart w:id="11" w:name="_Hlk145501971"/>
      <w:r w:rsidR="00251608">
        <w:rPr>
          <w:rFonts w:eastAsia="Times New Roman" w:cs="Times New Roman"/>
          <w:szCs w:val="24"/>
          <w:lang w:eastAsia="ru-RU"/>
        </w:rPr>
        <w:t>Kurzemes</w:t>
      </w:r>
      <w:r w:rsidRPr="009968D1">
        <w:rPr>
          <w:rFonts w:eastAsia="Times New Roman" w:cs="Times New Roman"/>
          <w:szCs w:val="24"/>
          <w:lang w:eastAsia="ru-RU"/>
        </w:rPr>
        <w:t xml:space="preserve"> apgabaltiesas 2023. gada </w:t>
      </w:r>
      <w:r w:rsidR="00251608">
        <w:rPr>
          <w:rFonts w:eastAsia="Times New Roman" w:cs="Times New Roman"/>
          <w:szCs w:val="24"/>
          <w:lang w:eastAsia="ru-RU"/>
        </w:rPr>
        <w:t>23</w:t>
      </w:r>
      <w:r w:rsidRPr="009968D1">
        <w:rPr>
          <w:rFonts w:eastAsia="Times New Roman" w:cs="Times New Roman"/>
          <w:szCs w:val="24"/>
          <w:lang w:eastAsia="ru-RU"/>
        </w:rPr>
        <w:t>. </w:t>
      </w:r>
      <w:r w:rsidR="00251608">
        <w:rPr>
          <w:rFonts w:eastAsia="Times New Roman" w:cs="Times New Roman"/>
          <w:szCs w:val="24"/>
          <w:lang w:eastAsia="ru-RU"/>
        </w:rPr>
        <w:t>maija</w:t>
      </w:r>
      <w:r w:rsidRPr="009968D1">
        <w:rPr>
          <w:rFonts w:eastAsia="Times New Roman" w:cs="Times New Roman"/>
          <w:szCs w:val="24"/>
          <w:lang w:eastAsia="ru-RU"/>
        </w:rPr>
        <w:t xml:space="preserve"> </w:t>
      </w:r>
      <w:bookmarkEnd w:id="9"/>
      <w:bookmarkEnd w:id="10"/>
      <w:bookmarkEnd w:id="11"/>
      <w:r w:rsidR="0039291F">
        <w:rPr>
          <w:rFonts w:eastAsia="Times New Roman" w:cs="Times New Roman"/>
          <w:szCs w:val="24"/>
          <w:lang w:eastAsia="ru-RU"/>
        </w:rPr>
        <w:t>lēmumu</w:t>
      </w:r>
      <w:r w:rsidRPr="009968D1">
        <w:rPr>
          <w:rFonts w:eastAsia="Times New Roman" w:cs="Times New Roman"/>
          <w:szCs w:val="24"/>
          <w:lang w:eastAsia="ru-RU"/>
        </w:rPr>
        <w:t>, iztiesājot lietu sakarā ar</w:t>
      </w:r>
      <w:r w:rsidR="007F7B87" w:rsidRPr="007F7B87">
        <w:rPr>
          <w:rFonts w:eastAsia="Times New Roman" w:cs="Times New Roman"/>
          <w:szCs w:val="24"/>
          <w:lang w:eastAsia="ru-RU"/>
        </w:rPr>
        <w:t xml:space="preserve"> </w:t>
      </w:r>
      <w:r w:rsidR="005D5325">
        <w:rPr>
          <w:rFonts w:eastAsia="Times New Roman" w:cs="Times New Roman"/>
          <w:szCs w:val="24"/>
          <w:lang w:eastAsia="ru-RU"/>
        </w:rPr>
        <w:t>[pers. </w:t>
      </w:r>
      <w:r w:rsidR="005D5325">
        <w:t>A]</w:t>
      </w:r>
      <w:r w:rsidR="007F7B87">
        <w:rPr>
          <w:rFonts w:eastAsia="Times New Roman" w:cs="Times New Roman"/>
          <w:szCs w:val="24"/>
          <w:lang w:eastAsia="ru-RU"/>
        </w:rPr>
        <w:t xml:space="preserve"> apelācijas</w:t>
      </w:r>
      <w:r w:rsidR="007F7B87" w:rsidRPr="009968D1">
        <w:rPr>
          <w:rFonts w:eastAsia="Times New Roman" w:cs="Times New Roman"/>
          <w:szCs w:val="24"/>
          <w:lang w:eastAsia="ru-RU"/>
        </w:rPr>
        <w:t xml:space="preserve"> </w:t>
      </w:r>
      <w:r w:rsidR="007F7B87">
        <w:rPr>
          <w:rFonts w:eastAsia="Times New Roman" w:cs="Times New Roman"/>
          <w:szCs w:val="24"/>
          <w:lang w:eastAsia="ru-RU"/>
        </w:rPr>
        <w:t xml:space="preserve">sūdzību, Rīgas rajona tiesas </w:t>
      </w:r>
      <w:r w:rsidR="007F7B87" w:rsidRPr="009968D1">
        <w:rPr>
          <w:rFonts w:eastAsia="Times New Roman" w:cs="Times New Roman"/>
          <w:szCs w:val="24"/>
          <w:lang w:eastAsia="ru-RU"/>
        </w:rPr>
        <w:t>2022. gada 11. </w:t>
      </w:r>
      <w:r w:rsidR="007F7B87">
        <w:rPr>
          <w:rFonts w:eastAsia="Times New Roman" w:cs="Times New Roman"/>
          <w:szCs w:val="24"/>
          <w:lang w:eastAsia="ru-RU"/>
        </w:rPr>
        <w:t>oktobra</w:t>
      </w:r>
      <w:r w:rsidR="007F7B87" w:rsidRPr="009968D1">
        <w:rPr>
          <w:rFonts w:eastAsia="Times New Roman" w:cs="Times New Roman"/>
          <w:szCs w:val="24"/>
          <w:lang w:eastAsia="ru-RU"/>
        </w:rPr>
        <w:t xml:space="preserve"> spriedum</w:t>
      </w:r>
      <w:r w:rsidR="007F7B87">
        <w:rPr>
          <w:rFonts w:eastAsia="Times New Roman" w:cs="Times New Roman"/>
          <w:szCs w:val="24"/>
          <w:lang w:eastAsia="ru-RU"/>
        </w:rPr>
        <w:t>s atstāts negrozīts.</w:t>
      </w:r>
    </w:p>
    <w:p w14:paraId="2DA3AEE3" w14:textId="20C9FEFA" w:rsidR="007F7B87" w:rsidRDefault="007F7B87" w:rsidP="009968D1">
      <w:pPr>
        <w:widowControl w:val="0"/>
        <w:tabs>
          <w:tab w:val="left" w:pos="6096"/>
        </w:tabs>
        <w:spacing w:after="0" w:line="276" w:lineRule="auto"/>
        <w:ind w:firstLine="720"/>
        <w:jc w:val="both"/>
        <w:rPr>
          <w:rFonts w:eastAsia="Times New Roman" w:cs="Times New Roman"/>
          <w:szCs w:val="24"/>
          <w:lang w:eastAsia="ru-RU"/>
        </w:rPr>
      </w:pPr>
      <w:r>
        <w:rPr>
          <w:rFonts w:eastAsia="Times New Roman" w:cs="Times New Roman"/>
          <w:szCs w:val="24"/>
          <w:lang w:eastAsia="ru-RU"/>
        </w:rPr>
        <w:t xml:space="preserve">No </w:t>
      </w:r>
      <w:r w:rsidR="005D5325">
        <w:rPr>
          <w:rFonts w:eastAsia="Times New Roman" w:cs="Times New Roman"/>
          <w:szCs w:val="24"/>
          <w:lang w:eastAsia="ru-RU"/>
        </w:rPr>
        <w:t>[pers. A]</w:t>
      </w:r>
      <w:r>
        <w:rPr>
          <w:rFonts w:eastAsia="Times New Roman" w:cs="Times New Roman"/>
          <w:szCs w:val="24"/>
          <w:lang w:eastAsia="ru-RU"/>
        </w:rPr>
        <w:t xml:space="preserve"> valsts labā piedzīti procesuālie izdevumi 65</w:t>
      </w:r>
      <w:r w:rsidR="00C04502">
        <w:rPr>
          <w:rFonts w:eastAsia="Times New Roman" w:cs="Times New Roman"/>
          <w:szCs w:val="24"/>
          <w:lang w:eastAsia="ru-RU"/>
        </w:rPr>
        <w:t> </w:t>
      </w:r>
      <w:r w:rsidRPr="007F7B87">
        <w:rPr>
          <w:rFonts w:eastAsia="Times New Roman" w:cs="Times New Roman"/>
          <w:i/>
          <w:iCs/>
          <w:szCs w:val="24"/>
          <w:lang w:eastAsia="ru-RU"/>
        </w:rPr>
        <w:t>euro</w:t>
      </w:r>
      <w:r>
        <w:rPr>
          <w:rFonts w:eastAsia="Times New Roman" w:cs="Times New Roman"/>
          <w:szCs w:val="24"/>
          <w:lang w:eastAsia="ru-RU"/>
        </w:rPr>
        <w:t>.</w:t>
      </w:r>
    </w:p>
    <w:p w14:paraId="2C257ED0" w14:textId="7B790145" w:rsidR="00980683" w:rsidRDefault="00980683" w:rsidP="009968D1">
      <w:pPr>
        <w:widowControl w:val="0"/>
        <w:tabs>
          <w:tab w:val="left" w:pos="6096"/>
        </w:tabs>
        <w:spacing w:after="0" w:line="276" w:lineRule="auto"/>
        <w:ind w:firstLine="720"/>
        <w:jc w:val="both"/>
      </w:pPr>
    </w:p>
    <w:p w14:paraId="29C41D7E" w14:textId="642C0BC0" w:rsidR="0045495A" w:rsidRDefault="007F7B87" w:rsidP="007F7B87">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[3] Par </w:t>
      </w:r>
      <w:r>
        <w:rPr>
          <w:rFonts w:eastAsia="Times New Roman" w:cs="Times New Roman"/>
          <w:szCs w:val="24"/>
          <w:lang w:eastAsia="ru-RU"/>
        </w:rPr>
        <w:t>Kurzemes</w:t>
      </w:r>
      <w:r w:rsidRPr="009968D1">
        <w:rPr>
          <w:rFonts w:eastAsia="Times New Roman" w:cs="Times New Roman"/>
          <w:szCs w:val="24"/>
          <w:lang w:eastAsia="ru-RU"/>
        </w:rPr>
        <w:t xml:space="preserve"> apgabaltiesas 2023. gada </w:t>
      </w:r>
      <w:r>
        <w:rPr>
          <w:rFonts w:eastAsia="Times New Roman" w:cs="Times New Roman"/>
          <w:szCs w:val="24"/>
          <w:lang w:eastAsia="ru-RU"/>
        </w:rPr>
        <w:t>23</w:t>
      </w:r>
      <w:r w:rsidRPr="009968D1">
        <w:rPr>
          <w:rFonts w:eastAsia="Times New Roman" w:cs="Times New Roman"/>
          <w:szCs w:val="24"/>
          <w:lang w:eastAsia="ru-RU"/>
        </w:rPr>
        <w:t>. </w:t>
      </w:r>
      <w:r>
        <w:rPr>
          <w:rFonts w:eastAsia="Times New Roman" w:cs="Times New Roman"/>
          <w:szCs w:val="24"/>
          <w:lang w:eastAsia="ru-RU"/>
        </w:rPr>
        <w:t>maija</w:t>
      </w:r>
      <w:r w:rsidRPr="009968D1">
        <w:rPr>
          <w:rFonts w:eastAsia="Times New Roman" w:cs="Times New Roman"/>
          <w:szCs w:val="24"/>
          <w:lang w:eastAsia="ru-RU"/>
        </w:rPr>
        <w:t xml:space="preserve"> </w:t>
      </w:r>
      <w:r w:rsidR="00D408B6">
        <w:rPr>
          <w:rFonts w:eastAsia="Times New Roman" w:cs="Times New Roman"/>
          <w:szCs w:val="24"/>
          <w:lang w:eastAsia="ru-RU"/>
        </w:rPr>
        <w:t>lēmumu</w:t>
      </w:r>
      <w:r>
        <w:rPr>
          <w:rFonts w:asciiTheme="majorBidi" w:hAnsiTheme="majorBidi" w:cstheme="majorBidi"/>
          <w:szCs w:val="24"/>
        </w:rPr>
        <w:t xml:space="preserve"> a</w:t>
      </w:r>
      <w:r w:rsidR="009364F9">
        <w:rPr>
          <w:rFonts w:asciiTheme="majorBidi" w:hAnsiTheme="majorBidi" w:cstheme="majorBidi"/>
          <w:szCs w:val="24"/>
        </w:rPr>
        <w:t xml:space="preserve">psūdzētais </w:t>
      </w:r>
      <w:r w:rsidR="005D5325">
        <w:rPr>
          <w:rFonts w:asciiTheme="majorBidi" w:hAnsiTheme="majorBidi" w:cstheme="majorBidi"/>
          <w:szCs w:val="24"/>
        </w:rPr>
        <w:t>[pers. A]</w:t>
      </w:r>
      <w:r w:rsidR="009364F9">
        <w:rPr>
          <w:rFonts w:asciiTheme="majorBidi" w:hAnsiTheme="majorBidi" w:cstheme="majorBidi"/>
          <w:szCs w:val="24"/>
        </w:rPr>
        <w:t xml:space="preserve"> </w:t>
      </w:r>
      <w:r>
        <w:rPr>
          <w:rFonts w:asciiTheme="majorBidi" w:hAnsiTheme="majorBidi" w:cstheme="majorBidi"/>
          <w:szCs w:val="24"/>
        </w:rPr>
        <w:t xml:space="preserve">iesniedzis </w:t>
      </w:r>
      <w:r w:rsidR="009364F9">
        <w:rPr>
          <w:rFonts w:asciiTheme="majorBidi" w:hAnsiTheme="majorBidi" w:cstheme="majorBidi"/>
          <w:szCs w:val="24"/>
        </w:rPr>
        <w:t>kasācijas sūdzīb</w:t>
      </w:r>
      <w:r>
        <w:rPr>
          <w:rFonts w:asciiTheme="majorBidi" w:hAnsiTheme="majorBidi" w:cstheme="majorBidi"/>
          <w:szCs w:val="24"/>
        </w:rPr>
        <w:t>u, kurā</w:t>
      </w:r>
      <w:r w:rsidR="009364F9">
        <w:rPr>
          <w:rFonts w:asciiTheme="majorBidi" w:hAnsiTheme="majorBidi" w:cstheme="majorBidi"/>
          <w:szCs w:val="24"/>
        </w:rPr>
        <w:t xml:space="preserve"> </w:t>
      </w:r>
      <w:r w:rsidR="0045495A">
        <w:rPr>
          <w:rFonts w:asciiTheme="majorBidi" w:hAnsiTheme="majorBidi" w:cstheme="majorBidi"/>
          <w:szCs w:val="24"/>
        </w:rPr>
        <w:t>lūdz atcelt apelācijas instances tiesas lēmumu un lietu nosūtīt jaunai izskatīšanai apelācijas instances tiesā.</w:t>
      </w:r>
    </w:p>
    <w:p w14:paraId="60100BE9" w14:textId="682E15DF" w:rsidR="00D20257" w:rsidRDefault="00065672" w:rsidP="00D20257">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lastRenderedPageBreak/>
        <w:t>Kasācijas sūdzība pamatota ar šādiem argumentiem.</w:t>
      </w:r>
    </w:p>
    <w:p w14:paraId="00802543" w14:textId="1809CF60" w:rsidR="009364F9" w:rsidRPr="00EE1E5D" w:rsidRDefault="00065672" w:rsidP="007F7B87">
      <w:pPr>
        <w:widowControl w:val="0"/>
        <w:tabs>
          <w:tab w:val="left" w:pos="6096"/>
        </w:tabs>
        <w:spacing w:after="0" w:line="276" w:lineRule="auto"/>
        <w:ind w:firstLine="720"/>
        <w:jc w:val="both"/>
        <w:rPr>
          <w:rFonts w:asciiTheme="majorBidi" w:hAnsiTheme="majorBidi" w:cstheme="majorBidi"/>
          <w:szCs w:val="24"/>
        </w:rPr>
      </w:pPr>
      <w:r w:rsidRPr="00EE1E5D">
        <w:rPr>
          <w:rFonts w:asciiTheme="majorBidi" w:hAnsiTheme="majorBidi" w:cstheme="majorBidi"/>
          <w:szCs w:val="24"/>
        </w:rPr>
        <w:t>[3.1] A</w:t>
      </w:r>
      <w:r w:rsidR="009364F9" w:rsidRPr="00EE1E5D">
        <w:rPr>
          <w:rFonts w:asciiTheme="majorBidi" w:hAnsiTheme="majorBidi" w:cstheme="majorBidi"/>
          <w:szCs w:val="24"/>
        </w:rPr>
        <w:t xml:space="preserve">pelācijas instances tiesa, izskatot lietu rakstveida procesā, pārkāpusi Kriminālprocesa likuma </w:t>
      </w:r>
      <w:r w:rsidR="009B72B9" w:rsidRPr="00EE1E5D">
        <w:rPr>
          <w:rFonts w:asciiTheme="majorBidi" w:hAnsiTheme="majorBidi" w:cstheme="majorBidi"/>
          <w:szCs w:val="24"/>
        </w:rPr>
        <w:t xml:space="preserve">562. pantu, jo, ievērojot Kriminālprocesa likuma </w:t>
      </w:r>
      <w:r w:rsidR="009364F9" w:rsidRPr="00EE1E5D">
        <w:rPr>
          <w:rFonts w:asciiTheme="majorBidi" w:hAnsiTheme="majorBidi" w:cstheme="majorBidi"/>
          <w:szCs w:val="24"/>
        </w:rPr>
        <w:t>563. panta 1.</w:t>
      </w:r>
      <w:r w:rsidR="009364F9" w:rsidRPr="00EE1E5D">
        <w:rPr>
          <w:rFonts w:asciiTheme="majorBidi" w:hAnsiTheme="majorBidi" w:cstheme="majorBidi"/>
          <w:szCs w:val="24"/>
          <w:vertAlign w:val="superscript"/>
        </w:rPr>
        <w:t>1</w:t>
      </w:r>
      <w:r w:rsidR="009364F9" w:rsidRPr="00EE1E5D">
        <w:rPr>
          <w:rFonts w:asciiTheme="majorBidi" w:hAnsiTheme="majorBidi" w:cstheme="majorBidi"/>
          <w:szCs w:val="24"/>
        </w:rPr>
        <w:t xml:space="preserve"> daļā noteikto, </w:t>
      </w:r>
      <w:r w:rsidR="009B72B9" w:rsidRPr="00EE1E5D">
        <w:rPr>
          <w:rFonts w:asciiTheme="majorBidi" w:hAnsiTheme="majorBidi" w:cstheme="majorBidi"/>
          <w:szCs w:val="24"/>
        </w:rPr>
        <w:t>tiesa apsūdzētā apelācijas sūdzību nevarēja skatīt rakstveida procesā. Kriminālprocesa likuma 563. panta 1.</w:t>
      </w:r>
      <w:r w:rsidR="009B72B9" w:rsidRPr="00EE1E5D">
        <w:rPr>
          <w:rFonts w:asciiTheme="majorBidi" w:hAnsiTheme="majorBidi" w:cstheme="majorBidi"/>
          <w:szCs w:val="24"/>
          <w:vertAlign w:val="superscript"/>
        </w:rPr>
        <w:t>1</w:t>
      </w:r>
      <w:r w:rsidR="009B72B9" w:rsidRPr="00EE1E5D">
        <w:rPr>
          <w:rFonts w:asciiTheme="majorBidi" w:hAnsiTheme="majorBidi" w:cstheme="majorBidi"/>
          <w:szCs w:val="24"/>
        </w:rPr>
        <w:t xml:space="preserve"> daļa neparedz iespēju apelācijas instances tiesai, izskatot lietu rakstveida procesā, taisīt attaisnojošu spriedumu. </w:t>
      </w:r>
    </w:p>
    <w:p w14:paraId="33C22646" w14:textId="295686F8" w:rsidR="0039291F" w:rsidRDefault="00D20257" w:rsidP="003E0CF9">
      <w:pPr>
        <w:widowControl w:val="0"/>
        <w:tabs>
          <w:tab w:val="left" w:pos="6096"/>
        </w:tabs>
        <w:spacing w:after="0" w:line="276" w:lineRule="auto"/>
        <w:ind w:firstLine="720"/>
        <w:jc w:val="both"/>
        <w:rPr>
          <w:rFonts w:asciiTheme="majorBidi" w:eastAsia="Times New Roman" w:hAnsiTheme="majorBidi" w:cstheme="majorBidi"/>
          <w:color w:val="000000" w:themeColor="text1"/>
          <w:szCs w:val="24"/>
          <w:lang w:eastAsia="ru-RU"/>
        </w:rPr>
      </w:pPr>
      <w:r>
        <w:rPr>
          <w:rFonts w:asciiTheme="majorBidi" w:hAnsiTheme="majorBidi" w:cstheme="majorBidi"/>
          <w:szCs w:val="24"/>
        </w:rPr>
        <w:t>[3.2]</w:t>
      </w:r>
      <w:r w:rsidR="009B72B9">
        <w:rPr>
          <w:rFonts w:asciiTheme="majorBidi" w:hAnsiTheme="majorBidi" w:cstheme="majorBidi"/>
          <w:szCs w:val="24"/>
        </w:rPr>
        <w:t> </w:t>
      </w:r>
      <w:r w:rsidR="0039291F">
        <w:rPr>
          <w:rFonts w:asciiTheme="majorBidi" w:eastAsia="Times New Roman" w:hAnsiTheme="majorBidi" w:cstheme="majorBidi"/>
          <w:color w:val="000000" w:themeColor="text1"/>
          <w:szCs w:val="24"/>
          <w:lang w:eastAsia="ru-RU"/>
        </w:rPr>
        <w:t>T</w:t>
      </w:r>
      <w:r w:rsidR="0039291F" w:rsidRPr="00D20257">
        <w:rPr>
          <w:rFonts w:asciiTheme="majorBidi" w:eastAsia="Times New Roman" w:hAnsiTheme="majorBidi" w:cstheme="majorBidi"/>
          <w:color w:val="000000" w:themeColor="text1"/>
          <w:szCs w:val="24"/>
          <w:lang w:eastAsia="ru-RU"/>
        </w:rPr>
        <w:t xml:space="preserve">iesa pārkāpusi </w:t>
      </w:r>
      <w:r w:rsidR="0039291F">
        <w:rPr>
          <w:rFonts w:asciiTheme="majorBidi" w:eastAsia="Times New Roman" w:hAnsiTheme="majorBidi" w:cstheme="majorBidi"/>
          <w:color w:val="000000" w:themeColor="text1"/>
          <w:szCs w:val="24"/>
          <w:lang w:eastAsia="ru-RU"/>
        </w:rPr>
        <w:t>Eiropas Cilvēka tiesību un pamatbrīvību aizsardzības konvencijas</w:t>
      </w:r>
      <w:r w:rsidR="0051099B">
        <w:rPr>
          <w:rFonts w:asciiTheme="majorBidi" w:eastAsia="Times New Roman" w:hAnsiTheme="majorBidi" w:cstheme="majorBidi"/>
          <w:color w:val="000000" w:themeColor="text1"/>
          <w:szCs w:val="24"/>
          <w:lang w:eastAsia="ru-RU"/>
        </w:rPr>
        <w:t xml:space="preserve"> </w:t>
      </w:r>
      <w:r w:rsidR="0051099B">
        <w:rPr>
          <w:rFonts w:cs="Times New Roman"/>
          <w:szCs w:val="24"/>
        </w:rPr>
        <w:t xml:space="preserve">(turpmāk – Konvencijas) </w:t>
      </w:r>
      <w:r w:rsidR="0039291F">
        <w:rPr>
          <w:rFonts w:asciiTheme="majorBidi" w:eastAsia="Times New Roman" w:hAnsiTheme="majorBidi" w:cstheme="majorBidi"/>
          <w:color w:val="000000" w:themeColor="text1"/>
          <w:szCs w:val="24"/>
          <w:lang w:eastAsia="ru-RU"/>
        </w:rPr>
        <w:t>6. pantu</w:t>
      </w:r>
      <w:r w:rsidR="0039291F" w:rsidRPr="00D20257">
        <w:rPr>
          <w:rFonts w:asciiTheme="majorBidi" w:eastAsia="Times New Roman" w:hAnsiTheme="majorBidi" w:cstheme="majorBidi"/>
          <w:color w:val="000000" w:themeColor="text1"/>
          <w:szCs w:val="24"/>
          <w:lang w:eastAsia="ru-RU"/>
        </w:rPr>
        <w:t xml:space="preserve"> </w:t>
      </w:r>
      <w:r w:rsidR="0039291F">
        <w:rPr>
          <w:rFonts w:asciiTheme="majorBidi" w:eastAsia="Times New Roman" w:hAnsiTheme="majorBidi" w:cstheme="majorBidi"/>
          <w:color w:val="000000" w:themeColor="text1"/>
          <w:szCs w:val="24"/>
          <w:lang w:eastAsia="ru-RU"/>
        </w:rPr>
        <w:t xml:space="preserve">un </w:t>
      </w:r>
      <w:r w:rsidR="0039291F" w:rsidRPr="00D20257">
        <w:rPr>
          <w:rFonts w:asciiTheme="majorBidi" w:eastAsia="Times New Roman" w:hAnsiTheme="majorBidi" w:cstheme="majorBidi"/>
          <w:color w:val="000000" w:themeColor="text1"/>
          <w:szCs w:val="24"/>
          <w:lang w:eastAsia="ru-RU"/>
        </w:rPr>
        <w:t xml:space="preserve">Kriminālprocesa likuma </w:t>
      </w:r>
      <w:r w:rsidR="0039291F">
        <w:rPr>
          <w:rFonts w:asciiTheme="majorBidi" w:eastAsia="Times New Roman" w:hAnsiTheme="majorBidi" w:cstheme="majorBidi"/>
          <w:color w:val="000000" w:themeColor="text1"/>
          <w:szCs w:val="24"/>
          <w:lang w:eastAsia="ru-RU"/>
        </w:rPr>
        <w:t>15.</w:t>
      </w:r>
      <w:r w:rsidR="0039291F">
        <w:t> </w:t>
      </w:r>
      <w:r w:rsidR="0039291F">
        <w:rPr>
          <w:rFonts w:asciiTheme="majorBidi" w:eastAsia="Times New Roman" w:hAnsiTheme="majorBidi" w:cstheme="majorBidi"/>
          <w:color w:val="000000" w:themeColor="text1"/>
          <w:szCs w:val="24"/>
          <w:lang w:eastAsia="ru-RU"/>
        </w:rPr>
        <w:t xml:space="preserve">pantu, 19. panta trešo daļu, 124. panta piekto daļu, 128., 562. pantu, </w:t>
      </w:r>
      <w:r w:rsidR="0039291F" w:rsidRPr="00D20257">
        <w:rPr>
          <w:rFonts w:asciiTheme="majorBidi" w:eastAsia="Times New Roman" w:hAnsiTheme="majorBidi" w:cstheme="majorBidi"/>
          <w:color w:val="000000" w:themeColor="text1"/>
          <w:szCs w:val="24"/>
          <w:lang w:eastAsia="ru-RU"/>
        </w:rPr>
        <w:t>kas atzīstam</w:t>
      </w:r>
      <w:r w:rsidR="0039291F">
        <w:rPr>
          <w:rFonts w:asciiTheme="majorBidi" w:eastAsia="Times New Roman" w:hAnsiTheme="majorBidi" w:cstheme="majorBidi"/>
          <w:color w:val="000000" w:themeColor="text1"/>
          <w:szCs w:val="24"/>
          <w:lang w:eastAsia="ru-RU"/>
        </w:rPr>
        <w:t>i</w:t>
      </w:r>
      <w:r w:rsidR="0039291F" w:rsidRPr="00D20257">
        <w:rPr>
          <w:rFonts w:asciiTheme="majorBidi" w:eastAsia="Times New Roman" w:hAnsiTheme="majorBidi" w:cstheme="majorBidi"/>
          <w:color w:val="000000" w:themeColor="text1"/>
          <w:szCs w:val="24"/>
          <w:lang w:eastAsia="ru-RU"/>
        </w:rPr>
        <w:t xml:space="preserve"> par būtisk</w:t>
      </w:r>
      <w:r w:rsidR="0039291F">
        <w:rPr>
          <w:rFonts w:asciiTheme="majorBidi" w:eastAsia="Times New Roman" w:hAnsiTheme="majorBidi" w:cstheme="majorBidi"/>
          <w:color w:val="000000" w:themeColor="text1"/>
          <w:szCs w:val="24"/>
          <w:lang w:eastAsia="ru-RU"/>
        </w:rPr>
        <w:t>iem</w:t>
      </w:r>
      <w:r w:rsidR="0039291F" w:rsidRPr="00D20257">
        <w:rPr>
          <w:rFonts w:asciiTheme="majorBidi" w:eastAsia="Times New Roman" w:hAnsiTheme="majorBidi" w:cstheme="majorBidi"/>
          <w:color w:val="000000" w:themeColor="text1"/>
          <w:szCs w:val="24"/>
          <w:lang w:eastAsia="ru-RU"/>
        </w:rPr>
        <w:t xml:space="preserve"> pārkāpum</w:t>
      </w:r>
      <w:r w:rsidR="0039291F">
        <w:rPr>
          <w:rFonts w:asciiTheme="majorBidi" w:eastAsia="Times New Roman" w:hAnsiTheme="majorBidi" w:cstheme="majorBidi"/>
          <w:color w:val="000000" w:themeColor="text1"/>
          <w:szCs w:val="24"/>
          <w:lang w:eastAsia="ru-RU"/>
        </w:rPr>
        <w:t>iem</w:t>
      </w:r>
      <w:r w:rsidR="0039291F" w:rsidRPr="00D20257">
        <w:rPr>
          <w:rFonts w:asciiTheme="majorBidi" w:eastAsia="Times New Roman" w:hAnsiTheme="majorBidi" w:cstheme="majorBidi"/>
          <w:color w:val="000000" w:themeColor="text1"/>
          <w:szCs w:val="24"/>
          <w:lang w:eastAsia="ru-RU"/>
        </w:rPr>
        <w:t xml:space="preserve"> Kriminālprocesa likuma 575.</w:t>
      </w:r>
      <w:r w:rsidR="0039291F" w:rsidRPr="00D20257">
        <w:rPr>
          <w:kern w:val="2"/>
          <w14:ligatures w14:val="standardContextual"/>
        </w:rPr>
        <w:t> </w:t>
      </w:r>
      <w:r w:rsidR="0039291F" w:rsidRPr="00D20257">
        <w:rPr>
          <w:rFonts w:asciiTheme="majorBidi" w:eastAsia="Times New Roman" w:hAnsiTheme="majorBidi" w:cstheme="majorBidi"/>
          <w:color w:val="000000" w:themeColor="text1"/>
          <w:szCs w:val="24"/>
          <w:lang w:eastAsia="ru-RU"/>
        </w:rPr>
        <w:t>panta trešās daļas izpratnē.</w:t>
      </w:r>
      <w:r w:rsidR="0039291F">
        <w:rPr>
          <w:rFonts w:asciiTheme="majorBidi" w:eastAsia="Times New Roman" w:hAnsiTheme="majorBidi" w:cstheme="majorBidi"/>
          <w:color w:val="000000" w:themeColor="text1"/>
          <w:szCs w:val="24"/>
          <w:lang w:eastAsia="ru-RU"/>
        </w:rPr>
        <w:t xml:space="preserve"> </w:t>
      </w:r>
    </w:p>
    <w:p w14:paraId="4F57028B" w14:textId="311E34E8" w:rsidR="00464EB3" w:rsidRDefault="007D5B8F" w:rsidP="00EE1E5D">
      <w:pPr>
        <w:widowControl w:val="0"/>
        <w:tabs>
          <w:tab w:val="left" w:pos="6096"/>
        </w:tabs>
        <w:spacing w:after="0" w:line="276" w:lineRule="auto"/>
        <w:ind w:firstLine="720"/>
        <w:jc w:val="both"/>
      </w:pPr>
      <w:r>
        <w:rPr>
          <w:rFonts w:asciiTheme="majorBidi" w:hAnsiTheme="majorBidi" w:cstheme="majorBidi"/>
          <w:szCs w:val="24"/>
        </w:rPr>
        <w:t xml:space="preserve">Abu instanču tiesās nav iegūti pierādījumi apsūdzētā </w:t>
      </w:r>
      <w:r w:rsidR="005D5325">
        <w:rPr>
          <w:rFonts w:asciiTheme="majorBidi" w:hAnsiTheme="majorBidi" w:cstheme="majorBidi"/>
          <w:szCs w:val="24"/>
        </w:rPr>
        <w:t>[pers. A]</w:t>
      </w:r>
      <w:r>
        <w:rPr>
          <w:rFonts w:asciiTheme="majorBidi" w:hAnsiTheme="majorBidi" w:cstheme="majorBidi"/>
          <w:szCs w:val="24"/>
        </w:rPr>
        <w:t xml:space="preserve"> vainīgumam apsūdzībā pēc Krimināllikuma 126. panta pirmās daļas un 176. panta pirmās daļas. Apelācijas instances tiesas lēmumā nav norādīti motīvi, kādēļ </w:t>
      </w:r>
      <w:r w:rsidR="003A73D3">
        <w:rPr>
          <w:rFonts w:asciiTheme="majorBidi" w:hAnsiTheme="majorBidi" w:cstheme="majorBidi"/>
          <w:szCs w:val="24"/>
        </w:rPr>
        <w:t xml:space="preserve">vieniem pierādījumiem ir piešķirta </w:t>
      </w:r>
      <w:r w:rsidR="00D408B6">
        <w:rPr>
          <w:rFonts w:asciiTheme="majorBidi" w:hAnsiTheme="majorBidi" w:cstheme="majorBidi"/>
          <w:szCs w:val="24"/>
        </w:rPr>
        <w:t>augstāka</w:t>
      </w:r>
      <w:r w:rsidR="003A73D3">
        <w:rPr>
          <w:rFonts w:asciiTheme="majorBidi" w:hAnsiTheme="majorBidi" w:cstheme="majorBidi"/>
          <w:szCs w:val="24"/>
        </w:rPr>
        <w:t xml:space="preserve"> ticamības pakāpe </w:t>
      </w:r>
      <w:r w:rsidR="00D82B99">
        <w:rPr>
          <w:rFonts w:asciiTheme="majorBidi" w:hAnsiTheme="majorBidi" w:cstheme="majorBidi"/>
          <w:szCs w:val="24"/>
        </w:rPr>
        <w:t>ne</w:t>
      </w:r>
      <w:r w:rsidR="003A73D3">
        <w:rPr>
          <w:rFonts w:asciiTheme="majorBidi" w:hAnsiTheme="majorBidi" w:cstheme="majorBidi"/>
          <w:szCs w:val="24"/>
        </w:rPr>
        <w:t>kā citiem</w:t>
      </w:r>
      <w:r w:rsidR="009D2C7F">
        <w:rPr>
          <w:rFonts w:asciiTheme="majorBidi" w:hAnsiTheme="majorBidi" w:cstheme="majorBidi"/>
          <w:szCs w:val="24"/>
        </w:rPr>
        <w:t xml:space="preserve">. </w:t>
      </w:r>
      <w:r w:rsidR="00D408B6">
        <w:rPr>
          <w:rFonts w:asciiTheme="majorBidi" w:hAnsiTheme="majorBidi" w:cstheme="majorBidi"/>
          <w:szCs w:val="24"/>
        </w:rPr>
        <w:t>Minētais atzīstams par Kriminālprocesa likuma 128.</w:t>
      </w:r>
      <w:r w:rsidR="00ED46BB">
        <w:rPr>
          <w:rFonts w:asciiTheme="majorBidi" w:hAnsiTheme="majorBidi" w:cstheme="majorBidi"/>
          <w:szCs w:val="24"/>
        </w:rPr>
        <w:t> </w:t>
      </w:r>
      <w:r w:rsidR="00D408B6">
        <w:rPr>
          <w:rFonts w:asciiTheme="majorBidi" w:hAnsiTheme="majorBidi" w:cstheme="majorBidi"/>
          <w:szCs w:val="24"/>
        </w:rPr>
        <w:t>panta pārkāpumu.</w:t>
      </w:r>
      <w:r w:rsidR="003E0CF9">
        <w:rPr>
          <w:rFonts w:asciiTheme="majorBidi" w:hAnsiTheme="majorBidi" w:cstheme="majorBidi"/>
          <w:szCs w:val="24"/>
        </w:rPr>
        <w:t xml:space="preserve"> </w:t>
      </w:r>
      <w:r w:rsidR="00D82B99">
        <w:rPr>
          <w:rFonts w:asciiTheme="majorBidi" w:hAnsiTheme="majorBidi" w:cstheme="majorBidi"/>
          <w:szCs w:val="24"/>
        </w:rPr>
        <w:t>T</w:t>
      </w:r>
      <w:r w:rsidR="007849B2">
        <w:rPr>
          <w:rFonts w:asciiTheme="majorBidi" w:hAnsiTheme="majorBidi" w:cstheme="majorBidi"/>
          <w:szCs w:val="24"/>
        </w:rPr>
        <w:t xml:space="preserve">iesa nepamatoti </w:t>
      </w:r>
      <w:r w:rsidR="00BC18A3">
        <w:t xml:space="preserve">notiesājošu </w:t>
      </w:r>
      <w:r w:rsidR="00D82B99">
        <w:t>nolēmumu</w:t>
      </w:r>
      <w:r w:rsidR="00BC18A3">
        <w:t xml:space="preserve"> balstī</w:t>
      </w:r>
      <w:r w:rsidR="007849B2">
        <w:t>jusi</w:t>
      </w:r>
      <w:r w:rsidR="00BC18A3">
        <w:t xml:space="preserve"> uz cietušā </w:t>
      </w:r>
      <w:r w:rsidR="005D5325">
        <w:t>[pers. B]</w:t>
      </w:r>
      <w:r w:rsidR="00BC18A3">
        <w:t xml:space="preserve"> pirmstiesas kriminālprocesā sniegtajām liecībām, jo tās neapstiprinās ar citiem pierādījumiem lietā</w:t>
      </w:r>
      <w:r w:rsidR="0039291F">
        <w:t>.</w:t>
      </w:r>
    </w:p>
    <w:p w14:paraId="76253006" w14:textId="77777777" w:rsidR="00EE1E5D" w:rsidRDefault="00EE1E5D" w:rsidP="00EE1E5D">
      <w:pPr>
        <w:widowControl w:val="0"/>
        <w:tabs>
          <w:tab w:val="left" w:pos="6096"/>
        </w:tabs>
        <w:spacing w:after="0" w:line="276" w:lineRule="auto"/>
        <w:ind w:firstLine="720"/>
        <w:jc w:val="both"/>
        <w:rPr>
          <w:rFonts w:asciiTheme="majorBidi" w:hAnsiTheme="majorBidi" w:cstheme="majorBidi"/>
          <w:szCs w:val="24"/>
        </w:rPr>
      </w:pPr>
    </w:p>
    <w:p w14:paraId="6CE20F41" w14:textId="77777777" w:rsidR="009364F9" w:rsidRDefault="009364F9" w:rsidP="009364F9">
      <w:pPr>
        <w:widowControl w:val="0"/>
        <w:tabs>
          <w:tab w:val="left" w:pos="6096"/>
        </w:tabs>
        <w:spacing w:after="0" w:line="276" w:lineRule="auto"/>
        <w:ind w:firstLine="720"/>
        <w:jc w:val="center"/>
        <w:rPr>
          <w:b/>
        </w:rPr>
      </w:pPr>
      <w:r w:rsidRPr="006D1E0A">
        <w:rPr>
          <w:b/>
        </w:rPr>
        <w:t>Motīvu daļa</w:t>
      </w:r>
    </w:p>
    <w:p w14:paraId="391CB86C" w14:textId="77777777" w:rsidR="009364F9" w:rsidRDefault="009364F9" w:rsidP="009364F9">
      <w:pPr>
        <w:widowControl w:val="0"/>
        <w:tabs>
          <w:tab w:val="left" w:pos="6096"/>
        </w:tabs>
        <w:spacing w:after="0" w:line="276" w:lineRule="auto"/>
        <w:ind w:firstLine="720"/>
        <w:jc w:val="center"/>
        <w:rPr>
          <w:b/>
        </w:rPr>
      </w:pPr>
    </w:p>
    <w:p w14:paraId="51A14BEC" w14:textId="3FFE45FD" w:rsidR="0048437D" w:rsidRDefault="009364F9" w:rsidP="0048437D">
      <w:pPr>
        <w:widowControl w:val="0"/>
        <w:tabs>
          <w:tab w:val="left" w:pos="6096"/>
        </w:tabs>
        <w:spacing w:after="0" w:line="276" w:lineRule="auto"/>
        <w:ind w:firstLine="720"/>
        <w:jc w:val="both"/>
      </w:pPr>
      <w:r>
        <w:t>[</w:t>
      </w:r>
      <w:r w:rsidR="009D2C7F">
        <w:t>4</w:t>
      </w:r>
      <w:r>
        <w:t>]</w:t>
      </w:r>
      <w:r w:rsidR="009D2C7F">
        <w:t> </w:t>
      </w:r>
      <w:r w:rsidRPr="0054353F">
        <w:rPr>
          <w:rFonts w:asciiTheme="majorBidi" w:eastAsia="Times New Roman" w:hAnsiTheme="majorBidi" w:cstheme="majorBidi"/>
          <w:szCs w:val="24"/>
          <w:lang w:eastAsia="ru-RU"/>
        </w:rPr>
        <w:t xml:space="preserve">Senāts konstatē, ka tā kompetencē </w:t>
      </w:r>
      <w:r w:rsidR="00AA0C3E">
        <w:rPr>
          <w:rFonts w:asciiTheme="majorBidi" w:eastAsia="Times New Roman" w:hAnsiTheme="majorBidi" w:cstheme="majorBidi"/>
          <w:szCs w:val="24"/>
          <w:lang w:eastAsia="ru-RU"/>
        </w:rPr>
        <w:t xml:space="preserve">vispirms </w:t>
      </w:r>
      <w:r w:rsidRPr="0054353F">
        <w:rPr>
          <w:rFonts w:asciiTheme="majorBidi" w:eastAsia="Times New Roman" w:hAnsiTheme="majorBidi" w:cstheme="majorBidi"/>
          <w:szCs w:val="24"/>
          <w:lang w:eastAsia="ru-RU"/>
        </w:rPr>
        <w:t>ir sniegt atbildi</w:t>
      </w:r>
      <w:r>
        <w:rPr>
          <w:rFonts w:asciiTheme="majorBidi" w:eastAsia="Times New Roman" w:hAnsiTheme="majorBidi" w:cstheme="majorBidi"/>
          <w:szCs w:val="24"/>
          <w:lang w:eastAsia="ru-RU"/>
        </w:rPr>
        <w:t xml:space="preserve"> uz </w:t>
      </w:r>
      <w:r w:rsidRPr="002E02C8">
        <w:rPr>
          <w:rFonts w:asciiTheme="majorBidi" w:hAnsiTheme="majorBidi" w:cstheme="majorBidi"/>
        </w:rPr>
        <w:t>tiesību jautājumu,</w:t>
      </w:r>
      <w:r w:rsidRPr="0054353F">
        <w:rPr>
          <w:rFonts w:asciiTheme="majorBidi" w:eastAsia="Times New Roman" w:hAnsiTheme="majorBidi" w:cstheme="majorBidi"/>
          <w:szCs w:val="24"/>
          <w:lang w:eastAsia="ru-RU"/>
        </w:rPr>
        <w:t xml:space="preserve"> vai</w:t>
      </w:r>
      <w:r>
        <w:rPr>
          <w:rFonts w:asciiTheme="majorBidi" w:eastAsia="Times New Roman" w:hAnsiTheme="majorBidi" w:cstheme="majorBidi"/>
          <w:szCs w:val="24"/>
          <w:lang w:eastAsia="ru-RU"/>
        </w:rPr>
        <w:t xml:space="preserve"> </w:t>
      </w:r>
      <w:r>
        <w:t xml:space="preserve">lietas iztiesāšana </w:t>
      </w:r>
      <w:bookmarkStart w:id="12" w:name="_Hlk145592936"/>
      <w:r>
        <w:t xml:space="preserve">apelācijas instances tiesā Covid-19 infekcijas izplatības pārvaldības likuma (turpmāk – arī Covid-19 likums) 12. panta pirmās daļas </w:t>
      </w:r>
      <w:bookmarkEnd w:id="12"/>
      <w:r>
        <w:t>spēkā esības laikā pats par sevi ir pietiekams pamats lietas izskatīšanai rakstveida procesā saskaņā ar minēto tiesību normu.</w:t>
      </w:r>
    </w:p>
    <w:p w14:paraId="314E55BA" w14:textId="199B1B9C" w:rsidR="009F5355" w:rsidRDefault="009364F9" w:rsidP="0048437D">
      <w:pPr>
        <w:widowControl w:val="0"/>
        <w:tabs>
          <w:tab w:val="left" w:pos="6096"/>
        </w:tabs>
        <w:spacing w:after="0" w:line="276" w:lineRule="auto"/>
        <w:ind w:firstLine="720"/>
        <w:jc w:val="both"/>
        <w:rPr>
          <w:rFonts w:asciiTheme="majorBidi" w:hAnsiTheme="majorBidi" w:cstheme="majorBidi"/>
          <w:color w:val="000000" w:themeColor="text1"/>
        </w:rPr>
      </w:pPr>
      <w:r w:rsidRPr="00042DAC">
        <w:t>[</w:t>
      </w:r>
      <w:r w:rsidR="009D2C7F">
        <w:t>4</w:t>
      </w:r>
      <w:r>
        <w:t>.1</w:t>
      </w:r>
      <w:r w:rsidRPr="00042DAC">
        <w:t>]</w:t>
      </w:r>
      <w:r w:rsidR="009D2C7F">
        <w:t> </w:t>
      </w:r>
      <w:r>
        <w:t>Senāts norāda, ka atbilde uz šo jautājumu jau iepriekš ir sniegta</w:t>
      </w:r>
      <w:r w:rsidR="0048437D">
        <w:t xml:space="preserve"> Senāta judikatūrā (</w:t>
      </w:r>
      <w:r w:rsidRPr="004D0862">
        <w:rPr>
          <w:rFonts w:asciiTheme="majorBidi" w:hAnsiTheme="majorBidi" w:cstheme="majorBidi"/>
          <w:i/>
          <w:iCs/>
          <w:color w:val="000000" w:themeColor="text1"/>
          <w:lang w:eastAsia="lv-LV"/>
        </w:rPr>
        <w:t xml:space="preserve">Senāta </w:t>
      </w:r>
      <w:r w:rsidRPr="004D0862">
        <w:rPr>
          <w:rFonts w:asciiTheme="majorBidi" w:hAnsiTheme="majorBidi" w:cstheme="majorBidi"/>
          <w:i/>
          <w:iCs/>
          <w:color w:val="000000" w:themeColor="text1"/>
        </w:rPr>
        <w:t>202</w:t>
      </w:r>
      <w:r w:rsidR="0048437D" w:rsidRPr="004D0862">
        <w:rPr>
          <w:rFonts w:asciiTheme="majorBidi" w:hAnsiTheme="majorBidi" w:cstheme="majorBidi"/>
          <w:i/>
          <w:iCs/>
          <w:color w:val="000000" w:themeColor="text1"/>
        </w:rPr>
        <w:t>3</w:t>
      </w:r>
      <w:r w:rsidR="009D2C7F" w:rsidRPr="004D0862">
        <w:rPr>
          <w:rFonts w:asciiTheme="majorBidi" w:hAnsiTheme="majorBidi" w:cstheme="majorBidi"/>
          <w:i/>
          <w:iCs/>
          <w:color w:val="000000" w:themeColor="text1"/>
        </w:rPr>
        <w:t>. </w:t>
      </w:r>
      <w:r w:rsidRPr="004D0862">
        <w:rPr>
          <w:rFonts w:asciiTheme="majorBidi" w:hAnsiTheme="majorBidi" w:cstheme="majorBidi"/>
          <w:i/>
          <w:iCs/>
          <w:color w:val="000000" w:themeColor="text1"/>
        </w:rPr>
        <w:t xml:space="preserve">gada </w:t>
      </w:r>
      <w:r w:rsidR="0048437D" w:rsidRPr="004D0862">
        <w:rPr>
          <w:rFonts w:asciiTheme="majorBidi" w:hAnsiTheme="majorBidi" w:cstheme="majorBidi"/>
          <w:i/>
          <w:iCs/>
          <w:color w:val="000000" w:themeColor="text1"/>
        </w:rPr>
        <w:t>21. februāra</w:t>
      </w:r>
      <w:r w:rsidRPr="004D0862">
        <w:rPr>
          <w:rFonts w:asciiTheme="majorBidi" w:hAnsiTheme="majorBidi" w:cstheme="majorBidi"/>
          <w:i/>
          <w:iCs/>
          <w:color w:val="000000" w:themeColor="text1"/>
        </w:rPr>
        <w:t xml:space="preserve"> lēmuma lietā Nr. SKK-</w:t>
      </w:r>
      <w:r w:rsidR="0048437D" w:rsidRPr="004D0862">
        <w:rPr>
          <w:rFonts w:asciiTheme="majorBidi" w:hAnsiTheme="majorBidi" w:cstheme="majorBidi"/>
          <w:i/>
          <w:iCs/>
          <w:color w:val="000000" w:themeColor="text1"/>
        </w:rPr>
        <w:t>6</w:t>
      </w:r>
      <w:r w:rsidRPr="004D0862">
        <w:rPr>
          <w:rFonts w:asciiTheme="majorBidi" w:hAnsiTheme="majorBidi" w:cstheme="majorBidi"/>
          <w:i/>
          <w:iCs/>
          <w:color w:val="000000" w:themeColor="text1"/>
        </w:rPr>
        <w:t>/202</w:t>
      </w:r>
      <w:r w:rsidR="0048437D" w:rsidRPr="004D0862">
        <w:rPr>
          <w:rFonts w:asciiTheme="majorBidi" w:hAnsiTheme="majorBidi" w:cstheme="majorBidi"/>
          <w:i/>
          <w:iCs/>
          <w:color w:val="000000" w:themeColor="text1"/>
        </w:rPr>
        <w:t>3</w:t>
      </w:r>
      <w:r w:rsidRPr="004D0862">
        <w:rPr>
          <w:rFonts w:asciiTheme="majorBidi" w:hAnsiTheme="majorBidi" w:cstheme="majorBidi"/>
          <w:i/>
          <w:iCs/>
          <w:color w:val="000000" w:themeColor="text1"/>
        </w:rPr>
        <w:t xml:space="preserve">, </w:t>
      </w:r>
      <w:hyperlink r:id="rId9" w:history="1">
        <w:r w:rsidR="0048437D" w:rsidRPr="0048437D">
          <w:rPr>
            <w:rStyle w:val="Hyperlink"/>
            <w:i/>
            <w:iCs/>
            <w:shd w:val="clear" w:color="auto" w:fill="FFFFFF"/>
          </w:rPr>
          <w:t>ECLI:LV:AT:2023:0221.16870001618.5.L</w:t>
        </w:r>
      </w:hyperlink>
      <w:r w:rsidRPr="00201F06">
        <w:rPr>
          <w:i/>
          <w:iCs/>
        </w:rPr>
        <w:t>,</w:t>
      </w:r>
      <w:r w:rsidR="0048437D">
        <w:rPr>
          <w:i/>
          <w:iCs/>
        </w:rPr>
        <w:t xml:space="preserve"> </w:t>
      </w:r>
      <w:r w:rsidR="0048437D">
        <w:rPr>
          <w:rFonts w:asciiTheme="majorBidi" w:hAnsiTheme="majorBidi" w:cstheme="majorBidi"/>
          <w:i/>
          <w:iCs/>
          <w:color w:val="000000" w:themeColor="text1"/>
        </w:rPr>
        <w:t>6</w:t>
      </w:r>
      <w:r w:rsidRPr="00201F06">
        <w:rPr>
          <w:rFonts w:asciiTheme="majorBidi" w:hAnsiTheme="majorBidi" w:cstheme="majorBidi"/>
          <w:i/>
          <w:iCs/>
          <w:color w:val="000000" w:themeColor="text1"/>
        </w:rPr>
        <w:t>.</w:t>
      </w:r>
      <w:r w:rsidRPr="00FB05EA">
        <w:rPr>
          <w:rFonts w:asciiTheme="majorBidi" w:hAnsiTheme="majorBidi" w:cstheme="majorBidi"/>
          <w:i/>
          <w:iCs/>
          <w:color w:val="000000" w:themeColor="text1"/>
        </w:rPr>
        <w:t> punkts</w:t>
      </w:r>
      <w:r w:rsidRPr="00FB05EA">
        <w:rPr>
          <w:rFonts w:asciiTheme="majorBidi" w:hAnsiTheme="majorBidi" w:cstheme="majorBidi"/>
          <w:color w:val="000000" w:themeColor="text1"/>
        </w:rPr>
        <w:t>).</w:t>
      </w:r>
      <w:r w:rsidR="0048437D">
        <w:rPr>
          <w:rFonts w:asciiTheme="majorBidi" w:hAnsiTheme="majorBidi" w:cstheme="majorBidi"/>
          <w:color w:val="000000" w:themeColor="text1"/>
        </w:rPr>
        <w:t xml:space="preserve"> </w:t>
      </w:r>
    </w:p>
    <w:p w14:paraId="76300B10" w14:textId="63658481" w:rsidR="0048437D" w:rsidRDefault="0048437D" w:rsidP="0048437D">
      <w:pPr>
        <w:widowControl w:val="0"/>
        <w:tabs>
          <w:tab w:val="left" w:pos="6096"/>
        </w:tabs>
        <w:spacing w:after="0" w:line="276" w:lineRule="auto"/>
        <w:ind w:firstLine="720"/>
        <w:jc w:val="both"/>
      </w:pPr>
      <w:r>
        <w:rPr>
          <w:rFonts w:asciiTheme="majorBidi" w:hAnsiTheme="majorBidi" w:cstheme="majorBidi"/>
          <w:color w:val="000000" w:themeColor="text1"/>
        </w:rPr>
        <w:t>Senāts atzina, ka</w:t>
      </w:r>
      <w:r w:rsidRPr="00ED5CB4">
        <w:t xml:space="preserve"> lēmums par lietas izskatīšanu rakstveida procesā saskaņā ar Covid-19 likuma 12.</w:t>
      </w:r>
      <w:r>
        <w:t> </w:t>
      </w:r>
      <w:r w:rsidRPr="00ED5CB4">
        <w:t xml:space="preserve">panta pirmo daļu ir pamatojams nevis ar atzinumu, ka lietu iespējams izskatīt rakstveida procesā, bet atzinumu, </w:t>
      </w:r>
      <w:proofErr w:type="gramStart"/>
      <w:r w:rsidRPr="00ED5CB4">
        <w:t>ka objektīvi</w:t>
      </w:r>
      <w:proofErr w:type="gramEnd"/>
      <w:r w:rsidRPr="00ED5CB4">
        <w:t xml:space="preserve"> pastāv apstākļi, kas noteic šajā tiesību normā paredzētā pasākuma piemērošanas nepieciešamību. </w:t>
      </w:r>
      <w:r>
        <w:t>Tiesību uz lietas izskatīšanu mutvārdu procesā ierobežojums ir jāpamato.</w:t>
      </w:r>
    </w:p>
    <w:p w14:paraId="30B0B20A" w14:textId="177A3D21" w:rsidR="0048437D" w:rsidRDefault="009F5355" w:rsidP="0048437D">
      <w:pPr>
        <w:widowControl w:val="0"/>
        <w:tabs>
          <w:tab w:val="left" w:pos="6096"/>
        </w:tabs>
        <w:spacing w:after="0" w:line="276" w:lineRule="auto"/>
        <w:ind w:firstLine="720"/>
        <w:jc w:val="both"/>
      </w:pPr>
      <w:r>
        <w:rPr>
          <w:rFonts w:asciiTheme="majorBidi" w:hAnsiTheme="majorBidi" w:cstheme="majorBidi"/>
          <w:color w:val="000000" w:themeColor="text1"/>
        </w:rPr>
        <w:t>[</w:t>
      </w:r>
      <w:r w:rsidR="009D2C7F">
        <w:rPr>
          <w:rFonts w:asciiTheme="majorBidi" w:hAnsiTheme="majorBidi" w:cstheme="majorBidi"/>
          <w:color w:val="000000" w:themeColor="text1"/>
        </w:rPr>
        <w:t>4</w:t>
      </w:r>
      <w:r>
        <w:rPr>
          <w:rFonts w:asciiTheme="majorBidi" w:hAnsiTheme="majorBidi" w:cstheme="majorBidi"/>
          <w:color w:val="000000" w:themeColor="text1"/>
        </w:rPr>
        <w:t>.1.1]</w:t>
      </w:r>
      <w:r w:rsidR="009D2C7F">
        <w:rPr>
          <w:rFonts w:asciiTheme="majorBidi" w:hAnsiTheme="majorBidi" w:cstheme="majorBidi"/>
          <w:color w:val="000000" w:themeColor="text1"/>
        </w:rPr>
        <w:t> </w:t>
      </w:r>
      <w:r w:rsidR="0048437D">
        <w:t xml:space="preserve">Senāts arī norādīja, </w:t>
      </w:r>
      <w:r w:rsidR="00793231">
        <w:t>ka,</w:t>
      </w:r>
      <w:r w:rsidR="0048437D">
        <w:t xml:space="preserve"> piemērojot Covid-19 likuma 12. panta pirmo daļu, jāņem vērā šā likuma 1. panta pirmajā daļā definēto likuma mērķi – noteikt tiesisko kārtību Covid-19 infekcijas izplatības laikā, paredzot atbilstošu pasākumu kopumu, kas nodrošina ar sabiedrības veselības un drošības interesēm samērīgu privātpersonu tiesību un pienākumu apjomu un efektīvu valsts un pašvaldības institūciju darbību.</w:t>
      </w:r>
    </w:p>
    <w:p w14:paraId="05AB05E0" w14:textId="712EB47A" w:rsidR="0048437D" w:rsidRDefault="0048437D" w:rsidP="0048437D">
      <w:pPr>
        <w:widowControl w:val="0"/>
        <w:tabs>
          <w:tab w:val="left" w:pos="6096"/>
        </w:tabs>
        <w:spacing w:after="0" w:line="276" w:lineRule="auto"/>
        <w:ind w:firstLine="720"/>
        <w:jc w:val="both"/>
        <w:rPr>
          <w:rStyle w:val="Emphasis"/>
          <w:i w:val="0"/>
          <w:iCs w:val="0"/>
        </w:rPr>
      </w:pPr>
      <w:r>
        <w:rPr>
          <w:rStyle w:val="Emphasis"/>
          <w:i w:val="0"/>
          <w:iCs w:val="0"/>
        </w:rPr>
        <w:t>No Covid-19 likuma 1. panta pirmajā daļā definētā mērķa nepārprotami izriet, ka šī likuma 12. panta pirmajā daļā noteiktā iespēja izskatīt lietu rakstveida procesā ir pasākums, kas vērsts uz sabiedrības veselības un drošības interešu aizsardzību. Tāpat no Covid-19 likuma 1. panta pirmās daļas secināms, ka minētais pasākums ietver privātpersonu tiesību un pienākumu ierobežojumu, kas ir samērots ar sabiedrības veselības un drošības interesēm.</w:t>
      </w:r>
    </w:p>
    <w:p w14:paraId="0D0D067E" w14:textId="3DEA56FB" w:rsidR="0048437D" w:rsidRDefault="0048437D" w:rsidP="0048437D">
      <w:pPr>
        <w:widowControl w:val="0"/>
        <w:tabs>
          <w:tab w:val="left" w:pos="6096"/>
        </w:tabs>
        <w:spacing w:after="0" w:line="276" w:lineRule="auto"/>
        <w:ind w:firstLine="720"/>
        <w:jc w:val="both"/>
      </w:pPr>
      <w:r>
        <w:rPr>
          <w:rStyle w:val="Emphasis"/>
          <w:i w:val="0"/>
          <w:iCs w:val="0"/>
        </w:rPr>
        <w:t xml:space="preserve">Vispārējie principi, kas piemēroti nosakot Covid-19 likumā uzskaitīto pasākumu kopumu, ir izklāstīti šā likuma 1. panta trešajā daļā. Tie ir: </w:t>
      </w:r>
      <w:r w:rsidRPr="00ED5CB4">
        <w:rPr>
          <w:rStyle w:val="Emphasis"/>
          <w:i w:val="0"/>
          <w:iCs w:val="0"/>
        </w:rPr>
        <w:t>1)</w:t>
      </w:r>
      <w:r w:rsidR="009D2C7F">
        <w:t> </w:t>
      </w:r>
      <w:r w:rsidRPr="00ED5CB4">
        <w:t xml:space="preserve">cilvēktiesību ierobežošanas </w:t>
      </w:r>
      <w:r w:rsidRPr="00ED5CB4">
        <w:lastRenderedPageBreak/>
        <w:t xml:space="preserve">minimizēšana </w:t>
      </w:r>
      <w:r>
        <w:t>–</w:t>
      </w:r>
      <w:r w:rsidRPr="00ED5CB4">
        <w:t xml:space="preserve"> personu tiesības tiek ierobežotas tikai tad, ja nav citu alternatīvu pasākumu, kas efektīvi aizsargā sabiedrības veselību un drošību; 2)</w:t>
      </w:r>
      <w:r w:rsidR="009D2C7F">
        <w:t> </w:t>
      </w:r>
      <w:r w:rsidRPr="00ED5CB4">
        <w:t xml:space="preserve">sabiedrības veselības apdraudējuma mazināšana </w:t>
      </w:r>
      <w:r>
        <w:t>–</w:t>
      </w:r>
      <w:r w:rsidRPr="00ED5CB4">
        <w:t xml:space="preserve"> piesardzības pasākumi tiek noteikti, izvērtējot Covid-19 infekcijas izplatības draudus Latvijā un ārvalstīs, un tiek īstenoti, izvērtējot visus pastāvošos riskus, lai mazinātu Covid-19 infekcijas atkārtotas izplatības draudus; 3)</w:t>
      </w:r>
      <w:r w:rsidR="009D2C7F">
        <w:t> </w:t>
      </w:r>
      <w:r w:rsidRPr="00ED5CB4">
        <w:t>publisku un sabiedrībai nozīmīgu pakalpojumu pieejamības ierobežošana ir pieļaujama tikai tādā mērā, cik tas nepieciešams sabiedrības veselības un drošības nodrošināšanai, kā arī pakalpojumu sniegšanā un saņemšanā iesaistīto personu veselībai un drošībai.</w:t>
      </w:r>
    </w:p>
    <w:p w14:paraId="65373C12" w14:textId="77777777" w:rsidR="00684BA4" w:rsidRDefault="0048437D" w:rsidP="00684BA4">
      <w:pPr>
        <w:widowControl w:val="0"/>
        <w:tabs>
          <w:tab w:val="left" w:pos="6096"/>
        </w:tabs>
        <w:spacing w:after="0" w:line="276" w:lineRule="auto"/>
        <w:ind w:firstLine="720"/>
        <w:jc w:val="both"/>
      </w:pPr>
      <w:r w:rsidRPr="00ED5CB4">
        <w:t>Ievērojot Covid-19 likuma mērķi un vispārējos principus, kas piemēroti, nosakot nepieciešamo pasākumu kopumu, secināms, ka tiesiskās situācijas, kurā lemjams jautājums par lietas izskatīšan</w:t>
      </w:r>
      <w:r>
        <w:t>as</w:t>
      </w:r>
      <w:r w:rsidRPr="00ED5CB4">
        <w:t xml:space="preserve"> veidu, pastāvēšana Covid-19 likuma spēkā esības laikā, pats par sevi nav pietiekams pamats lietas izskatīšanai rakstveida procesā saskaņā ar šā likuma 12. panta pirmo daļu. Minētajā tiesību normā paredzētā iespēja izskatīt lietu rakstveida procesā, pirmkārt, ir iespēja nevis pienākums, otrkārt, tiesību normā paredzētā iespēja noteikta ar mērķi mazināt riskus gan lietu dalībnieku, gan tiesnešu un tiesu darbinieku veselībai, tādēļ ir izvērtējama risku pastāvēšana un alternatīvi pasākumi risku mazināšanai, piemēram, lietas izskatīšana mutvārdu procesā videokonferences režīmā</w:t>
      </w:r>
      <w:r>
        <w:t>, ja to prasa kriminālprocesa intereses.</w:t>
      </w:r>
      <w:r w:rsidRPr="00ED5CB4">
        <w:t xml:space="preserve"> </w:t>
      </w:r>
    </w:p>
    <w:p w14:paraId="73860EF1" w14:textId="73E2683F" w:rsidR="003C7E12" w:rsidRDefault="009F5355" w:rsidP="003C7E12">
      <w:pPr>
        <w:widowControl w:val="0"/>
        <w:tabs>
          <w:tab w:val="left" w:pos="6096"/>
        </w:tabs>
        <w:spacing w:after="0" w:line="276" w:lineRule="auto"/>
        <w:ind w:firstLine="720"/>
        <w:jc w:val="both"/>
      </w:pPr>
      <w:r>
        <w:t>[</w:t>
      </w:r>
      <w:r w:rsidR="009D2C7F">
        <w:t>4</w:t>
      </w:r>
      <w:r>
        <w:t>.1.2]</w:t>
      </w:r>
      <w:r w:rsidR="009D2C7F">
        <w:t> </w:t>
      </w:r>
      <w:r w:rsidR="00684BA4">
        <w:t xml:space="preserve">Senāts </w:t>
      </w:r>
      <w:r w:rsidR="00C47C0D">
        <w:t xml:space="preserve">arī </w:t>
      </w:r>
      <w:r w:rsidR="00684BA4">
        <w:t xml:space="preserve">uzsvēra, ka </w:t>
      </w:r>
      <w:r>
        <w:t>lēmumu pieņemšanā nozīme ir tiesu izmantotajai argumentācijas metodoloģijai, proti, pamatojums nepieciešams rakstveida procesam kā izņēmumam no pamatprincipa, nevis pamatprincipa ievērošanai jeb lietas izskatīšanai mutvārdu procesā (</w:t>
      </w:r>
      <w:r w:rsidRPr="00BD16C7">
        <w:rPr>
          <w:i/>
          <w:iCs/>
        </w:rPr>
        <w:t>Eiropas Cilvēktiesību tiesas 2010.</w:t>
      </w:r>
      <w:r>
        <w:rPr>
          <w:i/>
          <w:iCs/>
        </w:rPr>
        <w:t> </w:t>
      </w:r>
      <w:r w:rsidRPr="00BD16C7">
        <w:rPr>
          <w:i/>
          <w:iCs/>
        </w:rPr>
        <w:t>gada 7.</w:t>
      </w:r>
      <w:r>
        <w:rPr>
          <w:i/>
          <w:iCs/>
        </w:rPr>
        <w:t> </w:t>
      </w:r>
      <w:r w:rsidRPr="00BD16C7">
        <w:rPr>
          <w:i/>
          <w:iCs/>
        </w:rPr>
        <w:t>decembra sprieduma lietā „</w:t>
      </w:r>
      <w:proofErr w:type="spellStart"/>
      <w:r w:rsidRPr="00BD16C7">
        <w:rPr>
          <w:i/>
          <w:iCs/>
        </w:rPr>
        <w:t>Andersson</w:t>
      </w:r>
      <w:proofErr w:type="spellEnd"/>
      <w:r w:rsidRPr="00BD16C7">
        <w:rPr>
          <w:i/>
          <w:iCs/>
        </w:rPr>
        <w:t xml:space="preserve"> v.</w:t>
      </w:r>
      <w:r>
        <w:rPr>
          <w:i/>
          <w:iCs/>
        </w:rPr>
        <w:t xml:space="preserve"> </w:t>
      </w:r>
      <w:proofErr w:type="spellStart"/>
      <w:r w:rsidRPr="00BD16C7">
        <w:rPr>
          <w:i/>
          <w:iCs/>
        </w:rPr>
        <w:t>Sweden</w:t>
      </w:r>
      <w:proofErr w:type="spellEnd"/>
      <w:r w:rsidRPr="00BD16C7">
        <w:rPr>
          <w:i/>
          <w:iCs/>
        </w:rPr>
        <w:t>”, iesnieguma Nr. </w:t>
      </w:r>
      <w:hyperlink r:id="rId10" w:history="1">
        <w:r w:rsidRPr="0016574A">
          <w:rPr>
            <w:rStyle w:val="Hyperlink"/>
            <w:i/>
            <w:iCs/>
          </w:rPr>
          <w:t>17202/04</w:t>
        </w:r>
      </w:hyperlink>
      <w:r w:rsidRPr="00BD16C7">
        <w:rPr>
          <w:i/>
          <w:iCs/>
        </w:rPr>
        <w:t>, 53.</w:t>
      </w:r>
      <w:r>
        <w:rPr>
          <w:i/>
          <w:iCs/>
        </w:rPr>
        <w:t> </w:t>
      </w:r>
      <w:r w:rsidRPr="00BD16C7">
        <w:rPr>
          <w:i/>
          <w:iCs/>
        </w:rPr>
        <w:t>punkts</w:t>
      </w:r>
      <w:r>
        <w:t>).</w:t>
      </w:r>
    </w:p>
    <w:p w14:paraId="0EDEC612" w14:textId="74B868B4" w:rsidR="00BA44E6" w:rsidRDefault="0048437D" w:rsidP="002F5ED0">
      <w:pPr>
        <w:widowControl w:val="0"/>
        <w:tabs>
          <w:tab w:val="left" w:pos="6096"/>
        </w:tabs>
        <w:spacing w:after="0" w:line="276" w:lineRule="auto"/>
        <w:ind w:firstLine="720"/>
        <w:jc w:val="both"/>
        <w:rPr>
          <w:rFonts w:ascii="TimesNewRomanPSMT" w:hAnsi="TimesNewRomanPSMT" w:cs="TimesNewRomanPSMT"/>
          <w:szCs w:val="24"/>
          <w14:ligatures w14:val="standardContextual"/>
        </w:rPr>
      </w:pPr>
      <w:r>
        <w:t>[</w:t>
      </w:r>
      <w:r w:rsidR="009D2C7F">
        <w:t>4</w:t>
      </w:r>
      <w:r>
        <w:t>.2]</w:t>
      </w:r>
      <w:r w:rsidR="009D2C7F">
        <w:t> </w:t>
      </w:r>
      <w:r w:rsidR="00C47C0D">
        <w:t>Senāts konstatē, ka i</w:t>
      </w:r>
      <w:r w:rsidR="00793231">
        <w:t xml:space="preserve">zskatāmajā lietā </w:t>
      </w:r>
      <w:r w:rsidR="00793231" w:rsidRPr="00892BDB">
        <w:t>202</w:t>
      </w:r>
      <w:r w:rsidR="00684BA4">
        <w:t>3</w:t>
      </w:r>
      <w:r w:rsidR="00793231" w:rsidRPr="00892BDB">
        <w:t xml:space="preserve">. gada </w:t>
      </w:r>
      <w:r w:rsidR="00684BA4">
        <w:t>2</w:t>
      </w:r>
      <w:r w:rsidR="00793231" w:rsidRPr="00892BDB">
        <w:t>8. </w:t>
      </w:r>
      <w:r w:rsidR="00684BA4">
        <w:t>februārī</w:t>
      </w:r>
      <w:r w:rsidR="00793231" w:rsidRPr="00892BDB">
        <w:t>, pamatojoties uz Covid-19 infekcijas izplatības pārvaldības likuma 12. panta pirmo daļu, t</w:t>
      </w:r>
      <w:r w:rsidR="00793231">
        <w:t>iesnes</w:t>
      </w:r>
      <w:r w:rsidR="00684BA4">
        <w:t>is</w:t>
      </w:r>
      <w:r w:rsidR="00793231">
        <w:t xml:space="preserve"> notei</w:t>
      </w:r>
      <w:r w:rsidR="00684BA4">
        <w:t>cis</w:t>
      </w:r>
      <w:r w:rsidR="00793231" w:rsidRPr="00892BDB">
        <w:t xml:space="preserve"> liet</w:t>
      </w:r>
      <w:r w:rsidR="00793231">
        <w:t>as</w:t>
      </w:r>
      <w:r w:rsidR="00793231" w:rsidRPr="00892BDB">
        <w:t xml:space="preserve"> </w:t>
      </w:r>
      <w:r w:rsidR="00793231">
        <w:t xml:space="preserve">izskatīšanu </w:t>
      </w:r>
      <w:r w:rsidR="00684BA4">
        <w:t xml:space="preserve">apelācijas instances tiesā </w:t>
      </w:r>
      <w:r w:rsidR="00793231" w:rsidRPr="00892BDB">
        <w:t>rakstveida procesā</w:t>
      </w:r>
      <w:r w:rsidR="00793231">
        <w:t>.</w:t>
      </w:r>
      <w:r w:rsidR="002F5ED0">
        <w:t xml:space="preserve"> </w:t>
      </w:r>
      <w:r w:rsidR="00BA44E6">
        <w:t xml:space="preserve">Lēmumā tiesnesis norādījis, </w:t>
      </w:r>
      <w:r w:rsidR="003C61CD">
        <w:t>ka,</w:t>
      </w:r>
      <w:r w:rsidR="00BA44E6">
        <w:t xml:space="preserve"> lai noteiktu </w:t>
      </w:r>
      <w:r w:rsidR="00BA44E6" w:rsidRPr="007F3B26">
        <w:rPr>
          <w:rFonts w:ascii="TimesNewRomanPSMT" w:hAnsi="TimesNewRomanPSMT" w:cs="TimesNewRomanPSMT"/>
          <w:szCs w:val="24"/>
          <w14:ligatures w14:val="standardContextual"/>
        </w:rPr>
        <w:t>tiesisko kārtību Covid-19 infekcijas izplatības laikā, paredzot atbilstošu</w:t>
      </w:r>
      <w:r w:rsidR="00BA44E6">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pasākumu kopumu, kas nodrošina ar sabiedrības veselības un drošības interesēm samērīgu</w:t>
      </w:r>
      <w:r w:rsidR="00BA44E6">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privātpersonu tiesību un pienākumu apjomu un efektīvu valsts un pašvaldību institūciju darbību,</w:t>
      </w:r>
      <w:r w:rsidR="00BA44E6">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2020.</w:t>
      </w:r>
      <w:r w:rsidR="003C7E12">
        <w:rPr>
          <w:rFonts w:ascii="TimesNewRomanPSMT" w:hAnsi="TimesNewRomanPSMT" w:cs="TimesNewRomanPSMT"/>
          <w:szCs w:val="24"/>
          <w14:ligatures w14:val="standardContextual"/>
        </w:rPr>
        <w:t> </w:t>
      </w:r>
      <w:r w:rsidR="00BA44E6" w:rsidRPr="007F3B26">
        <w:rPr>
          <w:rFonts w:ascii="TimesNewRomanPSMT" w:hAnsi="TimesNewRomanPSMT" w:cs="TimesNewRomanPSMT"/>
          <w:szCs w:val="24"/>
          <w14:ligatures w14:val="standardContextual"/>
        </w:rPr>
        <w:t>gada 5.</w:t>
      </w:r>
      <w:r w:rsidR="003C7E12">
        <w:rPr>
          <w:rFonts w:ascii="TimesNewRomanPSMT" w:hAnsi="TimesNewRomanPSMT" w:cs="TimesNewRomanPSMT"/>
          <w:szCs w:val="24"/>
          <w14:ligatures w14:val="standardContextual"/>
        </w:rPr>
        <w:t> </w:t>
      </w:r>
      <w:r w:rsidR="00BA44E6" w:rsidRPr="007F3B26">
        <w:rPr>
          <w:rFonts w:ascii="TimesNewRomanPSMT" w:hAnsi="TimesNewRomanPSMT" w:cs="TimesNewRomanPSMT"/>
          <w:szCs w:val="24"/>
          <w14:ligatures w14:val="standardContextual"/>
        </w:rPr>
        <w:t>jūnijā pieņemts un 2020.</w:t>
      </w:r>
      <w:r w:rsidR="003C7E12">
        <w:rPr>
          <w:rFonts w:ascii="TimesNewRomanPSMT" w:hAnsi="TimesNewRomanPSMT" w:cs="TimesNewRomanPSMT"/>
          <w:szCs w:val="24"/>
          <w14:ligatures w14:val="standardContextual"/>
        </w:rPr>
        <w:t> </w:t>
      </w:r>
      <w:r w:rsidR="00BA44E6" w:rsidRPr="007F3B26">
        <w:rPr>
          <w:rFonts w:ascii="TimesNewRomanPSMT" w:hAnsi="TimesNewRomanPSMT" w:cs="TimesNewRomanPSMT"/>
          <w:szCs w:val="24"/>
          <w14:ligatures w14:val="standardContextual"/>
        </w:rPr>
        <w:t>gada 10.</w:t>
      </w:r>
      <w:r w:rsidR="003C7E12">
        <w:rPr>
          <w:rFonts w:ascii="TimesNewRomanPSMT" w:hAnsi="TimesNewRomanPSMT" w:cs="TimesNewRomanPSMT"/>
          <w:szCs w:val="24"/>
          <w14:ligatures w14:val="standardContextual"/>
        </w:rPr>
        <w:t> </w:t>
      </w:r>
      <w:r w:rsidR="00BA44E6" w:rsidRPr="007F3B26">
        <w:rPr>
          <w:rFonts w:ascii="TimesNewRomanPSMT" w:hAnsi="TimesNewRomanPSMT" w:cs="TimesNewRomanPSMT"/>
          <w:szCs w:val="24"/>
          <w14:ligatures w14:val="standardContextual"/>
        </w:rPr>
        <w:t>jūnijā stājies spēkā Covid-19 infekcijas izplatības</w:t>
      </w:r>
      <w:r w:rsidR="00BA44E6">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pārvaldības likums, kura 12.</w:t>
      </w:r>
      <w:r w:rsidR="009D2C7F">
        <w:rPr>
          <w:rFonts w:ascii="TimesNewRomanPSMT" w:hAnsi="TimesNewRomanPSMT" w:cs="TimesNewRomanPSMT"/>
          <w:szCs w:val="24"/>
          <w14:ligatures w14:val="standardContextual"/>
        </w:rPr>
        <w:t> </w:t>
      </w:r>
      <w:r w:rsidR="00BA44E6" w:rsidRPr="007F3B26">
        <w:rPr>
          <w:rFonts w:ascii="TimesNewRomanPSMT" w:hAnsi="TimesNewRomanPSMT" w:cs="TimesNewRomanPSMT"/>
          <w:szCs w:val="24"/>
          <w14:ligatures w14:val="standardContextual"/>
        </w:rPr>
        <w:t>panta pirmajā daļā noteikts, ka krimināllietu apelācijas kārtībā var</w:t>
      </w:r>
      <w:r w:rsidR="00BA44E6">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iztiesāt rakstveida procesā arī gadījumos, kas nav minēti Kriminālprocesa likumā. Prokurors vai</w:t>
      </w:r>
      <w:r w:rsidR="00BA44E6">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persona, kuras intereses un tiesības sūdzība vai protests aizskar, var izteikt lūgumu, to pamatojot,</w:t>
      </w:r>
      <w:r w:rsidR="003C7E12">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lietu izskatīt mutvārdu procesā</w:t>
      </w:r>
      <w:r w:rsidR="003C7E12">
        <w:rPr>
          <w:rFonts w:ascii="TimesNewRomanPSMT" w:hAnsi="TimesNewRomanPSMT" w:cs="TimesNewRomanPSMT"/>
          <w:szCs w:val="24"/>
          <w14:ligatures w14:val="standardContextual"/>
        </w:rPr>
        <w:t>.</w:t>
      </w:r>
      <w:r w:rsidR="00AD1472">
        <w:rPr>
          <w:rFonts w:ascii="TimesNewRomanPSMT" w:hAnsi="TimesNewRomanPSMT" w:cs="TimesNewRomanPSMT"/>
          <w:szCs w:val="24"/>
          <w14:ligatures w14:val="standardContextual"/>
        </w:rPr>
        <w:t xml:space="preserve"> </w:t>
      </w:r>
      <w:r w:rsidR="003C7E12" w:rsidRPr="00980683">
        <w:rPr>
          <w:rFonts w:ascii="TimesNewRomanPSMT" w:hAnsi="TimesNewRomanPSMT" w:cs="TimesNewRomanPSMT"/>
          <w:szCs w:val="24"/>
          <w14:ligatures w14:val="standardContextual"/>
        </w:rPr>
        <w:t>Nolūkā nodrošināt sabiedrības, tai skaitā procesā iesaistīto personu veselības vai drošības intereses, kā arī izvērtējot krimināllietas materiālus, iesniegto apelācijas sūdzību un tajā izteikto lūgumu būtību, tiesnesis atzinis par pamatotu konkrēto lietu apelācijas kārtībā iztiesāt rakstveida procesā.</w:t>
      </w:r>
    </w:p>
    <w:p w14:paraId="0FC98775" w14:textId="77777777" w:rsidR="00AD1472" w:rsidRDefault="00684BA4" w:rsidP="00AD1472">
      <w:pPr>
        <w:widowControl w:val="0"/>
        <w:tabs>
          <w:tab w:val="left" w:pos="6096"/>
        </w:tabs>
        <w:spacing w:after="0" w:line="276" w:lineRule="auto"/>
        <w:ind w:firstLine="720"/>
        <w:jc w:val="both"/>
      </w:pPr>
      <w:r w:rsidRPr="00892BDB">
        <w:t>Paziņojumā</w:t>
      </w:r>
      <w:r>
        <w:t xml:space="preserve"> par lietas izskatīšanu rakstveida procesā</w:t>
      </w:r>
      <w:r w:rsidRPr="00892BDB">
        <w:t xml:space="preserve"> tiesa norādījusi, ka</w:t>
      </w:r>
      <w:r>
        <w:t>,</w:t>
      </w:r>
      <w:r w:rsidRPr="00892BDB">
        <w:t xml:space="preserve"> ievērojot Covid</w:t>
      </w:r>
      <w:r>
        <w:t>-1</w:t>
      </w:r>
      <w:r w:rsidRPr="00892BDB">
        <w:t>9 infekcijas izplatības pārvaldības likuma 12. panta pirm</w:t>
      </w:r>
      <w:r>
        <w:t>ajā</w:t>
      </w:r>
      <w:r w:rsidRPr="00892BDB">
        <w:t xml:space="preserve"> daļ</w:t>
      </w:r>
      <w:r>
        <w:t>ā noteikto</w:t>
      </w:r>
      <w:r w:rsidR="00AD1472">
        <w:t>,</w:t>
      </w:r>
      <w:r>
        <w:t xml:space="preserve"> kriminālliet</w:t>
      </w:r>
      <w:r w:rsidR="00AD1472">
        <w:t>a</w:t>
      </w:r>
      <w:r>
        <w:t xml:space="preserve"> apelācijas kārtībā </w:t>
      </w:r>
      <w:r w:rsidR="00AD1472">
        <w:t xml:space="preserve">tiks </w:t>
      </w:r>
      <w:r>
        <w:t>iztiesāt</w:t>
      </w:r>
      <w:r w:rsidR="00AD1472">
        <w:t>a</w:t>
      </w:r>
      <w:r>
        <w:t xml:space="preserve"> rakstveida procesā</w:t>
      </w:r>
      <w:r w:rsidRPr="00892BDB">
        <w:t>.</w:t>
      </w:r>
      <w:r w:rsidR="00AD1472">
        <w:t xml:space="preserve"> </w:t>
      </w:r>
    </w:p>
    <w:p w14:paraId="14841045" w14:textId="27715798" w:rsidR="00AD1472" w:rsidRPr="00C47C0D" w:rsidRDefault="00AD1472" w:rsidP="00C47C0D">
      <w:pPr>
        <w:widowControl w:val="0"/>
        <w:tabs>
          <w:tab w:val="left" w:pos="6096"/>
        </w:tabs>
        <w:spacing w:after="0" w:line="276" w:lineRule="auto"/>
        <w:ind w:firstLine="720"/>
        <w:jc w:val="both"/>
        <w:rPr>
          <w:rFonts w:asciiTheme="majorBidi" w:hAnsiTheme="majorBidi" w:cstheme="majorBidi"/>
          <w:szCs w:val="24"/>
        </w:rPr>
      </w:pPr>
      <w:r>
        <w:t xml:space="preserve">Prokurors </w:t>
      </w:r>
      <w:r w:rsidR="002F5ED0" w:rsidRPr="002F5ED0">
        <w:rPr>
          <w:rFonts w:ascii="TimesNewRomanPSMT" w:hAnsi="TimesNewRomanPSMT" w:cs="TimesNewRomanPSMT"/>
          <w:szCs w:val="24"/>
          <w14:ligatures w14:val="standardContextual"/>
        </w:rPr>
        <w:t xml:space="preserve">Arturs </w:t>
      </w:r>
      <w:proofErr w:type="spellStart"/>
      <w:r w:rsidR="002F5ED0" w:rsidRPr="002F5ED0">
        <w:rPr>
          <w:rFonts w:ascii="TimesNewRomanPSMT" w:hAnsi="TimesNewRomanPSMT" w:cs="TimesNewRomanPSMT"/>
          <w:szCs w:val="24"/>
          <w14:ligatures w14:val="standardContextual"/>
        </w:rPr>
        <w:t>Sudniks</w:t>
      </w:r>
      <w:proofErr w:type="spellEnd"/>
      <w:r w:rsidR="002F5ED0" w:rsidRPr="002F5ED0">
        <w:rPr>
          <w:rFonts w:ascii="TimesNewRomanPSMT" w:hAnsi="TimesNewRomanPSMT" w:cs="TimesNewRomanPSMT"/>
          <w:szCs w:val="24"/>
          <w14:ligatures w14:val="standardContextual"/>
        </w:rPr>
        <w:t xml:space="preserve"> </w:t>
      </w:r>
      <w:r>
        <w:t xml:space="preserve">un apsūdzētā </w:t>
      </w:r>
      <w:r w:rsidR="005D5325">
        <w:rPr>
          <w:rFonts w:asciiTheme="majorBidi" w:hAnsiTheme="majorBidi" w:cstheme="majorBidi"/>
          <w:szCs w:val="24"/>
        </w:rPr>
        <w:t>[pers. A]</w:t>
      </w:r>
      <w:r>
        <w:rPr>
          <w:rFonts w:asciiTheme="majorBidi" w:hAnsiTheme="majorBidi" w:cstheme="majorBidi"/>
          <w:szCs w:val="24"/>
        </w:rPr>
        <w:t xml:space="preserve"> aizstāve zvērināta advokāte Karīna </w:t>
      </w:r>
      <w:proofErr w:type="spellStart"/>
      <w:r>
        <w:rPr>
          <w:rFonts w:asciiTheme="majorBidi" w:hAnsiTheme="majorBidi" w:cstheme="majorBidi"/>
          <w:szCs w:val="24"/>
        </w:rPr>
        <w:t>Džeriņa</w:t>
      </w:r>
      <w:proofErr w:type="spellEnd"/>
      <w:r w:rsidR="00C47C0D">
        <w:rPr>
          <w:rFonts w:asciiTheme="majorBidi" w:hAnsiTheme="majorBidi" w:cstheme="majorBidi"/>
          <w:szCs w:val="24"/>
        </w:rPr>
        <w:t xml:space="preserve"> apelācijas instances tiesai</w:t>
      </w:r>
      <w:proofErr w:type="gramStart"/>
      <w:r w:rsidR="00C47C0D">
        <w:rPr>
          <w:rFonts w:asciiTheme="majorBidi" w:hAnsiTheme="majorBidi" w:cstheme="majorBidi"/>
          <w:szCs w:val="24"/>
        </w:rPr>
        <w:t xml:space="preserve"> </w:t>
      </w:r>
      <w:r>
        <w:rPr>
          <w:rFonts w:asciiTheme="majorBidi" w:hAnsiTheme="majorBidi" w:cstheme="majorBidi"/>
          <w:szCs w:val="24"/>
        </w:rPr>
        <w:t>iesnieguši viedokļus, norādot, ka ne</w:t>
      </w:r>
      <w:r w:rsidRPr="007F3B26">
        <w:rPr>
          <w:rFonts w:ascii="TimesNewRomanPSMT" w:hAnsi="TimesNewRomanPSMT" w:cs="TimesNewRomanPSMT"/>
          <w:szCs w:val="24"/>
          <w14:ligatures w14:val="standardContextual"/>
        </w:rPr>
        <w:t>iebil</w:t>
      </w:r>
      <w:r>
        <w:rPr>
          <w:rFonts w:ascii="TimesNewRomanPSMT" w:hAnsi="TimesNewRomanPSMT" w:cs="TimesNewRomanPSMT"/>
          <w:szCs w:val="24"/>
          <w14:ligatures w14:val="standardContextual"/>
        </w:rPr>
        <w:t xml:space="preserve">st </w:t>
      </w:r>
      <w:r w:rsidRPr="007F3B26">
        <w:rPr>
          <w:rFonts w:ascii="TimesNewRomanPSMT" w:hAnsi="TimesNewRomanPSMT" w:cs="TimesNewRomanPSMT"/>
          <w:szCs w:val="24"/>
          <w14:ligatures w14:val="standardContextual"/>
        </w:rPr>
        <w:t>pret lietas iztiesāšanu rakstveida procesā</w:t>
      </w:r>
      <w:proofErr w:type="gramEnd"/>
      <w:r>
        <w:rPr>
          <w:rFonts w:ascii="TimesNewRomanPSMT" w:hAnsi="TimesNewRomanPSMT" w:cs="TimesNewRomanPSMT"/>
          <w:szCs w:val="24"/>
          <w14:ligatures w14:val="standardContextual"/>
        </w:rPr>
        <w:t>.</w:t>
      </w:r>
    </w:p>
    <w:p w14:paraId="48801091" w14:textId="6517871E" w:rsidR="000F7BA4" w:rsidRDefault="003C61CD" w:rsidP="000F7BA4">
      <w:pPr>
        <w:widowControl w:val="0"/>
        <w:tabs>
          <w:tab w:val="left" w:pos="6096"/>
        </w:tabs>
        <w:spacing w:after="0" w:line="276" w:lineRule="auto"/>
        <w:ind w:firstLine="720"/>
        <w:jc w:val="both"/>
        <w:rPr>
          <w:rFonts w:ascii="TimesNewRomanPSMT" w:hAnsi="TimesNewRomanPSMT" w:cs="TimesNewRomanPSMT"/>
          <w:szCs w:val="24"/>
          <w14:ligatures w14:val="standardContextual"/>
        </w:rPr>
      </w:pPr>
      <w:r>
        <w:rPr>
          <w:rFonts w:ascii="TimesNewRomanPSMT" w:hAnsi="TimesNewRomanPSMT" w:cs="TimesNewRomanPSMT"/>
          <w:szCs w:val="24"/>
          <w14:ligatures w14:val="standardContextual"/>
        </w:rPr>
        <w:t xml:space="preserve">Apelācijas instances tiesa </w:t>
      </w:r>
      <w:r w:rsidR="002F5ED0">
        <w:t>2023.</w:t>
      </w:r>
      <w:r w:rsidR="004D0ECC">
        <w:t> </w:t>
      </w:r>
      <w:r w:rsidR="002F5ED0">
        <w:t>gada 23.</w:t>
      </w:r>
      <w:r w:rsidR="004D0ECC">
        <w:t> </w:t>
      </w:r>
      <w:r w:rsidR="002F5ED0">
        <w:t xml:space="preserve">maija </w:t>
      </w:r>
      <w:r w:rsidR="004D0ECC">
        <w:rPr>
          <w:rFonts w:ascii="TimesNewRomanPSMT" w:hAnsi="TimesNewRomanPSMT" w:cs="TimesNewRomanPSMT"/>
          <w:szCs w:val="24"/>
          <w14:ligatures w14:val="standardContextual"/>
        </w:rPr>
        <w:t>lēmumā</w:t>
      </w:r>
      <w:r w:rsidR="00BA44E6" w:rsidRPr="007F3B26">
        <w:rPr>
          <w:rFonts w:ascii="TimesNewRomanPSMT" w:hAnsi="TimesNewRomanPSMT" w:cs="TimesNewRomanPSMT"/>
          <w:szCs w:val="24"/>
          <w14:ligatures w14:val="standardContextual"/>
        </w:rPr>
        <w:t xml:space="preserve"> konstatē</w:t>
      </w:r>
      <w:r>
        <w:rPr>
          <w:rFonts w:ascii="TimesNewRomanPSMT" w:hAnsi="TimesNewRomanPSMT" w:cs="TimesNewRomanPSMT"/>
          <w:szCs w:val="24"/>
          <w14:ligatures w14:val="standardContextual"/>
        </w:rPr>
        <w:t>jusi</w:t>
      </w:r>
      <w:r w:rsidR="00BA44E6" w:rsidRPr="007F3B26">
        <w:rPr>
          <w:rFonts w:ascii="TimesNewRomanPSMT" w:hAnsi="TimesNewRomanPSMT" w:cs="TimesNewRomanPSMT"/>
          <w:szCs w:val="24"/>
          <w14:ligatures w14:val="standardContextual"/>
        </w:rPr>
        <w:t>, ka prokurors un personas, kuru intereses izskatāmā</w:t>
      </w:r>
      <w:r>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sūdzība aizskar, nav iesnieguši iebildumus pret lietas iztiesāšanu rakstveida procesā, tādējādi atzīstot par iespējamu un pamatotu konkrēto lietu izskatīt rakstveida procesā.</w:t>
      </w:r>
      <w:r>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Ievērojot norādītos apstākļus, tiesisko regulējumu un, izvērtējot iesniegtajā</w:t>
      </w:r>
      <w:r>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apelācijas sūdzībā izteikto lūgumu būtību un krimināllietas materiālus, apelācijas instances tiesa</w:t>
      </w:r>
      <w:r>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atz</w:t>
      </w:r>
      <w:r>
        <w:rPr>
          <w:rFonts w:ascii="TimesNewRomanPSMT" w:hAnsi="TimesNewRomanPSMT" w:cs="TimesNewRomanPSMT"/>
          <w:szCs w:val="24"/>
          <w14:ligatures w14:val="standardContextual"/>
        </w:rPr>
        <w:t xml:space="preserve">inusi </w:t>
      </w:r>
      <w:r w:rsidR="00BA44E6" w:rsidRPr="007F3B26">
        <w:rPr>
          <w:rFonts w:ascii="TimesNewRomanPSMT" w:hAnsi="TimesNewRomanPSMT" w:cs="TimesNewRomanPSMT"/>
          <w:szCs w:val="24"/>
          <w14:ligatures w14:val="standardContextual"/>
        </w:rPr>
        <w:t>par pamatotu un iespējamu krimināllietu apelācijas kārtībā iztiesāt rakstveida procesā saskaņā</w:t>
      </w:r>
      <w:r>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ar lietā esošajiem materiāliem un atbilstoši Covid-19 infekcijas izplatības pārvaldības likuma</w:t>
      </w:r>
      <w:r>
        <w:rPr>
          <w:rFonts w:ascii="TimesNewRomanPSMT" w:hAnsi="TimesNewRomanPSMT" w:cs="TimesNewRomanPSMT"/>
          <w:szCs w:val="24"/>
          <w14:ligatures w14:val="standardContextual"/>
        </w:rPr>
        <w:t xml:space="preserve"> </w:t>
      </w:r>
      <w:r w:rsidR="00BA44E6" w:rsidRPr="007F3B26">
        <w:rPr>
          <w:rFonts w:ascii="TimesNewRomanPSMT" w:hAnsi="TimesNewRomanPSMT" w:cs="TimesNewRomanPSMT"/>
          <w:szCs w:val="24"/>
          <w14:ligatures w14:val="standardContextual"/>
        </w:rPr>
        <w:t>12.</w:t>
      </w:r>
      <w:r>
        <w:rPr>
          <w:rFonts w:ascii="TimesNewRomanPSMT" w:hAnsi="TimesNewRomanPSMT" w:cs="TimesNewRomanPSMT"/>
          <w:szCs w:val="24"/>
          <w14:ligatures w14:val="standardContextual"/>
        </w:rPr>
        <w:t> </w:t>
      </w:r>
      <w:r w:rsidR="00BA44E6" w:rsidRPr="007F3B26">
        <w:rPr>
          <w:rFonts w:ascii="TimesNewRomanPSMT" w:hAnsi="TimesNewRomanPSMT" w:cs="TimesNewRomanPSMT"/>
          <w:szCs w:val="24"/>
          <w14:ligatures w14:val="standardContextual"/>
        </w:rPr>
        <w:t>panta pirmajā daļā un Kriminālprocesa likuma 56</w:t>
      </w:r>
      <w:r w:rsidR="00DB0A17" w:rsidRPr="00ED5CB4">
        <w:rPr>
          <w:shd w:val="clear" w:color="auto" w:fill="FFFFFF"/>
        </w:rPr>
        <w:t>1.</w:t>
      </w:r>
      <w:r w:rsidR="00DB0A17" w:rsidRPr="00ED5CB4">
        <w:rPr>
          <w:shd w:val="clear" w:color="auto" w:fill="FFFFFF"/>
          <w:vertAlign w:val="superscript"/>
        </w:rPr>
        <w:t>1</w:t>
      </w:r>
      <w:r w:rsidR="00DB0A17" w:rsidRPr="00ED5CB4">
        <w:rPr>
          <w:shd w:val="clear" w:color="auto" w:fill="FFFFFF"/>
        </w:rPr>
        <w:t> </w:t>
      </w:r>
      <w:r w:rsidR="00BA44E6" w:rsidRPr="007F3B26">
        <w:rPr>
          <w:rFonts w:ascii="TimesNewRomanPSMT" w:hAnsi="TimesNewRomanPSMT" w:cs="TimesNewRomanPSMT"/>
          <w:szCs w:val="24"/>
          <w14:ligatures w14:val="standardContextual"/>
        </w:rPr>
        <w:t>pantā noteiktajam.</w:t>
      </w:r>
    </w:p>
    <w:p w14:paraId="19C765A6" w14:textId="0C1695E5" w:rsidR="003A70B2" w:rsidRDefault="000F7BA4" w:rsidP="003A70B2">
      <w:pPr>
        <w:widowControl w:val="0"/>
        <w:tabs>
          <w:tab w:val="left" w:pos="6096"/>
        </w:tabs>
        <w:spacing w:after="0" w:line="276" w:lineRule="auto"/>
        <w:ind w:firstLine="720"/>
        <w:jc w:val="both"/>
        <w:rPr>
          <w:rFonts w:asciiTheme="majorBidi" w:hAnsiTheme="majorBidi" w:cstheme="majorBidi"/>
        </w:rPr>
      </w:pPr>
      <w:r>
        <w:rPr>
          <w:rFonts w:ascii="TimesNewRomanPSMT" w:hAnsi="TimesNewRomanPSMT" w:cs="TimesNewRomanPSMT"/>
          <w:szCs w:val="24"/>
          <w14:ligatures w14:val="standardContextual"/>
        </w:rPr>
        <w:t>[</w:t>
      </w:r>
      <w:r w:rsidR="004D0ECC">
        <w:rPr>
          <w:rFonts w:ascii="TimesNewRomanPSMT" w:hAnsi="TimesNewRomanPSMT" w:cs="TimesNewRomanPSMT"/>
          <w:szCs w:val="24"/>
          <w14:ligatures w14:val="standardContextual"/>
        </w:rPr>
        <w:t>4</w:t>
      </w:r>
      <w:r>
        <w:rPr>
          <w:rFonts w:ascii="TimesNewRomanPSMT" w:hAnsi="TimesNewRomanPSMT" w:cs="TimesNewRomanPSMT"/>
          <w:szCs w:val="24"/>
          <w14:ligatures w14:val="standardContextual"/>
        </w:rPr>
        <w:t>.3]</w:t>
      </w:r>
      <w:r w:rsidR="004D0ECC">
        <w:rPr>
          <w:rFonts w:ascii="TimesNewRomanPSMT" w:hAnsi="TimesNewRomanPSMT" w:cs="TimesNewRomanPSMT"/>
          <w:szCs w:val="24"/>
          <w14:ligatures w14:val="standardContextual"/>
        </w:rPr>
        <w:t> </w:t>
      </w:r>
      <w:r w:rsidRPr="00761391">
        <w:rPr>
          <w:rFonts w:asciiTheme="majorBidi" w:hAnsiTheme="majorBidi" w:cstheme="majorBidi"/>
        </w:rPr>
        <w:t>Covid-19 likuma 3.</w:t>
      </w:r>
      <w:r w:rsidR="004D0ECC">
        <w:rPr>
          <w:rFonts w:asciiTheme="majorBidi" w:hAnsiTheme="majorBidi" w:cstheme="majorBidi"/>
        </w:rPr>
        <w:t> </w:t>
      </w:r>
      <w:r w:rsidRPr="00761391">
        <w:rPr>
          <w:rFonts w:asciiTheme="majorBidi" w:hAnsiTheme="majorBidi" w:cstheme="majorBidi"/>
        </w:rPr>
        <w:t>pantā noteikts, ka saskaņā ar šo likumu privātpersonu tiesību ierobežojumus var noteikt vienīgi tad, ja sabiedrības drošības riskus saistībā ar Covid-19 infekcijas izplatību nav iespējams efektīvi novērst, piemērojot vispārējā tiesiskajā kārtībā noteiktos tiesiskos līdzekļus</w:t>
      </w:r>
      <w:r>
        <w:rPr>
          <w:rFonts w:asciiTheme="majorBidi" w:hAnsiTheme="majorBidi" w:cstheme="majorBidi"/>
        </w:rPr>
        <w:t>.</w:t>
      </w:r>
      <w:r w:rsidR="00F44216">
        <w:rPr>
          <w:rFonts w:asciiTheme="majorBidi" w:hAnsiTheme="majorBidi" w:cstheme="majorBidi"/>
        </w:rPr>
        <w:t xml:space="preserve"> </w:t>
      </w:r>
    </w:p>
    <w:p w14:paraId="18C6899C" w14:textId="4C78625E" w:rsidR="003A70B2" w:rsidRPr="00AA0C3E" w:rsidRDefault="003A70B2" w:rsidP="003A70B2">
      <w:pPr>
        <w:widowControl w:val="0"/>
        <w:tabs>
          <w:tab w:val="left" w:pos="6096"/>
        </w:tabs>
        <w:spacing w:after="0" w:line="276" w:lineRule="auto"/>
        <w:ind w:firstLine="720"/>
        <w:jc w:val="both"/>
        <w:rPr>
          <w:rFonts w:eastAsia="Times New Roman" w:cs="Times New Roman"/>
          <w:color w:val="FF0000"/>
          <w:szCs w:val="24"/>
        </w:rPr>
      </w:pPr>
      <w:r w:rsidRPr="005A034B">
        <w:rPr>
          <w:rFonts w:eastAsia="Times New Roman" w:cs="Times New Roman"/>
          <w:color w:val="000000" w:themeColor="text1"/>
          <w:szCs w:val="24"/>
        </w:rPr>
        <w:t>Tādējādi šis likums nevar kalpot par tiesisko pamatu tādu privātpersonu tiesību ierobežojumu noteikšanai, kas nav saistīti ar mērķi ierobežot konkrēti</w:t>
      </w:r>
      <w:r w:rsidR="00AA0C3E">
        <w:rPr>
          <w:rFonts w:eastAsia="Times New Roman" w:cs="Times New Roman"/>
          <w:color w:val="000000" w:themeColor="text1"/>
          <w:szCs w:val="24"/>
        </w:rPr>
        <w:t xml:space="preserve"> </w:t>
      </w:r>
      <w:r w:rsidR="00AA0C3E" w:rsidRPr="00761391">
        <w:rPr>
          <w:rFonts w:asciiTheme="majorBidi" w:hAnsiTheme="majorBidi" w:cstheme="majorBidi"/>
        </w:rPr>
        <w:t>Covid-19 infekcijas izplatību</w:t>
      </w:r>
      <w:r w:rsidR="00AA0C3E">
        <w:rPr>
          <w:rFonts w:asciiTheme="majorBidi" w:hAnsiTheme="majorBidi" w:cstheme="majorBidi"/>
        </w:rPr>
        <w:t>.</w:t>
      </w:r>
      <w:r w:rsidRPr="00AA0C3E">
        <w:rPr>
          <w:rFonts w:eastAsia="Times New Roman" w:cs="Times New Roman"/>
          <w:color w:val="FF0000"/>
          <w:szCs w:val="24"/>
        </w:rPr>
        <w:t xml:space="preserve"> </w:t>
      </w:r>
    </w:p>
    <w:p w14:paraId="26A1884C" w14:textId="6D1164E3" w:rsidR="00F44216" w:rsidRPr="005A034B" w:rsidRDefault="00F44216" w:rsidP="00F44216">
      <w:pPr>
        <w:widowControl w:val="0"/>
        <w:tabs>
          <w:tab w:val="left" w:pos="6096"/>
        </w:tabs>
        <w:spacing w:after="0" w:line="276" w:lineRule="auto"/>
        <w:ind w:firstLine="720"/>
        <w:jc w:val="both"/>
        <w:rPr>
          <w:rFonts w:asciiTheme="majorBidi" w:hAnsiTheme="majorBidi" w:cstheme="majorBidi"/>
          <w:color w:val="000000" w:themeColor="text1"/>
        </w:rPr>
      </w:pPr>
      <w:r w:rsidRPr="005A034B">
        <w:rPr>
          <w:rFonts w:asciiTheme="majorBidi" w:hAnsiTheme="majorBidi" w:cstheme="majorBidi"/>
          <w:color w:val="000000" w:themeColor="text1"/>
        </w:rPr>
        <w:t xml:space="preserve">Tas nozīmē, ja </w:t>
      </w:r>
      <w:r w:rsidR="003A70B2" w:rsidRPr="005A034B">
        <w:rPr>
          <w:rFonts w:eastAsia="Times New Roman" w:cs="Times New Roman"/>
          <w:color w:val="000000" w:themeColor="text1"/>
          <w:szCs w:val="24"/>
        </w:rPr>
        <w:t>nepastāv</w:t>
      </w:r>
      <w:r w:rsidRPr="005A034B">
        <w:rPr>
          <w:rFonts w:asciiTheme="majorBidi" w:hAnsiTheme="majorBidi" w:cstheme="majorBidi"/>
          <w:color w:val="000000" w:themeColor="text1"/>
        </w:rPr>
        <w:t xml:space="preserve"> objektīva nepieciešamība </w:t>
      </w:r>
      <w:r w:rsidR="003A70B2" w:rsidRPr="005A034B">
        <w:rPr>
          <w:rFonts w:asciiTheme="majorBidi" w:hAnsiTheme="majorBidi" w:cstheme="majorBidi"/>
          <w:color w:val="000000" w:themeColor="text1"/>
        </w:rPr>
        <w:t xml:space="preserve">ierobežot </w:t>
      </w:r>
      <w:r w:rsidR="003A70B2" w:rsidRPr="005A034B">
        <w:rPr>
          <w:rFonts w:eastAsia="Times New Roman" w:cs="Times New Roman"/>
          <w:color w:val="000000" w:themeColor="text1"/>
          <w:szCs w:val="24"/>
        </w:rPr>
        <w:t>Covid-19 infekcijas izplatību</w:t>
      </w:r>
      <w:r w:rsidRPr="005A034B">
        <w:rPr>
          <w:rFonts w:asciiTheme="majorBidi" w:hAnsiTheme="majorBidi" w:cstheme="majorBidi"/>
          <w:color w:val="000000" w:themeColor="text1"/>
        </w:rPr>
        <w:t>, tad piemērojama Kriminālprocesa likumā noteiktā procesuālā kārtība.</w:t>
      </w:r>
    </w:p>
    <w:p w14:paraId="2E61396B" w14:textId="7AAB33AF" w:rsidR="000F7BA4" w:rsidRDefault="00684BA4" w:rsidP="00F44216">
      <w:pPr>
        <w:widowControl w:val="0"/>
        <w:tabs>
          <w:tab w:val="left" w:pos="6096"/>
        </w:tabs>
        <w:spacing w:after="0" w:line="276" w:lineRule="auto"/>
        <w:ind w:firstLine="720"/>
        <w:jc w:val="both"/>
      </w:pPr>
      <w:r w:rsidRPr="004B5B84">
        <w:t>Senāts</w:t>
      </w:r>
      <w:r w:rsidR="002F5ED0">
        <w:t xml:space="preserve"> atzīst,</w:t>
      </w:r>
      <w:r w:rsidRPr="004B5B84">
        <w:t xml:space="preserve"> ka izskatāmajā krimināllietā apelācijas instances tiesa nav pamatojusi, </w:t>
      </w:r>
      <w:r w:rsidR="00613DC1" w:rsidRPr="004B5B84">
        <w:t xml:space="preserve">kāpēc konkrētajos apstākļos </w:t>
      </w:r>
      <w:r w:rsidR="00613DC1">
        <w:t>bija</w:t>
      </w:r>
      <w:r w:rsidR="00613DC1" w:rsidRPr="004B5B84">
        <w:t xml:space="preserve"> nepieciešams rakstveida process kā izņēmums</w:t>
      </w:r>
      <w:r w:rsidR="00613DC1">
        <w:t xml:space="preserve">. Tiesa pretēji </w:t>
      </w:r>
      <w:r w:rsidR="00613DC1">
        <w:rPr>
          <w:rStyle w:val="Emphasis"/>
          <w:i w:val="0"/>
          <w:iCs w:val="0"/>
        </w:rPr>
        <w:t xml:space="preserve">Covid-19 likuma 1. panta trešajā daļā noteiktajam </w:t>
      </w:r>
      <w:r w:rsidR="002F5ED0">
        <w:t xml:space="preserve">nav </w:t>
      </w:r>
      <w:r w:rsidR="002F5ED0" w:rsidRPr="00ED5CB4">
        <w:t>izvērtēj</w:t>
      </w:r>
      <w:r w:rsidR="002F5ED0">
        <w:t>usi</w:t>
      </w:r>
      <w:r w:rsidR="002F5ED0" w:rsidRPr="00ED5CB4">
        <w:t xml:space="preserve"> Covid-19 infekcijas izplatības draudus</w:t>
      </w:r>
      <w:r w:rsidR="002F5ED0">
        <w:t xml:space="preserve">, </w:t>
      </w:r>
      <w:r w:rsidR="00613DC1">
        <w:rPr>
          <w:rStyle w:val="Emphasis"/>
          <w:i w:val="0"/>
          <w:iCs w:val="0"/>
        </w:rPr>
        <w:t>nav norādījusi</w:t>
      </w:r>
      <w:r w:rsidR="00613DC1">
        <w:t xml:space="preserve">, </w:t>
      </w:r>
      <w:r w:rsidR="00613DC1">
        <w:rPr>
          <w:rStyle w:val="Emphasis"/>
          <w:i w:val="0"/>
          <w:iCs w:val="0"/>
        </w:rPr>
        <w:t xml:space="preserve">ka </w:t>
      </w:r>
      <w:r w:rsidR="00613DC1" w:rsidRPr="00ED5CB4">
        <w:t>nav citu alternatīvu pasākumu, kas efektīvi aizsargā</w:t>
      </w:r>
      <w:r w:rsidR="00613DC1">
        <w:t>tu</w:t>
      </w:r>
      <w:r w:rsidR="00613DC1" w:rsidRPr="00ED5CB4">
        <w:t xml:space="preserve"> sabiedrības veselību un drošību</w:t>
      </w:r>
      <w:r w:rsidR="00613DC1">
        <w:t xml:space="preserve">, </w:t>
      </w:r>
      <w:r w:rsidR="00AA0C3E">
        <w:t xml:space="preserve">un </w:t>
      </w:r>
      <w:r w:rsidR="00613DC1">
        <w:t>nav izvērtējusi samērīgumu personas tiesību uz taisnīgu tiesu ierobežošanai.</w:t>
      </w:r>
    </w:p>
    <w:p w14:paraId="26D49334" w14:textId="347ABFBC" w:rsidR="000F7BA4" w:rsidRDefault="002F5ED0" w:rsidP="00B578DD">
      <w:pPr>
        <w:widowControl w:val="0"/>
        <w:tabs>
          <w:tab w:val="left" w:pos="6096"/>
        </w:tabs>
        <w:spacing w:after="0" w:line="276" w:lineRule="auto"/>
        <w:ind w:firstLine="720"/>
        <w:jc w:val="both"/>
        <w:rPr>
          <w:rFonts w:cs="Times New Roman"/>
          <w:szCs w:val="24"/>
        </w:rPr>
      </w:pPr>
      <w:r>
        <w:rPr>
          <w:rFonts w:ascii="TimesNewRomanPSMT" w:hAnsi="TimesNewRomanPSMT" w:cs="TimesNewRomanPSMT"/>
          <w:szCs w:val="24"/>
          <w14:ligatures w14:val="standardContextual"/>
        </w:rPr>
        <w:t>[</w:t>
      </w:r>
      <w:r w:rsidR="004D0ECC">
        <w:rPr>
          <w:rFonts w:ascii="TimesNewRomanPSMT" w:hAnsi="TimesNewRomanPSMT" w:cs="TimesNewRomanPSMT"/>
          <w:szCs w:val="24"/>
          <w14:ligatures w14:val="standardContextual"/>
        </w:rPr>
        <w:t>4</w:t>
      </w:r>
      <w:r>
        <w:rPr>
          <w:rFonts w:ascii="TimesNewRomanPSMT" w:hAnsi="TimesNewRomanPSMT" w:cs="TimesNewRomanPSMT"/>
          <w:szCs w:val="24"/>
          <w14:ligatures w14:val="standardContextual"/>
        </w:rPr>
        <w:t>.</w:t>
      </w:r>
      <w:r w:rsidR="000F7BA4">
        <w:rPr>
          <w:rFonts w:ascii="TimesNewRomanPSMT" w:hAnsi="TimesNewRomanPSMT" w:cs="TimesNewRomanPSMT"/>
          <w:szCs w:val="24"/>
          <w14:ligatures w14:val="standardContextual"/>
        </w:rPr>
        <w:t>4</w:t>
      </w:r>
      <w:r>
        <w:rPr>
          <w:rFonts w:ascii="TimesNewRomanPSMT" w:hAnsi="TimesNewRomanPSMT" w:cs="TimesNewRomanPSMT"/>
          <w:szCs w:val="24"/>
          <w14:ligatures w14:val="standardContextual"/>
        </w:rPr>
        <w:t>]</w:t>
      </w:r>
      <w:r w:rsidR="004D0ECC">
        <w:t> </w:t>
      </w:r>
      <w:r w:rsidR="000F7BA4" w:rsidRPr="0066361A">
        <w:rPr>
          <w:rFonts w:cs="Times New Roman"/>
          <w:szCs w:val="24"/>
        </w:rPr>
        <w:t xml:space="preserve">Saskaņā </w:t>
      </w:r>
      <w:r w:rsidR="00B578DD">
        <w:rPr>
          <w:rFonts w:cs="Times New Roman"/>
          <w:szCs w:val="24"/>
        </w:rPr>
        <w:t>Konvencijas</w:t>
      </w:r>
      <w:r w:rsidR="00C47C0D">
        <w:rPr>
          <w:rFonts w:cs="Times New Roman"/>
          <w:szCs w:val="24"/>
        </w:rPr>
        <w:t xml:space="preserve"> </w:t>
      </w:r>
      <w:r w:rsidR="000F7BA4" w:rsidRPr="0066361A">
        <w:rPr>
          <w:rFonts w:cs="Times New Roman"/>
          <w:szCs w:val="24"/>
        </w:rPr>
        <w:t>6.</w:t>
      </w:r>
      <w:r w:rsidR="000F7BA4">
        <w:rPr>
          <w:rFonts w:cs="Times New Roman"/>
          <w:szCs w:val="24"/>
        </w:rPr>
        <w:t> </w:t>
      </w:r>
      <w:r w:rsidR="000F7BA4" w:rsidRPr="0066361A">
        <w:rPr>
          <w:rFonts w:cs="Times New Roman"/>
          <w:szCs w:val="24"/>
        </w:rPr>
        <w:t xml:space="preserve">panta pirmo daļu ikvienam ir tiesības, nosakot civilo tiesību un pienākumu vai viņam izvirzītās apsūdzības pamatotību, uz taisnīgu un atklātu lietas savlaicīgu izskatīšanu neatkarīgā un objektīvā likumā noteiktā tiesā. </w:t>
      </w:r>
      <w:r w:rsidR="000F7BA4" w:rsidRPr="0066361A">
        <w:rPr>
          <w:rFonts w:cs="Times New Roman"/>
          <w:bCs/>
          <w:szCs w:val="24"/>
        </w:rPr>
        <w:t>Latvijas Republikas Satversmes 92.</w:t>
      </w:r>
      <w:r w:rsidR="000F7BA4">
        <w:rPr>
          <w:rFonts w:cs="Times New Roman"/>
          <w:bCs/>
          <w:szCs w:val="24"/>
        </w:rPr>
        <w:t> </w:t>
      </w:r>
      <w:r w:rsidR="000F7BA4" w:rsidRPr="0066361A">
        <w:rPr>
          <w:rFonts w:cs="Times New Roman"/>
          <w:bCs/>
          <w:szCs w:val="24"/>
        </w:rPr>
        <w:t>pantā noteikts, ka i</w:t>
      </w:r>
      <w:r w:rsidR="000F7BA4" w:rsidRPr="0066361A">
        <w:rPr>
          <w:rFonts w:cs="Times New Roman"/>
          <w:szCs w:val="24"/>
        </w:rPr>
        <w:t>kviens var aizstāvēt savas tiesības un likumiskās intereses taisnīgā tiesā. Savukārt Kriminālprocesa likuma 15.</w:t>
      </w:r>
      <w:r w:rsidR="000F7BA4">
        <w:rPr>
          <w:rFonts w:cs="Times New Roman"/>
          <w:szCs w:val="24"/>
        </w:rPr>
        <w:t> </w:t>
      </w:r>
      <w:r w:rsidR="000F7BA4" w:rsidRPr="0066361A">
        <w:rPr>
          <w:rFonts w:cs="Times New Roman"/>
          <w:szCs w:val="24"/>
        </w:rPr>
        <w:t xml:space="preserve">pantā nostiprināts viens no kriminālprocesa pamatprincipiem, kas noteic, ka ikvienam ir tiesības uz lietas izskatīšanu taisnīgā, objektīvā un neatkarīgā tiesā. </w:t>
      </w:r>
    </w:p>
    <w:p w14:paraId="47234601" w14:textId="7A62E495" w:rsidR="000F7BA4" w:rsidRDefault="000F7BA4" w:rsidP="00EC57B4">
      <w:pPr>
        <w:spacing w:after="0"/>
        <w:ind w:firstLine="709"/>
        <w:jc w:val="both"/>
        <w:rPr>
          <w:rFonts w:cs="Times New Roman"/>
          <w:i/>
          <w:szCs w:val="24"/>
        </w:rPr>
      </w:pPr>
      <w:r w:rsidRPr="0066361A">
        <w:rPr>
          <w:rFonts w:cs="Times New Roman"/>
          <w:szCs w:val="24"/>
        </w:rPr>
        <w:t>Eiropas Cilvēktiesību tiesas judikatūrā, analizējot lietu izskatīšanu mutvārdu vai rakstveida procesā no tiesību uz taisnīgu tiesu viedokļa, atzīts, ka pēc vispārējā principa, ja persona vēlas lietas izskatīšanu mutvārdu procesā, tai šāda iespēja ir jānodrošina vienā instancē, kas izskata lietu pēc būtības</w:t>
      </w:r>
      <w:r>
        <w:rPr>
          <w:rFonts w:cs="Times New Roman"/>
          <w:szCs w:val="24"/>
        </w:rPr>
        <w:t xml:space="preserve"> </w:t>
      </w:r>
      <w:proofErr w:type="gramStart"/>
      <w:r w:rsidRPr="0066361A">
        <w:rPr>
          <w:rFonts w:cs="Times New Roman"/>
          <w:szCs w:val="24"/>
        </w:rPr>
        <w:t>(</w:t>
      </w:r>
      <w:proofErr w:type="gramEnd"/>
      <w:r w:rsidRPr="0066361A">
        <w:rPr>
          <w:rFonts w:cs="Times New Roman"/>
          <w:i/>
          <w:szCs w:val="24"/>
        </w:rPr>
        <w:t>Eiropas Cilvēktiesību tiesas 1994.</w:t>
      </w:r>
      <w:r w:rsidR="004D0ECC">
        <w:rPr>
          <w:rFonts w:cs="Times New Roman"/>
          <w:i/>
          <w:szCs w:val="24"/>
        </w:rPr>
        <w:t> </w:t>
      </w:r>
      <w:r w:rsidRPr="0066361A">
        <w:rPr>
          <w:rFonts w:cs="Times New Roman"/>
          <w:i/>
          <w:szCs w:val="24"/>
        </w:rPr>
        <w:t>gada 23.</w:t>
      </w:r>
      <w:r w:rsidR="004D0ECC">
        <w:rPr>
          <w:rFonts w:cs="Times New Roman"/>
          <w:i/>
          <w:szCs w:val="24"/>
        </w:rPr>
        <w:t> </w:t>
      </w:r>
      <w:r w:rsidRPr="0066361A">
        <w:rPr>
          <w:rFonts w:cs="Times New Roman"/>
          <w:i/>
          <w:szCs w:val="24"/>
        </w:rPr>
        <w:t>februāra spriedums lietā ,,</w:t>
      </w:r>
      <w:proofErr w:type="spellStart"/>
      <w:r w:rsidRPr="0066361A">
        <w:rPr>
          <w:rFonts w:cs="Times New Roman"/>
          <w:i/>
          <w:szCs w:val="24"/>
        </w:rPr>
        <w:t>Fredin</w:t>
      </w:r>
      <w:proofErr w:type="spellEnd"/>
      <w:r w:rsidRPr="0066361A">
        <w:rPr>
          <w:rFonts w:cs="Times New Roman"/>
          <w:i/>
          <w:szCs w:val="24"/>
        </w:rPr>
        <w:t xml:space="preserve"> v. </w:t>
      </w:r>
      <w:proofErr w:type="spellStart"/>
      <w:r w:rsidRPr="0066361A">
        <w:rPr>
          <w:rFonts w:cs="Times New Roman"/>
          <w:i/>
          <w:szCs w:val="24"/>
        </w:rPr>
        <w:t>Sweden</w:t>
      </w:r>
      <w:proofErr w:type="spellEnd"/>
      <w:r w:rsidRPr="0066361A">
        <w:rPr>
          <w:rFonts w:cs="Times New Roman"/>
          <w:i/>
          <w:szCs w:val="24"/>
        </w:rPr>
        <w:t xml:space="preserve">”, iesniegums </w:t>
      </w:r>
      <w:hyperlink r:id="rId11" w:anchor="{%22tabview%22:[%22document%22],%22itemid%22:[%22001-62424%22]}" w:history="1">
        <w:r w:rsidRPr="005A034B">
          <w:rPr>
            <w:rStyle w:val="Hyperlink"/>
            <w:rFonts w:cs="Times New Roman"/>
            <w:i/>
            <w:color w:val="000000" w:themeColor="text1"/>
            <w:szCs w:val="24"/>
            <w:u w:val="none"/>
          </w:rPr>
          <w:t>Nr</w:t>
        </w:r>
        <w:r w:rsidRPr="00EC57B4">
          <w:rPr>
            <w:rStyle w:val="Hyperlink"/>
            <w:rFonts w:cs="Times New Roman"/>
            <w:i/>
            <w:color w:val="000000" w:themeColor="text1"/>
            <w:szCs w:val="24"/>
            <w:u w:val="none"/>
          </w:rPr>
          <w:t>.</w:t>
        </w:r>
        <w:r w:rsidRPr="00822187">
          <w:rPr>
            <w:rStyle w:val="Hyperlink"/>
            <w:rFonts w:cs="Times New Roman"/>
            <w:i/>
            <w:szCs w:val="24"/>
          </w:rPr>
          <w:t> 18928/91</w:t>
        </w:r>
      </w:hyperlink>
      <w:r>
        <w:rPr>
          <w:rFonts w:cs="Times New Roman"/>
          <w:i/>
          <w:szCs w:val="24"/>
        </w:rPr>
        <w:t>;</w:t>
      </w:r>
      <w:r w:rsidRPr="0066361A">
        <w:rPr>
          <w:rFonts w:cs="Times New Roman"/>
          <w:i/>
          <w:szCs w:val="24"/>
        </w:rPr>
        <w:t xml:space="preserve"> 1996.</w:t>
      </w:r>
      <w:r w:rsidR="004D0ECC">
        <w:rPr>
          <w:rFonts w:cs="Times New Roman"/>
          <w:i/>
          <w:szCs w:val="24"/>
        </w:rPr>
        <w:t> </w:t>
      </w:r>
      <w:r w:rsidRPr="0066361A">
        <w:rPr>
          <w:rFonts w:cs="Times New Roman"/>
          <w:i/>
          <w:szCs w:val="24"/>
        </w:rPr>
        <w:t>gada 19.</w:t>
      </w:r>
      <w:r w:rsidR="004D0ECC">
        <w:rPr>
          <w:rFonts w:cs="Times New Roman"/>
          <w:i/>
          <w:szCs w:val="24"/>
        </w:rPr>
        <w:t> </w:t>
      </w:r>
      <w:r w:rsidRPr="0066361A">
        <w:rPr>
          <w:rFonts w:cs="Times New Roman"/>
          <w:i/>
          <w:szCs w:val="24"/>
        </w:rPr>
        <w:t>februāra spriedums lietā ,,</w:t>
      </w:r>
      <w:proofErr w:type="spellStart"/>
      <w:r w:rsidRPr="0066361A">
        <w:rPr>
          <w:rFonts w:cs="Times New Roman"/>
          <w:i/>
          <w:szCs w:val="24"/>
        </w:rPr>
        <w:t>Botten</w:t>
      </w:r>
      <w:proofErr w:type="spellEnd"/>
      <w:r w:rsidRPr="0066361A">
        <w:rPr>
          <w:rFonts w:cs="Times New Roman"/>
          <w:i/>
          <w:szCs w:val="24"/>
        </w:rPr>
        <w:t xml:space="preserve"> v. </w:t>
      </w:r>
      <w:proofErr w:type="spellStart"/>
      <w:r w:rsidRPr="0066361A">
        <w:rPr>
          <w:rFonts w:cs="Times New Roman"/>
          <w:i/>
          <w:szCs w:val="24"/>
        </w:rPr>
        <w:t>Norway</w:t>
      </w:r>
      <w:proofErr w:type="spellEnd"/>
      <w:r w:rsidRPr="0066361A">
        <w:rPr>
          <w:rFonts w:cs="Times New Roman"/>
          <w:i/>
          <w:szCs w:val="24"/>
        </w:rPr>
        <w:t xml:space="preserve">”, iesniegums </w:t>
      </w:r>
      <w:hyperlink r:id="rId12" w:anchor="{%22tabview%22:[%22document%22],%22itemid%22:[%22001-57970%22]}" w:history="1">
        <w:r w:rsidRPr="00EC57B4">
          <w:rPr>
            <w:rStyle w:val="Hyperlink"/>
            <w:rFonts w:cs="Times New Roman"/>
            <w:i/>
            <w:color w:val="000000" w:themeColor="text1"/>
            <w:szCs w:val="24"/>
            <w:u w:val="none"/>
          </w:rPr>
          <w:t>Nr. </w:t>
        </w:r>
        <w:r w:rsidRPr="00822187">
          <w:rPr>
            <w:rStyle w:val="Hyperlink"/>
            <w:rFonts w:cs="Times New Roman"/>
            <w:i/>
            <w:szCs w:val="24"/>
          </w:rPr>
          <w:t>16206/90</w:t>
        </w:r>
      </w:hyperlink>
      <w:r>
        <w:rPr>
          <w:rFonts w:cs="Times New Roman"/>
          <w:i/>
          <w:szCs w:val="24"/>
        </w:rPr>
        <w:t>;</w:t>
      </w:r>
      <w:r w:rsidRPr="0066361A">
        <w:rPr>
          <w:rFonts w:cs="Times New Roman"/>
          <w:i/>
          <w:szCs w:val="24"/>
        </w:rPr>
        <w:t xml:space="preserve"> 1996.</w:t>
      </w:r>
      <w:r w:rsidR="004D0ECC">
        <w:rPr>
          <w:rFonts w:cs="Times New Roman"/>
          <w:i/>
          <w:szCs w:val="24"/>
        </w:rPr>
        <w:t> </w:t>
      </w:r>
      <w:r w:rsidRPr="0066361A">
        <w:rPr>
          <w:rFonts w:cs="Times New Roman"/>
          <w:i/>
          <w:szCs w:val="24"/>
        </w:rPr>
        <w:t>gada 22.</w:t>
      </w:r>
      <w:r w:rsidR="004D0ECC">
        <w:rPr>
          <w:rFonts w:cs="Times New Roman"/>
          <w:i/>
          <w:szCs w:val="24"/>
        </w:rPr>
        <w:t> </w:t>
      </w:r>
      <w:r w:rsidRPr="0066361A">
        <w:rPr>
          <w:rFonts w:cs="Times New Roman"/>
          <w:i/>
          <w:szCs w:val="24"/>
        </w:rPr>
        <w:t>februāra spriedums lietā ,,</w:t>
      </w:r>
      <w:proofErr w:type="spellStart"/>
      <w:r w:rsidRPr="0066361A">
        <w:rPr>
          <w:rFonts w:cs="Times New Roman"/>
          <w:i/>
          <w:szCs w:val="24"/>
        </w:rPr>
        <w:t>Bulut</w:t>
      </w:r>
      <w:proofErr w:type="spellEnd"/>
      <w:r w:rsidRPr="0066361A">
        <w:rPr>
          <w:rFonts w:cs="Times New Roman"/>
          <w:i/>
          <w:szCs w:val="24"/>
        </w:rPr>
        <w:t xml:space="preserve"> v. </w:t>
      </w:r>
      <w:proofErr w:type="spellStart"/>
      <w:r w:rsidRPr="0066361A">
        <w:rPr>
          <w:rFonts w:cs="Times New Roman"/>
          <w:i/>
          <w:szCs w:val="24"/>
        </w:rPr>
        <w:t>Austria</w:t>
      </w:r>
      <w:proofErr w:type="spellEnd"/>
      <w:r w:rsidRPr="0066361A">
        <w:rPr>
          <w:rFonts w:cs="Times New Roman"/>
          <w:i/>
          <w:szCs w:val="24"/>
        </w:rPr>
        <w:t xml:space="preserve">”, iesniegums </w:t>
      </w:r>
      <w:hyperlink r:id="rId13" w:anchor="{%22tabview%22:[%22document%22],%22itemid%22:[%22001-57971%22]}" w:history="1">
        <w:r w:rsidRPr="00EC57B4">
          <w:rPr>
            <w:rStyle w:val="Hyperlink"/>
            <w:rFonts w:cs="Times New Roman"/>
            <w:i/>
            <w:color w:val="000000" w:themeColor="text1"/>
            <w:szCs w:val="24"/>
            <w:u w:val="none"/>
          </w:rPr>
          <w:t>Nr.</w:t>
        </w:r>
        <w:r w:rsidRPr="00822187">
          <w:rPr>
            <w:rStyle w:val="Hyperlink"/>
            <w:rFonts w:cs="Times New Roman"/>
            <w:i/>
            <w:szCs w:val="24"/>
          </w:rPr>
          <w:t> 17358/90</w:t>
        </w:r>
      </w:hyperlink>
      <w:r>
        <w:rPr>
          <w:rFonts w:cs="Times New Roman"/>
          <w:i/>
          <w:szCs w:val="24"/>
        </w:rPr>
        <w:t>;</w:t>
      </w:r>
      <w:r w:rsidRPr="0066361A">
        <w:rPr>
          <w:rFonts w:cs="Times New Roman"/>
          <w:i/>
          <w:szCs w:val="24"/>
        </w:rPr>
        <w:t xml:space="preserve"> 2002.</w:t>
      </w:r>
      <w:r w:rsidR="004D0ECC">
        <w:rPr>
          <w:rFonts w:cs="Times New Roman"/>
          <w:i/>
          <w:szCs w:val="24"/>
        </w:rPr>
        <w:t> </w:t>
      </w:r>
      <w:r w:rsidRPr="0066361A">
        <w:rPr>
          <w:rFonts w:cs="Times New Roman"/>
          <w:i/>
          <w:szCs w:val="24"/>
        </w:rPr>
        <w:t>gada 12.</w:t>
      </w:r>
      <w:r w:rsidR="004D0ECC">
        <w:rPr>
          <w:rFonts w:cs="Times New Roman"/>
          <w:i/>
          <w:szCs w:val="24"/>
        </w:rPr>
        <w:t> </w:t>
      </w:r>
      <w:r w:rsidRPr="0066361A">
        <w:rPr>
          <w:rFonts w:cs="Times New Roman"/>
          <w:i/>
          <w:szCs w:val="24"/>
        </w:rPr>
        <w:t>novembra spriedums lietā ,,</w:t>
      </w:r>
      <w:proofErr w:type="spellStart"/>
      <w:r w:rsidRPr="0066361A">
        <w:rPr>
          <w:rFonts w:cs="Times New Roman"/>
          <w:i/>
          <w:szCs w:val="24"/>
        </w:rPr>
        <w:t>Döry</w:t>
      </w:r>
      <w:proofErr w:type="spellEnd"/>
      <w:r w:rsidRPr="0066361A">
        <w:rPr>
          <w:rFonts w:cs="Times New Roman"/>
          <w:i/>
          <w:szCs w:val="24"/>
        </w:rPr>
        <w:t xml:space="preserve"> v. </w:t>
      </w:r>
      <w:proofErr w:type="spellStart"/>
      <w:r w:rsidRPr="0066361A">
        <w:rPr>
          <w:rFonts w:cs="Times New Roman"/>
          <w:i/>
          <w:szCs w:val="24"/>
        </w:rPr>
        <w:t>Sweden</w:t>
      </w:r>
      <w:proofErr w:type="spellEnd"/>
      <w:r w:rsidRPr="0066361A">
        <w:rPr>
          <w:rFonts w:cs="Times New Roman"/>
          <w:i/>
          <w:szCs w:val="24"/>
        </w:rPr>
        <w:t xml:space="preserve">”, iesniegums </w:t>
      </w:r>
      <w:hyperlink r:id="rId14" w:anchor="{%22tabview%22:[%22document%22],%22itemid%22:[%22001-60737%22]}" w:history="1">
        <w:r w:rsidRPr="00EC57B4">
          <w:rPr>
            <w:rStyle w:val="Hyperlink"/>
            <w:rFonts w:cs="Times New Roman"/>
            <w:i/>
            <w:color w:val="000000" w:themeColor="text1"/>
            <w:szCs w:val="24"/>
            <w:u w:val="none"/>
          </w:rPr>
          <w:t>Nr.</w:t>
        </w:r>
        <w:r w:rsidRPr="00822187">
          <w:rPr>
            <w:rStyle w:val="Hyperlink"/>
            <w:rFonts w:cs="Times New Roman"/>
            <w:i/>
            <w:szCs w:val="24"/>
          </w:rPr>
          <w:t> 28394/95</w:t>
        </w:r>
      </w:hyperlink>
      <w:r w:rsidRPr="0066361A">
        <w:rPr>
          <w:rFonts w:cs="Times New Roman"/>
          <w:szCs w:val="24"/>
        </w:rPr>
        <w:t>)</w:t>
      </w:r>
      <w:r w:rsidRPr="0066361A">
        <w:rPr>
          <w:rFonts w:cs="Times New Roman"/>
          <w:i/>
          <w:szCs w:val="24"/>
        </w:rPr>
        <w:t xml:space="preserve">. </w:t>
      </w:r>
    </w:p>
    <w:p w14:paraId="3992DF50" w14:textId="77777777" w:rsidR="00B578DD" w:rsidRDefault="000F7BA4" w:rsidP="00B578DD">
      <w:pPr>
        <w:spacing w:after="0"/>
        <w:ind w:firstLine="709"/>
        <w:jc w:val="both"/>
        <w:rPr>
          <w:rFonts w:cs="Times New Roman"/>
          <w:i/>
          <w:szCs w:val="24"/>
        </w:rPr>
      </w:pPr>
      <w:r w:rsidRPr="0066361A">
        <w:rPr>
          <w:rFonts w:cs="Times New Roman"/>
          <w:bCs/>
          <w:szCs w:val="24"/>
        </w:rPr>
        <w:t xml:space="preserve">Latvijas Republikas Satversmes VIII nodaļas komentāros norādīts, ka tiesības uz taisnīgu tiesu negarantē mutvārdu procesu jebkura ar lietu saistīta jautājuma izlemšanā, bet gan tikai lietas izskatīšanā pēc būtības. Pēc vispārējā principa tiesā vismaz vienā instancē, kas lietu skata pēc būtības, ir jānodrošina personai tiesības uz mutvārdu procesu, ja viņa to lūdz </w:t>
      </w:r>
      <w:proofErr w:type="gramStart"/>
      <w:r w:rsidRPr="00822187">
        <w:rPr>
          <w:rFonts w:cs="Times New Roman"/>
          <w:iCs/>
          <w:szCs w:val="24"/>
        </w:rPr>
        <w:t>(</w:t>
      </w:r>
      <w:proofErr w:type="gramEnd"/>
      <w:r w:rsidRPr="0066361A">
        <w:rPr>
          <w:rFonts w:cs="Times New Roman"/>
          <w:i/>
          <w:szCs w:val="24"/>
        </w:rPr>
        <w:t xml:space="preserve">Latvijas Republikas Satversmes komentāri. VIII nodaļa. Cilvēka pamattiesības. Autoru kolektīvs prof. R. Baloža zinātniskā vadībā. Rīga: Latvijas </w:t>
      </w:r>
      <w:r w:rsidRPr="00F44216">
        <w:rPr>
          <w:rFonts w:cs="Times New Roman"/>
          <w:i/>
          <w:szCs w:val="24"/>
        </w:rPr>
        <w:t>Vēstnesis, 2011, 137.lpp.</w:t>
      </w:r>
      <w:r w:rsidRPr="00822187">
        <w:rPr>
          <w:rFonts w:cs="Times New Roman"/>
          <w:iCs/>
          <w:szCs w:val="24"/>
        </w:rPr>
        <w:t>)</w:t>
      </w:r>
      <w:r w:rsidRPr="00F44216">
        <w:rPr>
          <w:rFonts w:cs="Times New Roman"/>
          <w:i/>
          <w:szCs w:val="24"/>
        </w:rPr>
        <w:t xml:space="preserve">. </w:t>
      </w:r>
    </w:p>
    <w:p w14:paraId="04078A9C" w14:textId="58EDF407" w:rsidR="00B578DD" w:rsidRPr="00B578DD" w:rsidRDefault="00B578DD" w:rsidP="00B578DD">
      <w:pPr>
        <w:spacing w:after="0"/>
        <w:ind w:firstLine="709"/>
        <w:jc w:val="both"/>
        <w:rPr>
          <w:rFonts w:asciiTheme="majorBidi" w:hAnsiTheme="majorBidi" w:cstheme="majorBidi"/>
          <w:spacing w:val="3"/>
          <w:szCs w:val="24"/>
        </w:rPr>
      </w:pPr>
      <w:r>
        <w:rPr>
          <w:rFonts w:asciiTheme="majorBidi" w:hAnsiTheme="majorBidi" w:cstheme="majorBidi"/>
          <w:szCs w:val="24"/>
          <w:shd w:val="clear" w:color="auto" w:fill="FFFFFF"/>
        </w:rPr>
        <w:t xml:space="preserve">Senāts vērš uzmanību </w:t>
      </w:r>
      <w:r w:rsidRPr="001B0353">
        <w:rPr>
          <w:rFonts w:asciiTheme="majorBidi" w:hAnsiTheme="majorBidi" w:cstheme="majorBidi"/>
          <w:szCs w:val="24"/>
          <w:shd w:val="clear" w:color="auto" w:fill="FFFFFF"/>
        </w:rPr>
        <w:t>Satversmes</w:t>
      </w:r>
      <w:r>
        <w:rPr>
          <w:rFonts w:asciiTheme="majorBidi" w:hAnsiTheme="majorBidi" w:cstheme="majorBidi"/>
          <w:szCs w:val="24"/>
          <w:shd w:val="clear" w:color="auto" w:fill="FFFFFF"/>
        </w:rPr>
        <w:t xml:space="preserve"> t</w:t>
      </w:r>
      <w:r w:rsidRPr="001B0353">
        <w:rPr>
          <w:rFonts w:asciiTheme="majorBidi" w:hAnsiTheme="majorBidi" w:cstheme="majorBidi"/>
          <w:szCs w:val="24"/>
          <w:shd w:val="clear" w:color="auto" w:fill="FFFFFF"/>
        </w:rPr>
        <w:t>iesas</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judikatūrā</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nostiprināta</w:t>
      </w:r>
      <w:r>
        <w:rPr>
          <w:rFonts w:asciiTheme="majorBidi" w:hAnsiTheme="majorBidi" w:cstheme="majorBidi"/>
          <w:szCs w:val="24"/>
          <w:shd w:val="clear" w:color="auto" w:fill="FFFFFF"/>
        </w:rPr>
        <w:t xml:space="preserve">jai </w:t>
      </w:r>
      <w:r w:rsidRPr="001B0353">
        <w:rPr>
          <w:rFonts w:asciiTheme="majorBidi" w:hAnsiTheme="majorBidi" w:cstheme="majorBidi"/>
          <w:szCs w:val="24"/>
          <w:shd w:val="clear" w:color="auto" w:fill="FFFFFF"/>
        </w:rPr>
        <w:t>atziņa</w:t>
      </w:r>
      <w:r>
        <w:rPr>
          <w:rFonts w:asciiTheme="majorBidi" w:hAnsiTheme="majorBidi" w:cstheme="majorBidi"/>
          <w:szCs w:val="24"/>
          <w:shd w:val="clear" w:color="auto" w:fill="FFFFFF"/>
        </w:rPr>
        <w:t>i</w:t>
      </w:r>
      <w:r w:rsidRPr="001B0353">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ka</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likumdevējam</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ir</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plaša</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rīcības</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brīvība</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pieņemt</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procesuālos</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likumus</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un</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gan</w:t>
      </w:r>
      <w:r>
        <w:rPr>
          <w:rFonts w:asciiTheme="majorBidi" w:hAnsiTheme="majorBidi" w:cstheme="majorBidi"/>
          <w:szCs w:val="24"/>
          <w:shd w:val="clear" w:color="auto" w:fill="FFFFFF"/>
        </w:rPr>
        <w:t xml:space="preserve"> n</w:t>
      </w:r>
      <w:r w:rsidRPr="001B0353">
        <w:rPr>
          <w:rFonts w:asciiTheme="majorBidi" w:hAnsiTheme="majorBidi" w:cstheme="majorBidi"/>
          <w:szCs w:val="24"/>
          <w:shd w:val="clear" w:color="auto" w:fill="FFFFFF"/>
        </w:rPr>
        <w:t>oteikt</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lietu</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kategorijas,</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kuras</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attiecīgajos</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procesos</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tiek</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skatītas,</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gan</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arī</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lemt</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par</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dažādu</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kategoriju</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lietu</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izskatīšanas</w:t>
      </w:r>
      <w:r>
        <w:rPr>
          <w:rFonts w:asciiTheme="majorBidi" w:hAnsiTheme="majorBidi" w:cstheme="majorBidi"/>
          <w:szCs w:val="24"/>
          <w:shd w:val="clear" w:color="auto" w:fill="FFFFFF"/>
        </w:rPr>
        <w:t xml:space="preserve"> </w:t>
      </w:r>
      <w:r w:rsidRPr="001B0353">
        <w:rPr>
          <w:rFonts w:asciiTheme="majorBidi" w:hAnsiTheme="majorBidi" w:cstheme="majorBidi"/>
          <w:szCs w:val="24"/>
          <w:shd w:val="clear" w:color="auto" w:fill="FFFFFF"/>
        </w:rPr>
        <w:t>kārtību</w:t>
      </w:r>
      <w:r>
        <w:rPr>
          <w:rFonts w:asciiTheme="majorBidi" w:hAnsiTheme="majorBidi" w:cstheme="majorBidi"/>
          <w:szCs w:val="24"/>
          <w:shd w:val="clear" w:color="auto" w:fill="FFFFFF"/>
        </w:rPr>
        <w:t xml:space="preserve"> </w:t>
      </w:r>
      <w:proofErr w:type="gramStart"/>
      <w:r w:rsidRPr="00B578DD">
        <w:rPr>
          <w:rFonts w:asciiTheme="majorBidi" w:hAnsiTheme="majorBidi" w:cstheme="majorBidi"/>
          <w:szCs w:val="24"/>
          <w:shd w:val="clear" w:color="auto" w:fill="FFFFFF"/>
        </w:rPr>
        <w:t>(</w:t>
      </w:r>
      <w:proofErr w:type="gramEnd"/>
      <w:r w:rsidRPr="00B578DD">
        <w:rPr>
          <w:rFonts w:asciiTheme="majorBidi" w:hAnsiTheme="majorBidi" w:cstheme="majorBidi"/>
          <w:i/>
          <w:iCs/>
          <w:spacing w:val="3"/>
          <w:szCs w:val="24"/>
        </w:rPr>
        <w:t>Satversmes tiesas 2018.</w:t>
      </w:r>
      <w:r w:rsidR="00822187">
        <w:rPr>
          <w:rFonts w:asciiTheme="majorBidi" w:hAnsiTheme="majorBidi" w:cstheme="majorBidi"/>
          <w:i/>
          <w:iCs/>
          <w:spacing w:val="3"/>
          <w:szCs w:val="24"/>
        </w:rPr>
        <w:t> </w:t>
      </w:r>
      <w:r w:rsidRPr="00B578DD">
        <w:rPr>
          <w:rFonts w:asciiTheme="majorBidi" w:hAnsiTheme="majorBidi" w:cstheme="majorBidi"/>
          <w:i/>
          <w:iCs/>
          <w:spacing w:val="3"/>
          <w:szCs w:val="24"/>
        </w:rPr>
        <w:t>gada 15.</w:t>
      </w:r>
      <w:r w:rsidR="00822187">
        <w:rPr>
          <w:rFonts w:asciiTheme="majorBidi" w:hAnsiTheme="majorBidi" w:cstheme="majorBidi"/>
          <w:i/>
          <w:iCs/>
          <w:spacing w:val="3"/>
          <w:szCs w:val="24"/>
        </w:rPr>
        <w:t> </w:t>
      </w:r>
      <w:r w:rsidRPr="00B578DD">
        <w:rPr>
          <w:rFonts w:asciiTheme="majorBidi" w:hAnsiTheme="majorBidi" w:cstheme="majorBidi"/>
          <w:i/>
          <w:iCs/>
          <w:spacing w:val="3"/>
          <w:szCs w:val="24"/>
        </w:rPr>
        <w:t>marta spriedum</w:t>
      </w:r>
      <w:r w:rsidR="005A034B">
        <w:rPr>
          <w:rFonts w:asciiTheme="majorBidi" w:hAnsiTheme="majorBidi" w:cstheme="majorBidi"/>
          <w:i/>
          <w:iCs/>
          <w:spacing w:val="3"/>
          <w:szCs w:val="24"/>
        </w:rPr>
        <w:t>a</w:t>
      </w:r>
      <w:r w:rsidRPr="00B578DD">
        <w:rPr>
          <w:rFonts w:asciiTheme="majorBidi" w:hAnsiTheme="majorBidi" w:cstheme="majorBidi"/>
          <w:i/>
          <w:iCs/>
          <w:spacing w:val="3"/>
          <w:szCs w:val="24"/>
        </w:rPr>
        <w:t xml:space="preserve"> lietā Nr.</w:t>
      </w:r>
      <w:r w:rsidR="00822187">
        <w:rPr>
          <w:rFonts w:asciiTheme="majorBidi" w:hAnsiTheme="majorBidi" w:cstheme="majorBidi"/>
          <w:i/>
          <w:iCs/>
          <w:spacing w:val="3"/>
          <w:szCs w:val="24"/>
        </w:rPr>
        <w:t> </w:t>
      </w:r>
      <w:hyperlink r:id="rId15" w:history="1">
        <w:r w:rsidRPr="00EC57B4">
          <w:rPr>
            <w:rStyle w:val="Hyperlink"/>
            <w:rFonts w:asciiTheme="majorBidi" w:hAnsiTheme="majorBidi" w:cstheme="majorBidi"/>
            <w:i/>
            <w:iCs/>
            <w:spacing w:val="3"/>
            <w:szCs w:val="24"/>
          </w:rPr>
          <w:t>2017-16-01</w:t>
        </w:r>
      </w:hyperlink>
      <w:r w:rsidRPr="00B578DD">
        <w:rPr>
          <w:rFonts w:asciiTheme="majorBidi" w:hAnsiTheme="majorBidi" w:cstheme="majorBidi"/>
          <w:i/>
          <w:iCs/>
          <w:spacing w:val="3"/>
          <w:szCs w:val="24"/>
        </w:rPr>
        <w:t>, 11.1.</w:t>
      </w:r>
      <w:r w:rsidR="008C1B9E">
        <w:rPr>
          <w:rFonts w:asciiTheme="majorBidi" w:hAnsiTheme="majorBidi" w:cstheme="majorBidi"/>
          <w:i/>
          <w:iCs/>
          <w:spacing w:val="3"/>
          <w:szCs w:val="24"/>
        </w:rPr>
        <w:t> </w:t>
      </w:r>
      <w:r w:rsidRPr="00B578DD">
        <w:rPr>
          <w:rFonts w:asciiTheme="majorBidi" w:hAnsiTheme="majorBidi" w:cstheme="majorBidi"/>
          <w:i/>
          <w:iCs/>
          <w:spacing w:val="3"/>
          <w:szCs w:val="24"/>
        </w:rPr>
        <w:t>punkts</w:t>
      </w:r>
      <w:r w:rsidRPr="00B578DD">
        <w:rPr>
          <w:rFonts w:asciiTheme="majorBidi" w:hAnsiTheme="majorBidi" w:cstheme="majorBidi"/>
          <w:spacing w:val="3"/>
          <w:szCs w:val="24"/>
        </w:rPr>
        <w:t>).</w:t>
      </w:r>
    </w:p>
    <w:p w14:paraId="59937C68" w14:textId="06C2A7FD" w:rsidR="00B578DD" w:rsidRPr="000A4B72" w:rsidRDefault="00B578DD" w:rsidP="000A4B72">
      <w:pPr>
        <w:spacing w:after="0"/>
        <w:ind w:firstLine="709"/>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Arī Eiropas Cilvēktiesību tiesa ir norādījusi, ka v</w:t>
      </w:r>
      <w:r w:rsidRPr="00B578DD">
        <w:rPr>
          <w:rFonts w:asciiTheme="majorBidi" w:hAnsiTheme="majorBidi" w:cstheme="majorBidi"/>
          <w:szCs w:val="24"/>
          <w:shd w:val="clear" w:color="auto" w:fill="FFFFFF"/>
        </w:rPr>
        <w:t xml:space="preserve">eids, kādā </w:t>
      </w:r>
      <w:r>
        <w:rPr>
          <w:rFonts w:asciiTheme="majorBidi" w:hAnsiTheme="majorBidi" w:cstheme="majorBidi"/>
          <w:szCs w:val="24"/>
          <w:shd w:val="clear" w:color="auto" w:fill="FFFFFF"/>
        </w:rPr>
        <w:t xml:space="preserve">Konvencijas </w:t>
      </w:r>
      <w:r w:rsidRPr="00B578DD">
        <w:rPr>
          <w:rFonts w:asciiTheme="majorBidi" w:hAnsiTheme="majorBidi" w:cstheme="majorBidi"/>
          <w:szCs w:val="24"/>
          <w:shd w:val="clear" w:color="auto" w:fill="FFFFFF"/>
        </w:rPr>
        <w:t>6.</w:t>
      </w:r>
      <w:r w:rsidR="004F7FC2">
        <w:rPr>
          <w:rFonts w:asciiTheme="majorBidi" w:hAnsiTheme="majorBidi" w:cstheme="majorBidi"/>
          <w:szCs w:val="24"/>
          <w:shd w:val="clear" w:color="auto" w:fill="FFFFFF"/>
        </w:rPr>
        <w:t> </w:t>
      </w:r>
      <w:r w:rsidRPr="00B578DD">
        <w:rPr>
          <w:rFonts w:asciiTheme="majorBidi" w:hAnsiTheme="majorBidi" w:cstheme="majorBidi"/>
          <w:szCs w:val="24"/>
          <w:shd w:val="clear" w:color="auto" w:fill="FFFFFF"/>
        </w:rPr>
        <w:t>pant</w:t>
      </w:r>
      <w:r w:rsidR="002A2E1F">
        <w:rPr>
          <w:rFonts w:asciiTheme="majorBidi" w:hAnsiTheme="majorBidi" w:cstheme="majorBidi"/>
          <w:szCs w:val="24"/>
          <w:shd w:val="clear" w:color="auto" w:fill="FFFFFF"/>
        </w:rPr>
        <w:t>s ir</w:t>
      </w:r>
      <w:r w:rsidRPr="00B578DD">
        <w:rPr>
          <w:rFonts w:asciiTheme="majorBidi" w:hAnsiTheme="majorBidi" w:cstheme="majorBidi"/>
          <w:szCs w:val="24"/>
          <w:shd w:val="clear" w:color="auto" w:fill="FFFFFF"/>
        </w:rPr>
        <w:t xml:space="preserve"> piemēro</w:t>
      </w:r>
      <w:r w:rsidR="002A2E1F">
        <w:rPr>
          <w:rFonts w:asciiTheme="majorBidi" w:hAnsiTheme="majorBidi" w:cstheme="majorBidi"/>
          <w:szCs w:val="24"/>
          <w:shd w:val="clear" w:color="auto" w:fill="FFFFFF"/>
        </w:rPr>
        <w:t xml:space="preserve">jams </w:t>
      </w:r>
      <w:r w:rsidRPr="00B578DD">
        <w:rPr>
          <w:rFonts w:asciiTheme="majorBidi" w:hAnsiTheme="majorBidi" w:cstheme="majorBidi"/>
          <w:szCs w:val="24"/>
          <w:shd w:val="clear" w:color="auto" w:fill="FFFFFF"/>
        </w:rPr>
        <w:t>apelācijas</w:t>
      </w:r>
      <w:r w:rsidR="00874FDD">
        <w:rPr>
          <w:rFonts w:asciiTheme="majorBidi" w:hAnsiTheme="majorBidi" w:cstheme="majorBidi"/>
          <w:szCs w:val="24"/>
          <w:shd w:val="clear" w:color="auto" w:fill="FFFFFF"/>
        </w:rPr>
        <w:t xml:space="preserve"> instances</w:t>
      </w:r>
      <w:r w:rsidRPr="00B578DD">
        <w:rPr>
          <w:rFonts w:asciiTheme="majorBidi" w:hAnsiTheme="majorBidi" w:cstheme="majorBidi"/>
          <w:szCs w:val="24"/>
          <w:shd w:val="clear" w:color="auto" w:fill="FFFFFF"/>
        </w:rPr>
        <w:t xml:space="preserve"> tiesā, ir atkarīgs no </w:t>
      </w:r>
      <w:r>
        <w:rPr>
          <w:rFonts w:asciiTheme="majorBidi" w:hAnsiTheme="majorBidi" w:cstheme="majorBidi"/>
          <w:szCs w:val="24"/>
          <w:shd w:val="clear" w:color="auto" w:fill="FFFFFF"/>
        </w:rPr>
        <w:t>konkrētā</w:t>
      </w:r>
      <w:r w:rsidRPr="00B578DD">
        <w:rPr>
          <w:rFonts w:asciiTheme="majorBidi" w:hAnsiTheme="majorBidi" w:cstheme="majorBidi"/>
          <w:szCs w:val="24"/>
          <w:shd w:val="clear" w:color="auto" w:fill="FFFFFF"/>
        </w:rPr>
        <w:t xml:space="preserve"> procesa īpatnībām; </w:t>
      </w:r>
      <w:r w:rsidR="002A2E1F">
        <w:rPr>
          <w:rFonts w:asciiTheme="majorBidi" w:hAnsiTheme="majorBidi" w:cstheme="majorBidi"/>
          <w:szCs w:val="24"/>
          <w:shd w:val="clear" w:color="auto" w:fill="FFFFFF"/>
        </w:rPr>
        <w:t xml:space="preserve">turklāt </w:t>
      </w:r>
      <w:r w:rsidRPr="00B578DD">
        <w:rPr>
          <w:rFonts w:asciiTheme="majorBidi" w:hAnsiTheme="majorBidi" w:cstheme="majorBidi"/>
          <w:szCs w:val="24"/>
          <w:shd w:val="clear" w:color="auto" w:fill="FFFFFF"/>
        </w:rPr>
        <w:t xml:space="preserve">jāņem vērā </w:t>
      </w:r>
      <w:r w:rsidRPr="003A70B2">
        <w:rPr>
          <w:rFonts w:asciiTheme="majorBidi" w:hAnsiTheme="majorBidi" w:cstheme="majorBidi"/>
          <w:szCs w:val="24"/>
          <w:shd w:val="clear" w:color="auto" w:fill="FFFFFF"/>
        </w:rPr>
        <w:t>valsts ties</w:t>
      </w:r>
      <w:r w:rsidR="00C47C0D" w:rsidRPr="003A70B2">
        <w:rPr>
          <w:rFonts w:asciiTheme="majorBidi" w:hAnsiTheme="majorBidi" w:cstheme="majorBidi"/>
          <w:szCs w:val="24"/>
          <w:shd w:val="clear" w:color="auto" w:fill="FFFFFF"/>
        </w:rPr>
        <w:t>u</w:t>
      </w:r>
      <w:r w:rsidRPr="003A70B2">
        <w:rPr>
          <w:rFonts w:asciiTheme="majorBidi" w:hAnsiTheme="majorBidi" w:cstheme="majorBidi"/>
          <w:szCs w:val="24"/>
          <w:shd w:val="clear" w:color="auto" w:fill="FFFFFF"/>
        </w:rPr>
        <w:t xml:space="preserve"> sistēm</w:t>
      </w:r>
      <w:r w:rsidR="00C47C0D" w:rsidRPr="003A70B2">
        <w:rPr>
          <w:rFonts w:asciiTheme="majorBidi" w:hAnsiTheme="majorBidi" w:cstheme="majorBidi"/>
          <w:szCs w:val="24"/>
          <w:shd w:val="clear" w:color="auto" w:fill="FFFFFF"/>
        </w:rPr>
        <w:t>a</w:t>
      </w:r>
      <w:r w:rsidRPr="003A70B2">
        <w:rPr>
          <w:rFonts w:asciiTheme="majorBidi" w:hAnsiTheme="majorBidi" w:cstheme="majorBidi"/>
          <w:szCs w:val="24"/>
          <w:shd w:val="clear" w:color="auto" w:fill="FFFFFF"/>
        </w:rPr>
        <w:t xml:space="preserve"> tās kopumā un</w:t>
      </w:r>
      <w:r w:rsidRPr="00B578DD">
        <w:rPr>
          <w:rFonts w:asciiTheme="majorBidi" w:hAnsiTheme="majorBidi" w:cstheme="majorBidi"/>
          <w:szCs w:val="24"/>
          <w:shd w:val="clear" w:color="auto" w:fill="FFFFFF"/>
        </w:rPr>
        <w:t xml:space="preserve"> apelācijas </w:t>
      </w:r>
      <w:r w:rsidR="00874FDD">
        <w:rPr>
          <w:rFonts w:asciiTheme="majorBidi" w:hAnsiTheme="majorBidi" w:cstheme="majorBidi"/>
          <w:szCs w:val="24"/>
          <w:shd w:val="clear" w:color="auto" w:fill="FFFFFF"/>
        </w:rPr>
        <w:t xml:space="preserve">instances </w:t>
      </w:r>
      <w:r w:rsidRPr="00B578DD">
        <w:rPr>
          <w:rFonts w:asciiTheme="majorBidi" w:hAnsiTheme="majorBidi" w:cstheme="majorBidi"/>
          <w:szCs w:val="24"/>
          <w:shd w:val="clear" w:color="auto" w:fill="FFFFFF"/>
        </w:rPr>
        <w:t xml:space="preserve">tiesas loma tajā </w:t>
      </w:r>
      <w:proofErr w:type="gramStart"/>
      <w:r>
        <w:rPr>
          <w:rFonts w:asciiTheme="majorBidi" w:hAnsiTheme="majorBidi" w:cstheme="majorBidi"/>
          <w:szCs w:val="24"/>
          <w:shd w:val="clear" w:color="auto" w:fill="FFFFFF"/>
        </w:rPr>
        <w:t>(</w:t>
      </w:r>
      <w:proofErr w:type="gramEnd"/>
      <w:r w:rsidR="000A4B72" w:rsidRPr="0066361A">
        <w:rPr>
          <w:rFonts w:cs="Times New Roman"/>
          <w:i/>
          <w:szCs w:val="24"/>
        </w:rPr>
        <w:t xml:space="preserve">Eiropas Cilvēktiesību tiesas </w:t>
      </w:r>
      <w:r w:rsidR="000A4B72">
        <w:rPr>
          <w:rStyle w:val="sbb9ee52a"/>
          <w:rFonts w:cs="Times New Roman"/>
          <w:i/>
          <w:iCs/>
          <w:shd w:val="clear" w:color="auto" w:fill="FFFFFF"/>
        </w:rPr>
        <w:t>1987. gada 2. marta spriedums lietā ,,</w:t>
      </w:r>
      <w:proofErr w:type="spellStart"/>
      <w:r w:rsidR="000A4B72" w:rsidRPr="00874FDD">
        <w:rPr>
          <w:rStyle w:val="sa36b60a1"/>
          <w:rFonts w:cs="Times New Roman"/>
          <w:i/>
          <w:iCs/>
          <w:shd w:val="clear" w:color="auto" w:fill="FFFFFF"/>
        </w:rPr>
        <w:t>Monnell</w:t>
      </w:r>
      <w:proofErr w:type="spellEnd"/>
      <w:r w:rsidR="000A4B72" w:rsidRPr="00874FDD">
        <w:rPr>
          <w:rStyle w:val="sa36b60a1"/>
          <w:rFonts w:cs="Times New Roman"/>
          <w:i/>
          <w:iCs/>
          <w:shd w:val="clear" w:color="auto" w:fill="FFFFFF"/>
        </w:rPr>
        <w:t xml:space="preserve"> </w:t>
      </w:r>
      <w:proofErr w:type="spellStart"/>
      <w:r w:rsidR="000A4B72" w:rsidRPr="00874FDD">
        <w:rPr>
          <w:rStyle w:val="sa36b60a1"/>
          <w:rFonts w:cs="Times New Roman"/>
          <w:i/>
          <w:iCs/>
          <w:shd w:val="clear" w:color="auto" w:fill="FFFFFF"/>
        </w:rPr>
        <w:t>and</w:t>
      </w:r>
      <w:proofErr w:type="spellEnd"/>
      <w:r w:rsidR="000A4B72" w:rsidRPr="00874FDD">
        <w:rPr>
          <w:rStyle w:val="sa36b60a1"/>
          <w:rFonts w:cs="Times New Roman"/>
          <w:i/>
          <w:iCs/>
          <w:shd w:val="clear" w:color="auto" w:fill="FFFFFF"/>
        </w:rPr>
        <w:t xml:space="preserve"> </w:t>
      </w:r>
      <w:proofErr w:type="spellStart"/>
      <w:r w:rsidR="000A4B72" w:rsidRPr="00874FDD">
        <w:rPr>
          <w:rStyle w:val="sa36b60a1"/>
          <w:rFonts w:cs="Times New Roman"/>
          <w:i/>
          <w:iCs/>
          <w:shd w:val="clear" w:color="auto" w:fill="FFFFFF"/>
        </w:rPr>
        <w:t>Morris</w:t>
      </w:r>
      <w:proofErr w:type="spellEnd"/>
      <w:r w:rsidR="000A4B72" w:rsidRPr="00874FDD">
        <w:rPr>
          <w:rStyle w:val="sa36b60a1"/>
          <w:rFonts w:cs="Times New Roman"/>
          <w:i/>
          <w:iCs/>
          <w:shd w:val="clear" w:color="auto" w:fill="FFFFFF"/>
        </w:rPr>
        <w:t xml:space="preserve"> v.</w:t>
      </w:r>
      <w:r w:rsidR="008C1B9E">
        <w:rPr>
          <w:rStyle w:val="sa36b60a1"/>
          <w:rFonts w:cs="Times New Roman"/>
          <w:i/>
          <w:iCs/>
          <w:shd w:val="clear" w:color="auto" w:fill="FFFFFF"/>
        </w:rPr>
        <w:t xml:space="preserve"> </w:t>
      </w:r>
      <w:proofErr w:type="spellStart"/>
      <w:r w:rsidR="000A4B72" w:rsidRPr="00874FDD">
        <w:rPr>
          <w:rStyle w:val="sa36b60a1"/>
          <w:rFonts w:cs="Times New Roman"/>
          <w:i/>
          <w:iCs/>
          <w:shd w:val="clear" w:color="auto" w:fill="FFFFFF"/>
        </w:rPr>
        <w:t>the</w:t>
      </w:r>
      <w:proofErr w:type="spellEnd"/>
      <w:r w:rsidR="000A4B72" w:rsidRPr="00874FDD">
        <w:rPr>
          <w:rStyle w:val="sa36b60a1"/>
          <w:rFonts w:cs="Times New Roman"/>
          <w:i/>
          <w:iCs/>
          <w:shd w:val="clear" w:color="auto" w:fill="FFFFFF"/>
        </w:rPr>
        <w:t xml:space="preserve"> </w:t>
      </w:r>
      <w:proofErr w:type="spellStart"/>
      <w:r w:rsidR="000A4B72" w:rsidRPr="00874FDD">
        <w:rPr>
          <w:rStyle w:val="sa36b60a1"/>
          <w:rFonts w:cs="Times New Roman"/>
          <w:i/>
          <w:iCs/>
          <w:shd w:val="clear" w:color="auto" w:fill="FFFFFF"/>
        </w:rPr>
        <w:t>United</w:t>
      </w:r>
      <w:proofErr w:type="spellEnd"/>
      <w:r w:rsidR="000A4B72" w:rsidRPr="00874FDD">
        <w:rPr>
          <w:rStyle w:val="sa36b60a1"/>
          <w:rFonts w:cs="Times New Roman"/>
          <w:i/>
          <w:iCs/>
          <w:shd w:val="clear" w:color="auto" w:fill="FFFFFF"/>
        </w:rPr>
        <w:t xml:space="preserve"> </w:t>
      </w:r>
      <w:proofErr w:type="spellStart"/>
      <w:r w:rsidR="000A4B72" w:rsidRPr="00874FDD">
        <w:rPr>
          <w:rStyle w:val="sa36b60a1"/>
          <w:rFonts w:cs="Times New Roman"/>
          <w:i/>
          <w:iCs/>
          <w:shd w:val="clear" w:color="auto" w:fill="FFFFFF"/>
        </w:rPr>
        <w:t>Kingdom</w:t>
      </w:r>
      <w:proofErr w:type="spellEnd"/>
      <w:r w:rsidR="000A4B72">
        <w:rPr>
          <w:rStyle w:val="sa36b60a1"/>
          <w:rFonts w:cs="Times New Roman"/>
          <w:i/>
          <w:iCs/>
          <w:shd w:val="clear" w:color="auto" w:fill="FFFFFF"/>
        </w:rPr>
        <w:t>”</w:t>
      </w:r>
      <w:r w:rsidR="000A4B72" w:rsidRPr="00874FDD">
        <w:rPr>
          <w:rStyle w:val="sbb9ee52a"/>
          <w:rFonts w:cs="Times New Roman"/>
          <w:i/>
          <w:iCs/>
          <w:shd w:val="clear" w:color="auto" w:fill="FFFFFF"/>
        </w:rPr>
        <w:t>,</w:t>
      </w:r>
      <w:r w:rsidR="000A4B72">
        <w:rPr>
          <w:rStyle w:val="sbb9ee52a"/>
          <w:rFonts w:cs="Times New Roman"/>
          <w:i/>
          <w:iCs/>
          <w:shd w:val="clear" w:color="auto" w:fill="FFFFFF"/>
        </w:rPr>
        <w:t xml:space="preserve"> iesnieguma Nr.</w:t>
      </w:r>
      <w:r w:rsidR="0073124D">
        <w:rPr>
          <w:rStyle w:val="sbb9ee52a"/>
          <w:rFonts w:cs="Times New Roman"/>
          <w:i/>
          <w:iCs/>
          <w:shd w:val="clear" w:color="auto" w:fill="FFFFFF"/>
        </w:rPr>
        <w:t> </w:t>
      </w:r>
      <w:hyperlink r:id="rId16" w:anchor="{%22tabview%22:[%22document%22],%22itemid%22:[%22001-57541%22]}" w:history="1">
        <w:r w:rsidR="000A4B72" w:rsidRPr="006D25A9">
          <w:rPr>
            <w:rStyle w:val="Hyperlink"/>
            <w:rFonts w:cs="Times New Roman"/>
            <w:i/>
            <w:iCs/>
            <w:shd w:val="clear" w:color="auto" w:fill="FFFFFF"/>
          </w:rPr>
          <w:t>9562/81, 9818/82</w:t>
        </w:r>
      </w:hyperlink>
      <w:r w:rsidR="000A4B72">
        <w:rPr>
          <w:rStyle w:val="sbb9ee52a"/>
          <w:rFonts w:cs="Times New Roman"/>
          <w:i/>
          <w:iCs/>
          <w:shd w:val="clear" w:color="auto" w:fill="FFFFFF"/>
        </w:rPr>
        <w:t>,</w:t>
      </w:r>
      <w:r w:rsidR="000A4B72" w:rsidRPr="000A4B72">
        <w:rPr>
          <w:rStyle w:val="sa36b60a1"/>
          <w:rFonts w:cs="Times New Roman"/>
          <w:i/>
          <w:iCs/>
          <w:shd w:val="clear" w:color="auto" w:fill="FFFFFF"/>
        </w:rPr>
        <w:t xml:space="preserve"> </w:t>
      </w:r>
      <w:r w:rsidR="000A4B72">
        <w:rPr>
          <w:rStyle w:val="sa36b60a1"/>
          <w:rFonts w:cs="Times New Roman"/>
          <w:i/>
          <w:iCs/>
          <w:shd w:val="clear" w:color="auto" w:fill="FFFFFF"/>
        </w:rPr>
        <w:t>1988. gada 26. maija spriedums lietā ,,</w:t>
      </w:r>
      <w:proofErr w:type="spellStart"/>
      <w:r w:rsidR="000A4B72" w:rsidRPr="00874FDD">
        <w:rPr>
          <w:rStyle w:val="sa36b60a1"/>
          <w:rFonts w:cs="Times New Roman"/>
          <w:i/>
          <w:iCs/>
          <w:shd w:val="clear" w:color="auto" w:fill="FFFFFF"/>
        </w:rPr>
        <w:t>Ekbatani</w:t>
      </w:r>
      <w:proofErr w:type="spellEnd"/>
      <w:r w:rsidR="000A4B72" w:rsidRPr="00874FDD">
        <w:rPr>
          <w:rStyle w:val="sa36b60a1"/>
          <w:rFonts w:cs="Times New Roman"/>
          <w:i/>
          <w:iCs/>
          <w:shd w:val="clear" w:color="auto" w:fill="FFFFFF"/>
        </w:rPr>
        <w:t xml:space="preserve"> v.</w:t>
      </w:r>
      <w:r w:rsidR="008C1B9E">
        <w:t xml:space="preserve"> </w:t>
      </w:r>
      <w:proofErr w:type="spellStart"/>
      <w:r w:rsidR="000A4B72" w:rsidRPr="00874FDD">
        <w:rPr>
          <w:rStyle w:val="sa36b60a1"/>
          <w:rFonts w:cs="Times New Roman"/>
          <w:i/>
          <w:iCs/>
          <w:shd w:val="clear" w:color="auto" w:fill="FFFFFF"/>
        </w:rPr>
        <w:t>Sweden</w:t>
      </w:r>
      <w:r w:rsidR="000A4B72">
        <w:rPr>
          <w:rStyle w:val="sa36b60a1"/>
          <w:rFonts w:cs="Times New Roman"/>
          <w:i/>
          <w:iCs/>
          <w:shd w:val="clear" w:color="auto" w:fill="FFFFFF"/>
        </w:rPr>
        <w:t>”</w:t>
      </w:r>
      <w:r w:rsidR="000A4B72" w:rsidRPr="00874FDD">
        <w:rPr>
          <w:rStyle w:val="sbb9ee52a"/>
          <w:rFonts w:cs="Times New Roman"/>
          <w:i/>
          <w:iCs/>
          <w:shd w:val="clear" w:color="auto" w:fill="FFFFFF"/>
        </w:rPr>
        <w:t>,</w:t>
      </w:r>
      <w:r w:rsidR="000A4B72">
        <w:rPr>
          <w:rStyle w:val="sbb9ee52a"/>
          <w:rFonts w:cs="Times New Roman"/>
          <w:i/>
          <w:iCs/>
          <w:shd w:val="clear" w:color="auto" w:fill="FFFFFF"/>
        </w:rPr>
        <w:t>iesnieguma</w:t>
      </w:r>
      <w:proofErr w:type="spellEnd"/>
      <w:r w:rsidR="000A4B72">
        <w:rPr>
          <w:rStyle w:val="sbb9ee52a"/>
          <w:rFonts w:cs="Times New Roman"/>
          <w:i/>
          <w:iCs/>
          <w:shd w:val="clear" w:color="auto" w:fill="FFFFFF"/>
        </w:rPr>
        <w:t xml:space="preserve"> Nr. </w:t>
      </w:r>
      <w:hyperlink r:id="rId17" w:anchor="{%22tabview%22:[%22document%22],%22itemid%22:[%22001-57477%22]}" w:history="1">
        <w:r w:rsidR="000A4B72" w:rsidRPr="006D25A9">
          <w:rPr>
            <w:rStyle w:val="Hyperlink"/>
            <w:rFonts w:cs="Times New Roman"/>
            <w:i/>
            <w:iCs/>
            <w:shd w:val="clear" w:color="auto" w:fill="FFFFFF"/>
          </w:rPr>
          <w:t>10563/83</w:t>
        </w:r>
      </w:hyperlink>
      <w:r w:rsidR="000A4B72">
        <w:rPr>
          <w:rStyle w:val="sbb9ee52a"/>
          <w:rFonts w:cs="Times New Roman"/>
          <w:i/>
          <w:iCs/>
          <w:shd w:val="clear" w:color="auto" w:fill="FFFFFF"/>
        </w:rPr>
        <w:t xml:space="preserve"> un </w:t>
      </w:r>
      <w:r w:rsidRPr="00874FDD">
        <w:rPr>
          <w:rFonts w:asciiTheme="majorBidi" w:hAnsiTheme="majorBidi" w:cstheme="majorBidi"/>
          <w:i/>
          <w:iCs/>
          <w:szCs w:val="24"/>
          <w:shd w:val="clear" w:color="auto" w:fill="FFFFFF"/>
        </w:rPr>
        <w:t>2006.</w:t>
      </w:r>
      <w:r w:rsidR="00EC57B4">
        <w:rPr>
          <w:rFonts w:asciiTheme="majorBidi" w:hAnsiTheme="majorBidi" w:cstheme="majorBidi"/>
          <w:i/>
          <w:iCs/>
          <w:szCs w:val="24"/>
          <w:shd w:val="clear" w:color="auto" w:fill="FFFFFF"/>
        </w:rPr>
        <w:t> </w:t>
      </w:r>
      <w:r w:rsidRPr="00874FDD">
        <w:rPr>
          <w:rFonts w:asciiTheme="majorBidi" w:hAnsiTheme="majorBidi" w:cstheme="majorBidi"/>
          <w:i/>
          <w:iCs/>
          <w:szCs w:val="24"/>
          <w:shd w:val="clear" w:color="auto" w:fill="FFFFFF"/>
        </w:rPr>
        <w:t>gada 18.</w:t>
      </w:r>
      <w:r w:rsidR="00EC57B4">
        <w:rPr>
          <w:rFonts w:asciiTheme="majorBidi" w:hAnsiTheme="majorBidi" w:cstheme="majorBidi"/>
          <w:i/>
          <w:iCs/>
          <w:szCs w:val="24"/>
          <w:shd w:val="clear" w:color="auto" w:fill="FFFFFF"/>
        </w:rPr>
        <w:t> </w:t>
      </w:r>
      <w:r w:rsidRPr="00874FDD">
        <w:rPr>
          <w:rFonts w:asciiTheme="majorBidi" w:hAnsiTheme="majorBidi" w:cstheme="majorBidi"/>
          <w:i/>
          <w:iCs/>
          <w:szCs w:val="24"/>
          <w:shd w:val="clear" w:color="auto" w:fill="FFFFFF"/>
        </w:rPr>
        <w:t>oktobra spriedum</w:t>
      </w:r>
      <w:r w:rsidR="005A034B">
        <w:rPr>
          <w:rFonts w:asciiTheme="majorBidi" w:hAnsiTheme="majorBidi" w:cstheme="majorBidi"/>
          <w:i/>
          <w:iCs/>
          <w:szCs w:val="24"/>
          <w:shd w:val="clear" w:color="auto" w:fill="FFFFFF"/>
        </w:rPr>
        <w:t>s</w:t>
      </w:r>
      <w:r w:rsidRPr="00874FDD">
        <w:rPr>
          <w:rFonts w:asciiTheme="majorBidi" w:hAnsiTheme="majorBidi" w:cstheme="majorBidi"/>
          <w:i/>
          <w:iCs/>
          <w:szCs w:val="24"/>
          <w:shd w:val="clear" w:color="auto" w:fill="FFFFFF"/>
        </w:rPr>
        <w:t xml:space="preserve"> lietā </w:t>
      </w:r>
      <w:r w:rsidR="00EC57B4">
        <w:rPr>
          <w:rFonts w:asciiTheme="majorBidi" w:hAnsiTheme="majorBidi" w:cstheme="majorBidi"/>
          <w:i/>
          <w:iCs/>
          <w:szCs w:val="24"/>
          <w:shd w:val="clear" w:color="auto" w:fill="FFFFFF"/>
        </w:rPr>
        <w:t>,,</w:t>
      </w:r>
      <w:proofErr w:type="spellStart"/>
      <w:r w:rsidRPr="00874FDD">
        <w:rPr>
          <w:rFonts w:asciiTheme="majorBidi" w:hAnsiTheme="majorBidi" w:cstheme="majorBidi"/>
          <w:i/>
          <w:iCs/>
          <w:szCs w:val="24"/>
          <w:shd w:val="clear" w:color="auto" w:fill="FFFFFF"/>
        </w:rPr>
        <w:t>Hermi</w:t>
      </w:r>
      <w:proofErr w:type="spellEnd"/>
      <w:r w:rsidRPr="00874FDD">
        <w:rPr>
          <w:rFonts w:asciiTheme="majorBidi" w:hAnsiTheme="majorBidi" w:cstheme="majorBidi"/>
          <w:i/>
          <w:iCs/>
          <w:szCs w:val="24"/>
          <w:shd w:val="clear" w:color="auto" w:fill="FFFFFF"/>
        </w:rPr>
        <w:t xml:space="preserve"> v.</w:t>
      </w:r>
      <w:r w:rsidR="008C1B9E">
        <w:rPr>
          <w:rFonts w:asciiTheme="majorBidi" w:hAnsiTheme="majorBidi" w:cstheme="majorBidi"/>
          <w:i/>
          <w:iCs/>
          <w:szCs w:val="24"/>
          <w:shd w:val="clear" w:color="auto" w:fill="FFFFFF"/>
        </w:rPr>
        <w:t xml:space="preserve"> </w:t>
      </w:r>
      <w:proofErr w:type="spellStart"/>
      <w:r w:rsidRPr="00874FDD">
        <w:rPr>
          <w:rFonts w:asciiTheme="majorBidi" w:hAnsiTheme="majorBidi" w:cstheme="majorBidi"/>
          <w:i/>
          <w:iCs/>
          <w:szCs w:val="24"/>
          <w:shd w:val="clear" w:color="auto" w:fill="FFFFFF"/>
        </w:rPr>
        <w:t>Italy</w:t>
      </w:r>
      <w:proofErr w:type="spellEnd"/>
      <w:r w:rsidR="00EC57B4">
        <w:rPr>
          <w:rFonts w:asciiTheme="majorBidi" w:hAnsiTheme="majorBidi" w:cstheme="majorBidi"/>
          <w:i/>
          <w:iCs/>
          <w:szCs w:val="24"/>
          <w:shd w:val="clear" w:color="auto" w:fill="FFFFFF"/>
        </w:rPr>
        <w:t>”</w:t>
      </w:r>
      <w:r w:rsidR="005A034B">
        <w:rPr>
          <w:rFonts w:asciiTheme="majorBidi" w:hAnsiTheme="majorBidi" w:cstheme="majorBidi"/>
          <w:i/>
          <w:iCs/>
          <w:szCs w:val="24"/>
          <w:shd w:val="clear" w:color="auto" w:fill="FFFFFF"/>
        </w:rPr>
        <w:t>,</w:t>
      </w:r>
      <w:r w:rsidRPr="00874FDD">
        <w:rPr>
          <w:rFonts w:asciiTheme="majorBidi" w:hAnsiTheme="majorBidi" w:cstheme="majorBidi"/>
          <w:i/>
          <w:iCs/>
          <w:szCs w:val="24"/>
          <w:shd w:val="clear" w:color="auto" w:fill="FFFFFF"/>
        </w:rPr>
        <w:t xml:space="preserve"> </w:t>
      </w:r>
      <w:r w:rsidR="00EC57B4">
        <w:rPr>
          <w:rFonts w:asciiTheme="majorBidi" w:hAnsiTheme="majorBidi" w:cstheme="majorBidi"/>
          <w:i/>
          <w:iCs/>
          <w:szCs w:val="24"/>
          <w:shd w:val="clear" w:color="auto" w:fill="FFFFFF"/>
        </w:rPr>
        <w:t>iesnieguma Nr. </w:t>
      </w:r>
      <w:hyperlink r:id="rId18" w:anchor="{%22tabview%22:[%22document%22],%22itemid%22:[%22001-77543%22]}" w:history="1">
        <w:r w:rsidRPr="00EC57B4">
          <w:rPr>
            <w:rStyle w:val="Hyperlink"/>
            <w:rFonts w:asciiTheme="majorBidi" w:hAnsiTheme="majorBidi" w:cstheme="majorBidi"/>
            <w:i/>
            <w:iCs/>
            <w:szCs w:val="24"/>
            <w:shd w:val="clear" w:color="auto" w:fill="FFFFFF"/>
          </w:rPr>
          <w:t>18114/02</w:t>
        </w:r>
      </w:hyperlink>
      <w:r w:rsidR="00874FDD" w:rsidRPr="000A4B72">
        <w:rPr>
          <w:rStyle w:val="sbb9ee52a"/>
          <w:rFonts w:cs="Times New Roman"/>
          <w:shd w:val="clear" w:color="auto" w:fill="FFFFFF"/>
        </w:rPr>
        <w:t>)</w:t>
      </w:r>
      <w:r w:rsidR="00874FDD" w:rsidRPr="00874FDD">
        <w:rPr>
          <w:rStyle w:val="sbb9ee52a"/>
          <w:rFonts w:cs="Times New Roman"/>
          <w:i/>
          <w:iCs/>
          <w:shd w:val="clear" w:color="auto" w:fill="FFFFFF"/>
        </w:rPr>
        <w:t>.</w:t>
      </w:r>
    </w:p>
    <w:p w14:paraId="6E028DF0" w14:textId="4A28859D" w:rsidR="00B578DD" w:rsidRDefault="00B578DD" w:rsidP="00B578DD">
      <w:pPr>
        <w:spacing w:after="0"/>
        <w:ind w:firstLine="709"/>
        <w:jc w:val="both"/>
        <w:rPr>
          <w:rFonts w:cs="Times New Roman"/>
          <w:color w:val="000000" w:themeColor="text1"/>
        </w:rPr>
      </w:pPr>
      <w:r w:rsidRPr="00E76451">
        <w:rPr>
          <w:rFonts w:cs="Times New Roman"/>
          <w:color w:val="000000" w:themeColor="text1"/>
        </w:rPr>
        <w:t>Saskaņā ar Kriminālprocesa likuma 1.</w:t>
      </w:r>
      <w:r w:rsidR="0073124D" w:rsidRPr="00E76451">
        <w:rPr>
          <w:rFonts w:cs="Times New Roman"/>
          <w:color w:val="000000" w:themeColor="text1"/>
        </w:rPr>
        <w:t> </w:t>
      </w:r>
      <w:r w:rsidRPr="00E76451">
        <w:rPr>
          <w:rFonts w:cs="Times New Roman"/>
          <w:color w:val="000000" w:themeColor="text1"/>
        </w:rPr>
        <w:t xml:space="preserve">pantu, kurā formulēts šā likuma mērķis, kriminālprocesuālai kārtībai jābūt tādai, kas nodrošina efektīvu Krimināllikuma normu piemērošanu un krimināltiesisko attiecību taisnīgu noregulējumu bez neattaisnotas iejaukšanās personas dzīvē. </w:t>
      </w:r>
    </w:p>
    <w:p w14:paraId="70BA49A8" w14:textId="77777777" w:rsidR="00937DD3" w:rsidRPr="00937DD3" w:rsidRDefault="000F7BA4" w:rsidP="00937DD3">
      <w:pPr>
        <w:widowControl w:val="0"/>
        <w:tabs>
          <w:tab w:val="left" w:pos="6096"/>
        </w:tabs>
        <w:spacing w:after="0" w:line="276" w:lineRule="auto"/>
        <w:ind w:firstLine="720"/>
        <w:jc w:val="both"/>
      </w:pPr>
      <w:r w:rsidRPr="00937DD3">
        <w:rPr>
          <w:rFonts w:cs="Times New Roman"/>
        </w:rPr>
        <w:t>S</w:t>
      </w:r>
      <w:r w:rsidR="002F5ED0" w:rsidRPr="00937DD3">
        <w:rPr>
          <w:rFonts w:cs="Times New Roman"/>
        </w:rPr>
        <w:t>enāts norāda, ka</w:t>
      </w:r>
      <w:r w:rsidR="00F44216" w:rsidRPr="00937DD3">
        <w:rPr>
          <w:rFonts w:cs="Times New Roman"/>
        </w:rPr>
        <w:t xml:space="preserve">, vērtējot </w:t>
      </w:r>
      <w:r w:rsidR="00F44216" w:rsidRPr="00FC7B6B">
        <w:rPr>
          <w:rFonts w:cs="Times New Roman"/>
          <w:color w:val="000000" w:themeColor="text1"/>
        </w:rPr>
        <w:t xml:space="preserve">kriminālprocesuālo kārtību </w:t>
      </w:r>
      <w:r w:rsidR="00F44216" w:rsidRPr="00937DD3">
        <w:t>apelācijas instances tiesā,</w:t>
      </w:r>
      <w:r w:rsidR="002F5ED0" w:rsidRPr="00937DD3">
        <w:rPr>
          <w:rFonts w:cs="Times New Roman"/>
        </w:rPr>
        <w:t xml:space="preserve"> </w:t>
      </w:r>
      <w:r w:rsidR="00F44216" w:rsidRPr="00937DD3">
        <w:rPr>
          <w:rFonts w:cs="Times New Roman"/>
        </w:rPr>
        <w:t>jāņem vērā, ka atbilstoši spēkā esošajām</w:t>
      </w:r>
      <w:r w:rsidR="00F44216" w:rsidRPr="00937DD3">
        <w:t xml:space="preserve"> Kriminālprocesa likuma normām </w:t>
      </w:r>
      <w:r w:rsidR="003F31D3" w:rsidRPr="00937DD3">
        <w:t>lietu iztiesāšanas pamatforma apelācijas instances tiesā ir mutvārdu process.</w:t>
      </w:r>
      <w:r w:rsidR="00E27B7E" w:rsidRPr="00937DD3">
        <w:t xml:space="preserve"> </w:t>
      </w:r>
      <w:r w:rsidR="00937DD3" w:rsidRPr="00937DD3">
        <w:t xml:space="preserve">Tādējādi, ja valsts ir noteikusi augstāku personas tiesību </w:t>
      </w:r>
      <w:r w:rsidR="00937DD3" w:rsidRPr="00937DD3">
        <w:rPr>
          <w:rFonts w:cs="Times New Roman"/>
          <w:bCs/>
          <w:szCs w:val="24"/>
        </w:rPr>
        <w:t xml:space="preserve">uz mutvārdu procesu </w:t>
      </w:r>
      <w:r w:rsidR="00937DD3" w:rsidRPr="00937DD3">
        <w:t xml:space="preserve">nodrošināšanas standartu, tad tiesai ir pienākums to ievērot, pat tad, ja persona to nelūdz. </w:t>
      </w:r>
    </w:p>
    <w:p w14:paraId="22922FE2" w14:textId="03EB30C3" w:rsidR="00301EF2" w:rsidRPr="00C47C0D" w:rsidRDefault="00E27B7E" w:rsidP="00937DD3">
      <w:pPr>
        <w:widowControl w:val="0"/>
        <w:tabs>
          <w:tab w:val="left" w:pos="6096"/>
        </w:tabs>
        <w:spacing w:after="0" w:line="276" w:lineRule="auto"/>
        <w:ind w:firstLine="720"/>
        <w:jc w:val="both"/>
      </w:pPr>
      <w:r w:rsidRPr="00937DD3">
        <w:t xml:space="preserve">Savukārt </w:t>
      </w:r>
      <w:r w:rsidR="003F31D3" w:rsidRPr="00937DD3">
        <w:t>lietas iztiesāšana rakstveida procesā apelācijas instances tiesā</w:t>
      </w:r>
      <w:r w:rsidRPr="00937DD3">
        <w:t xml:space="preserve"> ir noteikta kā izņēmums</w:t>
      </w:r>
      <w:r w:rsidR="00D55E0E" w:rsidRPr="00937DD3">
        <w:t xml:space="preserve"> </w:t>
      </w:r>
      <w:r w:rsidRPr="00937DD3">
        <w:t>Kriminālprocesa likuma 559. panta ceturt</w:t>
      </w:r>
      <w:r w:rsidR="00D55E0E" w:rsidRPr="00937DD3">
        <w:t>aj</w:t>
      </w:r>
      <w:r w:rsidRPr="00937DD3">
        <w:t>ā daļ</w:t>
      </w:r>
      <w:r w:rsidR="00D55E0E" w:rsidRPr="00937DD3">
        <w:t>ā paredzētajos gadījumos</w:t>
      </w:r>
      <w:r w:rsidRPr="00937DD3">
        <w:t xml:space="preserve">. Turklāt </w:t>
      </w:r>
      <w:r w:rsidR="00D55E0E" w:rsidRPr="00937DD3">
        <w:t xml:space="preserve">šī norma </w:t>
      </w:r>
      <w:r w:rsidRPr="00937DD3">
        <w:rPr>
          <w:rFonts w:asciiTheme="majorBidi" w:hAnsiTheme="majorBidi" w:cstheme="majorBidi"/>
        </w:rPr>
        <w:t xml:space="preserve">neuzliek pienākumu, bet tikai piešķir tiesības iztiesāt lietu rakstveida procesā. </w:t>
      </w:r>
      <w:r w:rsidR="00D55E0E" w:rsidRPr="00937DD3">
        <w:rPr>
          <w:rFonts w:asciiTheme="majorBidi" w:hAnsiTheme="majorBidi" w:cstheme="majorBidi"/>
        </w:rPr>
        <w:t>Kriminālprocesuālās forma</w:t>
      </w:r>
      <w:r w:rsidR="00980683" w:rsidRPr="00937DD3">
        <w:rPr>
          <w:rFonts w:asciiTheme="majorBidi" w:hAnsiTheme="majorBidi" w:cstheme="majorBidi"/>
        </w:rPr>
        <w:t>s</w:t>
      </w:r>
      <w:r w:rsidR="00D55E0E" w:rsidRPr="00937DD3">
        <w:rPr>
          <w:rFonts w:asciiTheme="majorBidi" w:hAnsiTheme="majorBidi" w:cstheme="majorBidi"/>
        </w:rPr>
        <w:t xml:space="preserve"> prasību </w:t>
      </w:r>
      <w:r w:rsidR="00D55E0E" w:rsidRPr="00937DD3">
        <w:t>ievērošana ir priekšnoteikums procesā iesaistīto personu tiesību pilnvērtīgai īstenošanai.</w:t>
      </w:r>
    </w:p>
    <w:p w14:paraId="25013208" w14:textId="1DAADAF3" w:rsidR="00980683" w:rsidRPr="00D822AC" w:rsidRDefault="00980683" w:rsidP="00D822AC">
      <w:pPr>
        <w:spacing w:after="0"/>
        <w:ind w:firstLine="709"/>
        <w:jc w:val="both"/>
        <w:rPr>
          <w:rFonts w:cs="Times New Roman"/>
          <w:szCs w:val="24"/>
        </w:rPr>
      </w:pPr>
      <w:r w:rsidRPr="00874FDD">
        <w:rPr>
          <w:rFonts w:cs="Times New Roman"/>
          <w:szCs w:val="24"/>
        </w:rPr>
        <w:t>Tiesības uz taisnīgu tiesu ieņem tik ievērojamu vietu demokrātiskā sabiedrībā, ka tās nevar upurēt lietderības labad (</w:t>
      </w:r>
      <w:r w:rsidR="00D822AC" w:rsidRPr="0066361A">
        <w:rPr>
          <w:rFonts w:cs="Times New Roman"/>
          <w:i/>
          <w:szCs w:val="24"/>
        </w:rPr>
        <w:t>Eiropas Cilvēktiesību tiesas</w:t>
      </w:r>
      <w:r w:rsidR="00D822AC">
        <w:rPr>
          <w:rFonts w:cs="Times New Roman"/>
          <w:i/>
          <w:szCs w:val="24"/>
        </w:rPr>
        <w:t xml:space="preserve"> 1970. gada 17. janvāra spriedums lietā</w:t>
      </w:r>
      <w:proofErr w:type="gramStart"/>
      <w:r w:rsidR="00D822AC">
        <w:rPr>
          <w:rFonts w:cs="Times New Roman"/>
          <w:i/>
          <w:szCs w:val="24"/>
        </w:rPr>
        <w:t xml:space="preserve"> </w:t>
      </w:r>
      <w:r w:rsidR="00D822AC" w:rsidRPr="00556DA2">
        <w:rPr>
          <w:rStyle w:val="sa36b60a1"/>
          <w:rFonts w:cs="Times New Roman"/>
          <w:i/>
          <w:iCs/>
          <w:shd w:val="clear" w:color="auto" w:fill="FFFFFF"/>
        </w:rPr>
        <w:t>,,</w:t>
      </w:r>
      <w:proofErr w:type="spellStart"/>
      <w:proofErr w:type="gramEnd"/>
      <w:r w:rsidR="00D822AC" w:rsidRPr="00556DA2">
        <w:rPr>
          <w:rFonts w:cs="Times New Roman"/>
          <w:i/>
          <w:iCs/>
          <w:szCs w:val="24"/>
        </w:rPr>
        <w:t>Delcourt</w:t>
      </w:r>
      <w:proofErr w:type="spellEnd"/>
      <w:r w:rsidR="00D822AC" w:rsidRPr="00556DA2">
        <w:rPr>
          <w:rFonts w:cs="Times New Roman"/>
          <w:i/>
          <w:iCs/>
          <w:szCs w:val="24"/>
        </w:rPr>
        <w:t xml:space="preserve"> v. </w:t>
      </w:r>
      <w:proofErr w:type="spellStart"/>
      <w:r w:rsidR="00D822AC" w:rsidRPr="00556DA2">
        <w:rPr>
          <w:rFonts w:cs="Times New Roman"/>
          <w:i/>
          <w:iCs/>
          <w:szCs w:val="24"/>
        </w:rPr>
        <w:t>Belgium</w:t>
      </w:r>
      <w:proofErr w:type="spellEnd"/>
      <w:r w:rsidR="00D822AC" w:rsidRPr="00556DA2">
        <w:rPr>
          <w:rFonts w:cs="Times New Roman"/>
          <w:i/>
          <w:iCs/>
          <w:szCs w:val="24"/>
        </w:rPr>
        <w:t>”, iesnieguma Nr. </w:t>
      </w:r>
      <w:hyperlink r:id="rId19" w:anchor="{%22tabview%22:[%22document%22],%22itemid%22:[%22001-57467%22]}" w:history="1">
        <w:r w:rsidR="00D822AC" w:rsidRPr="00556DA2">
          <w:rPr>
            <w:rStyle w:val="Hyperlink"/>
            <w:rFonts w:cs="Times New Roman"/>
            <w:i/>
            <w:iCs/>
            <w:szCs w:val="24"/>
          </w:rPr>
          <w:t>2689/65</w:t>
        </w:r>
      </w:hyperlink>
      <w:r w:rsidR="00D822AC">
        <w:rPr>
          <w:rFonts w:cs="Times New Roman"/>
          <w:i/>
          <w:iCs/>
          <w:szCs w:val="24"/>
        </w:rPr>
        <w:t>,</w:t>
      </w:r>
      <w:r w:rsidR="00D822AC" w:rsidRPr="00D822AC">
        <w:rPr>
          <w:rFonts w:cs="Times New Roman"/>
          <w:i/>
          <w:szCs w:val="24"/>
        </w:rPr>
        <w:t xml:space="preserve"> </w:t>
      </w:r>
      <w:r w:rsidR="00D822AC">
        <w:rPr>
          <w:rFonts w:cs="Times New Roman"/>
          <w:i/>
          <w:szCs w:val="24"/>
        </w:rPr>
        <w:t>2008. gada 5. februāra</w:t>
      </w:r>
      <w:r w:rsidR="00D822AC">
        <w:rPr>
          <w:rFonts w:cs="Times New Roman"/>
          <w:szCs w:val="24"/>
        </w:rPr>
        <w:t xml:space="preserve"> </w:t>
      </w:r>
      <w:r w:rsidR="00D822AC" w:rsidRPr="004F7FC2">
        <w:rPr>
          <w:rFonts w:cs="Times New Roman"/>
          <w:i/>
          <w:iCs/>
          <w:szCs w:val="24"/>
        </w:rPr>
        <w:t>spriedum</w:t>
      </w:r>
      <w:r w:rsidR="00D822AC">
        <w:rPr>
          <w:rFonts w:cs="Times New Roman"/>
          <w:i/>
          <w:iCs/>
          <w:szCs w:val="24"/>
        </w:rPr>
        <w:t>s</w:t>
      </w:r>
      <w:r w:rsidR="00D822AC" w:rsidRPr="004F7FC2">
        <w:rPr>
          <w:rFonts w:cs="Times New Roman"/>
          <w:i/>
          <w:iCs/>
          <w:szCs w:val="24"/>
        </w:rPr>
        <w:t xml:space="preserve"> lietā</w:t>
      </w:r>
      <w:proofErr w:type="gramStart"/>
      <w:r w:rsidR="00D822AC" w:rsidRPr="004F7FC2">
        <w:rPr>
          <w:rFonts w:cs="Times New Roman"/>
          <w:i/>
          <w:iCs/>
          <w:szCs w:val="24"/>
        </w:rPr>
        <w:t xml:space="preserve"> ,,</w:t>
      </w:r>
      <w:proofErr w:type="spellStart"/>
      <w:proofErr w:type="gramEnd"/>
      <w:r w:rsidR="00D822AC" w:rsidRPr="004F7FC2">
        <w:rPr>
          <w:rFonts w:cs="Times New Roman"/>
          <w:i/>
          <w:iCs/>
          <w:szCs w:val="24"/>
        </w:rPr>
        <w:t>Ramanauskas</w:t>
      </w:r>
      <w:proofErr w:type="spellEnd"/>
      <w:r w:rsidR="00D822AC" w:rsidRPr="004F7FC2">
        <w:rPr>
          <w:rFonts w:cs="Times New Roman"/>
          <w:i/>
          <w:iCs/>
          <w:szCs w:val="24"/>
        </w:rPr>
        <w:t xml:space="preserve"> v. </w:t>
      </w:r>
      <w:proofErr w:type="spellStart"/>
      <w:r w:rsidR="00D822AC" w:rsidRPr="004F7FC2">
        <w:rPr>
          <w:rFonts w:cs="Times New Roman"/>
          <w:i/>
          <w:iCs/>
          <w:szCs w:val="24"/>
        </w:rPr>
        <w:t>Lithuania</w:t>
      </w:r>
      <w:proofErr w:type="spellEnd"/>
      <w:r w:rsidR="00D822AC" w:rsidRPr="004F7FC2">
        <w:rPr>
          <w:rFonts w:cs="Times New Roman"/>
          <w:i/>
          <w:iCs/>
          <w:szCs w:val="24"/>
        </w:rPr>
        <w:t>”, iesnieguma Nr. </w:t>
      </w:r>
      <w:hyperlink r:id="rId20" w:anchor="{%22tabview%22:[%22document%22],%22itemid%22:[%22001-84935%22]}" w:history="1">
        <w:r w:rsidR="00D822AC" w:rsidRPr="004F7FC2">
          <w:rPr>
            <w:rStyle w:val="Hyperlink"/>
            <w:rFonts w:cs="Times New Roman"/>
            <w:i/>
            <w:iCs/>
            <w:szCs w:val="24"/>
          </w:rPr>
          <w:t>74420/01</w:t>
        </w:r>
      </w:hyperlink>
      <w:r w:rsidR="0073124D">
        <w:rPr>
          <w:rStyle w:val="Hyperlink"/>
          <w:rFonts w:cs="Times New Roman"/>
          <w:i/>
          <w:iCs/>
          <w:color w:val="auto"/>
          <w:szCs w:val="24"/>
          <w:u w:val="none"/>
        </w:rPr>
        <w:t>,</w:t>
      </w:r>
      <w:r w:rsidR="00D822AC">
        <w:rPr>
          <w:rFonts w:cs="Times New Roman"/>
          <w:i/>
          <w:iCs/>
          <w:szCs w:val="24"/>
        </w:rPr>
        <w:t xml:space="preserve"> un </w:t>
      </w:r>
      <w:r w:rsidR="00556DA2">
        <w:rPr>
          <w:rStyle w:val="sa36b60a1"/>
          <w:rFonts w:cs="Times New Roman"/>
          <w:i/>
          <w:iCs/>
          <w:shd w:val="clear" w:color="auto" w:fill="FFFFFF"/>
        </w:rPr>
        <w:t xml:space="preserve">2021. gada </w:t>
      </w:r>
      <w:r w:rsidR="007907B2">
        <w:rPr>
          <w:rStyle w:val="sa36b60a1"/>
          <w:rFonts w:cs="Times New Roman"/>
          <w:i/>
          <w:iCs/>
          <w:shd w:val="clear" w:color="auto" w:fill="FFFFFF"/>
        </w:rPr>
        <w:t>16</w:t>
      </w:r>
      <w:r w:rsidR="00556DA2">
        <w:rPr>
          <w:rStyle w:val="sa36b60a1"/>
          <w:rFonts w:cs="Times New Roman"/>
          <w:i/>
          <w:iCs/>
          <w:shd w:val="clear" w:color="auto" w:fill="FFFFFF"/>
        </w:rPr>
        <w:t>. decembra spriedum</w:t>
      </w:r>
      <w:r w:rsidR="00092F16">
        <w:rPr>
          <w:rStyle w:val="sa36b60a1"/>
          <w:rFonts w:cs="Times New Roman"/>
          <w:i/>
          <w:iCs/>
          <w:shd w:val="clear" w:color="auto" w:fill="FFFFFF"/>
        </w:rPr>
        <w:t>s</w:t>
      </w:r>
      <w:r w:rsidR="00556DA2">
        <w:rPr>
          <w:rStyle w:val="sa36b60a1"/>
          <w:rFonts w:cs="Times New Roman"/>
          <w:i/>
          <w:iCs/>
          <w:shd w:val="clear" w:color="auto" w:fill="FFFFFF"/>
        </w:rPr>
        <w:t xml:space="preserve"> lietā</w:t>
      </w:r>
      <w:proofErr w:type="gramStart"/>
      <w:r w:rsidR="00556DA2">
        <w:rPr>
          <w:rStyle w:val="sa36b60a1"/>
          <w:rFonts w:cs="Times New Roman"/>
          <w:i/>
          <w:iCs/>
          <w:shd w:val="clear" w:color="auto" w:fill="FFFFFF"/>
        </w:rPr>
        <w:t xml:space="preserve"> ,,</w:t>
      </w:r>
      <w:proofErr w:type="spellStart"/>
      <w:proofErr w:type="gramEnd"/>
      <w:r w:rsidR="00556DA2">
        <w:rPr>
          <w:rStyle w:val="sa36b60a1"/>
          <w:rFonts w:cs="Times New Roman"/>
          <w:i/>
          <w:iCs/>
          <w:shd w:val="clear" w:color="auto" w:fill="FFFFFF"/>
        </w:rPr>
        <w:t>Yakhymovych</w:t>
      </w:r>
      <w:proofErr w:type="spellEnd"/>
      <w:r w:rsidR="00556DA2">
        <w:rPr>
          <w:rStyle w:val="sa36b60a1"/>
          <w:rFonts w:cs="Times New Roman"/>
          <w:i/>
          <w:iCs/>
          <w:shd w:val="clear" w:color="auto" w:fill="FFFFFF"/>
        </w:rPr>
        <w:t xml:space="preserve"> v. </w:t>
      </w:r>
      <w:proofErr w:type="spellStart"/>
      <w:r w:rsidR="00556DA2">
        <w:rPr>
          <w:rStyle w:val="sa36b60a1"/>
          <w:rFonts w:cs="Times New Roman"/>
          <w:i/>
          <w:iCs/>
          <w:shd w:val="clear" w:color="auto" w:fill="FFFFFF"/>
        </w:rPr>
        <w:t>Ukraine</w:t>
      </w:r>
      <w:proofErr w:type="spellEnd"/>
      <w:r w:rsidR="00556DA2">
        <w:rPr>
          <w:rStyle w:val="sa36b60a1"/>
          <w:rFonts w:cs="Times New Roman"/>
          <w:i/>
          <w:iCs/>
          <w:shd w:val="clear" w:color="auto" w:fill="FFFFFF"/>
        </w:rPr>
        <w:t>”</w:t>
      </w:r>
      <w:r w:rsidRPr="002A2E1F">
        <w:rPr>
          <w:rStyle w:val="s29100277"/>
          <w:rFonts w:cs="Times New Roman"/>
        </w:rPr>
        <w:t>,</w:t>
      </w:r>
      <w:r w:rsidR="00556DA2">
        <w:rPr>
          <w:rStyle w:val="s29100277"/>
          <w:rFonts w:cs="Times New Roman"/>
        </w:rPr>
        <w:t xml:space="preserve"> </w:t>
      </w:r>
      <w:r w:rsidR="00556DA2">
        <w:rPr>
          <w:rStyle w:val="sa36b60a1"/>
          <w:rFonts w:cs="Times New Roman"/>
          <w:i/>
          <w:iCs/>
        </w:rPr>
        <w:t>iesnieguma Nr</w:t>
      </w:r>
      <w:r w:rsidRPr="002A2E1F">
        <w:rPr>
          <w:rStyle w:val="sa36b60a1"/>
          <w:rFonts w:cs="Times New Roman"/>
          <w:i/>
          <w:iCs/>
        </w:rPr>
        <w:t>.</w:t>
      </w:r>
      <w:r w:rsidR="007907B2">
        <w:rPr>
          <w:rStyle w:val="sa36b60a1"/>
          <w:rFonts w:cs="Times New Roman"/>
          <w:i/>
          <w:iCs/>
        </w:rPr>
        <w:t> </w:t>
      </w:r>
      <w:hyperlink r:id="rId21" w:anchor="{%22tabview%22:[%22document%22],%22itemid%22:[%22001-214013%22]}" w:history="1">
        <w:r w:rsidR="00556DA2" w:rsidRPr="00556DA2">
          <w:rPr>
            <w:rStyle w:val="Hyperlink"/>
            <w:rFonts w:cs="Times New Roman"/>
            <w:i/>
            <w:iCs/>
          </w:rPr>
          <w:t>23476/15</w:t>
        </w:r>
      </w:hyperlink>
      <w:r w:rsidRPr="00874FDD">
        <w:rPr>
          <w:rFonts w:cs="Times New Roman"/>
          <w:szCs w:val="24"/>
        </w:rPr>
        <w:t>).</w:t>
      </w:r>
    </w:p>
    <w:p w14:paraId="3B462741" w14:textId="132DC022" w:rsidR="00980683" w:rsidRDefault="00980683" w:rsidP="00980683">
      <w:pPr>
        <w:widowControl w:val="0"/>
        <w:tabs>
          <w:tab w:val="left" w:pos="6096"/>
        </w:tabs>
        <w:spacing w:after="0" w:line="276" w:lineRule="auto"/>
        <w:ind w:firstLine="720"/>
        <w:jc w:val="both"/>
      </w:pPr>
      <w:r>
        <w:t>[</w:t>
      </w:r>
      <w:r w:rsidR="004F7FC2">
        <w:t>4</w:t>
      </w:r>
      <w:r>
        <w:t>.5]</w:t>
      </w:r>
      <w:r w:rsidR="004F7FC2">
        <w:t> </w:t>
      </w:r>
      <w:r>
        <w:t>Pamatojoties uz izklāstītajiem argumentiem, Senāts atzīst, ka apelācijas instances tiesa, nemotivējot lietas iztiesāšanu rakstveida procesā saskaņā ar</w:t>
      </w:r>
      <w:r w:rsidRPr="001F291A">
        <w:t xml:space="preserve"> </w:t>
      </w:r>
      <w:r>
        <w:t>Covid-19 infekcijas izplatības pārvaldības likuma 12. panta pirmo daļu un neņemot vērā Kriminālprocesa likuma 559. panta ceturtajā daļā noteikto, ir pārkāpusi Kriminālprocesa likuma 15. pantu, tādēļ Kurzemes apgabaltiesas 2023. gada 23. maija lēmums ir atceļams pilnībā.</w:t>
      </w:r>
    </w:p>
    <w:p w14:paraId="5B98E83C" w14:textId="77777777" w:rsidR="00980683" w:rsidRDefault="00980683" w:rsidP="00980683">
      <w:pPr>
        <w:widowControl w:val="0"/>
        <w:tabs>
          <w:tab w:val="left" w:pos="6096"/>
        </w:tabs>
        <w:spacing w:after="0" w:line="276" w:lineRule="auto"/>
        <w:ind w:firstLine="720"/>
        <w:jc w:val="both"/>
      </w:pPr>
    </w:p>
    <w:p w14:paraId="52B434EF" w14:textId="6E698636" w:rsidR="00980683" w:rsidRPr="0054353F" w:rsidRDefault="00980683" w:rsidP="00980683">
      <w:pPr>
        <w:widowControl w:val="0"/>
        <w:spacing w:after="0" w:line="276" w:lineRule="auto"/>
        <w:ind w:firstLine="720"/>
        <w:jc w:val="both"/>
        <w:rPr>
          <w:rFonts w:asciiTheme="majorBidi" w:hAnsiTheme="majorBidi" w:cstheme="majorBidi"/>
          <w:szCs w:val="24"/>
        </w:rPr>
      </w:pPr>
      <w:r>
        <w:t>[</w:t>
      </w:r>
      <w:r w:rsidR="004F7FC2">
        <w:t>5</w:t>
      </w:r>
      <w:r>
        <w:t>]</w:t>
      </w:r>
      <w:r w:rsidRPr="0054353F">
        <w:rPr>
          <w:rFonts w:asciiTheme="majorBidi" w:eastAsia="Times New Roman" w:hAnsiTheme="majorBidi" w:cstheme="majorBidi"/>
          <w:szCs w:val="24"/>
          <w:lang w:eastAsia="ru-RU"/>
        </w:rPr>
        <w:t xml:space="preserve"> Ņemot vērā, ka pārējie kasācijas sūdzībā ietvertie argumenti ir saistīti ar </w:t>
      </w:r>
      <w:r w:rsidR="00EA706B">
        <w:rPr>
          <w:rFonts w:asciiTheme="majorBidi" w:eastAsia="Times New Roman" w:hAnsiTheme="majorBidi" w:cstheme="majorBidi"/>
          <w:szCs w:val="24"/>
          <w:lang w:eastAsia="ru-RU"/>
        </w:rPr>
        <w:t>pierādījumu</w:t>
      </w:r>
      <w:r w:rsidRPr="0054353F">
        <w:rPr>
          <w:rFonts w:asciiTheme="majorBidi" w:eastAsia="Times New Roman" w:hAnsiTheme="majorBidi" w:cstheme="majorBidi"/>
          <w:szCs w:val="24"/>
          <w:lang w:eastAsia="ru-RU"/>
        </w:rPr>
        <w:t xml:space="preserve"> vērtējumu, Senāts tos šajā lēmumā nevērtēs, jo lieta atkārtoti izskatāma apelācijas instances tiesā atbilstoši Kriminālprocesa likuma 53. nodaļā noteiktajam.</w:t>
      </w:r>
    </w:p>
    <w:p w14:paraId="665F9A93" w14:textId="77777777" w:rsidR="00980683" w:rsidRPr="0054353F" w:rsidRDefault="00980683" w:rsidP="00980683">
      <w:pPr>
        <w:widowControl w:val="0"/>
        <w:spacing w:after="0" w:line="276" w:lineRule="auto"/>
        <w:ind w:firstLine="720"/>
        <w:jc w:val="both"/>
        <w:rPr>
          <w:rFonts w:asciiTheme="majorBidi" w:eastAsia="Times New Roman" w:hAnsiTheme="majorBidi" w:cstheme="majorBidi"/>
          <w:szCs w:val="24"/>
          <w:lang w:eastAsia="ru-RU"/>
        </w:rPr>
      </w:pPr>
    </w:p>
    <w:p w14:paraId="1F69A381" w14:textId="1B18D74F" w:rsidR="00EA706B" w:rsidRPr="007B2802" w:rsidRDefault="00980683" w:rsidP="00EA706B">
      <w:pPr>
        <w:widowControl w:val="0"/>
        <w:tabs>
          <w:tab w:val="left" w:pos="1134"/>
        </w:tabs>
        <w:spacing w:line="276" w:lineRule="auto"/>
        <w:ind w:firstLine="720"/>
        <w:jc w:val="both"/>
        <w:rPr>
          <w:rFonts w:asciiTheme="majorBidi" w:hAnsiTheme="majorBidi" w:cstheme="majorBidi"/>
        </w:rPr>
      </w:pPr>
      <w:r w:rsidRPr="0054353F">
        <w:rPr>
          <w:rFonts w:asciiTheme="majorBidi" w:eastAsia="Times New Roman" w:hAnsiTheme="majorBidi" w:cstheme="majorBidi"/>
          <w:szCs w:val="24"/>
          <w:lang w:eastAsia="ru-RU"/>
        </w:rPr>
        <w:t>[</w:t>
      </w:r>
      <w:r w:rsidR="004F7FC2">
        <w:rPr>
          <w:rFonts w:asciiTheme="majorBidi" w:eastAsia="Times New Roman" w:hAnsiTheme="majorBidi" w:cstheme="majorBidi"/>
          <w:szCs w:val="24"/>
          <w:lang w:eastAsia="ru-RU"/>
        </w:rPr>
        <w:t>6</w:t>
      </w:r>
      <w:r w:rsidRPr="0054353F">
        <w:rPr>
          <w:rFonts w:asciiTheme="majorBidi" w:eastAsia="Times New Roman" w:hAnsiTheme="majorBidi" w:cstheme="majorBidi"/>
          <w:szCs w:val="24"/>
          <w:lang w:eastAsia="ru-RU"/>
        </w:rPr>
        <w:t>] </w:t>
      </w:r>
      <w:r w:rsidR="00EA706B" w:rsidRPr="007B2802">
        <w:rPr>
          <w:rFonts w:asciiTheme="majorBidi" w:hAnsiTheme="majorBidi" w:cstheme="majorBidi"/>
        </w:rPr>
        <w:t xml:space="preserve">Apelācijas instances tiesa atstājusi negrozītu apsūdzētajam </w:t>
      </w:r>
      <w:bookmarkStart w:id="13" w:name="_Hlk135038690"/>
      <w:r w:rsidR="005D5325">
        <w:rPr>
          <w:rFonts w:asciiTheme="majorBidi" w:hAnsiTheme="majorBidi" w:cstheme="majorBidi"/>
          <w:szCs w:val="24"/>
        </w:rPr>
        <w:t>[pers. </w:t>
      </w:r>
      <w:r w:rsidR="005D5325">
        <w:t>A]</w:t>
      </w:r>
      <w:r w:rsidR="00EA706B">
        <w:rPr>
          <w:rFonts w:asciiTheme="majorBidi" w:hAnsiTheme="majorBidi" w:cstheme="majorBidi"/>
          <w:szCs w:val="24"/>
        </w:rPr>
        <w:t xml:space="preserve"> </w:t>
      </w:r>
      <w:r w:rsidR="00EA706B" w:rsidRPr="007B2802">
        <w:rPr>
          <w:rFonts w:asciiTheme="majorBidi" w:hAnsiTheme="majorBidi" w:cstheme="majorBidi"/>
        </w:rPr>
        <w:t xml:space="preserve">piemērotos </w:t>
      </w:r>
      <w:bookmarkStart w:id="14" w:name="_Hlk145593271"/>
      <w:r w:rsidR="00EA706B" w:rsidRPr="007B2802">
        <w:rPr>
          <w:rFonts w:asciiTheme="majorBidi" w:hAnsiTheme="majorBidi" w:cstheme="majorBidi"/>
        </w:rPr>
        <w:t>drošības līdzekļus</w:t>
      </w:r>
      <w:r w:rsidR="00EA706B">
        <w:rPr>
          <w:rFonts w:asciiTheme="majorBidi" w:hAnsiTheme="majorBidi" w:cstheme="majorBidi"/>
        </w:rPr>
        <w:t xml:space="preserve"> </w:t>
      </w:r>
      <w:r w:rsidR="00EA706B" w:rsidRPr="007B2802">
        <w:rPr>
          <w:rFonts w:asciiTheme="majorBidi" w:hAnsiTheme="majorBidi" w:cstheme="majorBidi"/>
        </w:rPr>
        <w:t>–</w:t>
      </w:r>
      <w:r w:rsidR="00EA706B">
        <w:rPr>
          <w:rFonts w:asciiTheme="majorBidi" w:hAnsiTheme="majorBidi" w:cstheme="majorBidi"/>
        </w:rPr>
        <w:t xml:space="preserve"> </w:t>
      </w:r>
      <w:bookmarkStart w:id="15" w:name="_Hlk129674621"/>
      <w:r w:rsidR="00EA706B" w:rsidRPr="00EA706B">
        <w:rPr>
          <w:rFonts w:ascii="TimesNewRomanPSMT" w:hAnsi="TimesNewRomanPSMT" w:cs="TimesNewRomanPSMT"/>
          <w:szCs w:val="24"/>
          <w14:ligatures w14:val="standardContextual"/>
        </w:rPr>
        <w:t xml:space="preserve">dzīvesvietas maiņas paziņošana </w:t>
      </w:r>
      <w:bookmarkEnd w:id="15"/>
      <w:r w:rsidR="00EA706B">
        <w:rPr>
          <w:rFonts w:asciiTheme="majorBidi" w:hAnsiTheme="majorBidi" w:cstheme="majorBidi"/>
        </w:rPr>
        <w:t>un aizliegums</w:t>
      </w:r>
      <w:r w:rsidR="00EA706B" w:rsidRPr="00EA706B">
        <w:rPr>
          <w:rFonts w:ascii="TimesNewRomanPSMT" w:hAnsi="TimesNewRomanPSMT" w:cs="TimesNewRomanPSMT"/>
          <w:szCs w:val="24"/>
          <w14:ligatures w14:val="standardContextual"/>
        </w:rPr>
        <w:t xml:space="preserve"> izbraukt no valsts</w:t>
      </w:r>
      <w:r w:rsidR="00EA706B" w:rsidRPr="007B2802">
        <w:rPr>
          <w:rFonts w:asciiTheme="majorBidi" w:hAnsiTheme="majorBidi" w:cstheme="majorBidi"/>
        </w:rPr>
        <w:t>.</w:t>
      </w:r>
      <w:bookmarkEnd w:id="14"/>
      <w:r w:rsidR="00EA706B" w:rsidRPr="007B2802">
        <w:rPr>
          <w:rFonts w:asciiTheme="majorBidi" w:hAnsiTheme="majorBidi" w:cstheme="majorBidi"/>
        </w:rPr>
        <w:t xml:space="preserve"> </w:t>
      </w:r>
      <w:bookmarkEnd w:id="13"/>
      <w:r w:rsidR="00EA706B" w:rsidRPr="007B2802">
        <w:rPr>
          <w:rFonts w:asciiTheme="majorBidi" w:hAnsiTheme="majorBidi" w:cstheme="majorBidi"/>
        </w:rPr>
        <w:t xml:space="preserve">Senāts atzīst, ka minētie drošības līdzekļi ir samērīgi un to piemērošanas turpināšana nepamatoti neierobežos apsūdzētā </w:t>
      </w:r>
      <w:r w:rsidR="005D5325">
        <w:rPr>
          <w:rFonts w:asciiTheme="majorBidi" w:hAnsiTheme="majorBidi" w:cstheme="majorBidi"/>
          <w:szCs w:val="24"/>
        </w:rPr>
        <w:t>[pers. A]</w:t>
      </w:r>
      <w:r w:rsidR="00EA706B">
        <w:rPr>
          <w:rFonts w:asciiTheme="majorBidi" w:hAnsiTheme="majorBidi" w:cstheme="majorBidi"/>
          <w:szCs w:val="24"/>
        </w:rPr>
        <w:t xml:space="preserve"> </w:t>
      </w:r>
      <w:r w:rsidR="00EA706B" w:rsidRPr="007B2802">
        <w:rPr>
          <w:rFonts w:asciiTheme="majorBidi" w:hAnsiTheme="majorBidi" w:cstheme="majorBidi"/>
        </w:rPr>
        <w:t>pamattiesības.</w:t>
      </w:r>
    </w:p>
    <w:p w14:paraId="5EBF3610" w14:textId="77777777" w:rsidR="00EA706B" w:rsidRDefault="00EA706B" w:rsidP="00980683">
      <w:pPr>
        <w:widowControl w:val="0"/>
        <w:spacing w:after="0" w:line="276" w:lineRule="auto"/>
        <w:jc w:val="center"/>
        <w:rPr>
          <w:rFonts w:asciiTheme="majorBidi" w:eastAsia="Times New Roman" w:hAnsiTheme="majorBidi" w:cstheme="majorBidi"/>
          <w:b/>
          <w:color w:val="000000" w:themeColor="text1"/>
          <w:szCs w:val="24"/>
          <w:lang w:eastAsia="ru-RU"/>
        </w:rPr>
      </w:pPr>
    </w:p>
    <w:p w14:paraId="1803A52A" w14:textId="5B978466" w:rsidR="00980683" w:rsidRPr="0054353F" w:rsidRDefault="00980683" w:rsidP="00980683">
      <w:pPr>
        <w:widowControl w:val="0"/>
        <w:spacing w:after="0" w:line="276" w:lineRule="auto"/>
        <w:jc w:val="center"/>
        <w:rPr>
          <w:rFonts w:asciiTheme="majorBidi" w:eastAsia="Times New Roman" w:hAnsiTheme="majorBidi" w:cstheme="majorBidi"/>
          <w:b/>
          <w:color w:val="000000" w:themeColor="text1"/>
          <w:szCs w:val="24"/>
          <w:lang w:eastAsia="ru-RU"/>
        </w:rPr>
      </w:pPr>
      <w:r w:rsidRPr="0054353F">
        <w:rPr>
          <w:rFonts w:asciiTheme="majorBidi" w:eastAsia="Times New Roman" w:hAnsiTheme="majorBidi" w:cstheme="majorBidi"/>
          <w:b/>
          <w:color w:val="000000" w:themeColor="text1"/>
          <w:szCs w:val="24"/>
          <w:lang w:eastAsia="ru-RU"/>
        </w:rPr>
        <w:t>Rezolutīvā daļa</w:t>
      </w:r>
    </w:p>
    <w:p w14:paraId="5EE3F128" w14:textId="77777777" w:rsidR="00980683" w:rsidRPr="0054353F" w:rsidRDefault="00980683" w:rsidP="00980683">
      <w:pPr>
        <w:widowControl w:val="0"/>
        <w:spacing w:after="0" w:line="276" w:lineRule="auto"/>
        <w:ind w:firstLine="720"/>
        <w:jc w:val="center"/>
        <w:rPr>
          <w:rFonts w:asciiTheme="majorBidi" w:eastAsia="Times New Roman" w:hAnsiTheme="majorBidi" w:cstheme="majorBidi"/>
          <w:b/>
          <w:color w:val="000000" w:themeColor="text1"/>
          <w:szCs w:val="24"/>
          <w:lang w:eastAsia="ru-RU"/>
        </w:rPr>
      </w:pPr>
    </w:p>
    <w:p w14:paraId="69A76E82" w14:textId="77777777" w:rsidR="00980683" w:rsidRDefault="00980683" w:rsidP="00980683">
      <w:pPr>
        <w:widowControl w:val="0"/>
        <w:spacing w:after="0" w:line="276" w:lineRule="auto"/>
        <w:ind w:firstLine="720"/>
        <w:jc w:val="both"/>
        <w:rPr>
          <w:rFonts w:asciiTheme="majorBidi" w:eastAsia="Times New Roman" w:hAnsiTheme="majorBidi" w:cstheme="majorBidi"/>
          <w:color w:val="000000" w:themeColor="text1"/>
          <w:szCs w:val="24"/>
          <w:lang w:eastAsia="ru-RU"/>
        </w:rPr>
      </w:pPr>
      <w:r w:rsidRPr="0054353F">
        <w:rPr>
          <w:rFonts w:asciiTheme="majorBidi" w:eastAsia="Times New Roman" w:hAnsiTheme="majorBidi" w:cstheme="majorBidi"/>
          <w:color w:val="000000" w:themeColor="text1"/>
          <w:szCs w:val="24"/>
          <w:lang w:eastAsia="ru-RU"/>
        </w:rPr>
        <w:t>Pamatojoties uz Kriminālprocesa likuma 585. un 587. panta pirmās daļas 2. punktu, Senāts</w:t>
      </w:r>
    </w:p>
    <w:p w14:paraId="35611F94" w14:textId="77777777" w:rsidR="0073124D" w:rsidRPr="0054353F" w:rsidRDefault="0073124D" w:rsidP="0000238F">
      <w:pPr>
        <w:widowControl w:val="0"/>
        <w:spacing w:after="0" w:line="276" w:lineRule="auto"/>
        <w:jc w:val="both"/>
        <w:rPr>
          <w:rFonts w:asciiTheme="majorBidi" w:eastAsia="Times New Roman" w:hAnsiTheme="majorBidi" w:cstheme="majorBidi"/>
          <w:color w:val="000000" w:themeColor="text1"/>
          <w:szCs w:val="24"/>
          <w:lang w:eastAsia="ru-RU"/>
        </w:rPr>
      </w:pPr>
    </w:p>
    <w:p w14:paraId="57476F68" w14:textId="77777777" w:rsidR="00980683" w:rsidRPr="0054353F" w:rsidRDefault="00980683" w:rsidP="00980683">
      <w:pPr>
        <w:widowControl w:val="0"/>
        <w:spacing w:after="0" w:line="276" w:lineRule="auto"/>
        <w:jc w:val="center"/>
        <w:rPr>
          <w:rFonts w:asciiTheme="majorBidi" w:eastAsia="Times New Roman" w:hAnsiTheme="majorBidi" w:cstheme="majorBidi"/>
          <w:b/>
          <w:color w:val="000000" w:themeColor="text1"/>
          <w:szCs w:val="24"/>
          <w:lang w:eastAsia="ru-RU"/>
        </w:rPr>
      </w:pPr>
      <w:r w:rsidRPr="0054353F">
        <w:rPr>
          <w:rFonts w:asciiTheme="majorBidi" w:eastAsia="Times New Roman" w:hAnsiTheme="majorBidi" w:cstheme="majorBidi"/>
          <w:b/>
          <w:color w:val="000000" w:themeColor="text1"/>
          <w:szCs w:val="24"/>
          <w:lang w:eastAsia="ru-RU"/>
        </w:rPr>
        <w:t>nolēma</w:t>
      </w:r>
    </w:p>
    <w:p w14:paraId="6A89BE1F" w14:textId="77777777" w:rsidR="00980683" w:rsidRPr="0054353F" w:rsidRDefault="00980683" w:rsidP="00980683">
      <w:pPr>
        <w:widowControl w:val="0"/>
        <w:spacing w:after="0" w:line="276" w:lineRule="auto"/>
        <w:ind w:firstLine="720"/>
        <w:jc w:val="center"/>
        <w:rPr>
          <w:rFonts w:asciiTheme="majorBidi" w:eastAsia="Times New Roman" w:hAnsiTheme="majorBidi" w:cstheme="majorBidi"/>
          <w:b/>
          <w:color w:val="000000" w:themeColor="text1"/>
          <w:szCs w:val="24"/>
          <w:lang w:eastAsia="ru-RU"/>
        </w:rPr>
      </w:pPr>
    </w:p>
    <w:p w14:paraId="414FA731" w14:textId="57CBB3DE" w:rsidR="00980683" w:rsidRPr="0054353F" w:rsidRDefault="00980683" w:rsidP="00980683">
      <w:pPr>
        <w:widowControl w:val="0"/>
        <w:spacing w:after="0" w:line="276" w:lineRule="auto"/>
        <w:ind w:firstLine="720"/>
        <w:jc w:val="both"/>
        <w:rPr>
          <w:rFonts w:asciiTheme="majorBidi" w:eastAsia="Times New Roman" w:hAnsiTheme="majorBidi" w:cstheme="majorBidi"/>
          <w:szCs w:val="24"/>
          <w:lang w:eastAsia="lv-LV"/>
        </w:rPr>
      </w:pPr>
      <w:r w:rsidRPr="0054353F">
        <w:rPr>
          <w:rFonts w:asciiTheme="majorBidi" w:eastAsia="Times New Roman" w:hAnsiTheme="majorBidi" w:cstheme="majorBidi"/>
          <w:szCs w:val="24"/>
          <w:lang w:eastAsia="ru-RU"/>
        </w:rPr>
        <w:t>atcelt</w:t>
      </w:r>
      <w:r w:rsidR="00EA706B">
        <w:rPr>
          <w:rFonts w:asciiTheme="majorBidi" w:eastAsia="Times New Roman" w:hAnsiTheme="majorBidi" w:cstheme="majorBidi"/>
          <w:szCs w:val="24"/>
          <w:lang w:eastAsia="ru-RU"/>
        </w:rPr>
        <w:t xml:space="preserve"> </w:t>
      </w:r>
      <w:r w:rsidR="00EA706B">
        <w:t>Kurzemes apgabaltiesas 2023. gada 23. maija lēmumu</w:t>
      </w:r>
      <w:r>
        <w:rPr>
          <w:rFonts w:asciiTheme="majorBidi" w:eastAsia="Times New Roman" w:hAnsiTheme="majorBidi" w:cstheme="majorBidi"/>
          <w:szCs w:val="24"/>
          <w:lang w:eastAsia="ru-RU"/>
        </w:rPr>
        <w:t xml:space="preserve"> pilnībā</w:t>
      </w:r>
      <w:r w:rsidRPr="0054353F">
        <w:rPr>
          <w:rFonts w:asciiTheme="majorBidi" w:eastAsia="Times New Roman" w:hAnsiTheme="majorBidi" w:cstheme="majorBidi"/>
          <w:szCs w:val="24"/>
          <w:lang w:eastAsia="ru-RU"/>
        </w:rPr>
        <w:t xml:space="preserve"> </w:t>
      </w:r>
      <w:r>
        <w:rPr>
          <w:rFonts w:asciiTheme="majorBidi" w:eastAsia="Times New Roman" w:hAnsiTheme="majorBidi" w:cstheme="majorBidi"/>
          <w:szCs w:val="24"/>
          <w:lang w:eastAsia="ru-RU"/>
        </w:rPr>
        <w:t xml:space="preserve">un </w:t>
      </w:r>
      <w:r w:rsidRPr="0054353F">
        <w:rPr>
          <w:rFonts w:asciiTheme="majorBidi" w:eastAsia="Times New Roman" w:hAnsiTheme="majorBidi" w:cstheme="majorBidi"/>
          <w:szCs w:val="24"/>
          <w:lang w:eastAsia="lv-LV"/>
        </w:rPr>
        <w:t xml:space="preserve">lietu nosūtīt jaunai izskatīšanai </w:t>
      </w:r>
      <w:r w:rsidR="00EA706B">
        <w:t>Kurzemes</w:t>
      </w:r>
      <w:r w:rsidR="00EA706B" w:rsidRPr="0054353F">
        <w:rPr>
          <w:rFonts w:asciiTheme="majorBidi" w:eastAsia="Times New Roman" w:hAnsiTheme="majorBidi" w:cstheme="majorBidi"/>
          <w:szCs w:val="24"/>
          <w:lang w:eastAsia="lv-LV"/>
        </w:rPr>
        <w:t xml:space="preserve"> </w:t>
      </w:r>
      <w:r w:rsidRPr="0054353F">
        <w:rPr>
          <w:rFonts w:asciiTheme="majorBidi" w:eastAsia="Times New Roman" w:hAnsiTheme="majorBidi" w:cstheme="majorBidi"/>
          <w:szCs w:val="24"/>
          <w:lang w:eastAsia="lv-LV"/>
        </w:rPr>
        <w:t>apgabaltiesā</w:t>
      </w:r>
      <w:r>
        <w:rPr>
          <w:rFonts w:asciiTheme="majorBidi" w:eastAsia="Times New Roman" w:hAnsiTheme="majorBidi" w:cstheme="majorBidi"/>
          <w:szCs w:val="24"/>
          <w:lang w:eastAsia="lv-LV"/>
        </w:rPr>
        <w:t>.</w:t>
      </w:r>
    </w:p>
    <w:p w14:paraId="27CDED47" w14:textId="425F9C0A" w:rsidR="00980683" w:rsidRDefault="005D5325" w:rsidP="00980683">
      <w:pPr>
        <w:widowControl w:val="0"/>
        <w:spacing w:after="0" w:line="276" w:lineRule="auto"/>
        <w:ind w:firstLine="720"/>
        <w:jc w:val="both"/>
        <w:rPr>
          <w:rFonts w:asciiTheme="majorBidi" w:hAnsiTheme="majorBidi" w:cstheme="majorBidi"/>
        </w:rPr>
      </w:pPr>
      <w:r>
        <w:rPr>
          <w:rFonts w:asciiTheme="majorBidi" w:eastAsia="Times New Roman" w:hAnsiTheme="majorBidi" w:cstheme="majorBidi"/>
          <w:szCs w:val="24"/>
          <w:lang w:eastAsia="ru-RU"/>
        </w:rPr>
        <w:t>[Pers. A]</w:t>
      </w:r>
      <w:r w:rsidR="0073124D">
        <w:rPr>
          <w:rFonts w:asciiTheme="majorBidi" w:eastAsia="Times New Roman" w:hAnsiTheme="majorBidi" w:cstheme="majorBidi"/>
          <w:szCs w:val="24"/>
          <w:lang w:eastAsia="ru-RU"/>
        </w:rPr>
        <w:t xml:space="preserve"> turpināt piemērot </w:t>
      </w:r>
      <w:r w:rsidR="0073124D" w:rsidRPr="007B2802">
        <w:rPr>
          <w:rFonts w:asciiTheme="majorBidi" w:hAnsiTheme="majorBidi" w:cstheme="majorBidi"/>
        </w:rPr>
        <w:t>drošības līdzekļus</w:t>
      </w:r>
      <w:r w:rsidR="0073124D">
        <w:rPr>
          <w:rFonts w:asciiTheme="majorBidi" w:hAnsiTheme="majorBidi" w:cstheme="majorBidi"/>
        </w:rPr>
        <w:t xml:space="preserve"> </w:t>
      </w:r>
      <w:r w:rsidR="0073124D" w:rsidRPr="007B2802">
        <w:rPr>
          <w:rFonts w:asciiTheme="majorBidi" w:hAnsiTheme="majorBidi" w:cstheme="majorBidi"/>
        </w:rPr>
        <w:t>–</w:t>
      </w:r>
      <w:r w:rsidR="0073124D">
        <w:rPr>
          <w:rFonts w:asciiTheme="majorBidi" w:hAnsiTheme="majorBidi" w:cstheme="majorBidi"/>
        </w:rPr>
        <w:t xml:space="preserve"> </w:t>
      </w:r>
      <w:r w:rsidR="0073124D" w:rsidRPr="00EA706B">
        <w:rPr>
          <w:rFonts w:ascii="TimesNewRomanPSMT" w:hAnsi="TimesNewRomanPSMT" w:cs="TimesNewRomanPSMT"/>
          <w:szCs w:val="24"/>
          <w14:ligatures w14:val="standardContextual"/>
        </w:rPr>
        <w:t>dzīvesvietas maiņas paziņošan</w:t>
      </w:r>
      <w:r w:rsidR="00777C97">
        <w:rPr>
          <w:rFonts w:ascii="TimesNewRomanPSMT" w:hAnsi="TimesNewRomanPSMT" w:cs="TimesNewRomanPSMT"/>
          <w:szCs w:val="24"/>
          <w14:ligatures w14:val="standardContextual"/>
        </w:rPr>
        <w:t>u</w:t>
      </w:r>
      <w:r w:rsidR="0073124D" w:rsidRPr="00EA706B">
        <w:rPr>
          <w:rFonts w:ascii="TimesNewRomanPSMT" w:hAnsi="TimesNewRomanPSMT" w:cs="TimesNewRomanPSMT"/>
          <w:szCs w:val="24"/>
          <w14:ligatures w14:val="standardContextual"/>
        </w:rPr>
        <w:t xml:space="preserve"> </w:t>
      </w:r>
      <w:r w:rsidR="0073124D">
        <w:rPr>
          <w:rFonts w:asciiTheme="majorBidi" w:hAnsiTheme="majorBidi" w:cstheme="majorBidi"/>
        </w:rPr>
        <w:t>un aizliegum</w:t>
      </w:r>
      <w:r w:rsidR="00777C97">
        <w:rPr>
          <w:rFonts w:asciiTheme="majorBidi" w:hAnsiTheme="majorBidi" w:cstheme="majorBidi"/>
        </w:rPr>
        <w:t>u</w:t>
      </w:r>
      <w:r w:rsidR="0073124D" w:rsidRPr="00EA706B">
        <w:rPr>
          <w:rFonts w:ascii="TimesNewRomanPSMT" w:hAnsi="TimesNewRomanPSMT" w:cs="TimesNewRomanPSMT"/>
          <w:szCs w:val="24"/>
          <w14:ligatures w14:val="standardContextual"/>
        </w:rPr>
        <w:t xml:space="preserve"> izbraukt no valsts</w:t>
      </w:r>
      <w:r w:rsidR="0073124D" w:rsidRPr="007B2802">
        <w:rPr>
          <w:rFonts w:asciiTheme="majorBidi" w:hAnsiTheme="majorBidi" w:cstheme="majorBidi"/>
        </w:rPr>
        <w:t>.</w:t>
      </w:r>
    </w:p>
    <w:p w14:paraId="1ED580DE" w14:textId="77777777" w:rsidR="00B427CE" w:rsidRPr="0054353F" w:rsidRDefault="00B427CE" w:rsidP="00980683">
      <w:pPr>
        <w:widowControl w:val="0"/>
        <w:spacing w:after="0" w:line="276" w:lineRule="auto"/>
        <w:ind w:firstLine="720"/>
        <w:jc w:val="both"/>
        <w:rPr>
          <w:rFonts w:asciiTheme="majorBidi" w:eastAsia="Times New Roman" w:hAnsiTheme="majorBidi" w:cstheme="majorBidi"/>
          <w:szCs w:val="24"/>
          <w:lang w:eastAsia="ru-RU"/>
        </w:rPr>
      </w:pPr>
    </w:p>
    <w:p w14:paraId="2056AFB9" w14:textId="2A2D92F3" w:rsidR="00980683" w:rsidRPr="00A20353" w:rsidRDefault="00980683" w:rsidP="00A20353">
      <w:pPr>
        <w:widowControl w:val="0"/>
        <w:spacing w:after="0" w:line="276" w:lineRule="auto"/>
        <w:ind w:firstLine="720"/>
        <w:jc w:val="both"/>
        <w:rPr>
          <w:rFonts w:asciiTheme="majorBidi" w:eastAsia="Times New Roman" w:hAnsiTheme="majorBidi" w:cstheme="majorBidi"/>
          <w:szCs w:val="24"/>
          <w:lang w:eastAsia="ru-RU"/>
        </w:rPr>
      </w:pPr>
      <w:r w:rsidRPr="0054353F">
        <w:rPr>
          <w:rFonts w:asciiTheme="majorBidi" w:eastAsia="Times New Roman" w:hAnsiTheme="majorBidi" w:cstheme="majorBidi"/>
          <w:szCs w:val="24"/>
          <w:lang w:eastAsia="ru-RU"/>
        </w:rPr>
        <w:t>Lēmums nav pārsūdzams.</w:t>
      </w:r>
    </w:p>
    <w:sectPr w:rsidR="00980683" w:rsidRPr="00A20353" w:rsidSect="009B68DD">
      <w:footerReference w:type="default" r:id="rId22"/>
      <w:pgSz w:w="11906" w:h="16838"/>
      <w:pgMar w:top="1134" w:right="1701"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B5E" w14:textId="77777777" w:rsidR="004908E9" w:rsidRDefault="004908E9">
      <w:pPr>
        <w:spacing w:after="0" w:line="240" w:lineRule="auto"/>
      </w:pPr>
      <w:r>
        <w:separator/>
      </w:r>
    </w:p>
  </w:endnote>
  <w:endnote w:type="continuationSeparator" w:id="0">
    <w:p w14:paraId="6D0C90F9" w14:textId="77777777" w:rsidR="004908E9" w:rsidRDefault="0049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379080"/>
      <w:docPartObj>
        <w:docPartGallery w:val="Page Numbers (Bottom of Page)"/>
        <w:docPartUnique/>
      </w:docPartObj>
    </w:sdtPr>
    <w:sdtEndPr/>
    <w:sdtContent>
      <w:sdt>
        <w:sdtPr>
          <w:id w:val="1728636285"/>
          <w:docPartObj>
            <w:docPartGallery w:val="Page Numbers (Top of Page)"/>
            <w:docPartUnique/>
          </w:docPartObj>
        </w:sdtPr>
        <w:sdtEndPr/>
        <w:sdtContent>
          <w:p w14:paraId="3681DB14" w14:textId="77777777" w:rsidR="00D93331" w:rsidRDefault="00D93331" w:rsidP="00FC06DE">
            <w:pPr>
              <w:pStyle w:val="Footer"/>
              <w:jc w:val="center"/>
            </w:pPr>
            <w:r w:rsidRPr="00FC06DE">
              <w:rPr>
                <w:sz w:val="20"/>
                <w:szCs w:val="20"/>
              </w:rPr>
              <w:fldChar w:fldCharType="begin"/>
            </w:r>
            <w:r w:rsidRPr="00FC06DE">
              <w:rPr>
                <w:sz w:val="20"/>
                <w:szCs w:val="20"/>
              </w:rPr>
              <w:instrText xml:space="preserve"> PAGE </w:instrText>
            </w:r>
            <w:r w:rsidRPr="00FC06DE">
              <w:rPr>
                <w:sz w:val="20"/>
                <w:szCs w:val="20"/>
              </w:rPr>
              <w:fldChar w:fldCharType="separate"/>
            </w:r>
            <w:r w:rsidRPr="00FC06DE">
              <w:rPr>
                <w:noProof/>
                <w:sz w:val="20"/>
                <w:szCs w:val="20"/>
              </w:rPr>
              <w:t>2</w:t>
            </w:r>
            <w:r w:rsidRPr="00FC06DE">
              <w:rPr>
                <w:sz w:val="20"/>
                <w:szCs w:val="20"/>
              </w:rPr>
              <w:fldChar w:fldCharType="end"/>
            </w:r>
            <w:r w:rsidRPr="00FC06DE">
              <w:rPr>
                <w:sz w:val="20"/>
                <w:szCs w:val="20"/>
              </w:rPr>
              <w:t xml:space="preserve"> no </w:t>
            </w:r>
            <w:r w:rsidRPr="00FC06DE">
              <w:rPr>
                <w:sz w:val="20"/>
                <w:szCs w:val="20"/>
              </w:rPr>
              <w:fldChar w:fldCharType="begin"/>
            </w:r>
            <w:r w:rsidRPr="00FC06DE">
              <w:rPr>
                <w:sz w:val="20"/>
                <w:szCs w:val="20"/>
              </w:rPr>
              <w:instrText xml:space="preserve"> NUMPAGES  </w:instrText>
            </w:r>
            <w:r w:rsidRPr="00FC06DE">
              <w:rPr>
                <w:sz w:val="20"/>
                <w:szCs w:val="20"/>
              </w:rPr>
              <w:fldChar w:fldCharType="separate"/>
            </w:r>
            <w:r w:rsidRPr="00FC06DE">
              <w:rPr>
                <w:noProof/>
                <w:sz w:val="20"/>
                <w:szCs w:val="20"/>
              </w:rPr>
              <w:t>2</w:t>
            </w:r>
            <w:r w:rsidRPr="00FC06DE">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F074" w14:textId="77777777" w:rsidR="004908E9" w:rsidRDefault="004908E9">
      <w:pPr>
        <w:spacing w:after="0" w:line="240" w:lineRule="auto"/>
      </w:pPr>
      <w:r>
        <w:separator/>
      </w:r>
    </w:p>
  </w:footnote>
  <w:footnote w:type="continuationSeparator" w:id="0">
    <w:p w14:paraId="08573B28" w14:textId="77777777" w:rsidR="004908E9" w:rsidRDefault="00490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65304"/>
    <w:multiLevelType w:val="hybridMultilevel"/>
    <w:tmpl w:val="A3F6975E"/>
    <w:lvl w:ilvl="0" w:tplc="0426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6E9B0531"/>
    <w:multiLevelType w:val="hybridMultilevel"/>
    <w:tmpl w:val="514EB7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5242359">
    <w:abstractNumId w:val="0"/>
  </w:num>
  <w:num w:numId="2" w16cid:durableId="17368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B4"/>
    <w:rsid w:val="0000238F"/>
    <w:rsid w:val="00006232"/>
    <w:rsid w:val="00065672"/>
    <w:rsid w:val="00074577"/>
    <w:rsid w:val="00083295"/>
    <w:rsid w:val="00092F16"/>
    <w:rsid w:val="000A4B72"/>
    <w:rsid w:val="000A6421"/>
    <w:rsid w:val="000B1275"/>
    <w:rsid w:val="000C56EA"/>
    <w:rsid w:val="000F7BA4"/>
    <w:rsid w:val="00107DAD"/>
    <w:rsid w:val="0012085F"/>
    <w:rsid w:val="001F6788"/>
    <w:rsid w:val="00251608"/>
    <w:rsid w:val="002658A6"/>
    <w:rsid w:val="002A2246"/>
    <w:rsid w:val="002A2E1F"/>
    <w:rsid w:val="002F5ED0"/>
    <w:rsid w:val="00301EF2"/>
    <w:rsid w:val="0039291F"/>
    <w:rsid w:val="003978FE"/>
    <w:rsid w:val="003A70B2"/>
    <w:rsid w:val="003A73D3"/>
    <w:rsid w:val="003C61CD"/>
    <w:rsid w:val="003C7E12"/>
    <w:rsid w:val="003D4BEC"/>
    <w:rsid w:val="003E0CF9"/>
    <w:rsid w:val="003F31D3"/>
    <w:rsid w:val="0045495A"/>
    <w:rsid w:val="00463D14"/>
    <w:rsid w:val="00464EB3"/>
    <w:rsid w:val="0048437D"/>
    <w:rsid w:val="004908E9"/>
    <w:rsid w:val="004D0862"/>
    <w:rsid w:val="004D0ECC"/>
    <w:rsid w:val="004F7FC2"/>
    <w:rsid w:val="0051099B"/>
    <w:rsid w:val="00556DA2"/>
    <w:rsid w:val="005A034B"/>
    <w:rsid w:val="005B022F"/>
    <w:rsid w:val="005B64E8"/>
    <w:rsid w:val="005D5325"/>
    <w:rsid w:val="00613DC1"/>
    <w:rsid w:val="00684BA4"/>
    <w:rsid w:val="006D25A9"/>
    <w:rsid w:val="0073124D"/>
    <w:rsid w:val="00770DB4"/>
    <w:rsid w:val="00777C97"/>
    <w:rsid w:val="007849B2"/>
    <w:rsid w:val="007907B2"/>
    <w:rsid w:val="00793231"/>
    <w:rsid w:val="007D5B8F"/>
    <w:rsid w:val="007F7B87"/>
    <w:rsid w:val="00803FA0"/>
    <w:rsid w:val="00822187"/>
    <w:rsid w:val="008478CD"/>
    <w:rsid w:val="00874FDD"/>
    <w:rsid w:val="008C1B9E"/>
    <w:rsid w:val="008D1F11"/>
    <w:rsid w:val="00904309"/>
    <w:rsid w:val="009364F9"/>
    <w:rsid w:val="00937DD3"/>
    <w:rsid w:val="00945211"/>
    <w:rsid w:val="00947EF1"/>
    <w:rsid w:val="00980683"/>
    <w:rsid w:val="009968D1"/>
    <w:rsid w:val="009B72B9"/>
    <w:rsid w:val="009D2C7F"/>
    <w:rsid w:val="009F5355"/>
    <w:rsid w:val="00A20353"/>
    <w:rsid w:val="00AA0C3E"/>
    <w:rsid w:val="00AD1472"/>
    <w:rsid w:val="00B427CE"/>
    <w:rsid w:val="00B539B6"/>
    <w:rsid w:val="00B578DD"/>
    <w:rsid w:val="00BA3E33"/>
    <w:rsid w:val="00BA44E6"/>
    <w:rsid w:val="00BC18A3"/>
    <w:rsid w:val="00C04502"/>
    <w:rsid w:val="00C4788B"/>
    <w:rsid w:val="00C47C0D"/>
    <w:rsid w:val="00C673E3"/>
    <w:rsid w:val="00C710B7"/>
    <w:rsid w:val="00D12FC8"/>
    <w:rsid w:val="00D20257"/>
    <w:rsid w:val="00D408B6"/>
    <w:rsid w:val="00D55E0E"/>
    <w:rsid w:val="00D6664F"/>
    <w:rsid w:val="00D767F2"/>
    <w:rsid w:val="00D822AC"/>
    <w:rsid w:val="00D82B99"/>
    <w:rsid w:val="00D93331"/>
    <w:rsid w:val="00DA04B1"/>
    <w:rsid w:val="00DB0A17"/>
    <w:rsid w:val="00DD3DE8"/>
    <w:rsid w:val="00E27B7E"/>
    <w:rsid w:val="00E41E30"/>
    <w:rsid w:val="00E76451"/>
    <w:rsid w:val="00E936E5"/>
    <w:rsid w:val="00EA4AAD"/>
    <w:rsid w:val="00EA706B"/>
    <w:rsid w:val="00EC0C08"/>
    <w:rsid w:val="00EC57B4"/>
    <w:rsid w:val="00ED46BB"/>
    <w:rsid w:val="00ED6046"/>
    <w:rsid w:val="00EE1E5D"/>
    <w:rsid w:val="00F26C4B"/>
    <w:rsid w:val="00F44216"/>
    <w:rsid w:val="00F606F8"/>
    <w:rsid w:val="00F913E4"/>
    <w:rsid w:val="00FC7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B77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B4"/>
    <w:rPr>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DB4"/>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0D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0DB4"/>
    <w:rPr>
      <w:kern w:val="0"/>
      <w:lang w:val="lv-LV"/>
      <w14:ligatures w14:val="none"/>
    </w:rPr>
  </w:style>
  <w:style w:type="character" w:styleId="Emphasis">
    <w:name w:val="Emphasis"/>
    <w:qFormat/>
    <w:rsid w:val="009364F9"/>
    <w:rPr>
      <w:i/>
      <w:iCs/>
    </w:rPr>
  </w:style>
  <w:style w:type="character" w:styleId="Hyperlink">
    <w:name w:val="Hyperlink"/>
    <w:basedOn w:val="DefaultParagraphFont"/>
    <w:uiPriority w:val="99"/>
    <w:unhideWhenUsed/>
    <w:rsid w:val="009364F9"/>
    <w:rPr>
      <w:color w:val="0563C1" w:themeColor="hyperlink"/>
      <w:u w:val="single"/>
    </w:rPr>
  </w:style>
  <w:style w:type="paragraph" w:styleId="ListParagraph">
    <w:name w:val="List Paragraph"/>
    <w:basedOn w:val="Normal"/>
    <w:uiPriority w:val="34"/>
    <w:qFormat/>
    <w:rsid w:val="009364F9"/>
    <w:pPr>
      <w:spacing w:after="0" w:line="240" w:lineRule="auto"/>
      <w:ind w:left="720"/>
      <w:contextualSpacing/>
    </w:pPr>
    <w:rPr>
      <w:rFonts w:eastAsia="Times New Roman" w:cs="Times New Roman"/>
      <w:szCs w:val="24"/>
      <w:lang w:eastAsia="ru-RU"/>
    </w:rPr>
  </w:style>
  <w:style w:type="paragraph" w:styleId="NormalWeb">
    <w:name w:val="Normal (Web)"/>
    <w:basedOn w:val="Normal"/>
    <w:uiPriority w:val="99"/>
    <w:rsid w:val="00E27B7E"/>
    <w:pPr>
      <w:spacing w:before="100" w:beforeAutospacing="1" w:after="100" w:afterAutospacing="1" w:line="240" w:lineRule="auto"/>
    </w:pPr>
    <w:rPr>
      <w:rFonts w:eastAsia="Times New Roman" w:cs="Times New Roman"/>
      <w:szCs w:val="24"/>
      <w:lang w:eastAsia="lv-LV"/>
    </w:rPr>
  </w:style>
  <w:style w:type="character" w:customStyle="1" w:styleId="sa36b60a1">
    <w:name w:val="sa36b60a1"/>
    <w:basedOn w:val="DefaultParagraphFont"/>
    <w:rsid w:val="00874FDD"/>
  </w:style>
  <w:style w:type="character" w:customStyle="1" w:styleId="sbb9ee52a">
    <w:name w:val="sbb9ee52a"/>
    <w:basedOn w:val="DefaultParagraphFont"/>
    <w:rsid w:val="00874FDD"/>
  </w:style>
  <w:style w:type="paragraph" w:customStyle="1" w:styleId="s79b8843c">
    <w:name w:val="s79b8843c"/>
    <w:basedOn w:val="Normal"/>
    <w:rsid w:val="00874FDD"/>
    <w:pPr>
      <w:spacing w:before="100" w:beforeAutospacing="1" w:after="100" w:afterAutospacing="1" w:line="240" w:lineRule="auto"/>
    </w:pPr>
    <w:rPr>
      <w:rFonts w:eastAsia="Times New Roman" w:cs="Times New Roman"/>
      <w:szCs w:val="24"/>
      <w:lang w:val="en-US"/>
    </w:rPr>
  </w:style>
  <w:style w:type="character" w:customStyle="1" w:styleId="s29100277">
    <w:name w:val="s29100277"/>
    <w:basedOn w:val="DefaultParagraphFont"/>
    <w:rsid w:val="00874FDD"/>
  </w:style>
  <w:style w:type="paragraph" w:customStyle="1" w:styleId="s34dfc730">
    <w:name w:val="s34dfc730"/>
    <w:basedOn w:val="Normal"/>
    <w:rsid w:val="00874FDD"/>
    <w:pPr>
      <w:spacing w:before="100" w:beforeAutospacing="1" w:after="100" w:afterAutospacing="1" w:line="240" w:lineRule="auto"/>
    </w:pPr>
    <w:rPr>
      <w:rFonts w:eastAsia="Times New Roman" w:cs="Times New Roman"/>
      <w:szCs w:val="24"/>
      <w:lang w:val="en-US"/>
    </w:rPr>
  </w:style>
  <w:style w:type="paragraph" w:customStyle="1" w:styleId="s339d85e6">
    <w:name w:val="s339d85e6"/>
    <w:basedOn w:val="Normal"/>
    <w:rsid w:val="00874FDD"/>
    <w:pPr>
      <w:spacing w:before="100" w:beforeAutospacing="1" w:after="100" w:afterAutospacing="1" w:line="240" w:lineRule="auto"/>
    </w:pPr>
    <w:rPr>
      <w:rFonts w:eastAsia="Times New Roman" w:cs="Times New Roman"/>
      <w:szCs w:val="24"/>
      <w:lang w:val="en-US"/>
    </w:rPr>
  </w:style>
  <w:style w:type="paragraph" w:styleId="Header">
    <w:name w:val="header"/>
    <w:basedOn w:val="Normal"/>
    <w:link w:val="HeaderChar"/>
    <w:uiPriority w:val="99"/>
    <w:unhideWhenUsed/>
    <w:rsid w:val="00065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672"/>
    <w:rPr>
      <w:kern w:val="0"/>
      <w:lang w:val="lv-LV"/>
      <w14:ligatures w14:val="none"/>
    </w:rPr>
  </w:style>
  <w:style w:type="character" w:styleId="FollowedHyperlink">
    <w:name w:val="FollowedHyperlink"/>
    <w:basedOn w:val="DefaultParagraphFont"/>
    <w:uiPriority w:val="99"/>
    <w:semiHidden/>
    <w:unhideWhenUsed/>
    <w:rsid w:val="009D2C7F"/>
    <w:rPr>
      <w:color w:val="954F72" w:themeColor="followedHyperlink"/>
      <w:u w:val="single"/>
    </w:rPr>
  </w:style>
  <w:style w:type="character" w:styleId="UnresolvedMention">
    <w:name w:val="Unresolved Mention"/>
    <w:basedOn w:val="DefaultParagraphFont"/>
    <w:uiPriority w:val="99"/>
    <w:semiHidden/>
    <w:unhideWhenUsed/>
    <w:rsid w:val="00822187"/>
    <w:rPr>
      <w:color w:val="605E5C"/>
      <w:shd w:val="clear" w:color="auto" w:fill="E1DFDD"/>
    </w:rPr>
  </w:style>
  <w:style w:type="character" w:styleId="CommentReference">
    <w:name w:val="annotation reference"/>
    <w:basedOn w:val="DefaultParagraphFont"/>
    <w:uiPriority w:val="99"/>
    <w:semiHidden/>
    <w:unhideWhenUsed/>
    <w:rsid w:val="00463D14"/>
    <w:rPr>
      <w:sz w:val="16"/>
      <w:szCs w:val="16"/>
    </w:rPr>
  </w:style>
  <w:style w:type="paragraph" w:styleId="CommentText">
    <w:name w:val="annotation text"/>
    <w:basedOn w:val="Normal"/>
    <w:link w:val="CommentTextChar"/>
    <w:uiPriority w:val="99"/>
    <w:semiHidden/>
    <w:unhideWhenUsed/>
    <w:rsid w:val="00463D14"/>
    <w:pPr>
      <w:spacing w:line="240" w:lineRule="auto"/>
    </w:pPr>
    <w:rPr>
      <w:sz w:val="20"/>
      <w:szCs w:val="20"/>
    </w:rPr>
  </w:style>
  <w:style w:type="character" w:customStyle="1" w:styleId="CommentTextChar">
    <w:name w:val="Comment Text Char"/>
    <w:basedOn w:val="DefaultParagraphFont"/>
    <w:link w:val="CommentText"/>
    <w:uiPriority w:val="99"/>
    <w:semiHidden/>
    <w:rsid w:val="00463D14"/>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463D14"/>
    <w:rPr>
      <w:b/>
      <w:bCs/>
    </w:rPr>
  </w:style>
  <w:style w:type="character" w:customStyle="1" w:styleId="CommentSubjectChar">
    <w:name w:val="Comment Subject Char"/>
    <w:basedOn w:val="CommentTextChar"/>
    <w:link w:val="CommentSubject"/>
    <w:uiPriority w:val="99"/>
    <w:semiHidden/>
    <w:rsid w:val="00463D14"/>
    <w:rPr>
      <w:b/>
      <w:bCs/>
      <w:kern w:val="0"/>
      <w:sz w:val="20"/>
      <w:szCs w:val="20"/>
      <w:lang w:val="lv-LV"/>
      <w14:ligatures w14:val="none"/>
    </w:rPr>
  </w:style>
  <w:style w:type="paragraph" w:styleId="Revision">
    <w:name w:val="Revision"/>
    <w:hidden/>
    <w:uiPriority w:val="99"/>
    <w:semiHidden/>
    <w:rsid w:val="0039291F"/>
    <w:pPr>
      <w:spacing w:after="0" w:line="240" w:lineRule="auto"/>
    </w:pPr>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2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4624.pdf" TargetMode="External"/><Relationship Id="rId13" Type="http://schemas.openxmlformats.org/officeDocument/2006/relationships/hyperlink" Target="https://hudoc.echr.coe.int/" TargetMode="External"/><Relationship Id="rId18" Type="http://schemas.openxmlformats.org/officeDocument/2006/relationships/hyperlink" Target="https://hudoc.echr.coe.int/" TargetMode="External"/><Relationship Id="rId3" Type="http://schemas.openxmlformats.org/officeDocument/2006/relationships/styles" Target="styles.xml"/><Relationship Id="rId21" Type="http://schemas.openxmlformats.org/officeDocument/2006/relationships/hyperlink" Target="https://hudoc.echr.coe.int/" TargetMode="External"/><Relationship Id="rId7" Type="http://schemas.openxmlformats.org/officeDocument/2006/relationships/endnotes" Target="endnotes.xml"/><Relationship Id="rId12" Type="http://schemas.openxmlformats.org/officeDocument/2006/relationships/hyperlink" Target="https://hudoc.echr.coe.int/" TargetMode="External"/><Relationship Id="rId17" Type="http://schemas.openxmlformats.org/officeDocument/2006/relationships/hyperlink" Target="https://hudoc.echr.coe.int/" TargetMode="External"/><Relationship Id="rId2" Type="http://schemas.openxmlformats.org/officeDocument/2006/relationships/numbering" Target="numbering.xml"/><Relationship Id="rId16" Type="http://schemas.openxmlformats.org/officeDocument/2006/relationships/hyperlink" Target="https://hudoc.echr.coe.int/" TargetMode="External"/><Relationship Id="rId20" Type="http://schemas.openxmlformats.org/officeDocument/2006/relationships/hyperlink" Target="https://hudoc.echr.coe.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f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tv.tiesa.gov.lv/wp-content/uploads/2017/05/2017-16-01_Spriedums.pdf" TargetMode="External"/><Relationship Id="rId23" Type="http://schemas.openxmlformats.org/officeDocument/2006/relationships/fontTable" Target="fontTable.xml"/><Relationship Id="rId10" Type="http://schemas.openxmlformats.org/officeDocument/2006/relationships/hyperlink" Target="https://hudoc.echr.coe.int/fre?i=001-102115" TargetMode="External"/><Relationship Id="rId19" Type="http://schemas.openxmlformats.org/officeDocument/2006/relationships/hyperlink" Target="https://hudoc.echr.coe.int/" TargetMode="External"/><Relationship Id="rId4" Type="http://schemas.openxmlformats.org/officeDocument/2006/relationships/settings" Target="settings.xml"/><Relationship Id="rId9" Type="http://schemas.openxmlformats.org/officeDocument/2006/relationships/hyperlink" Target="https://manas.tiesas.lv/eTiesasMvc/nolemumi/pdf/500080.pdf" TargetMode="External"/><Relationship Id="rId14" Type="http://schemas.openxmlformats.org/officeDocument/2006/relationships/hyperlink" Target="https://hudoc.echr.coe.i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80BE-C390-40A1-AEE0-0B00014D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11529</Words>
  <Characters>6573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2023-11-03T11:54:00Z</dcterms:created>
  <dcterms:modified xsi:type="dcterms:W3CDTF">2023-11-03T11:54:00Z</dcterms:modified>
</cp:coreProperties>
</file>