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D141F" w14:textId="5F8C7580" w:rsidR="00F223CC" w:rsidRDefault="00F223CC" w:rsidP="00F223CC">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Tiešas un tūlītējas saiknes starp sākotnējo darījumu un tālākajiem ar nodokli apliekamajiem </w:t>
      </w:r>
      <w:r w:rsidRPr="00F223CC">
        <w:rPr>
          <w:rFonts w:ascii="TimesNewRomanPSMT" w:hAnsi="TimesNewRomanPSMT"/>
          <w:b/>
          <w:bCs/>
        </w:rPr>
        <w:t>darījumiem esības un neesības</w:t>
      </w:r>
      <w:r>
        <w:rPr>
          <w:rFonts w:ascii="TimesNewRomanPSMT" w:hAnsi="TimesNewRomanPSMT"/>
          <w:b/>
          <w:bCs/>
        </w:rPr>
        <w:t xml:space="preserve"> nozīme priekšnodokļa atskatīšanā; Saņemto preču saistības konstatēšana ar nodokļu maksātāja saimniecisko darbību </w:t>
      </w:r>
    </w:p>
    <w:p w14:paraId="7679C426" w14:textId="77777777" w:rsidR="00F223CC" w:rsidRDefault="00F223CC" w:rsidP="00F223CC">
      <w:pPr>
        <w:numPr>
          <w:ilvl w:val="0"/>
          <w:numId w:val="3"/>
        </w:numPr>
        <w:autoSpaceDE w:val="0"/>
        <w:autoSpaceDN w:val="0"/>
        <w:spacing w:line="276" w:lineRule="auto"/>
        <w:contextualSpacing/>
        <w:jc w:val="both"/>
        <w:rPr>
          <w:rFonts w:ascii="TimesNewRomanPSMT" w:hAnsi="TimesNewRomanPSMT"/>
        </w:rPr>
      </w:pPr>
      <w:r>
        <w:rPr>
          <w:rFonts w:ascii="TimesNewRomanPSMT" w:hAnsi="TimesNewRomanPSMT"/>
        </w:rPr>
        <w:t xml:space="preserve">Atbilstoši Pievienotās vērtības nodokļa likuma 92.panta pirmās daļas 1.punktam viens no priekšnoteikumiem, lai persona varētu atskaitīt priekšnodokli, ir tas, ka saņemtie pakalpojumi, par kuriem izrakstīts rēķins ar pievienotās vērtības nodokli, ir izmantoti šīs personas ar nodokli apliekamo darījumu nodrošināšanai. Proti, ir nepieciešams konstatēt tiešu un tūlītēju saikni starp sākotnējo darījumu un tālākajiem ar nodokli apliekamajiem darījumiem. Tas, kā tieši izprast terminu „tieša un tūlītēja saikne”, ir atkarīgs no katra gadījuma; to, vai šāda saikne eksistē, ir jānoteic tiesai, kura izskata konkrēto lietu. </w:t>
      </w:r>
    </w:p>
    <w:p w14:paraId="3866CC4F" w14:textId="77777777" w:rsidR="00F223CC" w:rsidRDefault="00F223CC" w:rsidP="00F223CC">
      <w:pPr>
        <w:numPr>
          <w:ilvl w:val="0"/>
          <w:numId w:val="3"/>
        </w:numPr>
        <w:autoSpaceDE w:val="0"/>
        <w:autoSpaceDN w:val="0"/>
        <w:spacing w:line="276" w:lineRule="auto"/>
        <w:contextualSpacing/>
        <w:jc w:val="both"/>
        <w:rPr>
          <w:rFonts w:ascii="TimesNewRomanPSMT" w:hAnsi="TimesNewRomanPSMT"/>
          <w:color w:val="000000"/>
        </w:rPr>
      </w:pPr>
      <w:r>
        <w:rPr>
          <w:rFonts w:ascii="TimesNewRomanPSMT" w:hAnsi="TimesNewRomanPSMT"/>
          <w:color w:val="000000"/>
        </w:rPr>
        <w:t xml:space="preserve">Nodokļa maksātājam tiek atzītas tiesības atskaitīt priekšnodokli arī tad, ja, pat nepastāvot tiešai un tūlītējai saiknei starp konkrētu iepriekš veiktu darījumu un vienu vai vairākiem vēlāk veiktiem darījumiem, kas dod atskaitījuma tiesības, attiecīgo pakalpojumu izmaksas veido daļu no šīs sabiedrības vispārējām izmaksām un kā tādas tās veido daļu no sabiedrības pārdodamo preču vai sniegto pakalpojumu cenas. </w:t>
      </w:r>
    </w:p>
    <w:p w14:paraId="22F616A7" w14:textId="7406964C" w:rsidR="00F223CC" w:rsidRPr="00F223CC" w:rsidRDefault="00F223CC" w:rsidP="00F223CC">
      <w:pPr>
        <w:pStyle w:val="ListParagraph"/>
        <w:autoSpaceDE w:val="0"/>
        <w:autoSpaceDN w:val="0"/>
        <w:spacing w:line="276" w:lineRule="auto"/>
        <w:ind w:left="360"/>
        <w:jc w:val="both"/>
        <w:rPr>
          <w:rFonts w:ascii="TimesNewRomanPSMT" w:eastAsiaTheme="minorHAnsi" w:hAnsi="TimesNewRomanPSMT"/>
          <w:color w:val="000000"/>
        </w:rPr>
      </w:pPr>
      <w:r>
        <w:rPr>
          <w:rFonts w:ascii="TimesNewRomanPSMT" w:hAnsi="TimesNewRomanPSMT"/>
          <w:color w:val="000000"/>
        </w:rPr>
        <w:t>Lai konstatētu, ka saņemtās preces ir saistītas ar nodokļu maksātāja saimniecisko darbību, ir jākonstatē, ka saņemto preču, par kurām tiek atskaitīts priekšnodoklis, izmaksas veido daļu no sabiedrības tālāk sniegto pakalpojumu vai pārdoto preču cenas, proti, jākonstatē, ka saņemtās preces ir devušas kādu patiesu pienesumu sabiedrībai, kas atstājis ietekmi uz sabiedrības sniegto gala pakalpojumu vai pārdoto preču cenu.</w:t>
      </w:r>
    </w:p>
    <w:p w14:paraId="55CFBBE4" w14:textId="77777777" w:rsidR="00F223CC" w:rsidRDefault="00F223CC" w:rsidP="00F223CC">
      <w:pPr>
        <w:autoSpaceDE w:val="0"/>
        <w:autoSpaceDN w:val="0"/>
        <w:spacing w:line="276" w:lineRule="auto"/>
        <w:jc w:val="both"/>
        <w:rPr>
          <w:rFonts w:ascii="TimesNewRomanPSMT" w:hAnsi="TimesNewRomanPSMT"/>
          <w:b/>
          <w:bCs/>
          <w:color w:val="0070C0"/>
        </w:rPr>
      </w:pPr>
    </w:p>
    <w:p w14:paraId="1D67EEA6" w14:textId="77777777" w:rsidR="00F223CC" w:rsidRDefault="00F223CC" w:rsidP="00F223CC">
      <w:pPr>
        <w:autoSpaceDE w:val="0"/>
        <w:autoSpaceDN w:val="0"/>
        <w:spacing w:line="276" w:lineRule="auto"/>
        <w:rPr>
          <w:rFonts w:ascii="TimesNewRomanPSMT" w:hAnsi="TimesNewRomanPSMT"/>
          <w:b/>
          <w:bCs/>
        </w:rPr>
      </w:pPr>
      <w:r>
        <w:rPr>
          <w:rFonts w:ascii="TimesNewRomanPSMT" w:hAnsi="TimesNewRomanPSMT"/>
          <w:b/>
          <w:bCs/>
        </w:rPr>
        <w:t>Lēmums par pievienotās vērtības nodokļa pārmaksas neapstiprināšanu un neatmaksāšanu kā nelabvēlīgs administratīvais akts</w:t>
      </w:r>
    </w:p>
    <w:p w14:paraId="373B2175" w14:textId="77777777" w:rsidR="00F223CC" w:rsidRDefault="00F223CC" w:rsidP="00F223CC">
      <w:pPr>
        <w:autoSpaceDE w:val="0"/>
        <w:autoSpaceDN w:val="0"/>
        <w:spacing w:line="276" w:lineRule="auto"/>
        <w:jc w:val="both"/>
        <w:rPr>
          <w:rFonts w:ascii="TimesNewRomanPSMT" w:hAnsi="TimesNewRomanPSMT"/>
        </w:rPr>
      </w:pPr>
      <w:r>
        <w:rPr>
          <w:rFonts w:ascii="TimesNewRomanPSMT" w:hAnsi="TimesNewRomanPSMT"/>
        </w:rPr>
        <w:t xml:space="preserve">Tiesības uz priekšnodokļa atskaitīšanu ir neatņemama pievienotās vērtības nodokļa sistēmas sastāvdaļa, savukārt tiesību uz nodokļa pārmaksas atmaksu ierobežošana rada nodokļa maksātāja tiesību uz īpašumu ierobežojumu. Tāpēc Valsts ieņēmumu dienestam lēmums par priekšnodokļa pārmaksas neapstiprināšanu un neatmaksāšanu ir jāuztver kā nodokļa maksātājam piemītošu un likumā noteikti paredzētu tiesību liegšana – tātad nelabvēlīga administratīvā akta izdošana, kas attiecīgi ir pamatojams. </w:t>
      </w:r>
    </w:p>
    <w:p w14:paraId="1C8A985B" w14:textId="77777777" w:rsidR="00F223CC" w:rsidRPr="00F223CC" w:rsidRDefault="00F223CC" w:rsidP="00F223CC">
      <w:pPr>
        <w:autoSpaceDE w:val="0"/>
        <w:autoSpaceDN w:val="0"/>
        <w:spacing w:line="276" w:lineRule="auto"/>
        <w:rPr>
          <w:rFonts w:ascii="TimesNewRomanPSMT" w:hAnsi="TimesNewRomanPSMT"/>
          <w:b/>
          <w:bCs/>
        </w:rPr>
      </w:pPr>
    </w:p>
    <w:p w14:paraId="0C03ACA9" w14:textId="77777777" w:rsidR="00F223CC" w:rsidRDefault="00F223CC" w:rsidP="00F223CC">
      <w:pPr>
        <w:autoSpaceDE w:val="0"/>
        <w:autoSpaceDN w:val="0"/>
        <w:spacing w:line="276" w:lineRule="auto"/>
        <w:rPr>
          <w:rFonts w:ascii="TimesNewRomanPSMT" w:hAnsi="TimesNewRomanPSMT"/>
          <w:b/>
          <w:bCs/>
        </w:rPr>
      </w:pPr>
      <w:r>
        <w:rPr>
          <w:rFonts w:ascii="TimesNewRomanPSMT" w:hAnsi="TimesNewRomanPSMT"/>
          <w:b/>
          <w:bCs/>
        </w:rPr>
        <w:t xml:space="preserve">Lēmuma par pievienotās vērtības nodokļa pārmaksas neapstiprināšanu un neatmaksāšanu pārbaude tiesā </w:t>
      </w:r>
    </w:p>
    <w:p w14:paraId="04037B75" w14:textId="77777777" w:rsidR="00F223CC" w:rsidRDefault="00F223CC" w:rsidP="00F223CC">
      <w:pPr>
        <w:autoSpaceDE w:val="0"/>
        <w:autoSpaceDN w:val="0"/>
        <w:spacing w:line="276" w:lineRule="auto"/>
        <w:jc w:val="both"/>
        <w:rPr>
          <w:rFonts w:ascii="TimesNewRomanPSMT" w:hAnsi="TimesNewRomanPSMT"/>
        </w:rPr>
      </w:pPr>
      <w:r>
        <w:rPr>
          <w:rFonts w:ascii="TimesNewRomanPSMT" w:hAnsi="TimesNewRomanPSMT"/>
        </w:rPr>
        <w:t>Tiesa ir ierobežota vērtēt tādu pamatojumu priekšnodokļa atskaitīšanas tiesību liegšanai, kas nav norādīts administratīvajā aktā. Tiesas pārbaudes apjoma robežas tieši attiecībā uz priekšnodokļa atskaitīšanas tiesībām nosaka Valsts ieņēmumu dienesta lēmumā norādītais pamatojums. Turklāt gadījumā, ja lēmums par pārmaksas neapstiprināšanu un neatmaksāšanu nav pieņemts audita rezultātā, tad tiesai nav jāveic izmeklēšana tādā apjomā un dziļumā, kas būtībā aizvietotu neveikto auditu. Tikai tad, ja tiesas izmeklēšanā apstiprinās Valsts ieņēmuma dienesta pamatojums priekšnodokļa atskaitīšanas tiesību liegšanai, tas var būt pamats neatcelt administratīvo aktu. Savukārt, ja priekšnodokļa atskaitīšanas tiesības liegtas nepamatoti un tādējādi atkrīt tas šķērslis pārmaksas apstiprināšanai, ko Valsts ieņēmumu dienests bija norādījis, tiesai ir pamats ar spriedumu uzlikt pienākumu Valsts ieņēmumu dienestam apstiprināt pārmaksu.</w:t>
      </w:r>
    </w:p>
    <w:p w14:paraId="25E362F3" w14:textId="561101CE" w:rsidR="00F223CC" w:rsidRPr="00F223CC" w:rsidRDefault="00F223CC" w:rsidP="00F223CC">
      <w:pPr>
        <w:autoSpaceDE w:val="0"/>
        <w:autoSpaceDN w:val="0"/>
        <w:spacing w:line="276" w:lineRule="auto"/>
        <w:jc w:val="both"/>
        <w:rPr>
          <w:rFonts w:ascii="TimesNewRomanPSMT" w:hAnsi="TimesNewRomanPSMT"/>
        </w:rPr>
      </w:pPr>
      <w:r>
        <w:rPr>
          <w:rFonts w:ascii="TimesNewRomanPSMT" w:hAnsi="TimesNewRomanPSMT"/>
        </w:rPr>
        <w:lastRenderedPageBreak/>
        <w:t xml:space="preserve">Tiesas spriedums lietā, kurā tiek pārbaudīta tikai konkrētā pārmaksas neapstiprināšanas lēmuma pamatotība, nevar ierobežot Valsts ieņēmumu dienesta tiesības veikt auditu un pienācīgā procesā precizēt nodokļu maksātāja nodokļu apmēru. </w:t>
      </w:r>
      <w:bookmarkStart w:id="0" w:name="_GoBack"/>
      <w:bookmarkEnd w:id="0"/>
    </w:p>
    <w:p w14:paraId="1F57D820" w14:textId="77777777" w:rsidR="00F223CC" w:rsidRDefault="00F223CC" w:rsidP="00F223CC">
      <w:pPr>
        <w:spacing w:line="276" w:lineRule="auto"/>
        <w:contextualSpacing/>
        <w:jc w:val="center"/>
        <w:rPr>
          <w:b/>
        </w:rPr>
      </w:pPr>
    </w:p>
    <w:p w14:paraId="71A3CA25" w14:textId="3639E412" w:rsidR="008B7CCD" w:rsidRPr="00385519" w:rsidRDefault="00385519" w:rsidP="00F223CC">
      <w:pPr>
        <w:spacing w:line="276" w:lineRule="auto"/>
        <w:contextualSpacing/>
        <w:jc w:val="center"/>
        <w:rPr>
          <w:b/>
        </w:rPr>
      </w:pPr>
      <w:r w:rsidRPr="00385519">
        <w:rPr>
          <w:b/>
        </w:rPr>
        <w:t>Latvijas Republikas Senāta</w:t>
      </w:r>
    </w:p>
    <w:p w14:paraId="7651ABD4" w14:textId="2312944F" w:rsidR="00385519" w:rsidRPr="00385519" w:rsidRDefault="00385519" w:rsidP="00F223CC">
      <w:pPr>
        <w:spacing w:line="276" w:lineRule="auto"/>
        <w:contextualSpacing/>
        <w:jc w:val="center"/>
        <w:rPr>
          <w:b/>
        </w:rPr>
      </w:pPr>
      <w:r w:rsidRPr="00385519">
        <w:rPr>
          <w:b/>
        </w:rPr>
        <w:t>Administratīvo lietu departamenta</w:t>
      </w:r>
    </w:p>
    <w:p w14:paraId="41703A2E" w14:textId="1AD06CF9" w:rsidR="00385519" w:rsidRPr="00385519" w:rsidRDefault="00385519" w:rsidP="00F223CC">
      <w:pPr>
        <w:spacing w:line="276" w:lineRule="auto"/>
        <w:contextualSpacing/>
        <w:jc w:val="center"/>
        <w:rPr>
          <w:b/>
        </w:rPr>
      </w:pPr>
      <w:r w:rsidRPr="00385519">
        <w:rPr>
          <w:b/>
        </w:rPr>
        <w:t>2023.gada 9.oktobra</w:t>
      </w:r>
    </w:p>
    <w:p w14:paraId="338EDD9C" w14:textId="77777777" w:rsidR="008B7CCD" w:rsidRPr="00385519" w:rsidRDefault="008B7CCD" w:rsidP="00F223CC">
      <w:pPr>
        <w:spacing w:line="276" w:lineRule="auto"/>
        <w:contextualSpacing/>
        <w:jc w:val="center"/>
      </w:pPr>
      <w:r w:rsidRPr="00385519">
        <w:rPr>
          <w:b/>
        </w:rPr>
        <w:t>SPRIEDUMS</w:t>
      </w:r>
      <w:r w:rsidRPr="00385519">
        <w:t xml:space="preserve"> </w:t>
      </w:r>
    </w:p>
    <w:p w14:paraId="6FEDADD0" w14:textId="77777777" w:rsidR="00385519" w:rsidRDefault="00385519" w:rsidP="00F223CC">
      <w:pPr>
        <w:spacing w:line="276" w:lineRule="auto"/>
        <w:contextualSpacing/>
        <w:jc w:val="center"/>
        <w:rPr>
          <w:b/>
        </w:rPr>
      </w:pPr>
      <w:r w:rsidRPr="00385519">
        <w:rPr>
          <w:b/>
        </w:rPr>
        <w:t>Lieta Nr. A420207819, SKA</w:t>
      </w:r>
      <w:r w:rsidRPr="00385519">
        <w:rPr>
          <w:b/>
        </w:rPr>
        <w:noBreakHyphen/>
        <w:t>171/2023</w:t>
      </w:r>
    </w:p>
    <w:p w14:paraId="61C1FE0E" w14:textId="724B2F05" w:rsidR="00F223CC" w:rsidRPr="00385519" w:rsidRDefault="00F223CC" w:rsidP="00F223CC">
      <w:pPr>
        <w:spacing w:line="276" w:lineRule="auto"/>
        <w:contextualSpacing/>
        <w:jc w:val="center"/>
        <w:rPr>
          <w:b/>
        </w:rPr>
      </w:pPr>
      <w:hyperlink r:id="rId8" w:history="1">
        <w:r w:rsidRPr="00F223CC">
          <w:rPr>
            <w:rStyle w:val="Hyperlink"/>
            <w:rFonts w:ascii="TimesNewRomanPSMT" w:eastAsiaTheme="minorHAnsi" w:hAnsi="TimesNewRomanPSMT" w:cs="TimesNewRomanPSMT"/>
            <w:lang w:val="en-US" w:eastAsia="en-US"/>
          </w:rPr>
          <w:t>ECLI:LV:AT:2023:1009.A420207819.11.S</w:t>
        </w:r>
      </w:hyperlink>
    </w:p>
    <w:p w14:paraId="2EC14FB2" w14:textId="77777777" w:rsidR="008B7CCD" w:rsidRPr="00EC00F0" w:rsidRDefault="008B7CCD" w:rsidP="00F223CC">
      <w:pPr>
        <w:spacing w:line="276" w:lineRule="auto"/>
        <w:ind w:firstLine="720"/>
        <w:jc w:val="both"/>
        <w:rPr>
          <w:rFonts w:asciiTheme="majorBidi" w:hAnsiTheme="majorBidi" w:cstheme="majorBidi"/>
        </w:rPr>
      </w:pPr>
    </w:p>
    <w:p w14:paraId="24CBA226" w14:textId="77777777" w:rsidR="00EF7AC4" w:rsidRDefault="00EF7AC4" w:rsidP="00F223CC">
      <w:pPr>
        <w:spacing w:line="276" w:lineRule="auto"/>
        <w:ind w:firstLine="720"/>
        <w:jc w:val="both"/>
      </w:pPr>
      <w:r>
        <w:t xml:space="preserve">Senāts </w:t>
      </w:r>
      <w:r w:rsidRPr="00011547">
        <w:t>šādā sastāvā</w:t>
      </w:r>
      <w:r>
        <w:t>: senatore referente Rudīte Vīduša, senatores Ilze Freimane un Ieva Višķere</w:t>
      </w:r>
    </w:p>
    <w:p w14:paraId="3199FCA5" w14:textId="77777777" w:rsidR="008B7CCD" w:rsidRPr="00EC00F0" w:rsidRDefault="008B7CCD" w:rsidP="00F223CC">
      <w:pPr>
        <w:spacing w:line="276" w:lineRule="auto"/>
        <w:ind w:firstLine="720"/>
        <w:jc w:val="both"/>
      </w:pPr>
    </w:p>
    <w:p w14:paraId="6E3EFC0E" w14:textId="4D0D523C" w:rsidR="006A4AA9" w:rsidRPr="0078394D" w:rsidRDefault="008B7CCD" w:rsidP="00F223CC">
      <w:pPr>
        <w:spacing w:line="276" w:lineRule="auto"/>
        <w:ind w:firstLine="720"/>
        <w:jc w:val="both"/>
        <w:rPr>
          <w:rFonts w:eastAsiaTheme="minorHAnsi"/>
          <w:b/>
          <w:bCs/>
          <w:lang w:eastAsia="en-US"/>
        </w:rPr>
      </w:pPr>
      <w:r w:rsidRPr="00EC00F0">
        <w:t xml:space="preserve">rakstveida procesā izskatīja administratīvo lietu, kas ierosināta, </w:t>
      </w:r>
      <w:r w:rsidR="00A42AEC" w:rsidRPr="00EC00F0">
        <w:rPr>
          <w:rFonts w:eastAsiaTheme="minorHAnsi"/>
          <w:lang w:eastAsia="en-US"/>
        </w:rPr>
        <w:t>pamatojoties uz</w:t>
      </w:r>
      <w:r w:rsidR="0078394D">
        <w:rPr>
          <w:rFonts w:eastAsiaTheme="minorHAnsi"/>
          <w:lang w:eastAsia="en-US"/>
        </w:rPr>
        <w:t xml:space="preserve"> </w:t>
      </w:r>
      <w:r w:rsidR="0078394D">
        <w:t>pieteikumu par labvēlīga administratīvā akta izdošanu, ar kuru</w:t>
      </w:r>
      <w:r w:rsidR="006A4AA9">
        <w:t xml:space="preserve"> </w:t>
      </w:r>
      <w:r w:rsidR="00B75AF2">
        <w:t>Valeo Autoklimatizace k.s.</w:t>
      </w:r>
      <w:r w:rsidR="006A4AA9">
        <w:t xml:space="preserve"> tiktu atmaksāta 2017.gada 1.ceturksnī, 2018.gada 1.ceturksnī, 2018.gada augustā, septembrī un oktobrī deklarētā pievienotās vērtības nodokļa pārmaksa</w:t>
      </w:r>
      <w:r w:rsidR="00B75AF2">
        <w:t xml:space="preserve">, sakarā ar Valeo Autoklimatizace k.s. kasācijas sūdzību par </w:t>
      </w:r>
      <w:r w:rsidR="00B75AF2" w:rsidRPr="00EC00F0">
        <w:rPr>
          <w:rFonts w:eastAsiaTheme="minorHAnsi"/>
          <w:lang w:eastAsia="en-US"/>
        </w:rPr>
        <w:t>Administratīvās apgabaltiesas 202</w:t>
      </w:r>
      <w:r w:rsidR="00B75AF2">
        <w:rPr>
          <w:rFonts w:eastAsiaTheme="minorHAnsi"/>
          <w:lang w:eastAsia="en-US"/>
        </w:rPr>
        <w:t>1</w:t>
      </w:r>
      <w:r w:rsidR="00B75AF2" w:rsidRPr="00EC00F0">
        <w:rPr>
          <w:rFonts w:eastAsiaTheme="minorHAnsi"/>
          <w:lang w:eastAsia="en-US"/>
        </w:rPr>
        <w:t xml:space="preserve">.gada </w:t>
      </w:r>
      <w:r w:rsidR="00B75AF2">
        <w:rPr>
          <w:rFonts w:eastAsiaTheme="minorHAnsi"/>
          <w:lang w:eastAsia="en-US"/>
        </w:rPr>
        <w:t>9</w:t>
      </w:r>
      <w:r w:rsidR="00B75AF2" w:rsidRPr="00EC00F0">
        <w:rPr>
          <w:rFonts w:eastAsiaTheme="minorHAnsi"/>
          <w:lang w:eastAsia="en-US"/>
        </w:rPr>
        <w:t>.</w:t>
      </w:r>
      <w:r w:rsidR="00B75AF2">
        <w:rPr>
          <w:rFonts w:eastAsiaTheme="minorHAnsi"/>
          <w:lang w:eastAsia="en-US"/>
        </w:rPr>
        <w:t>aprīļa</w:t>
      </w:r>
      <w:r w:rsidR="00B75AF2" w:rsidRPr="00EC00F0">
        <w:rPr>
          <w:rFonts w:eastAsiaTheme="minorHAnsi"/>
          <w:lang w:eastAsia="en-US"/>
        </w:rPr>
        <w:t xml:space="preserve"> spriedumu</w:t>
      </w:r>
      <w:r w:rsidR="00B75AF2">
        <w:rPr>
          <w:rFonts w:eastAsiaTheme="minorHAnsi"/>
          <w:lang w:eastAsia="en-US"/>
        </w:rPr>
        <w:t>.</w:t>
      </w:r>
    </w:p>
    <w:p w14:paraId="629EA860" w14:textId="77777777" w:rsidR="0078394D" w:rsidRDefault="0078394D" w:rsidP="00F223CC">
      <w:pPr>
        <w:spacing w:line="276" w:lineRule="auto"/>
        <w:ind w:firstLine="720"/>
        <w:jc w:val="both"/>
        <w:rPr>
          <w:rFonts w:eastAsiaTheme="minorHAnsi"/>
          <w:lang w:eastAsia="en-US"/>
        </w:rPr>
      </w:pPr>
    </w:p>
    <w:p w14:paraId="2B79C98E" w14:textId="77777777" w:rsidR="008B7CCD" w:rsidRPr="00EC00F0" w:rsidRDefault="008B7CCD" w:rsidP="00F223CC">
      <w:pPr>
        <w:pStyle w:val="ATvirsraksts"/>
        <w:contextualSpacing/>
      </w:pPr>
      <w:r w:rsidRPr="00EC00F0">
        <w:t>Aprakstošā daļa</w:t>
      </w:r>
    </w:p>
    <w:p w14:paraId="54C3FD12" w14:textId="77777777" w:rsidR="00C52431" w:rsidRDefault="00C52431" w:rsidP="00F223CC">
      <w:pPr>
        <w:pStyle w:val="NormalWeb"/>
        <w:shd w:val="clear" w:color="auto" w:fill="FFFFFF"/>
        <w:spacing w:line="276" w:lineRule="auto"/>
        <w:ind w:firstLine="709"/>
        <w:jc w:val="both"/>
        <w:rPr>
          <w:i/>
          <w:iCs/>
          <w:shd w:val="clear" w:color="auto" w:fill="FFFFFF"/>
        </w:rPr>
      </w:pPr>
      <w:r w:rsidRPr="00F624DD">
        <w:rPr>
          <w:i/>
          <w:iCs/>
          <w:shd w:val="clear" w:color="auto" w:fill="FFFFFF"/>
        </w:rPr>
        <w:t>Lietas apstākļi</w:t>
      </w:r>
    </w:p>
    <w:p w14:paraId="5859DDBB" w14:textId="7732D67E" w:rsidR="007913B5" w:rsidRDefault="008B7CCD" w:rsidP="00F223CC">
      <w:pPr>
        <w:autoSpaceDE w:val="0"/>
        <w:autoSpaceDN w:val="0"/>
        <w:adjustRightInd w:val="0"/>
        <w:spacing w:line="276" w:lineRule="auto"/>
        <w:ind w:firstLine="720"/>
        <w:jc w:val="both"/>
      </w:pPr>
      <w:r w:rsidRPr="00682FC0">
        <w:t>[1]</w:t>
      </w:r>
      <w:r w:rsidR="004B483C">
        <w:t xml:space="preserve"> </w:t>
      </w:r>
      <w:r w:rsidR="00B43F2F">
        <w:t>Valsts ieņēmumu dienests</w:t>
      </w:r>
      <w:r w:rsidR="00620A6B" w:rsidRPr="00620A6B">
        <w:t xml:space="preserve"> </w:t>
      </w:r>
      <w:r w:rsidR="008B4082">
        <w:t>veica pieteicēja</w:t>
      </w:r>
      <w:r w:rsidR="005D50E5">
        <w:t xml:space="preserve"> – Čehijas komersanta Valeo Autoklimatizace k.s. – </w:t>
      </w:r>
      <w:r w:rsidR="008B4082">
        <w:t xml:space="preserve">iesniegto pievienotās vērtības nodokļa deklarāciju pārbaudi </w:t>
      </w:r>
      <w:r w:rsidR="00064BAE">
        <w:t>un konstatēja, ka pieteicēja</w:t>
      </w:r>
      <w:r w:rsidR="005D50E5">
        <w:t>m</w:t>
      </w:r>
      <w:r w:rsidR="00064BAE">
        <w:t xml:space="preserve"> nav tiesību atskaitīt priekšnodokli par </w:t>
      </w:r>
      <w:r w:rsidR="007913B5">
        <w:t>preču iegād</w:t>
      </w:r>
      <w:r w:rsidR="00213DF4">
        <w:t>i</w:t>
      </w:r>
      <w:r w:rsidR="007913B5">
        <w:t xml:space="preserve"> </w:t>
      </w:r>
      <w:r w:rsidR="00213DF4">
        <w:t>no</w:t>
      </w:r>
      <w:r w:rsidR="007913B5">
        <w:t xml:space="preserve"> SIA „Sunningdale Tech (Riga)”, jo neizpildās Pievienotās vērtības nodokļa likuma 92.panta </w:t>
      </w:r>
      <w:r w:rsidR="00902187">
        <w:t xml:space="preserve">pirmās daļas </w:t>
      </w:r>
      <w:r w:rsidR="00B535FC">
        <w:t xml:space="preserve">1.punkta </w:t>
      </w:r>
      <w:r w:rsidR="007913B5">
        <w:t>priekšno</w:t>
      </w:r>
      <w:r w:rsidR="00C47FA9">
        <w:t>teiku</w:t>
      </w:r>
      <w:r w:rsidR="007913B5">
        <w:t>ms</w:t>
      </w:r>
      <w:r w:rsidR="002559D3">
        <w:t xml:space="preserve">, </w:t>
      </w:r>
      <w:r w:rsidR="007913B5">
        <w:t xml:space="preserve">ka preces ir </w:t>
      </w:r>
      <w:r w:rsidR="00902187">
        <w:t>iegādātas</w:t>
      </w:r>
      <w:r w:rsidR="007913B5">
        <w:t xml:space="preserve"> ar nodokli apliekam</w:t>
      </w:r>
      <w:r w:rsidR="00902187">
        <w:t>u</w:t>
      </w:r>
      <w:r w:rsidR="007913B5">
        <w:t xml:space="preserve"> darījumu nodrošināšanai. Dienesta ieskatā, pieteicēj</w:t>
      </w:r>
      <w:r w:rsidR="005D50E5">
        <w:t>s</w:t>
      </w:r>
      <w:r w:rsidR="007913B5">
        <w:t xml:space="preserve"> neiesniedza pilnīgu informāciju par preču iegādes darījumu būtību</w:t>
      </w:r>
      <w:r w:rsidR="007F24FA">
        <w:t>, bet no sniegtās informācijas</w:t>
      </w:r>
      <w:r w:rsidR="007913B5">
        <w:t xml:space="preserve"> nav konstatējama tieš</w:t>
      </w:r>
      <w:r w:rsidR="002559D3">
        <w:t>a</w:t>
      </w:r>
      <w:r w:rsidR="007913B5">
        <w:t xml:space="preserve"> un tūlītēj</w:t>
      </w:r>
      <w:r w:rsidR="002559D3">
        <w:t>a</w:t>
      </w:r>
      <w:r w:rsidR="007913B5">
        <w:t xml:space="preserve"> saikne starp deklarētajiem darījumiem un vēlāk veiktiem darījumiem, kas piešķir priekšnodokļa atskaitī</w:t>
      </w:r>
      <w:r w:rsidR="00A33357">
        <w:t>šanas</w:t>
      </w:r>
      <w:r w:rsidR="007913B5">
        <w:t xml:space="preserve"> tiesības.</w:t>
      </w:r>
    </w:p>
    <w:p w14:paraId="46EF622C" w14:textId="39BF0AFE" w:rsidR="008B4082" w:rsidRDefault="00064BAE" w:rsidP="00F223CC">
      <w:pPr>
        <w:autoSpaceDE w:val="0"/>
        <w:autoSpaceDN w:val="0"/>
        <w:adjustRightInd w:val="0"/>
        <w:spacing w:line="276" w:lineRule="auto"/>
        <w:ind w:firstLine="720"/>
        <w:jc w:val="both"/>
      </w:pPr>
      <w:r>
        <w:t>Tāpēc dienests pieņēma lēmumus, ar kuriem atteica apstiprināt un atmaksāt pievienotās vērtības nodokļa pārmaksu.</w:t>
      </w:r>
    </w:p>
    <w:p w14:paraId="794732BD" w14:textId="0AE326DE" w:rsidR="00795839" w:rsidRPr="00E302C2" w:rsidRDefault="00795839" w:rsidP="00F223CC">
      <w:pPr>
        <w:autoSpaceDE w:val="0"/>
        <w:autoSpaceDN w:val="0"/>
        <w:adjustRightInd w:val="0"/>
        <w:spacing w:line="276" w:lineRule="auto"/>
        <w:ind w:firstLine="720"/>
        <w:jc w:val="both"/>
        <w:rPr>
          <w:rFonts w:asciiTheme="majorBidi" w:eastAsiaTheme="minorHAnsi" w:hAnsiTheme="majorBidi" w:cstheme="majorBidi"/>
          <w:lang w:eastAsia="en-US"/>
        </w:rPr>
      </w:pPr>
      <w:r w:rsidRPr="00682FC0">
        <w:rPr>
          <w:rFonts w:eastAsiaTheme="minorHAnsi"/>
          <w:lang w:eastAsia="en-US"/>
        </w:rPr>
        <w:t>Pieteicēj</w:t>
      </w:r>
      <w:r w:rsidR="005D50E5">
        <w:rPr>
          <w:rFonts w:eastAsiaTheme="minorHAnsi"/>
          <w:lang w:eastAsia="en-US"/>
        </w:rPr>
        <w:t>s</w:t>
      </w:r>
      <w:r w:rsidRPr="00682FC0">
        <w:rPr>
          <w:rFonts w:eastAsiaTheme="minorHAnsi"/>
          <w:lang w:eastAsia="en-US"/>
        </w:rPr>
        <w:t xml:space="preserve"> </w:t>
      </w:r>
      <w:r>
        <w:rPr>
          <w:rFonts w:eastAsiaTheme="minorHAnsi"/>
          <w:lang w:eastAsia="en-US"/>
        </w:rPr>
        <w:t xml:space="preserve">iesniedza tiesā pieteikumu par </w:t>
      </w:r>
      <w:r w:rsidR="00064BAE">
        <w:rPr>
          <w:rFonts w:eastAsiaTheme="minorHAnsi"/>
          <w:lang w:eastAsia="en-US"/>
        </w:rPr>
        <w:t xml:space="preserve">labvēlīga administratīvā akta izdošanu, ar kuru tiktu atmaksāta deklarētā </w:t>
      </w:r>
      <w:r w:rsidR="00064BAE">
        <w:t>pievienotās vērtības nodokļa pārmaksa</w:t>
      </w:r>
      <w:r>
        <w:rPr>
          <w:rFonts w:eastAsiaTheme="minorHAnsi"/>
          <w:lang w:eastAsia="en-US"/>
        </w:rPr>
        <w:t>.</w:t>
      </w:r>
    </w:p>
    <w:p w14:paraId="70BC225D" w14:textId="77777777" w:rsidR="00902187" w:rsidRDefault="00902187" w:rsidP="00F223CC">
      <w:pPr>
        <w:autoSpaceDE w:val="0"/>
        <w:autoSpaceDN w:val="0"/>
        <w:adjustRightInd w:val="0"/>
        <w:spacing w:line="276" w:lineRule="auto"/>
        <w:ind w:firstLine="720"/>
        <w:jc w:val="both"/>
        <w:rPr>
          <w:rFonts w:asciiTheme="majorBidi" w:eastAsiaTheme="minorHAnsi" w:hAnsiTheme="majorBidi" w:cstheme="majorBidi"/>
          <w:lang w:eastAsia="en-US"/>
        </w:rPr>
      </w:pPr>
    </w:p>
    <w:p w14:paraId="022BB8BE" w14:textId="77777777" w:rsidR="00C52431" w:rsidRPr="00AE1BF2" w:rsidRDefault="00C52431" w:rsidP="00F223CC">
      <w:pPr>
        <w:pStyle w:val="NormalWeb"/>
        <w:shd w:val="clear" w:color="auto" w:fill="FFFFFF"/>
        <w:spacing w:line="276" w:lineRule="auto"/>
        <w:ind w:firstLine="709"/>
        <w:jc w:val="both"/>
        <w:rPr>
          <w:i/>
          <w:iCs/>
          <w:shd w:val="clear" w:color="auto" w:fill="FFFFFF"/>
        </w:rPr>
      </w:pPr>
      <w:r w:rsidRPr="00AE1BF2">
        <w:rPr>
          <w:i/>
          <w:iCs/>
          <w:shd w:val="clear" w:color="auto" w:fill="FFFFFF"/>
        </w:rPr>
        <w:t>Apelācijas instances tiesas spriedums</w:t>
      </w:r>
    </w:p>
    <w:p w14:paraId="18401A90" w14:textId="2C17905C" w:rsidR="00550CD7" w:rsidRPr="00550CD7" w:rsidRDefault="00A17711" w:rsidP="00F223CC">
      <w:pPr>
        <w:autoSpaceDE w:val="0"/>
        <w:autoSpaceDN w:val="0"/>
        <w:adjustRightInd w:val="0"/>
        <w:spacing w:line="276" w:lineRule="auto"/>
        <w:ind w:firstLine="720"/>
        <w:jc w:val="both"/>
        <w:rPr>
          <w:rFonts w:eastAsiaTheme="minorHAnsi"/>
          <w:lang w:eastAsia="en-US"/>
        </w:rPr>
      </w:pPr>
      <w:r w:rsidRPr="00682FC0">
        <w:rPr>
          <w:rFonts w:eastAsiaTheme="minorHAnsi"/>
          <w:lang w:eastAsia="en-US"/>
        </w:rPr>
        <w:t>[2]</w:t>
      </w:r>
      <w:r w:rsidR="004B483C">
        <w:rPr>
          <w:rFonts w:eastAsiaTheme="minorHAnsi"/>
          <w:lang w:eastAsia="en-US"/>
        </w:rPr>
        <w:t xml:space="preserve"> </w:t>
      </w:r>
      <w:r w:rsidR="00550CD7" w:rsidRPr="005B68BC">
        <w:t>Admin</w:t>
      </w:r>
      <w:r w:rsidR="00550CD7">
        <w:t xml:space="preserve">istratīvā apgabaltiesa, </w:t>
      </w:r>
      <w:r w:rsidR="00A33357">
        <w:t xml:space="preserve">pievienojoties </w:t>
      </w:r>
      <w:r w:rsidR="00BD4EA8">
        <w:t xml:space="preserve">Administratīvās </w:t>
      </w:r>
      <w:r w:rsidR="00A33357">
        <w:t>rajona tiesas sprieduma motivācijai</w:t>
      </w:r>
      <w:r w:rsidR="00550CD7">
        <w:t xml:space="preserve">, ar </w:t>
      </w:r>
      <w:r w:rsidR="00513053" w:rsidRPr="00EC00F0">
        <w:rPr>
          <w:rFonts w:eastAsiaTheme="minorHAnsi"/>
          <w:lang w:eastAsia="en-US"/>
        </w:rPr>
        <w:t>202</w:t>
      </w:r>
      <w:r w:rsidR="00513053">
        <w:rPr>
          <w:rFonts w:eastAsiaTheme="minorHAnsi"/>
          <w:lang w:eastAsia="en-US"/>
        </w:rPr>
        <w:t>1</w:t>
      </w:r>
      <w:r w:rsidR="00513053" w:rsidRPr="00EC00F0">
        <w:rPr>
          <w:rFonts w:eastAsiaTheme="minorHAnsi"/>
          <w:lang w:eastAsia="en-US"/>
        </w:rPr>
        <w:t xml:space="preserve">.gada </w:t>
      </w:r>
      <w:r w:rsidR="00A33357">
        <w:rPr>
          <w:rFonts w:eastAsiaTheme="minorHAnsi"/>
          <w:lang w:eastAsia="en-US"/>
        </w:rPr>
        <w:t>9</w:t>
      </w:r>
      <w:r w:rsidR="00513053" w:rsidRPr="00EC00F0">
        <w:rPr>
          <w:rFonts w:eastAsiaTheme="minorHAnsi"/>
          <w:lang w:eastAsia="en-US"/>
        </w:rPr>
        <w:t>.</w:t>
      </w:r>
      <w:r w:rsidR="00A33357">
        <w:rPr>
          <w:rFonts w:eastAsiaTheme="minorHAnsi"/>
          <w:lang w:eastAsia="en-US"/>
        </w:rPr>
        <w:t>aprīļa</w:t>
      </w:r>
      <w:r w:rsidR="00513053" w:rsidRPr="00EC00F0">
        <w:rPr>
          <w:rFonts w:eastAsiaTheme="minorHAnsi"/>
          <w:lang w:eastAsia="en-US"/>
        </w:rPr>
        <w:t xml:space="preserve"> </w:t>
      </w:r>
      <w:r w:rsidR="00550CD7" w:rsidRPr="005B68BC">
        <w:t>spriedumu pieteikumu noraidīja</w:t>
      </w:r>
      <w:r w:rsidR="00450CEA">
        <w:t xml:space="preserve">, </w:t>
      </w:r>
      <w:r w:rsidR="00550CD7" w:rsidRPr="005B68BC">
        <w:t>pamato</w:t>
      </w:r>
      <w:r w:rsidR="00620A6B">
        <w:t>j</w:t>
      </w:r>
      <w:r w:rsidR="00450CEA">
        <w:t>oties uz</w:t>
      </w:r>
      <w:r w:rsidR="00550CD7" w:rsidRPr="005B68BC">
        <w:t xml:space="preserve"> turpmāk minētajiem argumentiem.</w:t>
      </w:r>
    </w:p>
    <w:p w14:paraId="02590FB6" w14:textId="03C2A14F" w:rsidR="00BD4366" w:rsidRDefault="00E734A1" w:rsidP="00F223CC">
      <w:pPr>
        <w:autoSpaceDE w:val="0"/>
        <w:autoSpaceDN w:val="0"/>
        <w:adjustRightInd w:val="0"/>
        <w:spacing w:line="276" w:lineRule="auto"/>
        <w:ind w:firstLine="720"/>
        <w:jc w:val="both"/>
        <w:rPr>
          <w:rFonts w:eastAsiaTheme="minorHAnsi"/>
          <w:lang w:eastAsia="en-US"/>
        </w:rPr>
      </w:pPr>
      <w:r>
        <w:rPr>
          <w:rFonts w:eastAsiaTheme="minorHAnsi"/>
          <w:lang w:eastAsia="en-US"/>
        </w:rPr>
        <w:t>[</w:t>
      </w:r>
      <w:r w:rsidR="00E816B6">
        <w:rPr>
          <w:rFonts w:eastAsiaTheme="minorHAnsi"/>
          <w:lang w:eastAsia="en-US"/>
        </w:rPr>
        <w:t>2</w:t>
      </w:r>
      <w:r>
        <w:rPr>
          <w:rFonts w:eastAsiaTheme="minorHAnsi"/>
          <w:lang w:eastAsia="en-US"/>
        </w:rPr>
        <w:t>.1]</w:t>
      </w:r>
      <w:r w:rsidR="004B483C">
        <w:rPr>
          <w:rFonts w:eastAsiaTheme="minorHAnsi"/>
          <w:lang w:eastAsia="en-US"/>
        </w:rPr>
        <w:t xml:space="preserve"> </w:t>
      </w:r>
      <w:r w:rsidR="00BD4366">
        <w:t>Pieteicēj</w:t>
      </w:r>
      <w:r w:rsidR="00BD4EA8">
        <w:t>s</w:t>
      </w:r>
      <w:r w:rsidR="00BD4366">
        <w:t xml:space="preserve"> norāda, ka no SIA „Sunningdale Tech (Riga)” ir iegādājies iekārtas (ierīces, tehnoloģiskās iekārtas)</w:t>
      </w:r>
      <w:r w:rsidR="007D281F">
        <w:t xml:space="preserve"> un node</w:t>
      </w:r>
      <w:r w:rsidR="00E90685">
        <w:t>vis</w:t>
      </w:r>
      <w:r w:rsidR="007D281F">
        <w:t xml:space="preserve"> tās SIA „Sunningdale Tech (Riga)” lietošanā</w:t>
      </w:r>
      <w:r w:rsidR="006B6DFA">
        <w:t>;</w:t>
      </w:r>
      <w:r w:rsidR="007D281F">
        <w:t xml:space="preserve"> ar iekārtām </w:t>
      </w:r>
      <w:r w:rsidR="00BD4366">
        <w:t>tiek izgatavotas pieteicēja</w:t>
      </w:r>
      <w:r w:rsidR="00794A64">
        <w:t>m</w:t>
      </w:r>
      <w:r w:rsidR="00BD4366">
        <w:t xml:space="preserve"> nepieciešamās detaļas, kuras tiek transportētas uz Čehij</w:t>
      </w:r>
      <w:r w:rsidR="000F140D">
        <w:t>as Republiku</w:t>
      </w:r>
      <w:r w:rsidR="00BD4366">
        <w:t>, lai pieteicēja rūpnīcā varētu veikt nepieciešamo izstrādājumu montāžu un pārdot t</w:t>
      </w:r>
      <w:r w:rsidR="00902187">
        <w:t>os</w:t>
      </w:r>
      <w:r w:rsidR="00BD4366">
        <w:t xml:space="preserve"> Daimler AG. Turklāt pieteicēj</w:t>
      </w:r>
      <w:r w:rsidR="00BD4EA8">
        <w:t>s</w:t>
      </w:r>
      <w:r w:rsidR="00BD4366">
        <w:t xml:space="preserve"> norāda, ka</w:t>
      </w:r>
      <w:r w:rsidR="00DD5EEA">
        <w:t xml:space="preserve"> </w:t>
      </w:r>
      <w:r w:rsidR="00BD4366">
        <w:t xml:space="preserve">iegādātās </w:t>
      </w:r>
      <w:r w:rsidR="00BD4366">
        <w:lastRenderedPageBreak/>
        <w:t>iekārtas ir atsavinā</w:t>
      </w:r>
      <w:r w:rsidR="007D281F">
        <w:t>j</w:t>
      </w:r>
      <w:r w:rsidR="00BD4EA8">
        <w:t>is</w:t>
      </w:r>
      <w:r w:rsidR="00BD4366">
        <w:t xml:space="preserve"> Daimler AG</w:t>
      </w:r>
      <w:r w:rsidR="00DD5EEA">
        <w:t>, nemainot to atrašanās vietu SIA „Sunningdale Tech (Riga)” ražotnē Rīgā.</w:t>
      </w:r>
    </w:p>
    <w:p w14:paraId="0D9E76E1" w14:textId="2C07BDF9" w:rsidR="00A33357" w:rsidRDefault="00A33357" w:rsidP="00F223CC">
      <w:pPr>
        <w:autoSpaceDE w:val="0"/>
        <w:autoSpaceDN w:val="0"/>
        <w:adjustRightInd w:val="0"/>
        <w:spacing w:line="276" w:lineRule="auto"/>
        <w:ind w:firstLine="720"/>
        <w:jc w:val="both"/>
      </w:pPr>
      <w:r>
        <w:t>No lietas materiāliem redzams, ka starp pieteicēju un Daimler AG 2017.gada 16.jūnijā noslēgts līgums par to, ka iegādātās iekārtas tiek nodotas Daimler AG. Pieteicēj</w:t>
      </w:r>
      <w:r w:rsidR="00BD4EA8">
        <w:t>s</w:t>
      </w:r>
      <w:r>
        <w:t xml:space="preserve"> tiesā iesnie</w:t>
      </w:r>
      <w:r w:rsidR="00BD4EA8">
        <w:t>dzis</w:t>
      </w:r>
      <w:r>
        <w:t xml:space="preserve"> 2018.gada 22.oktobrī izrakstīto rēķinu Daimler AG par 309 333 </w:t>
      </w:r>
      <w:r w:rsidRPr="00A33357">
        <w:rPr>
          <w:i/>
          <w:iCs/>
        </w:rPr>
        <w:t>euro</w:t>
      </w:r>
      <w:r>
        <w:t xml:space="preserve">. Rēķinā norādīts, ka </w:t>
      </w:r>
      <w:r w:rsidR="00213DF4">
        <w:t>iekārtu</w:t>
      </w:r>
      <w:r>
        <w:t xml:space="preserve"> atrašanās vieta ir SIA „Sunningdale Tech (Riga)”</w:t>
      </w:r>
      <w:r w:rsidR="00F1596B">
        <w:t xml:space="preserve"> ražotnē </w:t>
      </w:r>
      <w:r>
        <w:t>Rīg</w:t>
      </w:r>
      <w:r w:rsidR="00F1596B">
        <w:t>ā</w:t>
      </w:r>
      <w:r w:rsidR="00902187">
        <w:t>, bet</w:t>
      </w:r>
      <w:r>
        <w:t xml:space="preserve"> </w:t>
      </w:r>
      <w:r w:rsidR="00902187">
        <w:t xml:space="preserve">no tā </w:t>
      </w:r>
      <w:r>
        <w:t>nav saprotams, kuras iekārtas tiek nodotas Daimler AG un vai norādītais rēķins aptver visus strīdus gadījumus. Uz citu rēķinu vai dokumentu pastāvēšanu pieteicēj</w:t>
      </w:r>
      <w:r w:rsidR="00BD4EA8">
        <w:t>s</w:t>
      </w:r>
      <w:r>
        <w:t xml:space="preserve"> nav norādīj</w:t>
      </w:r>
      <w:r w:rsidR="00BD4EA8">
        <w:t>is</w:t>
      </w:r>
      <w:r>
        <w:t>.</w:t>
      </w:r>
    </w:p>
    <w:p w14:paraId="2156D995" w14:textId="2B6C2AE5" w:rsidR="004B483C" w:rsidRDefault="00DD5EEA" w:rsidP="00F223CC">
      <w:pPr>
        <w:autoSpaceDE w:val="0"/>
        <w:autoSpaceDN w:val="0"/>
        <w:adjustRightInd w:val="0"/>
        <w:spacing w:line="276" w:lineRule="auto"/>
        <w:ind w:firstLine="720"/>
        <w:jc w:val="both"/>
      </w:pPr>
      <w:r>
        <w:t>L</w:t>
      </w:r>
      <w:r w:rsidR="00A33357">
        <w:t>ietas materiālos nav tādu pierādījumu, kas apliecinātu pieteicēja paskaidroto, ka iekārtas</w:t>
      </w:r>
      <w:r w:rsidR="00247A9B">
        <w:t xml:space="preserve"> ir</w:t>
      </w:r>
      <w:r w:rsidR="00A33357">
        <w:t xml:space="preserve"> tikušas izmantotas preču ražošanai</w:t>
      </w:r>
      <w:r w:rsidR="00247A9B">
        <w:t>,</w:t>
      </w:r>
      <w:r w:rsidR="00A33357">
        <w:t xml:space="preserve"> ka pieteicēj</w:t>
      </w:r>
      <w:r w:rsidR="00794A64">
        <w:t>s</w:t>
      </w:r>
      <w:r w:rsidR="00A33357">
        <w:t xml:space="preserve"> saražotās preces ir iegādāj</w:t>
      </w:r>
      <w:r w:rsidR="004B483C">
        <w:t>ies</w:t>
      </w:r>
      <w:r w:rsidR="00A33357">
        <w:t xml:space="preserve"> no SIA</w:t>
      </w:r>
      <w:r w:rsidR="004B483C">
        <w:t> </w:t>
      </w:r>
      <w:r w:rsidR="00A33357">
        <w:t>„Sunningdale Tech (Riga)”</w:t>
      </w:r>
      <w:r>
        <w:t xml:space="preserve"> un </w:t>
      </w:r>
      <w:r w:rsidR="00247A9B">
        <w:t xml:space="preserve">ka tās ir tikušas piegādātas </w:t>
      </w:r>
      <w:r>
        <w:t>rūpnīcā Čehij</w:t>
      </w:r>
      <w:r w:rsidR="00BE0E8C">
        <w:t>as Republikā</w:t>
      </w:r>
      <w:r w:rsidR="00A33357">
        <w:t xml:space="preserve">. </w:t>
      </w:r>
    </w:p>
    <w:p w14:paraId="6E08B969" w14:textId="17BF5B06" w:rsidR="004B483C" w:rsidRDefault="004B483C" w:rsidP="00F223CC">
      <w:pPr>
        <w:autoSpaceDE w:val="0"/>
        <w:autoSpaceDN w:val="0"/>
        <w:adjustRightInd w:val="0"/>
        <w:spacing w:line="276" w:lineRule="auto"/>
        <w:ind w:firstLine="720"/>
        <w:jc w:val="both"/>
      </w:pPr>
      <w:r>
        <w:t>P</w:t>
      </w:r>
      <w:r w:rsidR="00A33357">
        <w:t>ieteicēj</w:t>
      </w:r>
      <w:r w:rsidR="00BD4EA8">
        <w:t>s</w:t>
      </w:r>
      <w:r w:rsidR="00A33357">
        <w:t xml:space="preserve"> nav iesnie</w:t>
      </w:r>
      <w:r w:rsidR="00BD4EA8">
        <w:t>dzis</w:t>
      </w:r>
      <w:r w:rsidR="00A33357">
        <w:t xml:space="preserve"> ticamus pierādījumus, kas apstiprinātu pieteicēja nodomu veikt saimniecisko darbību, lai gan šis apstāklis ir viens no obligātajiem nosacījumiem, lai nodokļu maksātājam ļautu izmantot tiesības uz priekšnodokļa atskaitījumiem. </w:t>
      </w:r>
    </w:p>
    <w:p w14:paraId="178D409C" w14:textId="48870122" w:rsidR="00213DF4" w:rsidRDefault="004B483C" w:rsidP="00F223CC">
      <w:pPr>
        <w:autoSpaceDE w:val="0"/>
        <w:autoSpaceDN w:val="0"/>
        <w:adjustRightInd w:val="0"/>
        <w:spacing w:line="276" w:lineRule="auto"/>
        <w:ind w:firstLine="720"/>
        <w:jc w:val="both"/>
      </w:pPr>
      <w:r>
        <w:t xml:space="preserve">[2.2] </w:t>
      </w:r>
      <w:r w:rsidR="00D74B34">
        <w:t>Šaubas par darījumu norisi atbilstoši darījumu dokumentos norādītajam rada arī SIA </w:t>
      </w:r>
      <w:r w:rsidR="00F1596B">
        <w:t>„Sunningdale Tech (Riga)” galvenās grāmatvedes liecības tiesas sēdē</w:t>
      </w:r>
      <w:r w:rsidR="00A33357">
        <w:t xml:space="preserve">, </w:t>
      </w:r>
      <w:r w:rsidR="00D74B34">
        <w:t>kurās</w:t>
      </w:r>
      <w:r w:rsidR="00A33357">
        <w:t xml:space="preserve"> </w:t>
      </w:r>
      <w:r w:rsidR="00F1596B">
        <w:t xml:space="preserve">viņa </w:t>
      </w:r>
      <w:r w:rsidR="00D74B34">
        <w:t xml:space="preserve">norādīja, ka </w:t>
      </w:r>
      <w:r w:rsidR="00F1596B">
        <w:t xml:space="preserve">tiesas uzrādītos </w:t>
      </w:r>
      <w:r w:rsidR="00A33357">
        <w:t>rēķinu nav parakstījusi</w:t>
      </w:r>
      <w:r w:rsidR="00F1596B">
        <w:t>, lai arī tas ir pretrunā ar paraksta atšifrējumu.</w:t>
      </w:r>
      <w:r w:rsidR="00D74B34">
        <w:t xml:space="preserve"> N</w:t>
      </w:r>
      <w:r w:rsidR="00F1596B">
        <w:t>av atrodams</w:t>
      </w:r>
      <w:r w:rsidR="00A33357">
        <w:t xml:space="preserve"> saprātīg</w:t>
      </w:r>
      <w:r w:rsidR="00F1596B">
        <w:t>s</w:t>
      </w:r>
      <w:r w:rsidR="00A33357">
        <w:t xml:space="preserve"> izskaidrojum</w:t>
      </w:r>
      <w:r w:rsidR="00F1596B">
        <w:t>s</w:t>
      </w:r>
      <w:r w:rsidR="00A33357">
        <w:t xml:space="preserve"> </w:t>
      </w:r>
      <w:r w:rsidR="00C47FA9">
        <w:t xml:space="preserve">ne </w:t>
      </w:r>
      <w:r w:rsidR="00A33357">
        <w:t>tam, kāpēc rēķinā paraksta atšifrējumā norādītā persona nav parakstījusi norādītos dokumentus</w:t>
      </w:r>
      <w:r w:rsidR="00C47FA9">
        <w:t xml:space="preserve">, ne tam, kāpēc </w:t>
      </w:r>
      <w:r w:rsidR="00A33357">
        <w:t>nevarētu atspoguļot dokumentā</w:t>
      </w:r>
      <w:r w:rsidR="00C47FA9">
        <w:t xml:space="preserve"> personu, kura patiešām dokumentu parakstījusi</w:t>
      </w:r>
      <w:r w:rsidR="00A33357">
        <w:t xml:space="preserve">. </w:t>
      </w:r>
    </w:p>
    <w:p w14:paraId="6E2E9025" w14:textId="11858603" w:rsidR="006D23E7" w:rsidRDefault="0054405C" w:rsidP="00F223CC">
      <w:pPr>
        <w:autoSpaceDE w:val="0"/>
        <w:autoSpaceDN w:val="0"/>
        <w:adjustRightInd w:val="0"/>
        <w:spacing w:line="276" w:lineRule="auto"/>
        <w:ind w:firstLine="720"/>
        <w:jc w:val="both"/>
      </w:pPr>
      <w:r>
        <w:t xml:space="preserve">[2.3] Lai arī </w:t>
      </w:r>
      <w:r w:rsidR="006B6DFA">
        <w:t xml:space="preserve">Valsts ieņēmumu </w:t>
      </w:r>
      <w:r>
        <w:t>dienests ir vairākkārt lūdzis pieteicēja</w:t>
      </w:r>
      <w:r w:rsidR="00BD4EA8">
        <w:t>m</w:t>
      </w:r>
      <w:r>
        <w:t xml:space="preserve"> sniegt paskaidrojumus (un iesniegt dokumentus, kas to apstiprina) par to, kā iegādātās preces tiek vai tiks izmantotas saimnieciskajā darbībā jaunas ar nodokli apliekamas vērtības radīšanai, kā tika organizētas preču piegādes no SIA</w:t>
      </w:r>
      <w:r w:rsidR="006D23E7">
        <w:t> </w:t>
      </w:r>
      <w:r>
        <w:t xml:space="preserve">„Sunningdale Tech (Riga)”, kad paredzēti realizācijas darījumi, kādā praktiskā veidā tie tiks </w:t>
      </w:r>
      <w:r w:rsidR="00C47FA9">
        <w:t>īstenoti</w:t>
      </w:r>
      <w:r w:rsidR="00B40698">
        <w:t>, p</w:t>
      </w:r>
      <w:r>
        <w:t>ieteicēj</w:t>
      </w:r>
      <w:r w:rsidR="00BD4EA8">
        <w:t>s</w:t>
      </w:r>
      <w:r>
        <w:t xml:space="preserve"> uz šiem jautājumiem pēc būtības nav atbildēj</w:t>
      </w:r>
      <w:r w:rsidR="00BD4EA8">
        <w:t>is</w:t>
      </w:r>
      <w:r>
        <w:t xml:space="preserve"> vai arī ir atbildēj</w:t>
      </w:r>
      <w:r w:rsidR="00BD4EA8">
        <w:t xml:space="preserve">is </w:t>
      </w:r>
      <w:r>
        <w:t xml:space="preserve">tikai daļēji. </w:t>
      </w:r>
    </w:p>
    <w:p w14:paraId="7EE8D280" w14:textId="64DD5666" w:rsidR="0054405C" w:rsidRPr="00D74B34" w:rsidRDefault="005A3DEB" w:rsidP="00F223CC">
      <w:pPr>
        <w:autoSpaceDE w:val="0"/>
        <w:autoSpaceDN w:val="0"/>
        <w:adjustRightInd w:val="0"/>
        <w:spacing w:line="276" w:lineRule="auto"/>
        <w:ind w:firstLine="720"/>
        <w:jc w:val="both"/>
      </w:pPr>
      <w:r>
        <w:t>Tāpēc</w:t>
      </w:r>
      <w:r w:rsidR="0054405C">
        <w:t xml:space="preserve"> pamatot</w:t>
      </w:r>
      <w:r>
        <w:t>s ir dienesta viedoklis</w:t>
      </w:r>
      <w:r w:rsidR="0054405C">
        <w:t>, ka pieteicēj</w:t>
      </w:r>
      <w:r w:rsidR="00BD4EA8">
        <w:t>s</w:t>
      </w:r>
      <w:r w:rsidR="0054405C">
        <w:t xml:space="preserve"> nav snie</w:t>
      </w:r>
      <w:r w:rsidR="00BD4EA8">
        <w:t>dzis</w:t>
      </w:r>
      <w:r w:rsidR="0054405C">
        <w:t xml:space="preserve"> pilnīgu informāciju par darījumu būtību ar sadarbības partneri, līdz ar to nav konstatējama arī tieša un tūlītēja saikne starp deklarētajiem darījumiem un vēlāk veiktajiem darījumiem</w:t>
      </w:r>
      <w:r w:rsidR="006B6DFA">
        <w:t>.</w:t>
      </w:r>
      <w:r w:rsidR="0054405C">
        <w:t xml:space="preserve"> Lai arī pieteicē</w:t>
      </w:r>
      <w:r>
        <w:t>j</w:t>
      </w:r>
      <w:r w:rsidR="00BD4EA8">
        <w:t>s</w:t>
      </w:r>
      <w:r w:rsidR="0054405C">
        <w:t xml:space="preserve"> </w:t>
      </w:r>
      <w:r w:rsidR="00C47FA9">
        <w:t xml:space="preserve">gan iestādei, gan tiesai </w:t>
      </w:r>
      <w:r w:rsidR="0054405C">
        <w:t>pārmet objektīvās izmeklēšanas principa pārkāpšanu, tam ne</w:t>
      </w:r>
      <w:r w:rsidR="007A0C1C">
        <w:t xml:space="preserve">var </w:t>
      </w:r>
      <w:r w:rsidR="0054405C">
        <w:t>piekr</w:t>
      </w:r>
      <w:r w:rsidR="007A0C1C">
        <w:t>ist</w:t>
      </w:r>
      <w:r w:rsidR="0054405C">
        <w:t>, jo gan dienests, gan tiesa ir bijuši pietiekami aktīvi pierādījumu vākšanā, prasot pieteicēja</w:t>
      </w:r>
      <w:r w:rsidR="00BD4EA8">
        <w:t>m</w:t>
      </w:r>
      <w:r w:rsidR="0054405C">
        <w:t xml:space="preserve"> iesniegt gan dokumentus, gan paskaidrojumus, kas ir bijuši nepieciešami lietas apstākļu noskaidrošanai. </w:t>
      </w:r>
      <w:r w:rsidR="007A0C1C">
        <w:t>Nav</w:t>
      </w:r>
      <w:r w:rsidR="0054405C">
        <w:t xml:space="preserve"> arī konstatē</w:t>
      </w:r>
      <w:r w:rsidR="007A0C1C">
        <w:t>jams</w:t>
      </w:r>
      <w:r w:rsidR="0054405C">
        <w:t>, ka pieteicēj</w:t>
      </w:r>
      <w:r w:rsidR="00BD4EA8">
        <w:t>s</w:t>
      </w:r>
      <w:r w:rsidR="0054405C">
        <w:t xml:space="preserve"> būtu iesnie</w:t>
      </w:r>
      <w:r w:rsidR="00BD4EA8">
        <w:t>dzis</w:t>
      </w:r>
      <w:r w:rsidR="0054405C">
        <w:t xml:space="preserve"> tiesā tādus pierādījumus, kas varētu kliedēt dienesta un tiesas šaubas par dokumentu formālu noformēšanu.</w:t>
      </w:r>
    </w:p>
    <w:p w14:paraId="300D8578" w14:textId="2AA649E1" w:rsidR="0054405C" w:rsidRPr="008E3C64" w:rsidRDefault="007A0C1C" w:rsidP="00F223CC">
      <w:pPr>
        <w:autoSpaceDE w:val="0"/>
        <w:autoSpaceDN w:val="0"/>
        <w:adjustRightInd w:val="0"/>
        <w:spacing w:line="276" w:lineRule="auto"/>
        <w:ind w:firstLine="720"/>
        <w:jc w:val="both"/>
      </w:pPr>
      <w:r>
        <w:rPr>
          <w:rFonts w:eastAsiaTheme="minorHAnsi"/>
          <w:lang w:eastAsia="en-US"/>
        </w:rPr>
        <w:t xml:space="preserve">[2.4] </w:t>
      </w:r>
      <w:r w:rsidR="008E3C64">
        <w:t xml:space="preserve">Pieteicēja lūgums pieprasīt no SIA „Sunningdale Tech (Riga)” rakstveida paskaidrojumus par </w:t>
      </w:r>
      <w:r w:rsidR="00E20C88">
        <w:t>konstatētajiem trūkumiem strīdus darījumu rēķinos</w:t>
      </w:r>
      <w:r w:rsidR="008E3C64">
        <w:t xml:space="preserve"> nav apmierināms. Pirmās instances tiesas sēdē kā liecinieki tika nopratināti SIA „Sunningdale Tech (Riga)” amatpersona un galvenā grāmatvede. Minētajā tiesas sēdē piedalījās arī pieteicēja pārstāvji, līdz ar to pieteicēja</w:t>
      </w:r>
      <w:r w:rsidR="00BD4EA8">
        <w:t>m</w:t>
      </w:r>
      <w:r w:rsidR="008E3C64">
        <w:t xml:space="preserve"> bija iespēja uzdot visus interesējošos jautājumus minētajām personām. </w:t>
      </w:r>
      <w:r w:rsidR="00BD4EA8">
        <w:t>Turklāt</w:t>
      </w:r>
      <w:r w:rsidR="008E3C64">
        <w:t xml:space="preserve"> lielākā daļa no jautājumiem, kurus pieteicēj</w:t>
      </w:r>
      <w:r w:rsidR="00BD4EA8">
        <w:t>s</w:t>
      </w:r>
      <w:r w:rsidR="008E3C64">
        <w:t xml:space="preserve"> vēlas, lai tiesa uzdotu SIA „Sunningdale Tech (Riga)”, jau ir izskanējuši pirmās instances tiesas sēdē. </w:t>
      </w:r>
      <w:r w:rsidR="008E3C64">
        <w:lastRenderedPageBreak/>
        <w:t>Tāpēc lietā nav nepieciešams pieprasīt papildu paskaidrojumus no SIA „Sunningdale Tech (Riga)”.</w:t>
      </w:r>
    </w:p>
    <w:p w14:paraId="6E37ACD2" w14:textId="77777777" w:rsidR="008412C4" w:rsidRDefault="008412C4" w:rsidP="00F223CC">
      <w:pPr>
        <w:autoSpaceDE w:val="0"/>
        <w:autoSpaceDN w:val="0"/>
        <w:adjustRightInd w:val="0"/>
        <w:spacing w:line="276" w:lineRule="auto"/>
        <w:ind w:firstLine="720"/>
        <w:jc w:val="both"/>
        <w:rPr>
          <w:rFonts w:eastAsiaTheme="minorHAnsi"/>
          <w:lang w:eastAsia="en-US"/>
        </w:rPr>
      </w:pPr>
    </w:p>
    <w:p w14:paraId="1EB79342" w14:textId="5E6071DA" w:rsidR="007C7179" w:rsidRDefault="00D90D0B" w:rsidP="00F223CC">
      <w:pPr>
        <w:autoSpaceDE w:val="0"/>
        <w:autoSpaceDN w:val="0"/>
        <w:adjustRightInd w:val="0"/>
        <w:spacing w:line="276" w:lineRule="auto"/>
        <w:ind w:firstLine="720"/>
        <w:jc w:val="both"/>
        <w:rPr>
          <w:rFonts w:eastAsiaTheme="minorHAnsi"/>
          <w:lang w:eastAsia="en-US"/>
        </w:rPr>
      </w:pPr>
      <w:r>
        <w:rPr>
          <w:i/>
          <w:iCs/>
          <w:shd w:val="clear" w:color="auto" w:fill="FFFFFF"/>
        </w:rPr>
        <w:t>K</w:t>
      </w:r>
      <w:r w:rsidR="007C7179" w:rsidRPr="00C803FE">
        <w:rPr>
          <w:i/>
          <w:iCs/>
          <w:shd w:val="clear" w:color="auto" w:fill="FFFFFF"/>
        </w:rPr>
        <w:t>asācijas sūdzības argumenti</w:t>
      </w:r>
    </w:p>
    <w:p w14:paraId="5978BD4C" w14:textId="156A270B" w:rsidR="007C7179" w:rsidRPr="00055DB3" w:rsidRDefault="008B7CCD" w:rsidP="00F223CC">
      <w:pPr>
        <w:pStyle w:val="NormalWeb"/>
        <w:shd w:val="clear" w:color="auto" w:fill="FFFFFF"/>
        <w:spacing w:line="276" w:lineRule="auto"/>
        <w:ind w:firstLine="720"/>
        <w:jc w:val="both"/>
        <w:rPr>
          <w:shd w:val="clear" w:color="auto" w:fill="FFFFFF"/>
        </w:rPr>
      </w:pPr>
      <w:r w:rsidRPr="00055DB3">
        <w:t>[</w:t>
      </w:r>
      <w:r w:rsidR="00435E1B" w:rsidRPr="00055DB3">
        <w:t>3</w:t>
      </w:r>
      <w:r w:rsidRPr="00055DB3">
        <w:t>]</w:t>
      </w:r>
      <w:r w:rsidR="005843A6" w:rsidRPr="00055DB3">
        <w:t xml:space="preserve"> </w:t>
      </w:r>
      <w:r w:rsidR="00CC3BE4" w:rsidRPr="00055DB3">
        <w:t>Pieteicēj</w:t>
      </w:r>
      <w:r w:rsidR="00BD4EA8">
        <w:t>s</w:t>
      </w:r>
      <w:r w:rsidR="00061BB1" w:rsidRPr="00055DB3">
        <w:t xml:space="preserve"> </w:t>
      </w:r>
      <w:r w:rsidRPr="00055DB3">
        <w:t>par apgabaltiesas spriedumu</w:t>
      </w:r>
      <w:r w:rsidR="00DB4559" w:rsidRPr="00055DB3">
        <w:t xml:space="preserve"> </w:t>
      </w:r>
      <w:r w:rsidRPr="00055DB3">
        <w:t>iesniedza kasācijas sūdzību</w:t>
      </w:r>
      <w:r w:rsidR="005843A6" w:rsidRPr="00055DB3">
        <w:t xml:space="preserve">. </w:t>
      </w:r>
      <w:r w:rsidR="007C7179" w:rsidRPr="00055DB3">
        <w:rPr>
          <w:shd w:val="clear" w:color="auto" w:fill="FFFFFF"/>
        </w:rPr>
        <w:t>Sūdzībā norādīti turpmāk minētie pamati sprieduma atcelšanai.</w:t>
      </w:r>
    </w:p>
    <w:p w14:paraId="550DE09C" w14:textId="23EA14C7" w:rsidR="0091325A" w:rsidRPr="00055DB3" w:rsidRDefault="005843A6" w:rsidP="00F223CC">
      <w:pPr>
        <w:spacing w:line="276" w:lineRule="auto"/>
        <w:ind w:firstLine="720"/>
        <w:jc w:val="both"/>
      </w:pPr>
      <w:r w:rsidRPr="00055DB3">
        <w:t xml:space="preserve">[3.1] </w:t>
      </w:r>
      <w:r w:rsidR="007C7179" w:rsidRPr="00055DB3">
        <w:t>Pieteicēj</w:t>
      </w:r>
      <w:r w:rsidR="00BD4EA8">
        <w:t>s</w:t>
      </w:r>
      <w:r w:rsidR="007C7179" w:rsidRPr="00055DB3">
        <w:t xml:space="preserve"> kā</w:t>
      </w:r>
      <w:r w:rsidR="00134169" w:rsidRPr="00055DB3">
        <w:t xml:space="preserve"> pirmo</w:t>
      </w:r>
      <w:r w:rsidR="007C7179" w:rsidRPr="00055DB3">
        <w:t xml:space="preserve"> kasācijas pamatu norādīj</w:t>
      </w:r>
      <w:r w:rsidR="00BD4EA8">
        <w:t>is</w:t>
      </w:r>
      <w:r w:rsidR="007C7179" w:rsidRPr="00055DB3">
        <w:t xml:space="preserve"> </w:t>
      </w:r>
      <w:r w:rsidR="00B535FC" w:rsidRPr="00055DB3">
        <w:t>nepareizu Pievienotās vērtības nodokļa likuma 92.panta pirmās daļas 1.punkta</w:t>
      </w:r>
      <w:r w:rsidR="00C95E28" w:rsidRPr="00055DB3">
        <w:t xml:space="preserve"> piemērošanu</w:t>
      </w:r>
      <w:r w:rsidR="00B535FC" w:rsidRPr="00055DB3">
        <w:t>, jo tiesa nav atbilstoši normas prasībām lietā novērtējusi pierādījumus.</w:t>
      </w:r>
    </w:p>
    <w:p w14:paraId="7E1AEEBD" w14:textId="6FB654C0" w:rsidR="00443015" w:rsidRPr="00055DB3" w:rsidRDefault="001037D6" w:rsidP="00F223CC">
      <w:pPr>
        <w:pStyle w:val="Default"/>
        <w:spacing w:line="276" w:lineRule="auto"/>
        <w:ind w:firstLine="720"/>
        <w:jc w:val="both"/>
      </w:pPr>
      <w:r w:rsidRPr="00055DB3">
        <w:t>Minēto argumentu pieteicēj</w:t>
      </w:r>
      <w:r w:rsidR="00BD4EA8">
        <w:t>s</w:t>
      </w:r>
      <w:r w:rsidRPr="00055DB3">
        <w:t xml:space="preserve"> pamato ar apstākli, </w:t>
      </w:r>
      <w:r w:rsidR="00B40698">
        <w:t xml:space="preserve">ka </w:t>
      </w:r>
      <w:r w:rsidRPr="00055DB3">
        <w:t>tiesa nav</w:t>
      </w:r>
      <w:r w:rsidR="00B50354" w:rsidRPr="00055DB3">
        <w:t xml:space="preserve"> pienācīgi iedziļinājusies </w:t>
      </w:r>
      <w:r w:rsidRPr="00055DB3">
        <w:t xml:space="preserve">pieteicēja </w:t>
      </w:r>
      <w:r w:rsidR="00CE6E00" w:rsidRPr="00055DB3">
        <w:t xml:space="preserve">starptautiskās </w:t>
      </w:r>
      <w:r w:rsidRPr="00055DB3">
        <w:t>saimnieci</w:t>
      </w:r>
      <w:r w:rsidR="00B50354" w:rsidRPr="00055DB3">
        <w:t>skās darbības model</w:t>
      </w:r>
      <w:r w:rsidR="00C47FA9">
        <w:t>ī</w:t>
      </w:r>
      <w:r w:rsidRPr="00055DB3">
        <w:t>, tāpēc pārsteidzīgi izdarījusi secinājumu, ka preču iegādes darījumiem nav saistības ar pieteicēja saimniecisko darbību.</w:t>
      </w:r>
      <w:r w:rsidR="00BD4EA8">
        <w:t xml:space="preserve"> </w:t>
      </w:r>
      <w:r w:rsidR="00897619" w:rsidRPr="00055DB3">
        <w:t xml:space="preserve">Savukārt </w:t>
      </w:r>
      <w:r w:rsidR="000E49E2" w:rsidRPr="00055DB3">
        <w:t>preču rēķin</w:t>
      </w:r>
      <w:r w:rsidR="000F140D" w:rsidRPr="00055DB3">
        <w:t>u</w:t>
      </w:r>
      <w:r w:rsidR="000E49E2" w:rsidRPr="00055DB3">
        <w:t xml:space="preserve"> noformēšanā pieļaut</w:t>
      </w:r>
      <w:r w:rsidR="00897619" w:rsidRPr="00055DB3">
        <w:t>ās</w:t>
      </w:r>
      <w:r w:rsidR="000E49E2" w:rsidRPr="00055DB3">
        <w:t xml:space="preserve"> formāl</w:t>
      </w:r>
      <w:r w:rsidR="00897619" w:rsidRPr="00055DB3">
        <w:t>ā</w:t>
      </w:r>
      <w:r w:rsidR="000E49E2" w:rsidRPr="00055DB3">
        <w:t>s kļūdas pie nosacījuma, ka darījum</w:t>
      </w:r>
      <w:r w:rsidR="006B6DFA" w:rsidRPr="00055DB3">
        <w:t>i</w:t>
      </w:r>
      <w:r w:rsidR="000E49E2" w:rsidRPr="00055DB3">
        <w:t xml:space="preserve"> ir reāli noti</w:t>
      </w:r>
      <w:r w:rsidR="006B6DFA" w:rsidRPr="00055DB3">
        <w:t>kuši</w:t>
      </w:r>
      <w:r w:rsidR="000E49E2" w:rsidRPr="00055DB3">
        <w:t xml:space="preserve">, nevar būt </w:t>
      </w:r>
      <w:r w:rsidR="006B6DFA" w:rsidRPr="00055DB3">
        <w:t>pamats</w:t>
      </w:r>
      <w:r w:rsidR="000E49E2" w:rsidRPr="00055DB3">
        <w:t xml:space="preserve">, lai ierobežotu priekšnodokļa atskaitīšanas tiesības. </w:t>
      </w:r>
    </w:p>
    <w:p w14:paraId="18C88976" w14:textId="35927C5D" w:rsidR="00134169" w:rsidRPr="00055DB3" w:rsidRDefault="006B6DFA" w:rsidP="00F223CC">
      <w:pPr>
        <w:spacing w:line="276" w:lineRule="auto"/>
        <w:ind w:firstLine="720"/>
        <w:jc w:val="both"/>
      </w:pPr>
      <w:r w:rsidRPr="00055DB3">
        <w:t xml:space="preserve">[3.2] </w:t>
      </w:r>
      <w:r w:rsidR="00134169" w:rsidRPr="00055DB3">
        <w:t>Pieteicēj</w:t>
      </w:r>
      <w:r w:rsidR="00BD4EA8">
        <w:t>s</w:t>
      </w:r>
      <w:r w:rsidR="00134169" w:rsidRPr="00055DB3">
        <w:t xml:space="preserve"> kā otro kasācijas pamatu norādīj</w:t>
      </w:r>
      <w:r w:rsidR="00BD4EA8">
        <w:t>is</w:t>
      </w:r>
      <w:r w:rsidR="00134169" w:rsidRPr="00055DB3">
        <w:t xml:space="preserve"> Administratīvā procesa likuma 154.panta pirmās daļas pārkāpumu,</w:t>
      </w:r>
      <w:r w:rsidR="00B50354" w:rsidRPr="00055DB3">
        <w:t xml:space="preserve"> </w:t>
      </w:r>
      <w:r w:rsidR="00C47FA9">
        <w:t>proti, pārkāpumus pierādījumu vērtēšanā</w:t>
      </w:r>
      <w:r w:rsidR="00134169" w:rsidRPr="00055DB3">
        <w:t>.</w:t>
      </w:r>
    </w:p>
    <w:p w14:paraId="0CF60033" w14:textId="40DE477B" w:rsidR="00D04635" w:rsidRPr="00055DB3" w:rsidRDefault="00E84261" w:rsidP="00F223CC">
      <w:pPr>
        <w:pStyle w:val="Default"/>
        <w:spacing w:line="276" w:lineRule="auto"/>
        <w:ind w:firstLine="720"/>
        <w:jc w:val="both"/>
      </w:pPr>
      <w:r>
        <w:t>Pieteicēj</w:t>
      </w:r>
      <w:r w:rsidR="00BD4EA8">
        <w:t>s</w:t>
      </w:r>
      <w:r>
        <w:t xml:space="preserve"> minēto argumentu pamato ar apstākli, ka tiesa lietā nav novērtējusi visus pierādījumus. </w:t>
      </w:r>
      <w:r w:rsidR="007A521B" w:rsidRPr="00055DB3">
        <w:t xml:space="preserve">Lietā ir sniegti paskaidrojumi par darījumiem un pieteicēja </w:t>
      </w:r>
      <w:r>
        <w:t xml:space="preserve">saimnieciskās </w:t>
      </w:r>
      <w:r w:rsidR="007A521B" w:rsidRPr="00055DB3">
        <w:t>darbības modeli; pieteicēja paskaidrojumi ir apliecināti ar trešo personu paskaidrojumiem un liecībām, kā arī ar lietas materiālos esošajiem līgumiem, rēķiniem, pieteicēja un tā darījumu partnera deklarācijām</w:t>
      </w:r>
      <w:r w:rsidR="00D04635" w:rsidRPr="00055DB3">
        <w:t>.</w:t>
      </w:r>
      <w:r w:rsidR="007A521B" w:rsidRPr="00055DB3">
        <w:t xml:space="preserve"> </w:t>
      </w:r>
      <w:r w:rsidR="00D04635" w:rsidRPr="00055DB3">
        <w:t>Pieteicēj</w:t>
      </w:r>
      <w:r w:rsidR="00BD4EA8">
        <w:t>s</w:t>
      </w:r>
      <w:r w:rsidR="00D04635" w:rsidRPr="00055DB3">
        <w:t xml:space="preserve"> </w:t>
      </w:r>
      <w:r w:rsidR="00BD4EA8">
        <w:t xml:space="preserve">tieši </w:t>
      </w:r>
      <w:r w:rsidR="00D04635" w:rsidRPr="00055DB3">
        <w:t>kā Latvijas Republikā reģistrēt</w:t>
      </w:r>
      <w:r w:rsidR="00BD4EA8">
        <w:t>s</w:t>
      </w:r>
      <w:r w:rsidR="00D04635" w:rsidRPr="00055DB3">
        <w:t xml:space="preserve"> pievienotās vērtības nodokļa maksātāj</w:t>
      </w:r>
      <w:r w:rsidR="00BD4EA8">
        <w:t>s</w:t>
      </w:r>
      <w:r w:rsidR="00D04635" w:rsidRPr="00055DB3">
        <w:t xml:space="preserve"> veica tikai iekārtu iegādes no SIA „Sunningdale Tech (Riga)” un secīgi to atsavināšanas Daimler AG darījumus.</w:t>
      </w:r>
    </w:p>
    <w:p w14:paraId="42750FA2" w14:textId="4AF43773" w:rsidR="007A521B" w:rsidRPr="00055DB3" w:rsidRDefault="007A521B" w:rsidP="00F223CC">
      <w:pPr>
        <w:pStyle w:val="Default"/>
        <w:spacing w:line="276" w:lineRule="auto"/>
        <w:ind w:firstLine="720"/>
        <w:jc w:val="both"/>
      </w:pPr>
      <w:r w:rsidRPr="00055DB3">
        <w:t>Pieteicēj</w:t>
      </w:r>
      <w:r w:rsidR="00BD4EA8">
        <w:t>s</w:t>
      </w:r>
      <w:r w:rsidRPr="00055DB3">
        <w:t xml:space="preserve"> arī izskaidroj</w:t>
      </w:r>
      <w:r w:rsidR="00BD4EA8">
        <w:t>is</w:t>
      </w:r>
      <w:r w:rsidRPr="00055DB3">
        <w:t xml:space="preserve"> iekārtu īpašumtiesību pāreju, kas saistīta ar saimnieciskās darbības risku vadību. Šāda darījumu organizēšanas kārtība ir vispārpieņemta prakse automašīnu komplektējošo daļu ražošanas jomā, un to izmanto vairāki ražotāji Eiropas Savienībā.</w:t>
      </w:r>
    </w:p>
    <w:p w14:paraId="59F39C63" w14:textId="6C123322" w:rsidR="00491DE9" w:rsidRPr="00055DB3" w:rsidRDefault="004B6F3A" w:rsidP="00F223CC">
      <w:pPr>
        <w:pStyle w:val="Default"/>
        <w:spacing w:line="276" w:lineRule="auto"/>
        <w:ind w:firstLine="720"/>
        <w:jc w:val="both"/>
      </w:pPr>
      <w:r w:rsidRPr="00055DB3">
        <w:t>Valsts ieņēmumu dienests pretēji tiesas atzītajam nav apstrīdējis vai izteicis šaubas par to, ka iekārtas, kuras pieteicēj</w:t>
      </w:r>
      <w:r w:rsidR="00BD4EA8">
        <w:t>s</w:t>
      </w:r>
      <w:r w:rsidRPr="00055DB3">
        <w:t xml:space="preserve"> atsavināja Daimler AG, bija iegādātas no SIA „Sunningdale Tech (Riga)”. </w:t>
      </w:r>
      <w:r w:rsidR="00491DE9" w:rsidRPr="00055DB3">
        <w:t>Dienesta rīcībā esošā informācija ļauj pārbaudīt, ka pieteicēj</w:t>
      </w:r>
      <w:r w:rsidR="00BD4EA8">
        <w:t>s</w:t>
      </w:r>
      <w:r w:rsidR="00491DE9" w:rsidRPr="00055DB3">
        <w:t xml:space="preserve"> par piegādēm Daimler AG ir savās deklarācijās norādīj</w:t>
      </w:r>
      <w:r w:rsidR="00BD4EA8">
        <w:t>is</w:t>
      </w:r>
      <w:r w:rsidR="00491DE9" w:rsidRPr="00055DB3">
        <w:t xml:space="preserve"> maksājamo pievienotās vērtības nodokli un to, ka šis nodoklis ir samaksāts valsts budžetā.</w:t>
      </w:r>
    </w:p>
    <w:p w14:paraId="0BF2917A" w14:textId="18763A67" w:rsidR="00ED20D4" w:rsidRPr="00055DB3" w:rsidRDefault="00ED20D4" w:rsidP="00F223CC">
      <w:pPr>
        <w:spacing w:line="276" w:lineRule="auto"/>
        <w:ind w:firstLine="720"/>
        <w:jc w:val="both"/>
      </w:pPr>
      <w:r>
        <w:t>A</w:t>
      </w:r>
      <w:r w:rsidR="004B6F3A" w:rsidRPr="00055DB3">
        <w:t xml:space="preserve">pgabaltiesa, pievienojoties rajona tiesas sprieduma motivācijai, </w:t>
      </w:r>
      <w:r>
        <w:t xml:space="preserve">vien </w:t>
      </w:r>
      <w:r w:rsidR="004B6F3A" w:rsidRPr="00055DB3">
        <w:t>vispārīgi norādījusi, ka pieteicēj</w:t>
      </w:r>
      <w:r w:rsidR="00BD4EA8">
        <w:t>s</w:t>
      </w:r>
      <w:r w:rsidR="004B6F3A" w:rsidRPr="00055DB3">
        <w:t xml:space="preserve"> nav iesnie</w:t>
      </w:r>
      <w:r w:rsidR="00BD4EA8">
        <w:t>dzis</w:t>
      </w:r>
      <w:r w:rsidR="004B6F3A" w:rsidRPr="00055DB3">
        <w:t xml:space="preserve"> ticamus pierādījumus, kas apstiprinātu nodomu veikt saimniecisko darbību. </w:t>
      </w:r>
      <w:r>
        <w:t xml:space="preserve">Turklāt tiesa </w:t>
      </w:r>
      <w:r w:rsidRPr="00055DB3">
        <w:t xml:space="preserve">nav pilnīgi izvērtējusi </w:t>
      </w:r>
      <w:r>
        <w:t>iekārtu atsavināšanas</w:t>
      </w:r>
      <w:r w:rsidRPr="00055DB3">
        <w:t xml:space="preserve"> darījumus ar Daimler AG, kas ir novedis pie </w:t>
      </w:r>
      <w:r>
        <w:t>nepareiza lietas rezultāta</w:t>
      </w:r>
      <w:r w:rsidRPr="00055DB3">
        <w:t>.</w:t>
      </w:r>
    </w:p>
    <w:p w14:paraId="393B96B6" w14:textId="4F98563F" w:rsidR="00214134" w:rsidRDefault="00BE0E8C" w:rsidP="00F223CC">
      <w:pPr>
        <w:pStyle w:val="Default"/>
        <w:spacing w:line="276" w:lineRule="auto"/>
        <w:ind w:firstLine="720"/>
        <w:jc w:val="both"/>
      </w:pPr>
      <w:r w:rsidRPr="00055DB3">
        <w:t>Lai gan</w:t>
      </w:r>
      <w:r>
        <w:t xml:space="preserve"> apgabaltiesa atteicās iegūt papildu paskaidrojumus no </w:t>
      </w:r>
      <w:r w:rsidRPr="00055DB3">
        <w:t>SIA „Sunningdale Tech (Riga)”</w:t>
      </w:r>
      <w:r w:rsidR="00214134" w:rsidRPr="00055DB3">
        <w:t>, pieteicēj</w:t>
      </w:r>
      <w:r w:rsidR="00BD4EA8">
        <w:t>s</w:t>
      </w:r>
      <w:r w:rsidR="00214134" w:rsidRPr="00055DB3">
        <w:t xml:space="preserve"> </w:t>
      </w:r>
      <w:r>
        <w:t xml:space="preserve">tos </w:t>
      </w:r>
      <w:r w:rsidR="00214134" w:rsidRPr="00055DB3">
        <w:t>ir ieguvi</w:t>
      </w:r>
      <w:r w:rsidR="00BD4EA8">
        <w:t>s</w:t>
      </w:r>
      <w:r w:rsidR="00214134" w:rsidRPr="00055DB3">
        <w:t>,</w:t>
      </w:r>
      <w:r>
        <w:t xml:space="preserve"> un tie</w:t>
      </w:r>
      <w:r w:rsidR="00214134" w:rsidRPr="00055DB3">
        <w:t xml:space="preserve"> </w:t>
      </w:r>
      <w:r>
        <w:t>ir</w:t>
      </w:r>
      <w:r w:rsidR="00214134" w:rsidRPr="00055DB3">
        <w:t xml:space="preserve"> pievienoti kasācijas sūdzībai</w:t>
      </w:r>
      <w:r>
        <w:t xml:space="preserve">. </w:t>
      </w:r>
      <w:r w:rsidR="00214134" w:rsidRPr="00055DB3">
        <w:t>SIA „Sunningdale Tech (Riga)”</w:t>
      </w:r>
      <w:r>
        <w:t xml:space="preserve"> ir </w:t>
      </w:r>
      <w:r w:rsidR="00E84261">
        <w:t>pa</w:t>
      </w:r>
      <w:r>
        <w:t>skaidrojusi, ka</w:t>
      </w:r>
      <w:r w:rsidR="00214134" w:rsidRPr="00055DB3">
        <w:t xml:space="preserve"> rēķinus ir parakstījusi grāmatvede</w:t>
      </w:r>
      <w:r w:rsidR="00CA7160" w:rsidRPr="00055DB3">
        <w:t>, lai arī paraksta atšifrējumā norādīta cita persona</w:t>
      </w:r>
      <w:r>
        <w:t>, proti, galvenā grāmatvede</w:t>
      </w:r>
      <w:r w:rsidR="00214134" w:rsidRPr="00055DB3">
        <w:t xml:space="preserve">. </w:t>
      </w:r>
      <w:r w:rsidR="00FB5523">
        <w:t>Šādos apstākļos tiesas secinājumi par trūkumiem darījumu dokumentu noformējumā ir izdarīti pārsteidzīgi.</w:t>
      </w:r>
    </w:p>
    <w:p w14:paraId="7014B27F" w14:textId="497B83D8" w:rsidR="00CD4359" w:rsidRPr="00055DB3" w:rsidRDefault="00CA7160" w:rsidP="00F223CC">
      <w:pPr>
        <w:spacing w:line="276" w:lineRule="auto"/>
        <w:ind w:firstLine="720"/>
        <w:jc w:val="both"/>
      </w:pPr>
      <w:r w:rsidRPr="00055DB3">
        <w:t>[3.</w:t>
      </w:r>
      <w:r w:rsidR="00CD4359">
        <w:t>3</w:t>
      </w:r>
      <w:r w:rsidRPr="00055DB3">
        <w:t xml:space="preserve">] </w:t>
      </w:r>
      <w:r w:rsidR="00D1743C" w:rsidRPr="00055DB3">
        <w:t>Pieteicēj</w:t>
      </w:r>
      <w:r w:rsidR="00BD4EA8">
        <w:t>s</w:t>
      </w:r>
      <w:r w:rsidR="00D1743C" w:rsidRPr="00055DB3">
        <w:t xml:space="preserve"> kā kasācijas</w:t>
      </w:r>
      <w:r w:rsidRPr="00055DB3">
        <w:t xml:space="preserve"> trešo</w:t>
      </w:r>
      <w:r w:rsidR="00D1743C" w:rsidRPr="00055DB3">
        <w:t xml:space="preserve"> pamatu norādīj</w:t>
      </w:r>
      <w:r w:rsidR="00BD4EA8">
        <w:t>is</w:t>
      </w:r>
      <w:r w:rsidR="00D1743C" w:rsidRPr="00055DB3">
        <w:t xml:space="preserve"> Administratīvā procesa likuma 103.panta otrajā daļā nostiprinātā objektīvās izmeklēšanas principa pārkāpumu, </w:t>
      </w:r>
      <w:r w:rsidR="00BD4EA8">
        <w:t>proti,</w:t>
      </w:r>
      <w:r w:rsidRPr="00055DB3">
        <w:t xml:space="preserve"> tiesa </w:t>
      </w:r>
      <w:r w:rsidR="00C47FA9">
        <w:t>neesot</w:t>
      </w:r>
      <w:r w:rsidR="00D1743C" w:rsidRPr="00055DB3">
        <w:t xml:space="preserve"> objektīvi noskaidro</w:t>
      </w:r>
      <w:r w:rsidRPr="00055DB3">
        <w:t xml:space="preserve">jusi </w:t>
      </w:r>
      <w:r w:rsidR="00D1743C" w:rsidRPr="00055DB3">
        <w:t xml:space="preserve">lietas apstākļus. </w:t>
      </w:r>
      <w:r w:rsidR="00BE0E8C">
        <w:t>Pieteicēja ieskatā, t</w:t>
      </w:r>
      <w:r w:rsidR="00CD4359">
        <w:t xml:space="preserve">iesas rīcība, </w:t>
      </w:r>
      <w:r w:rsidR="00CD4359">
        <w:lastRenderedPageBreak/>
        <w:t>pārliekot visu pierādījumu iegūšanas nastu uz pieteicēju, nav atbilstoša Administratīvā procesa likuma 103. un 154.pantam, kā arī likuma ,,Par tiesu varu” 25.</w:t>
      </w:r>
      <w:r w:rsidR="00CD4359" w:rsidRPr="00CD4359">
        <w:rPr>
          <w:vertAlign w:val="superscript"/>
        </w:rPr>
        <w:t>1</w:t>
      </w:r>
      <w:r w:rsidR="00CD4359">
        <w:t>pantam.</w:t>
      </w:r>
    </w:p>
    <w:p w14:paraId="19E6BCAF" w14:textId="632B406C" w:rsidR="009B03C8" w:rsidRPr="00055DB3" w:rsidRDefault="009B03C8" w:rsidP="00F223CC">
      <w:pPr>
        <w:spacing w:line="276" w:lineRule="auto"/>
        <w:ind w:firstLine="720"/>
        <w:jc w:val="both"/>
      </w:pPr>
      <w:r w:rsidRPr="00055DB3">
        <w:t>[3.4] Pieteicēj</w:t>
      </w:r>
      <w:r w:rsidR="00BD4EA8">
        <w:t>s</w:t>
      </w:r>
      <w:r w:rsidRPr="00055DB3">
        <w:t xml:space="preserve"> l</w:t>
      </w:r>
      <w:r w:rsidR="00BD4EA8">
        <w:t>ūdzis</w:t>
      </w:r>
      <w:r w:rsidRPr="00055DB3">
        <w:t xml:space="preserve"> Senātam noteikt lietas izskatīšanu mutvārdu procesā.</w:t>
      </w:r>
    </w:p>
    <w:p w14:paraId="7A37A55C" w14:textId="77777777" w:rsidR="007C7179" w:rsidRDefault="007C7179" w:rsidP="00F223CC">
      <w:pPr>
        <w:spacing w:line="276" w:lineRule="auto"/>
        <w:ind w:firstLine="720"/>
        <w:jc w:val="both"/>
      </w:pPr>
    </w:p>
    <w:p w14:paraId="789607AB" w14:textId="62DDA36B" w:rsidR="00797323" w:rsidRPr="00797323" w:rsidRDefault="00797323" w:rsidP="00F223CC">
      <w:pPr>
        <w:spacing w:line="276" w:lineRule="auto"/>
        <w:ind w:firstLine="720"/>
        <w:jc w:val="both"/>
        <w:rPr>
          <w:i/>
          <w:iCs/>
        </w:rPr>
      </w:pPr>
      <w:r w:rsidRPr="00797323">
        <w:rPr>
          <w:i/>
          <w:iCs/>
        </w:rPr>
        <w:t>Valsts ieņēmumu dienesta paskaidrojumi</w:t>
      </w:r>
    </w:p>
    <w:p w14:paraId="46F2D824" w14:textId="694B0940" w:rsidR="00245915" w:rsidRDefault="00347158" w:rsidP="00F223CC">
      <w:pPr>
        <w:spacing w:line="276" w:lineRule="auto"/>
        <w:ind w:firstLine="720"/>
        <w:jc w:val="both"/>
      </w:pPr>
      <w:r w:rsidRPr="00682FC0">
        <w:t>[</w:t>
      </w:r>
      <w:r w:rsidR="001F6887">
        <w:t>4</w:t>
      </w:r>
      <w:r w:rsidRPr="00682FC0">
        <w:t>]</w:t>
      </w:r>
      <w:r w:rsidR="005957D1">
        <w:t xml:space="preserve"> </w:t>
      </w:r>
      <w:r w:rsidR="00CC3BE4">
        <w:t>Valsts ieņēmumu dienests</w:t>
      </w:r>
      <w:r w:rsidRPr="00682FC0">
        <w:t xml:space="preserve"> rakstveida paskaidrojum</w:t>
      </w:r>
      <w:r w:rsidR="00554EA2" w:rsidRPr="00682FC0">
        <w:t xml:space="preserve">os </w:t>
      </w:r>
      <w:r w:rsidR="00EA059C">
        <w:t>kasācijas sūdzību neatzīst.</w:t>
      </w:r>
    </w:p>
    <w:p w14:paraId="1A303498" w14:textId="77777777" w:rsidR="00442666" w:rsidRPr="00682FC0" w:rsidRDefault="00442666" w:rsidP="00F223CC">
      <w:pPr>
        <w:spacing w:line="276" w:lineRule="auto"/>
        <w:ind w:firstLine="720"/>
        <w:jc w:val="both"/>
      </w:pPr>
    </w:p>
    <w:p w14:paraId="46BAEB97" w14:textId="7C713575" w:rsidR="008700D3" w:rsidRPr="00EC00F0" w:rsidRDefault="008700D3" w:rsidP="00F223CC">
      <w:pPr>
        <w:spacing w:line="276" w:lineRule="auto"/>
        <w:contextualSpacing/>
        <w:jc w:val="center"/>
        <w:rPr>
          <w:b/>
        </w:rPr>
      </w:pPr>
      <w:r w:rsidRPr="00EC00F0">
        <w:rPr>
          <w:b/>
        </w:rPr>
        <w:t>Motīvu daļa</w:t>
      </w:r>
    </w:p>
    <w:p w14:paraId="36988A62" w14:textId="419F54F0" w:rsidR="00AD1275" w:rsidRPr="00AD0840" w:rsidRDefault="00AD1275" w:rsidP="00F223CC">
      <w:pPr>
        <w:spacing w:line="276" w:lineRule="auto"/>
        <w:ind w:firstLine="720"/>
        <w:jc w:val="both"/>
        <w:rPr>
          <w:rFonts w:asciiTheme="majorBidi" w:hAnsiTheme="majorBidi" w:cstheme="majorBidi"/>
          <w:color w:val="000000" w:themeColor="text1"/>
        </w:rPr>
      </w:pPr>
    </w:p>
    <w:p w14:paraId="3EA502B9" w14:textId="6BA75C6F" w:rsidR="005957D1" w:rsidRPr="005957D1" w:rsidRDefault="005957D1" w:rsidP="00F223CC">
      <w:pPr>
        <w:spacing w:line="276" w:lineRule="auto"/>
        <w:ind w:firstLine="720"/>
        <w:jc w:val="both"/>
        <w:rPr>
          <w:i/>
          <w:iCs/>
          <w:color w:val="000000" w:themeColor="text1"/>
        </w:rPr>
      </w:pPr>
      <w:r w:rsidRPr="005957D1">
        <w:rPr>
          <w:i/>
          <w:iCs/>
        </w:rPr>
        <w:t>Par lietas izskatīšanu mutvārdu procesā</w:t>
      </w:r>
    </w:p>
    <w:p w14:paraId="4DCCB3C9" w14:textId="3FF43736" w:rsidR="00F1391C" w:rsidRDefault="00E95990" w:rsidP="00F223CC">
      <w:pPr>
        <w:spacing w:line="276" w:lineRule="auto"/>
        <w:ind w:firstLine="720"/>
        <w:jc w:val="both"/>
        <w:rPr>
          <w:color w:val="000000" w:themeColor="text1"/>
        </w:rPr>
      </w:pPr>
      <w:r>
        <w:rPr>
          <w:color w:val="000000" w:themeColor="text1"/>
        </w:rPr>
        <w:t>[</w:t>
      </w:r>
      <w:r w:rsidR="00C47FA9">
        <w:rPr>
          <w:color w:val="000000" w:themeColor="text1"/>
        </w:rPr>
        <w:t>5</w:t>
      </w:r>
      <w:r>
        <w:rPr>
          <w:color w:val="000000" w:themeColor="text1"/>
        </w:rPr>
        <w:t>]</w:t>
      </w:r>
      <w:r w:rsidR="005957D1">
        <w:rPr>
          <w:color w:val="000000" w:themeColor="text1"/>
        </w:rPr>
        <w:t xml:space="preserve"> </w:t>
      </w:r>
      <w:r w:rsidR="00F1391C">
        <w:rPr>
          <w:color w:val="000000" w:themeColor="text1"/>
        </w:rPr>
        <w:t>Pieteicēj</w:t>
      </w:r>
      <w:r w:rsidR="00BD4EA8">
        <w:rPr>
          <w:color w:val="000000" w:themeColor="text1"/>
        </w:rPr>
        <w:t>s</w:t>
      </w:r>
      <w:r w:rsidR="00F1391C">
        <w:rPr>
          <w:color w:val="000000" w:themeColor="text1"/>
        </w:rPr>
        <w:t xml:space="preserve"> lū</w:t>
      </w:r>
      <w:r w:rsidR="00BD4EA8">
        <w:rPr>
          <w:color w:val="000000" w:themeColor="text1"/>
        </w:rPr>
        <w:t>dzis</w:t>
      </w:r>
      <w:r w:rsidR="00F1391C">
        <w:rPr>
          <w:color w:val="000000" w:themeColor="text1"/>
        </w:rPr>
        <w:t xml:space="preserve"> Senātu izskatīt lietu mutvārdu procesā.</w:t>
      </w:r>
    </w:p>
    <w:p w14:paraId="4D116A62" w14:textId="1CD66EB3" w:rsidR="00F66E9C" w:rsidRDefault="00F1391C" w:rsidP="00F223CC">
      <w:pPr>
        <w:spacing w:line="276" w:lineRule="auto"/>
        <w:ind w:firstLine="720"/>
        <w:jc w:val="both"/>
      </w:pPr>
      <w:r>
        <w:t xml:space="preserve">Atbilstoši Administratīvā procesa likuma 339.panta pirmajai daļai lietu kasācijas instancē izskata rakstveida procesā. Senātam kā kasācijas instancei jārisina tiesību jautājumi, </w:t>
      </w:r>
      <w:r w:rsidR="00C47FA9">
        <w:t>Senāts</w:t>
      </w:r>
      <w:r>
        <w:t xml:space="preserve"> nepārbauda pierādījumus. Pieteicēj</w:t>
      </w:r>
      <w:r w:rsidR="00BD4EA8">
        <w:t>s</w:t>
      </w:r>
      <w:r>
        <w:t xml:space="preserve"> lūgumu</w:t>
      </w:r>
      <w:r w:rsidR="00E84261">
        <w:t xml:space="preserve"> nav</w:t>
      </w:r>
      <w:r>
        <w:t xml:space="preserve"> pamatoj</w:t>
      </w:r>
      <w:r w:rsidR="00BD4EA8">
        <w:t>is</w:t>
      </w:r>
      <w:r>
        <w:t xml:space="preserve">, un arī Senāts nesaskata iemeslus, kuru dēļ šī lieta būtu jāizskata mutvārdu procesā, </w:t>
      </w:r>
      <w:r w:rsidR="00321008">
        <w:t>turklāt</w:t>
      </w:r>
      <w:r w:rsidR="00580D6E">
        <w:t xml:space="preserve"> </w:t>
      </w:r>
      <w:r>
        <w:t>pieteicēja kasācijas sūdzība ir pietiekami skaidra un izsmeļoša.</w:t>
      </w:r>
    </w:p>
    <w:p w14:paraId="1BDABEBF" w14:textId="77777777" w:rsidR="00F1391C" w:rsidRDefault="00F1391C" w:rsidP="00F223CC">
      <w:pPr>
        <w:spacing w:line="276" w:lineRule="auto"/>
        <w:ind w:firstLine="720"/>
        <w:jc w:val="both"/>
        <w:rPr>
          <w:rFonts w:asciiTheme="majorBidi" w:hAnsiTheme="majorBidi" w:cstheme="majorBidi"/>
          <w:color w:val="000000" w:themeColor="text1"/>
        </w:rPr>
      </w:pPr>
    </w:p>
    <w:p w14:paraId="4FF60457" w14:textId="4DA76900" w:rsidR="005957D1" w:rsidRPr="0026707A" w:rsidRDefault="0026707A" w:rsidP="00F223CC">
      <w:pPr>
        <w:spacing w:line="276" w:lineRule="auto"/>
        <w:ind w:firstLine="720"/>
        <w:jc w:val="both"/>
        <w:rPr>
          <w:rFonts w:asciiTheme="majorBidi" w:hAnsiTheme="majorBidi" w:cstheme="majorBidi"/>
          <w:i/>
          <w:iCs/>
          <w:color w:val="000000" w:themeColor="text1"/>
        </w:rPr>
      </w:pPr>
      <w:r w:rsidRPr="0026707A">
        <w:rPr>
          <w:rFonts w:asciiTheme="majorBidi" w:hAnsiTheme="majorBidi" w:cstheme="majorBidi"/>
          <w:i/>
          <w:iCs/>
          <w:color w:val="000000" w:themeColor="text1"/>
        </w:rPr>
        <w:t xml:space="preserve">Par priekšnodokļa atskaitīšanas materiāltiesiskajiem priekšnoteikumiem </w:t>
      </w:r>
    </w:p>
    <w:p w14:paraId="29715EB9" w14:textId="67F8368E" w:rsidR="00067F20" w:rsidRPr="00AD0840" w:rsidRDefault="00B730BB" w:rsidP="00F223CC">
      <w:pPr>
        <w:spacing w:line="276" w:lineRule="auto"/>
        <w:ind w:firstLine="720"/>
        <w:jc w:val="both"/>
        <w:rPr>
          <w:color w:val="000000" w:themeColor="text1"/>
        </w:rPr>
      </w:pPr>
      <w:r w:rsidRPr="00AD0840">
        <w:rPr>
          <w:rFonts w:asciiTheme="majorBidi" w:hAnsiTheme="majorBidi" w:cstheme="majorBidi"/>
          <w:color w:val="000000" w:themeColor="text1"/>
        </w:rPr>
        <w:t>[</w:t>
      </w:r>
      <w:r w:rsidR="00C47FA9">
        <w:rPr>
          <w:rFonts w:asciiTheme="majorBidi" w:hAnsiTheme="majorBidi" w:cstheme="majorBidi"/>
          <w:color w:val="000000" w:themeColor="text1"/>
        </w:rPr>
        <w:t>6</w:t>
      </w:r>
      <w:r w:rsidRPr="00AD0840">
        <w:rPr>
          <w:rFonts w:asciiTheme="majorBidi" w:hAnsiTheme="majorBidi" w:cstheme="majorBidi"/>
          <w:color w:val="000000" w:themeColor="text1"/>
        </w:rPr>
        <w:t>]</w:t>
      </w:r>
      <w:r w:rsidR="00067F20" w:rsidRPr="00AD0840">
        <w:rPr>
          <w:rFonts w:asciiTheme="majorBidi" w:hAnsiTheme="majorBidi" w:cstheme="majorBidi"/>
          <w:color w:val="000000" w:themeColor="text1"/>
        </w:rPr>
        <w:t xml:space="preserve"> </w:t>
      </w:r>
      <w:r w:rsidR="00067F20" w:rsidRPr="00AD0840">
        <w:rPr>
          <w:color w:val="000000" w:themeColor="text1"/>
        </w:rPr>
        <w:t xml:space="preserve">Vispārīgie noteikumi priekšnodokļa atskaitīšanai ir </w:t>
      </w:r>
      <w:r w:rsidR="00B40698">
        <w:rPr>
          <w:color w:val="000000" w:themeColor="text1"/>
        </w:rPr>
        <w:t>norādīti</w:t>
      </w:r>
      <w:r w:rsidR="00067F20" w:rsidRPr="00AD0840">
        <w:rPr>
          <w:color w:val="000000" w:themeColor="text1"/>
        </w:rPr>
        <w:t xml:space="preserve"> Pievienotās vērtības nodokļa likuma 92.pantā. Saskaņā ar šā panta pirmās daļas 1.punktu, ja preces iegādātas un pakalpojumi saņemti ar nodokli apliekamu darījumu nodrošināšanai vai tādu citās valstīs veiktu darījumu nodrošināšanai, kuri būtu apliekami ar nodokli, ja tie tiktu veikti iekšzemē, priekšnodoklis ir no citiem reģistrētiem nodokļa maksātājiem saņemtajos nodokļa rēķinos norādītās nodokļa summas par iegādātajām precēm un saņemtajiem pakalpojumiem. </w:t>
      </w:r>
    </w:p>
    <w:p w14:paraId="37EEA58C" w14:textId="5CE03A72" w:rsidR="00067F20" w:rsidRPr="00AD0840" w:rsidRDefault="00067F20" w:rsidP="00F223CC">
      <w:pPr>
        <w:spacing w:line="276" w:lineRule="auto"/>
        <w:ind w:firstLine="720"/>
        <w:jc w:val="both"/>
        <w:rPr>
          <w:color w:val="000000" w:themeColor="text1"/>
        </w:rPr>
      </w:pPr>
      <w:r w:rsidRPr="00AD0840">
        <w:rPr>
          <w:color w:val="000000" w:themeColor="text1"/>
        </w:rPr>
        <w:t>Senāts ir atzinis, ka atbilstoši Pievienotās vērtības nodokļa likuma 92.panta pirmās daļas 1.punktam viens no priekšnoteikumiem, lai persona varētu atskaitīt priekšnodokli, ir tas, ka saņemtie pakalpojumi, par kuriem izrakstīts rēķins ar pievienotās vērtības nodokli, ir izmantoti šīs personas ar nodokli apliekamo darījumu nodrošināšanai. Citiem vārdiem sakot, nepieciešams konstatēt tiešu un tūlītēju saikni starp sākotnējo darījumu un tālākajiem ar nodokli apliekamajiem darījumiem. Tas, kā tieši izprast terminu „tieša un tūlītēja saikne”, ir atkarīgs no katra gadījuma; to, vai šāda sai</w:t>
      </w:r>
      <w:r w:rsidR="00BE199A">
        <w:rPr>
          <w:color w:val="000000" w:themeColor="text1"/>
        </w:rPr>
        <w:t>kn</w:t>
      </w:r>
      <w:r w:rsidRPr="00AD0840">
        <w:rPr>
          <w:color w:val="000000" w:themeColor="text1"/>
        </w:rPr>
        <w:t>e eksistē, ir jānoteic tiesai, kura izskata konkrēto lietu (</w:t>
      </w:r>
      <w:r w:rsidRPr="00AD0840">
        <w:rPr>
          <w:i/>
          <w:iCs/>
          <w:color w:val="000000" w:themeColor="text1"/>
        </w:rPr>
        <w:t xml:space="preserve">Senāta 2015.gada 14.augusta sprieduma lietā </w:t>
      </w:r>
      <w:hyperlink r:id="rId9" w:history="1">
        <w:r w:rsidRPr="00321008">
          <w:rPr>
            <w:rStyle w:val="Hyperlink"/>
            <w:i/>
            <w:iCs/>
            <w:color w:val="000000" w:themeColor="text1"/>
            <w:u w:val="none"/>
          </w:rPr>
          <w:t>Nr. SKA-238/2015</w:t>
        </w:r>
      </w:hyperlink>
      <w:r w:rsidRPr="00AD0840">
        <w:rPr>
          <w:i/>
          <w:iCs/>
          <w:color w:val="000000" w:themeColor="text1"/>
        </w:rPr>
        <w:t>, A420467011, 9.punkts un tajā minētie nolēmumi</w:t>
      </w:r>
      <w:r w:rsidRPr="00AD0840">
        <w:rPr>
          <w:color w:val="000000" w:themeColor="text1"/>
        </w:rPr>
        <w:t>).</w:t>
      </w:r>
    </w:p>
    <w:p w14:paraId="0C4FCA66" w14:textId="5EB050FA" w:rsidR="00944300" w:rsidRDefault="00944300" w:rsidP="00F223CC">
      <w:pPr>
        <w:autoSpaceDE w:val="0"/>
        <w:autoSpaceDN w:val="0"/>
        <w:adjustRightInd w:val="0"/>
        <w:spacing w:line="276" w:lineRule="auto"/>
        <w:ind w:firstLine="720"/>
        <w:jc w:val="both"/>
      </w:pPr>
      <w:r w:rsidRPr="008B299D">
        <w:t xml:space="preserve">Eiropas Savienības Tiesa ir atzinusi, ka nodokļa maksātājam tiek atzītas tiesības atskaitīt priekšnodokli arī tad, ja, pat nepastāvot tiešai un tūlītējai saiknei starp konkrētu iepriekš veiktu darījumu un vienu vai vairākiem vēlāk veiktiem darījumiem, kas dod atskaitījuma tiesības, attiecīgo pakalpojumu izmaksas veido daļu no šīs sabiedrības vispārējām izmaksām un kā tādas tās veido daļu no sabiedrības pārdodamo preču vai sniegto pakalpojumu cenas. Faktiski šādas izmaksas ir tieši un tūlītēji saistītas ar nodokļa maksātāja saimniecisko darbību kopumā. Tāpēc šādos gadījumos ir jāpārbauda, vai izdevumi sākotnējo preču vai pakalpojumu iegādei ir daļa no vispārējiem izdevumiem saistībā ar nodokļa maksātāja vispārējo saimniecisko darbību. </w:t>
      </w:r>
      <w:r>
        <w:t xml:space="preserve">Abos gadījumos </w:t>
      </w:r>
      <w:r w:rsidRPr="008B299D">
        <w:t xml:space="preserve">sākotnējā pakalpojuma izmaksas ir iekļautas vai nu vēlāko konkrēto darījumu izmaksās vai nodokļa maksātāja piegādāto preču un sniegto pakalpojumu cenā tā saimnieciskās darbības </w:t>
      </w:r>
      <w:r w:rsidRPr="008B299D">
        <w:lastRenderedPageBreak/>
        <w:t xml:space="preserve">ietvaros </w:t>
      </w:r>
      <w:r>
        <w:t>(</w:t>
      </w:r>
      <w:r w:rsidRPr="00F733E6">
        <w:rPr>
          <w:i/>
        </w:rPr>
        <w:t>Eiropas Savienības Tiesas 2009.gada 29.oktob</w:t>
      </w:r>
      <w:r>
        <w:rPr>
          <w:i/>
        </w:rPr>
        <w:t>r</w:t>
      </w:r>
      <w:r w:rsidRPr="00F733E6">
        <w:rPr>
          <w:i/>
        </w:rPr>
        <w:t>a spr</w:t>
      </w:r>
      <w:r>
        <w:rPr>
          <w:i/>
        </w:rPr>
        <w:t>ieduma lietā ,,Skatteverket”</w:t>
      </w:r>
      <w:r w:rsidRPr="00F733E6">
        <w:rPr>
          <w:i/>
        </w:rPr>
        <w:t xml:space="preserve">, C-29/08, </w:t>
      </w:r>
      <w:r w:rsidRPr="000E2466">
        <w:rPr>
          <w:i/>
        </w:rPr>
        <w:t>ECLI:EU:C:2009:665</w:t>
      </w:r>
      <w:r>
        <w:rPr>
          <w:i/>
        </w:rPr>
        <w:t>,</w:t>
      </w:r>
      <w:r w:rsidRPr="00F733E6">
        <w:rPr>
          <w:i/>
        </w:rPr>
        <w:t xml:space="preserve"> 58. un 60.punkts</w:t>
      </w:r>
      <w:r>
        <w:t>).</w:t>
      </w:r>
    </w:p>
    <w:p w14:paraId="69A6D473" w14:textId="4FD9D1EA" w:rsidR="005D50E5" w:rsidRDefault="00EC424F" w:rsidP="00F223CC">
      <w:pPr>
        <w:spacing w:line="276" w:lineRule="auto"/>
        <w:ind w:firstLine="720"/>
        <w:jc w:val="both"/>
        <w:rPr>
          <w:color w:val="000000" w:themeColor="text1"/>
        </w:rPr>
      </w:pPr>
      <w:r w:rsidRPr="00AD0840">
        <w:rPr>
          <w:color w:val="000000" w:themeColor="text1"/>
        </w:rPr>
        <w:t>Tātad, lai konstatētu, ka saņemtās preces ir saistītas ar pieteicēja saimniecisko darbību, ir jākonstatē, ka saņemt</w:t>
      </w:r>
      <w:r w:rsidR="00BE199A">
        <w:rPr>
          <w:color w:val="000000" w:themeColor="text1"/>
        </w:rPr>
        <w:t>o</w:t>
      </w:r>
      <w:r w:rsidRPr="00AD0840">
        <w:rPr>
          <w:color w:val="000000" w:themeColor="text1"/>
        </w:rPr>
        <w:t xml:space="preserve"> pre</w:t>
      </w:r>
      <w:r w:rsidR="00BE199A">
        <w:rPr>
          <w:color w:val="000000" w:themeColor="text1"/>
        </w:rPr>
        <w:t>ču</w:t>
      </w:r>
      <w:r w:rsidRPr="00AD0840">
        <w:rPr>
          <w:color w:val="000000" w:themeColor="text1"/>
        </w:rPr>
        <w:t>, par kur</w:t>
      </w:r>
      <w:r w:rsidR="00BE199A">
        <w:rPr>
          <w:color w:val="000000" w:themeColor="text1"/>
        </w:rPr>
        <w:t>ām</w:t>
      </w:r>
      <w:r w:rsidRPr="00AD0840">
        <w:rPr>
          <w:color w:val="000000" w:themeColor="text1"/>
        </w:rPr>
        <w:t xml:space="preserve"> tiek atskaitīts priekšnodoklis, izmaksas veido daļu no sabiedrības tālāk sniegt</w:t>
      </w:r>
      <w:r w:rsidR="00BE199A">
        <w:rPr>
          <w:color w:val="000000" w:themeColor="text1"/>
        </w:rPr>
        <w:t>o</w:t>
      </w:r>
      <w:r w:rsidRPr="00AD0840">
        <w:rPr>
          <w:color w:val="000000" w:themeColor="text1"/>
        </w:rPr>
        <w:t xml:space="preserve"> pakalpojum</w:t>
      </w:r>
      <w:r w:rsidR="00BE199A">
        <w:rPr>
          <w:color w:val="000000" w:themeColor="text1"/>
        </w:rPr>
        <w:t>u</w:t>
      </w:r>
      <w:r w:rsidRPr="00AD0840">
        <w:rPr>
          <w:color w:val="000000" w:themeColor="text1"/>
        </w:rPr>
        <w:t xml:space="preserve"> vai pārdot</w:t>
      </w:r>
      <w:r w:rsidR="00BE199A">
        <w:rPr>
          <w:color w:val="000000" w:themeColor="text1"/>
        </w:rPr>
        <w:t>o</w:t>
      </w:r>
      <w:r w:rsidRPr="00AD0840">
        <w:rPr>
          <w:color w:val="000000" w:themeColor="text1"/>
        </w:rPr>
        <w:t xml:space="preserve"> pre</w:t>
      </w:r>
      <w:r w:rsidR="00BE199A">
        <w:rPr>
          <w:color w:val="000000" w:themeColor="text1"/>
        </w:rPr>
        <w:t>ču</w:t>
      </w:r>
      <w:r w:rsidRPr="00AD0840">
        <w:rPr>
          <w:color w:val="000000" w:themeColor="text1"/>
        </w:rPr>
        <w:t xml:space="preserve"> cenas, proti, jākonstatē, ka saņemt</w:t>
      </w:r>
      <w:r w:rsidR="00BE199A">
        <w:rPr>
          <w:color w:val="000000" w:themeColor="text1"/>
        </w:rPr>
        <w:t>ās</w:t>
      </w:r>
      <w:r w:rsidRPr="00AD0840">
        <w:rPr>
          <w:color w:val="000000" w:themeColor="text1"/>
        </w:rPr>
        <w:t xml:space="preserve"> p</w:t>
      </w:r>
      <w:r w:rsidR="00BE199A">
        <w:rPr>
          <w:color w:val="000000" w:themeColor="text1"/>
        </w:rPr>
        <w:t xml:space="preserve">reces </w:t>
      </w:r>
      <w:r w:rsidRPr="00AD0840">
        <w:rPr>
          <w:color w:val="000000" w:themeColor="text1"/>
        </w:rPr>
        <w:t>ir dev</w:t>
      </w:r>
      <w:r w:rsidR="00BE199A">
        <w:rPr>
          <w:color w:val="000000" w:themeColor="text1"/>
        </w:rPr>
        <w:t>ušas</w:t>
      </w:r>
      <w:r w:rsidRPr="00AD0840">
        <w:rPr>
          <w:color w:val="000000" w:themeColor="text1"/>
        </w:rPr>
        <w:t xml:space="preserve"> kādu patiesu pienesumu sabiedrībai, kas atstājis ietekmi uz sabiedrības sniegt</w:t>
      </w:r>
      <w:r w:rsidR="00BE199A">
        <w:rPr>
          <w:color w:val="000000" w:themeColor="text1"/>
        </w:rPr>
        <w:t>o</w:t>
      </w:r>
      <w:r w:rsidRPr="00AD0840">
        <w:rPr>
          <w:color w:val="000000" w:themeColor="text1"/>
        </w:rPr>
        <w:t xml:space="preserve"> gala pakalpojum</w:t>
      </w:r>
      <w:r w:rsidR="00BE199A">
        <w:rPr>
          <w:color w:val="000000" w:themeColor="text1"/>
        </w:rPr>
        <w:t>u</w:t>
      </w:r>
      <w:r w:rsidRPr="00AD0840">
        <w:rPr>
          <w:color w:val="000000" w:themeColor="text1"/>
        </w:rPr>
        <w:t xml:space="preserve"> vai pārdot</w:t>
      </w:r>
      <w:r w:rsidR="00BE199A">
        <w:rPr>
          <w:color w:val="000000" w:themeColor="text1"/>
        </w:rPr>
        <w:t>o</w:t>
      </w:r>
      <w:r w:rsidRPr="00AD0840">
        <w:rPr>
          <w:color w:val="000000" w:themeColor="text1"/>
        </w:rPr>
        <w:t xml:space="preserve"> pre</w:t>
      </w:r>
      <w:r w:rsidR="00BE199A">
        <w:rPr>
          <w:color w:val="000000" w:themeColor="text1"/>
        </w:rPr>
        <w:t>ču</w:t>
      </w:r>
      <w:r w:rsidRPr="00AD0840">
        <w:rPr>
          <w:color w:val="000000" w:themeColor="text1"/>
        </w:rPr>
        <w:t xml:space="preserve"> cenu (</w:t>
      </w:r>
      <w:r w:rsidRPr="00AD0840">
        <w:rPr>
          <w:rFonts w:asciiTheme="majorBidi" w:hAnsiTheme="majorBidi" w:cstheme="majorBidi"/>
          <w:i/>
          <w:iCs/>
          <w:color w:val="000000" w:themeColor="text1"/>
        </w:rPr>
        <w:t>Senāta 2021.gada 25.augusta lēmuma lietā Nr.</w:t>
      </w:r>
      <w:r w:rsidR="00195A10" w:rsidRPr="00AD0840">
        <w:rPr>
          <w:rFonts w:asciiTheme="majorBidi" w:hAnsiTheme="majorBidi" w:cstheme="majorBidi"/>
          <w:i/>
          <w:iCs/>
          <w:color w:val="000000" w:themeColor="text1"/>
        </w:rPr>
        <w:t> </w:t>
      </w:r>
      <w:r w:rsidRPr="00AD0840">
        <w:rPr>
          <w:rFonts w:asciiTheme="majorBidi" w:hAnsiTheme="majorBidi" w:cstheme="majorBidi"/>
          <w:i/>
          <w:iCs/>
          <w:color w:val="000000" w:themeColor="text1"/>
        </w:rPr>
        <w:t>SKA</w:t>
      </w:r>
      <w:r w:rsidR="00195A10" w:rsidRPr="00AD0840">
        <w:rPr>
          <w:rFonts w:asciiTheme="majorBidi" w:hAnsiTheme="majorBidi" w:cstheme="majorBidi"/>
          <w:i/>
          <w:iCs/>
          <w:color w:val="000000" w:themeColor="text1"/>
        </w:rPr>
        <w:t>-</w:t>
      </w:r>
      <w:r w:rsidRPr="00AD0840">
        <w:rPr>
          <w:rFonts w:asciiTheme="majorBidi" w:hAnsiTheme="majorBidi" w:cstheme="majorBidi"/>
          <w:i/>
          <w:iCs/>
          <w:color w:val="000000" w:themeColor="text1"/>
        </w:rPr>
        <w:t>775/2021</w:t>
      </w:r>
      <w:r w:rsidR="00195A10" w:rsidRPr="00AD0840">
        <w:rPr>
          <w:rFonts w:asciiTheme="majorBidi" w:hAnsiTheme="majorBidi" w:cstheme="majorBidi"/>
          <w:i/>
          <w:iCs/>
          <w:color w:val="000000" w:themeColor="text1"/>
        </w:rPr>
        <w:t xml:space="preserve">, </w:t>
      </w:r>
      <w:hyperlink r:id="rId10" w:history="1">
        <w:r w:rsidR="00195A10" w:rsidRPr="000E2466">
          <w:rPr>
            <w:rStyle w:val="Hyperlink"/>
            <w:rFonts w:asciiTheme="majorBidi" w:hAnsiTheme="majorBidi" w:cstheme="majorBidi"/>
            <w:i/>
            <w:iCs/>
            <w:shd w:val="clear" w:color="auto" w:fill="FFFFFF"/>
          </w:rPr>
          <w:t>ECLI:LV:AT:2021:0825.A420201619.11.L</w:t>
        </w:r>
      </w:hyperlink>
      <w:r w:rsidR="00E4282C" w:rsidRPr="00AD0840">
        <w:rPr>
          <w:rFonts w:asciiTheme="majorBidi" w:hAnsiTheme="majorBidi" w:cstheme="majorBidi"/>
          <w:i/>
          <w:iCs/>
          <w:color w:val="000000" w:themeColor="text1"/>
        </w:rPr>
        <w:t>,</w:t>
      </w:r>
      <w:r w:rsidRPr="00AD0840">
        <w:rPr>
          <w:rFonts w:asciiTheme="majorBidi" w:hAnsiTheme="majorBidi" w:cstheme="majorBidi"/>
          <w:i/>
          <w:iCs/>
          <w:color w:val="000000" w:themeColor="text1"/>
        </w:rPr>
        <w:t xml:space="preserve"> 3.punkt</w:t>
      </w:r>
      <w:r w:rsidR="00E4282C" w:rsidRPr="00AD0840">
        <w:rPr>
          <w:rFonts w:asciiTheme="majorBidi" w:hAnsiTheme="majorBidi" w:cstheme="majorBidi"/>
          <w:i/>
          <w:iCs/>
          <w:color w:val="000000" w:themeColor="text1"/>
        </w:rPr>
        <w:t>s</w:t>
      </w:r>
      <w:r w:rsidRPr="00AD0840">
        <w:rPr>
          <w:color w:val="000000" w:themeColor="text1"/>
        </w:rPr>
        <w:t>).</w:t>
      </w:r>
    </w:p>
    <w:p w14:paraId="7B1F1A3E" w14:textId="10507CCD" w:rsidR="00BD4EA8" w:rsidRDefault="00BD4EA8" w:rsidP="00F223CC">
      <w:pPr>
        <w:spacing w:line="276" w:lineRule="auto"/>
        <w:ind w:firstLine="720"/>
        <w:jc w:val="both"/>
        <w:rPr>
          <w:color w:val="000000" w:themeColor="text1"/>
        </w:rPr>
      </w:pPr>
      <w:r>
        <w:rPr>
          <w:color w:val="000000" w:themeColor="text1"/>
        </w:rPr>
        <w:t xml:space="preserve">Šajā gadījumā turklāt jāņem vērā, ka pieteicējs nav Latvijā reģistrēts komersants, bet ir juridiskā persona, kas reģistrēta un pamatā darbojas Čehijā, bet Latvijā tā ir reģistrējusies </w:t>
      </w:r>
      <w:r w:rsidR="00745D7B">
        <w:rPr>
          <w:color w:val="000000" w:themeColor="text1"/>
        </w:rPr>
        <w:t xml:space="preserve">tikai </w:t>
      </w:r>
      <w:r>
        <w:rPr>
          <w:color w:val="000000" w:themeColor="text1"/>
        </w:rPr>
        <w:t>kā pievienotās vērtības nodokļa maksātājs</w:t>
      </w:r>
      <w:r w:rsidR="00745D7B">
        <w:rPr>
          <w:color w:val="000000" w:themeColor="text1"/>
        </w:rPr>
        <w:t xml:space="preserve"> norēķiniem ar Latvijas valsts budžetu</w:t>
      </w:r>
      <w:r>
        <w:rPr>
          <w:color w:val="000000" w:themeColor="text1"/>
        </w:rPr>
        <w:t>. Ievērojot iepriekš minēto par saiknes konstatēšanu ar saimniecisko darbību, tiesai šajā lietā ir jānovērtē, vai iekārtu iegāde ir saistīt</w:t>
      </w:r>
      <w:r w:rsidR="00745D7B">
        <w:rPr>
          <w:color w:val="000000" w:themeColor="text1"/>
        </w:rPr>
        <w:t>a ar pieteicēja Latvijā un/vai Čehijā veiktiem apliekamajiem darījumiem.</w:t>
      </w:r>
    </w:p>
    <w:p w14:paraId="3E2EEE89" w14:textId="77777777" w:rsidR="00EC424F" w:rsidRDefault="00EC424F" w:rsidP="00F223CC">
      <w:pPr>
        <w:spacing w:line="276" w:lineRule="auto"/>
        <w:ind w:firstLine="720"/>
        <w:jc w:val="both"/>
      </w:pPr>
    </w:p>
    <w:p w14:paraId="61F1C64C" w14:textId="2E3AF878" w:rsidR="00A94C8F" w:rsidRPr="00A94C8F" w:rsidRDefault="00A94C8F" w:rsidP="00F223CC">
      <w:pPr>
        <w:spacing w:line="276" w:lineRule="auto"/>
        <w:ind w:firstLine="720"/>
        <w:jc w:val="both"/>
        <w:rPr>
          <w:i/>
          <w:iCs/>
        </w:rPr>
      </w:pPr>
      <w:r w:rsidRPr="00A94C8F">
        <w:rPr>
          <w:i/>
          <w:iCs/>
        </w:rPr>
        <w:t xml:space="preserve">Par </w:t>
      </w:r>
      <w:r w:rsidR="000F3186">
        <w:rPr>
          <w:i/>
          <w:iCs/>
        </w:rPr>
        <w:t>pārkāpumiem pierādījumu vērtēšanā</w:t>
      </w:r>
    </w:p>
    <w:p w14:paraId="64653B4B" w14:textId="770978C5" w:rsidR="002D3B91" w:rsidRPr="00055DB3" w:rsidRDefault="004B13E7" w:rsidP="00F223CC">
      <w:pPr>
        <w:spacing w:line="276" w:lineRule="auto"/>
        <w:ind w:firstLine="720"/>
        <w:jc w:val="both"/>
      </w:pPr>
      <w:r>
        <w:rPr>
          <w:rFonts w:asciiTheme="majorBidi" w:hAnsiTheme="majorBidi" w:cstheme="majorBidi"/>
        </w:rPr>
        <w:t>[</w:t>
      </w:r>
      <w:r w:rsidR="0097463B">
        <w:rPr>
          <w:rFonts w:asciiTheme="majorBidi" w:hAnsiTheme="majorBidi" w:cstheme="majorBidi"/>
        </w:rPr>
        <w:t>7</w:t>
      </w:r>
      <w:r>
        <w:rPr>
          <w:rFonts w:asciiTheme="majorBidi" w:hAnsiTheme="majorBidi" w:cstheme="majorBidi"/>
        </w:rPr>
        <w:t>]</w:t>
      </w:r>
      <w:r w:rsidR="00750D37">
        <w:rPr>
          <w:rFonts w:asciiTheme="majorBidi" w:hAnsiTheme="majorBidi" w:cstheme="majorBidi"/>
        </w:rPr>
        <w:t xml:space="preserve"> </w:t>
      </w:r>
      <w:r w:rsidR="002D3B91">
        <w:rPr>
          <w:rFonts w:asciiTheme="majorBidi" w:hAnsiTheme="majorBidi" w:cstheme="majorBidi"/>
        </w:rPr>
        <w:t>Pieteicēj</w:t>
      </w:r>
      <w:r w:rsidR="00794A64">
        <w:rPr>
          <w:rFonts w:asciiTheme="majorBidi" w:hAnsiTheme="majorBidi" w:cstheme="majorBidi"/>
        </w:rPr>
        <w:t>s</w:t>
      </w:r>
      <w:r w:rsidR="002D3B91">
        <w:rPr>
          <w:rFonts w:asciiTheme="majorBidi" w:hAnsiTheme="majorBidi" w:cstheme="majorBidi"/>
        </w:rPr>
        <w:t xml:space="preserve"> kā kasācijas pamatu ir norādīj</w:t>
      </w:r>
      <w:r w:rsidR="00794A64">
        <w:rPr>
          <w:rFonts w:asciiTheme="majorBidi" w:hAnsiTheme="majorBidi" w:cstheme="majorBidi"/>
        </w:rPr>
        <w:t>is</w:t>
      </w:r>
      <w:r w:rsidR="002D3B91">
        <w:rPr>
          <w:rFonts w:asciiTheme="majorBidi" w:hAnsiTheme="majorBidi" w:cstheme="majorBidi"/>
        </w:rPr>
        <w:t xml:space="preserve"> </w:t>
      </w:r>
      <w:r w:rsidR="002D3B91" w:rsidRPr="00055DB3">
        <w:t xml:space="preserve">Administratīvā procesa likuma 154.panta pirmās daļas pārkāpumu, jo tiesa lietā </w:t>
      </w:r>
      <w:r w:rsidR="000F3186">
        <w:t>neesot</w:t>
      </w:r>
      <w:r w:rsidR="002D3B91" w:rsidRPr="00055DB3">
        <w:t xml:space="preserve"> vispusīgi, pilnīgi un objektīvi novērtējusi pierādījumus, un tas </w:t>
      </w:r>
      <w:r w:rsidR="000F3186">
        <w:t>esot</w:t>
      </w:r>
      <w:r w:rsidR="002D3B91" w:rsidRPr="00055DB3">
        <w:t xml:space="preserve"> novedis pie nepareiza lietas rezultāta.</w:t>
      </w:r>
    </w:p>
    <w:p w14:paraId="59076F13" w14:textId="2F33C136" w:rsidR="002C4296" w:rsidRDefault="002C4296" w:rsidP="00F223CC">
      <w:pPr>
        <w:pStyle w:val="Default"/>
        <w:spacing w:line="276" w:lineRule="auto"/>
        <w:ind w:firstLine="720"/>
        <w:jc w:val="both"/>
      </w:pPr>
      <w:r>
        <w:t>Pieteicēj</w:t>
      </w:r>
      <w:r w:rsidR="00794A64">
        <w:t>s</w:t>
      </w:r>
      <w:r>
        <w:t xml:space="preserve"> norādīj</w:t>
      </w:r>
      <w:r w:rsidR="00794A64">
        <w:t>is</w:t>
      </w:r>
      <w:r>
        <w:t xml:space="preserve">, ka </w:t>
      </w:r>
      <w:r w:rsidRPr="00055DB3">
        <w:t>Valsts ieņēmumu dienests pretēji tiesas atzītajam nav apstrīdējis vai izteicis šaubas par to, ka iekārtas, kuras pieteicēj</w:t>
      </w:r>
      <w:r w:rsidR="000C3C16">
        <w:t>s</w:t>
      </w:r>
      <w:r w:rsidRPr="00055DB3">
        <w:t xml:space="preserve"> atsavināja Daimler AG, bija iegādātas no SIA „Sunningdale Tech (Riga)”. </w:t>
      </w:r>
      <w:r>
        <w:t xml:space="preserve">Dienests pārsūdzētajos lēmumos faktu kopumu par pieteicēja darījumiem ar </w:t>
      </w:r>
      <w:r w:rsidRPr="00055DB3">
        <w:t xml:space="preserve">Daimler AG </w:t>
      </w:r>
      <w:r>
        <w:t>nav vērtējis. Pieteicēja ieskatā, d</w:t>
      </w:r>
      <w:r w:rsidRPr="00055DB3">
        <w:t>ienesta rīcībā esošā informācija ļauj pārbaudīt, ka pieteicēj</w:t>
      </w:r>
      <w:r w:rsidR="00794A64">
        <w:t>s</w:t>
      </w:r>
      <w:r w:rsidRPr="00055DB3">
        <w:t xml:space="preserve"> par piegādēm Daimler AG ir savās deklarācijās norādīj</w:t>
      </w:r>
      <w:r w:rsidR="00794A64">
        <w:t>is</w:t>
      </w:r>
      <w:r w:rsidRPr="00055DB3">
        <w:t xml:space="preserve"> maksājamo pievienotās vērtības nodokli, un to, ka šis nodoklis ir samaksāts valsts budžetā.</w:t>
      </w:r>
      <w:r>
        <w:t xml:space="preserve"> Savukārt tiesas sniegtais vērtējums par šiem darījumiem ir šaurs un nepilnīgs.</w:t>
      </w:r>
    </w:p>
    <w:p w14:paraId="2BCE6AA5" w14:textId="14A2B91E" w:rsidR="002C4296" w:rsidRDefault="002C4296" w:rsidP="00F223CC">
      <w:pPr>
        <w:pStyle w:val="Default"/>
        <w:spacing w:line="276" w:lineRule="auto"/>
        <w:ind w:firstLine="720"/>
        <w:jc w:val="both"/>
      </w:pPr>
      <w:r>
        <w:t>Senāts atzīst, ka pieteicēja argumenti ir pamatoti.</w:t>
      </w:r>
    </w:p>
    <w:p w14:paraId="69B76659" w14:textId="0D280D49" w:rsidR="00EB1EB0" w:rsidRDefault="00EB19E4" w:rsidP="00F223CC">
      <w:pPr>
        <w:pStyle w:val="Default"/>
        <w:spacing w:line="276" w:lineRule="auto"/>
        <w:ind w:firstLine="720"/>
        <w:jc w:val="both"/>
      </w:pPr>
      <w:r>
        <w:t>Lietas materiālos ir pieejami pieteicēja paskaidrojumi Valsts ieņēmumu dienestam un tiesai, kuros vairākkārt norādīts, ka pieteicēj</w:t>
      </w:r>
      <w:r w:rsidR="00794A64">
        <w:t>s</w:t>
      </w:r>
      <w:r>
        <w:t xml:space="preserve"> iegādātās iekārtas ir atsavināj</w:t>
      </w:r>
      <w:r w:rsidR="00794A64">
        <w:t>is</w:t>
      </w:r>
      <w:r>
        <w:t xml:space="preserve"> </w:t>
      </w:r>
      <w:r w:rsidRPr="00055DB3">
        <w:t>Daimler AG</w:t>
      </w:r>
      <w:r>
        <w:t>, piemērojot pievienotās vērtības nodokli 21 % (</w:t>
      </w:r>
      <w:r w:rsidRPr="00EB19E4">
        <w:rPr>
          <w:i/>
          <w:iCs/>
        </w:rPr>
        <w:t>lietas 1.sējuma 96.lp.; 2.sējuma 15.lp.</w:t>
      </w:r>
      <w:r>
        <w:rPr>
          <w:i/>
          <w:iCs/>
        </w:rPr>
        <w:t>; 5.sējuma 221.lp.</w:t>
      </w:r>
      <w:r>
        <w:t>). Paskaidrojumos dienestam norādīts, ka tiem pievienoti pasūtījumi, iepirkum</w:t>
      </w:r>
      <w:r w:rsidR="000C4EDB">
        <w:t>a</w:t>
      </w:r>
      <w:r>
        <w:t xml:space="preserve"> orderi, rēķini. </w:t>
      </w:r>
      <w:r w:rsidR="00050E66">
        <w:t>Tāpat pieteicēj</w:t>
      </w:r>
      <w:r w:rsidR="00794A64">
        <w:t>s</w:t>
      </w:r>
      <w:r w:rsidR="00050E66">
        <w:t xml:space="preserve"> atsau</w:t>
      </w:r>
      <w:r w:rsidR="00794A64">
        <w:t>c</w:t>
      </w:r>
      <w:r w:rsidR="00050E66">
        <w:t xml:space="preserve">ies uz iesniegtajām deklarācijām. </w:t>
      </w:r>
      <w:r>
        <w:t xml:space="preserve">Tomēr šiem pierādījumiem </w:t>
      </w:r>
      <w:r w:rsidR="000C4EDB">
        <w:t xml:space="preserve">tiesa </w:t>
      </w:r>
      <w:r>
        <w:t>vispār nav snieg</w:t>
      </w:r>
      <w:r w:rsidR="000C4EDB">
        <w:t>usi</w:t>
      </w:r>
      <w:r>
        <w:t xml:space="preserve"> novērtējum</w:t>
      </w:r>
      <w:r w:rsidR="00B40698">
        <w:t>u</w:t>
      </w:r>
      <w:r>
        <w:t xml:space="preserve">. Tiesa </w:t>
      </w:r>
      <w:r w:rsidR="00EB1EB0">
        <w:t>ir vērtējusi tikai lietas materiālos esošo līgumu un rēķinu, secinot, ka no tiem nav saprotams</w:t>
      </w:r>
      <w:r w:rsidR="000F3186">
        <w:t>,</w:t>
      </w:r>
      <w:r w:rsidR="00EB1EB0">
        <w:t xml:space="preserve"> vai atsavinātas ir </w:t>
      </w:r>
      <w:r w:rsidR="0032650C">
        <w:t xml:space="preserve">tieši </w:t>
      </w:r>
      <w:r w:rsidR="00EB1EB0">
        <w:t xml:space="preserve">strīdus </w:t>
      </w:r>
      <w:r w:rsidR="0032650C">
        <w:t xml:space="preserve">darījumos iegādātās </w:t>
      </w:r>
      <w:r w:rsidR="00EB1EB0">
        <w:t xml:space="preserve">iekārtas. </w:t>
      </w:r>
    </w:p>
    <w:p w14:paraId="72721679" w14:textId="1C4D770A" w:rsidR="00A905EE" w:rsidRDefault="00A905EE" w:rsidP="00F223CC">
      <w:pPr>
        <w:pStyle w:val="Default"/>
        <w:spacing w:line="276" w:lineRule="auto"/>
        <w:ind w:firstLine="720"/>
        <w:jc w:val="both"/>
      </w:pPr>
      <w:r>
        <w:t>Apgabaltiesa norādījusi, ka pieteicēj</w:t>
      </w:r>
      <w:r w:rsidR="00794A64">
        <w:t>s</w:t>
      </w:r>
      <w:r>
        <w:t xml:space="preserve"> nav pietiekami izskaidroj</w:t>
      </w:r>
      <w:r w:rsidR="00794A64">
        <w:t>is</w:t>
      </w:r>
      <w:r>
        <w:t xml:space="preserve"> darījumu būtību un to saikni ar pieteicēja saimniecisko darbību. </w:t>
      </w:r>
    </w:p>
    <w:p w14:paraId="38B4E2B7" w14:textId="2509956E" w:rsidR="00A905EE" w:rsidRDefault="00570B23" w:rsidP="00F223CC">
      <w:pPr>
        <w:pStyle w:val="Default"/>
        <w:spacing w:line="276" w:lineRule="auto"/>
        <w:ind w:firstLine="720"/>
        <w:jc w:val="both"/>
      </w:pPr>
      <w:r>
        <w:t>Senāts konstatē, ka p</w:t>
      </w:r>
      <w:r w:rsidR="00A905EE">
        <w:t>ieteicēj</w:t>
      </w:r>
      <w:r w:rsidR="00794A64">
        <w:t>s</w:t>
      </w:r>
      <w:r w:rsidR="00A905EE">
        <w:t xml:space="preserve"> ir plaši skaidroj</w:t>
      </w:r>
      <w:r w:rsidR="00794A64">
        <w:t>is</w:t>
      </w:r>
      <w:r w:rsidR="00A905EE">
        <w:t xml:space="preserve"> darījumu </w:t>
      </w:r>
      <w:r>
        <w:t xml:space="preserve">būtību un </w:t>
      </w:r>
      <w:r w:rsidR="00A905EE">
        <w:t>vietu plašākā saimnieciskās darbības kontekstā</w:t>
      </w:r>
      <w:r>
        <w:t>, izskaidrojot iesaistīto personu un darījumu ķēdē ietilpstošo darījumu saikni ar automobiļu ražošanas procesu. Tai skaitā darījumu ekonomiskā būtība ir izskaidrota, norādot uz katra komersanta darbības specifiku un to, ka darījumu struktūra ir tieši saistīta ar risku sadalījumu atbilstoši katra komersanta darbības specifikai un saimnieciskās darbības mērķiem</w:t>
      </w:r>
      <w:r w:rsidR="00D85AD9">
        <w:t xml:space="preserve"> (sk., piemēram, pieteicēja 2020.gada 8.maija iesniegumu Administratīvajai rajona tiesai, </w:t>
      </w:r>
      <w:r w:rsidR="00D85AD9" w:rsidRPr="00D85AD9">
        <w:rPr>
          <w:i/>
          <w:iCs/>
        </w:rPr>
        <w:t>lietas 5.sēj. 217.–223.lp.</w:t>
      </w:r>
      <w:r w:rsidR="00D85AD9">
        <w:t>)</w:t>
      </w:r>
      <w:r>
        <w:t xml:space="preserve">. </w:t>
      </w:r>
      <w:r>
        <w:lastRenderedPageBreak/>
        <w:t>Pieteicēj</w:t>
      </w:r>
      <w:r w:rsidR="00794A64">
        <w:t>s</w:t>
      </w:r>
      <w:r>
        <w:t xml:space="preserve"> ir iesnie</w:t>
      </w:r>
      <w:r w:rsidR="00794A64">
        <w:t>dzis</w:t>
      </w:r>
      <w:r>
        <w:t xml:space="preserve"> </w:t>
      </w:r>
      <w:r w:rsidR="005D50E5">
        <w:t>virkni</w:t>
      </w:r>
      <w:r>
        <w:t xml:space="preserve"> dokumentu, ar ko tiek ilustrēta konkrētās saimnieciskās darbības specifika.</w:t>
      </w:r>
    </w:p>
    <w:p w14:paraId="15DBA17B" w14:textId="7BB669C2" w:rsidR="005D50E5" w:rsidRDefault="005D50E5" w:rsidP="00F223CC">
      <w:pPr>
        <w:pStyle w:val="Default"/>
        <w:spacing w:line="276" w:lineRule="auto"/>
        <w:ind w:firstLine="720"/>
        <w:jc w:val="both"/>
      </w:pPr>
      <w:r>
        <w:t xml:space="preserve">Šo apstākļu vērtējumu apgabaltiesa nav sniegusi. Apgabaltiesas secinājumi par saimnieciskās saiknes trūkumu ar pieteicēja apliekamajiem darījumiem ir vispārīgi noliedzoši, nenorādot, </w:t>
      </w:r>
      <w:r w:rsidR="00B40698">
        <w:t xml:space="preserve">tieši </w:t>
      </w:r>
      <w:r>
        <w:t>kāpēc apgabaltiesa uzskata, ka pieteicēja paskaidrojumi un iesniegtie dokumenti šādu saikni nepierāda. Apgabaltiesas spriedumā ir norādīts, ka, neskatoties uz Valsts ieņēmumu dienesta vairākkārtējiem lūgumiem sniegt paskaidrojumus (un iesniegt dokumentus, kas to apstiprina) par to, kā iegādātās preces tiek vai tiks izmantotas saimnieciskajā darbībā jaunas ar nodokli apliekamas vērtības radīšanai, kā tika organizētas preču piegādes no SIA „Sunningdale Tech (Riga)”, kad paredzēti realizācijas darījumi, kādā praktiskā veidā tie tiks realizēti, pieteicējs uz šiem jautājumiem pēc būtības nav atbildējis vai arī ir atbildējis tikai daļēji. Senātam nav izprotams, tieši kā šis secinājums sasaistāms ar pieteicēja sniegtajiem paskaidrojumiem un iesniegtajiem pierādījumiem, proti, konkrētiem trūkumiem tajos.</w:t>
      </w:r>
    </w:p>
    <w:p w14:paraId="34252391" w14:textId="77777777" w:rsidR="00570B23" w:rsidRDefault="00570B23" w:rsidP="00F223CC">
      <w:pPr>
        <w:pStyle w:val="Default"/>
        <w:spacing w:line="276" w:lineRule="auto"/>
        <w:ind w:firstLine="720"/>
        <w:jc w:val="both"/>
      </w:pPr>
    </w:p>
    <w:p w14:paraId="05EE9677" w14:textId="109F5664" w:rsidR="00570B23" w:rsidRDefault="00570B23" w:rsidP="00F223CC">
      <w:pPr>
        <w:pStyle w:val="Default"/>
        <w:spacing w:line="276" w:lineRule="auto"/>
        <w:ind w:firstLine="720"/>
        <w:jc w:val="both"/>
      </w:pPr>
      <w:r>
        <w:t>[</w:t>
      </w:r>
      <w:r w:rsidR="0097463B">
        <w:t>8</w:t>
      </w:r>
      <w:r>
        <w:t xml:space="preserve">] </w:t>
      </w:r>
      <w:r w:rsidR="005D50E5">
        <w:t xml:space="preserve">Līdz ar to </w:t>
      </w:r>
      <w:r>
        <w:t xml:space="preserve">Senāts atzīst, ka ir konstatējams procesuālo tiesību normu pārkāpums pierādījumu novērtējumā, </w:t>
      </w:r>
      <w:r w:rsidR="003F3B37">
        <w:t>un tas</w:t>
      </w:r>
      <w:r>
        <w:t xml:space="preserve"> varēja ietekmēt lietas rezultātu.</w:t>
      </w:r>
    </w:p>
    <w:p w14:paraId="08D61BD1" w14:textId="77777777" w:rsidR="007F32B1" w:rsidRDefault="007F32B1" w:rsidP="00F223CC">
      <w:pPr>
        <w:pStyle w:val="Default"/>
        <w:spacing w:line="276" w:lineRule="auto"/>
        <w:ind w:firstLine="720"/>
        <w:jc w:val="both"/>
      </w:pPr>
    </w:p>
    <w:p w14:paraId="3DEB6E6C" w14:textId="6CBA7A18" w:rsidR="0014659F" w:rsidRPr="00A94C8F" w:rsidRDefault="0014659F" w:rsidP="00F223CC">
      <w:pPr>
        <w:spacing w:line="276" w:lineRule="auto"/>
        <w:ind w:firstLine="720"/>
        <w:jc w:val="both"/>
        <w:rPr>
          <w:i/>
          <w:iCs/>
        </w:rPr>
      </w:pPr>
      <w:r w:rsidRPr="00A94C8F">
        <w:rPr>
          <w:i/>
          <w:iCs/>
        </w:rPr>
        <w:t xml:space="preserve">Par </w:t>
      </w:r>
      <w:r>
        <w:rPr>
          <w:i/>
          <w:iCs/>
        </w:rPr>
        <w:t>objektīvās izmeklēšanas principa ievērošanu</w:t>
      </w:r>
      <w:r w:rsidR="003F5166">
        <w:rPr>
          <w:i/>
          <w:iCs/>
        </w:rPr>
        <w:t xml:space="preserve">, </w:t>
      </w:r>
      <w:r w:rsidR="007C6884">
        <w:rPr>
          <w:i/>
          <w:iCs/>
        </w:rPr>
        <w:t xml:space="preserve">ņemot vērā </w:t>
      </w:r>
      <w:r w:rsidR="003F5166">
        <w:rPr>
          <w:i/>
          <w:iCs/>
        </w:rPr>
        <w:t>pieteikuma priekšmetu</w:t>
      </w:r>
    </w:p>
    <w:p w14:paraId="59F703D0" w14:textId="1D50FA28" w:rsidR="005B6943" w:rsidRDefault="007F32B1" w:rsidP="00F223CC">
      <w:pPr>
        <w:pStyle w:val="Default"/>
        <w:spacing w:line="276" w:lineRule="auto"/>
        <w:ind w:firstLine="720"/>
        <w:jc w:val="both"/>
      </w:pPr>
      <w:r>
        <w:t>[</w:t>
      </w:r>
      <w:r w:rsidR="0097463B">
        <w:t>9</w:t>
      </w:r>
      <w:r>
        <w:t xml:space="preserve">] </w:t>
      </w:r>
      <w:r w:rsidR="005B6943" w:rsidRPr="00055DB3">
        <w:t>Pieteicēj</w:t>
      </w:r>
      <w:r w:rsidR="007C6884">
        <w:t>s</w:t>
      </w:r>
      <w:r w:rsidR="005B6943" w:rsidRPr="00055DB3">
        <w:t xml:space="preserve"> </w:t>
      </w:r>
      <w:r w:rsidR="005B6943">
        <w:t xml:space="preserve">kā kasācijas pamatu </w:t>
      </w:r>
      <w:r w:rsidR="005B6943" w:rsidRPr="00055DB3">
        <w:t>norādīj</w:t>
      </w:r>
      <w:r w:rsidR="007C6884">
        <w:t>is</w:t>
      </w:r>
      <w:r w:rsidR="005B6943" w:rsidRPr="00055DB3">
        <w:t xml:space="preserve"> Administratīvā procesa likuma 103.panta otrajā daļā nostiprinātā objektīvās izmeklēšanas principa pārkāpumu</w:t>
      </w:r>
      <w:r w:rsidR="005B6943">
        <w:t>.</w:t>
      </w:r>
    </w:p>
    <w:p w14:paraId="63D7F2A5" w14:textId="59EDF620" w:rsidR="007F32B1" w:rsidRDefault="007F32B1" w:rsidP="00F223CC">
      <w:pPr>
        <w:pStyle w:val="Default"/>
        <w:spacing w:line="276" w:lineRule="auto"/>
        <w:ind w:firstLine="720"/>
        <w:jc w:val="both"/>
      </w:pPr>
      <w:r>
        <w:t xml:space="preserve">Objektīvās izmeklēšanas princips ir efektīva personas tiesību aizsardzības garantija, kas līdzsvaro abu pušu – valsts un personas – faktiskās iespējas administratīvajā procesā tiesā, ievērojot, ka persona atrodas nevienlīdzīgā situācijā un sacīkste tiesas procesā starp pusēm nebūtu taisnīga. Atbilstoši objektīvās izmeklēšanas principam tiesai ir pienākums konkrētā lietā </w:t>
      </w:r>
      <w:r w:rsidR="00BE199A">
        <w:t xml:space="preserve">objektīvi </w:t>
      </w:r>
      <w:r>
        <w:t xml:space="preserve">noskaidrot </w:t>
      </w:r>
      <w:r w:rsidR="00BE199A">
        <w:t>lietas apstākļus</w:t>
      </w:r>
      <w:r>
        <w:t xml:space="preserve">, nodrošināt pierādījumu pietiekamību un pārbaudīt visus lietas apstākļus neatkarīgi no tā, vai lietas dalībnieki ir informējuši tiesu par visiem lietas pareizai izlemšanai būtiskiem apstākļiem, izteikuši savus apsvērumus par lietā nozīmīgiem jautājumiem vai iesnieguši nepieciešamos pierādījumus. Tas prasa tiesu ieņemt aktīvu pozīciju, noskaidrojot </w:t>
      </w:r>
      <w:r w:rsidR="00FA4F60">
        <w:t>lietas būtiskos faktiskos apstākļus</w:t>
      </w:r>
      <w:r>
        <w:t>.</w:t>
      </w:r>
    </w:p>
    <w:p w14:paraId="25522C7E" w14:textId="77777777" w:rsidR="00127639" w:rsidRDefault="00127639" w:rsidP="00F223CC">
      <w:pPr>
        <w:pStyle w:val="Default"/>
        <w:spacing w:line="276" w:lineRule="auto"/>
        <w:ind w:firstLine="720"/>
        <w:jc w:val="both"/>
      </w:pPr>
    </w:p>
    <w:p w14:paraId="296B6EFF" w14:textId="0CEDF56F" w:rsidR="003F5166" w:rsidRDefault="00127639" w:rsidP="00F223CC">
      <w:pPr>
        <w:pStyle w:val="Default"/>
        <w:spacing w:line="276" w:lineRule="auto"/>
        <w:ind w:firstLine="720"/>
        <w:jc w:val="both"/>
      </w:pPr>
      <w:r>
        <w:t>[</w:t>
      </w:r>
      <w:r w:rsidR="002559D3">
        <w:t>1</w:t>
      </w:r>
      <w:r w:rsidR="0097463B">
        <w:t>0</w:t>
      </w:r>
      <w:r>
        <w:t xml:space="preserve">] </w:t>
      </w:r>
      <w:r w:rsidR="003F5166">
        <w:t>Vienlaikus katrā lietā ir svarīgi ievērot piete</w:t>
      </w:r>
      <w:r>
        <w:t>i</w:t>
      </w:r>
      <w:r w:rsidR="003F5166">
        <w:t>kuma priekšmetu, no kā ir atkarīg</w:t>
      </w:r>
      <w:r w:rsidR="00794A64">
        <w:t>s lietā noskaidrojamo apstākļu un pārbaudāmo pierādījumu loks un</w:t>
      </w:r>
      <w:r w:rsidR="003F5166">
        <w:t xml:space="preserve"> pierādīšanas nastas sadale starp procesa dalībniekiem. </w:t>
      </w:r>
    </w:p>
    <w:p w14:paraId="79F5CCCB" w14:textId="6F87EE29" w:rsidR="003F5166" w:rsidRDefault="003F5166" w:rsidP="00F223CC">
      <w:pPr>
        <w:pStyle w:val="Default"/>
        <w:spacing w:line="276" w:lineRule="auto"/>
        <w:ind w:firstLine="720"/>
        <w:jc w:val="both"/>
      </w:pPr>
      <w:r>
        <w:t xml:space="preserve">Gadījumā, ja </w:t>
      </w:r>
      <w:r w:rsidR="00BE199A">
        <w:t>iestāde izdod</w:t>
      </w:r>
      <w:r>
        <w:t xml:space="preserve"> nelabvēlīg</w:t>
      </w:r>
      <w:r w:rsidR="00BE199A">
        <w:t>u</w:t>
      </w:r>
      <w:r>
        <w:t xml:space="preserve"> administratīv</w:t>
      </w:r>
      <w:r w:rsidR="00BE199A">
        <w:t>o</w:t>
      </w:r>
      <w:r>
        <w:t xml:space="preserve"> akt</w:t>
      </w:r>
      <w:r w:rsidR="00BE199A">
        <w:t>u</w:t>
      </w:r>
      <w:r>
        <w:t xml:space="preserve"> (tiesības ierobežojoš</w:t>
      </w:r>
      <w:r w:rsidR="00BE199A">
        <w:t>u</w:t>
      </w:r>
      <w:r>
        <w:t>, pienākumu uzliekoš</w:t>
      </w:r>
      <w:r w:rsidR="00BE199A">
        <w:t>u</w:t>
      </w:r>
      <w:r>
        <w:t xml:space="preserve">), iestādei vispārīgi ir pienākums </w:t>
      </w:r>
      <w:r w:rsidR="00634475">
        <w:t>šo administratīvo aktu pienācīgi pamatot</w:t>
      </w:r>
      <w:r>
        <w:t xml:space="preserve">. Tiesiskais pamatojums </w:t>
      </w:r>
      <w:r w:rsidR="00041F45">
        <w:t xml:space="preserve">(tiesību normas) </w:t>
      </w:r>
      <w:r>
        <w:t xml:space="preserve">ir </w:t>
      </w:r>
      <w:r w:rsidR="003F3B37">
        <w:t>jānorāda</w:t>
      </w:r>
      <w:r>
        <w:t xml:space="preserve"> tāpēc, ka nelabvēlīga administratīvā akta gadījumā to pieprasa likuma atrunas princips. Tiesiskais pamatojums ir jāsasaista ar faktiem, un tas kopā veido administratīvā akta pamatojumu. Ja administratīvais process turpinās tiesā, iestādei ir pierādīšanas pienākums attiecībā uz to, ko tā ir izvirzījusi kā administratīvā akta pamatojumu</w:t>
      </w:r>
      <w:r w:rsidR="000C3C16">
        <w:t>,</w:t>
      </w:r>
      <w:r w:rsidR="00634475">
        <w:t xml:space="preserve"> un papildus vajadzības gadījumā jāpierāda savi iebildumi </w:t>
      </w:r>
      <w:r w:rsidR="002139A9">
        <w:t>par</w:t>
      </w:r>
      <w:r w:rsidR="00634475">
        <w:t xml:space="preserve"> pieteicēja pretargumentiem</w:t>
      </w:r>
      <w:r>
        <w:t xml:space="preserve"> (Administratīvā procesa likuma </w:t>
      </w:r>
      <w:r w:rsidR="00634475">
        <w:t>150.panta pirmā un otrā daļa</w:t>
      </w:r>
      <w:r w:rsidR="00794A64">
        <w:t xml:space="preserve">, kas paredz iestādei pierādīt apstākļus, uz kuriem tā atsaucas </w:t>
      </w:r>
      <w:r w:rsidR="00794A64">
        <w:lastRenderedPageBreak/>
        <w:t>kā uz savu iebildumu pamatojumu, kā arī ierobežojumu iestādei atsaukties</w:t>
      </w:r>
      <w:r w:rsidR="003F3B37">
        <w:t xml:space="preserve"> uz</w:t>
      </w:r>
      <w:r w:rsidR="00794A64">
        <w:t xml:space="preserve"> pamatojumiem, kas nav minēti administratīvajā aktā</w:t>
      </w:r>
      <w:r w:rsidR="00634475">
        <w:t xml:space="preserve">). </w:t>
      </w:r>
    </w:p>
    <w:p w14:paraId="7BC8F396" w14:textId="110745CF" w:rsidR="00634475" w:rsidRDefault="003F5166" w:rsidP="00F223CC">
      <w:pPr>
        <w:pStyle w:val="Default"/>
        <w:spacing w:line="276" w:lineRule="auto"/>
        <w:ind w:firstLine="720"/>
        <w:jc w:val="both"/>
      </w:pPr>
      <w:bookmarkStart w:id="1" w:name="_Hlk145519910"/>
      <w:r>
        <w:t xml:space="preserve">Pieteicējs </w:t>
      </w:r>
      <w:r w:rsidR="00634475">
        <w:t xml:space="preserve">nelabvēlīga administratīvā akta </w:t>
      </w:r>
      <w:r>
        <w:t xml:space="preserve">gadījumā tiesas procesā izvirza iebildumus pret </w:t>
      </w:r>
      <w:r w:rsidR="00634475">
        <w:t xml:space="preserve">šajā administratīvajā aktā norādīto </w:t>
      </w:r>
      <w:r>
        <w:t xml:space="preserve">pamatojumu un iesniedz </w:t>
      </w:r>
      <w:r w:rsidR="00031974">
        <w:t>šos</w:t>
      </w:r>
      <w:r>
        <w:t xml:space="preserve"> iebildumus pamatojošus pierādījumus</w:t>
      </w:r>
      <w:r w:rsidR="00634475">
        <w:t xml:space="preserve"> </w:t>
      </w:r>
      <w:bookmarkEnd w:id="1"/>
      <w:r w:rsidR="00634475">
        <w:t>(Administratīvā procesa likuma 186.panta otrās daļas 5.punkts, kas paredz pieteikumā norādīt pieteikuma pamatu un pierādījumus, 187.panta pirmās daļas 3.punkts, kas paredz pieteikuma</w:t>
      </w:r>
      <w:r w:rsidR="00031974">
        <w:t>m</w:t>
      </w:r>
      <w:r w:rsidR="00634475">
        <w:t xml:space="preserve"> pievienot dokumentus, kas apstiprina apstākļus, uz kuriem pamatots prasījums, kā arī Administratīvā procesa likuma 150.panta trešā daļa, kas paredz pienākumu piedalīties pie</w:t>
      </w:r>
      <w:r w:rsidR="00031974">
        <w:t>rādījumu</w:t>
      </w:r>
      <w:r w:rsidR="00634475">
        <w:t xml:space="preserve"> savākšanā)</w:t>
      </w:r>
      <w:r>
        <w:t xml:space="preserve">. </w:t>
      </w:r>
    </w:p>
    <w:p w14:paraId="1D43076F" w14:textId="143033A2" w:rsidR="00634475" w:rsidRDefault="003F5166" w:rsidP="00F223CC">
      <w:pPr>
        <w:pStyle w:val="Default"/>
        <w:spacing w:line="276" w:lineRule="auto"/>
        <w:ind w:firstLine="720"/>
        <w:jc w:val="both"/>
      </w:pPr>
      <w:r>
        <w:t>Tiesas uzdevums</w:t>
      </w:r>
      <w:r w:rsidR="00634475">
        <w:t>, pārbaudot nelabvēlīga administratīvā akta tiesiskumu,</w:t>
      </w:r>
      <w:r>
        <w:t xml:space="preserve"> ir pārbaudīt to administratīvā akta pamatojumu, ko iestāde ir norādīju</w:t>
      </w:r>
      <w:r w:rsidR="00031974">
        <w:t>si</w:t>
      </w:r>
      <w:r>
        <w:t xml:space="preserve"> administratīvajā aktā (Administratīvā procesa likuma 250.panta otrās daļas pirmais teikums)</w:t>
      </w:r>
      <w:r w:rsidR="00634475">
        <w:t>, kā arī, ievērojot objektīvās izmeklēšanas principu – savākt pierādījumus pēc savas iniciatīvas, ja administratīvā procesa dalībnieku iesniegtie pierādījumi nav pietiekami (Administratīvā procesa likuma 150.panta ceturtā daļa). Ievērojot, ka 250.panta otrā daļa ierobežo tiesas iespējas akceptēt jaunu pamatojumu nelabvēlīgam administratīvajam aktam, pierādījumu iegūšana šajā gadījumā ir ierobežota ar iestādes administratīvajā aktā norādīto pamatojumu, proti, faktiskajiem un tiesiskajiem apstākļiem, ar ko iestāde pamatojusi tiesību ierobežošanu vai pienākuma uzlikšanu.</w:t>
      </w:r>
    </w:p>
    <w:p w14:paraId="2DB4F1E6" w14:textId="476B78FD" w:rsidR="003F5166" w:rsidRDefault="00127639" w:rsidP="00F223CC">
      <w:pPr>
        <w:pStyle w:val="Default"/>
        <w:spacing w:line="276" w:lineRule="auto"/>
        <w:ind w:firstLine="720"/>
        <w:jc w:val="both"/>
      </w:pPr>
      <w:r>
        <w:t>Savukārt gadījumā, ja persona tiesā vērsusies ar pieteikumu par labvēlīga administratīvā akta izdošanu, tiesa šādu prasījumu var apmierināt tikai tad, ja izpildās visi priekšnoteikumi administratīvā akta izdošanai. Tas nozīmē – pat ja iestāde ir atšķirīgi pamatojusi atteikumu izdot labvēlīgu administratīvo aktu, tiesa var nonākt pie secinājuma, ka pastāv cits, iestādes neminēts un sīkāk nepārbaudīts šķērslis administratīvā akta izdošanai. Tas saskan ar Administratīvā procesa likuma 250.panta otrās daļas otro teikumu, kas noteic, ka ierobežojums pārbaudīt tikai iestādes norādīto administratīvā akta pamatojumu neattiecas uz lietām, kurās prasījums ir labvēlīga administratīvā akta izdošana. Tas nodrošina, ka tiesas procesa rezultātā netiek izdots prettiesisks administratīvais akts tā iemesla dēļ, ka noteikti apstākļi nemaz nav pārbaudīti</w:t>
      </w:r>
      <w:r w:rsidR="00797323">
        <w:t xml:space="preserve"> ne iestādē, ne tiesā</w:t>
      </w:r>
      <w:r>
        <w:t>.</w:t>
      </w:r>
    </w:p>
    <w:p w14:paraId="07D0D7B2" w14:textId="77777777" w:rsidR="00127639" w:rsidRDefault="00127639" w:rsidP="00F223CC">
      <w:pPr>
        <w:pStyle w:val="Default"/>
        <w:spacing w:line="276" w:lineRule="auto"/>
        <w:ind w:firstLine="720"/>
        <w:jc w:val="both"/>
      </w:pPr>
    </w:p>
    <w:p w14:paraId="25F574C7" w14:textId="6EBA8D0E" w:rsidR="00041F45" w:rsidRDefault="00127639" w:rsidP="00F223CC">
      <w:pPr>
        <w:pStyle w:val="Default"/>
        <w:spacing w:line="276" w:lineRule="auto"/>
        <w:ind w:firstLine="720"/>
        <w:jc w:val="both"/>
      </w:pPr>
      <w:r>
        <w:t>[</w:t>
      </w:r>
      <w:r w:rsidR="002559D3">
        <w:t>1</w:t>
      </w:r>
      <w:r w:rsidR="0097463B">
        <w:t>1</w:t>
      </w:r>
      <w:r>
        <w:t xml:space="preserve">] </w:t>
      </w:r>
      <w:r w:rsidR="00041F45">
        <w:t xml:space="preserve">Lai izprastu, kāda veida prasījums ir strīdos par pievienotās vērtības nodokļa pārmaksas </w:t>
      </w:r>
      <w:r w:rsidR="000C3C16">
        <w:t xml:space="preserve">apstiprināšanu un </w:t>
      </w:r>
      <w:r w:rsidR="00041F45">
        <w:t xml:space="preserve">atmaksu, ir jāpievēršas tam, kas vispār ir </w:t>
      </w:r>
      <w:r w:rsidR="003F3B37">
        <w:t xml:space="preserve">pievienotās vērtības </w:t>
      </w:r>
      <w:r w:rsidR="00041F45">
        <w:t>nodokļa pārmaksa un kas pēc būtības ir Valsts ieņēmumu dienesta lēmums neapstiprināt pārmaksu.</w:t>
      </w:r>
    </w:p>
    <w:p w14:paraId="5AFE6D7E" w14:textId="77777777" w:rsidR="00041F45" w:rsidRDefault="00041F45" w:rsidP="00F223CC">
      <w:pPr>
        <w:pStyle w:val="Default"/>
        <w:spacing w:line="276" w:lineRule="auto"/>
        <w:ind w:firstLine="720"/>
        <w:jc w:val="both"/>
      </w:pPr>
    </w:p>
    <w:p w14:paraId="5B843CDB" w14:textId="0B432DFA" w:rsidR="00041F45" w:rsidRDefault="00041F45" w:rsidP="00F223CC">
      <w:pPr>
        <w:pStyle w:val="Default"/>
        <w:spacing w:line="276" w:lineRule="auto"/>
        <w:ind w:firstLine="720"/>
        <w:jc w:val="both"/>
      </w:pPr>
      <w:r>
        <w:t>[</w:t>
      </w:r>
      <w:r w:rsidR="003F3B37">
        <w:t>1</w:t>
      </w:r>
      <w:r w:rsidR="0097463B">
        <w:t>2</w:t>
      </w:r>
      <w:r>
        <w:t xml:space="preserve">] </w:t>
      </w:r>
      <w:r w:rsidRPr="00D04218">
        <w:t>Eiropas Savienības Tiesa</w:t>
      </w:r>
      <w:r>
        <w:t xml:space="preserve">s pastāvīgā judikatūrā ir atzīts, ka </w:t>
      </w:r>
      <w:r w:rsidRPr="00D04218">
        <w:t xml:space="preserve">nodokļu maksātāju tiesības no maksājamā </w:t>
      </w:r>
      <w:r>
        <w:t>pievienotās vērtības nodokļa</w:t>
      </w:r>
      <w:r w:rsidRPr="00D04218">
        <w:t xml:space="preserve"> atskaitīt </w:t>
      </w:r>
      <w:r>
        <w:t>nodokli</w:t>
      </w:r>
      <w:r w:rsidRPr="00D04218">
        <w:t xml:space="preserve">, kas jau iepriekš kā priekšnodoklis ir samaksāts par iegādātajām precēm un saņemtajiem pakalpojumiem, ir ar Savienības tiesību aktiem izveidotās kopējās </w:t>
      </w:r>
      <w:r>
        <w:t>pievienotās vērtības nodokļa</w:t>
      </w:r>
      <w:r w:rsidRPr="00D04218">
        <w:t xml:space="preserve"> sistēmas pamatprincips (</w:t>
      </w:r>
      <w:r w:rsidRPr="00C90129">
        <w:rPr>
          <w:i/>
          <w:iCs/>
        </w:rPr>
        <w:t xml:space="preserve">Eiropas Savienības Tiesas 2011.gada 12.maija sprieduma lietā „Enel Maritsa Iztok 3”, C-107/10, </w:t>
      </w:r>
      <w:hyperlink r:id="rId11" w:history="1">
        <w:r w:rsidRPr="00C90129">
          <w:rPr>
            <w:rStyle w:val="Hyperlink"/>
            <w:i/>
            <w:iCs/>
          </w:rPr>
          <w:t>ECLI:EU:C:2011:298</w:t>
        </w:r>
      </w:hyperlink>
      <w:r w:rsidRPr="00C90129">
        <w:rPr>
          <w:i/>
          <w:iCs/>
        </w:rPr>
        <w:t>, 31.punkts un tajā minētā judikatūra</w:t>
      </w:r>
      <w:r w:rsidRPr="00D04218">
        <w:t>).</w:t>
      </w:r>
      <w:r>
        <w:t xml:space="preserve"> N</w:t>
      </w:r>
      <w:r w:rsidRPr="00D04218">
        <w:t xml:space="preserve">o tā izriet, ka atskaitīšanas tiesības ir </w:t>
      </w:r>
      <w:r>
        <w:t>pievienotās vērtības nodokļa</w:t>
      </w:r>
      <w:r w:rsidRPr="00D04218">
        <w:t xml:space="preserve"> mehānisma neatņemama sastāvdaļa un tās principā nevar tikt ierobežotas. It īpaši šīs tiesības nekavējoties ir izmantojamas attiecībā uz visiem ar darījumiem saistītajiem priekšnodokļiem</w:t>
      </w:r>
      <w:r>
        <w:t xml:space="preserve"> (</w:t>
      </w:r>
      <w:r w:rsidRPr="00C90129">
        <w:rPr>
          <w:i/>
          <w:iCs/>
        </w:rPr>
        <w:t>turpat, 32.punkts</w:t>
      </w:r>
      <w:r>
        <w:rPr>
          <w:i/>
          <w:iCs/>
        </w:rPr>
        <w:t xml:space="preserve"> un tajā minētā judikatūra</w:t>
      </w:r>
      <w:r>
        <w:t>).</w:t>
      </w:r>
    </w:p>
    <w:p w14:paraId="7B1F95F7" w14:textId="3D72C4DF" w:rsidR="00041F45" w:rsidRDefault="00041F45" w:rsidP="00F223CC">
      <w:pPr>
        <w:pStyle w:val="Default"/>
        <w:spacing w:line="276" w:lineRule="auto"/>
        <w:ind w:firstLine="720"/>
        <w:jc w:val="both"/>
      </w:pPr>
      <w:r>
        <w:lastRenderedPageBreak/>
        <w:t>I</w:t>
      </w:r>
      <w:r w:rsidRPr="00D04218">
        <w:t>nterpretējot 2006.gada 28.novembr</w:t>
      </w:r>
      <w:r>
        <w:t>a</w:t>
      </w:r>
      <w:r w:rsidRPr="00D04218">
        <w:t xml:space="preserve"> Padomes direktīvu 2006/112/EK par kopējo pievienotās vērtības nodokļa sistēmu (turpmāk – Pievienotās vērtības nodokļa direktīva), un konkrēti – 183.pantu, </w:t>
      </w:r>
      <w:r>
        <w:t xml:space="preserve">Eiropas Savienības Tiesa </w:t>
      </w:r>
      <w:r w:rsidRPr="00D04218">
        <w:t>norādījusi</w:t>
      </w:r>
      <w:r w:rsidR="001634A8">
        <w:t>:</w:t>
      </w:r>
      <w:r w:rsidRPr="00D04218">
        <w:t xml:space="preserve"> lai gan dalībvalstīm ir zināma rīcības brīvība, nosakot pārmaksātā pievienotās vērtības nodokļa atmaksāšanas noteikumus, šie noteikumi nedrīkst ietekmēt nodokļa sistēmas neitralitātes principu, liekot nodokļu maksātājam pilnībā vai daļēji uzņemties šo nodokļa nastu. It īpaši šādiem noteikumiem ir jāļauj nodokļu maksātājam ar atbilstošiem nosacījumiem atgūt visu parādu, kas izriet no šī pārmaksātā pievienotās vērtības nodokļa, tas nozīmē, ka atmaksāšana ir jāveic saprātīgā termiņā, samaksājot skaidrā naudā vai līdzīgā veidā, un ka katrā ziņā pieņemtais atmaksāšanas veids nedrīkst nodokļu maksātājam radīt nekādu finanšu risku (</w:t>
      </w:r>
      <w:r w:rsidRPr="00C90129">
        <w:rPr>
          <w:i/>
          <w:iCs/>
        </w:rPr>
        <w:t>turpat, 33.punkts un tajā minētā judikatūra</w:t>
      </w:r>
      <w:r w:rsidRPr="00D04218">
        <w:t>).</w:t>
      </w:r>
    </w:p>
    <w:p w14:paraId="05C920F7" w14:textId="24FF5CD6" w:rsidR="00041F45" w:rsidRDefault="00041F45" w:rsidP="00F223CC">
      <w:pPr>
        <w:pStyle w:val="Default"/>
        <w:spacing w:line="276" w:lineRule="auto"/>
        <w:ind w:firstLine="720"/>
        <w:jc w:val="both"/>
      </w:pPr>
      <w:r>
        <w:t>Pievienotās vērtības nodokļa neitralitātes princips ir bijis pamats Satversmes tiesai secināt, ka nodokļa</w:t>
      </w:r>
      <w:r w:rsidRPr="00FC31A1">
        <w:t xml:space="preserve"> pārmaksa pēc savas būtības ir nodokļu maksātāja īpašums –</w:t>
      </w:r>
      <w:r>
        <w:t xml:space="preserve"> </w:t>
      </w:r>
      <w:r w:rsidRPr="00FC31A1">
        <w:t>viņa</w:t>
      </w:r>
      <w:r>
        <w:t xml:space="preserve"> </w:t>
      </w:r>
      <w:r w:rsidRPr="00FC31A1">
        <w:t>finanšu līdzekļi, kuri ir atgriežami nodokļu maksātājam, tos</w:t>
      </w:r>
      <w:r>
        <w:t xml:space="preserve"> </w:t>
      </w:r>
      <w:r w:rsidRPr="00FC31A1">
        <w:t>vai nu ieskaitot viņam esošo</w:t>
      </w:r>
      <w:r>
        <w:t xml:space="preserve"> </w:t>
      </w:r>
      <w:r w:rsidRPr="00FC31A1">
        <w:t>valsts noteikto maksājumu parādu segšanai, vai arī atmaksājot</w:t>
      </w:r>
      <w:r>
        <w:t>.</w:t>
      </w:r>
      <w:r w:rsidRPr="00D243E7">
        <w:t xml:space="preserve"> </w:t>
      </w:r>
      <w:r>
        <w:t xml:space="preserve">Šo līdzekļu paturēšana valsts rīcībā, </w:t>
      </w:r>
      <w:r w:rsidRPr="00D243E7">
        <w:t>attiecīgajā</w:t>
      </w:r>
      <w:r>
        <w:t xml:space="preserve"> </w:t>
      </w:r>
      <w:r w:rsidRPr="00D243E7">
        <w:t xml:space="preserve">laika posmā </w:t>
      </w:r>
      <w:r>
        <w:t>liedzot iespēju nodokļu</w:t>
      </w:r>
      <w:r w:rsidRPr="00D243E7">
        <w:t xml:space="preserve"> maksātājam ar tiem rīkoties, tai skaitā izmantot tos savā saimnieciskajā darbībā</w:t>
      </w:r>
      <w:r>
        <w:t xml:space="preserve"> </w:t>
      </w:r>
      <w:r w:rsidRPr="00D243E7">
        <w:t>un gūt no tiem peļņu</w:t>
      </w:r>
      <w:r>
        <w:t>, ir Latvijas Republikas Satversmes 105.panta pirmajos trijos teikumos noteikto pamattiesību (tiesību uz īpašumu) ierobežojums (</w:t>
      </w:r>
      <w:r w:rsidRPr="00D243E7">
        <w:rPr>
          <w:i/>
          <w:iCs/>
        </w:rPr>
        <w:t xml:space="preserve">Satversmes tiesas 2018.gada 11.aprīļa sprieduma lietā </w:t>
      </w:r>
      <w:hyperlink r:id="rId12" w:anchor="search=" w:history="1">
        <w:r w:rsidRPr="00D243E7">
          <w:rPr>
            <w:rStyle w:val="Hyperlink"/>
            <w:i/>
            <w:iCs/>
          </w:rPr>
          <w:t>Nr. 2017-12-01</w:t>
        </w:r>
      </w:hyperlink>
      <w:r w:rsidRPr="00D243E7">
        <w:rPr>
          <w:i/>
          <w:iCs/>
        </w:rPr>
        <w:t xml:space="preserve"> 16.punkts</w:t>
      </w:r>
      <w:r>
        <w:t>)</w:t>
      </w:r>
      <w:r w:rsidRPr="00D243E7">
        <w:t>.</w:t>
      </w:r>
    </w:p>
    <w:p w14:paraId="4E7DC9E5" w14:textId="77777777" w:rsidR="009A6FC3" w:rsidRDefault="009A6FC3" w:rsidP="00F223CC">
      <w:pPr>
        <w:pStyle w:val="Default"/>
        <w:spacing w:line="276" w:lineRule="auto"/>
        <w:ind w:firstLine="720"/>
        <w:jc w:val="both"/>
      </w:pPr>
    </w:p>
    <w:p w14:paraId="61E22C12" w14:textId="7342583C" w:rsidR="009A6FC3" w:rsidRDefault="009A6FC3" w:rsidP="00F223CC">
      <w:pPr>
        <w:pStyle w:val="Default"/>
        <w:spacing w:line="276" w:lineRule="auto"/>
        <w:ind w:firstLine="720"/>
        <w:jc w:val="both"/>
      </w:pPr>
      <w:r>
        <w:t>[</w:t>
      </w:r>
      <w:r w:rsidR="003F3B37">
        <w:t>1</w:t>
      </w:r>
      <w:r w:rsidR="0097463B">
        <w:t>3</w:t>
      </w:r>
      <w:r>
        <w:t>] Pievienotās vērtības nodokļ</w:t>
      </w:r>
      <w:r w:rsidR="001634A8">
        <w:t>a</w:t>
      </w:r>
      <w:r>
        <w:t xml:space="preserve"> maksātāja saistības ar valsts budžetu tiek uzrādītas dienestam iesniegtajās nodokļa deklarācijās (Pievienotās vērtības nodokļa likuma 117.panta pirmā daļa).</w:t>
      </w:r>
    </w:p>
    <w:p w14:paraId="7055D91A" w14:textId="06F58830" w:rsidR="009A6FC3" w:rsidRDefault="00305234" w:rsidP="00F223CC">
      <w:pPr>
        <w:pStyle w:val="Default"/>
        <w:spacing w:line="276" w:lineRule="auto"/>
        <w:ind w:firstLine="720"/>
        <w:jc w:val="both"/>
      </w:pPr>
      <w:r>
        <w:t>Atkarībā no tā, vai lielāku summu veido budžetā maksājamais nodoklis vai atskaitāmais priekšnodoklis, veidojas nodokļ</w:t>
      </w:r>
      <w:r w:rsidR="000C3C16">
        <w:t>a</w:t>
      </w:r>
      <w:r>
        <w:t xml:space="preserve"> maksātāja pienākums iemaksāt noteiktā apmērā nodokli budžetā (Pievienotās vērtības nodokļa likuma 119.panta pirmā daļa) vai tiesības saņemt pārmaksāto nodokli (Pievienotās vērtības nodokļa 108.pants, kas definē, ka </w:t>
      </w:r>
      <w:r w:rsidR="009A6FC3">
        <w:t>p</w:t>
      </w:r>
      <w:r w:rsidR="009A6FC3" w:rsidRPr="009A6FC3">
        <w:t>ārmaksātā nodokļa summa ir maksāšanai valsts budžetā aprēķinātās nodokļa summas un atskaitāmā priekšnodokļa starpība</w:t>
      </w:r>
      <w:r w:rsidR="00135454">
        <w:t>, kā arī 109. un sekojošie panti par pārmaksas atmaksu</w:t>
      </w:r>
      <w:r>
        <w:t>)</w:t>
      </w:r>
      <w:r w:rsidR="009A6FC3" w:rsidRPr="009A6FC3">
        <w:t>.</w:t>
      </w:r>
    </w:p>
    <w:p w14:paraId="7236A9A8" w14:textId="179FD3A2" w:rsidR="00305234" w:rsidRDefault="00305234" w:rsidP="00F223CC">
      <w:pPr>
        <w:pStyle w:val="Default"/>
        <w:spacing w:line="276" w:lineRule="auto"/>
        <w:ind w:firstLine="720"/>
        <w:jc w:val="both"/>
      </w:pPr>
      <w:r>
        <w:t>Lai arī nodokļ</w:t>
      </w:r>
      <w:r w:rsidR="00135454">
        <w:t>a</w:t>
      </w:r>
      <w:r>
        <w:t xml:space="preserve"> maksātāja saistības pret budžetu var veidoties gan ar plusa, gan mīnusa zīmi, to pamats ir noteikti darījumi. Ikviena darījuma izslēgšana no aprēķina, samazinot atskaitāmo priekšnodokli, vienlīdz nelabvēlīgi izmaina nodokļu maksātāja tiesisko situāciju. Tas, vai tādējādi tiek palielinātas nodokļa maksātāja saistības pret valsts budžetu vai samazinātas valsts budžeta saistības pret nodokļa maksātāju</w:t>
      </w:r>
      <w:r w:rsidR="003F3B37">
        <w:t xml:space="preserve"> pārmaksas </w:t>
      </w:r>
      <w:r w:rsidR="001634A8">
        <w:t xml:space="preserve">atmaksas </w:t>
      </w:r>
      <w:r w:rsidR="003F3B37">
        <w:t>atteikuma gadījumā</w:t>
      </w:r>
      <w:r>
        <w:t>, būtībā nav izšķiroši, novērtējot lēmuma nelabvēlīgo ietekmi uz nodokļa maksātāja tiesībām.</w:t>
      </w:r>
    </w:p>
    <w:p w14:paraId="59686825" w14:textId="77777777" w:rsidR="009A6FC3" w:rsidRDefault="009A6FC3" w:rsidP="00F223CC">
      <w:pPr>
        <w:pStyle w:val="Default"/>
        <w:spacing w:line="276" w:lineRule="auto"/>
        <w:ind w:firstLine="720"/>
        <w:jc w:val="both"/>
      </w:pPr>
    </w:p>
    <w:p w14:paraId="12184B6C" w14:textId="53FEBB83" w:rsidR="00305234" w:rsidRDefault="009A6FC3" w:rsidP="00F223CC">
      <w:pPr>
        <w:pStyle w:val="Default"/>
        <w:spacing w:line="276" w:lineRule="auto"/>
        <w:ind w:firstLine="720"/>
        <w:jc w:val="both"/>
      </w:pPr>
      <w:r>
        <w:t>[</w:t>
      </w:r>
      <w:r w:rsidR="003F3B37">
        <w:t>1</w:t>
      </w:r>
      <w:r w:rsidR="0097463B">
        <w:t>4</w:t>
      </w:r>
      <w:r>
        <w:t xml:space="preserve">] </w:t>
      </w:r>
      <w:r w:rsidR="00305234">
        <w:t xml:space="preserve">Gan no likuma „Par nodokļiem un nodevām” 28.panta otrās daļas, gan no Pievienotās vērtības nodokļa likuma 109.panta pirmās daļas var secināt, ka gadījumā, ja izveidojusies nodokļu pārmaksa, Valsts </w:t>
      </w:r>
      <w:r w:rsidR="001634A8">
        <w:t>ieņēmumu</w:t>
      </w:r>
      <w:r w:rsidR="00305234">
        <w:t xml:space="preserve"> dienests var veikt pārbaudi attiecībā uz tās pamatotību un lemt par pārmaksas „apstiprināšanu”.</w:t>
      </w:r>
    </w:p>
    <w:p w14:paraId="0C3DEC8E" w14:textId="606C3253" w:rsidR="009A6FC3" w:rsidRDefault="002C0500" w:rsidP="00F223CC">
      <w:pPr>
        <w:pStyle w:val="Default"/>
        <w:spacing w:line="276" w:lineRule="auto"/>
        <w:ind w:firstLine="720"/>
        <w:jc w:val="both"/>
      </w:pPr>
      <w:r>
        <w:t xml:space="preserve">Tomēr, ievērojot iepriekš izklāstīto, </w:t>
      </w:r>
      <w:r w:rsidR="009A6FC3" w:rsidRPr="009A6FC3">
        <w:t>Valsts ieņēmumu dienests, neapstiprinot</w:t>
      </w:r>
      <w:r w:rsidR="00135454">
        <w:t xml:space="preserve"> un neatmaksājot</w:t>
      </w:r>
      <w:r w:rsidR="009A6FC3" w:rsidRPr="009A6FC3">
        <w:t xml:space="preserve"> pārmaks</w:t>
      </w:r>
      <w:r w:rsidR="00135454">
        <w:t>u</w:t>
      </w:r>
      <w:r w:rsidR="009A6FC3">
        <w:t xml:space="preserve"> atbilstoši likuma „Par nodokļiem un nodevām” 28.panta otrajai daļai</w:t>
      </w:r>
      <w:r w:rsidR="009A6FC3" w:rsidRPr="009A6FC3">
        <w:t>, būtībā nevis atsak</w:t>
      </w:r>
      <w:r w:rsidR="001634A8">
        <w:t>a</w:t>
      </w:r>
      <w:r w:rsidR="009A6FC3" w:rsidRPr="009A6FC3">
        <w:t xml:space="preserve"> izdot labvēlīgu administratīvo aktu par tiesībām uz pārmaksas </w:t>
      </w:r>
      <w:r w:rsidR="009A6FC3" w:rsidRPr="009A6FC3">
        <w:lastRenderedPageBreak/>
        <w:t>atmaksu (šādas tiesības nodokļu maksātājam pastāv jau uz darījumu un deklarāciju pamata), bet gan izdod nelabvēlīgu administratīvo aktu, ar kuru atsak</w:t>
      </w:r>
      <w:r w:rsidR="001634A8">
        <w:t>a</w:t>
      </w:r>
      <w:r w:rsidR="009A6FC3" w:rsidRPr="009A6FC3">
        <w:t xml:space="preserve"> atzīt un īstenot šīs tiesības.</w:t>
      </w:r>
    </w:p>
    <w:p w14:paraId="6618CE18" w14:textId="77777777" w:rsidR="00D70165" w:rsidRDefault="00D70165" w:rsidP="00F223CC">
      <w:pPr>
        <w:pStyle w:val="Default"/>
        <w:spacing w:line="276" w:lineRule="auto"/>
        <w:ind w:firstLine="720"/>
        <w:jc w:val="both"/>
      </w:pPr>
    </w:p>
    <w:p w14:paraId="11E42A95" w14:textId="528ED4DD" w:rsidR="00D70165" w:rsidRDefault="00D70165" w:rsidP="00F223CC">
      <w:pPr>
        <w:pStyle w:val="Default"/>
        <w:spacing w:line="276" w:lineRule="auto"/>
        <w:ind w:firstLine="720"/>
        <w:jc w:val="both"/>
      </w:pPr>
      <w:r>
        <w:t>[</w:t>
      </w:r>
      <w:r w:rsidR="003F3B37">
        <w:t>1</w:t>
      </w:r>
      <w:r w:rsidR="0097463B">
        <w:t>5</w:t>
      </w:r>
      <w:r>
        <w:t>] Minēto apstiprina likuma „Par nodokļiem un nodevām” 25.</w:t>
      </w:r>
      <w:r w:rsidRPr="00E37F34">
        <w:rPr>
          <w:vertAlign w:val="superscript"/>
        </w:rPr>
        <w:t>1</w:t>
      </w:r>
      <w:r>
        <w:t>pants, kas paredz, ka p</w:t>
      </w:r>
      <w:r w:rsidRPr="00D70165">
        <w:t>ārmaksātās nodokļu summas</w:t>
      </w:r>
      <w:r>
        <w:t xml:space="preserve"> dzēš</w:t>
      </w:r>
      <w:r w:rsidRPr="00D70165">
        <w:t>, ja Valsts ieņēmumu dienests pieņēmis lēmumu atteikt pārmaksātās nodokļu summas atmaksāšanu un minētais lēmums stājies spēkā un kļuvis neapstrīdams, vai stājies spēkā attiecīgs tiesas nolēmums</w:t>
      </w:r>
      <w:r>
        <w:t>.</w:t>
      </w:r>
    </w:p>
    <w:p w14:paraId="4B198DDB" w14:textId="5AD02DDA" w:rsidR="00D70165" w:rsidRDefault="00D70165" w:rsidP="00F223CC">
      <w:pPr>
        <w:pStyle w:val="Default"/>
        <w:spacing w:line="276" w:lineRule="auto"/>
        <w:ind w:firstLine="720"/>
        <w:jc w:val="both"/>
      </w:pPr>
      <w:r>
        <w:t xml:space="preserve">Šī norma neapšaubāmi norāda uz lēmuma par pārmaksas </w:t>
      </w:r>
      <w:r w:rsidR="00135454">
        <w:t>neapstiprināšanu un ne</w:t>
      </w:r>
      <w:r>
        <w:t>atmaks</w:t>
      </w:r>
      <w:r w:rsidR="00135454">
        <w:t>āšanu</w:t>
      </w:r>
      <w:r>
        <w:t xml:space="preserve"> kā nelabvēlīga administratīvā akta dabu, proti, </w:t>
      </w:r>
      <w:r w:rsidR="00135454">
        <w:t xml:space="preserve">pievienotās vērtības nodokļa gadījumā </w:t>
      </w:r>
      <w:r>
        <w:t xml:space="preserve">ar to vien tiek neatgriezeniski izbeigtas nodokļa maksātāja tiesības uz priekšnodokļa atskaitīšanu </w:t>
      </w:r>
      <w:r w:rsidR="00134496">
        <w:t xml:space="preserve">(kas veido nodokļa maksātāja prasījumu pret valsti) </w:t>
      </w:r>
      <w:r>
        <w:t>deklarēt</w:t>
      </w:r>
      <w:r w:rsidR="002C0500">
        <w:t>a</w:t>
      </w:r>
      <w:r>
        <w:t>jā apjomā.</w:t>
      </w:r>
      <w:r w:rsidR="00134496">
        <w:t xml:space="preserve"> Tās ir tieši tādas pašas sekas kā </w:t>
      </w:r>
      <w:r w:rsidR="002C0500">
        <w:t xml:space="preserve">audita </w:t>
      </w:r>
      <w:r w:rsidR="00134496">
        <w:t>gadījumā.</w:t>
      </w:r>
    </w:p>
    <w:p w14:paraId="53A45775" w14:textId="77777777" w:rsidR="00041F45" w:rsidRDefault="00041F45" w:rsidP="00F223CC">
      <w:pPr>
        <w:pStyle w:val="Default"/>
        <w:spacing w:line="276" w:lineRule="auto"/>
        <w:ind w:firstLine="720"/>
        <w:jc w:val="both"/>
      </w:pPr>
    </w:p>
    <w:p w14:paraId="13FBF0C5" w14:textId="3CD2F998" w:rsidR="00116ACD" w:rsidRDefault="00041F45" w:rsidP="00F223CC">
      <w:pPr>
        <w:pStyle w:val="Default"/>
        <w:spacing w:line="276" w:lineRule="auto"/>
        <w:ind w:firstLine="720"/>
        <w:jc w:val="both"/>
      </w:pPr>
      <w:r>
        <w:t>[</w:t>
      </w:r>
      <w:r w:rsidR="003F3B37">
        <w:t>1</w:t>
      </w:r>
      <w:r w:rsidR="0097463B">
        <w:t>6</w:t>
      </w:r>
      <w:r>
        <w:t xml:space="preserve">] Tieši tādēļ neatkarīgi no tā, vai ar priekšnodokļa </w:t>
      </w:r>
      <w:r w:rsidR="00E37F34">
        <w:t xml:space="preserve">atskaitīšanas </w:t>
      </w:r>
      <w:r>
        <w:t xml:space="preserve">tiesību liegumu ir pamatots lēmums par papildu nodokļa aprēķinu vai nodokļa pārmaksas </w:t>
      </w:r>
      <w:r w:rsidR="00135454">
        <w:t xml:space="preserve">apstiprināšanas un </w:t>
      </w:r>
      <w:r>
        <w:t xml:space="preserve">atmaksas atteikums, Valsts ieņēmumu dienestam tas ir jāuztver kā nodokļa maksātājam piemītošu un likumā noteikti paredzētu tiesību liegšana, kas ir pamatojama kā nelabvēlīgs administratīvais akts. </w:t>
      </w:r>
    </w:p>
    <w:p w14:paraId="3B8A5E2C" w14:textId="77777777" w:rsidR="002C0500" w:rsidRDefault="002C0500" w:rsidP="00F223CC">
      <w:pPr>
        <w:pStyle w:val="Default"/>
        <w:spacing w:line="276" w:lineRule="auto"/>
        <w:ind w:firstLine="720"/>
        <w:jc w:val="both"/>
      </w:pPr>
    </w:p>
    <w:p w14:paraId="619A96D4" w14:textId="08A3AEAE" w:rsidR="00116ACD" w:rsidRDefault="002C0500" w:rsidP="00F223CC">
      <w:pPr>
        <w:pStyle w:val="Default"/>
        <w:spacing w:line="276" w:lineRule="auto"/>
        <w:ind w:firstLine="720"/>
        <w:jc w:val="both"/>
      </w:pPr>
      <w:r>
        <w:t>[1</w:t>
      </w:r>
      <w:r w:rsidR="0097463B">
        <w:t>7</w:t>
      </w:r>
      <w:r>
        <w:t>] G</w:t>
      </w:r>
      <w:r w:rsidR="00116ACD">
        <w:t xml:space="preserve">adījumos, kad Valsts ieņēmumu dienests atbilstoši likuma „Par nodokļiem un nodevām” 28.panta otrajai daļai neapstiprina pārmaksas atmaksu, </w:t>
      </w:r>
      <w:r>
        <w:t xml:space="preserve">arī </w:t>
      </w:r>
      <w:r w:rsidR="00116ACD">
        <w:t xml:space="preserve">pieteikuma priekšmets </w:t>
      </w:r>
      <w:r>
        <w:t xml:space="preserve">tiesā </w:t>
      </w:r>
      <w:r w:rsidR="00116ACD">
        <w:t xml:space="preserve">tikai pēc ārējās </w:t>
      </w:r>
      <w:r w:rsidR="00E37F34">
        <w:t xml:space="preserve">procesuālās </w:t>
      </w:r>
      <w:r w:rsidR="00116ACD">
        <w:t xml:space="preserve">formas ir par labvēlīga administratīvā akta izdošanu. Būtībā tas ir prasījums </w:t>
      </w:r>
      <w:r w:rsidR="006E13D8">
        <w:t>Valsts ieņēmumu dienestam neierobežot personai piemītošās tiesības un izpildīt no deklarācijām izrietošās saistības, un nodokļ</w:t>
      </w:r>
      <w:r w:rsidR="00715A18">
        <w:t>a</w:t>
      </w:r>
      <w:r w:rsidR="006E13D8">
        <w:t xml:space="preserve"> maksātājs vēršas tiesā, lai </w:t>
      </w:r>
      <w:r w:rsidR="00116ACD">
        <w:t>pārbaudī</w:t>
      </w:r>
      <w:r w:rsidR="006E13D8">
        <w:t>tu</w:t>
      </w:r>
      <w:r w:rsidR="00116ACD">
        <w:t xml:space="preserve"> Valsts ieņēmumu dienesta pamatojumu pārmaksas </w:t>
      </w:r>
      <w:r w:rsidR="00135454">
        <w:t xml:space="preserve">neapstiprināšanai </w:t>
      </w:r>
      <w:r w:rsidR="006E13D8">
        <w:t>(nelabvēlīgam lēmumam). V</w:t>
      </w:r>
      <w:r w:rsidR="00116ACD">
        <w:t>ēl vispārīgāk</w:t>
      </w:r>
      <w:r w:rsidR="006E13D8">
        <w:t xml:space="preserve"> to var formulēt kā</w:t>
      </w:r>
      <w:r w:rsidR="00116ACD">
        <w:t xml:space="preserve"> prasījum</w:t>
      </w:r>
      <w:r w:rsidR="006E13D8">
        <w:t>u</w:t>
      </w:r>
      <w:r w:rsidR="00116ACD">
        <w:t xml:space="preserve"> atdot personas īpašumu, kura neatdošanas pamatojums arī ir vienīgais strīdus priekšmets tiesā.</w:t>
      </w:r>
      <w:r w:rsidR="009A6FC3">
        <w:t xml:space="preserve"> </w:t>
      </w:r>
    </w:p>
    <w:p w14:paraId="13C75162" w14:textId="77777777" w:rsidR="009A6FC3" w:rsidRDefault="009A6FC3" w:rsidP="00F223CC">
      <w:pPr>
        <w:pStyle w:val="Default"/>
        <w:spacing w:line="276" w:lineRule="auto"/>
        <w:ind w:firstLine="720"/>
        <w:jc w:val="both"/>
      </w:pPr>
    </w:p>
    <w:p w14:paraId="1D087315" w14:textId="25439FB9" w:rsidR="00FF50F5" w:rsidRDefault="00134496" w:rsidP="00F223CC">
      <w:pPr>
        <w:pStyle w:val="Default"/>
        <w:spacing w:line="276" w:lineRule="auto"/>
        <w:ind w:firstLine="720"/>
        <w:jc w:val="both"/>
      </w:pPr>
      <w:r>
        <w:t>[</w:t>
      </w:r>
      <w:r w:rsidR="0097463B">
        <w:t>18</w:t>
      </w:r>
      <w:r>
        <w:t>] Tas nozīmē, ka t</w:t>
      </w:r>
      <w:r w:rsidR="00C90129">
        <w:t xml:space="preserve">iesa ir ierobežota vērtēt tādu pamatojumu priekšnodokļa atskaitīšanas tiesību liegšanai, kas nav norādīts administratīvajā aktā. </w:t>
      </w:r>
      <w:r w:rsidR="00B14284">
        <w:t>Arī ja</w:t>
      </w:r>
      <w:r w:rsidR="00C90129">
        <w:t xml:space="preserve"> </w:t>
      </w:r>
      <w:r w:rsidR="002139A9">
        <w:t>procesuāli lieta</w:t>
      </w:r>
      <w:r w:rsidR="00C90129">
        <w:t xml:space="preserve"> ir par labvēlīga administratīvā akta izdošanu par tiesībām uz pārmaksas </w:t>
      </w:r>
      <w:r w:rsidR="00135454">
        <w:t>apstiprināšanu</w:t>
      </w:r>
      <w:r w:rsidR="00C90129">
        <w:t>, tiesai</w:t>
      </w:r>
      <w:r w:rsidR="00B14284">
        <w:t xml:space="preserve"> nav</w:t>
      </w:r>
      <w:r w:rsidR="00C90129">
        <w:t xml:space="preserve"> pašai pēc savas iniciatīvas </w:t>
      </w:r>
      <w:r w:rsidR="00B14284">
        <w:t>jā</w:t>
      </w:r>
      <w:r w:rsidR="00C90129">
        <w:t>pārbaud</w:t>
      </w:r>
      <w:r w:rsidR="00B14284">
        <w:t>a</w:t>
      </w:r>
      <w:r w:rsidR="00C90129">
        <w:t xml:space="preserve"> vis</w:t>
      </w:r>
      <w:r w:rsidR="00B14284">
        <w:t>i</w:t>
      </w:r>
      <w:r w:rsidR="00C90129">
        <w:t xml:space="preserve"> iespējam</w:t>
      </w:r>
      <w:r w:rsidR="00B14284">
        <w:t>ie</w:t>
      </w:r>
      <w:r w:rsidR="00C90129">
        <w:t xml:space="preserve"> šķēršļ</w:t>
      </w:r>
      <w:r w:rsidR="00B14284">
        <w:t>i</w:t>
      </w:r>
      <w:r w:rsidR="00C90129">
        <w:t>, kas varētu būt tiesīb</w:t>
      </w:r>
      <w:r w:rsidR="001634A8">
        <w:t>u</w:t>
      </w:r>
      <w:r w:rsidR="00C90129">
        <w:t xml:space="preserve"> atskaitīt priekšnodokli</w:t>
      </w:r>
      <w:r w:rsidR="001634A8">
        <w:t xml:space="preserve"> īstenošanai</w:t>
      </w:r>
      <w:r>
        <w:t xml:space="preserve">. </w:t>
      </w:r>
      <w:r w:rsidR="001634A8">
        <w:t>Tiesas</w:t>
      </w:r>
      <w:r w:rsidR="003027CC" w:rsidRPr="003027CC">
        <w:t xml:space="preserve"> pārbaudes apjoma robežas </w:t>
      </w:r>
      <w:r w:rsidR="003027CC">
        <w:t xml:space="preserve">tieši attiecībā uz priekšnodokļa atskaitīšanas tiesībām </w:t>
      </w:r>
      <w:r w:rsidR="003027CC" w:rsidRPr="003027CC">
        <w:t>nosaka Valsts ieņēmumu dienesta lēmumā norādītais pamatojums</w:t>
      </w:r>
      <w:r w:rsidR="00C90129">
        <w:t>.</w:t>
      </w:r>
      <w:r w:rsidR="00B14284">
        <w:t xml:space="preserve"> Piemēram, ja lēmumā atteikt </w:t>
      </w:r>
      <w:r w:rsidR="00135454">
        <w:t xml:space="preserve">apstiprināt un </w:t>
      </w:r>
      <w:r w:rsidR="00B14284">
        <w:t xml:space="preserve">atmaksāt nodokļa pārmaksu Valsts ieņēmumu dienests </w:t>
      </w:r>
      <w:r w:rsidR="00653342">
        <w:t xml:space="preserve">kā vienīgo pamatojumu </w:t>
      </w:r>
      <w:r w:rsidR="00B14284">
        <w:t xml:space="preserve">ir norādījis, ka </w:t>
      </w:r>
      <w:r w:rsidR="00135454">
        <w:t>pārmaksas apstiprināšana un atmaksa</w:t>
      </w:r>
      <w:r w:rsidR="00B14284">
        <w:t xml:space="preserve"> tiek atteikta tādēļ, ka dienests ir konstatējis darījuma saistību ar ļaunprātīgu pievienotās vērtības sistēmas izmantošanu un attiecīgi ir liedzamas priekšnodokļa atskaitīšanas tiesības par šo darījumu, tad šā apstākļa neapstiprināšanās gadījumā tiesai nav </w:t>
      </w:r>
      <w:r w:rsidR="00797323">
        <w:t>pamata</w:t>
      </w:r>
      <w:r w:rsidR="00B14284">
        <w:t xml:space="preserve"> pārbaudīt</w:t>
      </w:r>
      <w:r w:rsidR="00653342">
        <w:t xml:space="preserve"> to, vai priekšnodokļa atskaitīšanas tiesības nebūtu liedzamas, piemēram, tādēļ, ka darījumiem nav saiknes ar nodokļu maksātāja saimniecisko darbību. Tas pēc būtības būtu atšķirīgs pamatojums nelabvēlīgam administratīvajam aktam par tiesību uz priekšnodokļa atskaitīšanu liegšanu.</w:t>
      </w:r>
    </w:p>
    <w:p w14:paraId="0322BB22" w14:textId="479C4CF4" w:rsidR="00952D0B" w:rsidRDefault="00952D0B" w:rsidP="00F223CC">
      <w:pPr>
        <w:pStyle w:val="Default"/>
        <w:spacing w:line="276" w:lineRule="auto"/>
        <w:ind w:firstLine="720"/>
        <w:jc w:val="both"/>
      </w:pPr>
      <w:r>
        <w:lastRenderedPageBreak/>
        <w:t xml:space="preserve">Turklāt jāievēro, ka gadījumā, ja lēmums par pārmaksas </w:t>
      </w:r>
      <w:r w:rsidR="00135454">
        <w:t xml:space="preserve">neapstiprināšanu un neatmaksāšanu </w:t>
      </w:r>
      <w:r>
        <w:t xml:space="preserve">nav pieņemts audita rezultātā, tad arī tiesai nav jāveic izmeklēšana tādā apjomā un dziļumā, kas būtībā aizvietotu auditu, kuru Valsts ieņēmumu dienests nav veicis. </w:t>
      </w:r>
    </w:p>
    <w:p w14:paraId="02C6BBF7" w14:textId="1F906FEE" w:rsidR="00952D0B" w:rsidRDefault="004349C8" w:rsidP="00F223CC">
      <w:pPr>
        <w:pStyle w:val="Default"/>
        <w:spacing w:line="276" w:lineRule="auto"/>
        <w:ind w:firstLine="720"/>
        <w:jc w:val="both"/>
      </w:pPr>
      <w:r>
        <w:t xml:space="preserve">Tikai tad, ja </w:t>
      </w:r>
      <w:r w:rsidR="00FF50F5">
        <w:t xml:space="preserve">tiesas izmeklēšanā </w:t>
      </w:r>
      <w:r>
        <w:t xml:space="preserve">apstiprinās Valsts ieņēmuma dienesta pamatojums priekšnodokļa atskaitīšanas tiesību liegšanai, tas var būt pamats </w:t>
      </w:r>
      <w:r w:rsidR="003027CC">
        <w:t>neatcelt administratīvo aktu</w:t>
      </w:r>
      <w:r>
        <w:t xml:space="preserve">. </w:t>
      </w:r>
    </w:p>
    <w:p w14:paraId="2FE5FA3B" w14:textId="11E48615" w:rsidR="00E562A1" w:rsidRDefault="003027CC" w:rsidP="00F223CC">
      <w:pPr>
        <w:pStyle w:val="Default"/>
        <w:spacing w:line="276" w:lineRule="auto"/>
        <w:ind w:firstLine="720"/>
        <w:jc w:val="both"/>
      </w:pPr>
      <w:r>
        <w:t>S</w:t>
      </w:r>
      <w:r w:rsidR="004349C8">
        <w:t xml:space="preserve">avukārt </w:t>
      </w:r>
      <w:r>
        <w:t xml:space="preserve">ja </w:t>
      </w:r>
      <w:r w:rsidR="004349C8">
        <w:t>priekšnodokļa atskaitīšanas tiesības liegtas nepamatoti</w:t>
      </w:r>
      <w:r w:rsidR="00FF50F5">
        <w:t xml:space="preserve"> un tādējādi atkrīt tas šķērslis </w:t>
      </w:r>
      <w:r w:rsidR="00134496">
        <w:t xml:space="preserve">pārmaksas </w:t>
      </w:r>
      <w:r w:rsidR="00135454">
        <w:t>apstiprināšanai</w:t>
      </w:r>
      <w:r w:rsidR="00FF50F5">
        <w:t>, ko Valsts ieņēmumu dienests bija norādījis</w:t>
      </w:r>
      <w:r w:rsidR="00134496">
        <w:t xml:space="preserve">, tiesai ir pamats ar spriedumu uzlikt pienākumu Valsts ieņēmumu dienestam </w:t>
      </w:r>
      <w:r w:rsidR="001634A8">
        <w:t>apstiprināt</w:t>
      </w:r>
      <w:r w:rsidR="00134496">
        <w:t xml:space="preserve"> pārmaksu.</w:t>
      </w:r>
    </w:p>
    <w:p w14:paraId="04C44CA2" w14:textId="77777777" w:rsidR="00134496" w:rsidRDefault="00134496" w:rsidP="00F223CC">
      <w:pPr>
        <w:pStyle w:val="Default"/>
        <w:spacing w:line="276" w:lineRule="auto"/>
        <w:ind w:firstLine="720"/>
        <w:jc w:val="both"/>
      </w:pPr>
    </w:p>
    <w:p w14:paraId="54F3AE43" w14:textId="036E1E01" w:rsidR="00134496" w:rsidRDefault="00134496" w:rsidP="00F223CC">
      <w:pPr>
        <w:pStyle w:val="Default"/>
        <w:spacing w:line="276" w:lineRule="auto"/>
        <w:ind w:firstLine="720"/>
        <w:jc w:val="both"/>
      </w:pPr>
      <w:r>
        <w:t>[</w:t>
      </w:r>
      <w:r w:rsidR="0097463B">
        <w:t>19</w:t>
      </w:r>
      <w:r>
        <w:t>]</w:t>
      </w:r>
      <w:r w:rsidR="00952D0B">
        <w:t xml:space="preserve"> L</w:t>
      </w:r>
      <w:r>
        <w:t>ikuma „Par nodokļiem un nodevām” 28.panta 2.</w:t>
      </w:r>
      <w:r w:rsidRPr="00134496">
        <w:rPr>
          <w:vertAlign w:val="superscript"/>
        </w:rPr>
        <w:t>2</w:t>
      </w:r>
      <w:r>
        <w:t>daļa paredz, ka š</w:t>
      </w:r>
      <w:r w:rsidRPr="00134496">
        <w:t>ā panta otrajā daļā minētās pārbaudes veikšana neierobežo nodokļu administrācijas tiesības nodokļu revīzijas (audita) rezultātā precizēt pārmaksāto nodokļu summas, kuras nodokļu maksātājam ir atmaksātas vai novirzītas nokavēto vai kārtējo nodokļu maksājumu segšanai.</w:t>
      </w:r>
      <w:r w:rsidR="003F3B37" w:rsidRPr="003F3B37">
        <w:t xml:space="preserve"> </w:t>
      </w:r>
      <w:r w:rsidR="00E37F34">
        <w:t xml:space="preserve">Tātad pārbaudes veikšana, lemjot par nodokļu pārmaksas </w:t>
      </w:r>
      <w:r w:rsidR="00135454">
        <w:t>apstiprināšanu</w:t>
      </w:r>
      <w:r w:rsidR="00E37F34">
        <w:t>, nerada tiesisko paļāvību uz šīs pārbaudes rezultātu. Tas savukārt nozīmē, ka</w:t>
      </w:r>
      <w:r w:rsidR="003F3B37">
        <w:t xml:space="preserve"> arī tiesas spriedums lietā, kurā tiek pārbaudīta tikai konkrētā pārmaksas</w:t>
      </w:r>
      <w:r w:rsidR="00E37F34">
        <w:t xml:space="preserve"> </w:t>
      </w:r>
      <w:r w:rsidR="00135454">
        <w:t>neapstiprināšanas lēmuma</w:t>
      </w:r>
      <w:r w:rsidR="003F3B37">
        <w:t xml:space="preserve"> pamatotība, nevar ierobežot Valsts ieņēmumu dienesta tiesības veikt auditu un pienācīgā procesā precizēt nodokļu maksātāja nodokļu apmēru.</w:t>
      </w:r>
    </w:p>
    <w:p w14:paraId="4193D2E2" w14:textId="7EAF689D" w:rsidR="00952D0B" w:rsidRDefault="00E37F34" w:rsidP="00F223CC">
      <w:pPr>
        <w:pStyle w:val="Default"/>
        <w:spacing w:line="276" w:lineRule="auto"/>
        <w:ind w:firstLine="720"/>
        <w:jc w:val="both"/>
      </w:pPr>
      <w:r>
        <w:t>No tā izriet</w:t>
      </w:r>
      <w:r w:rsidR="003F3B37">
        <w:t>, ka</w:t>
      </w:r>
      <w:r w:rsidR="00952D0B">
        <w:t xml:space="preserve"> Valsts ieņēmumu dienests</w:t>
      </w:r>
      <w:r w:rsidR="003F3B37">
        <w:t xml:space="preserve">, jau veicot pārbaudi par nodokļa pārmaksas </w:t>
      </w:r>
      <w:r w:rsidR="00135454">
        <w:t>pamatotību</w:t>
      </w:r>
      <w:r w:rsidR="003F3B37">
        <w:t>,</w:t>
      </w:r>
      <w:r w:rsidR="00952D0B">
        <w:t xml:space="preserve"> vai </w:t>
      </w:r>
      <w:r w:rsidR="003F3B37">
        <w:t xml:space="preserve">arī </w:t>
      </w:r>
      <w:r w:rsidR="00952D0B">
        <w:t>pēc tam, tostarp tiesas procesa laikā vai pat pēc tiesas sprieduma</w:t>
      </w:r>
      <w:r w:rsidR="003F3B37">
        <w:t xml:space="preserve"> (ja to pieļauj likumā noteiktie termiņi)</w:t>
      </w:r>
      <w:r w:rsidR="00952D0B">
        <w:t xml:space="preserve">, </w:t>
      </w:r>
      <w:r w:rsidR="003F3B37">
        <w:t xml:space="preserve">var nonākt pie secinājuma, </w:t>
      </w:r>
      <w:r w:rsidR="00952D0B">
        <w:t>ka nepieciešama rūpīgāka lietas apstākļu noskaidrošana</w:t>
      </w:r>
      <w:r w:rsidR="003F3B37">
        <w:t xml:space="preserve"> auditā</w:t>
      </w:r>
      <w:r w:rsidR="00952D0B">
        <w:t xml:space="preserve">. </w:t>
      </w:r>
      <w:r w:rsidR="003F3B37">
        <w:t>Tādā gadījumā dienestam nav šķēršļu veikt auditu un pilnībā izvērtēt nodokļ</w:t>
      </w:r>
      <w:r w:rsidR="00715A18">
        <w:t>a</w:t>
      </w:r>
      <w:r w:rsidR="003F3B37">
        <w:t xml:space="preserve"> maksātāja nodokļu saistības.</w:t>
      </w:r>
    </w:p>
    <w:p w14:paraId="1D5EE1FF" w14:textId="77777777" w:rsidR="00134496" w:rsidRDefault="00134496" w:rsidP="00F223CC">
      <w:pPr>
        <w:pStyle w:val="Default"/>
        <w:spacing w:line="276" w:lineRule="auto"/>
        <w:ind w:firstLine="720"/>
        <w:jc w:val="both"/>
      </w:pPr>
    </w:p>
    <w:p w14:paraId="6D5819DB" w14:textId="3675AF1B" w:rsidR="00E562A1" w:rsidRDefault="00FF50F5" w:rsidP="00F223CC">
      <w:pPr>
        <w:pStyle w:val="Default"/>
        <w:spacing w:line="276" w:lineRule="auto"/>
        <w:ind w:firstLine="720"/>
        <w:jc w:val="both"/>
      </w:pPr>
      <w:r>
        <w:t>[</w:t>
      </w:r>
      <w:r w:rsidR="003F3B37">
        <w:t>2</w:t>
      </w:r>
      <w:r w:rsidR="0097463B">
        <w:t>0</w:t>
      </w:r>
      <w:r>
        <w:t xml:space="preserve">] </w:t>
      </w:r>
      <w:r w:rsidR="003F5166" w:rsidRPr="003F5166">
        <w:t>Konkrētajā gadījumā, kad Valsts ieņēmumu dienesta administratīva</w:t>
      </w:r>
      <w:r>
        <w:t>jā</w:t>
      </w:r>
      <w:r w:rsidR="003F5166" w:rsidRPr="003F5166">
        <w:t xml:space="preserve"> aktā nav detalizēta apstākļu izvērtējuma par pieteicēja iekārtu atsavināšanas darījumiem, </w:t>
      </w:r>
      <w:r w:rsidR="00653342">
        <w:t>savukārt</w:t>
      </w:r>
      <w:r w:rsidR="003F5166" w:rsidRPr="003F5166">
        <w:t xml:space="preserve"> pieteicēj</w:t>
      </w:r>
      <w:r w:rsidR="000C1D16">
        <w:t>s</w:t>
      </w:r>
      <w:r w:rsidR="003F5166" w:rsidRPr="003F5166">
        <w:t xml:space="preserve"> dienestam ir snie</w:t>
      </w:r>
      <w:r w:rsidR="000C1D16">
        <w:t>dzis</w:t>
      </w:r>
      <w:r w:rsidR="003F5166" w:rsidRPr="003F5166">
        <w:t xml:space="preserve"> pierādījumus</w:t>
      </w:r>
      <w:r w:rsidR="00797323">
        <w:t xml:space="preserve">, </w:t>
      </w:r>
      <w:r w:rsidR="003F5166" w:rsidRPr="003F5166">
        <w:t xml:space="preserve">tiesai bija pienākums šos apstākļus </w:t>
      </w:r>
      <w:r w:rsidR="00653342">
        <w:t>pārbaudīt atbilstoši tam pamatojumam, kas bija ietverts Valsts ieņēmumu dienesta lēmumā</w:t>
      </w:r>
      <w:r w:rsidR="003F5166" w:rsidRPr="003F5166">
        <w:t xml:space="preserve">. </w:t>
      </w:r>
      <w:r w:rsidR="00653342">
        <w:t xml:space="preserve">Tā kā pieteicēja sniegtais skaidrojums </w:t>
      </w:r>
      <w:r w:rsidR="00797323">
        <w:t xml:space="preserve">(iebildumi) </w:t>
      </w:r>
      <w:r w:rsidR="00653342">
        <w:t>pat nav pienācīgi pārbaudīts</w:t>
      </w:r>
      <w:r w:rsidR="00797323">
        <w:t xml:space="preserve"> iepretim Valsts ieņēmumu dienesta pamatojumam</w:t>
      </w:r>
      <w:r w:rsidR="00653342">
        <w:t xml:space="preserve">, </w:t>
      </w:r>
      <w:r w:rsidR="003F5166" w:rsidRPr="003F5166">
        <w:t>var piekrist pieteicēja</w:t>
      </w:r>
      <w:r w:rsidR="00794A64">
        <w:t>m</w:t>
      </w:r>
      <w:r w:rsidR="003F5166" w:rsidRPr="003F5166">
        <w:t>, ka konkrētajā gadījumā nav ievērots objektīvās izmeklēšanas princips.</w:t>
      </w:r>
    </w:p>
    <w:p w14:paraId="5F7D9A3C" w14:textId="5BD47B65" w:rsidR="005718E1" w:rsidRDefault="005718E1" w:rsidP="00F223CC">
      <w:pPr>
        <w:spacing w:line="276" w:lineRule="auto"/>
        <w:ind w:firstLine="720"/>
        <w:jc w:val="both"/>
      </w:pPr>
    </w:p>
    <w:p w14:paraId="122AAB9A" w14:textId="276D4F27" w:rsidR="00C40453" w:rsidRDefault="00C40453" w:rsidP="00F223CC">
      <w:pPr>
        <w:spacing w:line="276" w:lineRule="auto"/>
        <w:ind w:firstLine="720"/>
        <w:jc w:val="both"/>
        <w:rPr>
          <w:rFonts w:asciiTheme="majorBidi" w:hAnsiTheme="majorBidi" w:cstheme="majorBidi"/>
        </w:rPr>
      </w:pPr>
      <w:r>
        <w:t>[</w:t>
      </w:r>
      <w:r w:rsidR="003F3B37">
        <w:t>2</w:t>
      </w:r>
      <w:r w:rsidR="0097463B">
        <w:t>1</w:t>
      </w:r>
      <w:r>
        <w:t>]</w:t>
      </w:r>
      <w:r w:rsidR="00174A5C">
        <w:t xml:space="preserve"> </w:t>
      </w:r>
      <w:r w:rsidR="00B230C4" w:rsidRPr="00DE397A">
        <w:rPr>
          <w:rFonts w:asciiTheme="majorBidi" w:hAnsiTheme="majorBidi" w:cstheme="majorBidi"/>
        </w:rPr>
        <w:t>Ņemot vērā minēto, Senāts atzīst, ka apgabaltiesas sprieduma argumentācija liecina par nepareizu Pievienotās vērtības nodokļa likuma 92.panta pirmās daļas 1.punkta piemērošanu un procesuālo tiesību normu pārkāpumu, un tas varēja ietekmēt lietas rezultātu. Līdz ar to apgabaltiesas spriedums ir atceļams un lieta no</w:t>
      </w:r>
      <w:r w:rsidR="00794A64">
        <w:rPr>
          <w:rFonts w:asciiTheme="majorBidi" w:hAnsiTheme="majorBidi" w:cstheme="majorBidi"/>
        </w:rPr>
        <w:t>sūtāma</w:t>
      </w:r>
      <w:r w:rsidR="00B230C4" w:rsidRPr="00DE397A">
        <w:rPr>
          <w:rFonts w:asciiTheme="majorBidi" w:hAnsiTheme="majorBidi" w:cstheme="majorBidi"/>
        </w:rPr>
        <w:t xml:space="preserve"> jaunai izskatīšanai.</w:t>
      </w:r>
    </w:p>
    <w:p w14:paraId="2877C0CE" w14:textId="77777777" w:rsidR="00B230C4" w:rsidRPr="00891F52" w:rsidRDefault="00B230C4" w:rsidP="00F223CC">
      <w:pPr>
        <w:spacing w:line="276" w:lineRule="auto"/>
        <w:ind w:firstLine="720"/>
        <w:jc w:val="both"/>
      </w:pPr>
    </w:p>
    <w:p w14:paraId="46830BC2" w14:textId="77777777" w:rsidR="00974E53" w:rsidRPr="00EC00F0" w:rsidRDefault="00974E53" w:rsidP="00F223CC">
      <w:pPr>
        <w:spacing w:line="276" w:lineRule="auto"/>
        <w:contextualSpacing/>
        <w:jc w:val="center"/>
        <w:rPr>
          <w:b/>
        </w:rPr>
      </w:pPr>
      <w:r w:rsidRPr="00EC00F0">
        <w:rPr>
          <w:b/>
        </w:rPr>
        <w:t>Rezolutīvā daļa</w:t>
      </w:r>
    </w:p>
    <w:p w14:paraId="4EEFE9E9" w14:textId="77777777" w:rsidR="00206E28" w:rsidRDefault="00206E28" w:rsidP="00F223CC">
      <w:pPr>
        <w:pStyle w:val="Title"/>
        <w:spacing w:line="276" w:lineRule="auto"/>
        <w:ind w:firstLine="720"/>
        <w:jc w:val="both"/>
        <w:rPr>
          <w:sz w:val="24"/>
          <w:szCs w:val="24"/>
        </w:rPr>
      </w:pPr>
    </w:p>
    <w:p w14:paraId="7F504E52" w14:textId="77777777" w:rsidR="00907691" w:rsidRPr="007448E3" w:rsidRDefault="00907691" w:rsidP="00F223CC">
      <w:pPr>
        <w:spacing w:line="276" w:lineRule="auto"/>
        <w:ind w:firstLine="720"/>
        <w:jc w:val="both"/>
      </w:pPr>
      <w:r w:rsidRPr="007448E3">
        <w:t xml:space="preserve">Pamatojoties uz </w:t>
      </w:r>
      <w:r w:rsidRPr="007448E3">
        <w:rPr>
          <w:rFonts w:eastAsiaTheme="minorHAnsi"/>
          <w:lang w:eastAsia="en-US"/>
        </w:rPr>
        <w:t xml:space="preserve">Administratīvā procesa likuma </w:t>
      </w:r>
      <w:r w:rsidRPr="007448E3">
        <w:t>129.</w:t>
      </w:r>
      <w:r w:rsidRPr="007448E3">
        <w:rPr>
          <w:vertAlign w:val="superscript"/>
        </w:rPr>
        <w:t>1</w:t>
      </w:r>
      <w:r w:rsidRPr="007448E3">
        <w:t>panta pirmās daļas 1.punktu, 348.panta pirmās daļas 2.punktu un 351.pantu, Senāts</w:t>
      </w:r>
    </w:p>
    <w:p w14:paraId="178388A6" w14:textId="77777777" w:rsidR="00A14253" w:rsidRDefault="00A14253" w:rsidP="00F223CC">
      <w:pPr>
        <w:pStyle w:val="Title"/>
        <w:spacing w:line="276" w:lineRule="auto"/>
        <w:ind w:firstLine="720"/>
        <w:jc w:val="both"/>
        <w:rPr>
          <w:sz w:val="24"/>
          <w:szCs w:val="24"/>
        </w:rPr>
      </w:pPr>
    </w:p>
    <w:p w14:paraId="53C5D34C" w14:textId="71E43674" w:rsidR="00974E53" w:rsidRDefault="00944CB2" w:rsidP="00F223CC">
      <w:pPr>
        <w:spacing w:line="276" w:lineRule="auto"/>
        <w:contextualSpacing/>
        <w:jc w:val="center"/>
        <w:rPr>
          <w:b/>
        </w:rPr>
      </w:pPr>
      <w:r>
        <w:rPr>
          <w:b/>
        </w:rPr>
        <w:lastRenderedPageBreak/>
        <w:t>n</w:t>
      </w:r>
      <w:r w:rsidR="00974E53" w:rsidRPr="00EC00F0">
        <w:rPr>
          <w:b/>
        </w:rPr>
        <w:t>osprieda</w:t>
      </w:r>
    </w:p>
    <w:p w14:paraId="22D6CF5B" w14:textId="77777777" w:rsidR="00D7646C" w:rsidRPr="00EC00F0" w:rsidRDefault="00D7646C" w:rsidP="00F223CC">
      <w:pPr>
        <w:spacing w:line="276" w:lineRule="auto"/>
        <w:ind w:firstLine="720"/>
        <w:jc w:val="center"/>
        <w:rPr>
          <w:b/>
        </w:rPr>
      </w:pPr>
    </w:p>
    <w:p w14:paraId="2D048BB2" w14:textId="247C61F2" w:rsidR="00907691" w:rsidRDefault="00907691" w:rsidP="00F223CC">
      <w:pPr>
        <w:tabs>
          <w:tab w:val="left" w:pos="2700"/>
          <w:tab w:val="left" w:pos="6660"/>
        </w:tabs>
        <w:spacing w:line="276" w:lineRule="auto"/>
        <w:ind w:firstLine="720"/>
        <w:jc w:val="both"/>
        <w:rPr>
          <w:lang w:eastAsia="en-US"/>
        </w:rPr>
      </w:pPr>
      <w:r w:rsidRPr="00B75BCD">
        <w:t xml:space="preserve">atcelt Administratīvās apgabaltiesas 2021.gada </w:t>
      </w:r>
      <w:r w:rsidR="001437C9">
        <w:t>9</w:t>
      </w:r>
      <w:r w:rsidRPr="00B75BCD">
        <w:t>.</w:t>
      </w:r>
      <w:r w:rsidR="001437C9">
        <w:t>aprīļa</w:t>
      </w:r>
      <w:r w:rsidRPr="00B75BCD">
        <w:t xml:space="preserve"> spriedumu </w:t>
      </w:r>
      <w:r w:rsidRPr="00B75BCD">
        <w:rPr>
          <w:lang w:eastAsia="en-US"/>
        </w:rPr>
        <w:t>un nosūtīt lietu jaunai izskatīšanai Administratīvajai apgabaltiesai;</w:t>
      </w:r>
    </w:p>
    <w:p w14:paraId="0FF594E7" w14:textId="1FED8051" w:rsidR="00B75BCD" w:rsidRPr="00B75BCD" w:rsidRDefault="00B75BCD" w:rsidP="00F223CC">
      <w:pPr>
        <w:tabs>
          <w:tab w:val="left" w:pos="2700"/>
          <w:tab w:val="left" w:pos="6660"/>
        </w:tabs>
        <w:spacing w:line="276" w:lineRule="auto"/>
        <w:ind w:firstLine="720"/>
        <w:jc w:val="both"/>
        <w:rPr>
          <w:lang w:eastAsia="en-US"/>
        </w:rPr>
      </w:pPr>
      <w:r w:rsidRPr="00B75BCD">
        <w:rPr>
          <w:lang w:eastAsia="en-US"/>
        </w:rPr>
        <w:t xml:space="preserve">atmaksāt </w:t>
      </w:r>
      <w:r w:rsidR="00034E22">
        <w:rPr>
          <w:lang w:eastAsia="en-US"/>
        </w:rPr>
        <w:t xml:space="preserve">zvērinātu advokātu birojam ,,Deloitte </w:t>
      </w:r>
      <w:r w:rsidR="001437C9">
        <w:rPr>
          <w:lang w:eastAsia="en-US"/>
        </w:rPr>
        <w:t>L</w:t>
      </w:r>
      <w:r w:rsidR="00034E22">
        <w:rPr>
          <w:lang w:eastAsia="en-US"/>
        </w:rPr>
        <w:t>egal”</w:t>
      </w:r>
      <w:r w:rsidRPr="00B75BCD">
        <w:rPr>
          <w:lang w:eastAsia="en-US"/>
        </w:rPr>
        <w:t xml:space="preserve"> par </w:t>
      </w:r>
      <w:r w:rsidR="001437C9">
        <w:t xml:space="preserve">Valeo Autoklimatizace k.s. </w:t>
      </w:r>
      <w:r w:rsidRPr="00B75BCD">
        <w:rPr>
          <w:lang w:eastAsia="en-US"/>
        </w:rPr>
        <w:t>kasācijas sūdzību samaksāto drošības naudu 70 </w:t>
      </w:r>
      <w:r w:rsidRPr="00B75BCD">
        <w:rPr>
          <w:i/>
          <w:iCs/>
          <w:lang w:eastAsia="en-US"/>
        </w:rPr>
        <w:t>euro</w:t>
      </w:r>
      <w:r w:rsidRPr="00B75BCD">
        <w:rPr>
          <w:lang w:eastAsia="en-US"/>
        </w:rPr>
        <w:t xml:space="preserve">. </w:t>
      </w:r>
    </w:p>
    <w:p w14:paraId="4B24AF4B" w14:textId="77777777" w:rsidR="00B75BCD" w:rsidRDefault="00B75BCD" w:rsidP="00F223CC">
      <w:pPr>
        <w:tabs>
          <w:tab w:val="left" w:pos="2700"/>
          <w:tab w:val="left" w:pos="6660"/>
        </w:tabs>
        <w:spacing w:line="276" w:lineRule="auto"/>
        <w:ind w:firstLine="720"/>
        <w:jc w:val="both"/>
        <w:rPr>
          <w:lang w:eastAsia="en-US"/>
        </w:rPr>
      </w:pPr>
    </w:p>
    <w:p w14:paraId="3C7C073A" w14:textId="5282E81D" w:rsidR="00B75BCD" w:rsidRDefault="00B75BCD" w:rsidP="00F223CC">
      <w:pPr>
        <w:tabs>
          <w:tab w:val="left" w:pos="2700"/>
          <w:tab w:val="left" w:pos="6660"/>
        </w:tabs>
        <w:spacing w:line="276" w:lineRule="auto"/>
        <w:ind w:firstLine="720"/>
        <w:jc w:val="both"/>
        <w:rPr>
          <w:lang w:eastAsia="en-US"/>
        </w:rPr>
      </w:pPr>
      <w:r>
        <w:rPr>
          <w:lang w:eastAsia="en-US"/>
        </w:rPr>
        <w:t>Spriedums nav pārsūdzams.</w:t>
      </w:r>
    </w:p>
    <w:p w14:paraId="7F7D23DB" w14:textId="7ED57B0C" w:rsidR="00E34077" w:rsidRDefault="00E34077" w:rsidP="00907691">
      <w:pPr>
        <w:tabs>
          <w:tab w:val="center" w:pos="1701"/>
          <w:tab w:val="center" w:pos="4536"/>
          <w:tab w:val="center" w:pos="7371"/>
        </w:tabs>
        <w:spacing w:line="276" w:lineRule="auto"/>
        <w:ind w:firstLine="720"/>
        <w:jc w:val="both"/>
      </w:pPr>
    </w:p>
    <w:p w14:paraId="038BC9EA" w14:textId="77777777" w:rsidR="00B75BCD" w:rsidRDefault="00B75BCD" w:rsidP="00907691">
      <w:pPr>
        <w:tabs>
          <w:tab w:val="center" w:pos="1701"/>
          <w:tab w:val="center" w:pos="4536"/>
          <w:tab w:val="center" w:pos="7371"/>
        </w:tabs>
        <w:spacing w:line="276" w:lineRule="auto"/>
        <w:ind w:firstLine="720"/>
        <w:jc w:val="both"/>
      </w:pPr>
    </w:p>
    <w:p w14:paraId="04759133" w14:textId="77777777" w:rsidR="00B75BCD" w:rsidRDefault="00B75BCD" w:rsidP="00907691">
      <w:pPr>
        <w:tabs>
          <w:tab w:val="center" w:pos="1701"/>
          <w:tab w:val="center" w:pos="4536"/>
          <w:tab w:val="center" w:pos="7371"/>
        </w:tabs>
        <w:spacing w:line="276" w:lineRule="auto"/>
        <w:ind w:firstLine="720"/>
        <w:jc w:val="both"/>
      </w:pPr>
    </w:p>
    <w:p w14:paraId="3E2F3C3E" w14:textId="77777777" w:rsidR="00907691" w:rsidRPr="00EC00F0" w:rsidRDefault="00907691" w:rsidP="00907691">
      <w:pPr>
        <w:tabs>
          <w:tab w:val="center" w:pos="1701"/>
          <w:tab w:val="center" w:pos="4536"/>
          <w:tab w:val="center" w:pos="7371"/>
        </w:tabs>
        <w:spacing w:line="276" w:lineRule="auto"/>
        <w:ind w:firstLine="720"/>
        <w:jc w:val="both"/>
      </w:pPr>
    </w:p>
    <w:p w14:paraId="5EDE6A2D" w14:textId="77777777" w:rsidR="00E34077" w:rsidRDefault="00E34077" w:rsidP="00193336">
      <w:pPr>
        <w:tabs>
          <w:tab w:val="center" w:pos="1701"/>
          <w:tab w:val="center" w:pos="4536"/>
          <w:tab w:val="center" w:pos="7371"/>
        </w:tabs>
        <w:spacing w:line="276" w:lineRule="auto"/>
        <w:contextualSpacing/>
        <w:jc w:val="both"/>
      </w:pPr>
    </w:p>
    <w:sectPr w:rsidR="00E34077" w:rsidSect="002971F0">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0EE5" w14:textId="77777777" w:rsidR="005D6153" w:rsidRDefault="005D6153" w:rsidP="00F005AF">
      <w:r>
        <w:separator/>
      </w:r>
    </w:p>
  </w:endnote>
  <w:endnote w:type="continuationSeparator" w:id="0">
    <w:p w14:paraId="5BBA89DB" w14:textId="77777777" w:rsidR="005D6153" w:rsidRDefault="005D6153"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31D556EC" w14:textId="038ECCD1" w:rsidR="00F005AF" w:rsidRPr="00795839" w:rsidRDefault="00F005AF" w:rsidP="0079583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650039">
              <w:rPr>
                <w:bCs/>
                <w:noProof/>
                <w:sz w:val="20"/>
                <w:szCs w:val="20"/>
              </w:rPr>
              <w:t>1</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650039">
              <w:rPr>
                <w:bCs/>
                <w:noProof/>
                <w:sz w:val="20"/>
                <w:szCs w:val="20"/>
              </w:rPr>
              <w:t>12</w:t>
            </w:r>
            <w:r w:rsidRPr="00795839">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5924" w14:textId="77777777" w:rsidR="005D6153" w:rsidRDefault="005D6153" w:rsidP="00F005AF">
      <w:r>
        <w:separator/>
      </w:r>
    </w:p>
  </w:footnote>
  <w:footnote w:type="continuationSeparator" w:id="0">
    <w:p w14:paraId="1F35D679" w14:textId="77777777" w:rsidR="005D6153" w:rsidRDefault="005D6153"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2D861E2"/>
    <w:multiLevelType w:val="hybridMultilevel"/>
    <w:tmpl w:val="478C24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4AD7"/>
    <w:rsid w:val="00005AA6"/>
    <w:rsid w:val="000064A9"/>
    <w:rsid w:val="00007F32"/>
    <w:rsid w:val="00012FF6"/>
    <w:rsid w:val="000139D8"/>
    <w:rsid w:val="000145D4"/>
    <w:rsid w:val="0001481D"/>
    <w:rsid w:val="0001547F"/>
    <w:rsid w:val="0002182C"/>
    <w:rsid w:val="000252AD"/>
    <w:rsid w:val="0002689C"/>
    <w:rsid w:val="00027B8C"/>
    <w:rsid w:val="00031974"/>
    <w:rsid w:val="00032089"/>
    <w:rsid w:val="000325CD"/>
    <w:rsid w:val="00034E22"/>
    <w:rsid w:val="00035C90"/>
    <w:rsid w:val="0004076B"/>
    <w:rsid w:val="00041347"/>
    <w:rsid w:val="00041F45"/>
    <w:rsid w:val="00046976"/>
    <w:rsid w:val="000469E8"/>
    <w:rsid w:val="00047B0D"/>
    <w:rsid w:val="000508B2"/>
    <w:rsid w:val="00050E66"/>
    <w:rsid w:val="0005168D"/>
    <w:rsid w:val="00054BCD"/>
    <w:rsid w:val="000555EE"/>
    <w:rsid w:val="00055771"/>
    <w:rsid w:val="00055B04"/>
    <w:rsid w:val="00055DB3"/>
    <w:rsid w:val="00055E64"/>
    <w:rsid w:val="00057A6B"/>
    <w:rsid w:val="00061BB1"/>
    <w:rsid w:val="00063E57"/>
    <w:rsid w:val="00064BAE"/>
    <w:rsid w:val="00065FAA"/>
    <w:rsid w:val="00067F20"/>
    <w:rsid w:val="0007243B"/>
    <w:rsid w:val="00072BDC"/>
    <w:rsid w:val="00072E75"/>
    <w:rsid w:val="00073811"/>
    <w:rsid w:val="0007503F"/>
    <w:rsid w:val="00075846"/>
    <w:rsid w:val="00081CD0"/>
    <w:rsid w:val="00082553"/>
    <w:rsid w:val="00083FFD"/>
    <w:rsid w:val="00085D29"/>
    <w:rsid w:val="0008753F"/>
    <w:rsid w:val="00087BA9"/>
    <w:rsid w:val="0009244F"/>
    <w:rsid w:val="00094700"/>
    <w:rsid w:val="0009691F"/>
    <w:rsid w:val="00096E73"/>
    <w:rsid w:val="000A0B4B"/>
    <w:rsid w:val="000A4B6F"/>
    <w:rsid w:val="000A4B77"/>
    <w:rsid w:val="000A6741"/>
    <w:rsid w:val="000A785A"/>
    <w:rsid w:val="000A7AFB"/>
    <w:rsid w:val="000B1457"/>
    <w:rsid w:val="000C00EB"/>
    <w:rsid w:val="000C1D16"/>
    <w:rsid w:val="000C23D8"/>
    <w:rsid w:val="000C3889"/>
    <w:rsid w:val="000C3C16"/>
    <w:rsid w:val="000C4544"/>
    <w:rsid w:val="000C4EDB"/>
    <w:rsid w:val="000C60CC"/>
    <w:rsid w:val="000D1356"/>
    <w:rsid w:val="000D27C9"/>
    <w:rsid w:val="000D46EE"/>
    <w:rsid w:val="000D5ECC"/>
    <w:rsid w:val="000D5F0C"/>
    <w:rsid w:val="000D6D04"/>
    <w:rsid w:val="000D70A9"/>
    <w:rsid w:val="000E2466"/>
    <w:rsid w:val="000E3EFD"/>
    <w:rsid w:val="000E49E2"/>
    <w:rsid w:val="000E5B62"/>
    <w:rsid w:val="000E5B95"/>
    <w:rsid w:val="000F140D"/>
    <w:rsid w:val="000F3186"/>
    <w:rsid w:val="000F42C6"/>
    <w:rsid w:val="000F4C17"/>
    <w:rsid w:val="001002EC"/>
    <w:rsid w:val="00100D6A"/>
    <w:rsid w:val="001023F3"/>
    <w:rsid w:val="001037D6"/>
    <w:rsid w:val="00105AB7"/>
    <w:rsid w:val="001064D6"/>
    <w:rsid w:val="00110F5F"/>
    <w:rsid w:val="00111B55"/>
    <w:rsid w:val="00113AFC"/>
    <w:rsid w:val="00114B3A"/>
    <w:rsid w:val="00114CC4"/>
    <w:rsid w:val="00116ACD"/>
    <w:rsid w:val="00121DA4"/>
    <w:rsid w:val="00123E35"/>
    <w:rsid w:val="00124619"/>
    <w:rsid w:val="00126FDF"/>
    <w:rsid w:val="00127639"/>
    <w:rsid w:val="00130158"/>
    <w:rsid w:val="001317CF"/>
    <w:rsid w:val="0013233E"/>
    <w:rsid w:val="00134169"/>
    <w:rsid w:val="00134496"/>
    <w:rsid w:val="0013465D"/>
    <w:rsid w:val="00134D67"/>
    <w:rsid w:val="00135454"/>
    <w:rsid w:val="00135652"/>
    <w:rsid w:val="00135DF9"/>
    <w:rsid w:val="001360A2"/>
    <w:rsid w:val="00141B34"/>
    <w:rsid w:val="001437C9"/>
    <w:rsid w:val="00144095"/>
    <w:rsid w:val="0014659F"/>
    <w:rsid w:val="00150338"/>
    <w:rsid w:val="00150CFF"/>
    <w:rsid w:val="00151E8E"/>
    <w:rsid w:val="00153B57"/>
    <w:rsid w:val="001569D4"/>
    <w:rsid w:val="00156D44"/>
    <w:rsid w:val="00162007"/>
    <w:rsid w:val="00162213"/>
    <w:rsid w:val="001634A8"/>
    <w:rsid w:val="00166312"/>
    <w:rsid w:val="001709E5"/>
    <w:rsid w:val="00174A5C"/>
    <w:rsid w:val="00174DF5"/>
    <w:rsid w:val="00174EE1"/>
    <w:rsid w:val="00176564"/>
    <w:rsid w:val="00181366"/>
    <w:rsid w:val="00182DD6"/>
    <w:rsid w:val="00183AD6"/>
    <w:rsid w:val="00184C46"/>
    <w:rsid w:val="00185CE5"/>
    <w:rsid w:val="001866B1"/>
    <w:rsid w:val="00186D74"/>
    <w:rsid w:val="001877AB"/>
    <w:rsid w:val="00193336"/>
    <w:rsid w:val="001948A5"/>
    <w:rsid w:val="00195A10"/>
    <w:rsid w:val="00197126"/>
    <w:rsid w:val="001A085D"/>
    <w:rsid w:val="001A19D4"/>
    <w:rsid w:val="001A385A"/>
    <w:rsid w:val="001A587C"/>
    <w:rsid w:val="001A6181"/>
    <w:rsid w:val="001B2335"/>
    <w:rsid w:val="001B65C1"/>
    <w:rsid w:val="001B7A9B"/>
    <w:rsid w:val="001B7FDB"/>
    <w:rsid w:val="001C2FF9"/>
    <w:rsid w:val="001D1194"/>
    <w:rsid w:val="001D1AC7"/>
    <w:rsid w:val="001D43F0"/>
    <w:rsid w:val="001D4757"/>
    <w:rsid w:val="001D553D"/>
    <w:rsid w:val="001D58B0"/>
    <w:rsid w:val="001D68F1"/>
    <w:rsid w:val="001D7016"/>
    <w:rsid w:val="001E2A98"/>
    <w:rsid w:val="001E4934"/>
    <w:rsid w:val="001E6D85"/>
    <w:rsid w:val="001F22A8"/>
    <w:rsid w:val="001F3C17"/>
    <w:rsid w:val="001F3DFE"/>
    <w:rsid w:val="001F4E54"/>
    <w:rsid w:val="001F6887"/>
    <w:rsid w:val="001F7983"/>
    <w:rsid w:val="002003C7"/>
    <w:rsid w:val="00203EB3"/>
    <w:rsid w:val="00206E28"/>
    <w:rsid w:val="002128E8"/>
    <w:rsid w:val="002139A9"/>
    <w:rsid w:val="00213DF4"/>
    <w:rsid w:val="00214134"/>
    <w:rsid w:val="0021560F"/>
    <w:rsid w:val="0022214C"/>
    <w:rsid w:val="002221F8"/>
    <w:rsid w:val="0022292B"/>
    <w:rsid w:val="00231310"/>
    <w:rsid w:val="002318D8"/>
    <w:rsid w:val="00231C5A"/>
    <w:rsid w:val="00232C00"/>
    <w:rsid w:val="00233753"/>
    <w:rsid w:val="00233A9E"/>
    <w:rsid w:val="002355E7"/>
    <w:rsid w:val="00236656"/>
    <w:rsid w:val="002401A5"/>
    <w:rsid w:val="002415C7"/>
    <w:rsid w:val="0024176E"/>
    <w:rsid w:val="0024218E"/>
    <w:rsid w:val="00245915"/>
    <w:rsid w:val="0024664F"/>
    <w:rsid w:val="00247A9B"/>
    <w:rsid w:val="0025186D"/>
    <w:rsid w:val="002559D3"/>
    <w:rsid w:val="00255E35"/>
    <w:rsid w:val="00261F16"/>
    <w:rsid w:val="002638FC"/>
    <w:rsid w:val="00264420"/>
    <w:rsid w:val="0026562D"/>
    <w:rsid w:val="00265750"/>
    <w:rsid w:val="002662EE"/>
    <w:rsid w:val="0026707A"/>
    <w:rsid w:val="00267CE2"/>
    <w:rsid w:val="00270C44"/>
    <w:rsid w:val="00272A27"/>
    <w:rsid w:val="00274AF3"/>
    <w:rsid w:val="00276F49"/>
    <w:rsid w:val="00281C46"/>
    <w:rsid w:val="00282339"/>
    <w:rsid w:val="00286638"/>
    <w:rsid w:val="00287096"/>
    <w:rsid w:val="0028788C"/>
    <w:rsid w:val="002905CD"/>
    <w:rsid w:val="0029072A"/>
    <w:rsid w:val="002947CA"/>
    <w:rsid w:val="00294959"/>
    <w:rsid w:val="0029558D"/>
    <w:rsid w:val="002971F0"/>
    <w:rsid w:val="00297328"/>
    <w:rsid w:val="002A1B2F"/>
    <w:rsid w:val="002A2405"/>
    <w:rsid w:val="002A512D"/>
    <w:rsid w:val="002A57F2"/>
    <w:rsid w:val="002A7A91"/>
    <w:rsid w:val="002B0ABE"/>
    <w:rsid w:val="002B1F49"/>
    <w:rsid w:val="002B2F7B"/>
    <w:rsid w:val="002B3FEF"/>
    <w:rsid w:val="002B69A0"/>
    <w:rsid w:val="002B6F03"/>
    <w:rsid w:val="002C0500"/>
    <w:rsid w:val="002C27EA"/>
    <w:rsid w:val="002C2AE3"/>
    <w:rsid w:val="002C3088"/>
    <w:rsid w:val="002C357E"/>
    <w:rsid w:val="002C3BBB"/>
    <w:rsid w:val="002C4296"/>
    <w:rsid w:val="002C5DD3"/>
    <w:rsid w:val="002C6F0B"/>
    <w:rsid w:val="002D0E86"/>
    <w:rsid w:val="002D16F8"/>
    <w:rsid w:val="002D26F5"/>
    <w:rsid w:val="002D276F"/>
    <w:rsid w:val="002D3593"/>
    <w:rsid w:val="002D3B91"/>
    <w:rsid w:val="002D3D30"/>
    <w:rsid w:val="002D5308"/>
    <w:rsid w:val="002D5A60"/>
    <w:rsid w:val="002D7377"/>
    <w:rsid w:val="002E0C7B"/>
    <w:rsid w:val="002E21D9"/>
    <w:rsid w:val="002E342E"/>
    <w:rsid w:val="002E34AC"/>
    <w:rsid w:val="002E4CC2"/>
    <w:rsid w:val="002E59F1"/>
    <w:rsid w:val="002E67A0"/>
    <w:rsid w:val="002F0082"/>
    <w:rsid w:val="002F75AD"/>
    <w:rsid w:val="002F7739"/>
    <w:rsid w:val="003027CC"/>
    <w:rsid w:val="00302C0F"/>
    <w:rsid w:val="00302F32"/>
    <w:rsid w:val="0030391B"/>
    <w:rsid w:val="00304B5A"/>
    <w:rsid w:val="00305234"/>
    <w:rsid w:val="00305275"/>
    <w:rsid w:val="00306623"/>
    <w:rsid w:val="00306AFE"/>
    <w:rsid w:val="0030781A"/>
    <w:rsid w:val="0031019D"/>
    <w:rsid w:val="003104EA"/>
    <w:rsid w:val="00310BC5"/>
    <w:rsid w:val="00316E37"/>
    <w:rsid w:val="00316F91"/>
    <w:rsid w:val="00320A94"/>
    <w:rsid w:val="00320E9C"/>
    <w:rsid w:val="00321008"/>
    <w:rsid w:val="003211C6"/>
    <w:rsid w:val="00321F9E"/>
    <w:rsid w:val="0032362C"/>
    <w:rsid w:val="00325595"/>
    <w:rsid w:val="003264B2"/>
    <w:rsid w:val="0032650C"/>
    <w:rsid w:val="00326A8F"/>
    <w:rsid w:val="00326B9F"/>
    <w:rsid w:val="00327011"/>
    <w:rsid w:val="003308B4"/>
    <w:rsid w:val="00332133"/>
    <w:rsid w:val="0033475A"/>
    <w:rsid w:val="00336679"/>
    <w:rsid w:val="003405D2"/>
    <w:rsid w:val="00341CAC"/>
    <w:rsid w:val="003424A5"/>
    <w:rsid w:val="003424EC"/>
    <w:rsid w:val="003451A4"/>
    <w:rsid w:val="00345F82"/>
    <w:rsid w:val="0034615E"/>
    <w:rsid w:val="00346661"/>
    <w:rsid w:val="00347158"/>
    <w:rsid w:val="00347C6A"/>
    <w:rsid w:val="003501FE"/>
    <w:rsid w:val="00350295"/>
    <w:rsid w:val="003551EF"/>
    <w:rsid w:val="003554CF"/>
    <w:rsid w:val="0035629C"/>
    <w:rsid w:val="00356C83"/>
    <w:rsid w:val="00356F71"/>
    <w:rsid w:val="00357099"/>
    <w:rsid w:val="0035785C"/>
    <w:rsid w:val="00357A87"/>
    <w:rsid w:val="003631F1"/>
    <w:rsid w:val="00363760"/>
    <w:rsid w:val="00363E4F"/>
    <w:rsid w:val="003645BA"/>
    <w:rsid w:val="00365388"/>
    <w:rsid w:val="00376506"/>
    <w:rsid w:val="00380BF2"/>
    <w:rsid w:val="003811BA"/>
    <w:rsid w:val="00382D20"/>
    <w:rsid w:val="00383C5B"/>
    <w:rsid w:val="00385519"/>
    <w:rsid w:val="00386AEF"/>
    <w:rsid w:val="003877BE"/>
    <w:rsid w:val="00387B40"/>
    <w:rsid w:val="00387F98"/>
    <w:rsid w:val="00391966"/>
    <w:rsid w:val="0039346A"/>
    <w:rsid w:val="00394107"/>
    <w:rsid w:val="003965B4"/>
    <w:rsid w:val="00397FEB"/>
    <w:rsid w:val="003A0157"/>
    <w:rsid w:val="003A0489"/>
    <w:rsid w:val="003A6564"/>
    <w:rsid w:val="003B66FA"/>
    <w:rsid w:val="003C16FA"/>
    <w:rsid w:val="003C3173"/>
    <w:rsid w:val="003C38E3"/>
    <w:rsid w:val="003C3EDD"/>
    <w:rsid w:val="003C42C4"/>
    <w:rsid w:val="003C4C9D"/>
    <w:rsid w:val="003C63BB"/>
    <w:rsid w:val="003D1A13"/>
    <w:rsid w:val="003D44F2"/>
    <w:rsid w:val="003E14AE"/>
    <w:rsid w:val="003E2DE7"/>
    <w:rsid w:val="003E369D"/>
    <w:rsid w:val="003F11D7"/>
    <w:rsid w:val="003F3598"/>
    <w:rsid w:val="003F39A2"/>
    <w:rsid w:val="003F3B37"/>
    <w:rsid w:val="003F5166"/>
    <w:rsid w:val="003F690A"/>
    <w:rsid w:val="004038CE"/>
    <w:rsid w:val="004042DC"/>
    <w:rsid w:val="00404B4D"/>
    <w:rsid w:val="00404B95"/>
    <w:rsid w:val="00405E39"/>
    <w:rsid w:val="00406010"/>
    <w:rsid w:val="00412CE4"/>
    <w:rsid w:val="00414066"/>
    <w:rsid w:val="004148C5"/>
    <w:rsid w:val="00414A8D"/>
    <w:rsid w:val="00415877"/>
    <w:rsid w:val="0041733C"/>
    <w:rsid w:val="0041768A"/>
    <w:rsid w:val="004178EE"/>
    <w:rsid w:val="004203B6"/>
    <w:rsid w:val="00422965"/>
    <w:rsid w:val="00424047"/>
    <w:rsid w:val="004255A2"/>
    <w:rsid w:val="00427A9A"/>
    <w:rsid w:val="00427D98"/>
    <w:rsid w:val="00432DF1"/>
    <w:rsid w:val="004349C8"/>
    <w:rsid w:val="00435E1B"/>
    <w:rsid w:val="00436BA3"/>
    <w:rsid w:val="00436EF3"/>
    <w:rsid w:val="00437D14"/>
    <w:rsid w:val="00442666"/>
    <w:rsid w:val="004429E8"/>
    <w:rsid w:val="00442B0D"/>
    <w:rsid w:val="00443015"/>
    <w:rsid w:val="004430D0"/>
    <w:rsid w:val="0044447C"/>
    <w:rsid w:val="00450CEA"/>
    <w:rsid w:val="00451131"/>
    <w:rsid w:val="00451BF8"/>
    <w:rsid w:val="00452BC6"/>
    <w:rsid w:val="0045337D"/>
    <w:rsid w:val="00456371"/>
    <w:rsid w:val="0046443E"/>
    <w:rsid w:val="004650F8"/>
    <w:rsid w:val="00467980"/>
    <w:rsid w:val="004716C4"/>
    <w:rsid w:val="0047219A"/>
    <w:rsid w:val="00472B70"/>
    <w:rsid w:val="004748E9"/>
    <w:rsid w:val="00476273"/>
    <w:rsid w:val="00484733"/>
    <w:rsid w:val="00484C76"/>
    <w:rsid w:val="00484DD8"/>
    <w:rsid w:val="00486FFF"/>
    <w:rsid w:val="00490568"/>
    <w:rsid w:val="00491DE9"/>
    <w:rsid w:val="004968A6"/>
    <w:rsid w:val="00497E33"/>
    <w:rsid w:val="004A373D"/>
    <w:rsid w:val="004A69FD"/>
    <w:rsid w:val="004B0950"/>
    <w:rsid w:val="004B13E7"/>
    <w:rsid w:val="004B186B"/>
    <w:rsid w:val="004B3AB3"/>
    <w:rsid w:val="004B483C"/>
    <w:rsid w:val="004B685A"/>
    <w:rsid w:val="004B6F3A"/>
    <w:rsid w:val="004B7F6F"/>
    <w:rsid w:val="004C123A"/>
    <w:rsid w:val="004C2EFA"/>
    <w:rsid w:val="004C2F59"/>
    <w:rsid w:val="004C4AE6"/>
    <w:rsid w:val="004C66C3"/>
    <w:rsid w:val="004D126E"/>
    <w:rsid w:val="004D37E2"/>
    <w:rsid w:val="004D39CA"/>
    <w:rsid w:val="004D532A"/>
    <w:rsid w:val="004D635E"/>
    <w:rsid w:val="004D6D3A"/>
    <w:rsid w:val="004E43E5"/>
    <w:rsid w:val="004E788C"/>
    <w:rsid w:val="004E7B9D"/>
    <w:rsid w:val="004F0411"/>
    <w:rsid w:val="004F199A"/>
    <w:rsid w:val="004F254F"/>
    <w:rsid w:val="004F2DD9"/>
    <w:rsid w:val="004F315A"/>
    <w:rsid w:val="004F31C8"/>
    <w:rsid w:val="004F3D0B"/>
    <w:rsid w:val="004F78DB"/>
    <w:rsid w:val="00500897"/>
    <w:rsid w:val="00502578"/>
    <w:rsid w:val="005025DB"/>
    <w:rsid w:val="00505947"/>
    <w:rsid w:val="00505E19"/>
    <w:rsid w:val="00507A14"/>
    <w:rsid w:val="00507AA2"/>
    <w:rsid w:val="00512820"/>
    <w:rsid w:val="00513053"/>
    <w:rsid w:val="00515746"/>
    <w:rsid w:val="00515836"/>
    <w:rsid w:val="00515E02"/>
    <w:rsid w:val="0052087D"/>
    <w:rsid w:val="005249BF"/>
    <w:rsid w:val="005254D3"/>
    <w:rsid w:val="00530282"/>
    <w:rsid w:val="00533E54"/>
    <w:rsid w:val="005361BF"/>
    <w:rsid w:val="0054177F"/>
    <w:rsid w:val="00543006"/>
    <w:rsid w:val="00543D8B"/>
    <w:rsid w:val="0054405C"/>
    <w:rsid w:val="00544C94"/>
    <w:rsid w:val="00544DFC"/>
    <w:rsid w:val="00545B88"/>
    <w:rsid w:val="0054662C"/>
    <w:rsid w:val="00547FC6"/>
    <w:rsid w:val="00550CD7"/>
    <w:rsid w:val="005515F1"/>
    <w:rsid w:val="0055225A"/>
    <w:rsid w:val="0055288D"/>
    <w:rsid w:val="00554EA2"/>
    <w:rsid w:val="005566F8"/>
    <w:rsid w:val="00557FE0"/>
    <w:rsid w:val="005601FC"/>
    <w:rsid w:val="0056173D"/>
    <w:rsid w:val="00561FBE"/>
    <w:rsid w:val="00562F4C"/>
    <w:rsid w:val="00564907"/>
    <w:rsid w:val="00564F53"/>
    <w:rsid w:val="005654A7"/>
    <w:rsid w:val="00570045"/>
    <w:rsid w:val="00570292"/>
    <w:rsid w:val="00570B23"/>
    <w:rsid w:val="005718E1"/>
    <w:rsid w:val="00572121"/>
    <w:rsid w:val="005728D2"/>
    <w:rsid w:val="00580D6E"/>
    <w:rsid w:val="00580F7A"/>
    <w:rsid w:val="00583777"/>
    <w:rsid w:val="005843A6"/>
    <w:rsid w:val="005843CD"/>
    <w:rsid w:val="00585A48"/>
    <w:rsid w:val="00585F8C"/>
    <w:rsid w:val="00587964"/>
    <w:rsid w:val="005933D9"/>
    <w:rsid w:val="00593A7A"/>
    <w:rsid w:val="005946A5"/>
    <w:rsid w:val="005957D1"/>
    <w:rsid w:val="00596A6E"/>
    <w:rsid w:val="00597FD5"/>
    <w:rsid w:val="005A1E86"/>
    <w:rsid w:val="005A30AB"/>
    <w:rsid w:val="005A31AA"/>
    <w:rsid w:val="005A3781"/>
    <w:rsid w:val="005A3DEB"/>
    <w:rsid w:val="005A4220"/>
    <w:rsid w:val="005A5D6F"/>
    <w:rsid w:val="005B313C"/>
    <w:rsid w:val="005B5437"/>
    <w:rsid w:val="005B67F8"/>
    <w:rsid w:val="005B6943"/>
    <w:rsid w:val="005C07E0"/>
    <w:rsid w:val="005C1250"/>
    <w:rsid w:val="005C1984"/>
    <w:rsid w:val="005C2CE8"/>
    <w:rsid w:val="005C30FA"/>
    <w:rsid w:val="005C3F92"/>
    <w:rsid w:val="005C423A"/>
    <w:rsid w:val="005C4A67"/>
    <w:rsid w:val="005C5CDC"/>
    <w:rsid w:val="005C66C2"/>
    <w:rsid w:val="005D1AD6"/>
    <w:rsid w:val="005D50E5"/>
    <w:rsid w:val="005D6153"/>
    <w:rsid w:val="005D786E"/>
    <w:rsid w:val="005E06FB"/>
    <w:rsid w:val="005E36D9"/>
    <w:rsid w:val="005E7430"/>
    <w:rsid w:val="005E798B"/>
    <w:rsid w:val="005F1FE9"/>
    <w:rsid w:val="005F2654"/>
    <w:rsid w:val="005F38B2"/>
    <w:rsid w:val="005F5A63"/>
    <w:rsid w:val="005F757B"/>
    <w:rsid w:val="0060086E"/>
    <w:rsid w:val="00600C0A"/>
    <w:rsid w:val="00602B7F"/>
    <w:rsid w:val="006036B6"/>
    <w:rsid w:val="00603D1A"/>
    <w:rsid w:val="00603DBD"/>
    <w:rsid w:val="00604763"/>
    <w:rsid w:val="00605846"/>
    <w:rsid w:val="00606089"/>
    <w:rsid w:val="00606A63"/>
    <w:rsid w:val="00607475"/>
    <w:rsid w:val="00610A8B"/>
    <w:rsid w:val="00612700"/>
    <w:rsid w:val="00613C36"/>
    <w:rsid w:val="00613FCA"/>
    <w:rsid w:val="0061749A"/>
    <w:rsid w:val="00617A37"/>
    <w:rsid w:val="00620207"/>
    <w:rsid w:val="00620A6B"/>
    <w:rsid w:val="006210FF"/>
    <w:rsid w:val="00621B67"/>
    <w:rsid w:val="00621CA2"/>
    <w:rsid w:val="0062232B"/>
    <w:rsid w:val="00623D8A"/>
    <w:rsid w:val="006250E3"/>
    <w:rsid w:val="00626452"/>
    <w:rsid w:val="00627AB3"/>
    <w:rsid w:val="00630FCC"/>
    <w:rsid w:val="00634475"/>
    <w:rsid w:val="0063497E"/>
    <w:rsid w:val="00634B63"/>
    <w:rsid w:val="0063635C"/>
    <w:rsid w:val="00642B71"/>
    <w:rsid w:val="00646BF4"/>
    <w:rsid w:val="00647B0C"/>
    <w:rsid w:val="00650039"/>
    <w:rsid w:val="00652B40"/>
    <w:rsid w:val="00652BE2"/>
    <w:rsid w:val="00652D65"/>
    <w:rsid w:val="00653342"/>
    <w:rsid w:val="00654846"/>
    <w:rsid w:val="00655C4D"/>
    <w:rsid w:val="0065664E"/>
    <w:rsid w:val="00656892"/>
    <w:rsid w:val="00657721"/>
    <w:rsid w:val="006600E7"/>
    <w:rsid w:val="0066091D"/>
    <w:rsid w:val="00661B5E"/>
    <w:rsid w:val="00661D4E"/>
    <w:rsid w:val="00665910"/>
    <w:rsid w:val="00666379"/>
    <w:rsid w:val="00667AC0"/>
    <w:rsid w:val="0067013F"/>
    <w:rsid w:val="00671599"/>
    <w:rsid w:val="00672FD6"/>
    <w:rsid w:val="006766B5"/>
    <w:rsid w:val="00677F6F"/>
    <w:rsid w:val="00680525"/>
    <w:rsid w:val="00682186"/>
    <w:rsid w:val="00682FC0"/>
    <w:rsid w:val="006839C4"/>
    <w:rsid w:val="006860FF"/>
    <w:rsid w:val="0068691A"/>
    <w:rsid w:val="00687DFC"/>
    <w:rsid w:val="0069291B"/>
    <w:rsid w:val="00692A03"/>
    <w:rsid w:val="00694683"/>
    <w:rsid w:val="00694BBF"/>
    <w:rsid w:val="0069538B"/>
    <w:rsid w:val="00695400"/>
    <w:rsid w:val="0069559B"/>
    <w:rsid w:val="0069585C"/>
    <w:rsid w:val="006A19B2"/>
    <w:rsid w:val="006A19BC"/>
    <w:rsid w:val="006A25A7"/>
    <w:rsid w:val="006A4AA9"/>
    <w:rsid w:val="006A5BF1"/>
    <w:rsid w:val="006A77BE"/>
    <w:rsid w:val="006B0623"/>
    <w:rsid w:val="006B44C5"/>
    <w:rsid w:val="006B5F55"/>
    <w:rsid w:val="006B66C3"/>
    <w:rsid w:val="006B6CA0"/>
    <w:rsid w:val="006B6DFA"/>
    <w:rsid w:val="006C28F5"/>
    <w:rsid w:val="006C48D5"/>
    <w:rsid w:val="006D04F8"/>
    <w:rsid w:val="006D09EE"/>
    <w:rsid w:val="006D14CC"/>
    <w:rsid w:val="006D1845"/>
    <w:rsid w:val="006D23E7"/>
    <w:rsid w:val="006D6D29"/>
    <w:rsid w:val="006E119D"/>
    <w:rsid w:val="006E13D8"/>
    <w:rsid w:val="006E178B"/>
    <w:rsid w:val="006E5B90"/>
    <w:rsid w:val="006E68A7"/>
    <w:rsid w:val="006E6A02"/>
    <w:rsid w:val="006F1275"/>
    <w:rsid w:val="006F26FB"/>
    <w:rsid w:val="006F2DFD"/>
    <w:rsid w:val="006F3A8D"/>
    <w:rsid w:val="006F45AC"/>
    <w:rsid w:val="006F6D74"/>
    <w:rsid w:val="006F7D98"/>
    <w:rsid w:val="00702EAB"/>
    <w:rsid w:val="00710B87"/>
    <w:rsid w:val="00711EA1"/>
    <w:rsid w:val="007131CA"/>
    <w:rsid w:val="00715A18"/>
    <w:rsid w:val="007167DE"/>
    <w:rsid w:val="007203AA"/>
    <w:rsid w:val="0072075C"/>
    <w:rsid w:val="00721129"/>
    <w:rsid w:val="00724985"/>
    <w:rsid w:val="00725EAB"/>
    <w:rsid w:val="0072696E"/>
    <w:rsid w:val="00726F09"/>
    <w:rsid w:val="007274D2"/>
    <w:rsid w:val="00730081"/>
    <w:rsid w:val="00731329"/>
    <w:rsid w:val="00732222"/>
    <w:rsid w:val="00737B86"/>
    <w:rsid w:val="00743B84"/>
    <w:rsid w:val="007443BD"/>
    <w:rsid w:val="00744D66"/>
    <w:rsid w:val="00745D7B"/>
    <w:rsid w:val="00745E68"/>
    <w:rsid w:val="00745F19"/>
    <w:rsid w:val="00747D56"/>
    <w:rsid w:val="00750D37"/>
    <w:rsid w:val="00751E25"/>
    <w:rsid w:val="00751FBC"/>
    <w:rsid w:val="00756523"/>
    <w:rsid w:val="00762FA6"/>
    <w:rsid w:val="007667B3"/>
    <w:rsid w:val="00767ECA"/>
    <w:rsid w:val="007708AC"/>
    <w:rsid w:val="00771590"/>
    <w:rsid w:val="0077161D"/>
    <w:rsid w:val="007829EE"/>
    <w:rsid w:val="0078394D"/>
    <w:rsid w:val="00784B8C"/>
    <w:rsid w:val="00785C54"/>
    <w:rsid w:val="00787F9A"/>
    <w:rsid w:val="007913B5"/>
    <w:rsid w:val="00793363"/>
    <w:rsid w:val="00794A64"/>
    <w:rsid w:val="00794B0A"/>
    <w:rsid w:val="00795839"/>
    <w:rsid w:val="00797323"/>
    <w:rsid w:val="0079749C"/>
    <w:rsid w:val="007A0C1C"/>
    <w:rsid w:val="007A285F"/>
    <w:rsid w:val="007A3CFD"/>
    <w:rsid w:val="007A521B"/>
    <w:rsid w:val="007A7593"/>
    <w:rsid w:val="007A7FE6"/>
    <w:rsid w:val="007B072F"/>
    <w:rsid w:val="007B0E66"/>
    <w:rsid w:val="007B1932"/>
    <w:rsid w:val="007B5C35"/>
    <w:rsid w:val="007B6A13"/>
    <w:rsid w:val="007C003E"/>
    <w:rsid w:val="007C11E1"/>
    <w:rsid w:val="007C2294"/>
    <w:rsid w:val="007C2BCE"/>
    <w:rsid w:val="007C2CFF"/>
    <w:rsid w:val="007C644D"/>
    <w:rsid w:val="007C6884"/>
    <w:rsid w:val="007C7179"/>
    <w:rsid w:val="007C7882"/>
    <w:rsid w:val="007D281F"/>
    <w:rsid w:val="007D3B71"/>
    <w:rsid w:val="007D7C9D"/>
    <w:rsid w:val="007E10E3"/>
    <w:rsid w:val="007E515B"/>
    <w:rsid w:val="007E6891"/>
    <w:rsid w:val="007F0247"/>
    <w:rsid w:val="007F1CD5"/>
    <w:rsid w:val="007F24FA"/>
    <w:rsid w:val="007F2805"/>
    <w:rsid w:val="007F32B1"/>
    <w:rsid w:val="007F4825"/>
    <w:rsid w:val="007F502E"/>
    <w:rsid w:val="007F5426"/>
    <w:rsid w:val="007F666B"/>
    <w:rsid w:val="007F6EDE"/>
    <w:rsid w:val="007F7E09"/>
    <w:rsid w:val="008024A4"/>
    <w:rsid w:val="008043D2"/>
    <w:rsid w:val="008047C3"/>
    <w:rsid w:val="00804D7C"/>
    <w:rsid w:val="00805C7B"/>
    <w:rsid w:val="00806D17"/>
    <w:rsid w:val="00807BD7"/>
    <w:rsid w:val="00810FC0"/>
    <w:rsid w:val="0081247E"/>
    <w:rsid w:val="00813474"/>
    <w:rsid w:val="00813C8F"/>
    <w:rsid w:val="0081628F"/>
    <w:rsid w:val="00816478"/>
    <w:rsid w:val="008171EA"/>
    <w:rsid w:val="00817BAB"/>
    <w:rsid w:val="0082126F"/>
    <w:rsid w:val="00831C4A"/>
    <w:rsid w:val="00835583"/>
    <w:rsid w:val="008356A0"/>
    <w:rsid w:val="00835DA5"/>
    <w:rsid w:val="00835F00"/>
    <w:rsid w:val="00836B86"/>
    <w:rsid w:val="008412C4"/>
    <w:rsid w:val="0084195D"/>
    <w:rsid w:val="00844A09"/>
    <w:rsid w:val="00846D48"/>
    <w:rsid w:val="008477B2"/>
    <w:rsid w:val="00850934"/>
    <w:rsid w:val="00853263"/>
    <w:rsid w:val="00854C11"/>
    <w:rsid w:val="0085519B"/>
    <w:rsid w:val="00857681"/>
    <w:rsid w:val="00857AA3"/>
    <w:rsid w:val="00857CAB"/>
    <w:rsid w:val="00860356"/>
    <w:rsid w:val="00861A2B"/>
    <w:rsid w:val="00863142"/>
    <w:rsid w:val="0086319F"/>
    <w:rsid w:val="00863821"/>
    <w:rsid w:val="00863C87"/>
    <w:rsid w:val="00864116"/>
    <w:rsid w:val="0086457E"/>
    <w:rsid w:val="00864743"/>
    <w:rsid w:val="00864B8F"/>
    <w:rsid w:val="00866286"/>
    <w:rsid w:val="00866B9E"/>
    <w:rsid w:val="008700D3"/>
    <w:rsid w:val="00876C9B"/>
    <w:rsid w:val="008774D2"/>
    <w:rsid w:val="008775B7"/>
    <w:rsid w:val="00882E52"/>
    <w:rsid w:val="00883060"/>
    <w:rsid w:val="0088419A"/>
    <w:rsid w:val="0088477C"/>
    <w:rsid w:val="00885616"/>
    <w:rsid w:val="00887B80"/>
    <w:rsid w:val="00887D51"/>
    <w:rsid w:val="008946B0"/>
    <w:rsid w:val="00897619"/>
    <w:rsid w:val="008A09E2"/>
    <w:rsid w:val="008A1246"/>
    <w:rsid w:val="008A1DD0"/>
    <w:rsid w:val="008A22CE"/>
    <w:rsid w:val="008A2B53"/>
    <w:rsid w:val="008A3783"/>
    <w:rsid w:val="008A5377"/>
    <w:rsid w:val="008A6E2B"/>
    <w:rsid w:val="008B4082"/>
    <w:rsid w:val="008B4583"/>
    <w:rsid w:val="008B7097"/>
    <w:rsid w:val="008B7CCD"/>
    <w:rsid w:val="008C3515"/>
    <w:rsid w:val="008C55B3"/>
    <w:rsid w:val="008C5C05"/>
    <w:rsid w:val="008C627F"/>
    <w:rsid w:val="008C6CC7"/>
    <w:rsid w:val="008D2A62"/>
    <w:rsid w:val="008D3901"/>
    <w:rsid w:val="008D5D58"/>
    <w:rsid w:val="008E03B5"/>
    <w:rsid w:val="008E215C"/>
    <w:rsid w:val="008E3C64"/>
    <w:rsid w:val="008E3C76"/>
    <w:rsid w:val="008E494F"/>
    <w:rsid w:val="008F051D"/>
    <w:rsid w:val="008F2671"/>
    <w:rsid w:val="008F5735"/>
    <w:rsid w:val="008F6175"/>
    <w:rsid w:val="00902187"/>
    <w:rsid w:val="00902391"/>
    <w:rsid w:val="0090471E"/>
    <w:rsid w:val="0090516D"/>
    <w:rsid w:val="009059F7"/>
    <w:rsid w:val="009068FF"/>
    <w:rsid w:val="00906A98"/>
    <w:rsid w:val="00907691"/>
    <w:rsid w:val="00907970"/>
    <w:rsid w:val="00910590"/>
    <w:rsid w:val="0091325A"/>
    <w:rsid w:val="009154F6"/>
    <w:rsid w:val="00917A12"/>
    <w:rsid w:val="00921DF1"/>
    <w:rsid w:val="009234C8"/>
    <w:rsid w:val="00924819"/>
    <w:rsid w:val="00925B02"/>
    <w:rsid w:val="00926BB7"/>
    <w:rsid w:val="0093106B"/>
    <w:rsid w:val="00935DD6"/>
    <w:rsid w:val="009374EB"/>
    <w:rsid w:val="00940435"/>
    <w:rsid w:val="00940451"/>
    <w:rsid w:val="00941711"/>
    <w:rsid w:val="00941BA3"/>
    <w:rsid w:val="00941C76"/>
    <w:rsid w:val="00943B88"/>
    <w:rsid w:val="00944300"/>
    <w:rsid w:val="00944CB2"/>
    <w:rsid w:val="00945138"/>
    <w:rsid w:val="009460BC"/>
    <w:rsid w:val="009479C8"/>
    <w:rsid w:val="00950840"/>
    <w:rsid w:val="0095218C"/>
    <w:rsid w:val="009528CE"/>
    <w:rsid w:val="00952D0B"/>
    <w:rsid w:val="00952FD5"/>
    <w:rsid w:val="00953FDA"/>
    <w:rsid w:val="009565DB"/>
    <w:rsid w:val="00956C88"/>
    <w:rsid w:val="00956EC0"/>
    <w:rsid w:val="00965595"/>
    <w:rsid w:val="00965641"/>
    <w:rsid w:val="00967EB6"/>
    <w:rsid w:val="009740FD"/>
    <w:rsid w:val="00974198"/>
    <w:rsid w:val="0097463B"/>
    <w:rsid w:val="00974E53"/>
    <w:rsid w:val="0097516D"/>
    <w:rsid w:val="00980DBE"/>
    <w:rsid w:val="00983CA2"/>
    <w:rsid w:val="009858AE"/>
    <w:rsid w:val="00986BAC"/>
    <w:rsid w:val="00987E8B"/>
    <w:rsid w:val="00987ECD"/>
    <w:rsid w:val="009962F2"/>
    <w:rsid w:val="009A0536"/>
    <w:rsid w:val="009A1C2D"/>
    <w:rsid w:val="009A35B0"/>
    <w:rsid w:val="009A550C"/>
    <w:rsid w:val="009A6FC3"/>
    <w:rsid w:val="009B03C8"/>
    <w:rsid w:val="009B58CC"/>
    <w:rsid w:val="009B6772"/>
    <w:rsid w:val="009B6981"/>
    <w:rsid w:val="009B725A"/>
    <w:rsid w:val="009B736A"/>
    <w:rsid w:val="009B7496"/>
    <w:rsid w:val="009B7ADA"/>
    <w:rsid w:val="009C1884"/>
    <w:rsid w:val="009C2457"/>
    <w:rsid w:val="009D48E7"/>
    <w:rsid w:val="009D55B9"/>
    <w:rsid w:val="009D56AC"/>
    <w:rsid w:val="009D663A"/>
    <w:rsid w:val="009E015B"/>
    <w:rsid w:val="009E4AE4"/>
    <w:rsid w:val="009F090B"/>
    <w:rsid w:val="009F09AD"/>
    <w:rsid w:val="009F0FE2"/>
    <w:rsid w:val="009F18B0"/>
    <w:rsid w:val="009F32A1"/>
    <w:rsid w:val="009F3A3D"/>
    <w:rsid w:val="009F4F97"/>
    <w:rsid w:val="009F5CC0"/>
    <w:rsid w:val="00A000BE"/>
    <w:rsid w:val="00A067D2"/>
    <w:rsid w:val="00A123A8"/>
    <w:rsid w:val="00A14253"/>
    <w:rsid w:val="00A162D4"/>
    <w:rsid w:val="00A16FD1"/>
    <w:rsid w:val="00A17711"/>
    <w:rsid w:val="00A2229B"/>
    <w:rsid w:val="00A27034"/>
    <w:rsid w:val="00A30E38"/>
    <w:rsid w:val="00A329FB"/>
    <w:rsid w:val="00A33357"/>
    <w:rsid w:val="00A34712"/>
    <w:rsid w:val="00A34C05"/>
    <w:rsid w:val="00A35F45"/>
    <w:rsid w:val="00A37AAA"/>
    <w:rsid w:val="00A37E57"/>
    <w:rsid w:val="00A40D21"/>
    <w:rsid w:val="00A42AEC"/>
    <w:rsid w:val="00A431BF"/>
    <w:rsid w:val="00A43580"/>
    <w:rsid w:val="00A44DF1"/>
    <w:rsid w:val="00A50D2D"/>
    <w:rsid w:val="00A52B16"/>
    <w:rsid w:val="00A544B7"/>
    <w:rsid w:val="00A55E07"/>
    <w:rsid w:val="00A569B1"/>
    <w:rsid w:val="00A61C1D"/>
    <w:rsid w:val="00A66CF8"/>
    <w:rsid w:val="00A67409"/>
    <w:rsid w:val="00A7139C"/>
    <w:rsid w:val="00A71AAE"/>
    <w:rsid w:val="00A746CE"/>
    <w:rsid w:val="00A76099"/>
    <w:rsid w:val="00A779F5"/>
    <w:rsid w:val="00A802F9"/>
    <w:rsid w:val="00A803C6"/>
    <w:rsid w:val="00A83483"/>
    <w:rsid w:val="00A83642"/>
    <w:rsid w:val="00A8441E"/>
    <w:rsid w:val="00A905EE"/>
    <w:rsid w:val="00A912F4"/>
    <w:rsid w:val="00A94283"/>
    <w:rsid w:val="00A94C8F"/>
    <w:rsid w:val="00A94CB0"/>
    <w:rsid w:val="00A95A55"/>
    <w:rsid w:val="00A9664A"/>
    <w:rsid w:val="00AB2344"/>
    <w:rsid w:val="00AB2A59"/>
    <w:rsid w:val="00AB2DFC"/>
    <w:rsid w:val="00AB3273"/>
    <w:rsid w:val="00AB70B5"/>
    <w:rsid w:val="00AB754F"/>
    <w:rsid w:val="00AB75FC"/>
    <w:rsid w:val="00AC00AF"/>
    <w:rsid w:val="00AC0F68"/>
    <w:rsid w:val="00AC3264"/>
    <w:rsid w:val="00AC47A0"/>
    <w:rsid w:val="00AC716C"/>
    <w:rsid w:val="00AC7414"/>
    <w:rsid w:val="00AD0840"/>
    <w:rsid w:val="00AD10B7"/>
    <w:rsid w:val="00AD1275"/>
    <w:rsid w:val="00AD3992"/>
    <w:rsid w:val="00AD5F62"/>
    <w:rsid w:val="00AD721C"/>
    <w:rsid w:val="00AE3520"/>
    <w:rsid w:val="00AE49D1"/>
    <w:rsid w:val="00AE4AB4"/>
    <w:rsid w:val="00AE7C4F"/>
    <w:rsid w:val="00AF0712"/>
    <w:rsid w:val="00AF1CD5"/>
    <w:rsid w:val="00AF1E6D"/>
    <w:rsid w:val="00AF4A21"/>
    <w:rsid w:val="00AF5F64"/>
    <w:rsid w:val="00AF6AF6"/>
    <w:rsid w:val="00AF7C37"/>
    <w:rsid w:val="00B05E27"/>
    <w:rsid w:val="00B069D2"/>
    <w:rsid w:val="00B135F4"/>
    <w:rsid w:val="00B14284"/>
    <w:rsid w:val="00B14AAA"/>
    <w:rsid w:val="00B16AD6"/>
    <w:rsid w:val="00B230C4"/>
    <w:rsid w:val="00B23E12"/>
    <w:rsid w:val="00B247BF"/>
    <w:rsid w:val="00B27093"/>
    <w:rsid w:val="00B3139B"/>
    <w:rsid w:val="00B328A7"/>
    <w:rsid w:val="00B333FA"/>
    <w:rsid w:val="00B35033"/>
    <w:rsid w:val="00B352A0"/>
    <w:rsid w:val="00B35F68"/>
    <w:rsid w:val="00B37252"/>
    <w:rsid w:val="00B37D1F"/>
    <w:rsid w:val="00B40698"/>
    <w:rsid w:val="00B41CC2"/>
    <w:rsid w:val="00B432E0"/>
    <w:rsid w:val="00B43F2F"/>
    <w:rsid w:val="00B50354"/>
    <w:rsid w:val="00B50A6E"/>
    <w:rsid w:val="00B52079"/>
    <w:rsid w:val="00B535FC"/>
    <w:rsid w:val="00B5388D"/>
    <w:rsid w:val="00B54F84"/>
    <w:rsid w:val="00B5603F"/>
    <w:rsid w:val="00B60544"/>
    <w:rsid w:val="00B60B6A"/>
    <w:rsid w:val="00B614E9"/>
    <w:rsid w:val="00B63B4A"/>
    <w:rsid w:val="00B63BF8"/>
    <w:rsid w:val="00B64B34"/>
    <w:rsid w:val="00B653E5"/>
    <w:rsid w:val="00B65D2D"/>
    <w:rsid w:val="00B66706"/>
    <w:rsid w:val="00B7073D"/>
    <w:rsid w:val="00B730BB"/>
    <w:rsid w:val="00B74FA6"/>
    <w:rsid w:val="00B75327"/>
    <w:rsid w:val="00B75AF2"/>
    <w:rsid w:val="00B75BCD"/>
    <w:rsid w:val="00B75FD5"/>
    <w:rsid w:val="00B80240"/>
    <w:rsid w:val="00B81CCA"/>
    <w:rsid w:val="00B81D3C"/>
    <w:rsid w:val="00B828FD"/>
    <w:rsid w:val="00B84A18"/>
    <w:rsid w:val="00B876E8"/>
    <w:rsid w:val="00B9022E"/>
    <w:rsid w:val="00B90C72"/>
    <w:rsid w:val="00B935F9"/>
    <w:rsid w:val="00B9420A"/>
    <w:rsid w:val="00B96C7A"/>
    <w:rsid w:val="00BA00E0"/>
    <w:rsid w:val="00BA0441"/>
    <w:rsid w:val="00BA14BF"/>
    <w:rsid w:val="00BA27BE"/>
    <w:rsid w:val="00BA51F6"/>
    <w:rsid w:val="00BB309D"/>
    <w:rsid w:val="00BB4ED5"/>
    <w:rsid w:val="00BB53F5"/>
    <w:rsid w:val="00BB6035"/>
    <w:rsid w:val="00BB6169"/>
    <w:rsid w:val="00BB7E55"/>
    <w:rsid w:val="00BC09E7"/>
    <w:rsid w:val="00BC2047"/>
    <w:rsid w:val="00BC3293"/>
    <w:rsid w:val="00BC3880"/>
    <w:rsid w:val="00BC3DBF"/>
    <w:rsid w:val="00BC5649"/>
    <w:rsid w:val="00BD39F5"/>
    <w:rsid w:val="00BD40A2"/>
    <w:rsid w:val="00BD4366"/>
    <w:rsid w:val="00BD4EA8"/>
    <w:rsid w:val="00BD52CD"/>
    <w:rsid w:val="00BD5E8B"/>
    <w:rsid w:val="00BE0C21"/>
    <w:rsid w:val="00BE0E8C"/>
    <w:rsid w:val="00BE199A"/>
    <w:rsid w:val="00BE7A90"/>
    <w:rsid w:val="00BF1822"/>
    <w:rsid w:val="00BF3D8E"/>
    <w:rsid w:val="00BF5FE1"/>
    <w:rsid w:val="00BF7820"/>
    <w:rsid w:val="00BF7FC1"/>
    <w:rsid w:val="00C00376"/>
    <w:rsid w:val="00C01776"/>
    <w:rsid w:val="00C030EE"/>
    <w:rsid w:val="00C04B2E"/>
    <w:rsid w:val="00C058CD"/>
    <w:rsid w:val="00C05942"/>
    <w:rsid w:val="00C06312"/>
    <w:rsid w:val="00C06C65"/>
    <w:rsid w:val="00C10382"/>
    <w:rsid w:val="00C104A1"/>
    <w:rsid w:val="00C16781"/>
    <w:rsid w:val="00C22685"/>
    <w:rsid w:val="00C24264"/>
    <w:rsid w:val="00C26EAF"/>
    <w:rsid w:val="00C2749D"/>
    <w:rsid w:val="00C303B7"/>
    <w:rsid w:val="00C305D6"/>
    <w:rsid w:val="00C30749"/>
    <w:rsid w:val="00C310AA"/>
    <w:rsid w:val="00C33DE0"/>
    <w:rsid w:val="00C35562"/>
    <w:rsid w:val="00C357E1"/>
    <w:rsid w:val="00C36917"/>
    <w:rsid w:val="00C40453"/>
    <w:rsid w:val="00C40D87"/>
    <w:rsid w:val="00C40FF5"/>
    <w:rsid w:val="00C42293"/>
    <w:rsid w:val="00C42AE8"/>
    <w:rsid w:val="00C42E99"/>
    <w:rsid w:val="00C43E35"/>
    <w:rsid w:val="00C46FEC"/>
    <w:rsid w:val="00C47FA9"/>
    <w:rsid w:val="00C50447"/>
    <w:rsid w:val="00C50D7D"/>
    <w:rsid w:val="00C52431"/>
    <w:rsid w:val="00C53D1F"/>
    <w:rsid w:val="00C55B52"/>
    <w:rsid w:val="00C570FA"/>
    <w:rsid w:val="00C60446"/>
    <w:rsid w:val="00C642EC"/>
    <w:rsid w:val="00C669C5"/>
    <w:rsid w:val="00C70835"/>
    <w:rsid w:val="00C74AD0"/>
    <w:rsid w:val="00C75052"/>
    <w:rsid w:val="00C76EC8"/>
    <w:rsid w:val="00C77C77"/>
    <w:rsid w:val="00C77FA9"/>
    <w:rsid w:val="00C813C6"/>
    <w:rsid w:val="00C82414"/>
    <w:rsid w:val="00C86808"/>
    <w:rsid w:val="00C86CD6"/>
    <w:rsid w:val="00C90129"/>
    <w:rsid w:val="00C93989"/>
    <w:rsid w:val="00C9542D"/>
    <w:rsid w:val="00C95E28"/>
    <w:rsid w:val="00C95F69"/>
    <w:rsid w:val="00C97713"/>
    <w:rsid w:val="00CA0D2E"/>
    <w:rsid w:val="00CA19DB"/>
    <w:rsid w:val="00CA2626"/>
    <w:rsid w:val="00CA2891"/>
    <w:rsid w:val="00CA4F59"/>
    <w:rsid w:val="00CA7160"/>
    <w:rsid w:val="00CA79E7"/>
    <w:rsid w:val="00CA7CDC"/>
    <w:rsid w:val="00CB1933"/>
    <w:rsid w:val="00CB1F3F"/>
    <w:rsid w:val="00CB2E84"/>
    <w:rsid w:val="00CB46A0"/>
    <w:rsid w:val="00CB64AE"/>
    <w:rsid w:val="00CC3727"/>
    <w:rsid w:val="00CC3BE4"/>
    <w:rsid w:val="00CC4834"/>
    <w:rsid w:val="00CC4ECE"/>
    <w:rsid w:val="00CD018E"/>
    <w:rsid w:val="00CD2379"/>
    <w:rsid w:val="00CD4359"/>
    <w:rsid w:val="00CD7186"/>
    <w:rsid w:val="00CE21D5"/>
    <w:rsid w:val="00CE3127"/>
    <w:rsid w:val="00CE31F0"/>
    <w:rsid w:val="00CE38C3"/>
    <w:rsid w:val="00CE39D6"/>
    <w:rsid w:val="00CE4C77"/>
    <w:rsid w:val="00CE6AE7"/>
    <w:rsid w:val="00CE6E00"/>
    <w:rsid w:val="00CF1A03"/>
    <w:rsid w:val="00CF21F9"/>
    <w:rsid w:val="00CF340C"/>
    <w:rsid w:val="00CF4224"/>
    <w:rsid w:val="00CF50FC"/>
    <w:rsid w:val="00D02147"/>
    <w:rsid w:val="00D04218"/>
    <w:rsid w:val="00D04635"/>
    <w:rsid w:val="00D04724"/>
    <w:rsid w:val="00D07E9A"/>
    <w:rsid w:val="00D11E6F"/>
    <w:rsid w:val="00D16B1C"/>
    <w:rsid w:val="00D1743C"/>
    <w:rsid w:val="00D20FC1"/>
    <w:rsid w:val="00D214DC"/>
    <w:rsid w:val="00D22031"/>
    <w:rsid w:val="00D22896"/>
    <w:rsid w:val="00D23702"/>
    <w:rsid w:val="00D243E7"/>
    <w:rsid w:val="00D274D1"/>
    <w:rsid w:val="00D27DA0"/>
    <w:rsid w:val="00D33FCC"/>
    <w:rsid w:val="00D34395"/>
    <w:rsid w:val="00D34A70"/>
    <w:rsid w:val="00D35572"/>
    <w:rsid w:val="00D406CC"/>
    <w:rsid w:val="00D4144D"/>
    <w:rsid w:val="00D4310E"/>
    <w:rsid w:val="00D43FBB"/>
    <w:rsid w:val="00D46D86"/>
    <w:rsid w:val="00D50387"/>
    <w:rsid w:val="00D547C1"/>
    <w:rsid w:val="00D54BF1"/>
    <w:rsid w:val="00D559F9"/>
    <w:rsid w:val="00D574C8"/>
    <w:rsid w:val="00D5784E"/>
    <w:rsid w:val="00D57F08"/>
    <w:rsid w:val="00D63234"/>
    <w:rsid w:val="00D64B2A"/>
    <w:rsid w:val="00D64F50"/>
    <w:rsid w:val="00D65728"/>
    <w:rsid w:val="00D675D8"/>
    <w:rsid w:val="00D6792B"/>
    <w:rsid w:val="00D70165"/>
    <w:rsid w:val="00D715AD"/>
    <w:rsid w:val="00D72570"/>
    <w:rsid w:val="00D72633"/>
    <w:rsid w:val="00D731F6"/>
    <w:rsid w:val="00D74652"/>
    <w:rsid w:val="00D74B34"/>
    <w:rsid w:val="00D75184"/>
    <w:rsid w:val="00D7646C"/>
    <w:rsid w:val="00D81343"/>
    <w:rsid w:val="00D82E0E"/>
    <w:rsid w:val="00D841E1"/>
    <w:rsid w:val="00D85AD9"/>
    <w:rsid w:val="00D878C9"/>
    <w:rsid w:val="00D90D0B"/>
    <w:rsid w:val="00D915BE"/>
    <w:rsid w:val="00D91E54"/>
    <w:rsid w:val="00D92329"/>
    <w:rsid w:val="00D93109"/>
    <w:rsid w:val="00D9585D"/>
    <w:rsid w:val="00D95E9E"/>
    <w:rsid w:val="00D964DB"/>
    <w:rsid w:val="00D97007"/>
    <w:rsid w:val="00D97230"/>
    <w:rsid w:val="00DA01DE"/>
    <w:rsid w:val="00DA1B7B"/>
    <w:rsid w:val="00DA1E2F"/>
    <w:rsid w:val="00DA2685"/>
    <w:rsid w:val="00DA3C51"/>
    <w:rsid w:val="00DA409A"/>
    <w:rsid w:val="00DA524A"/>
    <w:rsid w:val="00DA6095"/>
    <w:rsid w:val="00DA70A6"/>
    <w:rsid w:val="00DA70FA"/>
    <w:rsid w:val="00DA758C"/>
    <w:rsid w:val="00DB2BBE"/>
    <w:rsid w:val="00DB348A"/>
    <w:rsid w:val="00DB3E7C"/>
    <w:rsid w:val="00DB4559"/>
    <w:rsid w:val="00DB4A03"/>
    <w:rsid w:val="00DB4F0A"/>
    <w:rsid w:val="00DB5651"/>
    <w:rsid w:val="00DB6018"/>
    <w:rsid w:val="00DB7B86"/>
    <w:rsid w:val="00DC2B05"/>
    <w:rsid w:val="00DC2E17"/>
    <w:rsid w:val="00DC3392"/>
    <w:rsid w:val="00DC3652"/>
    <w:rsid w:val="00DC5700"/>
    <w:rsid w:val="00DC7887"/>
    <w:rsid w:val="00DD1573"/>
    <w:rsid w:val="00DD31A9"/>
    <w:rsid w:val="00DD3CA5"/>
    <w:rsid w:val="00DD3E2F"/>
    <w:rsid w:val="00DD4BE2"/>
    <w:rsid w:val="00DD5EEA"/>
    <w:rsid w:val="00DD74DD"/>
    <w:rsid w:val="00DE06A6"/>
    <w:rsid w:val="00DE3C99"/>
    <w:rsid w:val="00DE457B"/>
    <w:rsid w:val="00DE5468"/>
    <w:rsid w:val="00DE5A55"/>
    <w:rsid w:val="00DE7015"/>
    <w:rsid w:val="00DF0803"/>
    <w:rsid w:val="00DF13CA"/>
    <w:rsid w:val="00DF1AF7"/>
    <w:rsid w:val="00DF232A"/>
    <w:rsid w:val="00E03693"/>
    <w:rsid w:val="00E04D8C"/>
    <w:rsid w:val="00E04DA6"/>
    <w:rsid w:val="00E05D38"/>
    <w:rsid w:val="00E06EED"/>
    <w:rsid w:val="00E1591A"/>
    <w:rsid w:val="00E17589"/>
    <w:rsid w:val="00E20442"/>
    <w:rsid w:val="00E20C88"/>
    <w:rsid w:val="00E2300D"/>
    <w:rsid w:val="00E240EE"/>
    <w:rsid w:val="00E24A3D"/>
    <w:rsid w:val="00E256F0"/>
    <w:rsid w:val="00E302C2"/>
    <w:rsid w:val="00E31B69"/>
    <w:rsid w:val="00E33E6F"/>
    <w:rsid w:val="00E34077"/>
    <w:rsid w:val="00E34523"/>
    <w:rsid w:val="00E35526"/>
    <w:rsid w:val="00E37F34"/>
    <w:rsid w:val="00E37F42"/>
    <w:rsid w:val="00E406C6"/>
    <w:rsid w:val="00E40D5B"/>
    <w:rsid w:val="00E41507"/>
    <w:rsid w:val="00E41F63"/>
    <w:rsid w:val="00E4282C"/>
    <w:rsid w:val="00E45CBE"/>
    <w:rsid w:val="00E47DB7"/>
    <w:rsid w:val="00E50B40"/>
    <w:rsid w:val="00E50C77"/>
    <w:rsid w:val="00E562A1"/>
    <w:rsid w:val="00E565DD"/>
    <w:rsid w:val="00E56EE2"/>
    <w:rsid w:val="00E57522"/>
    <w:rsid w:val="00E6278A"/>
    <w:rsid w:val="00E653A8"/>
    <w:rsid w:val="00E6576D"/>
    <w:rsid w:val="00E67805"/>
    <w:rsid w:val="00E70D0C"/>
    <w:rsid w:val="00E70DF3"/>
    <w:rsid w:val="00E734A1"/>
    <w:rsid w:val="00E73ECB"/>
    <w:rsid w:val="00E75AEF"/>
    <w:rsid w:val="00E80571"/>
    <w:rsid w:val="00E80917"/>
    <w:rsid w:val="00E816B6"/>
    <w:rsid w:val="00E81772"/>
    <w:rsid w:val="00E81775"/>
    <w:rsid w:val="00E81963"/>
    <w:rsid w:val="00E84261"/>
    <w:rsid w:val="00E84B0C"/>
    <w:rsid w:val="00E90685"/>
    <w:rsid w:val="00E92026"/>
    <w:rsid w:val="00E94182"/>
    <w:rsid w:val="00E9495C"/>
    <w:rsid w:val="00E95990"/>
    <w:rsid w:val="00EA059C"/>
    <w:rsid w:val="00EA4AEF"/>
    <w:rsid w:val="00EA4EDA"/>
    <w:rsid w:val="00EA5599"/>
    <w:rsid w:val="00EB10D6"/>
    <w:rsid w:val="00EB1418"/>
    <w:rsid w:val="00EB1820"/>
    <w:rsid w:val="00EB19E4"/>
    <w:rsid w:val="00EB1EB0"/>
    <w:rsid w:val="00EB588B"/>
    <w:rsid w:val="00EB5D6B"/>
    <w:rsid w:val="00EB5FE1"/>
    <w:rsid w:val="00EC00F0"/>
    <w:rsid w:val="00EC1FDD"/>
    <w:rsid w:val="00EC3A08"/>
    <w:rsid w:val="00EC424F"/>
    <w:rsid w:val="00EC44B0"/>
    <w:rsid w:val="00EC77AF"/>
    <w:rsid w:val="00EC782A"/>
    <w:rsid w:val="00ED10C2"/>
    <w:rsid w:val="00ED20D4"/>
    <w:rsid w:val="00ED3364"/>
    <w:rsid w:val="00ED3866"/>
    <w:rsid w:val="00EE26C2"/>
    <w:rsid w:val="00EE44DE"/>
    <w:rsid w:val="00EE45A3"/>
    <w:rsid w:val="00EF02D4"/>
    <w:rsid w:val="00EF3201"/>
    <w:rsid w:val="00EF3E0B"/>
    <w:rsid w:val="00EF3E82"/>
    <w:rsid w:val="00EF6DA3"/>
    <w:rsid w:val="00EF7AC4"/>
    <w:rsid w:val="00F005AF"/>
    <w:rsid w:val="00F01661"/>
    <w:rsid w:val="00F0619B"/>
    <w:rsid w:val="00F071CA"/>
    <w:rsid w:val="00F10505"/>
    <w:rsid w:val="00F1391C"/>
    <w:rsid w:val="00F13B21"/>
    <w:rsid w:val="00F1596B"/>
    <w:rsid w:val="00F17ECA"/>
    <w:rsid w:val="00F21493"/>
    <w:rsid w:val="00F223CC"/>
    <w:rsid w:val="00F230A7"/>
    <w:rsid w:val="00F23593"/>
    <w:rsid w:val="00F27372"/>
    <w:rsid w:val="00F323F8"/>
    <w:rsid w:val="00F34C74"/>
    <w:rsid w:val="00F36A64"/>
    <w:rsid w:val="00F37970"/>
    <w:rsid w:val="00F37C92"/>
    <w:rsid w:val="00F41AFE"/>
    <w:rsid w:val="00F4204A"/>
    <w:rsid w:val="00F42142"/>
    <w:rsid w:val="00F42E80"/>
    <w:rsid w:val="00F43BD1"/>
    <w:rsid w:val="00F44C09"/>
    <w:rsid w:val="00F45D4F"/>
    <w:rsid w:val="00F45EFE"/>
    <w:rsid w:val="00F532CC"/>
    <w:rsid w:val="00F53CD6"/>
    <w:rsid w:val="00F54EAB"/>
    <w:rsid w:val="00F5603F"/>
    <w:rsid w:val="00F57C3B"/>
    <w:rsid w:val="00F640D7"/>
    <w:rsid w:val="00F64F89"/>
    <w:rsid w:val="00F66E9C"/>
    <w:rsid w:val="00F71690"/>
    <w:rsid w:val="00F7648A"/>
    <w:rsid w:val="00F76616"/>
    <w:rsid w:val="00F8158C"/>
    <w:rsid w:val="00F8252B"/>
    <w:rsid w:val="00F85A0C"/>
    <w:rsid w:val="00F92DCA"/>
    <w:rsid w:val="00F93BF2"/>
    <w:rsid w:val="00F95294"/>
    <w:rsid w:val="00F9576F"/>
    <w:rsid w:val="00F9649C"/>
    <w:rsid w:val="00FA2385"/>
    <w:rsid w:val="00FA3E60"/>
    <w:rsid w:val="00FA4F60"/>
    <w:rsid w:val="00FA6FF4"/>
    <w:rsid w:val="00FB01CA"/>
    <w:rsid w:val="00FB0347"/>
    <w:rsid w:val="00FB2A5C"/>
    <w:rsid w:val="00FB501A"/>
    <w:rsid w:val="00FB5243"/>
    <w:rsid w:val="00FB52B7"/>
    <w:rsid w:val="00FB5523"/>
    <w:rsid w:val="00FB7565"/>
    <w:rsid w:val="00FB7EC3"/>
    <w:rsid w:val="00FC16BF"/>
    <w:rsid w:val="00FC27E5"/>
    <w:rsid w:val="00FC2F64"/>
    <w:rsid w:val="00FC31A1"/>
    <w:rsid w:val="00FC4B9F"/>
    <w:rsid w:val="00FC5E44"/>
    <w:rsid w:val="00FD0468"/>
    <w:rsid w:val="00FD16BE"/>
    <w:rsid w:val="00FD1B95"/>
    <w:rsid w:val="00FD2675"/>
    <w:rsid w:val="00FD3203"/>
    <w:rsid w:val="00FD3E54"/>
    <w:rsid w:val="00FD426E"/>
    <w:rsid w:val="00FD4E49"/>
    <w:rsid w:val="00FE2004"/>
    <w:rsid w:val="00FE6469"/>
    <w:rsid w:val="00FF2465"/>
    <w:rsid w:val="00FF50F5"/>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B37D1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3501FE"/>
    <w:rPr>
      <w:color w:val="800080" w:themeColor="followedHyperlink"/>
      <w:u w:val="single"/>
    </w:rPr>
  </w:style>
  <w:style w:type="paragraph" w:customStyle="1" w:styleId="Default">
    <w:name w:val="Default"/>
    <w:rsid w:val="00B535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1pointnumerotealtn">
    <w:name w:val="c01pointnumerotealtn"/>
    <w:basedOn w:val="Normal"/>
    <w:rsid w:val="003C16F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61623030">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29104184">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040740720">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523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web/viewer.html?file=/wp-content/uploads/2017/04/2017-12-01_Spriedum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jsessionid=A8F91BE3610346189817E9DFB7F8A8E7?text=&amp;docid=82050&amp;pageIndex=0&amp;doclang=lv&amp;mode=lst&amp;dir=&amp;occ=first&amp;part=1&amp;cid=14589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456987.pdf" TargetMode="External"/><Relationship Id="rId4" Type="http://schemas.openxmlformats.org/officeDocument/2006/relationships/settings" Target="settings.xml"/><Relationship Id="rId9" Type="http://schemas.openxmlformats.org/officeDocument/2006/relationships/hyperlink" Target="https://www.at.gov.lv/downloadlawfile/43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B350-0CD5-4F41-910A-9806D30A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5466</Words>
  <Characters>31159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2023-10-10T06:00:00Z</dcterms:created>
  <dcterms:modified xsi:type="dcterms:W3CDTF">2023-11-14T07:07:00Z</dcterms:modified>
</cp:coreProperties>
</file>