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98273" w14:textId="77777777" w:rsidR="002A7E97" w:rsidRDefault="002A7E97" w:rsidP="00F77A89">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Procesa dalībnieka tiesības iesniegt iesniegumu par rakstveida pierādījuma viltošanu </w:t>
      </w:r>
    </w:p>
    <w:p w14:paraId="74CE6EC9" w14:textId="77777777" w:rsidR="002A7E97" w:rsidRDefault="002A7E97" w:rsidP="00F77A89">
      <w:pPr>
        <w:autoSpaceDE w:val="0"/>
        <w:autoSpaceDN w:val="0"/>
        <w:spacing w:line="276" w:lineRule="auto"/>
        <w:jc w:val="both"/>
        <w:rPr>
          <w:rFonts w:ascii="TimesNewRomanPSMT" w:hAnsi="TimesNewRomanPSMT"/>
          <w:b/>
          <w:bCs/>
        </w:rPr>
      </w:pPr>
      <w:r>
        <w:rPr>
          <w:rFonts w:ascii="TimesNewRomanPSMT" w:hAnsi="TimesNewRomanPSMT"/>
        </w:rPr>
        <w:t xml:space="preserve">Situāciju, kurā viens no procesa dalībniekiem norāda uz rakstveida pierādījuma viltojumu, regulē Administratīvā procesa likuma </w:t>
      </w:r>
      <w:proofErr w:type="gramStart"/>
      <w:r>
        <w:rPr>
          <w:rFonts w:ascii="TimesNewRomanPSMT" w:hAnsi="TimesNewRomanPSMT"/>
        </w:rPr>
        <w:t>236.pants</w:t>
      </w:r>
      <w:proofErr w:type="gramEnd"/>
      <w:r>
        <w:rPr>
          <w:rFonts w:ascii="TimesNewRomanPSMT" w:hAnsi="TimesNewRomanPSMT"/>
        </w:rPr>
        <w:t xml:space="preserve">. Šīs normas piemērošanā nav nozīmes tam, vai procesa dalībnieks ir vērsies policijā par pierādījuma viltošanas fakta atzīšanu. Tāpat tās piemērošana nav ierobežota atkarībā no tā, vai rakstveida pierādījuma saturs skar civiltiesiskas dabas jautājumu. </w:t>
      </w:r>
    </w:p>
    <w:p w14:paraId="1E36B57C" w14:textId="0C0CD683" w:rsidR="00497220" w:rsidRDefault="002A7E97" w:rsidP="00F77A89">
      <w:pPr>
        <w:autoSpaceDE w:val="0"/>
        <w:autoSpaceDN w:val="0"/>
        <w:spacing w:line="276" w:lineRule="auto"/>
        <w:jc w:val="both"/>
        <w:rPr>
          <w:rFonts w:ascii="TimesNewRomanPSMT" w:hAnsi="TimesNewRomanPSMT"/>
        </w:rPr>
      </w:pPr>
      <w:r>
        <w:rPr>
          <w:rFonts w:ascii="TimesNewRomanPSMT" w:hAnsi="TimesNewRomanPSMT"/>
        </w:rPr>
        <w:t xml:space="preserve">Minētajā pantā paredzētās tiesības iesniegt iesniegumu par pierādījuma viltojumu nevar tikt vērtētas formāli un liegtas, piemēram, tikai tādēļ, ka procesa dalībnieks šādu iesniegumu nav noformējis kā atsevišķu procesuālu dokumentu. Normas piemērošanā būtiski ir vienīgi tas, vai procesa dalībnieks pēc būtības ir pietiekami konkrēti izteicis iebildumus saistībā ar tiesai iesniegta rakstveida pierādījuma viltošanu. </w:t>
      </w:r>
    </w:p>
    <w:p w14:paraId="638E0C65" w14:textId="77777777" w:rsidR="002A7E97" w:rsidRPr="002A7E97" w:rsidRDefault="002A7E97" w:rsidP="00F77A89">
      <w:pPr>
        <w:autoSpaceDE w:val="0"/>
        <w:autoSpaceDN w:val="0"/>
        <w:spacing w:line="276" w:lineRule="auto"/>
        <w:jc w:val="both"/>
        <w:rPr>
          <w:rFonts w:ascii="TimesNewRomanPSMT" w:hAnsi="TimesNewRomanPSMT"/>
        </w:rPr>
      </w:pPr>
    </w:p>
    <w:p w14:paraId="33DD063A" w14:textId="6E5192ED" w:rsidR="00497220" w:rsidRPr="002A7E97" w:rsidRDefault="002A7E97" w:rsidP="00F77A89">
      <w:pPr>
        <w:spacing w:line="276" w:lineRule="auto"/>
        <w:jc w:val="center"/>
        <w:rPr>
          <w:b/>
        </w:rPr>
      </w:pPr>
      <w:r w:rsidRPr="002A7E97">
        <w:rPr>
          <w:b/>
        </w:rPr>
        <w:t>Latvijas Republikas Senāta</w:t>
      </w:r>
      <w:bookmarkStart w:id="0" w:name="_GoBack"/>
      <w:bookmarkEnd w:id="0"/>
    </w:p>
    <w:p w14:paraId="487C9449" w14:textId="1D4A475C" w:rsidR="002A7E97" w:rsidRPr="002A7E97" w:rsidRDefault="002A7E97" w:rsidP="00F77A89">
      <w:pPr>
        <w:spacing w:line="276" w:lineRule="auto"/>
        <w:jc w:val="center"/>
        <w:rPr>
          <w:b/>
        </w:rPr>
      </w:pPr>
      <w:r w:rsidRPr="002A7E97">
        <w:rPr>
          <w:b/>
        </w:rPr>
        <w:t>Administratīvo lietu departamenta</w:t>
      </w:r>
    </w:p>
    <w:p w14:paraId="2402DFA3" w14:textId="326023CE" w:rsidR="002A7E97" w:rsidRPr="002A7E97" w:rsidRDefault="002A7E97" w:rsidP="00F77A89">
      <w:pPr>
        <w:spacing w:line="276" w:lineRule="auto"/>
        <w:jc w:val="center"/>
        <w:rPr>
          <w:b/>
        </w:rPr>
      </w:pPr>
      <w:proofErr w:type="gramStart"/>
      <w:r w:rsidRPr="002A7E97">
        <w:rPr>
          <w:b/>
        </w:rPr>
        <w:t>2023.gada</w:t>
      </w:r>
      <w:proofErr w:type="gramEnd"/>
      <w:r w:rsidRPr="002A7E97">
        <w:rPr>
          <w:b/>
        </w:rPr>
        <w:t xml:space="preserve"> 11.septembra</w:t>
      </w:r>
    </w:p>
    <w:p w14:paraId="4144B10B" w14:textId="77777777" w:rsidR="00497220" w:rsidRPr="002A7E97" w:rsidRDefault="00497220" w:rsidP="00F77A89">
      <w:pPr>
        <w:spacing w:line="276" w:lineRule="auto"/>
        <w:jc w:val="center"/>
      </w:pPr>
      <w:r w:rsidRPr="002A7E97">
        <w:rPr>
          <w:b/>
        </w:rPr>
        <w:t>SPRIEDUMS</w:t>
      </w:r>
    </w:p>
    <w:p w14:paraId="1943524C" w14:textId="369A9E0E" w:rsidR="000066FD" w:rsidRPr="002A7E97" w:rsidRDefault="002A7E97" w:rsidP="00F77A89">
      <w:pPr>
        <w:spacing w:line="276" w:lineRule="auto"/>
        <w:jc w:val="center"/>
        <w:rPr>
          <w:b/>
          <w:lang w:eastAsia="lv-LV"/>
        </w:rPr>
      </w:pPr>
      <w:r w:rsidRPr="002A7E97">
        <w:rPr>
          <w:b/>
          <w:lang w:eastAsia="lv-LV"/>
        </w:rPr>
        <w:t>Lieta Nr. A420145420, SKA-162/2023</w:t>
      </w:r>
    </w:p>
    <w:p w14:paraId="64AE4152" w14:textId="78D13680" w:rsidR="002A7E97" w:rsidRDefault="002A7E97" w:rsidP="00F77A89">
      <w:pPr>
        <w:spacing w:line="276" w:lineRule="auto"/>
        <w:jc w:val="center"/>
      </w:pPr>
      <w:hyperlink r:id="rId6" w:history="1">
        <w:r w:rsidRPr="002A7E97">
          <w:rPr>
            <w:rStyle w:val="Hyperlink"/>
            <w:rFonts w:ascii="TimesNewRomanPSMT" w:eastAsiaTheme="minorHAnsi" w:hAnsi="TimesNewRomanPSMT" w:cs="TimesNewRomanPSMT"/>
            <w:lang w:val="en-US" w:eastAsia="en-US"/>
          </w:rPr>
          <w:t>ECLI</w:t>
        </w:r>
        <w:proofErr w:type="gramStart"/>
        <w:r w:rsidRPr="002A7E97">
          <w:rPr>
            <w:rStyle w:val="Hyperlink"/>
            <w:rFonts w:ascii="TimesNewRomanPSMT" w:eastAsiaTheme="minorHAnsi" w:hAnsi="TimesNewRomanPSMT" w:cs="TimesNewRomanPSMT"/>
            <w:lang w:val="en-US" w:eastAsia="en-US"/>
          </w:rPr>
          <w:t>:LV:AT:2023:0911.A420145420.9.S</w:t>
        </w:r>
        <w:proofErr w:type="gramEnd"/>
      </w:hyperlink>
    </w:p>
    <w:p w14:paraId="5B7E705B" w14:textId="77777777" w:rsidR="002A7E97" w:rsidRPr="00E40ED2" w:rsidRDefault="002A7E97" w:rsidP="00F77A89">
      <w:pPr>
        <w:spacing w:line="276" w:lineRule="auto"/>
        <w:jc w:val="center"/>
      </w:pPr>
    </w:p>
    <w:p w14:paraId="46B8FADD" w14:textId="77777777" w:rsidR="0015276E" w:rsidRPr="00E40ED2" w:rsidRDefault="00497220" w:rsidP="00F77A89">
      <w:pPr>
        <w:spacing w:line="276" w:lineRule="auto"/>
        <w:ind w:firstLine="720"/>
        <w:jc w:val="both"/>
      </w:pPr>
      <w:r w:rsidRPr="00E40ED2">
        <w:t>Senāts šādā sastāvā:</w:t>
      </w:r>
      <w:r w:rsidR="0015276E" w:rsidRPr="00E40ED2">
        <w:t xml:space="preserve"> senatore referente Ieva Višķere, senatores Ilze Freimane un Rudīte Vīduša</w:t>
      </w:r>
    </w:p>
    <w:p w14:paraId="417CC52E" w14:textId="77777777" w:rsidR="0015276E" w:rsidRPr="00E40ED2" w:rsidRDefault="0015276E" w:rsidP="00F77A89">
      <w:pPr>
        <w:spacing w:line="276" w:lineRule="auto"/>
        <w:ind w:firstLine="720"/>
        <w:jc w:val="both"/>
      </w:pPr>
    </w:p>
    <w:p w14:paraId="6AA547D4" w14:textId="6F63BDA5" w:rsidR="0015276E" w:rsidRPr="00E40ED2" w:rsidRDefault="0015276E" w:rsidP="00F77A89">
      <w:pPr>
        <w:spacing w:line="276" w:lineRule="auto"/>
        <w:ind w:firstLine="720"/>
        <w:jc w:val="both"/>
        <w:rPr>
          <w:lang w:eastAsia="lv-LV"/>
        </w:rPr>
      </w:pPr>
      <w:r w:rsidRPr="00E40ED2">
        <w:rPr>
          <w:lang w:eastAsia="lv-LV"/>
        </w:rPr>
        <w:t xml:space="preserve">rakstveida procesā izskatīja administratīvo lietu, kas ierosināta, pamatojoties uz </w:t>
      </w:r>
      <w:r w:rsidR="00F77A89">
        <w:rPr>
          <w:lang w:eastAsia="lv-LV"/>
        </w:rPr>
        <w:t xml:space="preserve">[pers. A] </w:t>
      </w:r>
      <w:r w:rsidRPr="00E40ED2">
        <w:rPr>
          <w:lang w:eastAsia="lv-LV"/>
        </w:rPr>
        <w:t xml:space="preserve">pieteikumu par Rīgas domes Pilsētas attīstības departamenta </w:t>
      </w:r>
      <w:proofErr w:type="gramStart"/>
      <w:r w:rsidRPr="00E40ED2">
        <w:rPr>
          <w:lang w:eastAsia="lv-LV"/>
        </w:rPr>
        <w:t>2020.gada</w:t>
      </w:r>
      <w:proofErr w:type="gramEnd"/>
      <w:r w:rsidRPr="00E40ED2">
        <w:rPr>
          <w:lang w:eastAsia="lv-LV"/>
        </w:rPr>
        <w:t xml:space="preserve"> 14.februāra lēmuma Nr. DA-20-177-ap atcelšanu, sakarā ar </w:t>
      </w:r>
      <w:r w:rsidR="00F77A89">
        <w:rPr>
          <w:lang w:eastAsia="lv-LV"/>
        </w:rPr>
        <w:t xml:space="preserve">[pers. A] </w:t>
      </w:r>
      <w:r w:rsidRPr="00E40ED2">
        <w:rPr>
          <w:lang w:eastAsia="lv-LV"/>
        </w:rPr>
        <w:t xml:space="preserve">kasācijas sūdzību par </w:t>
      </w:r>
      <w:r w:rsidRPr="00E40ED2">
        <w:rPr>
          <w:lang w:eastAsia="lv-LV"/>
        </w:rPr>
        <w:lastRenderedPageBreak/>
        <w:t>Administratīvās apgabaltiesas 2021.gada 10.marta spriedumu.</w:t>
      </w:r>
    </w:p>
    <w:p w14:paraId="61C19337" w14:textId="77777777" w:rsidR="000066FD" w:rsidRPr="00E40ED2" w:rsidRDefault="000066FD" w:rsidP="00F77A89">
      <w:pPr>
        <w:spacing w:line="276" w:lineRule="auto"/>
        <w:ind w:firstLine="720"/>
        <w:jc w:val="both"/>
        <w:rPr>
          <w:lang w:eastAsia="lv-LV"/>
        </w:rPr>
      </w:pPr>
    </w:p>
    <w:p w14:paraId="5A3980D7" w14:textId="77777777" w:rsidR="00497220" w:rsidRPr="00E40ED2" w:rsidRDefault="00497220" w:rsidP="00F77A89">
      <w:pPr>
        <w:spacing w:line="276" w:lineRule="auto"/>
        <w:jc w:val="center"/>
        <w:rPr>
          <w:b/>
          <w:shd w:val="clear" w:color="auto" w:fill="FFFFFF"/>
        </w:rPr>
      </w:pPr>
      <w:r w:rsidRPr="00E40ED2">
        <w:rPr>
          <w:b/>
          <w:shd w:val="clear" w:color="auto" w:fill="FFFFFF"/>
        </w:rPr>
        <w:t>Aprakstošā daļa</w:t>
      </w:r>
    </w:p>
    <w:p w14:paraId="6B10AC78" w14:textId="77777777" w:rsidR="000066FD" w:rsidRPr="00E40ED2" w:rsidRDefault="000066FD" w:rsidP="00F77A89">
      <w:pPr>
        <w:spacing w:line="276" w:lineRule="auto"/>
        <w:jc w:val="center"/>
        <w:rPr>
          <w:shd w:val="clear" w:color="auto" w:fill="FFFFFF"/>
        </w:rPr>
      </w:pPr>
    </w:p>
    <w:p w14:paraId="41819D22" w14:textId="5E3A7F82" w:rsidR="005F518F" w:rsidRPr="00F4759E" w:rsidRDefault="00497220" w:rsidP="00F77A89">
      <w:pPr>
        <w:pStyle w:val="NormalWeb"/>
        <w:shd w:val="clear" w:color="auto" w:fill="FFFFFF"/>
        <w:spacing w:before="0" w:beforeAutospacing="0" w:after="0" w:afterAutospacing="0" w:line="276" w:lineRule="auto"/>
        <w:ind w:firstLine="720"/>
        <w:jc w:val="both"/>
        <w:rPr>
          <w:shd w:val="clear" w:color="auto" w:fill="FFFFFF"/>
        </w:rPr>
      </w:pPr>
      <w:r w:rsidRPr="00E40ED2">
        <w:rPr>
          <w:shd w:val="clear" w:color="auto" w:fill="FFFFFF"/>
        </w:rPr>
        <w:t>[1]</w:t>
      </w:r>
      <w:r w:rsidR="00190DF8" w:rsidRPr="00E40ED2">
        <w:rPr>
          <w:shd w:val="clear" w:color="auto" w:fill="FFFFFF"/>
        </w:rPr>
        <w:t xml:space="preserve"> </w:t>
      </w:r>
      <w:r w:rsidR="005F518F" w:rsidRPr="00E40ED2">
        <w:rPr>
          <w:shd w:val="clear" w:color="auto" w:fill="FFFFFF"/>
        </w:rPr>
        <w:t xml:space="preserve">Rīgas pilsētas būvvalde </w:t>
      </w:r>
      <w:proofErr w:type="gramStart"/>
      <w:r w:rsidR="005F518F" w:rsidRPr="00E40ED2">
        <w:rPr>
          <w:shd w:val="clear" w:color="auto" w:fill="FFFFFF"/>
        </w:rPr>
        <w:t>2019.gada</w:t>
      </w:r>
      <w:proofErr w:type="gramEnd"/>
      <w:r w:rsidR="005F518F" w:rsidRPr="00E40ED2">
        <w:rPr>
          <w:shd w:val="clear" w:color="auto" w:fill="FFFFFF"/>
        </w:rPr>
        <w:t xml:space="preserve"> 1.novembrī nekustamā īpašuma</w:t>
      </w:r>
      <w:r w:rsidR="005E4941">
        <w:rPr>
          <w:shd w:val="clear" w:color="auto" w:fill="FFFFFF"/>
        </w:rPr>
        <w:t xml:space="preserve">, kas sastāv </w:t>
      </w:r>
      <w:r w:rsidR="005E4941" w:rsidRPr="00F4759E">
        <w:rPr>
          <w:shd w:val="clear" w:color="auto" w:fill="FFFFFF"/>
        </w:rPr>
        <w:t>no sešām būvēm</w:t>
      </w:r>
      <w:r w:rsidR="00F77A89">
        <w:rPr>
          <w:shd w:val="clear" w:color="auto" w:fill="FFFFFF"/>
        </w:rPr>
        <w:t xml:space="preserve"> [adrese]</w:t>
      </w:r>
      <w:r w:rsidR="00C43AB5" w:rsidRPr="00E40ED2">
        <w:rPr>
          <w:shd w:val="clear" w:color="auto" w:fill="FFFFFF"/>
        </w:rPr>
        <w:t xml:space="preserve">, </w:t>
      </w:r>
      <w:proofErr w:type="spellStart"/>
      <w:r w:rsidR="005F518F" w:rsidRPr="00E40ED2">
        <w:rPr>
          <w:shd w:val="clear" w:color="auto" w:fill="FFFFFF"/>
        </w:rPr>
        <w:t>kopīpašniecei</w:t>
      </w:r>
      <w:proofErr w:type="spellEnd"/>
      <w:r w:rsidR="005F518F" w:rsidRPr="00E40ED2">
        <w:rPr>
          <w:shd w:val="clear" w:color="auto" w:fill="FFFFFF"/>
        </w:rPr>
        <w:t xml:space="preserve"> akciju sabiedrībai „</w:t>
      </w:r>
      <w:proofErr w:type="spellStart"/>
      <w:r w:rsidR="005F518F" w:rsidRPr="00E40ED2">
        <w:rPr>
          <w:shd w:val="clear" w:color="auto" w:fill="FFFFFF"/>
        </w:rPr>
        <w:t>Somdaris</w:t>
      </w:r>
      <w:proofErr w:type="spellEnd"/>
      <w:r w:rsidR="005F518F" w:rsidRPr="00E40ED2">
        <w:rPr>
          <w:shd w:val="clear" w:color="auto" w:fill="FFFFFF"/>
        </w:rPr>
        <w:t xml:space="preserve">” </w:t>
      </w:r>
      <w:r w:rsidR="00F90B1E">
        <w:rPr>
          <w:shd w:val="clear" w:color="auto" w:fill="FFFFFF"/>
        </w:rPr>
        <w:t>(šajā lietā pieaicināta trešās personas statusā)</w:t>
      </w:r>
      <w:r w:rsidR="005F518F" w:rsidRPr="00E40ED2">
        <w:rPr>
          <w:shd w:val="clear" w:color="auto" w:fill="FFFFFF"/>
        </w:rPr>
        <w:t xml:space="preserve"> izdeva būvatļauju Nr. BV-19-973-abv/V </w:t>
      </w:r>
      <w:r w:rsidR="00C43AB5" w:rsidRPr="00E40ED2">
        <w:rPr>
          <w:shd w:val="clear" w:color="auto" w:fill="FFFFFF"/>
        </w:rPr>
        <w:t xml:space="preserve">trīs </w:t>
      </w:r>
      <w:r w:rsidR="005F518F" w:rsidRPr="00E40ED2">
        <w:rPr>
          <w:shd w:val="clear" w:color="auto" w:fill="FFFFFF"/>
        </w:rPr>
        <w:t xml:space="preserve">ražošanas un noliktavu ēku nojaukšanai </w:t>
      </w:r>
      <w:r w:rsidR="005F518F" w:rsidRPr="00F4759E">
        <w:rPr>
          <w:shd w:val="clear" w:color="auto" w:fill="FFFFFF"/>
        </w:rPr>
        <w:t>(turpmāk – strīdus būvatļauja)</w:t>
      </w:r>
      <w:r w:rsidR="002A5314" w:rsidRPr="00F4759E">
        <w:rPr>
          <w:shd w:val="clear" w:color="auto" w:fill="FFFFFF"/>
        </w:rPr>
        <w:t>.</w:t>
      </w:r>
      <w:r w:rsidR="00F90B1E" w:rsidRPr="00F4759E">
        <w:rPr>
          <w:shd w:val="clear" w:color="auto" w:fill="FFFFFF"/>
        </w:rPr>
        <w:t xml:space="preserve"> Iestāde konstatēja, ka nekustamā īpašuma kopīpašnieks – pieteicējs</w:t>
      </w:r>
      <w:r w:rsidR="00F77A89">
        <w:rPr>
          <w:shd w:val="clear" w:color="auto" w:fill="FFFFFF"/>
        </w:rPr>
        <w:t xml:space="preserve"> </w:t>
      </w:r>
      <w:r w:rsidR="00F77A89">
        <w:t xml:space="preserve">[pers. A] </w:t>
      </w:r>
      <w:r w:rsidR="00F90B1E" w:rsidRPr="00F4759E">
        <w:rPr>
          <w:shd w:val="clear" w:color="auto" w:fill="FFFFFF"/>
        </w:rPr>
        <w:t xml:space="preserve">– savu piekrišanu būvniecībai ir devis ar </w:t>
      </w:r>
      <w:r w:rsidR="00F90B1E" w:rsidRPr="00F4759E">
        <w:t>2019.gada 30.aprīļa vienošanos starp kopīpašniekiem (turpmāk – strīdus vienošanās).</w:t>
      </w:r>
    </w:p>
    <w:p w14:paraId="6BCE08A4" w14:textId="617812F9" w:rsidR="002A5314" w:rsidRPr="00F4759E" w:rsidRDefault="002A5314" w:rsidP="00F77A89">
      <w:pPr>
        <w:pStyle w:val="NormalWeb"/>
        <w:shd w:val="clear" w:color="auto" w:fill="FFFFFF"/>
        <w:spacing w:before="0" w:beforeAutospacing="0" w:after="0" w:afterAutospacing="0" w:line="276" w:lineRule="auto"/>
        <w:ind w:firstLine="720"/>
        <w:jc w:val="both"/>
        <w:rPr>
          <w:shd w:val="clear" w:color="auto" w:fill="FFFFFF"/>
        </w:rPr>
      </w:pPr>
      <w:r w:rsidRPr="00F4759E">
        <w:rPr>
          <w:shd w:val="clear" w:color="auto" w:fill="FFFFFF"/>
        </w:rPr>
        <w:lastRenderedPageBreak/>
        <w:t xml:space="preserve">Nepiekrītot strīdus būvatļaujai, </w:t>
      </w:r>
      <w:r w:rsidR="00C43AB5" w:rsidRPr="00F4759E">
        <w:rPr>
          <w:shd w:val="clear" w:color="auto" w:fill="FFFFFF"/>
        </w:rPr>
        <w:t>pieteicējs to apstrīdēja. Rīgas domes Pilsētas attīstības departaments (turpmāk – departaments)</w:t>
      </w:r>
      <w:r w:rsidR="00415667" w:rsidRPr="00F4759E">
        <w:rPr>
          <w:shd w:val="clear" w:color="auto" w:fill="FFFFFF"/>
        </w:rPr>
        <w:t xml:space="preserve"> ar </w:t>
      </w:r>
      <w:proofErr w:type="gramStart"/>
      <w:r w:rsidR="00415667" w:rsidRPr="00F4759E">
        <w:rPr>
          <w:shd w:val="clear" w:color="auto" w:fill="FFFFFF"/>
        </w:rPr>
        <w:t>2020.gada</w:t>
      </w:r>
      <w:proofErr w:type="gramEnd"/>
      <w:r w:rsidR="00415667" w:rsidRPr="00F4759E">
        <w:rPr>
          <w:shd w:val="clear" w:color="auto" w:fill="FFFFFF"/>
        </w:rPr>
        <w:t xml:space="preserve"> </w:t>
      </w:r>
      <w:r w:rsidR="00415667" w:rsidRPr="00F4759E">
        <w:t xml:space="preserve">14.februāra lēmumu Nr. DA-20-177-ap  </w:t>
      </w:r>
      <w:r w:rsidR="00415667" w:rsidRPr="00F4759E">
        <w:rPr>
          <w:shd w:val="clear" w:color="auto" w:fill="FFFFFF"/>
        </w:rPr>
        <w:t>strīdus būvatļauju atstāja negrozītu.</w:t>
      </w:r>
    </w:p>
    <w:p w14:paraId="4C3053EC" w14:textId="34111966" w:rsidR="00415667" w:rsidRPr="00E40ED2" w:rsidRDefault="00203268" w:rsidP="00F77A89">
      <w:pPr>
        <w:pStyle w:val="NormalWeb"/>
        <w:shd w:val="clear" w:color="auto" w:fill="FFFFFF"/>
        <w:spacing w:before="0" w:beforeAutospacing="0" w:after="0" w:afterAutospacing="0" w:line="276" w:lineRule="auto"/>
        <w:ind w:firstLine="720"/>
        <w:jc w:val="both"/>
        <w:rPr>
          <w:shd w:val="clear" w:color="auto" w:fill="FFFFFF"/>
        </w:rPr>
      </w:pPr>
      <w:r w:rsidRPr="00F4759E">
        <w:rPr>
          <w:shd w:val="clear" w:color="auto" w:fill="FFFFFF"/>
        </w:rPr>
        <w:t>P</w:t>
      </w:r>
      <w:r w:rsidR="00415667" w:rsidRPr="00F4759E">
        <w:rPr>
          <w:shd w:val="clear" w:color="auto" w:fill="FFFFFF"/>
        </w:rPr>
        <w:t xml:space="preserve">ieteicējs vērsās tiesā </w:t>
      </w:r>
      <w:r w:rsidRPr="00F4759E">
        <w:rPr>
          <w:shd w:val="clear" w:color="auto" w:fill="FFFFFF"/>
        </w:rPr>
        <w:t xml:space="preserve">ar pieteikumu par </w:t>
      </w:r>
      <w:r w:rsidR="00F4759E" w:rsidRPr="00F4759E">
        <w:rPr>
          <w:shd w:val="clear" w:color="auto" w:fill="FFFFFF"/>
        </w:rPr>
        <w:t>minētā</w:t>
      </w:r>
      <w:r w:rsidRPr="00F4759E">
        <w:rPr>
          <w:shd w:val="clear" w:color="auto" w:fill="FFFFFF"/>
        </w:rPr>
        <w:t xml:space="preserve"> lēmuma</w:t>
      </w:r>
      <w:r w:rsidR="00415667" w:rsidRPr="00F4759E">
        <w:rPr>
          <w:shd w:val="clear" w:color="auto" w:fill="FFFFFF"/>
        </w:rPr>
        <w:t xml:space="preserve"> atcelšanu.</w:t>
      </w:r>
    </w:p>
    <w:p w14:paraId="3C833B2D" w14:textId="77777777" w:rsidR="00D43808" w:rsidRPr="00E40ED2" w:rsidRDefault="00D43808" w:rsidP="00F77A89">
      <w:pPr>
        <w:pStyle w:val="NormalWeb"/>
        <w:shd w:val="clear" w:color="auto" w:fill="FFFFFF"/>
        <w:spacing w:before="0" w:beforeAutospacing="0" w:after="0" w:afterAutospacing="0" w:line="276" w:lineRule="auto"/>
        <w:ind w:firstLine="720"/>
        <w:jc w:val="both"/>
        <w:rPr>
          <w:shd w:val="clear" w:color="auto" w:fill="FFFFFF"/>
        </w:rPr>
      </w:pPr>
    </w:p>
    <w:p w14:paraId="38C14583" w14:textId="4E22CFD6" w:rsidR="00DA0510" w:rsidRPr="00F4759E" w:rsidRDefault="00190DF8" w:rsidP="00F77A89">
      <w:pPr>
        <w:autoSpaceDE w:val="0"/>
        <w:autoSpaceDN w:val="0"/>
        <w:adjustRightInd w:val="0"/>
        <w:spacing w:line="276" w:lineRule="auto"/>
        <w:ind w:firstLine="720"/>
        <w:jc w:val="both"/>
      </w:pPr>
      <w:r w:rsidRPr="00E40ED2">
        <w:t>[</w:t>
      </w:r>
      <w:r w:rsidR="00415667" w:rsidRPr="00E40ED2">
        <w:t>2</w:t>
      </w:r>
      <w:r w:rsidRPr="00E40ED2">
        <w:t xml:space="preserve">] Ar Administratīvās apgabaltiesas </w:t>
      </w:r>
      <w:proofErr w:type="gramStart"/>
      <w:r w:rsidRPr="00DA0510">
        <w:t>2021.gada</w:t>
      </w:r>
      <w:proofErr w:type="gramEnd"/>
      <w:r w:rsidRPr="00DA0510">
        <w:t xml:space="preserve"> 10.marta spriedumu</w:t>
      </w:r>
      <w:r w:rsidR="00B36996" w:rsidRPr="00DA0510">
        <w:t xml:space="preserve">, </w:t>
      </w:r>
      <w:proofErr w:type="spellStart"/>
      <w:r w:rsidR="00B36996" w:rsidRPr="00DA0510">
        <w:t>citstarp</w:t>
      </w:r>
      <w:proofErr w:type="spellEnd"/>
      <w:r w:rsidR="00B36996" w:rsidRPr="00DA0510">
        <w:t xml:space="preserve"> pievienojoties rajona tiesas </w:t>
      </w:r>
      <w:r w:rsidR="006E75BC" w:rsidRPr="00DA0510">
        <w:t xml:space="preserve">sprieduma </w:t>
      </w:r>
      <w:r w:rsidR="00986DD4" w:rsidRPr="00DA0510">
        <w:t>mot</w:t>
      </w:r>
      <w:r w:rsidR="00AD0B63">
        <w:t>ivācijai</w:t>
      </w:r>
      <w:r w:rsidR="00B36996" w:rsidRPr="00DA0510">
        <w:t>,</w:t>
      </w:r>
      <w:r w:rsidRPr="00DA0510">
        <w:t xml:space="preserve"> pieteikums noraidīts. Spriedums pamatots ar turpmāk minētajiem </w:t>
      </w:r>
      <w:r w:rsidRPr="00F4759E">
        <w:t>argumentiem.</w:t>
      </w:r>
      <w:r w:rsidR="009C641A" w:rsidRPr="00F4759E">
        <w:t xml:space="preserve"> </w:t>
      </w:r>
    </w:p>
    <w:p w14:paraId="02745B27" w14:textId="0F8C1A26" w:rsidR="0063568F" w:rsidRPr="00E40ED2" w:rsidRDefault="006A5E59" w:rsidP="00F77A89">
      <w:pPr>
        <w:autoSpaceDE w:val="0"/>
        <w:autoSpaceDN w:val="0"/>
        <w:adjustRightInd w:val="0"/>
        <w:spacing w:line="276" w:lineRule="auto"/>
        <w:ind w:firstLine="720"/>
        <w:jc w:val="both"/>
      </w:pPr>
      <w:r w:rsidRPr="00F4759E">
        <w:t>[</w:t>
      </w:r>
      <w:r w:rsidR="00AB7EB8" w:rsidRPr="00F4759E">
        <w:t>2.1</w:t>
      </w:r>
      <w:r w:rsidRPr="00F4759E">
        <w:t xml:space="preserve">] </w:t>
      </w:r>
      <w:proofErr w:type="gramStart"/>
      <w:r w:rsidR="009C641A" w:rsidRPr="00F4759E">
        <w:rPr>
          <w:rFonts w:eastAsiaTheme="minorHAnsi"/>
          <w:lang w:eastAsia="en-US"/>
        </w:rPr>
        <w:t>2001.gada</w:t>
      </w:r>
      <w:proofErr w:type="gramEnd"/>
      <w:r w:rsidR="009C641A" w:rsidRPr="00F4759E">
        <w:rPr>
          <w:rFonts w:eastAsiaTheme="minorHAnsi"/>
          <w:lang w:eastAsia="en-US"/>
        </w:rPr>
        <w:t xml:space="preserve"> 11.aprīlī, noslēdzot pirkuma līgumu par nekustamā īpašuma domājamo daļu iegādi</w:t>
      </w:r>
      <w:r w:rsidR="00DA0510" w:rsidRPr="00F4759E">
        <w:t xml:space="preserve"> (turpmāk – Pirkuma līgums)</w:t>
      </w:r>
      <w:r w:rsidR="009C641A" w:rsidRPr="00F4759E">
        <w:rPr>
          <w:rFonts w:eastAsiaTheme="minorHAnsi"/>
          <w:lang w:eastAsia="en-US"/>
        </w:rPr>
        <w:t xml:space="preserve">, </w:t>
      </w:r>
      <w:r w:rsidR="000C7EDD" w:rsidRPr="00F4759E">
        <w:rPr>
          <w:rFonts w:eastAsiaTheme="minorHAnsi"/>
          <w:lang w:eastAsia="en-US"/>
        </w:rPr>
        <w:t>pieteicējs</w:t>
      </w:r>
      <w:r w:rsidR="009C641A" w:rsidRPr="00F4759E">
        <w:rPr>
          <w:rFonts w:eastAsiaTheme="minorHAnsi"/>
          <w:lang w:eastAsia="en-US"/>
        </w:rPr>
        <w:t xml:space="preserve"> ir piekritis tam, ka viņa īpašumā un lietošanā pāriet veikala telpas 71,3</w:t>
      </w:r>
      <w:r w:rsidR="009C641A" w:rsidRPr="00DD459B">
        <w:rPr>
          <w:rFonts w:eastAsiaTheme="minorHAnsi"/>
          <w:lang w:eastAsia="en-US"/>
        </w:rPr>
        <w:t xml:space="preserve"> m</w:t>
      </w:r>
      <w:r w:rsidR="009C641A" w:rsidRPr="00DD459B">
        <w:rPr>
          <w:rFonts w:eastAsiaTheme="minorHAnsi"/>
          <w:vertAlign w:val="superscript"/>
          <w:lang w:eastAsia="en-US"/>
        </w:rPr>
        <w:t>2</w:t>
      </w:r>
      <w:r w:rsidR="009C641A" w:rsidRPr="00DD459B">
        <w:rPr>
          <w:rFonts w:eastAsiaTheme="minorHAnsi"/>
          <w:lang w:eastAsia="en-US"/>
        </w:rPr>
        <w:t xml:space="preserve"> platībā divstāvu </w:t>
      </w:r>
      <w:r w:rsidR="000C7EDD">
        <w:rPr>
          <w:rFonts w:eastAsiaTheme="minorHAnsi"/>
          <w:lang w:eastAsia="en-US"/>
        </w:rPr>
        <w:t xml:space="preserve">koka </w:t>
      </w:r>
      <w:r w:rsidR="009C641A" w:rsidRPr="00DD459B">
        <w:rPr>
          <w:rFonts w:eastAsiaTheme="minorHAnsi"/>
          <w:lang w:eastAsia="en-US"/>
        </w:rPr>
        <w:t xml:space="preserve">kantora ēkas pirmajā stāvā, kā arī kopīgā lietošanā ar citiem kopīpašniekiem pāriet šīs ēkas gaiteņi </w:t>
      </w:r>
      <w:r w:rsidR="009C641A" w:rsidRPr="00DD459B">
        <w:rPr>
          <w:rFonts w:eastAsiaTheme="minorHAnsi"/>
          <w:lang w:eastAsia="en-US"/>
        </w:rPr>
        <w:lastRenderedPageBreak/>
        <w:t xml:space="preserve">un kāpņu telpas, kas nodrošina piekļūšanu katra īpašnieka īpašumā nostiprinātajām telpām. </w:t>
      </w:r>
      <w:r w:rsidR="00DA0510">
        <w:rPr>
          <w:rFonts w:eastAsiaTheme="minorHAnsi"/>
          <w:lang w:eastAsia="en-US"/>
        </w:rPr>
        <w:t>Vienlaikus šajā līgumā p</w:t>
      </w:r>
      <w:r w:rsidR="00DA0510" w:rsidRPr="00DD459B">
        <w:rPr>
          <w:rFonts w:eastAsiaTheme="minorHAnsi"/>
          <w:lang w:eastAsia="en-US"/>
        </w:rPr>
        <w:t>ieteicējs arī apņēmies</w:t>
      </w:r>
      <w:r w:rsidR="001711C9">
        <w:rPr>
          <w:rFonts w:eastAsiaTheme="minorHAnsi"/>
          <w:lang w:eastAsia="en-US"/>
        </w:rPr>
        <w:t xml:space="preserve"> </w:t>
      </w:r>
      <w:r w:rsidR="001711C9" w:rsidRPr="00DD459B">
        <w:rPr>
          <w:rFonts w:eastAsiaTheme="minorHAnsi"/>
          <w:lang w:eastAsia="en-US"/>
        </w:rPr>
        <w:t>neiebilst pret būvniecību tajās kopīpašuma daļās, kur tā var notikt bez atsevišķas saskaņošanas ar citiem kopīpašniekiem</w:t>
      </w:r>
      <w:r w:rsidR="00DA0510" w:rsidRPr="00DD459B">
        <w:rPr>
          <w:rFonts w:eastAsiaTheme="minorHAnsi"/>
          <w:lang w:eastAsia="en-US"/>
        </w:rPr>
        <w:t>.</w:t>
      </w:r>
      <w:r w:rsidR="00DA0510">
        <w:rPr>
          <w:rFonts w:eastAsiaTheme="minorHAnsi"/>
          <w:lang w:eastAsia="en-US"/>
        </w:rPr>
        <w:t xml:space="preserve"> </w:t>
      </w:r>
      <w:r w:rsidR="00DA0510" w:rsidRPr="00DD459B">
        <w:rPr>
          <w:rFonts w:eastAsiaTheme="minorHAnsi"/>
          <w:lang w:eastAsia="en-US"/>
        </w:rPr>
        <w:t xml:space="preserve">Tādējādi jau </w:t>
      </w:r>
      <w:r w:rsidR="00DA0510">
        <w:rPr>
          <w:rFonts w:eastAsiaTheme="minorHAnsi"/>
          <w:lang w:eastAsia="en-US"/>
        </w:rPr>
        <w:t xml:space="preserve">no Pirkuma līguma ir </w:t>
      </w:r>
      <w:r w:rsidR="0063568F" w:rsidRPr="00DA0510">
        <w:t>konstatējama</w:t>
      </w:r>
      <w:r w:rsidR="00B36996" w:rsidRPr="00DA0510">
        <w:t xml:space="preserve"> pieteicēja piekrišana būvniecībai citu kopīpašnieku lietošanā esošajā daļā ar nosacījumu, ka </w:t>
      </w:r>
      <w:r w:rsidR="002213F3" w:rsidRPr="00DA0510">
        <w:t>attiecīgā būvniecība</w:t>
      </w:r>
      <w:r w:rsidR="00B36996" w:rsidRPr="00DA0510">
        <w:t xml:space="preserve"> nepasliktinās viņa īpašuma daļas lietošanas tiesības. </w:t>
      </w:r>
      <w:r w:rsidR="004E2798" w:rsidRPr="00DA0510">
        <w:t xml:space="preserve">Arī </w:t>
      </w:r>
      <w:r w:rsidR="00F90B1E">
        <w:t>strīdus vienošanās</w:t>
      </w:r>
      <w:r w:rsidR="004E2798" w:rsidRPr="00DA0510">
        <w:t xml:space="preserve"> </w:t>
      </w:r>
      <w:r w:rsidR="001778E9">
        <w:t>ietver</w:t>
      </w:r>
      <w:r w:rsidR="004E2798" w:rsidRPr="00DA0510">
        <w:t xml:space="preserve"> atkārtot</w:t>
      </w:r>
      <w:r w:rsidR="00777023">
        <w:t>u</w:t>
      </w:r>
      <w:r w:rsidR="004E2798" w:rsidRPr="00DA0510">
        <w:t xml:space="preserve"> pieteicēja</w:t>
      </w:r>
      <w:r w:rsidR="004E2798" w:rsidRPr="00E40ED2">
        <w:t xml:space="preserve"> </w:t>
      </w:r>
      <w:r w:rsidR="00F93343" w:rsidRPr="00E40ED2">
        <w:t>piekrišan</w:t>
      </w:r>
      <w:r w:rsidR="00777023">
        <w:t>u</w:t>
      </w:r>
      <w:r w:rsidR="00F93343" w:rsidRPr="00E40ED2">
        <w:t xml:space="preserve"> būvniecībai trešās personas atsevišķā lietošanā esošajā nekustamā īpašuma daļā.</w:t>
      </w:r>
      <w:r w:rsidR="00F259FB">
        <w:t xml:space="preserve"> </w:t>
      </w:r>
      <w:r w:rsidR="0010131C" w:rsidRPr="00E40ED2">
        <w:t>Pieteicējam, vienojoties par kopīpašuma atsevišķo lieto</w:t>
      </w:r>
      <w:r w:rsidR="00986DD4">
        <w:t>šanu</w:t>
      </w:r>
      <w:r w:rsidR="0010131C" w:rsidRPr="00E40ED2">
        <w:t>, bija jāsaprot, ka viņš piekrīt citu kopīpašnieku autonomai rīcībai ar viņu lieto</w:t>
      </w:r>
      <w:r w:rsidR="00F259FB">
        <w:t>šanā</w:t>
      </w:r>
      <w:r w:rsidR="0010131C" w:rsidRPr="00E40ED2">
        <w:t xml:space="preserve"> esošo mantu.</w:t>
      </w:r>
    </w:p>
    <w:p w14:paraId="439E5EE8" w14:textId="57EE0919" w:rsidR="0010131C" w:rsidRPr="00E40ED2" w:rsidRDefault="0010131C" w:rsidP="00F77A89">
      <w:pPr>
        <w:pStyle w:val="NormalWeb"/>
        <w:shd w:val="clear" w:color="auto" w:fill="FFFFFF"/>
        <w:spacing w:before="0" w:beforeAutospacing="0" w:after="0" w:afterAutospacing="0" w:line="276" w:lineRule="auto"/>
        <w:ind w:firstLine="720"/>
        <w:jc w:val="both"/>
      </w:pPr>
      <w:r w:rsidRPr="00E40ED2">
        <w:t>[</w:t>
      </w:r>
      <w:r w:rsidR="00AB7EB8" w:rsidRPr="00E40ED2">
        <w:t>2.2</w:t>
      </w:r>
      <w:r w:rsidRPr="00E40ED2">
        <w:t>]</w:t>
      </w:r>
      <w:r w:rsidR="004135AA">
        <w:t xml:space="preserve"> Ņemot vērā Būvniecības likuma </w:t>
      </w:r>
      <w:proofErr w:type="gramStart"/>
      <w:r w:rsidR="004135AA">
        <w:t>1.panta</w:t>
      </w:r>
      <w:proofErr w:type="gramEnd"/>
      <w:r w:rsidR="004135AA">
        <w:t xml:space="preserve"> 2. un 12.punktu, a</w:t>
      </w:r>
      <w:r w:rsidRPr="00E40ED2">
        <w:t xml:space="preserve">tļauja veikt būvniecību iekļauj arī atļauju veikt darbus, lai nojauktu būvi. Tādējādi, ja pieteicējs ir sniedzis atļauju trešajai personai veikt būvniecību trešās </w:t>
      </w:r>
      <w:r w:rsidRPr="00E40ED2">
        <w:lastRenderedPageBreak/>
        <w:t>personas atsevišķā lietošanā nodotajās ēkās, pieteicējs šajā atļaujā ir iekļāvis arī tiesības šīs ēkas nojaukt.</w:t>
      </w:r>
    </w:p>
    <w:p w14:paraId="1ED83843" w14:textId="113A2E3F" w:rsidR="008D0550" w:rsidRPr="00E40ED2" w:rsidRDefault="00F93343" w:rsidP="00F77A89">
      <w:pPr>
        <w:pStyle w:val="NormalWeb"/>
        <w:shd w:val="clear" w:color="auto" w:fill="FFFFFF"/>
        <w:spacing w:before="0" w:beforeAutospacing="0" w:after="0" w:afterAutospacing="0" w:line="276" w:lineRule="auto"/>
        <w:ind w:firstLine="720"/>
        <w:jc w:val="both"/>
      </w:pPr>
      <w:r w:rsidRPr="00E40ED2">
        <w:t>[</w:t>
      </w:r>
      <w:r w:rsidR="00AB7EB8" w:rsidRPr="00E40ED2">
        <w:t>2.3</w:t>
      </w:r>
      <w:r w:rsidRPr="00E40ED2">
        <w:t xml:space="preserve">] Ne pašvaldības iestādēm, ne arī tiesai šajā lietā nav pamata secināt, ka </w:t>
      </w:r>
      <w:r w:rsidR="008D0550" w:rsidRPr="00E40ED2">
        <w:t xml:space="preserve">strīdus </w:t>
      </w:r>
      <w:r w:rsidRPr="00E40ED2">
        <w:t>vienošanās būtu viltota.</w:t>
      </w:r>
      <w:r w:rsidR="008D0550" w:rsidRPr="00E40ED2">
        <w:t xml:space="preserve"> Gadījumā, ja pieteicējs uzskata, </w:t>
      </w:r>
      <w:r w:rsidR="00DD7E8C">
        <w:t xml:space="preserve">ka vienošanās ir viltota, </w:t>
      </w:r>
      <w:r w:rsidR="008D0550" w:rsidRPr="00E40ED2">
        <w:t>tieši viņam ir jāvēršas ar iesniegumu par dokumentu viltošanu Valsts policijā vai ar prasību atzīt šo vienošanos par spēkā neesošu vispārējās jurisdikcijas tiesā.</w:t>
      </w:r>
    </w:p>
    <w:p w14:paraId="5A9EE26E" w14:textId="5B2E0DA5" w:rsidR="00B3182B" w:rsidRPr="00E40ED2" w:rsidRDefault="004B55A1" w:rsidP="00F77A89">
      <w:pPr>
        <w:pStyle w:val="NormalWeb"/>
        <w:shd w:val="clear" w:color="auto" w:fill="FFFFFF"/>
        <w:spacing w:before="0" w:beforeAutospacing="0" w:after="0" w:afterAutospacing="0" w:line="276" w:lineRule="auto"/>
        <w:ind w:firstLine="720"/>
        <w:jc w:val="both"/>
      </w:pPr>
      <w:r w:rsidRPr="00E40ED2">
        <w:t>[</w:t>
      </w:r>
      <w:r w:rsidR="00AB7EB8" w:rsidRPr="00E40ED2">
        <w:t>2.4</w:t>
      </w:r>
      <w:r w:rsidRPr="00E40ED2">
        <w:t xml:space="preserve">] </w:t>
      </w:r>
      <w:r w:rsidR="00DD7E8C">
        <w:t xml:space="preserve">Strīdus </w:t>
      </w:r>
      <w:r w:rsidR="00DD7E8C" w:rsidRPr="00E40ED2">
        <w:t>būvniecība paredzēta t</w:t>
      </w:r>
      <w:r w:rsidR="00DD7E8C">
        <w:t>rešās personas</w:t>
      </w:r>
      <w:r w:rsidR="00DD7E8C" w:rsidRPr="00E40ED2">
        <w:t xml:space="preserve"> atsevišķā lietošanā esošajā nekustamā īpašuma daļā, un tās rezultātā netiek skart</w:t>
      </w:r>
      <w:r w:rsidR="006D065A">
        <w:t>s</w:t>
      </w:r>
      <w:r w:rsidR="00DD7E8C" w:rsidRPr="00E40ED2">
        <w:t xml:space="preserve"> </w:t>
      </w:r>
      <w:r w:rsidR="006D065A">
        <w:t>Pirkuma līgumā minētais pirkuma objekts – pieteicēja veikala telpas.</w:t>
      </w:r>
      <w:r w:rsidR="00DD7E8C">
        <w:t xml:space="preserve"> Proti, s</w:t>
      </w:r>
      <w:r w:rsidRPr="00E40ED2">
        <w:t>trīdus būvatļauja paredz nojaukt</w:t>
      </w:r>
      <w:r w:rsidR="00A62B1E" w:rsidRPr="00E40ED2">
        <w:t xml:space="preserve"> tikai daļu no</w:t>
      </w:r>
      <w:r w:rsidRPr="00E40ED2">
        <w:t xml:space="preserve"> zemesgabal</w:t>
      </w:r>
      <w:r w:rsidR="00DD7E8C">
        <w:t>ā</w:t>
      </w:r>
      <w:r w:rsidRPr="00E40ED2">
        <w:t xml:space="preserve"> esošajām ēkām, neskarot ēku, kur</w:t>
      </w:r>
      <w:r w:rsidR="006D065A">
        <w:t>ā</w:t>
      </w:r>
      <w:r w:rsidRPr="00E40ED2">
        <w:t xml:space="preserve"> atrodas pieteicēja </w:t>
      </w:r>
      <w:r w:rsidR="00913D53">
        <w:t xml:space="preserve">īpašumā un </w:t>
      </w:r>
      <w:r w:rsidRPr="00E40ED2">
        <w:t>lietošanā esošais veikals. Tādējādi arī pēc šo ēku nojaukšanas pieteicēja atsevišķā lietošanā būs tieši tās pašas telpas.</w:t>
      </w:r>
    </w:p>
    <w:p w14:paraId="570BB8D0" w14:textId="77777777" w:rsidR="00190DF8" w:rsidRPr="00E40ED2" w:rsidRDefault="00190DF8" w:rsidP="00F77A89">
      <w:pPr>
        <w:pStyle w:val="NormalWeb"/>
        <w:shd w:val="clear" w:color="auto" w:fill="FFFFFF"/>
        <w:spacing w:before="0" w:beforeAutospacing="0" w:after="0" w:afterAutospacing="0" w:line="276" w:lineRule="auto"/>
        <w:ind w:firstLine="720"/>
        <w:jc w:val="both"/>
      </w:pPr>
    </w:p>
    <w:p w14:paraId="77BDEFC2" w14:textId="419DB499" w:rsidR="00190DF8" w:rsidRPr="00E40ED2" w:rsidRDefault="00190DF8" w:rsidP="00F77A89">
      <w:pPr>
        <w:pStyle w:val="NormalWeb"/>
        <w:shd w:val="clear" w:color="auto" w:fill="FFFFFF"/>
        <w:spacing w:before="0" w:beforeAutospacing="0" w:after="0" w:afterAutospacing="0" w:line="276" w:lineRule="auto"/>
        <w:ind w:firstLine="720"/>
        <w:jc w:val="both"/>
      </w:pPr>
      <w:r w:rsidRPr="00E40ED2">
        <w:lastRenderedPageBreak/>
        <w:t>[</w:t>
      </w:r>
      <w:r w:rsidR="00AB7EB8" w:rsidRPr="00E40ED2">
        <w:t>3</w:t>
      </w:r>
      <w:r w:rsidRPr="00E40ED2">
        <w:t>] Pieteicējs par apgabaltiesas spriedumu iesniedza kasācijas sūdzību. Tā pamatota ar turpmāk izklāstītajiem argumentiem.</w:t>
      </w:r>
    </w:p>
    <w:p w14:paraId="14FF0816" w14:textId="3F9F4C2B" w:rsidR="002A367C" w:rsidRPr="00E40ED2" w:rsidRDefault="00B360E7" w:rsidP="00F77A89">
      <w:pPr>
        <w:pStyle w:val="NormalWeb"/>
        <w:shd w:val="clear" w:color="auto" w:fill="FFFFFF"/>
        <w:spacing w:before="0" w:beforeAutospacing="0" w:after="0" w:afterAutospacing="0" w:line="276" w:lineRule="auto"/>
        <w:ind w:firstLine="720"/>
        <w:jc w:val="both"/>
      </w:pPr>
      <w:r w:rsidRPr="00E40ED2">
        <w:t>[</w:t>
      </w:r>
      <w:r w:rsidR="00AB7EB8" w:rsidRPr="00E40ED2">
        <w:t>3.</w:t>
      </w:r>
      <w:r w:rsidR="00922963">
        <w:t>1</w:t>
      </w:r>
      <w:r w:rsidRPr="00E40ED2">
        <w:t xml:space="preserve">] Pie nepareizas lietas izspriešanas novedis apgabaltiesas secinājums, ka ar </w:t>
      </w:r>
      <w:r w:rsidR="00254313">
        <w:t>P</w:t>
      </w:r>
      <w:r w:rsidRPr="00E40ED2">
        <w:t xml:space="preserve">irkuma līgumu pieteicējs ir devis piekrišanu </w:t>
      </w:r>
      <w:r w:rsidR="008653B6">
        <w:t xml:space="preserve">arī tādai </w:t>
      </w:r>
      <w:r w:rsidRPr="00E40ED2">
        <w:t xml:space="preserve">būvniecībai, kas </w:t>
      </w:r>
      <w:r w:rsidR="00254313">
        <w:t>izpaužas kā</w:t>
      </w:r>
      <w:r w:rsidRPr="00E40ED2">
        <w:t xml:space="preserve"> nojaukšana.</w:t>
      </w:r>
      <w:r w:rsidR="00EA3BC6" w:rsidRPr="00E40ED2">
        <w:t xml:space="preserve"> </w:t>
      </w:r>
      <w:r w:rsidR="00922963">
        <w:t>Apgabaltiesa nav ņēmusi vērā, ka atbilstoši Senāta atziņām</w:t>
      </w:r>
      <w:r w:rsidR="00EA3BC6" w:rsidRPr="00E40ED2">
        <w:t xml:space="preserve"> </w:t>
      </w:r>
      <w:r w:rsidR="009671CF" w:rsidRPr="00E40ED2">
        <w:t xml:space="preserve">no </w:t>
      </w:r>
      <w:r w:rsidR="00254313">
        <w:t xml:space="preserve">kopīpašnieka </w:t>
      </w:r>
      <w:r w:rsidR="009671CF" w:rsidRPr="00E40ED2">
        <w:t xml:space="preserve">saskaņojuma jābūt </w:t>
      </w:r>
      <w:r w:rsidR="00254313">
        <w:t>nepārprotami skaidram,</w:t>
      </w:r>
      <w:r w:rsidR="009671CF" w:rsidRPr="00E40ED2">
        <w:t xml:space="preserve"> ka kopīpašnieks patiešām piekritis konkrēta veida būvdarbiem konkrētajā kopīpašuma daļā.</w:t>
      </w:r>
      <w:r w:rsidR="00CA71A6">
        <w:t xml:space="preserve"> </w:t>
      </w:r>
      <w:r w:rsidR="004135AA">
        <w:t>Ar Pirkuma līgumu p</w:t>
      </w:r>
      <w:r w:rsidR="004F0B85" w:rsidRPr="00E40ED2">
        <w:t>ieteicējs n</w:t>
      </w:r>
      <w:r w:rsidR="00254313">
        <w:t>av</w:t>
      </w:r>
      <w:r w:rsidR="004F0B85" w:rsidRPr="00E40ED2">
        <w:t xml:space="preserve"> piekritis </w:t>
      </w:r>
      <w:r w:rsidR="00254313">
        <w:t>kop</w:t>
      </w:r>
      <w:r w:rsidR="004F0B85" w:rsidRPr="00E40ED2">
        <w:t>īpašuma nojaukšanai</w:t>
      </w:r>
      <w:r w:rsidR="00396776">
        <w:t xml:space="preserve">, bet tikai tādai būvniecībai, kurai atbilstoši </w:t>
      </w:r>
      <w:r w:rsidR="006D065A">
        <w:t xml:space="preserve">būvniecības </w:t>
      </w:r>
      <w:r w:rsidR="00396776">
        <w:t>tiesību normām nav nepieciešama visu kopīpašnieku piekrišana</w:t>
      </w:r>
      <w:r w:rsidR="004F0B85" w:rsidRPr="00E40ED2">
        <w:t xml:space="preserve">. </w:t>
      </w:r>
    </w:p>
    <w:p w14:paraId="146EA31C" w14:textId="23DE2A69" w:rsidR="004F0B85" w:rsidRDefault="004F0B85" w:rsidP="00F77A89">
      <w:pPr>
        <w:pStyle w:val="NormalWeb"/>
        <w:shd w:val="clear" w:color="auto" w:fill="FFFFFF"/>
        <w:spacing w:before="0" w:beforeAutospacing="0" w:after="0" w:afterAutospacing="0" w:line="276" w:lineRule="auto"/>
        <w:ind w:firstLine="720"/>
        <w:jc w:val="both"/>
      </w:pPr>
      <w:r w:rsidRPr="00E40ED2">
        <w:t>[</w:t>
      </w:r>
      <w:r w:rsidR="00AB7EB8" w:rsidRPr="00E40ED2">
        <w:t>3.</w:t>
      </w:r>
      <w:r w:rsidR="00922963">
        <w:t>2</w:t>
      </w:r>
      <w:r w:rsidRPr="00E40ED2">
        <w:t>]</w:t>
      </w:r>
      <w:r w:rsidR="008179D2" w:rsidRPr="00E40ED2">
        <w:t xml:space="preserve"> Trešā persona ir iesniegusi</w:t>
      </w:r>
      <w:proofErr w:type="gramStart"/>
      <w:r w:rsidR="00014DB7">
        <w:t xml:space="preserve"> un</w:t>
      </w:r>
      <w:proofErr w:type="gramEnd"/>
      <w:r w:rsidR="00014DB7">
        <w:t xml:space="preserve"> tiesa kā pierādījumu ir pieņēmusi </w:t>
      </w:r>
      <w:r w:rsidR="00AB1F09" w:rsidRPr="00E40ED2">
        <w:t xml:space="preserve">strīdus </w:t>
      </w:r>
      <w:r w:rsidR="008179D2" w:rsidRPr="00E40ED2">
        <w:t>vienošanās kopiju, k</w:t>
      </w:r>
      <w:r w:rsidR="00014DB7">
        <w:t xml:space="preserve">aut arī pieteicējs ir norādījis, ka šādu vienošanos nav parakstījis, tā </w:t>
      </w:r>
      <w:r w:rsidR="00014DB7">
        <w:lastRenderedPageBreak/>
        <w:t>ir viltota un trešā persona nav uzrādījusi šādas vienošanās oriģinālu.</w:t>
      </w:r>
    </w:p>
    <w:p w14:paraId="05055E1E" w14:textId="7ED6611F" w:rsidR="00922963" w:rsidRPr="00E40ED2" w:rsidRDefault="00922963" w:rsidP="00F77A89">
      <w:pPr>
        <w:pStyle w:val="NormalWeb"/>
        <w:shd w:val="clear" w:color="auto" w:fill="FFFFFF"/>
        <w:spacing w:before="0" w:beforeAutospacing="0" w:after="0" w:afterAutospacing="0" w:line="276" w:lineRule="auto"/>
        <w:ind w:firstLine="720"/>
        <w:jc w:val="both"/>
      </w:pPr>
      <w:r w:rsidRPr="00E40ED2">
        <w:t>[3.</w:t>
      </w:r>
      <w:r>
        <w:t>3</w:t>
      </w:r>
      <w:r w:rsidRPr="00E40ED2">
        <w:t xml:space="preserve">] Izskatot lietu, kļūdaini atzīts, ka </w:t>
      </w:r>
      <w:r>
        <w:t xml:space="preserve">ēku nojaukšana neskars pieteicēja īpašuma tiesības un lietošanas tiesības. </w:t>
      </w:r>
      <w:r w:rsidR="00927CDE">
        <w:t xml:space="preserve">Pretēji tiesas atzītajam </w:t>
      </w:r>
      <w:r w:rsidR="009C641A" w:rsidRPr="00E40ED2">
        <w:t xml:space="preserve">pieteicējam īpašuma tiesības </w:t>
      </w:r>
      <w:r w:rsidR="00927CDE">
        <w:t xml:space="preserve">nav </w:t>
      </w:r>
      <w:r w:rsidR="009C641A" w:rsidRPr="00E40ED2">
        <w:t>nostiprinātas uz konkrēt</w:t>
      </w:r>
      <w:r w:rsidR="001778E9">
        <w:t>ām</w:t>
      </w:r>
      <w:r w:rsidR="009C641A" w:rsidRPr="00E40ED2">
        <w:t xml:space="preserve"> telp</w:t>
      </w:r>
      <w:r w:rsidR="001778E9">
        <w:t>ām</w:t>
      </w:r>
      <w:r w:rsidR="009C641A" w:rsidRPr="00E40ED2">
        <w:t xml:space="preserve"> – veikal</w:t>
      </w:r>
      <w:r w:rsidR="001778E9">
        <w:t>u</w:t>
      </w:r>
      <w:r w:rsidR="009C641A" w:rsidRPr="00E40ED2">
        <w:t xml:space="preserve"> 71,3 m</w:t>
      </w:r>
      <w:r w:rsidR="009C641A" w:rsidRPr="00E40ED2">
        <w:rPr>
          <w:vertAlign w:val="superscript"/>
        </w:rPr>
        <w:t xml:space="preserve">2 </w:t>
      </w:r>
      <w:r w:rsidR="009C641A" w:rsidRPr="00E40ED2">
        <w:t>platībā</w:t>
      </w:r>
      <w:r w:rsidR="00927CDE">
        <w:t>, pieteicējam uz šīm telpām ir nostiprinātas tikai lietošanas tiesības</w:t>
      </w:r>
      <w:r w:rsidR="009C641A" w:rsidRPr="00E40ED2">
        <w:t xml:space="preserve">. Lietošanas un īpašuma tiesībām ir </w:t>
      </w:r>
      <w:r w:rsidR="00927CDE">
        <w:t>atšķirīgs</w:t>
      </w:r>
      <w:r w:rsidR="009C641A" w:rsidRPr="00E40ED2">
        <w:t xml:space="preserve"> saturs. </w:t>
      </w:r>
      <w:r>
        <w:t>Tiesa nav ņēmusi vērā</w:t>
      </w:r>
      <w:r w:rsidRPr="00E40ED2">
        <w:t>, ka pieteicējam zemesgrāmatā nostiprinātas īpašuma tiesības uz 713/50517 domājamām daļām no visām sešām būvēm</w:t>
      </w:r>
      <w:r>
        <w:t xml:space="preserve"> un atbilstoši tam </w:t>
      </w:r>
      <w:r w:rsidR="001778E9">
        <w:t xml:space="preserve">arī </w:t>
      </w:r>
      <w:r>
        <w:t xml:space="preserve">noteiktas lietošanas tiesības uz telpām 71,3 </w:t>
      </w:r>
      <w:r w:rsidRPr="00E40ED2">
        <w:t>m</w:t>
      </w:r>
      <w:r w:rsidRPr="00E40ED2">
        <w:rPr>
          <w:vertAlign w:val="superscript"/>
        </w:rPr>
        <w:t>2</w:t>
      </w:r>
      <w:r>
        <w:rPr>
          <w:vertAlign w:val="superscript"/>
        </w:rPr>
        <w:t xml:space="preserve"> </w:t>
      </w:r>
      <w:r w:rsidRPr="00A31BFD">
        <w:t>platībā</w:t>
      </w:r>
      <w:r w:rsidRPr="00E40ED2">
        <w:t xml:space="preserve">. Nojaucot trīs ēkas, </w:t>
      </w:r>
      <w:r>
        <w:t xml:space="preserve">uz </w:t>
      </w:r>
      <w:r w:rsidRPr="00E40ED2">
        <w:t>atlikušajām trijām ēkām pieteicējam īpašumtiesības joprojām būs tikai 713/50517 domājamās daļas, kas neatbildīs vairs līdzšinējai lietošanas platībai 71,3 m</w:t>
      </w:r>
      <w:r w:rsidRPr="00E40ED2">
        <w:rPr>
          <w:vertAlign w:val="superscript"/>
        </w:rPr>
        <w:t>2</w:t>
      </w:r>
      <w:r w:rsidRPr="00E40ED2">
        <w:t xml:space="preserve">. </w:t>
      </w:r>
      <w:r>
        <w:t>Šādos apstākļos</w:t>
      </w:r>
      <w:r w:rsidRPr="00E40ED2">
        <w:t xml:space="preserve"> </w:t>
      </w:r>
      <w:r>
        <w:t>trešā persona</w:t>
      </w:r>
      <w:r w:rsidRPr="00E40ED2">
        <w:t xml:space="preserve"> </w:t>
      </w:r>
      <w:r w:rsidR="001778E9">
        <w:t xml:space="preserve">atbilstoši </w:t>
      </w:r>
      <w:r w:rsidR="001778E9">
        <w:lastRenderedPageBreak/>
        <w:t xml:space="preserve">Civillikuma </w:t>
      </w:r>
      <w:proofErr w:type="gramStart"/>
      <w:r w:rsidR="001778E9">
        <w:t>1070.pantam</w:t>
      </w:r>
      <w:proofErr w:type="gramEnd"/>
      <w:r w:rsidR="001778E9">
        <w:t xml:space="preserve"> </w:t>
      </w:r>
      <w:r>
        <w:t xml:space="preserve">varēs </w:t>
      </w:r>
      <w:r w:rsidRPr="00E40ED2">
        <w:t>pieprasī</w:t>
      </w:r>
      <w:r>
        <w:t>t</w:t>
      </w:r>
      <w:r w:rsidRPr="00E40ED2">
        <w:t xml:space="preserve"> pārskatīt pieteicējam pienākošās lietojamās daļas atbilstību </w:t>
      </w:r>
      <w:r w:rsidR="00927CDE">
        <w:t xml:space="preserve">pieteicējam piederošo </w:t>
      </w:r>
      <w:r w:rsidRPr="00E40ED2">
        <w:t>domājam</w:t>
      </w:r>
      <w:r w:rsidR="00927CDE">
        <w:t xml:space="preserve">o daļu </w:t>
      </w:r>
      <w:r w:rsidR="00E73135">
        <w:t>lielumam</w:t>
      </w:r>
      <w:r w:rsidRPr="00E40ED2">
        <w:t xml:space="preserve">. </w:t>
      </w:r>
    </w:p>
    <w:p w14:paraId="777C7372" w14:textId="77777777" w:rsidR="00922963" w:rsidRPr="00E40ED2" w:rsidRDefault="00922963" w:rsidP="00F77A89">
      <w:pPr>
        <w:pStyle w:val="NormalWeb"/>
        <w:shd w:val="clear" w:color="auto" w:fill="FFFFFF"/>
        <w:spacing w:before="0" w:beforeAutospacing="0" w:after="0" w:afterAutospacing="0" w:line="276" w:lineRule="auto"/>
        <w:ind w:firstLine="720"/>
        <w:jc w:val="both"/>
      </w:pPr>
    </w:p>
    <w:p w14:paraId="412BC3DD" w14:textId="46A52860" w:rsidR="00E27063" w:rsidRPr="00E40ED2" w:rsidRDefault="00190DF8" w:rsidP="00F77A89">
      <w:pPr>
        <w:pStyle w:val="NormalWeb"/>
        <w:shd w:val="clear" w:color="auto" w:fill="FFFFFF"/>
        <w:spacing w:before="0" w:beforeAutospacing="0" w:after="0" w:afterAutospacing="0" w:line="276" w:lineRule="auto"/>
        <w:ind w:firstLine="720"/>
        <w:jc w:val="both"/>
        <w:rPr>
          <w:shd w:val="clear" w:color="auto" w:fill="FFFFFF"/>
        </w:rPr>
      </w:pPr>
      <w:r w:rsidRPr="00E40ED2">
        <w:rPr>
          <w:shd w:val="clear" w:color="auto" w:fill="FFFFFF"/>
        </w:rPr>
        <w:t>[</w:t>
      </w:r>
      <w:r w:rsidR="00AB7EB8" w:rsidRPr="00E40ED2">
        <w:rPr>
          <w:shd w:val="clear" w:color="auto" w:fill="FFFFFF"/>
        </w:rPr>
        <w:t>4</w:t>
      </w:r>
      <w:r w:rsidRPr="00E40ED2">
        <w:rPr>
          <w:shd w:val="clear" w:color="auto" w:fill="FFFFFF"/>
        </w:rPr>
        <w:t xml:space="preserve">] </w:t>
      </w:r>
      <w:r w:rsidR="00587E7A" w:rsidRPr="00E40ED2">
        <w:rPr>
          <w:shd w:val="clear" w:color="auto" w:fill="FFFFFF"/>
        </w:rPr>
        <w:t xml:space="preserve">Departaments </w:t>
      </w:r>
      <w:r w:rsidR="00AF749F">
        <w:rPr>
          <w:shd w:val="clear" w:color="auto" w:fill="FFFFFF"/>
        </w:rPr>
        <w:t xml:space="preserve">un trešā persona </w:t>
      </w:r>
      <w:r w:rsidR="00587E7A" w:rsidRPr="00E40ED2">
        <w:rPr>
          <w:shd w:val="clear" w:color="auto" w:fill="FFFFFF"/>
        </w:rPr>
        <w:t>iesnie</w:t>
      </w:r>
      <w:r w:rsidR="00AF749F">
        <w:rPr>
          <w:shd w:val="clear" w:color="auto" w:fill="FFFFFF"/>
        </w:rPr>
        <w:t>guši</w:t>
      </w:r>
      <w:r w:rsidR="00587E7A" w:rsidRPr="00E40ED2">
        <w:rPr>
          <w:shd w:val="clear" w:color="auto" w:fill="FFFFFF"/>
        </w:rPr>
        <w:t xml:space="preserve"> paskaidrojumus, kuros </w:t>
      </w:r>
      <w:r w:rsidR="00597B03" w:rsidRPr="00E40ED2">
        <w:rPr>
          <w:shd w:val="clear" w:color="auto" w:fill="FFFFFF"/>
        </w:rPr>
        <w:t>norādīts</w:t>
      </w:r>
      <w:r w:rsidR="00AF749F">
        <w:rPr>
          <w:shd w:val="clear" w:color="auto" w:fill="FFFFFF"/>
        </w:rPr>
        <w:t>, ka pieteicēja kasācijas sūdzība ir</w:t>
      </w:r>
      <w:proofErr w:type="gramStart"/>
      <w:r w:rsidR="00AF749F">
        <w:rPr>
          <w:shd w:val="clear" w:color="auto" w:fill="FFFFFF"/>
        </w:rPr>
        <w:t xml:space="preserve"> vērsta uz pierādījumu pārvērtēšanu</w:t>
      </w:r>
      <w:proofErr w:type="gramEnd"/>
      <w:r w:rsidR="00AF749F">
        <w:rPr>
          <w:shd w:val="clear" w:color="auto" w:fill="FFFFFF"/>
        </w:rPr>
        <w:t>, ka jau Pirkuma līguma noslēgšanas laikā jēdzien</w:t>
      </w:r>
      <w:r w:rsidR="00A6191E">
        <w:rPr>
          <w:shd w:val="clear" w:color="auto" w:fill="FFFFFF"/>
        </w:rPr>
        <w:t>s</w:t>
      </w:r>
      <w:r w:rsidR="00AF749F">
        <w:rPr>
          <w:shd w:val="clear" w:color="auto" w:fill="FFFFFF"/>
        </w:rPr>
        <w:t xml:space="preserve"> </w:t>
      </w:r>
      <w:r w:rsidR="00AF749F" w:rsidRPr="00244123">
        <w:rPr>
          <w:i/>
          <w:iCs/>
          <w:shd w:val="clear" w:color="auto" w:fill="FFFFFF"/>
        </w:rPr>
        <w:t>būvdarbi</w:t>
      </w:r>
      <w:r w:rsidR="00AF749F">
        <w:rPr>
          <w:shd w:val="clear" w:color="auto" w:fill="FFFFFF"/>
        </w:rPr>
        <w:t xml:space="preserve"> aptvēra arī būvju nojaukšanu, turklāt strīdus vienošanās tieši paredz, ka pieteicējs piekrīt jebkāda veida būvdarbiem. Tāpat paskaidrojumos uzsvērts, ka </w:t>
      </w:r>
      <w:r w:rsidR="00396776">
        <w:rPr>
          <w:shd w:val="clear" w:color="auto" w:fill="FFFFFF"/>
        </w:rPr>
        <w:t>P</w:t>
      </w:r>
      <w:r w:rsidR="00AF749F">
        <w:rPr>
          <w:shd w:val="clear" w:color="auto" w:fill="FFFFFF"/>
        </w:rPr>
        <w:t>irkuma līguma jēga bija nodrošināt, ka pieteicējs īpašuma iegādes rezultātā iegūst tiesības tieši uz to ēkas daļu, kas ir viņa lietošanā, nevis uz pārējām būvēm.</w:t>
      </w:r>
      <w:r w:rsidR="00597B03" w:rsidRPr="00E40ED2">
        <w:rPr>
          <w:shd w:val="clear" w:color="auto" w:fill="FFFFFF"/>
        </w:rPr>
        <w:t xml:space="preserve"> </w:t>
      </w:r>
    </w:p>
    <w:p w14:paraId="5BFC1FA1" w14:textId="77777777" w:rsidR="00E27063" w:rsidRPr="00E40ED2" w:rsidRDefault="00E27063" w:rsidP="00F77A89">
      <w:pPr>
        <w:pStyle w:val="NormalWeb"/>
        <w:shd w:val="clear" w:color="auto" w:fill="FFFFFF"/>
        <w:spacing w:before="0" w:beforeAutospacing="0" w:after="0" w:afterAutospacing="0" w:line="276" w:lineRule="auto"/>
        <w:ind w:firstLine="720"/>
        <w:jc w:val="both"/>
        <w:rPr>
          <w:shd w:val="clear" w:color="auto" w:fill="FFFFFF"/>
        </w:rPr>
      </w:pPr>
    </w:p>
    <w:p w14:paraId="07BF4468" w14:textId="695B1F53" w:rsidR="009010F7" w:rsidRPr="00E40ED2" w:rsidRDefault="009010F7" w:rsidP="00F77A89">
      <w:pPr>
        <w:pStyle w:val="NormalWeb"/>
        <w:shd w:val="clear" w:color="auto" w:fill="FFFFFF"/>
        <w:spacing w:before="0" w:beforeAutospacing="0" w:after="0" w:afterAutospacing="0" w:line="276" w:lineRule="auto"/>
        <w:ind w:firstLine="720"/>
        <w:jc w:val="both"/>
        <w:rPr>
          <w:shd w:val="clear" w:color="auto" w:fill="FFFFFF"/>
        </w:rPr>
      </w:pPr>
      <w:r w:rsidRPr="00E40ED2">
        <w:rPr>
          <w:shd w:val="clear" w:color="auto" w:fill="FFFFFF"/>
        </w:rPr>
        <w:t>[</w:t>
      </w:r>
      <w:r w:rsidR="00396776">
        <w:rPr>
          <w:shd w:val="clear" w:color="auto" w:fill="FFFFFF"/>
        </w:rPr>
        <w:t>5</w:t>
      </w:r>
      <w:r w:rsidRPr="00E40ED2">
        <w:rPr>
          <w:shd w:val="clear" w:color="auto" w:fill="FFFFFF"/>
        </w:rPr>
        <w:t xml:space="preserve">] </w:t>
      </w:r>
      <w:r w:rsidR="00297B7C" w:rsidRPr="00E40ED2">
        <w:rPr>
          <w:shd w:val="clear" w:color="auto" w:fill="FFFFFF"/>
        </w:rPr>
        <w:t xml:space="preserve">Pieteicējs iesniedzis paskaidrojumus par departamenta un trešās personas sniegtajiem paskaidrojumiem, </w:t>
      </w:r>
      <w:proofErr w:type="gramStart"/>
      <w:r w:rsidR="00AF749F">
        <w:rPr>
          <w:shd w:val="clear" w:color="auto" w:fill="FFFFFF"/>
        </w:rPr>
        <w:t xml:space="preserve">uzsverot, ka </w:t>
      </w:r>
      <w:r w:rsidR="00032A26" w:rsidRPr="00E40ED2">
        <w:rPr>
          <w:shd w:val="clear" w:color="auto" w:fill="FFFFFF"/>
        </w:rPr>
        <w:t>nav lūdzis Senātu</w:t>
      </w:r>
      <w:proofErr w:type="gramEnd"/>
      <w:r w:rsidR="00032A26" w:rsidRPr="00E40ED2">
        <w:rPr>
          <w:shd w:val="clear" w:color="auto" w:fill="FFFFFF"/>
        </w:rPr>
        <w:t xml:space="preserve"> pārvērtēt pierādījumus, </w:t>
      </w:r>
      <w:r w:rsidR="00032A26" w:rsidRPr="00E40ED2">
        <w:rPr>
          <w:shd w:val="clear" w:color="auto" w:fill="FFFFFF"/>
        </w:rPr>
        <w:lastRenderedPageBreak/>
        <w:t xml:space="preserve">bet gan </w:t>
      </w:r>
      <w:r w:rsidR="00AF749F">
        <w:rPr>
          <w:shd w:val="clear" w:color="auto" w:fill="FFFFFF"/>
        </w:rPr>
        <w:t xml:space="preserve">ir </w:t>
      </w:r>
      <w:r w:rsidR="00032A26" w:rsidRPr="00E40ED2">
        <w:rPr>
          <w:shd w:val="clear" w:color="auto" w:fill="FFFFFF"/>
        </w:rPr>
        <w:t>norādījis</w:t>
      </w:r>
      <w:r w:rsidR="00AF749F">
        <w:rPr>
          <w:shd w:val="clear" w:color="auto" w:fill="FFFFFF"/>
        </w:rPr>
        <w:t xml:space="preserve"> uz tiesas kļūdu, konstatējot pieteicēja piekrišanu strīdus būvniecībai.</w:t>
      </w:r>
    </w:p>
    <w:p w14:paraId="2B817261" w14:textId="77777777" w:rsidR="000066FD" w:rsidRPr="00E40ED2" w:rsidRDefault="000066FD" w:rsidP="00F77A89">
      <w:pPr>
        <w:shd w:val="clear" w:color="auto" w:fill="FFFFFF"/>
        <w:spacing w:line="276" w:lineRule="auto"/>
        <w:jc w:val="center"/>
        <w:rPr>
          <w:b/>
        </w:rPr>
      </w:pPr>
    </w:p>
    <w:p w14:paraId="200DB314" w14:textId="77777777" w:rsidR="00497220" w:rsidRPr="00E40ED2" w:rsidRDefault="00497220" w:rsidP="00F77A89">
      <w:pPr>
        <w:shd w:val="clear" w:color="auto" w:fill="FFFFFF"/>
        <w:spacing w:line="276" w:lineRule="auto"/>
        <w:jc w:val="center"/>
        <w:rPr>
          <w:b/>
        </w:rPr>
      </w:pPr>
      <w:r w:rsidRPr="00E40ED2">
        <w:rPr>
          <w:b/>
        </w:rPr>
        <w:t>Motīvu daļa</w:t>
      </w:r>
    </w:p>
    <w:p w14:paraId="489BD6D0" w14:textId="77777777" w:rsidR="000066FD" w:rsidRPr="00E40ED2" w:rsidRDefault="000066FD" w:rsidP="00F77A89">
      <w:pPr>
        <w:shd w:val="clear" w:color="auto" w:fill="FFFFFF"/>
        <w:spacing w:line="276" w:lineRule="auto"/>
        <w:jc w:val="center"/>
      </w:pPr>
    </w:p>
    <w:p w14:paraId="5FD24E3C" w14:textId="14D02226" w:rsidR="00BC725F" w:rsidRPr="00E73135" w:rsidRDefault="00DF21F3" w:rsidP="00F77A89">
      <w:pPr>
        <w:shd w:val="clear" w:color="auto" w:fill="FFFFFF"/>
        <w:spacing w:line="276" w:lineRule="auto"/>
        <w:ind w:firstLine="720"/>
        <w:jc w:val="both"/>
      </w:pPr>
      <w:r w:rsidRPr="00E40ED2">
        <w:t>[</w:t>
      </w:r>
      <w:r w:rsidR="00396776">
        <w:t>6</w:t>
      </w:r>
      <w:r w:rsidRPr="00E40ED2">
        <w:t xml:space="preserve">] Trešās personas ierosinātā būvniecība paredz </w:t>
      </w:r>
      <w:r w:rsidRPr="00E73135">
        <w:t xml:space="preserve">nojaukt trīs no sešām </w:t>
      </w:r>
      <w:r w:rsidR="008D15F4" w:rsidRPr="00E73135">
        <w:t xml:space="preserve">pieteicēja un trešās personas </w:t>
      </w:r>
      <w:r w:rsidRPr="00E73135">
        <w:t>kopīpašumā esošām būvēm.</w:t>
      </w:r>
      <w:r w:rsidR="000D5A06" w:rsidRPr="00E73135">
        <w:t xml:space="preserve"> </w:t>
      </w:r>
    </w:p>
    <w:p w14:paraId="57827FE9" w14:textId="0BDD1087" w:rsidR="00BC725F" w:rsidRPr="00E40ED2" w:rsidRDefault="00DD459B" w:rsidP="00F77A89">
      <w:pPr>
        <w:shd w:val="clear" w:color="auto" w:fill="FFFFFF"/>
        <w:spacing w:line="276" w:lineRule="auto"/>
        <w:ind w:firstLine="720"/>
        <w:jc w:val="both"/>
      </w:pPr>
      <w:r w:rsidRPr="00E73135">
        <w:t>L</w:t>
      </w:r>
      <w:r w:rsidR="00DF21F3" w:rsidRPr="00E73135">
        <w:t xml:space="preserve">ietas ietvaros nav strīda, ka </w:t>
      </w:r>
      <w:r w:rsidR="00BC725F" w:rsidRPr="00E73135">
        <w:t>atbilstoši Būvniecības likuma</w:t>
      </w:r>
      <w:r w:rsidR="00BC725F">
        <w:t xml:space="preserve"> </w:t>
      </w:r>
      <w:proofErr w:type="gramStart"/>
      <w:r w:rsidR="00BC725F">
        <w:t>15.panta</w:t>
      </w:r>
      <w:proofErr w:type="gramEnd"/>
      <w:r w:rsidR="00BC725F">
        <w:t xml:space="preserve"> pirmās daļas 2.punktam </w:t>
      </w:r>
      <w:r w:rsidR="00DF21F3" w:rsidRPr="00E40ED2">
        <w:t>ierosinātā būvniecība ir pieļaujama vienīgi tad, ja tās veikšanai ir saņemt</w:t>
      </w:r>
      <w:r w:rsidR="000D5A06">
        <w:t>s</w:t>
      </w:r>
      <w:r w:rsidR="00DF21F3" w:rsidRPr="00E40ED2">
        <w:t xml:space="preserve"> pieteicēja kā būvju kopīpašnieka saskaņojums.</w:t>
      </w:r>
      <w:r w:rsidR="00C560D4">
        <w:t xml:space="preserve"> </w:t>
      </w:r>
    </w:p>
    <w:p w14:paraId="0D84EBDF" w14:textId="62E37C7C" w:rsidR="0093044A" w:rsidRDefault="00BC725F" w:rsidP="00F77A89">
      <w:pPr>
        <w:shd w:val="clear" w:color="auto" w:fill="FFFFFF"/>
        <w:spacing w:line="276" w:lineRule="auto"/>
        <w:ind w:firstLine="720"/>
        <w:jc w:val="both"/>
      </w:pPr>
      <w:r w:rsidRPr="00E40ED2">
        <w:t>Apgabaltiesa ir secinājusi, ka pieteicēja saskaņojums trešās personas plānotajai būvniecībai</w:t>
      </w:r>
      <w:r w:rsidR="00847BD7">
        <w:t xml:space="preserve"> ir dots</w:t>
      </w:r>
      <w:r>
        <w:t>, p</w:t>
      </w:r>
      <w:r w:rsidRPr="00E40ED2">
        <w:t xml:space="preserve">roti, tas ir ietverts </w:t>
      </w:r>
      <w:r w:rsidR="000C2B0A">
        <w:t>gan</w:t>
      </w:r>
      <w:r w:rsidRPr="00E40ED2">
        <w:t xml:space="preserve"> Pirkuma līgumā</w:t>
      </w:r>
      <w:r w:rsidR="000C2B0A">
        <w:t xml:space="preserve">, gan </w:t>
      </w:r>
      <w:r w:rsidR="00847BD7">
        <w:t xml:space="preserve">pēc tam atkāroti – arī </w:t>
      </w:r>
      <w:r w:rsidRPr="00E40ED2">
        <w:t>strīdus vienošanās</w:t>
      </w:r>
      <w:r>
        <w:t xml:space="preserve"> tekstā</w:t>
      </w:r>
      <w:r w:rsidRPr="00E40ED2">
        <w:t>.</w:t>
      </w:r>
      <w:r>
        <w:t xml:space="preserve"> </w:t>
      </w:r>
      <w:r w:rsidRPr="00E40ED2">
        <w:t xml:space="preserve">Savukārt pieteicējs kasācijas sūdzībā iebilst, ka Pirkuma līgumā </w:t>
      </w:r>
      <w:r>
        <w:t>viņš</w:t>
      </w:r>
      <w:r w:rsidRPr="00E40ED2">
        <w:t xml:space="preserve"> neesot piekritis </w:t>
      </w:r>
      <w:r w:rsidRPr="00E40ED2">
        <w:lastRenderedPageBreak/>
        <w:t>būvju nojaukšanai</w:t>
      </w:r>
      <w:r w:rsidR="00847BD7">
        <w:t>,</w:t>
      </w:r>
      <w:r>
        <w:t xml:space="preserve"> un </w:t>
      </w:r>
      <w:r w:rsidR="00847BD7">
        <w:t xml:space="preserve">uzsver, ka </w:t>
      </w:r>
      <w:r>
        <w:t>būvju nojaukšana apdraudētu viņa iespējas lietot līdz šim viņam atsevišķā lietošanā nodotās telpas, savukārt</w:t>
      </w:r>
      <w:r w:rsidRPr="00E40ED2">
        <w:t xml:space="preserve"> strīdus vienošanos pieteicējs neesot noslēdzis, bet apgabaltiesa pieteicēja iebildumus p</w:t>
      </w:r>
      <w:r w:rsidR="00DD459B">
        <w:t>ret</w:t>
      </w:r>
      <w:r w:rsidRPr="00E40ED2">
        <w:t xml:space="preserve"> šo pierādījumu n</w:t>
      </w:r>
      <w:r w:rsidR="00847BD7">
        <w:t>av</w:t>
      </w:r>
      <w:r w:rsidRPr="00E40ED2">
        <w:t xml:space="preserve"> ņēmusi vērā.</w:t>
      </w:r>
      <w:r w:rsidR="0093044A">
        <w:t xml:space="preserve"> </w:t>
      </w:r>
    </w:p>
    <w:p w14:paraId="0132FDA4" w14:textId="6B0FD077" w:rsidR="0093044A" w:rsidRDefault="00BC725F" w:rsidP="00F77A89">
      <w:pPr>
        <w:shd w:val="clear" w:color="auto" w:fill="FFFFFF"/>
        <w:spacing w:line="276" w:lineRule="auto"/>
        <w:ind w:firstLine="720"/>
        <w:jc w:val="both"/>
        <w:rPr>
          <w:color w:val="000000" w:themeColor="text1"/>
        </w:rPr>
      </w:pPr>
      <w:r>
        <w:t>Ievērojot kasācijas sūdzības argumentus, Senāts secina, ka kasācijas kārtībā pārbaudāms, vai apgabaltiesa, atzīstot</w:t>
      </w:r>
      <w:r w:rsidRPr="00E40ED2">
        <w:t xml:space="preserve">, ka lietā ir konstatējama </w:t>
      </w:r>
      <w:r>
        <w:t xml:space="preserve">pieteicēja </w:t>
      </w:r>
      <w:r w:rsidRPr="00E40ED2">
        <w:t xml:space="preserve">piekrišana </w:t>
      </w:r>
      <w:r>
        <w:t xml:space="preserve">strīdus </w:t>
      </w:r>
      <w:r w:rsidRPr="00E40ED2">
        <w:t>būvdarbiem</w:t>
      </w:r>
      <w:r>
        <w:t>, ir ievērojusi tiesību normu prasības par būvniecības saskaņošanu un par pierādījumu pieņemšanu un novērtēšanu.</w:t>
      </w:r>
      <w:r w:rsidR="00914EAE">
        <w:t xml:space="preserve"> Šajā sakarā uzsver</w:t>
      </w:r>
      <w:r w:rsidR="0093044A">
        <w:t>ams</w:t>
      </w:r>
      <w:r w:rsidR="00914EAE">
        <w:t xml:space="preserve">, ka </w:t>
      </w:r>
      <w:r w:rsidR="00914EAE" w:rsidRPr="002C268E">
        <w:rPr>
          <w:color w:val="000000" w:themeColor="text1"/>
        </w:rPr>
        <w:t xml:space="preserve">Senāta kā kasācijas instances tiesas kompetencē nav vērtēt pierādījumus, taču tā kompetencē ir pārbaudīt, vai zemākas instances tiesas secinājumi ir </w:t>
      </w:r>
      <w:r w:rsidR="0093044A">
        <w:rPr>
          <w:color w:val="000000" w:themeColor="text1"/>
        </w:rPr>
        <w:t xml:space="preserve">pienācīgi motivēti un </w:t>
      </w:r>
      <w:r w:rsidR="00914EAE" w:rsidRPr="002C268E">
        <w:rPr>
          <w:color w:val="000000" w:themeColor="text1"/>
        </w:rPr>
        <w:t xml:space="preserve">balstīti uz vispusīgi, pilnīgi un objektīvi pārbaudītiem </w:t>
      </w:r>
      <w:r w:rsidR="0093044A">
        <w:rPr>
          <w:color w:val="000000" w:themeColor="text1"/>
        </w:rPr>
        <w:t xml:space="preserve">un novērtētiem </w:t>
      </w:r>
      <w:r w:rsidR="00914EAE" w:rsidRPr="002C268E">
        <w:rPr>
          <w:color w:val="000000" w:themeColor="text1"/>
        </w:rPr>
        <w:t>pierādījumiem, kā to p</w:t>
      </w:r>
      <w:r w:rsidR="000C2B0A">
        <w:rPr>
          <w:color w:val="000000" w:themeColor="text1"/>
        </w:rPr>
        <w:t>rasa</w:t>
      </w:r>
      <w:r w:rsidR="00914EAE" w:rsidRPr="002C268E">
        <w:rPr>
          <w:color w:val="000000" w:themeColor="text1"/>
        </w:rPr>
        <w:t xml:space="preserve"> Administratīvā procesa likuma 154.</w:t>
      </w:r>
      <w:r w:rsidR="0093044A">
        <w:rPr>
          <w:color w:val="000000" w:themeColor="text1"/>
        </w:rPr>
        <w:t>, 247.pants un 251.panta piektā daļa.</w:t>
      </w:r>
    </w:p>
    <w:p w14:paraId="7FB79D0F" w14:textId="77777777" w:rsidR="00BC725F" w:rsidRPr="00E40ED2" w:rsidRDefault="00BC725F" w:rsidP="00F77A89">
      <w:pPr>
        <w:shd w:val="clear" w:color="auto" w:fill="FFFFFF"/>
        <w:spacing w:line="276" w:lineRule="auto"/>
        <w:ind w:firstLine="720"/>
        <w:jc w:val="both"/>
      </w:pPr>
    </w:p>
    <w:p w14:paraId="100D6443" w14:textId="2D910951" w:rsidR="007C03B9" w:rsidRPr="00E40ED2" w:rsidRDefault="00BC725F" w:rsidP="00F77A89">
      <w:pPr>
        <w:shd w:val="clear" w:color="auto" w:fill="FFFFFF"/>
        <w:spacing w:line="276" w:lineRule="auto"/>
        <w:ind w:firstLine="720"/>
        <w:jc w:val="both"/>
      </w:pPr>
      <w:r>
        <w:lastRenderedPageBreak/>
        <w:t>[7]</w:t>
      </w:r>
      <w:r w:rsidR="007C03B9" w:rsidRPr="00E40ED2">
        <w:t xml:space="preserve"> </w:t>
      </w:r>
      <w:r w:rsidR="00653CA5" w:rsidRPr="00E40ED2">
        <w:t xml:space="preserve">Atbilstoši Ministru kabineta </w:t>
      </w:r>
      <w:proofErr w:type="gramStart"/>
      <w:r w:rsidR="00653CA5" w:rsidRPr="00E40ED2">
        <w:t>2014.gada</w:t>
      </w:r>
      <w:proofErr w:type="gramEnd"/>
      <w:r w:rsidR="00653CA5" w:rsidRPr="00E40ED2">
        <w:t xml:space="preserve"> 2.septembra noteikumu Nr. 529 „Ēku būvnoteikumi” (</w:t>
      </w:r>
      <w:r w:rsidR="00653CA5" w:rsidRPr="00074B64">
        <w:rPr>
          <w:i/>
          <w:iCs/>
        </w:rPr>
        <w:t>redakcijā, kas bija spēkā strīdus būvatļaujas izdošanas brīdī</w:t>
      </w:r>
      <w:r w:rsidR="00653CA5" w:rsidRPr="00E40ED2">
        <w:t xml:space="preserve">) 9.punktam </w:t>
      </w:r>
      <w:r w:rsidR="00363790" w:rsidRPr="00E40ED2">
        <w:t>person</w:t>
      </w:r>
      <w:r>
        <w:t>as</w:t>
      </w:r>
      <w:r w:rsidR="00363790" w:rsidRPr="00E40ED2">
        <w:t xml:space="preserve"> saskaņojumu</w:t>
      </w:r>
      <w:r w:rsidR="00C742FF" w:rsidRPr="00E40ED2">
        <w:t xml:space="preserve"> </w:t>
      </w:r>
      <w:r>
        <w:t xml:space="preserve">būvniecībai </w:t>
      </w:r>
      <w:r w:rsidR="00363790" w:rsidRPr="00E40ED2">
        <w:t>kā atsevišķu dokumentu (piemēram, vienošan</w:t>
      </w:r>
      <w:r>
        <w:t>os</w:t>
      </w:r>
      <w:r w:rsidR="00363790" w:rsidRPr="00E40ED2">
        <w:t>)</w:t>
      </w:r>
      <w:r>
        <w:t xml:space="preserve"> </w:t>
      </w:r>
      <w:r w:rsidR="000C7EDD">
        <w:t xml:space="preserve">noformē </w:t>
      </w:r>
      <w:r>
        <w:t>tā</w:t>
      </w:r>
      <w:r w:rsidR="00363790" w:rsidRPr="00E40ED2">
        <w:t>, lai no tā izrietētu nepārprotama piekrišana katram konkrētam apgrūtinājumam, kas skar attiecīgo personu.</w:t>
      </w:r>
    </w:p>
    <w:p w14:paraId="15B9223E" w14:textId="5E89D0D4" w:rsidR="00930DD8" w:rsidRDefault="00BC725F" w:rsidP="00F77A89">
      <w:pPr>
        <w:shd w:val="clear" w:color="auto" w:fill="FFFFFF"/>
        <w:spacing w:line="276" w:lineRule="auto"/>
        <w:ind w:firstLine="720"/>
        <w:jc w:val="both"/>
      </w:pPr>
      <w:r>
        <w:t>Senāta judikatūrā, interpretējot minēto tiesību normu, atzīts, ka</w:t>
      </w:r>
      <w:r w:rsidR="00BD09DF">
        <w:t xml:space="preserve"> šī norma pieļauj</w:t>
      </w:r>
      <w:r w:rsidR="00CA7BF2" w:rsidRPr="00E40ED2">
        <w:t xml:space="preserve"> kopīpašnieki</w:t>
      </w:r>
      <w:r w:rsidR="00BD09DF">
        <w:t>em</w:t>
      </w:r>
      <w:r w:rsidR="00CA7BF2" w:rsidRPr="00E40ED2">
        <w:t xml:space="preserve"> saskaņojumu būvniecībai izteikt ar</w:t>
      </w:r>
      <w:r w:rsidR="00BD09DF">
        <w:t>ī ar</w:t>
      </w:r>
      <w:r w:rsidR="00CA7BF2" w:rsidRPr="00E40ED2">
        <w:t xml:space="preserve"> iepriekšēju vienošanos par kopīpašuma izmantošanu, kurā paredzēts, ka kopīpašnieki piekrīt citu kopīpašnieku būvniecībai atsevišķā lietošanā nodotajā kopīpašuma daļā. </w:t>
      </w:r>
      <w:r w:rsidR="006B7DB3">
        <w:t xml:space="preserve">Vienlaikus arī šādā veidā dotam </w:t>
      </w:r>
      <w:r w:rsidR="00CA7BF2" w:rsidRPr="00E40ED2">
        <w:t xml:space="preserve">saskaņojumam jābūt noformētam tādējādi, lai no tā izrietētu nepārprotama piekrišana būvdarbiem. Minētais nav saprotams tādējādi, ka </w:t>
      </w:r>
      <w:r w:rsidR="006B7DB3">
        <w:t xml:space="preserve">dotajā saskaņojumā </w:t>
      </w:r>
      <w:r w:rsidR="00CA7BF2" w:rsidRPr="00E40ED2">
        <w:t xml:space="preserve">obligāti jābūt </w:t>
      </w:r>
      <w:r w:rsidR="006B7DB3">
        <w:t xml:space="preserve">tiešā tekstā </w:t>
      </w:r>
      <w:r w:rsidR="00CA7BF2" w:rsidRPr="00E40ED2">
        <w:t xml:space="preserve">uzskaitītiem konkrētiem būvniecības </w:t>
      </w:r>
      <w:r w:rsidR="00CA7BF2" w:rsidRPr="00E40ED2">
        <w:lastRenderedPageBreak/>
        <w:t xml:space="preserve">darbiem, kuriem kopīpašnieki piekrīt. Tomēr no saskaņojuma jābūt saprotamam, ka kopīpašnieks </w:t>
      </w:r>
      <w:r w:rsidR="000C2B0A">
        <w:t xml:space="preserve">pēc būtības </w:t>
      </w:r>
      <w:r w:rsidR="00CA7BF2" w:rsidRPr="00E40ED2">
        <w:t xml:space="preserve">patiešām piekritis konkrēta veida būvdarbiem </w:t>
      </w:r>
      <w:r w:rsidR="008A7C28" w:rsidRPr="00E40ED2">
        <w:t>(</w:t>
      </w:r>
      <w:r w:rsidR="008A7C28" w:rsidRPr="00E40ED2">
        <w:rPr>
          <w:i/>
        </w:rPr>
        <w:t xml:space="preserve">Senāta </w:t>
      </w:r>
      <w:proofErr w:type="gramStart"/>
      <w:r w:rsidR="008A7C28" w:rsidRPr="00E40ED2">
        <w:rPr>
          <w:i/>
        </w:rPr>
        <w:t>2019.gada</w:t>
      </w:r>
      <w:proofErr w:type="gramEnd"/>
      <w:r w:rsidR="008A7C28" w:rsidRPr="00E40ED2">
        <w:rPr>
          <w:i/>
        </w:rPr>
        <w:t xml:space="preserve"> 28.februāra sprieduma lietā Nr. SKA-254/2019</w:t>
      </w:r>
      <w:r w:rsidR="00C37960" w:rsidRPr="00E40ED2">
        <w:rPr>
          <w:i/>
        </w:rPr>
        <w:t xml:space="preserve">, </w:t>
      </w:r>
      <w:hyperlink r:id="rId7" w:history="1">
        <w:r w:rsidR="00C37960" w:rsidRPr="00E40ED2">
          <w:rPr>
            <w:rStyle w:val="Hyperlink"/>
            <w:i/>
          </w:rPr>
          <w:t>ECLI:LV:AT:2019:0228.A420198416.2.S</w:t>
        </w:r>
      </w:hyperlink>
      <w:r w:rsidR="00C37960" w:rsidRPr="00E40ED2">
        <w:rPr>
          <w:i/>
        </w:rPr>
        <w:t xml:space="preserve">, </w:t>
      </w:r>
      <w:r w:rsidR="008A7C28" w:rsidRPr="00E40ED2">
        <w:rPr>
          <w:i/>
        </w:rPr>
        <w:t>7.punkts</w:t>
      </w:r>
      <w:r w:rsidR="008A7C28" w:rsidRPr="00E40ED2">
        <w:t>)</w:t>
      </w:r>
      <w:r w:rsidR="00CA7BF2" w:rsidRPr="00E40ED2">
        <w:t>.</w:t>
      </w:r>
    </w:p>
    <w:p w14:paraId="6CCC097F" w14:textId="77777777" w:rsidR="007C03B9" w:rsidRPr="00E40ED2" w:rsidRDefault="007C03B9" w:rsidP="00F77A89">
      <w:pPr>
        <w:shd w:val="clear" w:color="auto" w:fill="FFFFFF"/>
        <w:spacing w:line="276" w:lineRule="auto"/>
        <w:ind w:firstLine="720"/>
        <w:jc w:val="both"/>
      </w:pPr>
    </w:p>
    <w:p w14:paraId="7495BE1C" w14:textId="1CDE5EAC" w:rsidR="00CE022C" w:rsidRPr="00A177A5" w:rsidRDefault="00CE022C" w:rsidP="00F77A89">
      <w:pPr>
        <w:shd w:val="clear" w:color="auto" w:fill="FFFFFF"/>
        <w:spacing w:line="276" w:lineRule="auto"/>
        <w:rPr>
          <w:i/>
          <w:iCs/>
        </w:rPr>
      </w:pPr>
      <w:r w:rsidRPr="00A177A5">
        <w:rPr>
          <w:i/>
          <w:iCs/>
        </w:rPr>
        <w:t>Par tiesas secinājumiem saistībā ar Pirkuma līgumu</w:t>
      </w:r>
    </w:p>
    <w:p w14:paraId="5E2921A8" w14:textId="77777777" w:rsidR="0093044A" w:rsidRDefault="0093044A" w:rsidP="00F77A89">
      <w:pPr>
        <w:shd w:val="clear" w:color="auto" w:fill="FFFFFF"/>
        <w:spacing w:line="276" w:lineRule="auto"/>
        <w:ind w:firstLine="720"/>
        <w:jc w:val="both"/>
      </w:pPr>
    </w:p>
    <w:p w14:paraId="7A26A12B" w14:textId="215E4B67" w:rsidR="005F3A63" w:rsidRDefault="0093044A" w:rsidP="00F77A89">
      <w:pPr>
        <w:shd w:val="clear" w:color="auto" w:fill="FFFFFF"/>
        <w:spacing w:line="276" w:lineRule="auto"/>
        <w:ind w:firstLine="720"/>
        <w:jc w:val="both"/>
        <w:rPr>
          <w:rFonts w:eastAsiaTheme="minorHAnsi"/>
          <w:lang w:eastAsia="en-US"/>
        </w:rPr>
      </w:pPr>
      <w:r>
        <w:t>[</w:t>
      </w:r>
      <w:r w:rsidR="001711C9">
        <w:t>8</w:t>
      </w:r>
      <w:r>
        <w:t xml:space="preserve">] </w:t>
      </w:r>
      <w:r w:rsidR="00864DCC">
        <w:t xml:space="preserve">Secinājuma, ka pieteicēja saskaņojums </w:t>
      </w:r>
      <w:r w:rsidR="00847BD7">
        <w:t xml:space="preserve">strīdus būvniecībai </w:t>
      </w:r>
      <w:r w:rsidR="001711C9">
        <w:t xml:space="preserve">nepārprotami </w:t>
      </w:r>
      <w:r w:rsidR="00864DCC">
        <w:t xml:space="preserve">izriet </w:t>
      </w:r>
      <w:r w:rsidR="00847BD7">
        <w:t xml:space="preserve">jau </w:t>
      </w:r>
      <w:r w:rsidR="00864DCC">
        <w:t xml:space="preserve">no Pirkuma līguma, </w:t>
      </w:r>
      <w:r w:rsidR="004135AA">
        <w:t xml:space="preserve">pamatošanai </w:t>
      </w:r>
      <w:r w:rsidR="001711C9">
        <w:t>apgabal</w:t>
      </w:r>
      <w:r w:rsidR="004135AA">
        <w:t>tiesa</w:t>
      </w:r>
      <w:r w:rsidR="0034500F">
        <w:t xml:space="preserve">, pirmkārt, </w:t>
      </w:r>
      <w:r w:rsidR="001B3CDC">
        <w:t>norādījusi to, ka pieteicējs Pirkuma līgumā ir piekritis, ka viņa īpašumā pāriet konkrētas veikala telpas</w:t>
      </w:r>
      <w:r w:rsidR="0034500F">
        <w:t xml:space="preserve"> un koplietošanas telpas, kas nepieciešamas piekļuvei </w:t>
      </w:r>
      <w:r w:rsidR="00A45D3B">
        <w:t>šim veikalam</w:t>
      </w:r>
      <w:r w:rsidR="0034500F">
        <w:t xml:space="preserve">. </w:t>
      </w:r>
      <w:r w:rsidR="0034500F">
        <w:rPr>
          <w:rFonts w:ascii="TimesNewRomanPSMT" w:eastAsiaTheme="minorHAnsi" w:hAnsi="TimesNewRomanPSMT" w:cs="TimesNewRomanPSMT"/>
          <w:lang w:eastAsia="en-US"/>
        </w:rPr>
        <w:t xml:space="preserve">Vienlaikus spriedumā nav </w:t>
      </w:r>
      <w:r w:rsidR="00B34DAD">
        <w:rPr>
          <w:rFonts w:ascii="TimesNewRomanPSMT" w:eastAsiaTheme="minorHAnsi" w:hAnsi="TimesNewRomanPSMT" w:cs="TimesNewRomanPSMT"/>
          <w:lang w:eastAsia="en-US"/>
        </w:rPr>
        <w:t xml:space="preserve">tālāk </w:t>
      </w:r>
      <w:r w:rsidR="0034500F">
        <w:rPr>
          <w:rFonts w:ascii="TimesNewRomanPSMT" w:eastAsiaTheme="minorHAnsi" w:hAnsi="TimesNewRomanPSMT" w:cs="TimesNewRomanPSMT"/>
          <w:lang w:eastAsia="en-US"/>
        </w:rPr>
        <w:t>paskaidrots, k</w:t>
      </w:r>
      <w:r w:rsidR="00864DCC">
        <w:rPr>
          <w:rFonts w:ascii="TimesNewRomanPSMT" w:eastAsiaTheme="minorHAnsi" w:hAnsi="TimesNewRomanPSMT" w:cs="TimesNewRomanPSMT"/>
          <w:lang w:eastAsia="en-US"/>
        </w:rPr>
        <w:t xml:space="preserve">ādu nozīmi </w:t>
      </w:r>
      <w:proofErr w:type="gramStart"/>
      <w:r w:rsidR="00864DCC">
        <w:rPr>
          <w:rFonts w:ascii="TimesNewRomanPSMT" w:eastAsiaTheme="minorHAnsi" w:hAnsi="TimesNewRomanPSMT" w:cs="TimesNewRomanPSMT"/>
          <w:lang w:eastAsia="en-US"/>
        </w:rPr>
        <w:t>un</w:t>
      </w:r>
      <w:proofErr w:type="gramEnd"/>
      <w:r w:rsidR="00864DCC">
        <w:rPr>
          <w:rFonts w:ascii="TimesNewRomanPSMT" w:eastAsiaTheme="minorHAnsi" w:hAnsi="TimesNewRomanPSMT" w:cs="TimesNewRomanPSMT"/>
          <w:lang w:eastAsia="en-US"/>
        </w:rPr>
        <w:t xml:space="preserve"> kāpēc tiesa piešķir</w:t>
      </w:r>
      <w:r w:rsidR="00B34DAD">
        <w:rPr>
          <w:rFonts w:ascii="TimesNewRomanPSMT" w:eastAsiaTheme="minorHAnsi" w:hAnsi="TimesNewRomanPSMT" w:cs="TimesNewRomanPSMT"/>
          <w:lang w:eastAsia="en-US"/>
        </w:rPr>
        <w:t xml:space="preserve"> šim apstāklim, tostarp nav pievērsta uzmanība </w:t>
      </w:r>
      <w:r w:rsidR="00864DCC" w:rsidRPr="00DD459B">
        <w:rPr>
          <w:rFonts w:eastAsiaTheme="minorHAnsi"/>
          <w:lang w:eastAsia="en-US"/>
        </w:rPr>
        <w:lastRenderedPageBreak/>
        <w:t>pieteicēj</w:t>
      </w:r>
      <w:r w:rsidR="00B34DAD" w:rsidRPr="00DD459B">
        <w:rPr>
          <w:rFonts w:eastAsiaTheme="minorHAnsi"/>
          <w:lang w:eastAsia="en-US"/>
        </w:rPr>
        <w:t xml:space="preserve">a norādītajam, </w:t>
      </w:r>
      <w:r w:rsidR="00864DCC" w:rsidRPr="00DD459B">
        <w:rPr>
          <w:rFonts w:eastAsiaTheme="minorHAnsi"/>
          <w:lang w:eastAsia="en-US"/>
        </w:rPr>
        <w:t xml:space="preserve">ka zemesgrāmatā īpašuma tiesības pieteicējam </w:t>
      </w:r>
      <w:r w:rsidR="005F3A63">
        <w:rPr>
          <w:rFonts w:eastAsiaTheme="minorHAnsi"/>
          <w:lang w:eastAsia="en-US"/>
        </w:rPr>
        <w:t xml:space="preserve">tika </w:t>
      </w:r>
      <w:r w:rsidR="00864DCC" w:rsidRPr="00DD459B">
        <w:rPr>
          <w:rFonts w:eastAsiaTheme="minorHAnsi"/>
          <w:lang w:eastAsia="en-US"/>
        </w:rPr>
        <w:t xml:space="preserve">nostiprinātas nevis uz </w:t>
      </w:r>
      <w:r w:rsidR="00B34DAD" w:rsidRPr="00DD459B">
        <w:rPr>
          <w:rFonts w:eastAsiaTheme="minorHAnsi"/>
          <w:lang w:eastAsia="en-US"/>
        </w:rPr>
        <w:t>attiecīgajām</w:t>
      </w:r>
      <w:r w:rsidR="00864DCC" w:rsidRPr="00DD459B">
        <w:rPr>
          <w:rFonts w:eastAsiaTheme="minorHAnsi"/>
          <w:lang w:eastAsia="en-US"/>
        </w:rPr>
        <w:t xml:space="preserve"> telpām, bet uz domājamām daļām no visa namīpašuma kopumā.</w:t>
      </w:r>
      <w:r w:rsidR="00B34DAD" w:rsidRPr="00DD459B">
        <w:rPr>
          <w:rFonts w:eastAsiaTheme="minorHAnsi"/>
          <w:lang w:eastAsia="en-US"/>
        </w:rPr>
        <w:t xml:space="preserve"> </w:t>
      </w:r>
    </w:p>
    <w:p w14:paraId="4957E736" w14:textId="6AE428D7" w:rsidR="00BC3C13" w:rsidRDefault="00B34DAD" w:rsidP="00F77A89">
      <w:pPr>
        <w:shd w:val="clear" w:color="auto" w:fill="FFFFFF"/>
        <w:spacing w:line="276" w:lineRule="auto"/>
        <w:ind w:firstLine="720"/>
        <w:jc w:val="both"/>
        <w:rPr>
          <w:rFonts w:eastAsiaTheme="minorHAnsi"/>
          <w:lang w:eastAsia="en-US"/>
        </w:rPr>
      </w:pPr>
      <w:r w:rsidRPr="005F3A63">
        <w:t xml:space="preserve">Otrkārt, tiesa norādījusi, ka atbilstoši Pirkuma līgumam </w:t>
      </w:r>
      <w:r w:rsidRPr="00DD459B">
        <w:rPr>
          <w:rFonts w:eastAsiaTheme="minorHAnsi"/>
          <w:lang w:eastAsia="en-US"/>
        </w:rPr>
        <w:t xml:space="preserve">pieteicējs apņēmās </w:t>
      </w:r>
      <w:r w:rsidR="00A45D3B">
        <w:rPr>
          <w:rFonts w:eastAsiaTheme="minorHAnsi"/>
          <w:lang w:eastAsia="en-US"/>
        </w:rPr>
        <w:t>„</w:t>
      </w:r>
      <w:r w:rsidRPr="00DD459B">
        <w:rPr>
          <w:rFonts w:eastAsiaTheme="minorHAnsi"/>
          <w:lang w:eastAsia="en-US"/>
        </w:rPr>
        <w:t>neiebilst pret būvniecību tajās kopīpašuma daļās, kur tā var notikt bez atsevišķas saskaņošanas ar citiem kopīpašniekiem</w:t>
      </w:r>
      <w:r w:rsidR="00A45D3B">
        <w:rPr>
          <w:rFonts w:eastAsiaTheme="minorHAnsi"/>
          <w:lang w:eastAsia="en-US"/>
        </w:rPr>
        <w:t>”</w:t>
      </w:r>
      <w:r w:rsidRPr="00DD459B">
        <w:rPr>
          <w:rFonts w:eastAsiaTheme="minorHAnsi"/>
          <w:lang w:eastAsia="en-US"/>
        </w:rPr>
        <w:t xml:space="preserve">. Tomēr spriedumā nav tālāk izvērsts, ko un kāpēc </w:t>
      </w:r>
      <w:r w:rsidR="0034500F" w:rsidRPr="00DD459B">
        <w:rPr>
          <w:rFonts w:eastAsiaTheme="minorHAnsi"/>
          <w:lang w:eastAsia="en-US"/>
        </w:rPr>
        <w:t>tiesa saprot ar tām kopīpašuma daļām, kurās būvniecība var notikt bez atsevišķas saskaņošanas ar citiem</w:t>
      </w:r>
      <w:r w:rsidR="00864DCC" w:rsidRPr="00DD459B">
        <w:rPr>
          <w:rFonts w:eastAsiaTheme="minorHAnsi"/>
          <w:lang w:eastAsia="en-US"/>
        </w:rPr>
        <w:t xml:space="preserve"> </w:t>
      </w:r>
      <w:r w:rsidR="0034500F" w:rsidRPr="00DD459B">
        <w:rPr>
          <w:rFonts w:eastAsiaTheme="minorHAnsi"/>
          <w:lang w:eastAsia="en-US"/>
        </w:rPr>
        <w:t>kopīpašniekiem.</w:t>
      </w:r>
      <w:r w:rsidRPr="00DD459B">
        <w:rPr>
          <w:rFonts w:eastAsiaTheme="minorHAnsi"/>
          <w:lang w:eastAsia="en-US"/>
        </w:rPr>
        <w:t xml:space="preserve"> Šāda argumentācija nav atrodama arī rajona tiesas spriedumā, kura mot</w:t>
      </w:r>
      <w:r w:rsidR="004A2A9D">
        <w:rPr>
          <w:rFonts w:eastAsiaTheme="minorHAnsi"/>
          <w:lang w:eastAsia="en-US"/>
        </w:rPr>
        <w:t>i</w:t>
      </w:r>
      <w:r w:rsidRPr="00DD459B">
        <w:rPr>
          <w:rFonts w:eastAsiaTheme="minorHAnsi"/>
          <w:lang w:eastAsia="en-US"/>
        </w:rPr>
        <w:t>v</w:t>
      </w:r>
      <w:r w:rsidR="00AD0B63">
        <w:rPr>
          <w:rFonts w:eastAsiaTheme="minorHAnsi"/>
          <w:lang w:eastAsia="en-US"/>
        </w:rPr>
        <w:t>ācijai</w:t>
      </w:r>
      <w:r w:rsidRPr="00DD459B">
        <w:rPr>
          <w:rFonts w:eastAsiaTheme="minorHAnsi"/>
          <w:lang w:eastAsia="en-US"/>
        </w:rPr>
        <w:t xml:space="preserve"> apgabaltiesa pievienojusies</w:t>
      </w:r>
      <w:r w:rsidR="00141662">
        <w:rPr>
          <w:rFonts w:eastAsiaTheme="minorHAnsi"/>
          <w:lang w:eastAsia="en-US"/>
        </w:rPr>
        <w:t>. Rajona tiesas spriedumā</w:t>
      </w:r>
      <w:r w:rsidRPr="00DD459B">
        <w:rPr>
          <w:rFonts w:eastAsiaTheme="minorHAnsi"/>
          <w:lang w:eastAsia="en-US"/>
        </w:rPr>
        <w:t xml:space="preserve"> </w:t>
      </w:r>
      <w:r w:rsidR="00A45D3B">
        <w:rPr>
          <w:rFonts w:eastAsiaTheme="minorHAnsi"/>
          <w:lang w:eastAsia="en-US"/>
        </w:rPr>
        <w:t xml:space="preserve">šajā sakarā </w:t>
      </w:r>
      <w:r w:rsidRPr="00DD459B">
        <w:rPr>
          <w:rFonts w:eastAsiaTheme="minorHAnsi"/>
          <w:lang w:eastAsia="en-US"/>
        </w:rPr>
        <w:t>tikai citēts</w:t>
      </w:r>
      <w:r w:rsidR="004208F0" w:rsidRPr="005F3A63">
        <w:rPr>
          <w:rFonts w:eastAsiaTheme="minorHAnsi"/>
          <w:lang w:eastAsia="en-US"/>
        </w:rPr>
        <w:t xml:space="preserve">, bet vispār nav analizēts </w:t>
      </w:r>
      <w:r w:rsidR="00933BD7" w:rsidRPr="005F3A63">
        <w:rPr>
          <w:rFonts w:eastAsiaTheme="minorHAnsi"/>
          <w:lang w:eastAsia="en-US"/>
        </w:rPr>
        <w:t xml:space="preserve">no valodas viedokļa sarežģīti konstruētais </w:t>
      </w:r>
      <w:r w:rsidRPr="00DD459B">
        <w:rPr>
          <w:rFonts w:eastAsiaTheme="minorHAnsi"/>
          <w:lang w:eastAsia="en-US"/>
        </w:rPr>
        <w:t xml:space="preserve">Pirkuma līguma noteikums, ka </w:t>
      </w:r>
      <w:r w:rsidR="004208F0" w:rsidRPr="00DD459B">
        <w:rPr>
          <w:rFonts w:eastAsiaTheme="minorHAnsi"/>
          <w:lang w:eastAsia="en-US"/>
        </w:rPr>
        <w:t xml:space="preserve">pieteicējs apņēmies </w:t>
      </w:r>
      <w:r w:rsidR="004208F0" w:rsidRPr="005F3A63">
        <w:rPr>
          <w:rFonts w:eastAsiaTheme="minorHAnsi"/>
          <w:lang w:eastAsia="en-US"/>
        </w:rPr>
        <w:t>„</w:t>
      </w:r>
      <w:r w:rsidR="004208F0" w:rsidRPr="00DD459B">
        <w:rPr>
          <w:rFonts w:eastAsiaTheme="minorHAnsi"/>
          <w:lang w:eastAsia="en-US"/>
        </w:rPr>
        <w:t>kopīpašnieku īpašumā un lietošanā nodoto ēkas daļu</w:t>
      </w:r>
      <w:r w:rsidR="004208F0" w:rsidRPr="005F3A63">
        <w:rPr>
          <w:rFonts w:eastAsiaTheme="minorHAnsi"/>
          <w:lang w:eastAsia="en-US"/>
        </w:rPr>
        <w:t xml:space="preserve"> </w:t>
      </w:r>
      <w:r w:rsidR="004208F0" w:rsidRPr="00DD459B">
        <w:rPr>
          <w:rFonts w:eastAsiaTheme="minorHAnsi"/>
          <w:lang w:eastAsia="en-US"/>
        </w:rPr>
        <w:t>būvniecības gadī</w:t>
      </w:r>
      <w:r w:rsidR="004208F0" w:rsidRPr="00DD459B">
        <w:rPr>
          <w:rFonts w:eastAsiaTheme="minorHAnsi"/>
          <w:lang w:eastAsia="en-US"/>
        </w:rPr>
        <w:lastRenderedPageBreak/>
        <w:t>jumā neiebilst būvniecībai tajās, kas var notikt bez atsevišķas</w:t>
      </w:r>
      <w:r w:rsidR="004208F0" w:rsidRPr="005F3A63">
        <w:rPr>
          <w:rFonts w:eastAsiaTheme="minorHAnsi"/>
          <w:lang w:eastAsia="en-US"/>
        </w:rPr>
        <w:t xml:space="preserve"> </w:t>
      </w:r>
      <w:r w:rsidR="004208F0" w:rsidRPr="00DD459B">
        <w:rPr>
          <w:rFonts w:eastAsiaTheme="minorHAnsi"/>
          <w:lang w:eastAsia="en-US"/>
        </w:rPr>
        <w:t>saskaņošanas ar citiem kopīpašniekiem, vadoties no būvniecības noteikumiem, un ar</w:t>
      </w:r>
      <w:r w:rsidR="004208F0" w:rsidRPr="005F3A63">
        <w:rPr>
          <w:rFonts w:eastAsiaTheme="minorHAnsi"/>
          <w:lang w:eastAsia="en-US"/>
        </w:rPr>
        <w:t xml:space="preserve"> </w:t>
      </w:r>
      <w:r w:rsidR="004208F0" w:rsidRPr="00DD459B">
        <w:rPr>
          <w:rFonts w:eastAsiaTheme="minorHAnsi"/>
          <w:lang w:eastAsia="en-US"/>
        </w:rPr>
        <w:t>noteikumu, ka nedrīkst pasliktināt citu kopīpašnieku īpašuma daļas lietošanas</w:t>
      </w:r>
      <w:r w:rsidR="004208F0" w:rsidRPr="005F3A63">
        <w:rPr>
          <w:rFonts w:eastAsiaTheme="minorHAnsi"/>
          <w:lang w:eastAsia="en-US"/>
        </w:rPr>
        <w:t xml:space="preserve"> </w:t>
      </w:r>
      <w:r w:rsidR="004208F0" w:rsidRPr="00DD459B">
        <w:rPr>
          <w:rFonts w:eastAsiaTheme="minorHAnsi"/>
          <w:lang w:eastAsia="en-US"/>
        </w:rPr>
        <w:t>tiesības</w:t>
      </w:r>
      <w:r w:rsidR="004208F0" w:rsidRPr="005F3A63">
        <w:rPr>
          <w:rFonts w:eastAsiaTheme="minorHAnsi"/>
          <w:lang w:eastAsia="en-US"/>
        </w:rPr>
        <w:t>”</w:t>
      </w:r>
      <w:r w:rsidR="00074B64">
        <w:rPr>
          <w:rFonts w:eastAsiaTheme="minorHAnsi"/>
          <w:lang w:eastAsia="en-US"/>
        </w:rPr>
        <w:t>.</w:t>
      </w:r>
    </w:p>
    <w:p w14:paraId="32B06EC0" w14:textId="22F54DC8" w:rsidR="00BC3C13" w:rsidRDefault="004208F0" w:rsidP="00F77A89">
      <w:pPr>
        <w:shd w:val="clear" w:color="auto" w:fill="FFFFFF"/>
        <w:spacing w:line="276" w:lineRule="auto"/>
        <w:ind w:firstLine="720"/>
        <w:jc w:val="both"/>
        <w:rPr>
          <w:rFonts w:eastAsiaTheme="minorHAnsi"/>
          <w:lang w:eastAsia="en-US"/>
        </w:rPr>
      </w:pPr>
      <w:r w:rsidRPr="005F3A63">
        <w:rPr>
          <w:rFonts w:eastAsiaTheme="minorHAnsi"/>
          <w:lang w:eastAsia="en-US"/>
        </w:rPr>
        <w:t xml:space="preserve">Kā jau minēts, pieteicējs tiesai bija uzsvēris, ka zemesgrāmatā īpašuma tiesības kopīpašniekiem ir reģistrētas uz īpašuma domājamām daļām un </w:t>
      </w:r>
      <w:r w:rsidR="00933BD7" w:rsidRPr="005F3A63">
        <w:rPr>
          <w:rFonts w:eastAsiaTheme="minorHAnsi"/>
          <w:lang w:eastAsia="en-US"/>
        </w:rPr>
        <w:t xml:space="preserve">tātad </w:t>
      </w:r>
      <w:r w:rsidRPr="005F3A63">
        <w:rPr>
          <w:rFonts w:eastAsiaTheme="minorHAnsi"/>
          <w:lang w:eastAsia="en-US"/>
        </w:rPr>
        <w:t xml:space="preserve">nav tādas ēku daļas, uz kurām īpašuma tiesības būtu </w:t>
      </w:r>
      <w:r w:rsidR="00933BD7" w:rsidRPr="005F3A63">
        <w:rPr>
          <w:rFonts w:eastAsiaTheme="minorHAnsi"/>
          <w:lang w:eastAsia="en-US"/>
        </w:rPr>
        <w:t>nodotas</w:t>
      </w:r>
      <w:r w:rsidRPr="005F3A63">
        <w:rPr>
          <w:rFonts w:eastAsiaTheme="minorHAnsi"/>
          <w:lang w:eastAsia="en-US"/>
        </w:rPr>
        <w:t xml:space="preserve"> tikai vienai personai. Tāpat pieteicējs </w:t>
      </w:r>
      <w:r w:rsidR="00933BD7" w:rsidRPr="005F3A63">
        <w:rPr>
          <w:rFonts w:eastAsiaTheme="minorHAnsi"/>
          <w:lang w:eastAsia="en-US"/>
        </w:rPr>
        <w:t xml:space="preserve">tiesai </w:t>
      </w:r>
      <w:r w:rsidRPr="005F3A63">
        <w:rPr>
          <w:rFonts w:eastAsiaTheme="minorHAnsi"/>
          <w:lang w:eastAsia="en-US"/>
        </w:rPr>
        <w:t>arī norādījis, ka konkrēt</w:t>
      </w:r>
      <w:r w:rsidR="00933BD7" w:rsidRPr="005F3A63">
        <w:rPr>
          <w:rFonts w:eastAsiaTheme="minorHAnsi"/>
          <w:lang w:eastAsia="en-US"/>
        </w:rPr>
        <w:t>o P</w:t>
      </w:r>
      <w:r w:rsidRPr="005F3A63">
        <w:rPr>
          <w:rFonts w:eastAsiaTheme="minorHAnsi"/>
          <w:lang w:eastAsia="en-US"/>
        </w:rPr>
        <w:t>irkuma līgum</w:t>
      </w:r>
      <w:r w:rsidR="00A45D3B">
        <w:rPr>
          <w:rFonts w:eastAsiaTheme="minorHAnsi"/>
          <w:lang w:eastAsia="en-US"/>
        </w:rPr>
        <w:t>a noteikumu</w:t>
      </w:r>
      <w:r w:rsidRPr="005F3A63">
        <w:rPr>
          <w:rFonts w:eastAsiaTheme="minorHAnsi"/>
          <w:lang w:eastAsia="en-US"/>
        </w:rPr>
        <w:t xml:space="preserve"> sapratis tā, ka</w:t>
      </w:r>
      <w:r w:rsidR="00933BD7" w:rsidRPr="005F3A63">
        <w:rPr>
          <w:rFonts w:eastAsiaTheme="minorHAnsi"/>
          <w:lang w:eastAsia="en-US"/>
        </w:rPr>
        <w:t xml:space="preserve"> </w:t>
      </w:r>
      <w:r w:rsidR="00A45D3B">
        <w:rPr>
          <w:rFonts w:eastAsiaTheme="minorHAnsi"/>
          <w:lang w:eastAsia="en-US"/>
        </w:rPr>
        <w:t xml:space="preserve">ar to viņš </w:t>
      </w:r>
      <w:r w:rsidR="00933BD7" w:rsidRPr="005F3A63">
        <w:rPr>
          <w:rFonts w:eastAsiaTheme="minorHAnsi"/>
          <w:lang w:eastAsia="en-US"/>
        </w:rPr>
        <w:t>neiebilst būvniecībai tādās ēkas daļās, kurās būvniecība atbilstoši būvniecības noteikumiem var notikt bez atsevišķas saskaņošanas</w:t>
      </w:r>
      <w:r w:rsidR="005F3A63" w:rsidRPr="005F3A63">
        <w:rPr>
          <w:rFonts w:eastAsiaTheme="minorHAnsi"/>
          <w:lang w:eastAsia="en-US"/>
        </w:rPr>
        <w:t xml:space="preserve"> ar citiem kopīpašniekiem</w:t>
      </w:r>
      <w:r w:rsidR="00A45D3B">
        <w:rPr>
          <w:rFonts w:eastAsiaTheme="minorHAnsi"/>
          <w:lang w:eastAsia="en-US"/>
        </w:rPr>
        <w:t xml:space="preserve"> (ja būvniecības noteikumi ko tādu paredz)</w:t>
      </w:r>
      <w:r w:rsidR="00933BD7" w:rsidRPr="005F3A63">
        <w:rPr>
          <w:rFonts w:eastAsiaTheme="minorHAnsi"/>
          <w:lang w:eastAsia="en-US"/>
        </w:rPr>
        <w:t>. T</w:t>
      </w:r>
      <w:r w:rsidR="00141662">
        <w:rPr>
          <w:rFonts w:eastAsiaTheme="minorHAnsi"/>
          <w:lang w:eastAsia="en-US"/>
        </w:rPr>
        <w:t>omēr t</w:t>
      </w:r>
      <w:r w:rsidR="00933BD7" w:rsidRPr="005F3A63">
        <w:rPr>
          <w:rFonts w:eastAsiaTheme="minorHAnsi"/>
          <w:lang w:eastAsia="en-US"/>
        </w:rPr>
        <w:t xml:space="preserve">iesa nav argumentējusi, kāpēc pieteicēja izpratne par minētā līguma noteikuma saturu ir nepareiza, </w:t>
      </w:r>
      <w:r w:rsidR="001711C9">
        <w:rPr>
          <w:rFonts w:eastAsiaTheme="minorHAnsi"/>
          <w:lang w:eastAsia="en-US"/>
        </w:rPr>
        <w:t xml:space="preserve">kā arī nav izskaidrojusi, </w:t>
      </w:r>
      <w:r w:rsidR="001711C9">
        <w:rPr>
          <w:rFonts w:eastAsiaTheme="minorHAnsi"/>
          <w:lang w:eastAsia="en-US"/>
        </w:rPr>
        <w:lastRenderedPageBreak/>
        <w:t xml:space="preserve">kāpēc atbilstoši tiesisku darījumu iztulkošanas noteikumiem </w:t>
      </w:r>
      <w:r w:rsidR="00244123">
        <w:rPr>
          <w:rFonts w:eastAsiaTheme="minorHAnsi"/>
          <w:lang w:eastAsia="en-US"/>
        </w:rPr>
        <w:t>(Civillikuma 1504.</w:t>
      </w:r>
      <w:r w:rsidR="00244123" w:rsidRPr="00F4759E">
        <w:t>–</w:t>
      </w:r>
      <w:proofErr w:type="gramStart"/>
      <w:r w:rsidR="00244123">
        <w:rPr>
          <w:rFonts w:eastAsiaTheme="minorHAnsi"/>
          <w:lang w:eastAsia="en-US"/>
        </w:rPr>
        <w:t>1509.pants</w:t>
      </w:r>
      <w:proofErr w:type="gramEnd"/>
      <w:r w:rsidR="00244123">
        <w:rPr>
          <w:rFonts w:eastAsiaTheme="minorHAnsi"/>
          <w:lang w:eastAsia="en-US"/>
        </w:rPr>
        <w:t xml:space="preserve">) </w:t>
      </w:r>
      <w:r w:rsidR="001711C9">
        <w:rPr>
          <w:rFonts w:eastAsiaTheme="minorHAnsi"/>
          <w:lang w:eastAsia="en-US"/>
        </w:rPr>
        <w:t>būtu jānonāk pie tāda Pi</w:t>
      </w:r>
      <w:r w:rsidR="00244123">
        <w:rPr>
          <w:rFonts w:eastAsiaTheme="minorHAnsi"/>
          <w:lang w:eastAsia="en-US"/>
        </w:rPr>
        <w:t>r</w:t>
      </w:r>
      <w:r w:rsidR="001711C9">
        <w:rPr>
          <w:rFonts w:eastAsiaTheme="minorHAnsi"/>
          <w:lang w:eastAsia="en-US"/>
        </w:rPr>
        <w:t>kuma līguma noteikumu izt</w:t>
      </w:r>
      <w:r w:rsidR="00244123">
        <w:rPr>
          <w:rFonts w:eastAsiaTheme="minorHAnsi"/>
          <w:lang w:eastAsia="en-US"/>
        </w:rPr>
        <w:t>u</w:t>
      </w:r>
      <w:r w:rsidR="001711C9">
        <w:rPr>
          <w:rFonts w:eastAsiaTheme="minorHAnsi"/>
          <w:lang w:eastAsia="en-US"/>
        </w:rPr>
        <w:t>lk</w:t>
      </w:r>
      <w:r w:rsidR="00244123">
        <w:rPr>
          <w:rFonts w:eastAsiaTheme="minorHAnsi"/>
          <w:lang w:eastAsia="en-US"/>
        </w:rPr>
        <w:t>o</w:t>
      </w:r>
      <w:r w:rsidR="001711C9">
        <w:rPr>
          <w:rFonts w:eastAsiaTheme="minorHAnsi"/>
          <w:lang w:eastAsia="en-US"/>
        </w:rPr>
        <w:t>juma, kādu konstatējusi tiesa. Tiesa</w:t>
      </w:r>
      <w:r w:rsidR="005F3A63" w:rsidRPr="005F3A63">
        <w:rPr>
          <w:rFonts w:eastAsiaTheme="minorHAnsi"/>
          <w:lang w:eastAsia="en-US"/>
        </w:rPr>
        <w:t xml:space="preserve"> </w:t>
      </w:r>
      <w:r w:rsidR="00933BD7" w:rsidRPr="005F3A63">
        <w:rPr>
          <w:rFonts w:eastAsiaTheme="minorHAnsi"/>
          <w:lang w:eastAsia="en-US"/>
        </w:rPr>
        <w:t>ir aprobežojusies tikai ar līguma noteikum</w:t>
      </w:r>
      <w:r w:rsidR="005F3A63">
        <w:rPr>
          <w:rFonts w:eastAsiaTheme="minorHAnsi"/>
          <w:lang w:eastAsia="en-US"/>
        </w:rPr>
        <w:t>a</w:t>
      </w:r>
      <w:r w:rsidR="00933BD7" w:rsidRPr="005F3A63">
        <w:rPr>
          <w:rFonts w:eastAsiaTheme="minorHAnsi"/>
          <w:lang w:eastAsia="en-US"/>
        </w:rPr>
        <w:t xml:space="preserve"> citēšanu un apgalvojumu, ka tādējādi </w:t>
      </w:r>
      <w:r w:rsidR="00933BD7" w:rsidRPr="00DD459B">
        <w:rPr>
          <w:rFonts w:eastAsiaTheme="minorHAnsi"/>
          <w:lang w:eastAsia="en-US"/>
        </w:rPr>
        <w:t xml:space="preserve">konstatējama pieteicēja </w:t>
      </w:r>
      <w:r w:rsidR="005F3A63">
        <w:rPr>
          <w:rFonts w:eastAsiaTheme="minorHAnsi"/>
          <w:lang w:eastAsia="en-US"/>
        </w:rPr>
        <w:t xml:space="preserve">nepārprotama </w:t>
      </w:r>
      <w:r w:rsidR="00933BD7" w:rsidRPr="00DD459B">
        <w:rPr>
          <w:rFonts w:eastAsiaTheme="minorHAnsi"/>
          <w:lang w:eastAsia="en-US"/>
        </w:rPr>
        <w:t>piekrišana būvniecībai citu kopīpašnieku lietošanā</w:t>
      </w:r>
      <w:r w:rsidR="00933BD7" w:rsidRPr="005F3A63">
        <w:rPr>
          <w:rFonts w:eastAsiaTheme="minorHAnsi"/>
          <w:lang w:eastAsia="en-US"/>
        </w:rPr>
        <w:t xml:space="preserve"> </w:t>
      </w:r>
      <w:r w:rsidR="00933BD7" w:rsidRPr="00DD459B">
        <w:rPr>
          <w:rFonts w:eastAsiaTheme="minorHAnsi"/>
          <w:lang w:eastAsia="en-US"/>
        </w:rPr>
        <w:t xml:space="preserve">esošajā daļā </w:t>
      </w:r>
      <w:r w:rsidR="00E65A79">
        <w:rPr>
          <w:rFonts w:eastAsiaTheme="minorHAnsi"/>
          <w:lang w:eastAsia="en-US"/>
        </w:rPr>
        <w:t>(</w:t>
      </w:r>
      <w:r w:rsidR="00933BD7" w:rsidRPr="00DD459B">
        <w:rPr>
          <w:rFonts w:eastAsiaTheme="minorHAnsi"/>
          <w:lang w:eastAsia="en-US"/>
        </w:rPr>
        <w:t>ar nosacījumu, ka tā nepasliktinās viņa īpašuma daļas lietošanas tiesības</w:t>
      </w:r>
      <w:r w:rsidR="00E65A79">
        <w:rPr>
          <w:rFonts w:eastAsiaTheme="minorHAnsi"/>
          <w:lang w:eastAsia="en-US"/>
        </w:rPr>
        <w:t>)</w:t>
      </w:r>
      <w:r w:rsidR="00933BD7" w:rsidRPr="00DD459B">
        <w:rPr>
          <w:rFonts w:eastAsiaTheme="minorHAnsi"/>
          <w:lang w:eastAsia="en-US"/>
        </w:rPr>
        <w:t>.</w:t>
      </w:r>
      <w:r w:rsidR="00933BD7" w:rsidRPr="005F3A63">
        <w:rPr>
          <w:rFonts w:eastAsiaTheme="minorHAnsi"/>
          <w:lang w:eastAsia="en-US"/>
        </w:rPr>
        <w:t xml:space="preserve"> </w:t>
      </w:r>
      <w:r w:rsidR="005F3A63">
        <w:rPr>
          <w:rFonts w:eastAsiaTheme="minorHAnsi"/>
          <w:lang w:eastAsia="en-US"/>
        </w:rPr>
        <w:t xml:space="preserve">Apgabaltiesa papildus </w:t>
      </w:r>
      <w:r w:rsidR="00E65A79">
        <w:rPr>
          <w:rFonts w:eastAsiaTheme="minorHAnsi"/>
          <w:lang w:eastAsia="en-US"/>
        </w:rPr>
        <w:t>norādījusi vien to</w:t>
      </w:r>
      <w:r w:rsidR="005F3A63" w:rsidRPr="00DD459B">
        <w:rPr>
          <w:rFonts w:eastAsiaTheme="minorHAnsi"/>
          <w:lang w:eastAsia="en-US"/>
        </w:rPr>
        <w:t>, ka pieteicējam, vienojoties par kopīpašuma atsevišķo lietojumu, bija jāsaprot,</w:t>
      </w:r>
      <w:r w:rsidR="005F3A63">
        <w:rPr>
          <w:rFonts w:eastAsiaTheme="minorHAnsi"/>
          <w:lang w:eastAsia="en-US"/>
        </w:rPr>
        <w:t xml:space="preserve"> </w:t>
      </w:r>
      <w:r w:rsidR="005F3A63" w:rsidRPr="00DD459B">
        <w:rPr>
          <w:rFonts w:eastAsiaTheme="minorHAnsi"/>
          <w:lang w:eastAsia="en-US"/>
        </w:rPr>
        <w:t>ka viņš piekrīt citu kopīpašnieku autonomai rīcībai ar viņu lietojumā esošo mantu</w:t>
      </w:r>
      <w:r w:rsidR="00E65A79">
        <w:rPr>
          <w:rFonts w:eastAsiaTheme="minorHAnsi"/>
          <w:lang w:eastAsia="en-US"/>
        </w:rPr>
        <w:t>. T</w:t>
      </w:r>
      <w:r w:rsidR="005F3A63">
        <w:rPr>
          <w:rFonts w:eastAsiaTheme="minorHAnsi"/>
          <w:lang w:eastAsia="en-US"/>
        </w:rPr>
        <w:t xml:space="preserve">omēr arī šis </w:t>
      </w:r>
      <w:r w:rsidR="00E65A79">
        <w:rPr>
          <w:rFonts w:eastAsiaTheme="minorHAnsi"/>
          <w:lang w:eastAsia="en-US"/>
        </w:rPr>
        <w:t xml:space="preserve">tiesas </w:t>
      </w:r>
      <w:r w:rsidR="005F3A63">
        <w:rPr>
          <w:rFonts w:eastAsiaTheme="minorHAnsi"/>
          <w:lang w:eastAsia="en-US"/>
        </w:rPr>
        <w:t xml:space="preserve">uzskats nav </w:t>
      </w:r>
      <w:r w:rsidR="00C938D9">
        <w:rPr>
          <w:rFonts w:eastAsiaTheme="minorHAnsi"/>
          <w:lang w:eastAsia="en-US"/>
        </w:rPr>
        <w:t xml:space="preserve">izvērsti </w:t>
      </w:r>
      <w:r w:rsidR="005F3A63">
        <w:rPr>
          <w:rFonts w:eastAsiaTheme="minorHAnsi"/>
          <w:lang w:eastAsia="en-US"/>
        </w:rPr>
        <w:t>pamatots. Ņemot vērā, ka kopīpašnieku vienošanās par kopīpašuma lietošan</w:t>
      </w:r>
      <w:r w:rsidR="00141662">
        <w:rPr>
          <w:rFonts w:eastAsiaTheme="minorHAnsi"/>
          <w:lang w:eastAsia="en-US"/>
        </w:rPr>
        <w:t>u</w:t>
      </w:r>
      <w:r w:rsidR="005F3A63">
        <w:rPr>
          <w:rFonts w:eastAsiaTheme="minorHAnsi"/>
          <w:lang w:eastAsia="en-US"/>
        </w:rPr>
        <w:t xml:space="preserve"> </w:t>
      </w:r>
      <w:r w:rsidR="00E65A79">
        <w:rPr>
          <w:rFonts w:eastAsiaTheme="minorHAnsi"/>
          <w:lang w:eastAsia="en-US"/>
        </w:rPr>
        <w:t xml:space="preserve">pati par sevi </w:t>
      </w:r>
      <w:r w:rsidR="00141662">
        <w:rPr>
          <w:rFonts w:eastAsiaTheme="minorHAnsi"/>
          <w:lang w:eastAsia="en-US"/>
        </w:rPr>
        <w:t xml:space="preserve">neatņem </w:t>
      </w:r>
      <w:r w:rsidR="00141662" w:rsidRPr="00E65A79">
        <w:rPr>
          <w:rFonts w:eastAsiaTheme="minorHAnsi"/>
          <w:lang w:eastAsia="en-US"/>
        </w:rPr>
        <w:t>īpašuma tiesības un neatceļ ierobežojumus kopīpašniekiem rīkoties ar kopīpašuma objektu bez pārējo kopīpašnieku ziņas, šādam tiesas apgalvojumam (uzskatam) būtu nepieciešams pamatojums.</w:t>
      </w:r>
      <w:r w:rsidR="00E65A79">
        <w:rPr>
          <w:rFonts w:eastAsiaTheme="minorHAnsi"/>
          <w:lang w:eastAsia="en-US"/>
        </w:rPr>
        <w:t xml:space="preserve"> </w:t>
      </w:r>
    </w:p>
    <w:p w14:paraId="10D80CD9" w14:textId="4494635C" w:rsidR="00141662" w:rsidRDefault="008B12BF" w:rsidP="00F77A89">
      <w:pPr>
        <w:shd w:val="clear" w:color="auto" w:fill="FFFFFF"/>
        <w:spacing w:line="276" w:lineRule="auto"/>
        <w:ind w:firstLine="720"/>
        <w:jc w:val="both"/>
        <w:rPr>
          <w:rFonts w:eastAsiaTheme="minorHAnsi"/>
          <w:lang w:eastAsia="en-US"/>
        </w:rPr>
      </w:pPr>
      <w:r w:rsidRPr="00E65A79">
        <w:rPr>
          <w:rFonts w:eastAsiaTheme="minorHAnsi"/>
          <w:lang w:eastAsia="en-US"/>
        </w:rPr>
        <w:lastRenderedPageBreak/>
        <w:t xml:space="preserve">Savukārt uz </w:t>
      </w:r>
      <w:r w:rsidR="00E65A79" w:rsidRPr="00E65A79">
        <w:rPr>
          <w:rFonts w:eastAsiaTheme="minorHAnsi"/>
          <w:lang w:eastAsia="en-US"/>
        </w:rPr>
        <w:t>p</w:t>
      </w:r>
      <w:r w:rsidR="00141662" w:rsidRPr="00E65A79">
        <w:rPr>
          <w:rFonts w:eastAsiaTheme="minorHAnsi"/>
          <w:lang w:eastAsia="en-US"/>
        </w:rPr>
        <w:t xml:space="preserve">ieteicēja norādi, ka, slēdzot Pirkuma līgumu, </w:t>
      </w:r>
      <w:r w:rsidRPr="00E65A79">
        <w:rPr>
          <w:rFonts w:eastAsiaTheme="minorHAnsi"/>
          <w:lang w:eastAsia="en-US"/>
        </w:rPr>
        <w:t xml:space="preserve">viņš </w:t>
      </w:r>
      <w:r w:rsidR="00141662" w:rsidRPr="00E65A79">
        <w:rPr>
          <w:rFonts w:eastAsiaTheme="minorHAnsi"/>
          <w:lang w:eastAsia="en-US"/>
        </w:rPr>
        <w:t xml:space="preserve">nav piekritis tam, ka otrs kopīpašnieks samazinātu kopīpašuma objektu, ēkas nojaucot, </w:t>
      </w:r>
      <w:r w:rsidRPr="00E65A79">
        <w:rPr>
          <w:rFonts w:eastAsiaTheme="minorHAnsi"/>
          <w:lang w:eastAsia="en-US"/>
        </w:rPr>
        <w:t xml:space="preserve">tiesa atbildējusi ar atsauci uz spēkā esošo Būvniecības likuma </w:t>
      </w:r>
      <w:proofErr w:type="gramStart"/>
      <w:r w:rsidRPr="00E65A79">
        <w:rPr>
          <w:rFonts w:eastAsiaTheme="minorHAnsi"/>
          <w:lang w:eastAsia="en-US"/>
        </w:rPr>
        <w:t>1.panta</w:t>
      </w:r>
      <w:proofErr w:type="gramEnd"/>
      <w:r w:rsidRPr="00E65A79">
        <w:rPr>
          <w:rFonts w:eastAsiaTheme="minorHAnsi"/>
          <w:lang w:eastAsia="en-US"/>
        </w:rPr>
        <w:t xml:space="preserve"> 2.</w:t>
      </w:r>
      <w:r w:rsidR="006F1192">
        <w:rPr>
          <w:rFonts w:eastAsiaTheme="minorHAnsi"/>
          <w:lang w:eastAsia="en-US"/>
        </w:rPr>
        <w:t xml:space="preserve"> </w:t>
      </w:r>
      <w:r w:rsidRPr="00E65A79">
        <w:rPr>
          <w:rFonts w:eastAsiaTheme="minorHAnsi"/>
          <w:lang w:eastAsia="en-US"/>
        </w:rPr>
        <w:t xml:space="preserve">un 12.punktu. Proti, tiesa norādījusi, ka atbilstoši minētajām tiesību normām jēdzieni </w:t>
      </w:r>
      <w:r w:rsidRPr="00244123">
        <w:rPr>
          <w:rFonts w:eastAsiaTheme="minorHAnsi"/>
          <w:i/>
          <w:iCs/>
          <w:lang w:eastAsia="en-US"/>
        </w:rPr>
        <w:t>būvniecība</w:t>
      </w:r>
      <w:r w:rsidRPr="00E65A79">
        <w:rPr>
          <w:rFonts w:eastAsiaTheme="minorHAnsi"/>
          <w:lang w:eastAsia="en-US"/>
        </w:rPr>
        <w:t xml:space="preserve"> un </w:t>
      </w:r>
      <w:r w:rsidRPr="00244123">
        <w:rPr>
          <w:rFonts w:eastAsiaTheme="minorHAnsi"/>
          <w:i/>
          <w:iCs/>
          <w:lang w:eastAsia="en-US"/>
        </w:rPr>
        <w:t>būvdarbi</w:t>
      </w:r>
      <w:r w:rsidRPr="00E65A79">
        <w:rPr>
          <w:rFonts w:eastAsiaTheme="minorHAnsi"/>
          <w:lang w:eastAsia="en-US"/>
        </w:rPr>
        <w:t xml:space="preserve"> aptver arī būvju nojaukšanas darbus</w:t>
      </w:r>
      <w:r w:rsidR="00E65A79" w:rsidRPr="00E65A79">
        <w:rPr>
          <w:rFonts w:eastAsiaTheme="minorHAnsi"/>
          <w:lang w:eastAsia="en-US"/>
        </w:rPr>
        <w:t xml:space="preserve">, tāpēc, dodot atļauju </w:t>
      </w:r>
      <w:r w:rsidR="00E65A79" w:rsidRPr="00DD459B">
        <w:rPr>
          <w:rFonts w:eastAsiaTheme="minorHAnsi"/>
          <w:lang w:eastAsia="en-US"/>
        </w:rPr>
        <w:t>būvniecībai trešās personas atsevišķā lietošanā</w:t>
      </w:r>
      <w:r w:rsidR="00E65A79">
        <w:rPr>
          <w:rFonts w:eastAsiaTheme="minorHAnsi"/>
          <w:lang w:eastAsia="en-US"/>
        </w:rPr>
        <w:t xml:space="preserve"> </w:t>
      </w:r>
      <w:r w:rsidR="00E65A79" w:rsidRPr="00DD459B">
        <w:rPr>
          <w:rFonts w:eastAsiaTheme="minorHAnsi"/>
          <w:lang w:eastAsia="en-US"/>
        </w:rPr>
        <w:t>nodotajās ēkās, pieteicējs šajā atļaujā esot iekļāvis arī tiesības šīs ēkas nojaukt.</w:t>
      </w:r>
      <w:r w:rsidR="00E65A79">
        <w:rPr>
          <w:rFonts w:eastAsiaTheme="minorHAnsi"/>
          <w:lang w:eastAsia="en-US"/>
        </w:rPr>
        <w:t xml:space="preserve"> Tomēr tiesa nav pamatojusi, kāpēc Būvniecības likuma normas, kuras nebija spēkā laikā, kad tika noslēgts Pirkuma līgums, būtu izmantojamas Pirkuma līguma noteikumu satura noskaidrošanā.</w:t>
      </w:r>
    </w:p>
    <w:p w14:paraId="126CF31C" w14:textId="77777777" w:rsidR="00035750" w:rsidRDefault="00035750" w:rsidP="00F77A89">
      <w:pPr>
        <w:shd w:val="clear" w:color="auto" w:fill="FFFFFF"/>
        <w:spacing w:line="276" w:lineRule="auto"/>
        <w:ind w:firstLine="720"/>
        <w:jc w:val="both"/>
        <w:rPr>
          <w:rFonts w:eastAsiaTheme="minorHAnsi"/>
          <w:lang w:eastAsia="en-US"/>
        </w:rPr>
      </w:pPr>
    </w:p>
    <w:p w14:paraId="1F2D5BFF" w14:textId="51788EA5" w:rsidR="00A42606" w:rsidRDefault="00035750" w:rsidP="00F77A89">
      <w:pPr>
        <w:shd w:val="clear" w:color="auto" w:fill="FFFFFF"/>
        <w:spacing w:line="276" w:lineRule="auto"/>
        <w:ind w:firstLine="720"/>
        <w:jc w:val="both"/>
        <w:rPr>
          <w:rFonts w:eastAsiaTheme="minorHAnsi"/>
          <w:lang w:eastAsia="en-US"/>
        </w:rPr>
      </w:pPr>
      <w:r>
        <w:rPr>
          <w:rFonts w:eastAsiaTheme="minorHAnsi"/>
          <w:lang w:eastAsia="en-US"/>
        </w:rPr>
        <w:t>[</w:t>
      </w:r>
      <w:r w:rsidR="00244123">
        <w:rPr>
          <w:rFonts w:eastAsiaTheme="minorHAnsi"/>
          <w:lang w:eastAsia="en-US"/>
        </w:rPr>
        <w:t>9</w:t>
      </w:r>
      <w:r>
        <w:rPr>
          <w:rFonts w:eastAsiaTheme="minorHAnsi"/>
          <w:lang w:eastAsia="en-US"/>
        </w:rPr>
        <w:t xml:space="preserve">] </w:t>
      </w:r>
      <w:r w:rsidR="00E65A79">
        <w:rPr>
          <w:rFonts w:eastAsiaTheme="minorHAnsi"/>
          <w:lang w:eastAsia="en-US"/>
        </w:rPr>
        <w:t>Apkopojot minēto, Senāts atzīst, ka tiesas apsvērumi nesniedz pienācīgu pamatojumu tiesas secināju</w:t>
      </w:r>
      <w:r w:rsidR="00E65A79">
        <w:rPr>
          <w:rFonts w:eastAsiaTheme="minorHAnsi"/>
          <w:lang w:eastAsia="en-US"/>
        </w:rPr>
        <w:lastRenderedPageBreak/>
        <w:t xml:space="preserve">mam, ka </w:t>
      </w:r>
      <w:r w:rsidR="00244123">
        <w:rPr>
          <w:rFonts w:eastAsiaTheme="minorHAnsi"/>
          <w:lang w:eastAsia="en-US"/>
        </w:rPr>
        <w:t xml:space="preserve">jau </w:t>
      </w:r>
      <w:r w:rsidR="00E65A79">
        <w:rPr>
          <w:rFonts w:eastAsiaTheme="minorHAnsi"/>
          <w:lang w:eastAsia="en-US"/>
        </w:rPr>
        <w:t xml:space="preserve">Pirkuma līgums ietver </w:t>
      </w:r>
      <w:r w:rsidR="00244123">
        <w:rPr>
          <w:rFonts w:eastAsiaTheme="minorHAnsi"/>
          <w:lang w:eastAsia="en-US"/>
        </w:rPr>
        <w:t xml:space="preserve">pietiekami </w:t>
      </w:r>
      <w:r w:rsidR="00E65A79">
        <w:rPr>
          <w:rFonts w:eastAsiaTheme="minorHAnsi"/>
          <w:lang w:eastAsia="en-US"/>
        </w:rPr>
        <w:t>nepārprotamu pieteicēja piekrišanu trešās personas iecerēta</w:t>
      </w:r>
      <w:r w:rsidR="00244123">
        <w:rPr>
          <w:rFonts w:eastAsiaTheme="minorHAnsi"/>
          <w:lang w:eastAsia="en-US"/>
        </w:rPr>
        <w:t>ja</w:t>
      </w:r>
      <w:r w:rsidR="00E65A79">
        <w:rPr>
          <w:rFonts w:eastAsiaTheme="minorHAnsi"/>
          <w:lang w:eastAsia="en-US"/>
        </w:rPr>
        <w:t>i kopīpašumā esošo ēku nojaukšanai.</w:t>
      </w:r>
      <w:r w:rsidR="00576A3B">
        <w:rPr>
          <w:rFonts w:eastAsiaTheme="minorHAnsi"/>
          <w:lang w:eastAsia="en-US"/>
        </w:rPr>
        <w:t xml:space="preserve"> </w:t>
      </w:r>
    </w:p>
    <w:p w14:paraId="10DC792C" w14:textId="0C2B1A76" w:rsidR="00920461" w:rsidRDefault="00576A3B" w:rsidP="00F77A89">
      <w:pPr>
        <w:shd w:val="clear" w:color="auto" w:fill="FFFFFF"/>
        <w:spacing w:line="276" w:lineRule="auto"/>
        <w:ind w:firstLine="720"/>
        <w:jc w:val="both"/>
      </w:pPr>
      <w:r>
        <w:rPr>
          <w:rFonts w:eastAsiaTheme="minorHAnsi"/>
          <w:lang w:eastAsia="en-US"/>
        </w:rPr>
        <w:t xml:space="preserve">Tiesas spriedumā, izdarot minēto secinājumu, nav </w:t>
      </w:r>
      <w:r w:rsidR="00A42606">
        <w:rPr>
          <w:rFonts w:eastAsiaTheme="minorHAnsi"/>
          <w:lang w:eastAsia="en-US"/>
        </w:rPr>
        <w:t xml:space="preserve">arī </w:t>
      </w:r>
      <w:r>
        <w:rPr>
          <w:rFonts w:eastAsiaTheme="minorHAnsi"/>
          <w:lang w:eastAsia="en-US"/>
        </w:rPr>
        <w:t xml:space="preserve">pievērsta </w:t>
      </w:r>
      <w:r w:rsidR="002759A2">
        <w:rPr>
          <w:rFonts w:eastAsiaTheme="minorHAnsi"/>
          <w:lang w:eastAsia="en-US"/>
        </w:rPr>
        <w:t>uzmanība</w:t>
      </w:r>
      <w:r w:rsidR="00A42606">
        <w:rPr>
          <w:rFonts w:eastAsiaTheme="minorHAnsi"/>
          <w:lang w:eastAsia="en-US"/>
        </w:rPr>
        <w:t xml:space="preserve"> tam</w:t>
      </w:r>
      <w:r>
        <w:rPr>
          <w:rFonts w:eastAsiaTheme="minorHAnsi"/>
          <w:lang w:eastAsia="en-US"/>
        </w:rPr>
        <w:t>, ka</w:t>
      </w:r>
      <w:r w:rsidR="00A42606">
        <w:rPr>
          <w:rFonts w:eastAsiaTheme="minorHAnsi"/>
          <w:lang w:eastAsia="en-US"/>
        </w:rPr>
        <w:t xml:space="preserve"> (saskaņā ar</w:t>
      </w:r>
      <w:r w:rsidR="00DA2906">
        <w:rPr>
          <w:rFonts w:eastAsiaTheme="minorHAnsi"/>
          <w:lang w:eastAsia="en-US"/>
        </w:rPr>
        <w:t xml:space="preserve"> trešās personas apgalvo</w:t>
      </w:r>
      <w:r w:rsidR="00A42606">
        <w:rPr>
          <w:rFonts w:eastAsiaTheme="minorHAnsi"/>
          <w:lang w:eastAsia="en-US"/>
        </w:rPr>
        <w:t>to)</w:t>
      </w:r>
      <w:r w:rsidR="00DA2906">
        <w:rPr>
          <w:rFonts w:eastAsiaTheme="minorHAnsi"/>
          <w:lang w:eastAsia="en-US"/>
        </w:rPr>
        <w:t xml:space="preserve"> pieteicējs un trešā persona ir noslēguši strīdus vienošanos</w:t>
      </w:r>
      <w:r w:rsidR="00A42606">
        <w:rPr>
          <w:rFonts w:eastAsiaTheme="minorHAnsi"/>
          <w:lang w:eastAsia="en-US"/>
        </w:rPr>
        <w:t>, kuras būtība ir atrunāt pieteicēja piekrišanu trešās personas būvniecības iecerēm. Turklāt atbilstoši lietā konstatē</w:t>
      </w:r>
      <w:r w:rsidR="001F700A">
        <w:rPr>
          <w:rFonts w:eastAsiaTheme="minorHAnsi"/>
          <w:lang w:eastAsia="en-US"/>
        </w:rPr>
        <w:t>ta</w:t>
      </w:r>
      <w:r w:rsidR="00A42606">
        <w:rPr>
          <w:rFonts w:eastAsiaTheme="minorHAnsi"/>
          <w:lang w:eastAsia="en-US"/>
        </w:rPr>
        <w:t xml:space="preserve">jam </w:t>
      </w:r>
      <w:r>
        <w:rPr>
          <w:rFonts w:eastAsiaTheme="minorHAnsi"/>
          <w:lang w:eastAsia="en-US"/>
        </w:rPr>
        <w:t xml:space="preserve">pati trešā </w:t>
      </w:r>
      <w:r w:rsidR="00DA2906">
        <w:rPr>
          <w:rFonts w:eastAsiaTheme="minorHAnsi"/>
          <w:lang w:eastAsia="en-US"/>
        </w:rPr>
        <w:t>p</w:t>
      </w:r>
      <w:r>
        <w:rPr>
          <w:rFonts w:eastAsiaTheme="minorHAnsi"/>
          <w:lang w:eastAsia="en-US"/>
        </w:rPr>
        <w:t>ersona, iesniedzot būvniecības ieceri iestādē, pieteicēja saskaņojuma esības apliecināšanai ir norādījusi uz strīdus vienošanos</w:t>
      </w:r>
      <w:r w:rsidR="002759A2">
        <w:rPr>
          <w:rFonts w:eastAsiaTheme="minorHAnsi"/>
          <w:lang w:eastAsia="en-US"/>
        </w:rPr>
        <w:t xml:space="preserve">, nevis uz </w:t>
      </w:r>
      <w:r w:rsidR="0086674B">
        <w:rPr>
          <w:rFonts w:eastAsiaTheme="minorHAnsi"/>
          <w:lang w:eastAsia="en-US"/>
        </w:rPr>
        <w:t>P</w:t>
      </w:r>
      <w:r w:rsidR="002759A2">
        <w:rPr>
          <w:rFonts w:eastAsiaTheme="minorHAnsi"/>
          <w:lang w:eastAsia="en-US"/>
        </w:rPr>
        <w:t>irkuma līgumu</w:t>
      </w:r>
      <w:r>
        <w:rPr>
          <w:rFonts w:eastAsiaTheme="minorHAnsi"/>
          <w:lang w:eastAsia="en-US"/>
        </w:rPr>
        <w:t xml:space="preserve"> (un arī iestāde pārsūdzētajā lēmumā pieteicēja saskaņojumu ir konstatējusi, balstoties uz strīdus vienošanos, nevis </w:t>
      </w:r>
      <w:r w:rsidR="0086674B">
        <w:rPr>
          <w:rFonts w:eastAsiaTheme="minorHAnsi"/>
          <w:lang w:eastAsia="en-US"/>
        </w:rPr>
        <w:t>P</w:t>
      </w:r>
      <w:r>
        <w:rPr>
          <w:rFonts w:eastAsiaTheme="minorHAnsi"/>
          <w:lang w:eastAsia="en-US"/>
        </w:rPr>
        <w:t>irkuma līgumu).</w:t>
      </w:r>
      <w:r w:rsidR="002759A2">
        <w:rPr>
          <w:rFonts w:eastAsiaTheme="minorHAnsi"/>
          <w:lang w:eastAsia="en-US"/>
        </w:rPr>
        <w:t xml:space="preserve"> </w:t>
      </w:r>
      <w:r w:rsidR="00A42606">
        <w:rPr>
          <w:rFonts w:eastAsiaTheme="minorHAnsi"/>
          <w:lang w:eastAsia="en-US"/>
        </w:rPr>
        <w:t xml:space="preserve">Šādos apstākļos tiesai būtu vajadzējis noskaidrot, </w:t>
      </w:r>
      <w:r w:rsidR="00920461" w:rsidRPr="00E40ED2">
        <w:t xml:space="preserve">ar kādu mērķi starp pieteicēju un trešo personu </w:t>
      </w:r>
      <w:r w:rsidR="00FB5E6A" w:rsidRPr="00E40ED2">
        <w:t xml:space="preserve">papildus </w:t>
      </w:r>
      <w:r w:rsidR="00A42606">
        <w:t xml:space="preserve">Pirkuma līgumam </w:t>
      </w:r>
      <w:r w:rsidR="00920461" w:rsidRPr="00E40ED2">
        <w:t xml:space="preserve">noslēgta strīdus vienošanās, </w:t>
      </w:r>
      <w:r w:rsidR="00A42606">
        <w:t xml:space="preserve">jo tam varētu būt ietekme uz secinājumu </w:t>
      </w:r>
      <w:r w:rsidR="00BC3C13">
        <w:t>par</w:t>
      </w:r>
      <w:r w:rsidR="00A42606">
        <w:t xml:space="preserve"> to, kā līdzēji sapratuši Pirkuma līguma </w:t>
      </w:r>
      <w:r w:rsidR="00A42606">
        <w:lastRenderedPageBreak/>
        <w:t>noteikumus un cik nepārprotam</w:t>
      </w:r>
      <w:r w:rsidR="00BC3C13">
        <w:t>a</w:t>
      </w:r>
      <w:r w:rsidR="00A42606">
        <w:t xml:space="preserve"> ir tā piekrišana būvniecībai, kas atrunāta Pirkuma līgumā.</w:t>
      </w:r>
      <w:r w:rsidR="00A42606" w:rsidRPr="00E40ED2" w:rsidDel="00A42606">
        <w:t xml:space="preserve"> </w:t>
      </w:r>
    </w:p>
    <w:p w14:paraId="5B656765" w14:textId="77777777" w:rsidR="00CE022C" w:rsidRDefault="00CE022C" w:rsidP="00F77A89">
      <w:pPr>
        <w:shd w:val="clear" w:color="auto" w:fill="FFFFFF"/>
        <w:spacing w:line="276" w:lineRule="auto"/>
        <w:ind w:firstLine="720"/>
        <w:jc w:val="both"/>
      </w:pPr>
    </w:p>
    <w:p w14:paraId="4EEBE44A" w14:textId="6BC0C7FD" w:rsidR="00CE022C" w:rsidRPr="00A177A5" w:rsidRDefault="00CE022C" w:rsidP="00F77A89">
      <w:pPr>
        <w:shd w:val="clear" w:color="auto" w:fill="FFFFFF"/>
        <w:spacing w:line="276" w:lineRule="auto"/>
        <w:rPr>
          <w:i/>
          <w:iCs/>
        </w:rPr>
      </w:pPr>
      <w:r w:rsidRPr="00A177A5">
        <w:rPr>
          <w:i/>
          <w:iCs/>
        </w:rPr>
        <w:t xml:space="preserve">Par </w:t>
      </w:r>
      <w:r w:rsidR="00F6244E" w:rsidRPr="00A177A5">
        <w:rPr>
          <w:i/>
          <w:iCs/>
        </w:rPr>
        <w:t>strīdus vienošanās iespējamu viltojumu</w:t>
      </w:r>
    </w:p>
    <w:p w14:paraId="7F43CF4C" w14:textId="77777777" w:rsidR="00BC3C13" w:rsidRPr="00E40ED2" w:rsidRDefault="00BC3C13" w:rsidP="00F77A89">
      <w:pPr>
        <w:shd w:val="clear" w:color="auto" w:fill="FFFFFF"/>
        <w:spacing w:line="276" w:lineRule="auto"/>
        <w:ind w:firstLine="720"/>
        <w:jc w:val="both"/>
      </w:pPr>
    </w:p>
    <w:p w14:paraId="0A71FB3D" w14:textId="77A4BDDE" w:rsidR="00876D74" w:rsidRPr="00E40ED2" w:rsidRDefault="00BC3C13" w:rsidP="00F77A89">
      <w:pPr>
        <w:shd w:val="clear" w:color="auto" w:fill="FFFFFF"/>
        <w:spacing w:line="276" w:lineRule="auto"/>
        <w:ind w:firstLine="720"/>
        <w:jc w:val="both"/>
      </w:pPr>
      <w:r>
        <w:t>[1</w:t>
      </w:r>
      <w:r w:rsidR="00244123">
        <w:t>0</w:t>
      </w:r>
      <w:r>
        <w:t>] Kā jau minēts, tiesa, atzīstot, ka pieteicējs ir devis nepārprotamu piekrišanu strīdus būvniecībai, ir atsaukusies arī uz strīdus vienošanos</w:t>
      </w:r>
      <w:r w:rsidR="005C3DA2">
        <w:t>, līdz ar to ir pamats pievērsties arī kasācijas sūdzības iebildumiem p</w:t>
      </w:r>
      <w:r w:rsidR="00DD459B">
        <w:t>ret</w:t>
      </w:r>
      <w:r w:rsidR="005C3DA2">
        <w:t xml:space="preserve"> tiesas rīcību ar šo pierādījumu.</w:t>
      </w:r>
      <w:r>
        <w:t xml:space="preserve"> </w:t>
      </w:r>
    </w:p>
    <w:p w14:paraId="386C8B7B" w14:textId="77777777" w:rsidR="00CE022C" w:rsidRDefault="00CE022C" w:rsidP="00F77A89">
      <w:pPr>
        <w:shd w:val="clear" w:color="auto" w:fill="FFFFFF"/>
        <w:spacing w:line="276" w:lineRule="auto"/>
        <w:ind w:firstLine="720"/>
        <w:jc w:val="both"/>
      </w:pPr>
    </w:p>
    <w:p w14:paraId="60076F05" w14:textId="40071056" w:rsidR="002D2FD2" w:rsidRDefault="00CE022C" w:rsidP="00F77A89">
      <w:pPr>
        <w:shd w:val="clear" w:color="auto" w:fill="FFFFFF"/>
        <w:spacing w:line="276" w:lineRule="auto"/>
        <w:ind w:firstLine="720"/>
        <w:jc w:val="both"/>
      </w:pPr>
      <w:r>
        <w:t>[1</w:t>
      </w:r>
      <w:r w:rsidR="00244123">
        <w:t>1</w:t>
      </w:r>
      <w:r>
        <w:t xml:space="preserve">] </w:t>
      </w:r>
      <w:r w:rsidR="008A34B0" w:rsidRPr="00E40ED2">
        <w:t>No lietas materiāliem redzams, ka pieteicējs pret str</w:t>
      </w:r>
      <w:r w:rsidR="002105E8" w:rsidRPr="00E40ED2">
        <w:t xml:space="preserve">īdus vienošanās autentiskumu iebildis jau pirms strīdus būvatļaujas izdošanas. </w:t>
      </w:r>
      <w:r w:rsidR="009E1BEF" w:rsidRPr="00E40ED2">
        <w:t>Proti,</w:t>
      </w:r>
      <w:r w:rsidR="002105E8" w:rsidRPr="00E40ED2">
        <w:t xml:space="preserve"> pieteicējs </w:t>
      </w:r>
      <w:r w:rsidR="009E1BEF" w:rsidRPr="00E40ED2">
        <w:t>iestād</w:t>
      </w:r>
      <w:r w:rsidR="001F700A">
        <w:t>ēm</w:t>
      </w:r>
      <w:r w:rsidR="009E1BEF" w:rsidRPr="00E40ED2">
        <w:t xml:space="preserve"> </w:t>
      </w:r>
      <w:r w:rsidR="005C3DA2">
        <w:t xml:space="preserve">un vēlāk arī tiesai ir konsekventi </w:t>
      </w:r>
      <w:r w:rsidR="009E1BEF" w:rsidRPr="00E40ED2">
        <w:t>norādījis, ka strīdus vienošanos nav parakstījis un ka tā ir viltota</w:t>
      </w:r>
      <w:r w:rsidR="00A77528">
        <w:t>, un ka šādas vienošanās oriģināls nav un nekad nav bijis pieteicēja rī</w:t>
      </w:r>
      <w:r w:rsidR="00A77528">
        <w:lastRenderedPageBreak/>
        <w:t>cībā</w:t>
      </w:r>
      <w:r w:rsidR="009E1BEF" w:rsidRPr="00E40ED2">
        <w:t>.</w:t>
      </w:r>
      <w:r w:rsidR="00A77528">
        <w:t xml:space="preserve"> </w:t>
      </w:r>
      <w:r w:rsidR="00E23085" w:rsidRPr="00E40ED2">
        <w:t xml:space="preserve">Par strīdus vienošanās viltojumu pieteicējs norādījis arī </w:t>
      </w:r>
      <w:r w:rsidR="00244123">
        <w:t>apgabaltiesai,</w:t>
      </w:r>
      <w:r w:rsidR="00BD2A12" w:rsidRPr="00E40ED2">
        <w:t xml:space="preserve"> iebilstot, ka rajona tiesa nav noskaidrojusi, kad, kur un kā strīdus vienošanās tapusi</w:t>
      </w:r>
      <w:r w:rsidR="00A77528">
        <w:t xml:space="preserve">, tostarp nav pat pieprasījusi, lai trešā persona iesniegtu vienošanās oriģinālu. Pieteicējs </w:t>
      </w:r>
      <w:r w:rsidR="00244123">
        <w:t xml:space="preserve">arī </w:t>
      </w:r>
      <w:r w:rsidR="00DE77C3">
        <w:t>skaidrojis</w:t>
      </w:r>
      <w:r w:rsidR="00A77528">
        <w:t>, ka viņam pašam nav reālu iespēju vērsties ar iesniegumu policijā, jo viņa rīcībā nav dokumenta</w:t>
      </w:r>
      <w:r w:rsidR="001F700A">
        <w:t xml:space="preserve"> oriģināla</w:t>
      </w:r>
      <w:r w:rsidR="00A77528">
        <w:t xml:space="preserve">, kuru iesniegt policijai viltojuma esības pārbaudei. </w:t>
      </w:r>
      <w:r w:rsidR="00540F84" w:rsidRPr="00E40ED2">
        <w:t>Arī departaments paskaidrojumā par apelācijas sūdzību apgabaltiesai norādījis, ka lietā pamatā ir strīds par to, vai strīdus vienošanās ir viltota.</w:t>
      </w:r>
      <w:r w:rsidR="00D3642D" w:rsidRPr="00E40ED2">
        <w:t xml:space="preserve"> </w:t>
      </w:r>
    </w:p>
    <w:p w14:paraId="60431027" w14:textId="37B5A3EF" w:rsidR="00261B5D" w:rsidRPr="00E40ED2" w:rsidRDefault="00F6244E" w:rsidP="00F77A89">
      <w:pPr>
        <w:shd w:val="clear" w:color="auto" w:fill="FFFFFF"/>
        <w:spacing w:line="276" w:lineRule="auto"/>
        <w:ind w:firstLine="720"/>
        <w:jc w:val="both"/>
      </w:pPr>
      <w:r>
        <w:t>S</w:t>
      </w:r>
      <w:r w:rsidR="00A77528">
        <w:t xml:space="preserve">aistībā </w:t>
      </w:r>
      <w:r w:rsidR="00A77528" w:rsidRPr="002D2FD2">
        <w:t>ar šiem apstākļiem</w:t>
      </w:r>
      <w:r w:rsidR="00D3642D" w:rsidRPr="002D2FD2">
        <w:t xml:space="preserve"> apgabaltiesa </w:t>
      </w:r>
      <w:r w:rsidR="002D2FD2" w:rsidRPr="002D2FD2">
        <w:t>(pievienojoties rajona tiesas mot</w:t>
      </w:r>
      <w:r w:rsidR="00AD0B63">
        <w:t>ivācijai</w:t>
      </w:r>
      <w:r w:rsidR="002D2FD2" w:rsidRPr="002D2FD2">
        <w:t xml:space="preserve">) </w:t>
      </w:r>
      <w:r w:rsidR="00D3642D" w:rsidRPr="002D2FD2">
        <w:t xml:space="preserve">vien norādījusi, ka </w:t>
      </w:r>
      <w:r w:rsidR="002D2FD2">
        <w:t xml:space="preserve">jautājums par </w:t>
      </w:r>
      <w:r w:rsidR="002D2FD2" w:rsidRPr="00A177A5">
        <w:rPr>
          <w:rFonts w:eastAsiaTheme="minorHAnsi"/>
          <w:lang w:eastAsia="en-US"/>
        </w:rPr>
        <w:t>īpašnieka piekrišan</w:t>
      </w:r>
      <w:r w:rsidR="002D2FD2">
        <w:rPr>
          <w:rFonts w:eastAsiaTheme="minorHAnsi"/>
          <w:lang w:eastAsia="en-US"/>
        </w:rPr>
        <w:t>u</w:t>
      </w:r>
      <w:r w:rsidR="002D2FD2" w:rsidRPr="00A177A5">
        <w:rPr>
          <w:rFonts w:eastAsiaTheme="minorHAnsi"/>
          <w:lang w:eastAsia="en-US"/>
        </w:rPr>
        <w:t xml:space="preserve"> apbūvēt viņa īpašumu ir civiltiesiskas dabas</w:t>
      </w:r>
      <w:r w:rsidR="002D2FD2" w:rsidRPr="002D2FD2">
        <w:t xml:space="preserve"> un tāpēc </w:t>
      </w:r>
      <w:r w:rsidR="002D2FD2">
        <w:t xml:space="preserve">aizdomu par </w:t>
      </w:r>
      <w:r w:rsidR="002D2FD2" w:rsidRPr="002D2FD2">
        <w:t xml:space="preserve">strīdus vienošanās </w:t>
      </w:r>
      <w:r w:rsidR="00D3642D" w:rsidRPr="002D2FD2">
        <w:t>viltojum</w:t>
      </w:r>
      <w:r w:rsidR="002D2FD2">
        <w:t>u</w:t>
      </w:r>
      <w:r w:rsidR="00D3642D" w:rsidRPr="002D2FD2">
        <w:t xml:space="preserve"> gadījumā pašam pieteicējam jāvēršas policijā vai vispārējās jurisdikcijas tiesā, prasot </w:t>
      </w:r>
      <w:r w:rsidR="00D4282C" w:rsidRPr="002D2FD2">
        <w:t xml:space="preserve">strīdus </w:t>
      </w:r>
      <w:r w:rsidR="00D3642D" w:rsidRPr="002D2FD2">
        <w:t>vie</w:t>
      </w:r>
      <w:r w:rsidR="00D3642D" w:rsidRPr="002D2FD2">
        <w:lastRenderedPageBreak/>
        <w:t>nošanos atzīt par spēkā neesošu.</w:t>
      </w:r>
      <w:r w:rsidR="002D2FD2">
        <w:t xml:space="preserve"> Tā kā pieteicējs n</w:t>
      </w:r>
      <w:r w:rsidR="00244123">
        <w:t>av</w:t>
      </w:r>
      <w:r w:rsidR="002D2FD2">
        <w:t xml:space="preserve"> vērsies policijā, tiesai neesot pamata apšaubīt strīdus vienošanās autentiskumu. Pieteicēja </w:t>
      </w:r>
      <w:r w:rsidR="002D2FD2" w:rsidRPr="00566389">
        <w:t>paskaidrojumam, ka bez dokumenta oriģināla viņam nav jēgas vērsties policijā, tiesa nav devusi nekādu novērtējumu</w:t>
      </w:r>
      <w:r w:rsidR="002D2FD2">
        <w:t xml:space="preserve">, un tiesa nav arī piešķīrusi nozīmi apstāklim, ka lietas materiālos nav šīs vienošanās oriģināla un tāds nav arī uzrādīts tiesvedības gaitā. </w:t>
      </w:r>
      <w:r w:rsidR="00CE022C">
        <w:t xml:space="preserve">Tiesa nav arī skaidrojusi, </w:t>
      </w:r>
      <w:proofErr w:type="gramStart"/>
      <w:r w:rsidR="00CE022C">
        <w:t>kāpēc šāds oriģināls nav iesniegts un vai trešā persona vispār</w:t>
      </w:r>
      <w:proofErr w:type="gramEnd"/>
      <w:r w:rsidR="00CE022C">
        <w:t xml:space="preserve"> ir spējīga tādu uzrādīt</w:t>
      </w:r>
      <w:r w:rsidR="00DE77C3">
        <w:t>, kā arī nav pamatojusi, kāpēc konkrētajos apstākļos strīdus vienošanās oriģinālam nav nozīmes</w:t>
      </w:r>
      <w:r w:rsidR="00CE022C">
        <w:t xml:space="preserve">. </w:t>
      </w:r>
      <w:r w:rsidR="002D2FD2">
        <w:t xml:space="preserve">Turklāt apgabaltiesa nav pamatojusi, kāpēc gadījumā, kad viens no procesa dalībniekiem ir norādījis uz rakstveida pierādījuma viltojumu, nozīme būtu tam, vai šis pierādījums saturiski skar jautājumu, kas vispārīgi ir civiltiesiskas dabas. </w:t>
      </w:r>
    </w:p>
    <w:p w14:paraId="2F4DC1CA" w14:textId="77777777" w:rsidR="00CE022C" w:rsidRDefault="00CE022C" w:rsidP="00F77A89">
      <w:pPr>
        <w:shd w:val="clear" w:color="auto" w:fill="FFFFFF"/>
        <w:spacing w:line="276" w:lineRule="auto"/>
        <w:ind w:firstLine="720"/>
        <w:jc w:val="both"/>
      </w:pPr>
    </w:p>
    <w:p w14:paraId="7EFDE207" w14:textId="7BA38C8B" w:rsidR="00CE022C" w:rsidRDefault="00CE022C" w:rsidP="00F77A89">
      <w:pPr>
        <w:shd w:val="clear" w:color="auto" w:fill="FFFFFF"/>
        <w:spacing w:line="276" w:lineRule="auto"/>
        <w:ind w:firstLine="720"/>
        <w:jc w:val="both"/>
      </w:pPr>
      <w:r>
        <w:lastRenderedPageBreak/>
        <w:t>[1</w:t>
      </w:r>
      <w:r w:rsidR="00383262">
        <w:t>2</w:t>
      </w:r>
      <w:r>
        <w:t xml:space="preserve">] </w:t>
      </w:r>
      <w:r w:rsidR="00E6416A">
        <w:t xml:space="preserve">Situāciju, kurā viens no procesa dalībniekiem norāda uz rakstveida pierādījuma viltojumu, regulē </w:t>
      </w:r>
      <w:r w:rsidR="00FD24F8" w:rsidRPr="00E40ED2">
        <w:t xml:space="preserve">Administratīvā procesa likuma </w:t>
      </w:r>
      <w:proofErr w:type="gramStart"/>
      <w:r w:rsidR="00FD24F8" w:rsidRPr="00E40ED2">
        <w:t>236.pants</w:t>
      </w:r>
      <w:proofErr w:type="gramEnd"/>
      <w:r w:rsidR="00E6416A">
        <w:t xml:space="preserve">. </w:t>
      </w:r>
      <w:r w:rsidR="00383262">
        <w:t>Š</w:t>
      </w:r>
      <w:r w:rsidR="00E6416A">
        <w:t xml:space="preserve">ajā pantā paredzētas </w:t>
      </w:r>
      <w:r w:rsidR="002C281E" w:rsidRPr="00E40ED2">
        <w:t xml:space="preserve">lietas dalībnieka tiesības iesniegt iesniegumu par rakstveida pierādījuma viltojumu, </w:t>
      </w:r>
      <w:r>
        <w:t xml:space="preserve">kā arī tiesas rīcība, saņemot šāda satura iesniegumu (tostarp ir uzsvērtas tiesas tiesības noteikt ekspertīzi vai pieprasīt citus pierādījumus). Šajās normās </w:t>
      </w:r>
      <w:r w:rsidR="00E6416A">
        <w:t>netiek prasīts</w:t>
      </w:r>
      <w:r w:rsidR="002C281E" w:rsidRPr="00E40ED2">
        <w:t xml:space="preserve"> lietas dalībniekam, iebilstot pret pierādījumu, </w:t>
      </w:r>
      <w:r>
        <w:t xml:space="preserve">vispirms </w:t>
      </w:r>
      <w:r w:rsidR="002C281E" w:rsidRPr="00E40ED2">
        <w:t>vērsties policijā</w:t>
      </w:r>
      <w:r>
        <w:t>, tādējādi panta piemērošan</w:t>
      </w:r>
      <w:r w:rsidR="00F6244E">
        <w:t>ā</w:t>
      </w:r>
      <w:r>
        <w:t xml:space="preserve"> nav nozīmes tam, vai procesa dalībnieks pats ir vērsies policijā</w:t>
      </w:r>
      <w:r w:rsidR="002C281E" w:rsidRPr="00E40ED2">
        <w:t>.</w:t>
      </w:r>
      <w:r w:rsidR="00A65EE2" w:rsidRPr="00E40ED2">
        <w:t xml:space="preserve"> </w:t>
      </w:r>
      <w:r>
        <w:t xml:space="preserve">Tāpat minētā panta normu piemērošana nav ierobežota atkarībā no tā, vai rakstveida pierādījuma saturs skar civiltiesiskas dabas jautājumu. </w:t>
      </w:r>
      <w:r w:rsidR="00D82A9C">
        <w:t xml:space="preserve">Turklāt Senāts uzskata par nepieciešamu uzsvērt, ka minētajā pantā paredzētās tiesības iesniegt iesniegumu par pierādījuma viltojumu nevar tikt vērtētas formāli un liegtas, piemēram, tikai tādēļ, ka procesa dalībnieks šādu iesniegumu nav noformējis kā atsevišķu </w:t>
      </w:r>
      <w:r w:rsidR="00D82A9C">
        <w:lastRenderedPageBreak/>
        <w:t>procesuālu dokumentu. Būtiski ir vienīgi tas, vai procesa dalībnieks pēc būtības ir pietiekami konkrēti izteicis attiecīgus iebildumus.</w:t>
      </w:r>
    </w:p>
    <w:p w14:paraId="407EA418" w14:textId="561C1DEB" w:rsidR="00261B5D" w:rsidRPr="00E40ED2" w:rsidRDefault="00383262" w:rsidP="00F77A89">
      <w:pPr>
        <w:shd w:val="clear" w:color="auto" w:fill="FFFFFF"/>
        <w:spacing w:line="276" w:lineRule="auto"/>
        <w:ind w:firstLine="720"/>
        <w:jc w:val="both"/>
      </w:pPr>
      <w:r>
        <w:t>A</w:t>
      </w:r>
      <w:r w:rsidR="00522C85" w:rsidRPr="00E40ED2">
        <w:t>pgabalt</w:t>
      </w:r>
      <w:r w:rsidR="00137B0E" w:rsidRPr="00E40ED2">
        <w:t>iesa</w:t>
      </w:r>
      <w:r w:rsidR="00C54B68" w:rsidRPr="00E40ED2">
        <w:t xml:space="preserve"> pieteicēja </w:t>
      </w:r>
      <w:r w:rsidR="00E6416A">
        <w:t xml:space="preserve">skaidri izteiktos </w:t>
      </w:r>
      <w:r w:rsidR="00C54B68" w:rsidRPr="00E40ED2">
        <w:t xml:space="preserve">iebildumus pret </w:t>
      </w:r>
      <w:r w:rsidR="00D82A9C">
        <w:t xml:space="preserve">strīdus vienošanos </w:t>
      </w:r>
      <w:r w:rsidR="00CE022C">
        <w:t>un konsekvent</w:t>
      </w:r>
      <w:r w:rsidR="00D82A9C">
        <w:t>os</w:t>
      </w:r>
      <w:r w:rsidR="00CE022C">
        <w:t xml:space="preserve"> lūgum</w:t>
      </w:r>
      <w:r w:rsidR="00D82A9C">
        <w:t>us</w:t>
      </w:r>
      <w:r w:rsidR="00CE022C">
        <w:t xml:space="preserve"> šo vienošanos izslēgt no pierādījumu loka</w:t>
      </w:r>
      <w:r w:rsidR="00C54B68" w:rsidRPr="00E40ED2">
        <w:t xml:space="preserve"> </w:t>
      </w:r>
      <w:r w:rsidR="00882B9A">
        <w:t xml:space="preserve">nav </w:t>
      </w:r>
      <w:r w:rsidR="00E6416A">
        <w:t xml:space="preserve">vērtējusi Administratīvā procesa likuma </w:t>
      </w:r>
      <w:proofErr w:type="gramStart"/>
      <w:r w:rsidR="00E6416A">
        <w:t>236.panta</w:t>
      </w:r>
      <w:proofErr w:type="gramEnd"/>
      <w:r w:rsidR="00E6416A">
        <w:t xml:space="preserve"> kontekstā un nav </w:t>
      </w:r>
      <w:r w:rsidR="00F6244E">
        <w:t xml:space="preserve">attiecīgi </w:t>
      </w:r>
      <w:r w:rsidR="00882B9A">
        <w:t>pārbaudījusi</w:t>
      </w:r>
      <w:r w:rsidR="006034D9">
        <w:t>.</w:t>
      </w:r>
      <w:r w:rsidR="00DE77C3">
        <w:t xml:space="preserve"> Tiesa nav arī argumentējusi, kāpēc konkrētajā gadījumā minētais pants nebūtu piemērojams, līdz ar to Senātam nav saprotams, vai tiesa vispār ir apsvērusi </w:t>
      </w:r>
      <w:r w:rsidR="00D82A9C">
        <w:t xml:space="preserve">konkrēto normu piemērošanu. Tādējādi tiesa ir pieļāvusi pārkāpumu, jo nav pienācīgi pārbaudījusi </w:t>
      </w:r>
      <w:r w:rsidR="00A177A5">
        <w:t xml:space="preserve">to, vai </w:t>
      </w:r>
      <w:r w:rsidR="001F700A">
        <w:t>apstrīdētais</w:t>
      </w:r>
      <w:r w:rsidR="00D82A9C">
        <w:t xml:space="preserve"> </w:t>
      </w:r>
      <w:r w:rsidR="00A177A5">
        <w:t xml:space="preserve">rakstveida </w:t>
      </w:r>
      <w:r w:rsidR="00D82A9C">
        <w:t>pierādījum</w:t>
      </w:r>
      <w:r w:rsidR="00A177A5">
        <w:t>s nav izslēdzams no pierādījumu loka.</w:t>
      </w:r>
      <w:r w:rsidR="00035750">
        <w:t xml:space="preserve"> Šāda tiesas rīcība nav saskanīga ar tiesas pienākumu </w:t>
      </w:r>
      <w:r w:rsidR="00035750" w:rsidRPr="002C268E">
        <w:rPr>
          <w:color w:val="000000" w:themeColor="text1"/>
        </w:rPr>
        <w:t>pilnīgi pārbaudīt</w:t>
      </w:r>
      <w:r w:rsidR="00035750">
        <w:rPr>
          <w:color w:val="000000" w:themeColor="text1"/>
        </w:rPr>
        <w:t xml:space="preserve"> lietā esošos pierādījumus.</w:t>
      </w:r>
    </w:p>
    <w:p w14:paraId="046A4486" w14:textId="66D3F24E" w:rsidR="005A7587" w:rsidRDefault="005A7587" w:rsidP="00F77A89">
      <w:pPr>
        <w:shd w:val="clear" w:color="auto" w:fill="FFFFFF"/>
        <w:spacing w:line="276" w:lineRule="auto"/>
        <w:ind w:firstLine="720"/>
        <w:jc w:val="both"/>
      </w:pPr>
    </w:p>
    <w:p w14:paraId="6ADB9605" w14:textId="404A24D0" w:rsidR="00AB6C27" w:rsidRDefault="00FC31A9" w:rsidP="00F77A89">
      <w:pPr>
        <w:shd w:val="clear" w:color="auto" w:fill="FFFFFF"/>
        <w:spacing w:line="276" w:lineRule="auto"/>
        <w:ind w:firstLine="720"/>
        <w:jc w:val="both"/>
      </w:pPr>
      <w:r w:rsidRPr="00E40ED2">
        <w:lastRenderedPageBreak/>
        <w:t>[</w:t>
      </w:r>
      <w:r w:rsidR="006B71D4">
        <w:t>1</w:t>
      </w:r>
      <w:r w:rsidR="00383262">
        <w:t>3</w:t>
      </w:r>
      <w:r w:rsidRPr="00E40ED2">
        <w:t xml:space="preserve">] </w:t>
      </w:r>
      <w:r w:rsidR="00383262">
        <w:t>Minētais</w:t>
      </w:r>
      <w:r w:rsidR="00A177A5">
        <w:t xml:space="preserve"> tiesas pārkāpums kopsakarā ar</w:t>
      </w:r>
      <w:r w:rsidR="00D82A9C">
        <w:t xml:space="preserve"> Senāta jau iepriekš </w:t>
      </w:r>
      <w:r w:rsidR="00214403">
        <w:t xml:space="preserve">konstatētajām tiesas kļūdām </w:t>
      </w:r>
      <w:r w:rsidR="00D82A9C">
        <w:t>saistībā ar Pirkuma līgum</w:t>
      </w:r>
      <w:r w:rsidR="00214403">
        <w:t>a novērtējumu</w:t>
      </w:r>
      <w:r w:rsidR="00A177A5">
        <w:t xml:space="preserve"> varēja tiesu novest pie nepareiza lietas izskatīšanas rezultāta</w:t>
      </w:r>
      <w:r w:rsidRPr="00E40ED2">
        <w:t xml:space="preserve">. </w:t>
      </w:r>
      <w:r w:rsidR="00A177A5">
        <w:t xml:space="preserve">Līdz ar to </w:t>
      </w:r>
      <w:r w:rsidR="00AB6C27" w:rsidRPr="00E40ED2">
        <w:t>apgabaltiesas spriedums ir atceļams un lieta nododama jaunai izskatīšanai Administratīvajā apgabaltiesā.</w:t>
      </w:r>
      <w:r w:rsidR="00A177A5">
        <w:t xml:space="preserve"> </w:t>
      </w:r>
    </w:p>
    <w:p w14:paraId="4E87728D" w14:textId="77777777" w:rsidR="00423530" w:rsidRDefault="00423530" w:rsidP="00F77A89">
      <w:pPr>
        <w:shd w:val="clear" w:color="auto" w:fill="FFFFFF"/>
        <w:spacing w:line="276" w:lineRule="auto"/>
        <w:ind w:firstLine="720"/>
        <w:jc w:val="both"/>
      </w:pPr>
    </w:p>
    <w:p w14:paraId="364E9271" w14:textId="086252D9" w:rsidR="00423530" w:rsidRPr="00383262" w:rsidRDefault="00423530" w:rsidP="00F77A89">
      <w:pPr>
        <w:shd w:val="clear" w:color="auto" w:fill="FFFFFF"/>
        <w:spacing w:line="276" w:lineRule="auto"/>
        <w:jc w:val="both"/>
        <w:rPr>
          <w:i/>
          <w:iCs/>
        </w:rPr>
      </w:pPr>
      <w:r w:rsidRPr="00383262">
        <w:rPr>
          <w:i/>
          <w:iCs/>
        </w:rPr>
        <w:t>Par nosacījumu, ka trešās personas būvniecība nevar pasliktināt pieteicēja īpašuma lietošanu</w:t>
      </w:r>
    </w:p>
    <w:p w14:paraId="5E86422E" w14:textId="77777777" w:rsidR="0054133A" w:rsidRPr="00383262" w:rsidRDefault="0054133A" w:rsidP="00F77A89">
      <w:pPr>
        <w:shd w:val="clear" w:color="auto" w:fill="FFFFFF"/>
        <w:spacing w:line="276" w:lineRule="auto"/>
        <w:ind w:firstLine="720"/>
        <w:jc w:val="both"/>
      </w:pPr>
    </w:p>
    <w:p w14:paraId="502F356C" w14:textId="4DFFBA3D" w:rsidR="00423530" w:rsidRDefault="0054133A" w:rsidP="00F77A89">
      <w:pPr>
        <w:shd w:val="clear" w:color="auto" w:fill="FFFFFF"/>
        <w:spacing w:line="276" w:lineRule="auto"/>
        <w:ind w:firstLine="720"/>
        <w:jc w:val="both"/>
        <w:rPr>
          <w:rFonts w:ascii="TimesNewRomanPSMT" w:eastAsiaTheme="minorHAnsi" w:hAnsi="TimesNewRomanPSMT" w:cs="TimesNewRomanPSMT"/>
          <w:lang w:eastAsia="en-US"/>
        </w:rPr>
      </w:pPr>
      <w:r w:rsidRPr="00383262">
        <w:t>[1</w:t>
      </w:r>
      <w:r w:rsidR="00383262">
        <w:t>4</w:t>
      </w:r>
      <w:r w:rsidRPr="00383262">
        <w:t xml:space="preserve">] </w:t>
      </w:r>
      <w:r w:rsidR="00423530" w:rsidRPr="00383262">
        <w:t>Gadījumā, ja strīdus vienošanās būtu izslēdzama no pier</w:t>
      </w:r>
      <w:r w:rsidR="00214403" w:rsidRPr="00383262">
        <w:t>ā</w:t>
      </w:r>
      <w:r w:rsidR="00423530" w:rsidRPr="00383262">
        <w:t>d</w:t>
      </w:r>
      <w:r w:rsidR="00214403" w:rsidRPr="00383262">
        <w:t>ī</w:t>
      </w:r>
      <w:r w:rsidR="00423530" w:rsidRPr="00383262">
        <w:t>jumu loka un</w:t>
      </w:r>
      <w:r w:rsidR="00214403" w:rsidRPr="00383262">
        <w:t xml:space="preserve"> būvniecības saskaņojuma </w:t>
      </w:r>
      <w:r w:rsidR="00423530" w:rsidRPr="00383262">
        <w:t xml:space="preserve">esība vai neesība </w:t>
      </w:r>
      <w:r w:rsidR="00214403" w:rsidRPr="00383262">
        <w:t xml:space="preserve">būtu </w:t>
      </w:r>
      <w:r w:rsidR="00423530" w:rsidRPr="00383262">
        <w:t xml:space="preserve">vērtējama tikai Pirkuma līguma kontekstā, </w:t>
      </w:r>
      <w:r w:rsidR="00214403" w:rsidRPr="00383262">
        <w:t xml:space="preserve">jāņem vērā, ka Pirkuma līgums liedz viena kopīpašnieka būvniecību gadījumā, ja tā pasliktina cita kopīpašnieka īpašuma daļas lietošanu. Tādējādi apstāklim, vai būvniecība pasliktina vai nepasliktina otra kopīpašnieka </w:t>
      </w:r>
      <w:r w:rsidR="00214403" w:rsidRPr="00383262">
        <w:lastRenderedPageBreak/>
        <w:t>īpašuma daļas lietošanu, var būt nozīme šīs administratīvās lietas izskatīšanā un to var būt nepieciešams pārbaudīt šīs lietas ietvaros.</w:t>
      </w:r>
      <w:r w:rsidR="00383262">
        <w:t xml:space="preserve"> Šā iemesla dēļ </w:t>
      </w:r>
      <w:r w:rsidR="00035750" w:rsidRPr="00383262">
        <w:t xml:space="preserve">Senāts uzskata par nepieciešamu papildus norādīt, ka </w:t>
      </w:r>
      <w:r w:rsidR="00214403" w:rsidRPr="00383262">
        <w:t xml:space="preserve">kļūdains ir </w:t>
      </w:r>
      <w:r w:rsidR="00383262">
        <w:t xml:space="preserve">rajona </w:t>
      </w:r>
      <w:r w:rsidR="00214403" w:rsidRPr="00383262">
        <w:t xml:space="preserve">tiesas </w:t>
      </w:r>
      <w:r w:rsidR="00214403" w:rsidRPr="00383262">
        <w:rPr>
          <w:rFonts w:ascii="TimesNewRomanPSMT" w:eastAsiaTheme="minorHAnsi" w:hAnsi="TimesNewRomanPSMT" w:cs="TimesNewRomanPSMT"/>
          <w:lang w:eastAsia="en-US"/>
        </w:rPr>
        <w:t>norādītais</w:t>
      </w:r>
      <w:r w:rsidR="00383262">
        <w:rPr>
          <w:rFonts w:ascii="TimesNewRomanPSMT" w:eastAsiaTheme="minorHAnsi" w:hAnsi="TimesNewRomanPSMT" w:cs="TimesNewRomanPSMT"/>
          <w:lang w:eastAsia="en-US"/>
        </w:rPr>
        <w:t xml:space="preserve"> </w:t>
      </w:r>
      <w:proofErr w:type="gramStart"/>
      <w:r w:rsidR="00383262">
        <w:rPr>
          <w:rFonts w:ascii="TimesNewRomanPSMT" w:eastAsiaTheme="minorHAnsi" w:hAnsi="TimesNewRomanPSMT" w:cs="TimesNewRomanPSMT"/>
          <w:lang w:eastAsia="en-US"/>
        </w:rPr>
        <w:t>(</w:t>
      </w:r>
      <w:proofErr w:type="gramEnd"/>
      <w:r w:rsidR="00383262">
        <w:rPr>
          <w:rFonts w:ascii="TimesNewRomanPSMT" w:eastAsiaTheme="minorHAnsi" w:hAnsi="TimesNewRomanPSMT" w:cs="TimesNewRomanPSMT"/>
          <w:lang w:eastAsia="en-US"/>
        </w:rPr>
        <w:t>kam, kā noprotams, apgabaltiesa pievienojusies)</w:t>
      </w:r>
      <w:r w:rsidR="00214403" w:rsidRPr="00383262">
        <w:rPr>
          <w:rFonts w:ascii="TimesNewRomanPSMT" w:eastAsiaTheme="minorHAnsi" w:hAnsi="TimesNewRomanPSMT" w:cs="TimesNewRomanPSMT"/>
          <w:lang w:eastAsia="en-US"/>
        </w:rPr>
        <w:t>, ka jautājums par to, vai ēku nojaukšanas rezultātā samazināsies pieteicēja īpašumtiesību apmērs</w:t>
      </w:r>
      <w:r w:rsidR="00383262">
        <w:rPr>
          <w:rFonts w:ascii="TimesNewRomanPSMT" w:eastAsiaTheme="minorHAnsi" w:hAnsi="TimesNewRomanPSMT" w:cs="TimesNewRomanPSMT"/>
          <w:lang w:eastAsia="en-US"/>
        </w:rPr>
        <w:t>,</w:t>
      </w:r>
      <w:r w:rsidR="00214403" w:rsidRPr="00383262">
        <w:rPr>
          <w:rFonts w:ascii="TimesNewRomanPSMT" w:eastAsiaTheme="minorHAnsi" w:hAnsi="TimesNewRomanPSMT" w:cs="TimesNewRomanPSMT"/>
          <w:lang w:eastAsia="en-US"/>
        </w:rPr>
        <w:t xml:space="preserve"> nav risināms šīs lietas ietvaros, bet gan</w:t>
      </w:r>
      <w:r w:rsidR="00A4210C" w:rsidRPr="00383262">
        <w:rPr>
          <w:rFonts w:ascii="TimesNewRomanPSMT" w:eastAsiaTheme="minorHAnsi" w:hAnsi="TimesNewRomanPSMT" w:cs="TimesNewRomanPSMT"/>
          <w:lang w:eastAsia="en-US"/>
        </w:rPr>
        <w:t xml:space="preserve"> </w:t>
      </w:r>
      <w:r w:rsidR="00214403" w:rsidRPr="00383262">
        <w:rPr>
          <w:rFonts w:ascii="TimesNewRomanPSMT" w:eastAsiaTheme="minorHAnsi" w:hAnsi="TimesNewRomanPSMT" w:cs="TimesNewRomanPSMT"/>
          <w:lang w:eastAsia="en-US"/>
        </w:rPr>
        <w:t>vispārējās jurisdikcijas tiesā.</w:t>
      </w:r>
      <w:r w:rsidR="00383262">
        <w:rPr>
          <w:rFonts w:ascii="TimesNewRomanPSMT" w:eastAsiaTheme="minorHAnsi" w:hAnsi="TimesNewRomanPSMT" w:cs="TimesNewRomanPSMT"/>
          <w:lang w:eastAsia="en-US"/>
        </w:rPr>
        <w:t xml:space="preserve"> Šajā sakarā arī norādāms, ka apgabaltiesa savu apgalvojumu, ka strīdus būvniecība nevarētu nelabvēlīgi ietekmēt pieteicēja tiesības uz veikala telpu lietošanu, ir pamatojusi tikai ar to, ka ēka, kurā atrodas konkrētās veikala telpas, netiks nojaukta. Apgabaltiesa nav pēc būtības atbildējusi uz pieteicēja argumentu, ka</w:t>
      </w:r>
      <w:r w:rsidR="00CE21C3">
        <w:rPr>
          <w:rFonts w:ascii="TimesNewRomanPSMT" w:eastAsiaTheme="minorHAnsi" w:hAnsi="TimesNewRomanPSMT" w:cs="TimesNewRomanPSMT"/>
          <w:lang w:eastAsia="en-US"/>
        </w:rPr>
        <w:t>,</w:t>
      </w:r>
      <w:r w:rsidR="00383262">
        <w:rPr>
          <w:rFonts w:ascii="TimesNewRomanPSMT" w:eastAsiaTheme="minorHAnsi" w:hAnsi="TimesNewRomanPSMT" w:cs="TimesNewRomanPSMT"/>
          <w:lang w:eastAsia="en-US"/>
        </w:rPr>
        <w:t xml:space="preserve"> ēku nojaukšanas rezultātā mainoties īpašuma sastāvam</w:t>
      </w:r>
      <w:r w:rsidR="00CE21C3">
        <w:rPr>
          <w:rFonts w:ascii="TimesNewRomanPSMT" w:eastAsiaTheme="minorHAnsi" w:hAnsi="TimesNewRomanPSMT" w:cs="TimesNewRomanPSMT"/>
          <w:lang w:eastAsia="en-US"/>
        </w:rPr>
        <w:t>,</w:t>
      </w:r>
      <w:r w:rsidR="00383262">
        <w:rPr>
          <w:rFonts w:ascii="TimesNewRomanPSMT" w:eastAsiaTheme="minorHAnsi" w:hAnsi="TimesNewRomanPSMT" w:cs="TimesNewRomanPSMT"/>
          <w:lang w:eastAsia="en-US"/>
        </w:rPr>
        <w:t xml:space="preserve"> pastāv risks, ka pieteicējam lietošanā nodoto telpu platība vairs neatbildīs pieteicēja īpašumā esošo domājamo daļu lielumam.</w:t>
      </w:r>
    </w:p>
    <w:p w14:paraId="35DA0E4C" w14:textId="77777777" w:rsidR="00A4210C" w:rsidRPr="00214403" w:rsidRDefault="00A4210C" w:rsidP="00F77A89">
      <w:pPr>
        <w:autoSpaceDE w:val="0"/>
        <w:autoSpaceDN w:val="0"/>
        <w:adjustRightInd w:val="0"/>
        <w:spacing w:line="276" w:lineRule="auto"/>
        <w:jc w:val="both"/>
      </w:pPr>
    </w:p>
    <w:p w14:paraId="6997DAFB" w14:textId="77777777" w:rsidR="00497220" w:rsidRPr="00E40ED2" w:rsidRDefault="000066FD" w:rsidP="00F77A89">
      <w:pPr>
        <w:shd w:val="clear" w:color="auto" w:fill="FFFFFF"/>
        <w:spacing w:line="276" w:lineRule="auto"/>
        <w:jc w:val="center"/>
        <w:rPr>
          <w:b/>
        </w:rPr>
      </w:pPr>
      <w:r w:rsidRPr="00E40ED2">
        <w:rPr>
          <w:b/>
        </w:rPr>
        <w:t>Rezolutīvā daļa</w:t>
      </w:r>
    </w:p>
    <w:p w14:paraId="01B8CFFD" w14:textId="77777777" w:rsidR="000066FD" w:rsidRPr="00E40ED2" w:rsidRDefault="000066FD" w:rsidP="00F77A89">
      <w:pPr>
        <w:shd w:val="clear" w:color="auto" w:fill="FFFFFF"/>
        <w:spacing w:line="276" w:lineRule="auto"/>
        <w:jc w:val="center"/>
        <w:rPr>
          <w:b/>
        </w:rPr>
      </w:pPr>
    </w:p>
    <w:p w14:paraId="2A0FD99B" w14:textId="0CAB16E4" w:rsidR="00497220" w:rsidRPr="00E40ED2" w:rsidRDefault="00497220" w:rsidP="00F77A89">
      <w:pPr>
        <w:shd w:val="clear" w:color="auto" w:fill="FFFFFF"/>
        <w:spacing w:line="276" w:lineRule="auto"/>
        <w:ind w:firstLine="720"/>
        <w:jc w:val="both"/>
      </w:pPr>
      <w:r w:rsidRPr="00E40ED2">
        <w:t>Pamatojoties uz</w:t>
      </w:r>
      <w:r w:rsidR="00C54E5B" w:rsidRPr="00E40ED2">
        <w:t xml:space="preserve"> Administratīvā procesa likuma 129.</w:t>
      </w:r>
      <w:proofErr w:type="gramStart"/>
      <w:r w:rsidR="00C54E5B" w:rsidRPr="00E40ED2">
        <w:rPr>
          <w:vertAlign w:val="superscript"/>
        </w:rPr>
        <w:t>1</w:t>
      </w:r>
      <w:r w:rsidR="00C54E5B" w:rsidRPr="00E40ED2">
        <w:t>panta</w:t>
      </w:r>
      <w:proofErr w:type="gramEnd"/>
      <w:r w:rsidR="00C54E5B" w:rsidRPr="00E40ED2">
        <w:t xml:space="preserve"> pirmās daļas 1.punktu, 348.panta pirmās daļas 2.punktu un 351.pantu, </w:t>
      </w:r>
      <w:r w:rsidRPr="00E40ED2">
        <w:t>Senāts</w:t>
      </w:r>
    </w:p>
    <w:p w14:paraId="3D1BC7BC" w14:textId="77777777" w:rsidR="00497220" w:rsidRPr="00E40ED2" w:rsidRDefault="00497220" w:rsidP="00F77A89">
      <w:pPr>
        <w:shd w:val="clear" w:color="auto" w:fill="FFFFFF"/>
        <w:spacing w:line="276" w:lineRule="auto"/>
        <w:jc w:val="center"/>
        <w:rPr>
          <w:b/>
        </w:rPr>
      </w:pPr>
    </w:p>
    <w:p w14:paraId="6DCA3928" w14:textId="77777777" w:rsidR="00497220" w:rsidRPr="00E40ED2" w:rsidRDefault="00497220" w:rsidP="00F77A89">
      <w:pPr>
        <w:shd w:val="clear" w:color="auto" w:fill="FFFFFF"/>
        <w:spacing w:line="276" w:lineRule="auto"/>
        <w:jc w:val="center"/>
        <w:rPr>
          <w:b/>
        </w:rPr>
      </w:pPr>
      <w:r w:rsidRPr="00E40ED2">
        <w:rPr>
          <w:b/>
        </w:rPr>
        <w:t>nosprieda</w:t>
      </w:r>
    </w:p>
    <w:p w14:paraId="01FFA6C6" w14:textId="77777777" w:rsidR="00497220" w:rsidRPr="00E40ED2" w:rsidRDefault="00497220" w:rsidP="00F77A89">
      <w:pPr>
        <w:shd w:val="clear" w:color="auto" w:fill="FFFFFF"/>
        <w:spacing w:line="276" w:lineRule="auto"/>
        <w:jc w:val="center"/>
        <w:rPr>
          <w:b/>
        </w:rPr>
      </w:pPr>
    </w:p>
    <w:p w14:paraId="47ADBB7E" w14:textId="0077CDFC" w:rsidR="00497220" w:rsidRPr="00E40ED2" w:rsidRDefault="00A87DAE" w:rsidP="00F77A89">
      <w:pPr>
        <w:spacing w:line="276" w:lineRule="auto"/>
        <w:ind w:firstLine="709"/>
        <w:jc w:val="both"/>
      </w:pPr>
      <w:r w:rsidRPr="00E40ED2">
        <w:rPr>
          <w:lang w:eastAsia="lv-LV"/>
        </w:rPr>
        <w:t xml:space="preserve">atcelt Administratīvās apgabaltiesas </w:t>
      </w:r>
      <w:proofErr w:type="gramStart"/>
      <w:r w:rsidRPr="00E40ED2">
        <w:rPr>
          <w:lang w:eastAsia="lv-LV"/>
        </w:rPr>
        <w:t>2021.gada</w:t>
      </w:r>
      <w:proofErr w:type="gramEnd"/>
      <w:r w:rsidRPr="00E40ED2">
        <w:rPr>
          <w:lang w:eastAsia="lv-LV"/>
        </w:rPr>
        <w:t xml:space="preserve"> 10.marta spriedumu</w:t>
      </w:r>
      <w:r w:rsidRPr="00E40ED2">
        <w:t xml:space="preserve"> un nosūtīt lietu Administratīvajai apgabaltiesai jaunai izskatīšanai;</w:t>
      </w:r>
    </w:p>
    <w:p w14:paraId="46BDF549" w14:textId="6258205D" w:rsidR="00A87DAE" w:rsidRPr="00E40ED2" w:rsidRDefault="00A87DAE" w:rsidP="00F77A89">
      <w:pPr>
        <w:spacing w:line="276" w:lineRule="auto"/>
        <w:ind w:firstLine="709"/>
        <w:jc w:val="both"/>
      </w:pPr>
      <w:r w:rsidRPr="00E40ED2">
        <w:t xml:space="preserve">atmaksāt </w:t>
      </w:r>
      <w:r w:rsidR="00F77A89">
        <w:rPr>
          <w:lang w:eastAsia="lv-LV"/>
        </w:rPr>
        <w:t xml:space="preserve">[pers. A] </w:t>
      </w:r>
      <w:r w:rsidRPr="00E40ED2">
        <w:t xml:space="preserve">drošības naudu </w:t>
      </w:r>
      <w:r w:rsidR="00E04F4A" w:rsidRPr="00E40ED2">
        <w:t>70 </w:t>
      </w:r>
      <w:proofErr w:type="spellStart"/>
      <w:r w:rsidR="00E04F4A" w:rsidRPr="00E40ED2">
        <w:rPr>
          <w:i/>
        </w:rPr>
        <w:t>euro</w:t>
      </w:r>
      <w:proofErr w:type="spellEnd"/>
      <w:r w:rsidR="00E04F4A" w:rsidRPr="00E40ED2">
        <w:t>.</w:t>
      </w:r>
    </w:p>
    <w:p w14:paraId="51D9EE05" w14:textId="77777777" w:rsidR="00E04F4A" w:rsidRPr="00E40ED2" w:rsidRDefault="00E04F4A" w:rsidP="00F77A89">
      <w:pPr>
        <w:spacing w:line="276" w:lineRule="auto"/>
        <w:ind w:firstLine="709"/>
        <w:jc w:val="both"/>
      </w:pPr>
    </w:p>
    <w:p w14:paraId="333ED7E4" w14:textId="45C6D1C7" w:rsidR="00A87DAE" w:rsidRPr="00E40ED2" w:rsidRDefault="00E04F4A" w:rsidP="00F77A89">
      <w:pPr>
        <w:spacing w:line="276" w:lineRule="auto"/>
        <w:ind w:firstLine="709"/>
      </w:pPr>
      <w:r w:rsidRPr="00E40ED2">
        <w:t>Spriedums nav pārsūdzams.</w:t>
      </w:r>
    </w:p>
    <w:p w14:paraId="776AA86A" w14:textId="77777777" w:rsidR="00E04F4A" w:rsidRPr="00E40ED2" w:rsidRDefault="00E04F4A" w:rsidP="00E04F4A">
      <w:pPr>
        <w:spacing w:line="276" w:lineRule="auto"/>
        <w:ind w:firstLine="709"/>
      </w:pPr>
    </w:p>
    <w:p w14:paraId="1A99D5F0" w14:textId="77777777" w:rsidR="00A87DAE" w:rsidRPr="00E40ED2" w:rsidRDefault="00A87DAE" w:rsidP="000066FD">
      <w:pPr>
        <w:spacing w:line="276" w:lineRule="auto"/>
        <w:ind w:firstLine="709"/>
      </w:pPr>
    </w:p>
    <w:p w14:paraId="1718F36A" w14:textId="77777777" w:rsidR="00A87DAE" w:rsidRPr="00E40ED2" w:rsidRDefault="00A87DAE" w:rsidP="000066FD">
      <w:pPr>
        <w:spacing w:line="276" w:lineRule="auto"/>
        <w:ind w:firstLine="709"/>
      </w:pPr>
    </w:p>
    <w:p w14:paraId="15D4DAB9" w14:textId="77777777" w:rsidR="002E6479" w:rsidRPr="00E40ED2" w:rsidRDefault="002E6479" w:rsidP="000066FD"/>
    <w:sectPr w:rsidR="002E6479" w:rsidRPr="00E40ED2" w:rsidSect="008F231A">
      <w:footerReference w:type="default" r:id="rId8"/>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E171A" w14:textId="77777777" w:rsidR="00F0304B" w:rsidRDefault="00F0304B" w:rsidP="00032A26">
      <w:r>
        <w:separator/>
      </w:r>
    </w:p>
  </w:endnote>
  <w:endnote w:type="continuationSeparator" w:id="0">
    <w:p w14:paraId="50ED5867" w14:textId="77777777" w:rsidR="00F0304B" w:rsidRDefault="00F0304B" w:rsidP="0003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D488891" w14:textId="6543C334" w:rsidR="00D3274A" w:rsidRPr="00D943DB" w:rsidRDefault="00D3274A" w:rsidP="00D943DB">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B3178">
              <w:rPr>
                <w:bCs/>
                <w:noProof/>
                <w:sz w:val="20"/>
                <w:szCs w:val="20"/>
              </w:rPr>
              <w:t>2</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B3178">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CD526" w14:textId="77777777" w:rsidR="00F0304B" w:rsidRDefault="00F0304B" w:rsidP="00032A26">
      <w:r>
        <w:separator/>
      </w:r>
    </w:p>
  </w:footnote>
  <w:footnote w:type="continuationSeparator" w:id="0">
    <w:p w14:paraId="5C67BAAE" w14:textId="77777777" w:rsidR="00F0304B" w:rsidRDefault="00F0304B" w:rsidP="0003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73"/>
    <w:rsid w:val="000011FE"/>
    <w:rsid w:val="000066FD"/>
    <w:rsid w:val="00014DB7"/>
    <w:rsid w:val="00032A26"/>
    <w:rsid w:val="00035750"/>
    <w:rsid w:val="00036B55"/>
    <w:rsid w:val="00061D3E"/>
    <w:rsid w:val="000716F4"/>
    <w:rsid w:val="00074B64"/>
    <w:rsid w:val="00074D7E"/>
    <w:rsid w:val="00082460"/>
    <w:rsid w:val="00084A55"/>
    <w:rsid w:val="000877F5"/>
    <w:rsid w:val="000A6334"/>
    <w:rsid w:val="000C2B0A"/>
    <w:rsid w:val="000C7EDD"/>
    <w:rsid w:val="000D5A06"/>
    <w:rsid w:val="0010131C"/>
    <w:rsid w:val="00112D28"/>
    <w:rsid w:val="00125547"/>
    <w:rsid w:val="00125C57"/>
    <w:rsid w:val="00137B0E"/>
    <w:rsid w:val="00141662"/>
    <w:rsid w:val="00142460"/>
    <w:rsid w:val="0015276E"/>
    <w:rsid w:val="00152A24"/>
    <w:rsid w:val="001601F7"/>
    <w:rsid w:val="00162C02"/>
    <w:rsid w:val="001711C9"/>
    <w:rsid w:val="001778E9"/>
    <w:rsid w:val="001868A1"/>
    <w:rsid w:val="00190DF8"/>
    <w:rsid w:val="0019444F"/>
    <w:rsid w:val="001A0628"/>
    <w:rsid w:val="001A14DD"/>
    <w:rsid w:val="001B3178"/>
    <w:rsid w:val="001B3CDC"/>
    <w:rsid w:val="001E0E26"/>
    <w:rsid w:val="001E7747"/>
    <w:rsid w:val="001F700A"/>
    <w:rsid w:val="00203268"/>
    <w:rsid w:val="002105E8"/>
    <w:rsid w:val="00214403"/>
    <w:rsid w:val="00221080"/>
    <w:rsid w:val="002213F3"/>
    <w:rsid w:val="002352E1"/>
    <w:rsid w:val="00237B66"/>
    <w:rsid w:val="00244123"/>
    <w:rsid w:val="00247A20"/>
    <w:rsid w:val="00254313"/>
    <w:rsid w:val="00260093"/>
    <w:rsid w:val="00261B5D"/>
    <w:rsid w:val="00271EB2"/>
    <w:rsid w:val="00274319"/>
    <w:rsid w:val="002759A2"/>
    <w:rsid w:val="00284C97"/>
    <w:rsid w:val="002868FA"/>
    <w:rsid w:val="00296F45"/>
    <w:rsid w:val="00297B7C"/>
    <w:rsid w:val="002A367C"/>
    <w:rsid w:val="002A5314"/>
    <w:rsid w:val="002A7E97"/>
    <w:rsid w:val="002B2CD9"/>
    <w:rsid w:val="002B4092"/>
    <w:rsid w:val="002C10F4"/>
    <w:rsid w:val="002C281E"/>
    <w:rsid w:val="002D2FD2"/>
    <w:rsid w:val="002E159F"/>
    <w:rsid w:val="002E258D"/>
    <w:rsid w:val="002E327C"/>
    <w:rsid w:val="002E6479"/>
    <w:rsid w:val="002F66D2"/>
    <w:rsid w:val="00330A29"/>
    <w:rsid w:val="0034500F"/>
    <w:rsid w:val="00363790"/>
    <w:rsid w:val="00367621"/>
    <w:rsid w:val="00383262"/>
    <w:rsid w:val="00385659"/>
    <w:rsid w:val="00396776"/>
    <w:rsid w:val="003A3EC3"/>
    <w:rsid w:val="003B02F4"/>
    <w:rsid w:val="003B3707"/>
    <w:rsid w:val="003B69B7"/>
    <w:rsid w:val="003C3669"/>
    <w:rsid w:val="003E3BDC"/>
    <w:rsid w:val="003F61E2"/>
    <w:rsid w:val="003F7845"/>
    <w:rsid w:val="00402A34"/>
    <w:rsid w:val="00411544"/>
    <w:rsid w:val="004135AA"/>
    <w:rsid w:val="00415667"/>
    <w:rsid w:val="004208F0"/>
    <w:rsid w:val="00423530"/>
    <w:rsid w:val="00440966"/>
    <w:rsid w:val="00452D2B"/>
    <w:rsid w:val="0045340C"/>
    <w:rsid w:val="00453C09"/>
    <w:rsid w:val="004827FC"/>
    <w:rsid w:val="0048465C"/>
    <w:rsid w:val="00491BC0"/>
    <w:rsid w:val="00496011"/>
    <w:rsid w:val="00497220"/>
    <w:rsid w:val="004A0E5D"/>
    <w:rsid w:val="004A2A9D"/>
    <w:rsid w:val="004B55A1"/>
    <w:rsid w:val="004C23B5"/>
    <w:rsid w:val="004E2798"/>
    <w:rsid w:val="004F0B85"/>
    <w:rsid w:val="004F115B"/>
    <w:rsid w:val="004F19F0"/>
    <w:rsid w:val="004F2C06"/>
    <w:rsid w:val="00502309"/>
    <w:rsid w:val="0051118B"/>
    <w:rsid w:val="005132B1"/>
    <w:rsid w:val="00522C85"/>
    <w:rsid w:val="00530115"/>
    <w:rsid w:val="00540F84"/>
    <w:rsid w:val="0054133A"/>
    <w:rsid w:val="005478B7"/>
    <w:rsid w:val="005504AA"/>
    <w:rsid w:val="00561C9F"/>
    <w:rsid w:val="00566389"/>
    <w:rsid w:val="005743FA"/>
    <w:rsid w:val="00574C3E"/>
    <w:rsid w:val="00576A3B"/>
    <w:rsid w:val="00577A9C"/>
    <w:rsid w:val="00587E7A"/>
    <w:rsid w:val="00591149"/>
    <w:rsid w:val="0059679B"/>
    <w:rsid w:val="00597B03"/>
    <w:rsid w:val="005A7587"/>
    <w:rsid w:val="005B020B"/>
    <w:rsid w:val="005C3DA2"/>
    <w:rsid w:val="005E4941"/>
    <w:rsid w:val="005E5FD5"/>
    <w:rsid w:val="005F3A63"/>
    <w:rsid w:val="005F518F"/>
    <w:rsid w:val="005F5D31"/>
    <w:rsid w:val="006034D9"/>
    <w:rsid w:val="0063568F"/>
    <w:rsid w:val="00653CA5"/>
    <w:rsid w:val="006A5E59"/>
    <w:rsid w:val="006B71D4"/>
    <w:rsid w:val="006B7DB3"/>
    <w:rsid w:val="006C7D0A"/>
    <w:rsid w:val="006D065A"/>
    <w:rsid w:val="006E17C4"/>
    <w:rsid w:val="006E3A73"/>
    <w:rsid w:val="006E6F21"/>
    <w:rsid w:val="006E75BC"/>
    <w:rsid w:val="006F1192"/>
    <w:rsid w:val="006F6B7B"/>
    <w:rsid w:val="00706E8A"/>
    <w:rsid w:val="007314D5"/>
    <w:rsid w:val="00754FA1"/>
    <w:rsid w:val="00763F1A"/>
    <w:rsid w:val="00767AD5"/>
    <w:rsid w:val="00777023"/>
    <w:rsid w:val="0079485D"/>
    <w:rsid w:val="007B2746"/>
    <w:rsid w:val="007C03B9"/>
    <w:rsid w:val="007E2D47"/>
    <w:rsid w:val="008179D2"/>
    <w:rsid w:val="00822A0C"/>
    <w:rsid w:val="008346FA"/>
    <w:rsid w:val="00847BD7"/>
    <w:rsid w:val="00864DCC"/>
    <w:rsid w:val="008653B6"/>
    <w:rsid w:val="0086641F"/>
    <w:rsid w:val="0086674B"/>
    <w:rsid w:val="00867689"/>
    <w:rsid w:val="00871429"/>
    <w:rsid w:val="00876D74"/>
    <w:rsid w:val="00882B9A"/>
    <w:rsid w:val="00887C7E"/>
    <w:rsid w:val="00893A66"/>
    <w:rsid w:val="00896179"/>
    <w:rsid w:val="008A34B0"/>
    <w:rsid w:val="008A7C28"/>
    <w:rsid w:val="008B12BF"/>
    <w:rsid w:val="008B39F3"/>
    <w:rsid w:val="008C23B2"/>
    <w:rsid w:val="008D0550"/>
    <w:rsid w:val="008D15F4"/>
    <w:rsid w:val="008D2AF7"/>
    <w:rsid w:val="008E0BB8"/>
    <w:rsid w:val="008F0634"/>
    <w:rsid w:val="008F18D8"/>
    <w:rsid w:val="008F1E1C"/>
    <w:rsid w:val="008F231A"/>
    <w:rsid w:val="009002D2"/>
    <w:rsid w:val="009010F7"/>
    <w:rsid w:val="00913D53"/>
    <w:rsid w:val="00914EAE"/>
    <w:rsid w:val="00917445"/>
    <w:rsid w:val="00920461"/>
    <w:rsid w:val="00922963"/>
    <w:rsid w:val="00927CDE"/>
    <w:rsid w:val="00927EE9"/>
    <w:rsid w:val="0093044A"/>
    <w:rsid w:val="00930DD8"/>
    <w:rsid w:val="00933BD7"/>
    <w:rsid w:val="009460B0"/>
    <w:rsid w:val="00956689"/>
    <w:rsid w:val="00963118"/>
    <w:rsid w:val="00966CAD"/>
    <w:rsid w:val="009671CF"/>
    <w:rsid w:val="009675CF"/>
    <w:rsid w:val="00981412"/>
    <w:rsid w:val="00986DD4"/>
    <w:rsid w:val="00994575"/>
    <w:rsid w:val="009B2867"/>
    <w:rsid w:val="009B45AF"/>
    <w:rsid w:val="009C4887"/>
    <w:rsid w:val="009C641A"/>
    <w:rsid w:val="009E1BEF"/>
    <w:rsid w:val="009E431A"/>
    <w:rsid w:val="009F653F"/>
    <w:rsid w:val="00A0042A"/>
    <w:rsid w:val="00A05EF4"/>
    <w:rsid w:val="00A16B8B"/>
    <w:rsid w:val="00A177A5"/>
    <w:rsid w:val="00A31BFD"/>
    <w:rsid w:val="00A4210C"/>
    <w:rsid w:val="00A42606"/>
    <w:rsid w:val="00A45D3B"/>
    <w:rsid w:val="00A4649A"/>
    <w:rsid w:val="00A6191E"/>
    <w:rsid w:val="00A62B1E"/>
    <w:rsid w:val="00A65EE2"/>
    <w:rsid w:val="00A667A7"/>
    <w:rsid w:val="00A77528"/>
    <w:rsid w:val="00A83930"/>
    <w:rsid w:val="00A8498B"/>
    <w:rsid w:val="00A87DAE"/>
    <w:rsid w:val="00A900EC"/>
    <w:rsid w:val="00A9284D"/>
    <w:rsid w:val="00AA0C2E"/>
    <w:rsid w:val="00AB1F09"/>
    <w:rsid w:val="00AB6C27"/>
    <w:rsid w:val="00AB7EB8"/>
    <w:rsid w:val="00AD0B63"/>
    <w:rsid w:val="00AF6E8C"/>
    <w:rsid w:val="00AF749F"/>
    <w:rsid w:val="00B00967"/>
    <w:rsid w:val="00B0443B"/>
    <w:rsid w:val="00B16999"/>
    <w:rsid w:val="00B26B67"/>
    <w:rsid w:val="00B3182B"/>
    <w:rsid w:val="00B32E09"/>
    <w:rsid w:val="00B34DAD"/>
    <w:rsid w:val="00B360E7"/>
    <w:rsid w:val="00B36996"/>
    <w:rsid w:val="00B431C1"/>
    <w:rsid w:val="00B75133"/>
    <w:rsid w:val="00B85C73"/>
    <w:rsid w:val="00B87FF3"/>
    <w:rsid w:val="00BA6208"/>
    <w:rsid w:val="00BA6BAB"/>
    <w:rsid w:val="00BC3C13"/>
    <w:rsid w:val="00BC725F"/>
    <w:rsid w:val="00BD09DF"/>
    <w:rsid w:val="00BD2A12"/>
    <w:rsid w:val="00BD5DB4"/>
    <w:rsid w:val="00BD6993"/>
    <w:rsid w:val="00C37960"/>
    <w:rsid w:val="00C43AB5"/>
    <w:rsid w:val="00C54B68"/>
    <w:rsid w:val="00C54E5B"/>
    <w:rsid w:val="00C560D4"/>
    <w:rsid w:val="00C576C3"/>
    <w:rsid w:val="00C733BA"/>
    <w:rsid w:val="00C742FF"/>
    <w:rsid w:val="00C938D9"/>
    <w:rsid w:val="00C942B4"/>
    <w:rsid w:val="00CA71A6"/>
    <w:rsid w:val="00CA7BF2"/>
    <w:rsid w:val="00CB7432"/>
    <w:rsid w:val="00CB7CA4"/>
    <w:rsid w:val="00CC5A77"/>
    <w:rsid w:val="00CD3531"/>
    <w:rsid w:val="00CE022C"/>
    <w:rsid w:val="00CE21C3"/>
    <w:rsid w:val="00CE2A1A"/>
    <w:rsid w:val="00CF0999"/>
    <w:rsid w:val="00D1302C"/>
    <w:rsid w:val="00D3274A"/>
    <w:rsid w:val="00D3642D"/>
    <w:rsid w:val="00D421C7"/>
    <w:rsid w:val="00D4282C"/>
    <w:rsid w:val="00D43808"/>
    <w:rsid w:val="00D467D9"/>
    <w:rsid w:val="00D55F63"/>
    <w:rsid w:val="00D82A9C"/>
    <w:rsid w:val="00D86FF2"/>
    <w:rsid w:val="00D943DB"/>
    <w:rsid w:val="00DA0510"/>
    <w:rsid w:val="00DA2906"/>
    <w:rsid w:val="00DB1A93"/>
    <w:rsid w:val="00DB4D52"/>
    <w:rsid w:val="00DC3B31"/>
    <w:rsid w:val="00DD459B"/>
    <w:rsid w:val="00DD7E8C"/>
    <w:rsid w:val="00DE3742"/>
    <w:rsid w:val="00DE77C3"/>
    <w:rsid w:val="00DF21F3"/>
    <w:rsid w:val="00E00C42"/>
    <w:rsid w:val="00E0184B"/>
    <w:rsid w:val="00E02467"/>
    <w:rsid w:val="00E0442A"/>
    <w:rsid w:val="00E04F4A"/>
    <w:rsid w:val="00E23085"/>
    <w:rsid w:val="00E27063"/>
    <w:rsid w:val="00E40ED2"/>
    <w:rsid w:val="00E425DB"/>
    <w:rsid w:val="00E47B54"/>
    <w:rsid w:val="00E544F3"/>
    <w:rsid w:val="00E6416A"/>
    <w:rsid w:val="00E65A79"/>
    <w:rsid w:val="00E73135"/>
    <w:rsid w:val="00E77B1D"/>
    <w:rsid w:val="00E860CD"/>
    <w:rsid w:val="00E90D3B"/>
    <w:rsid w:val="00EA16CD"/>
    <w:rsid w:val="00EA3BC6"/>
    <w:rsid w:val="00EB33B5"/>
    <w:rsid w:val="00EC592E"/>
    <w:rsid w:val="00ED2969"/>
    <w:rsid w:val="00EE42F4"/>
    <w:rsid w:val="00F0304B"/>
    <w:rsid w:val="00F03CC3"/>
    <w:rsid w:val="00F20895"/>
    <w:rsid w:val="00F259FB"/>
    <w:rsid w:val="00F267C3"/>
    <w:rsid w:val="00F27DDF"/>
    <w:rsid w:val="00F4759E"/>
    <w:rsid w:val="00F53FDE"/>
    <w:rsid w:val="00F6244E"/>
    <w:rsid w:val="00F704F1"/>
    <w:rsid w:val="00F7542F"/>
    <w:rsid w:val="00F77A89"/>
    <w:rsid w:val="00F83A1E"/>
    <w:rsid w:val="00F86082"/>
    <w:rsid w:val="00F90B1E"/>
    <w:rsid w:val="00F93343"/>
    <w:rsid w:val="00FA2203"/>
    <w:rsid w:val="00FA3DCA"/>
    <w:rsid w:val="00FA7C19"/>
    <w:rsid w:val="00FB5E6A"/>
    <w:rsid w:val="00FC31A9"/>
    <w:rsid w:val="00FD24F8"/>
    <w:rsid w:val="00FD3FBF"/>
    <w:rsid w:val="00FE5F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4D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20"/>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220"/>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97220"/>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9671CF"/>
    <w:rPr>
      <w:sz w:val="16"/>
      <w:szCs w:val="16"/>
    </w:rPr>
  </w:style>
  <w:style w:type="paragraph" w:styleId="CommentText">
    <w:name w:val="annotation text"/>
    <w:basedOn w:val="Normal"/>
    <w:link w:val="CommentTextChar"/>
    <w:uiPriority w:val="99"/>
    <w:unhideWhenUsed/>
    <w:rsid w:val="009671CF"/>
    <w:rPr>
      <w:sz w:val="20"/>
      <w:szCs w:val="20"/>
    </w:rPr>
  </w:style>
  <w:style w:type="character" w:customStyle="1" w:styleId="CommentTextChar">
    <w:name w:val="Comment Text Char"/>
    <w:basedOn w:val="DefaultParagraphFont"/>
    <w:link w:val="CommentText"/>
    <w:uiPriority w:val="99"/>
    <w:rsid w:val="009671C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671CF"/>
    <w:rPr>
      <w:b/>
      <w:bCs/>
    </w:rPr>
  </w:style>
  <w:style w:type="character" w:customStyle="1" w:styleId="CommentSubjectChar">
    <w:name w:val="Comment Subject Char"/>
    <w:basedOn w:val="CommentTextChar"/>
    <w:link w:val="CommentSubject"/>
    <w:uiPriority w:val="99"/>
    <w:semiHidden/>
    <w:rsid w:val="009671CF"/>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967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CF"/>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032A26"/>
    <w:rPr>
      <w:sz w:val="20"/>
      <w:szCs w:val="20"/>
    </w:rPr>
  </w:style>
  <w:style w:type="character" w:customStyle="1" w:styleId="EndnoteTextChar">
    <w:name w:val="Endnote Text Char"/>
    <w:basedOn w:val="DefaultParagraphFont"/>
    <w:link w:val="EndnoteText"/>
    <w:uiPriority w:val="99"/>
    <w:semiHidden/>
    <w:rsid w:val="00032A26"/>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032A26"/>
    <w:rPr>
      <w:vertAlign w:val="superscript"/>
    </w:rPr>
  </w:style>
  <w:style w:type="paragraph" w:styleId="Header">
    <w:name w:val="header"/>
    <w:basedOn w:val="Normal"/>
    <w:link w:val="HeaderChar"/>
    <w:uiPriority w:val="99"/>
    <w:unhideWhenUsed/>
    <w:rsid w:val="00D943DB"/>
    <w:pPr>
      <w:tabs>
        <w:tab w:val="center" w:pos="4153"/>
        <w:tab w:val="right" w:pos="8306"/>
      </w:tabs>
    </w:pPr>
  </w:style>
  <w:style w:type="character" w:customStyle="1" w:styleId="HeaderChar">
    <w:name w:val="Header Char"/>
    <w:basedOn w:val="DefaultParagraphFont"/>
    <w:link w:val="Header"/>
    <w:uiPriority w:val="99"/>
    <w:rsid w:val="00D943DB"/>
    <w:rPr>
      <w:rFonts w:eastAsia="Times New Roman" w:cs="Times New Roman"/>
      <w:szCs w:val="24"/>
      <w:lang w:eastAsia="ru-RU"/>
    </w:rPr>
  </w:style>
  <w:style w:type="paragraph" w:styleId="Footer">
    <w:name w:val="footer"/>
    <w:basedOn w:val="Normal"/>
    <w:link w:val="FooterChar"/>
    <w:uiPriority w:val="99"/>
    <w:unhideWhenUsed/>
    <w:rsid w:val="00D943DB"/>
    <w:pPr>
      <w:tabs>
        <w:tab w:val="center" w:pos="4153"/>
        <w:tab w:val="right" w:pos="8306"/>
      </w:tabs>
    </w:pPr>
  </w:style>
  <w:style w:type="character" w:customStyle="1" w:styleId="FooterChar">
    <w:name w:val="Footer Char"/>
    <w:basedOn w:val="DefaultParagraphFont"/>
    <w:link w:val="Footer"/>
    <w:uiPriority w:val="99"/>
    <w:rsid w:val="00D943DB"/>
    <w:rPr>
      <w:rFonts w:eastAsia="Times New Roman" w:cs="Times New Roman"/>
      <w:szCs w:val="24"/>
      <w:lang w:eastAsia="ru-RU"/>
    </w:rPr>
  </w:style>
  <w:style w:type="character" w:styleId="Hyperlink">
    <w:name w:val="Hyperlink"/>
    <w:basedOn w:val="DefaultParagraphFont"/>
    <w:uiPriority w:val="99"/>
    <w:unhideWhenUsed/>
    <w:rsid w:val="00C37960"/>
    <w:rPr>
      <w:color w:val="0563C1" w:themeColor="hyperlink"/>
      <w:u w:val="single"/>
    </w:rPr>
  </w:style>
  <w:style w:type="character" w:styleId="FollowedHyperlink">
    <w:name w:val="FollowedHyperlink"/>
    <w:basedOn w:val="DefaultParagraphFont"/>
    <w:uiPriority w:val="99"/>
    <w:semiHidden/>
    <w:unhideWhenUsed/>
    <w:rsid w:val="00C37960"/>
    <w:rPr>
      <w:color w:val="954F72" w:themeColor="followedHyperlink"/>
      <w:u w:val="single"/>
    </w:rPr>
  </w:style>
  <w:style w:type="paragraph" w:styleId="Revision">
    <w:name w:val="Revision"/>
    <w:hidden/>
    <w:uiPriority w:val="99"/>
    <w:semiHidden/>
    <w:rsid w:val="002213F3"/>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95692">
      <w:bodyDiv w:val="1"/>
      <w:marLeft w:val="0"/>
      <w:marRight w:val="0"/>
      <w:marTop w:val="0"/>
      <w:marBottom w:val="0"/>
      <w:divBdr>
        <w:top w:val="none" w:sz="0" w:space="0" w:color="auto"/>
        <w:left w:val="none" w:sz="0" w:space="0" w:color="auto"/>
        <w:bottom w:val="none" w:sz="0" w:space="0" w:color="auto"/>
        <w:right w:val="none" w:sz="0" w:space="0" w:color="auto"/>
      </w:divBdr>
    </w:div>
    <w:div w:id="1866210918">
      <w:bodyDiv w:val="1"/>
      <w:marLeft w:val="0"/>
      <w:marRight w:val="0"/>
      <w:marTop w:val="0"/>
      <w:marBottom w:val="0"/>
      <w:divBdr>
        <w:top w:val="none" w:sz="0" w:space="0" w:color="auto"/>
        <w:left w:val="none" w:sz="0" w:space="0" w:color="auto"/>
        <w:bottom w:val="none" w:sz="0" w:space="0" w:color="auto"/>
        <w:right w:val="none" w:sz="0" w:space="0" w:color="auto"/>
      </w:divBdr>
    </w:div>
    <w:div w:id="1951542959">
      <w:bodyDiv w:val="1"/>
      <w:marLeft w:val="0"/>
      <w:marRight w:val="0"/>
      <w:marTop w:val="0"/>
      <w:marBottom w:val="0"/>
      <w:divBdr>
        <w:top w:val="none" w:sz="0" w:space="0" w:color="auto"/>
        <w:left w:val="none" w:sz="0" w:space="0" w:color="auto"/>
        <w:bottom w:val="none" w:sz="0" w:space="0" w:color="auto"/>
        <w:right w:val="none" w:sz="0" w:space="0" w:color="auto"/>
      </w:divBdr>
    </w:div>
    <w:div w:id="20050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9:0228.A420198416.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352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3247</Words>
  <Characters>18512</Characters>
  <Application>Microsoft Office Word</Application>
  <DocSecurity>0</DocSecurity>
  <Lines>154</Lines>
  <Paragraphs>43</Paragraphs>
  <ScaleCrop>false</ScaleCrop>
  <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2023-11-16T09:26:00Z</dcterms:created>
  <dcterms:modified xsi:type="dcterms:W3CDTF">2023-11-16T09:27:00Z</dcterms:modified>
</cp:coreProperties>
</file>