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4153A" w14:textId="62CC9209" w:rsidR="00DB7901" w:rsidRDefault="00122BD6" w:rsidP="0052792A">
      <w:pPr>
        <w:autoSpaceDE w:val="0"/>
        <w:autoSpaceDN w:val="0"/>
        <w:spacing w:line="276" w:lineRule="auto"/>
        <w:jc w:val="both"/>
        <w:rPr>
          <w:rFonts w:ascii="TimesNewRomanPSMT" w:hAnsi="TimesNewRomanPSMT"/>
          <w:b/>
          <w:bCs/>
          <w:color w:val="FF0000"/>
          <w:lang w:eastAsia="en-US"/>
        </w:rPr>
      </w:pPr>
      <w:r>
        <w:rPr>
          <w:rFonts w:ascii="TimesNewRomanPSMT" w:hAnsi="TimesNewRomanPSMT"/>
          <w:b/>
          <w:bCs/>
          <w:color w:val="000000"/>
        </w:rPr>
        <w:t>Telpu atzīšana par publiskām telpām</w:t>
      </w:r>
    </w:p>
    <w:p w14:paraId="5D0B46D9" w14:textId="77777777" w:rsidR="00122BD6" w:rsidRPr="00122BD6" w:rsidRDefault="00122BD6" w:rsidP="0052792A">
      <w:pPr>
        <w:autoSpaceDE w:val="0"/>
        <w:autoSpaceDN w:val="0"/>
        <w:spacing w:line="276" w:lineRule="auto"/>
        <w:jc w:val="both"/>
        <w:rPr>
          <w:rFonts w:ascii="TimesNewRomanPSMT" w:hAnsi="TimesNewRomanPSMT"/>
          <w:b/>
          <w:bCs/>
          <w:color w:val="FF0000"/>
          <w:lang w:eastAsia="en-US"/>
        </w:rPr>
      </w:pPr>
    </w:p>
    <w:p w14:paraId="3FEF2B16" w14:textId="7F118ECA" w:rsidR="00DB7901" w:rsidRDefault="00122BD6" w:rsidP="0052792A">
      <w:pPr>
        <w:spacing w:line="276" w:lineRule="auto"/>
        <w:jc w:val="center"/>
        <w:rPr>
          <w:b/>
        </w:rPr>
      </w:pPr>
      <w:r>
        <w:rPr>
          <w:b/>
        </w:rPr>
        <w:t>Latvijas Republikas Senāta</w:t>
      </w:r>
    </w:p>
    <w:p w14:paraId="02C94966" w14:textId="6463A515" w:rsidR="00122BD6" w:rsidRDefault="00122BD6" w:rsidP="0052792A">
      <w:pPr>
        <w:spacing w:line="276" w:lineRule="auto"/>
        <w:jc w:val="center"/>
        <w:rPr>
          <w:b/>
        </w:rPr>
      </w:pPr>
      <w:r>
        <w:rPr>
          <w:b/>
        </w:rPr>
        <w:t>Administratīvo lietu departamenta</w:t>
      </w:r>
    </w:p>
    <w:p w14:paraId="5DC10C1E" w14:textId="51FAB902" w:rsidR="00122BD6" w:rsidRPr="00A6094E" w:rsidRDefault="00122BD6" w:rsidP="0052792A">
      <w:pPr>
        <w:spacing w:line="276" w:lineRule="auto"/>
        <w:jc w:val="center"/>
        <w:rPr>
          <w:b/>
        </w:rPr>
      </w:pPr>
      <w:r>
        <w:rPr>
          <w:b/>
        </w:rPr>
        <w:t>2023.gada 18.oktobra</w:t>
      </w:r>
    </w:p>
    <w:p w14:paraId="536AF9A5" w14:textId="4B44D487" w:rsidR="00122BD6" w:rsidRPr="00122BD6" w:rsidRDefault="00DB7901" w:rsidP="0052792A">
      <w:pPr>
        <w:spacing w:line="276" w:lineRule="auto"/>
        <w:jc w:val="center"/>
        <w:rPr>
          <w:b/>
        </w:rPr>
      </w:pPr>
      <w:r w:rsidRPr="00A6094E">
        <w:rPr>
          <w:b/>
        </w:rPr>
        <w:t>SPRIEDUMS</w:t>
      </w:r>
      <w:r w:rsidR="00122BD6">
        <w:rPr>
          <w:b/>
        </w:rPr>
        <w:br/>
      </w:r>
      <w:r w:rsidR="00122BD6" w:rsidRPr="00A6094E">
        <w:rPr>
          <w:lang w:eastAsia="lv-LV"/>
        </w:rPr>
        <w:t>Lieta Nr. A420121220, SKA-296/2023</w:t>
      </w:r>
    </w:p>
    <w:p w14:paraId="14A9DC09" w14:textId="183F4CC6" w:rsidR="00122BD6" w:rsidRPr="00A6094E" w:rsidRDefault="00122BD6" w:rsidP="0052792A">
      <w:pPr>
        <w:spacing w:line="276" w:lineRule="auto"/>
        <w:jc w:val="center"/>
      </w:pPr>
      <w:hyperlink r:id="rId6" w:history="1">
        <w:r w:rsidRPr="00122BD6">
          <w:rPr>
            <w:rStyle w:val="Hyperlink"/>
            <w:rFonts w:ascii="TimesNewRomanPSMT" w:eastAsiaTheme="minorHAnsi" w:hAnsi="TimesNewRomanPSMT" w:cs="TimesNewRomanPSMT"/>
            <w:lang w:val="en-US" w:eastAsia="en-US"/>
          </w:rPr>
          <w:t>ECLI:LV:AT:2023:1018.A420121220.14</w:t>
        </w:r>
        <w:r w:rsidRPr="00122BD6">
          <w:rPr>
            <w:rStyle w:val="Hyperlink"/>
            <w:rFonts w:ascii="TimesNewRomanPSMT" w:eastAsiaTheme="minorHAnsi" w:hAnsi="TimesNewRomanPSMT" w:cs="TimesNewRomanPSMT"/>
            <w:lang w:val="en-US" w:eastAsia="en-US"/>
          </w:rPr>
          <w:t>.S</w:t>
        </w:r>
      </w:hyperlink>
      <w:bookmarkStart w:id="0" w:name="_GoBack"/>
      <w:bookmarkEnd w:id="0"/>
    </w:p>
    <w:p w14:paraId="68EAACEB" w14:textId="77777777" w:rsidR="00DB7901" w:rsidRPr="00A6094E" w:rsidRDefault="00DB7901" w:rsidP="0052792A">
      <w:pPr>
        <w:spacing w:line="276" w:lineRule="auto"/>
        <w:jc w:val="center"/>
      </w:pPr>
    </w:p>
    <w:p w14:paraId="0DF8A5DD" w14:textId="77777777" w:rsidR="00DB7901" w:rsidRPr="00A6094E" w:rsidRDefault="00DB7901" w:rsidP="0052792A">
      <w:pPr>
        <w:spacing w:line="276" w:lineRule="auto"/>
        <w:ind w:firstLine="720"/>
        <w:jc w:val="both"/>
      </w:pPr>
      <w:r w:rsidRPr="00A6094E">
        <w:t>Senāts šādā sastāvā: senatore referente Ieva Višķere, senatores Ilze Freimane un Rudīte Vīduša</w:t>
      </w:r>
    </w:p>
    <w:p w14:paraId="16FFD7BE" w14:textId="77777777" w:rsidR="00DB7901" w:rsidRPr="00A6094E" w:rsidRDefault="00DB7901" w:rsidP="0052792A">
      <w:pPr>
        <w:spacing w:line="276" w:lineRule="auto"/>
        <w:ind w:firstLine="720"/>
        <w:jc w:val="both"/>
      </w:pPr>
    </w:p>
    <w:p w14:paraId="7004604C" w14:textId="77777777" w:rsidR="00DB7901" w:rsidRPr="00A6094E" w:rsidRDefault="00DB7901" w:rsidP="0052792A">
      <w:pPr>
        <w:spacing w:line="276" w:lineRule="auto"/>
        <w:ind w:firstLine="720"/>
        <w:jc w:val="both"/>
        <w:rPr>
          <w:lang w:eastAsia="lv-LV"/>
        </w:rPr>
      </w:pPr>
      <w:r w:rsidRPr="00A6094E">
        <w:rPr>
          <w:lang w:eastAsia="lv-LV"/>
        </w:rPr>
        <w:t xml:space="preserve">rakstveida procesā izskatīja administratīvo lietu, kas ierosināta, pamatojoties uz </w:t>
      </w:r>
      <w:r w:rsidR="00B26E8E" w:rsidRPr="00A6094E">
        <w:rPr>
          <w:lang w:eastAsia="lv-LV"/>
        </w:rPr>
        <w:t xml:space="preserve">sabiedrības ar ierobežotu atbildību „VECAIS KUĢIS” </w:t>
      </w:r>
      <w:r w:rsidRPr="00A6094E">
        <w:rPr>
          <w:lang w:eastAsia="lv-LV"/>
        </w:rPr>
        <w:t xml:space="preserve">pieteikumu par </w:t>
      </w:r>
      <w:r w:rsidR="00240CCD" w:rsidRPr="00A6094E">
        <w:rPr>
          <w:lang w:eastAsia="lv-LV"/>
        </w:rPr>
        <w:t>Būvniecības valsts kontroles biroja 2019.gada 2.decembra lēmuma Nr. 1-8.1/2019/1843-nd atcelšanu</w:t>
      </w:r>
      <w:r w:rsidRPr="00A6094E">
        <w:rPr>
          <w:lang w:eastAsia="lv-LV"/>
        </w:rPr>
        <w:t xml:space="preserve">, sakarā ar </w:t>
      </w:r>
      <w:r w:rsidR="00240CCD" w:rsidRPr="00A6094E">
        <w:rPr>
          <w:lang w:eastAsia="lv-LV"/>
        </w:rPr>
        <w:t xml:space="preserve">sabiedrības ar ierobežotu atbildību „VECAIS KUĢIS” </w:t>
      </w:r>
      <w:r w:rsidRPr="00A6094E">
        <w:rPr>
          <w:lang w:eastAsia="lv-LV"/>
        </w:rPr>
        <w:t>kasācijas sūdzību par Administratīvās apgabaltiesas 202</w:t>
      </w:r>
      <w:r w:rsidR="00704487" w:rsidRPr="00A6094E">
        <w:rPr>
          <w:lang w:eastAsia="lv-LV"/>
        </w:rPr>
        <w:t>2.gada 31</w:t>
      </w:r>
      <w:r w:rsidRPr="00A6094E">
        <w:rPr>
          <w:lang w:eastAsia="lv-LV"/>
        </w:rPr>
        <w:t>.marta spriedumu.</w:t>
      </w:r>
    </w:p>
    <w:p w14:paraId="72EF405D" w14:textId="77777777" w:rsidR="00DB7901" w:rsidRPr="00A6094E" w:rsidRDefault="00DB7901" w:rsidP="0052792A">
      <w:pPr>
        <w:spacing w:line="276" w:lineRule="auto"/>
        <w:ind w:firstLine="720"/>
        <w:jc w:val="both"/>
        <w:rPr>
          <w:lang w:eastAsia="lv-LV"/>
        </w:rPr>
      </w:pPr>
    </w:p>
    <w:p w14:paraId="5F851A42" w14:textId="77777777" w:rsidR="00DB7901" w:rsidRPr="00A6094E" w:rsidRDefault="00DB7901" w:rsidP="0052792A">
      <w:pPr>
        <w:spacing w:line="276" w:lineRule="auto"/>
        <w:jc w:val="center"/>
        <w:rPr>
          <w:b/>
          <w:shd w:val="clear" w:color="auto" w:fill="FFFFFF"/>
        </w:rPr>
      </w:pPr>
      <w:r w:rsidRPr="00A6094E">
        <w:rPr>
          <w:b/>
          <w:shd w:val="clear" w:color="auto" w:fill="FFFFFF"/>
        </w:rPr>
        <w:t>Aprakstošā daļa</w:t>
      </w:r>
    </w:p>
    <w:p w14:paraId="104D342A" w14:textId="77777777" w:rsidR="00DB7901" w:rsidRPr="00A6094E" w:rsidRDefault="00DB7901" w:rsidP="0052792A">
      <w:pPr>
        <w:spacing w:line="276" w:lineRule="auto"/>
        <w:jc w:val="center"/>
        <w:rPr>
          <w:shd w:val="clear" w:color="auto" w:fill="FFFFFF"/>
        </w:rPr>
      </w:pPr>
    </w:p>
    <w:p w14:paraId="5C9F62A1" w14:textId="672504EB" w:rsidR="00C3517D" w:rsidRPr="00A6094E" w:rsidRDefault="00DB7901" w:rsidP="0052792A">
      <w:pPr>
        <w:pStyle w:val="NormalWeb"/>
        <w:shd w:val="clear" w:color="auto" w:fill="FFFFFF"/>
        <w:spacing w:before="0" w:beforeAutospacing="0" w:after="0" w:afterAutospacing="0" w:line="276" w:lineRule="auto"/>
        <w:ind w:firstLine="720"/>
        <w:jc w:val="both"/>
        <w:rPr>
          <w:shd w:val="clear" w:color="auto" w:fill="FFFFFF"/>
        </w:rPr>
      </w:pPr>
      <w:r w:rsidRPr="00A6094E">
        <w:rPr>
          <w:shd w:val="clear" w:color="auto" w:fill="FFFFFF"/>
        </w:rPr>
        <w:t xml:space="preserve">[1] </w:t>
      </w:r>
      <w:r w:rsidR="00966C47" w:rsidRPr="00A6094E">
        <w:rPr>
          <w:shd w:val="clear" w:color="auto" w:fill="FFFFFF"/>
        </w:rPr>
        <w:t xml:space="preserve">Būvniecības valsts kontroles birojs veica pieteicējai </w:t>
      </w:r>
      <w:r w:rsidR="00966C47" w:rsidRPr="00A6094E">
        <w:t>sabiedrībai ar ierobežotu atbildību „VECAIS KUĢIS” piederošās ēkas</w:t>
      </w:r>
      <w:r w:rsidR="0052792A">
        <w:rPr>
          <w:shd w:val="clear" w:color="auto" w:fill="FFFFFF"/>
        </w:rPr>
        <w:t xml:space="preserve"> [adrese]</w:t>
      </w:r>
      <w:r w:rsidR="000C571F" w:rsidRPr="00A6094E">
        <w:rPr>
          <w:shd w:val="clear" w:color="auto" w:fill="FFFFFF"/>
        </w:rPr>
        <w:t>,</w:t>
      </w:r>
      <w:r w:rsidR="00966C47" w:rsidRPr="00A6094E">
        <w:rPr>
          <w:shd w:val="clear" w:color="auto" w:fill="FFFFFF"/>
        </w:rPr>
        <w:t xml:space="preserve"> ekspluatācijas pārbaudi</w:t>
      </w:r>
      <w:r w:rsidR="007211CC" w:rsidRPr="00A6094E">
        <w:rPr>
          <w:shd w:val="clear" w:color="auto" w:fill="FFFFFF"/>
        </w:rPr>
        <w:t xml:space="preserve"> un konstatēja vairākus būvdarbus, </w:t>
      </w:r>
      <w:r w:rsidR="007211CC" w:rsidRPr="00A6094E">
        <w:t>kuriem nav izstrādāta būvniecības</w:t>
      </w:r>
      <w:r w:rsidR="007211CC" w:rsidRPr="00A6094E">
        <w:rPr>
          <w:shd w:val="clear" w:color="auto" w:fill="FFFFFF"/>
        </w:rPr>
        <w:t xml:space="preserve"> </w:t>
      </w:r>
      <w:r w:rsidR="007211CC" w:rsidRPr="00A6094E">
        <w:t>dokumentācija.</w:t>
      </w:r>
      <w:r w:rsidR="00AD0F0C" w:rsidRPr="00A6094E">
        <w:t xml:space="preserve"> </w:t>
      </w:r>
      <w:r w:rsidR="000A459D" w:rsidRPr="00A6094E">
        <w:rPr>
          <w:shd w:val="clear" w:color="auto" w:fill="FFFFFF"/>
        </w:rPr>
        <w:t>Ar biroja</w:t>
      </w:r>
      <w:r w:rsidR="0040054A" w:rsidRPr="00A6094E">
        <w:rPr>
          <w:shd w:val="clear" w:color="auto" w:fill="FFFFFF"/>
        </w:rPr>
        <w:t xml:space="preserve"> </w:t>
      </w:r>
      <w:r w:rsidR="000A459D" w:rsidRPr="00A6094E">
        <w:t>2019.gada 2.decembra lēmumu Nr. 1-8.1/2019/1843-nd</w:t>
      </w:r>
      <w:r w:rsidR="00EE6444" w:rsidRPr="00A6094E">
        <w:t xml:space="preserve"> </w:t>
      </w:r>
      <w:r w:rsidR="000C571F" w:rsidRPr="00A6094E">
        <w:t xml:space="preserve">pieteicējai </w:t>
      </w:r>
      <w:r w:rsidR="00AD0F0C" w:rsidRPr="00A6094E">
        <w:t xml:space="preserve">tika noteikts pienākums </w:t>
      </w:r>
      <w:r w:rsidR="00966C47" w:rsidRPr="00A6094E">
        <w:rPr>
          <w:shd w:val="clear" w:color="auto" w:fill="FFFFFF"/>
        </w:rPr>
        <w:t xml:space="preserve">saskaņot Rīgas pilsētas būvvaldē </w:t>
      </w:r>
      <w:r w:rsidR="00BB426A" w:rsidRPr="00A6094E">
        <w:rPr>
          <w:shd w:val="clear" w:color="auto" w:fill="FFFFFF"/>
        </w:rPr>
        <w:t xml:space="preserve">nepieciešamo </w:t>
      </w:r>
      <w:r w:rsidR="00966C47" w:rsidRPr="00A6094E">
        <w:rPr>
          <w:shd w:val="clear" w:color="auto" w:fill="FFFFFF"/>
        </w:rPr>
        <w:t>būvniecības dokumentāciju un veiktos</w:t>
      </w:r>
      <w:r w:rsidR="000C571F" w:rsidRPr="00A6094E">
        <w:rPr>
          <w:shd w:val="clear" w:color="auto" w:fill="FFFFFF"/>
        </w:rPr>
        <w:t xml:space="preserve"> </w:t>
      </w:r>
      <w:r w:rsidR="00966C47" w:rsidRPr="00A6094E">
        <w:rPr>
          <w:shd w:val="clear" w:color="auto" w:fill="FFFFFF"/>
        </w:rPr>
        <w:t xml:space="preserve">pārbūves darbus nodot ekspluatācijā </w:t>
      </w:r>
      <w:r w:rsidR="0054676C" w:rsidRPr="00A6094E">
        <w:rPr>
          <w:shd w:val="clear" w:color="auto" w:fill="FFFFFF"/>
        </w:rPr>
        <w:t>Būvniecības valsts kontroles birojam</w:t>
      </w:r>
      <w:r w:rsidR="000C571F" w:rsidRPr="00A6094E">
        <w:rPr>
          <w:shd w:val="clear" w:color="auto" w:fill="FFFFFF"/>
        </w:rPr>
        <w:t>.</w:t>
      </w:r>
    </w:p>
    <w:p w14:paraId="69979E84" w14:textId="2E49A4BC" w:rsidR="00C3517D" w:rsidRPr="00A6094E" w:rsidRDefault="00EE6444" w:rsidP="0052792A">
      <w:pPr>
        <w:pStyle w:val="NormalWeb"/>
        <w:shd w:val="clear" w:color="auto" w:fill="FFFFFF"/>
        <w:spacing w:before="0" w:beforeAutospacing="0" w:after="0" w:afterAutospacing="0" w:line="276" w:lineRule="auto"/>
        <w:ind w:firstLine="720"/>
        <w:jc w:val="both"/>
        <w:rPr>
          <w:shd w:val="clear" w:color="auto" w:fill="FFFFFF"/>
        </w:rPr>
      </w:pPr>
      <w:r w:rsidRPr="00A6094E">
        <w:rPr>
          <w:shd w:val="clear" w:color="auto" w:fill="FFFFFF"/>
        </w:rPr>
        <w:t xml:space="preserve">Uzskatot, ka strīdus ēkas ekspluatācijas uzraudzība nav </w:t>
      </w:r>
      <w:r w:rsidR="00AD0F0C" w:rsidRPr="00A6094E">
        <w:rPr>
          <w:shd w:val="clear" w:color="auto" w:fill="FFFFFF"/>
        </w:rPr>
        <w:t>Būvniecības valsts kontroles biroja</w:t>
      </w:r>
      <w:r w:rsidR="00AD0F0C" w:rsidRPr="00A6094E" w:rsidDel="00AD0F0C">
        <w:rPr>
          <w:shd w:val="clear" w:color="auto" w:fill="FFFFFF"/>
        </w:rPr>
        <w:t xml:space="preserve"> </w:t>
      </w:r>
      <w:r w:rsidRPr="00A6094E">
        <w:rPr>
          <w:shd w:val="clear" w:color="auto" w:fill="FFFFFF"/>
        </w:rPr>
        <w:t xml:space="preserve">kompetencē, pieteicēja vērsās tiesā ar pieteikumu par </w:t>
      </w:r>
      <w:r w:rsidR="00DE3A0A" w:rsidRPr="00A6094E">
        <w:rPr>
          <w:shd w:val="clear" w:color="auto" w:fill="FFFFFF"/>
        </w:rPr>
        <w:t xml:space="preserve">minētā </w:t>
      </w:r>
      <w:r w:rsidRPr="00A6094E">
        <w:rPr>
          <w:shd w:val="clear" w:color="auto" w:fill="FFFFFF"/>
        </w:rPr>
        <w:t>lēmuma atcelšanu.</w:t>
      </w:r>
    </w:p>
    <w:p w14:paraId="78A91A99" w14:textId="77777777" w:rsidR="00DB7901" w:rsidRPr="00A6094E" w:rsidRDefault="00DB7901" w:rsidP="0052792A">
      <w:pPr>
        <w:pStyle w:val="NormalWeb"/>
        <w:shd w:val="clear" w:color="auto" w:fill="FFFFFF"/>
        <w:spacing w:before="0" w:beforeAutospacing="0" w:after="0" w:afterAutospacing="0" w:line="276" w:lineRule="auto"/>
        <w:ind w:firstLine="720"/>
        <w:jc w:val="both"/>
        <w:rPr>
          <w:shd w:val="clear" w:color="auto" w:fill="FFFFFF"/>
        </w:rPr>
      </w:pPr>
    </w:p>
    <w:p w14:paraId="0A6E47F6" w14:textId="5A418D3F" w:rsidR="005F5B58" w:rsidRPr="00A6094E" w:rsidRDefault="00DB7901" w:rsidP="0052792A">
      <w:pPr>
        <w:autoSpaceDE w:val="0"/>
        <w:autoSpaceDN w:val="0"/>
        <w:adjustRightInd w:val="0"/>
        <w:spacing w:line="276" w:lineRule="auto"/>
        <w:ind w:firstLine="720"/>
        <w:jc w:val="both"/>
      </w:pPr>
      <w:r w:rsidRPr="00A6094E">
        <w:t xml:space="preserve">[2] Ar Administratīvās apgabaltiesas </w:t>
      </w:r>
      <w:r w:rsidR="008A7275" w:rsidRPr="00A6094E">
        <w:rPr>
          <w:lang w:eastAsia="lv-LV"/>
        </w:rPr>
        <w:t xml:space="preserve">2022.gada 31.marta </w:t>
      </w:r>
      <w:r w:rsidRPr="00A6094E">
        <w:t xml:space="preserve">spriedumu, citstarp pievienojoties rajona tiesas sprieduma </w:t>
      </w:r>
      <w:r w:rsidR="005F5B58" w:rsidRPr="00A6094E">
        <w:t>mot</w:t>
      </w:r>
      <w:r w:rsidR="005924B9" w:rsidRPr="00A6094E">
        <w:t>ivācijai</w:t>
      </w:r>
      <w:r w:rsidR="005F5B58" w:rsidRPr="00A6094E">
        <w:t>, pieteikums noraidīts.</w:t>
      </w:r>
    </w:p>
    <w:p w14:paraId="43CB5CE4" w14:textId="77777777" w:rsidR="00DB7901" w:rsidRPr="00A6094E" w:rsidRDefault="00DB7901" w:rsidP="0052792A">
      <w:pPr>
        <w:autoSpaceDE w:val="0"/>
        <w:autoSpaceDN w:val="0"/>
        <w:adjustRightInd w:val="0"/>
        <w:spacing w:line="276" w:lineRule="auto"/>
        <w:ind w:firstLine="720"/>
        <w:jc w:val="both"/>
      </w:pPr>
      <w:r w:rsidRPr="00A6094E">
        <w:t xml:space="preserve">Spriedums pamatots ar turpmāk minētajiem argumentiem. </w:t>
      </w:r>
    </w:p>
    <w:p w14:paraId="794FEBEF" w14:textId="2D59E3EA" w:rsidR="00695913" w:rsidRPr="00A6094E" w:rsidRDefault="00F60AAB" w:rsidP="0052792A">
      <w:pPr>
        <w:autoSpaceDE w:val="0"/>
        <w:autoSpaceDN w:val="0"/>
        <w:adjustRightInd w:val="0"/>
        <w:spacing w:line="276" w:lineRule="auto"/>
        <w:ind w:firstLine="720"/>
        <w:jc w:val="both"/>
      </w:pPr>
      <w:r w:rsidRPr="00A6094E">
        <w:t>[</w:t>
      </w:r>
      <w:r w:rsidR="003B4E08" w:rsidRPr="00A6094E">
        <w:t>2.</w:t>
      </w:r>
      <w:r w:rsidR="005924B9" w:rsidRPr="00A6094E">
        <w:t>1</w:t>
      </w:r>
      <w:r w:rsidRPr="00A6094E">
        <w:t>]</w:t>
      </w:r>
      <w:r w:rsidR="00ED61BE" w:rsidRPr="00A6094E">
        <w:t xml:space="preserve"> </w:t>
      </w:r>
      <w:r w:rsidR="00551A9C" w:rsidRPr="00A6094E">
        <w:t xml:space="preserve">Atbilstoši </w:t>
      </w:r>
      <w:r w:rsidR="00CB742E" w:rsidRPr="00A6094E">
        <w:t>Būvniecības likuma 6.</w:t>
      </w:r>
      <w:r w:rsidR="00CB742E" w:rsidRPr="00A6094E">
        <w:rPr>
          <w:vertAlign w:val="superscript"/>
        </w:rPr>
        <w:t>1</w:t>
      </w:r>
      <w:r w:rsidR="00CB742E" w:rsidRPr="00A6094E">
        <w:t>panta pirmās daļas 1.p</w:t>
      </w:r>
      <w:r w:rsidR="0015474A" w:rsidRPr="00A6094E">
        <w:t>unkta „a” apakšpunkt</w:t>
      </w:r>
      <w:r w:rsidR="00551A9C" w:rsidRPr="00A6094E">
        <w:t>am un 2.punktam, kā arī šā panta otrajai daļai</w:t>
      </w:r>
      <w:r w:rsidR="00626E73" w:rsidRPr="00A6094E">
        <w:t xml:space="preserve"> </w:t>
      </w:r>
      <w:r w:rsidR="00AD0F0C" w:rsidRPr="00A6094E">
        <w:rPr>
          <w:shd w:val="clear" w:color="auto" w:fill="FFFFFF"/>
        </w:rPr>
        <w:t>Būvniecības valsts kontroles biroja</w:t>
      </w:r>
      <w:r w:rsidR="00626E73" w:rsidRPr="00A6094E">
        <w:t xml:space="preserve"> kompetencē ir veikt arī jau iepriekš uzbūvētu publi</w:t>
      </w:r>
      <w:r w:rsidR="00CC77F4">
        <w:t>s</w:t>
      </w:r>
      <w:r w:rsidR="00626E73" w:rsidRPr="00A6094E">
        <w:t>ku ēku, kurās paredzēts vienlaikus uzturēties vairāk nekā 100 cilvēkiem, pārbūves un eks</w:t>
      </w:r>
      <w:r w:rsidR="00695913" w:rsidRPr="00A6094E">
        <w:t>pluatācijas kontroli.</w:t>
      </w:r>
    </w:p>
    <w:p w14:paraId="41449F5B" w14:textId="6C3A5103" w:rsidR="00E27743" w:rsidRPr="00A6094E" w:rsidRDefault="005924B9" w:rsidP="0052792A">
      <w:pPr>
        <w:autoSpaceDE w:val="0"/>
        <w:autoSpaceDN w:val="0"/>
        <w:adjustRightInd w:val="0"/>
        <w:spacing w:line="276" w:lineRule="auto"/>
        <w:ind w:firstLine="720"/>
        <w:jc w:val="both"/>
      </w:pPr>
      <w:r w:rsidRPr="00A6094E">
        <w:t xml:space="preserve">[2.2] </w:t>
      </w:r>
      <w:r w:rsidR="00551A9C" w:rsidRPr="00A6094E">
        <w:t xml:space="preserve">Atbilstoši Ministru kabineta 2015.gada 30.jūnija noteikumu Nr. 331 „Noteikumi par Latvijas būvnormatīvu LBN 208-15 „Publiskas būves”” (turpmāk – Publisku būvju būvnormatīvs) 2.4. un 2.5. apakšpunktam </w:t>
      </w:r>
      <w:r w:rsidR="00E27743" w:rsidRPr="00A6094E">
        <w:t xml:space="preserve">publiska ēka (telpa) ir tāda, kas ir pieejama konkrēti nenodefinētai sabiedrības daļai. </w:t>
      </w:r>
    </w:p>
    <w:p w14:paraId="093BBC99" w14:textId="67CC99EC" w:rsidR="0009373D" w:rsidRPr="00A6094E" w:rsidRDefault="00304EFF" w:rsidP="0052792A">
      <w:pPr>
        <w:autoSpaceDE w:val="0"/>
        <w:autoSpaceDN w:val="0"/>
        <w:adjustRightInd w:val="0"/>
        <w:spacing w:line="276" w:lineRule="auto"/>
        <w:ind w:firstLine="720"/>
        <w:jc w:val="both"/>
      </w:pPr>
      <w:r w:rsidRPr="00A6094E">
        <w:t>Strīdus ēkas platība ir sagrupēta telpu grupās, no kurām absolūti lielākā daļa ir biroju un tirdzniecības telpas.</w:t>
      </w:r>
      <w:r w:rsidR="005924B9" w:rsidRPr="00A6094E">
        <w:t xml:space="preserve"> </w:t>
      </w:r>
      <w:r w:rsidR="003B4E08" w:rsidRPr="00A6094E">
        <w:t>Ministru kabineta 2018.gada 12.jūnija noteikum</w:t>
      </w:r>
      <w:r w:rsidR="00F50D8B" w:rsidRPr="00A6094E">
        <w:t>u</w:t>
      </w:r>
      <w:r w:rsidR="003B4E08" w:rsidRPr="00A6094E">
        <w:t xml:space="preserve"> Nr. 326 „Būvju klasifikācijas noteikumi”</w:t>
      </w:r>
      <w:r w:rsidR="00F50D8B" w:rsidRPr="00A6094E">
        <w:t xml:space="preserve"> (turpmāk – Būvju klasifikācijas noteikumi)</w:t>
      </w:r>
      <w:r w:rsidR="00802511" w:rsidRPr="00A6094E">
        <w:t xml:space="preserve"> </w:t>
      </w:r>
      <w:r w:rsidR="00245D1F" w:rsidRPr="00A6094E">
        <w:t>pie</w:t>
      </w:r>
      <w:r w:rsidR="00802511" w:rsidRPr="00A6094E">
        <w:t>likuma 36.p</w:t>
      </w:r>
      <w:r w:rsidR="00245D1F" w:rsidRPr="00A6094E">
        <w:t>unktā sniegtais biroja telpu apraksts</w:t>
      </w:r>
      <w:r w:rsidR="005D62C0" w:rsidRPr="00A6094E">
        <w:t>,</w:t>
      </w:r>
      <w:r w:rsidR="005A6577" w:rsidRPr="00A6094E">
        <w:t xml:space="preserve"> kā arī </w:t>
      </w:r>
      <w:r w:rsidR="00802511" w:rsidRPr="00A6094E">
        <w:t>40.p</w:t>
      </w:r>
      <w:r w:rsidR="00245D1F" w:rsidRPr="00A6094E">
        <w:t>unktā sniegtais tirdzniecības telpu apraksts</w:t>
      </w:r>
      <w:r w:rsidR="005A6577" w:rsidRPr="00A6094E">
        <w:t xml:space="preserve"> </w:t>
      </w:r>
      <w:r w:rsidR="0009373D" w:rsidRPr="00A6094E">
        <w:t>ļauj secināt, ka tā</w:t>
      </w:r>
      <w:r w:rsidR="00E27743" w:rsidRPr="00A6094E">
        <w:t>s</w:t>
      </w:r>
      <w:r w:rsidR="0009373D" w:rsidRPr="00A6094E">
        <w:t xml:space="preserve"> ir sabiedrībai p</w:t>
      </w:r>
      <w:r w:rsidR="005A6577" w:rsidRPr="00A6094E">
        <w:t>ieejama</w:t>
      </w:r>
      <w:r w:rsidR="00E27743" w:rsidRPr="00A6094E">
        <w:t>s</w:t>
      </w:r>
      <w:r w:rsidR="005A6577" w:rsidRPr="00A6094E">
        <w:t xml:space="preserve"> nedzīvojamā</w:t>
      </w:r>
      <w:r w:rsidR="00E27743" w:rsidRPr="00A6094E">
        <w:t>s</w:t>
      </w:r>
      <w:r w:rsidR="005A6577" w:rsidRPr="00A6094E">
        <w:t xml:space="preserve"> telpa</w:t>
      </w:r>
      <w:r w:rsidR="00E27743" w:rsidRPr="00A6094E">
        <w:t>s</w:t>
      </w:r>
      <w:r w:rsidR="005A6577" w:rsidRPr="00A6094E">
        <w:t>, kurā</w:t>
      </w:r>
      <w:r w:rsidR="005E776E">
        <w:t>s</w:t>
      </w:r>
      <w:r w:rsidR="005A6577" w:rsidRPr="00A6094E">
        <w:t xml:space="preserve"> </w:t>
      </w:r>
      <w:r w:rsidR="0009373D" w:rsidRPr="00A6094E">
        <w:lastRenderedPageBreak/>
        <w:t xml:space="preserve">apmeklētāji var īslaicīgi uzturēties </w:t>
      </w:r>
      <w:r w:rsidR="005A6577" w:rsidRPr="00A6094E">
        <w:t>un saņemt dažādus pakalpojumus.</w:t>
      </w:r>
      <w:r w:rsidR="00AD0F0C" w:rsidRPr="00A6094E">
        <w:t xml:space="preserve"> </w:t>
      </w:r>
      <w:r w:rsidR="0009373D" w:rsidRPr="00A6094E">
        <w:t xml:space="preserve">Nav noliedzams, ka biroja telpas var tikt izmantotas arī </w:t>
      </w:r>
      <w:r w:rsidR="00AD0F0C" w:rsidRPr="00A6094E">
        <w:t xml:space="preserve">tikai </w:t>
      </w:r>
      <w:r w:rsidR="0009373D" w:rsidRPr="00A6094E">
        <w:t>darba pienākumu</w:t>
      </w:r>
      <w:r w:rsidR="005A6577" w:rsidRPr="00A6094E">
        <w:t xml:space="preserve"> </w:t>
      </w:r>
      <w:r w:rsidR="0009373D" w:rsidRPr="00A6094E">
        <w:t>veikšanai</w:t>
      </w:r>
      <w:r w:rsidR="005A6577" w:rsidRPr="00A6094E">
        <w:t xml:space="preserve">. Tomēr strīda izšķiršanā būtiski ir ņemt vērā to, </w:t>
      </w:r>
      <w:r w:rsidR="00DE5B99" w:rsidRPr="00A6094E">
        <w:t>kāds ir</w:t>
      </w:r>
      <w:r w:rsidR="005A6577" w:rsidRPr="00A6094E">
        <w:t xml:space="preserve"> būves un telpu grup</w:t>
      </w:r>
      <w:r w:rsidR="008C3429">
        <w:t>u</w:t>
      </w:r>
      <w:r w:rsidR="005A6577" w:rsidRPr="00A6094E">
        <w:t xml:space="preserve"> paredzētais (iespējamais/pieļaujamais) izmantošanas veids.</w:t>
      </w:r>
      <w:r w:rsidR="00923987" w:rsidRPr="00A6094E">
        <w:t xml:space="preserve"> </w:t>
      </w:r>
    </w:p>
    <w:p w14:paraId="3E4584B7" w14:textId="44520DCB" w:rsidR="00AD0F0C" w:rsidRPr="00A6094E" w:rsidRDefault="00AD0F0C" w:rsidP="0052792A">
      <w:pPr>
        <w:autoSpaceDE w:val="0"/>
        <w:autoSpaceDN w:val="0"/>
        <w:adjustRightInd w:val="0"/>
        <w:spacing w:line="276" w:lineRule="auto"/>
        <w:ind w:firstLine="720"/>
        <w:jc w:val="both"/>
      </w:pPr>
      <w:r w:rsidRPr="00A6094E">
        <w:t>Ievērojot minēto</w:t>
      </w:r>
      <w:r w:rsidR="0054676C" w:rsidRPr="00A6094E">
        <w:t>,</w:t>
      </w:r>
      <w:r w:rsidRPr="00A6094E">
        <w:t xml:space="preserve"> </w:t>
      </w:r>
      <w:r w:rsidRPr="00A6094E">
        <w:rPr>
          <w:shd w:val="clear" w:color="auto" w:fill="FFFFFF"/>
        </w:rPr>
        <w:t>Būvniecības valsts kontroles birojs</w:t>
      </w:r>
      <w:r w:rsidRPr="00A6094E">
        <w:t>, veicot strīdus ēkas apsekošanu un konstatējot patvaļīgi veiktus būvdarbus, ir rīkojies savas kompetences ietvaros, jo strīdus ēka ir III grupas ēka, kurā vairāk nekā 50 procenti no kopējās platības ir publiskas telpas, un tajā paredzēts vienlaikus uzturēties vairāk nekā 100 cilvēkiem.</w:t>
      </w:r>
    </w:p>
    <w:p w14:paraId="60A172B6" w14:textId="756E7F95" w:rsidR="0009373D" w:rsidRPr="00A6094E" w:rsidRDefault="00AD0F0C" w:rsidP="0052792A">
      <w:pPr>
        <w:autoSpaceDE w:val="0"/>
        <w:autoSpaceDN w:val="0"/>
        <w:adjustRightInd w:val="0"/>
        <w:spacing w:line="276" w:lineRule="auto"/>
        <w:ind w:firstLine="720"/>
        <w:jc w:val="both"/>
      </w:pPr>
      <w:r w:rsidRPr="00A6094E">
        <w:t xml:space="preserve">[2.3] </w:t>
      </w:r>
      <w:r w:rsidR="005924B9" w:rsidRPr="00A6094E">
        <w:t xml:space="preserve">Arī </w:t>
      </w:r>
      <w:r w:rsidR="009B3F4C" w:rsidRPr="00A6094E">
        <w:t xml:space="preserve">saskaņā ar </w:t>
      </w:r>
      <w:r w:rsidR="005924B9" w:rsidRPr="00A6094E">
        <w:t>š</w:t>
      </w:r>
      <w:r w:rsidR="00946460" w:rsidRPr="00A6094E">
        <w:t xml:space="preserve">obrīd spēkā </w:t>
      </w:r>
      <w:r w:rsidR="00462C1B" w:rsidRPr="00A6094E">
        <w:t>esoš</w:t>
      </w:r>
      <w:r w:rsidR="009B3F4C" w:rsidRPr="00A6094E">
        <w:t>o</w:t>
      </w:r>
      <w:r w:rsidR="005924B9" w:rsidRPr="00A6094E">
        <w:t xml:space="preserve"> regulējum</w:t>
      </w:r>
      <w:r w:rsidR="009B3F4C" w:rsidRPr="00A6094E">
        <w:t>u</w:t>
      </w:r>
      <w:r w:rsidR="005924B9" w:rsidRPr="00A6094E">
        <w:t xml:space="preserve"> – </w:t>
      </w:r>
      <w:r w:rsidR="00946460" w:rsidRPr="00A6094E">
        <w:t xml:space="preserve">Ministru kabineta </w:t>
      </w:r>
      <w:r w:rsidR="00802511" w:rsidRPr="00A6094E">
        <w:t>2021.gada 19.</w:t>
      </w:r>
      <w:r w:rsidR="00946460" w:rsidRPr="00A6094E">
        <w:t>ok</w:t>
      </w:r>
      <w:r w:rsidR="00462C1B" w:rsidRPr="00A6094E">
        <w:t>tobra noteikum</w:t>
      </w:r>
      <w:r w:rsidR="005924B9" w:rsidRPr="00A6094E">
        <w:t>i</w:t>
      </w:r>
      <w:r w:rsidR="009B3F4C" w:rsidRPr="00A6094E">
        <w:t>em</w:t>
      </w:r>
      <w:r w:rsidR="00946460" w:rsidRPr="00A6094E">
        <w:t xml:space="preserve"> </w:t>
      </w:r>
      <w:r w:rsidR="00802511" w:rsidRPr="00A6094E">
        <w:t>Nr. </w:t>
      </w:r>
      <w:r w:rsidR="00946460" w:rsidRPr="00A6094E">
        <w:t xml:space="preserve">693 „Būvju vispārīgo prasību būvnormatīvs LBN 200-21” (turpmāk – </w:t>
      </w:r>
      <w:r w:rsidR="00BE3587" w:rsidRPr="00A6094E">
        <w:t>Būvju vispārīgo prasību b</w:t>
      </w:r>
      <w:r w:rsidR="00802511" w:rsidRPr="00A6094E">
        <w:t>ūvnormatīvs</w:t>
      </w:r>
      <w:r w:rsidR="00946460" w:rsidRPr="00A6094E">
        <w:t xml:space="preserve">) </w:t>
      </w:r>
      <w:r w:rsidR="005924B9" w:rsidRPr="00A6094E">
        <w:t xml:space="preserve">– </w:t>
      </w:r>
      <w:r w:rsidR="009B3F4C" w:rsidRPr="00A6094E">
        <w:t>strīdus ēka būtu uzskatāma par publisku ēku</w:t>
      </w:r>
      <w:r w:rsidR="00462C1B" w:rsidRPr="00A6094E">
        <w:t>.</w:t>
      </w:r>
    </w:p>
    <w:p w14:paraId="2CBA9EDD" w14:textId="77777777" w:rsidR="00DA7B17" w:rsidRPr="00A6094E" w:rsidRDefault="00DA7B17" w:rsidP="0052792A">
      <w:pPr>
        <w:pStyle w:val="NormalWeb"/>
        <w:shd w:val="clear" w:color="auto" w:fill="FFFFFF"/>
        <w:spacing w:before="0" w:beforeAutospacing="0" w:after="0" w:afterAutospacing="0" w:line="276" w:lineRule="auto"/>
        <w:ind w:firstLine="720"/>
        <w:jc w:val="both"/>
      </w:pPr>
    </w:p>
    <w:p w14:paraId="0E6D4999" w14:textId="77777777" w:rsidR="00DB7901" w:rsidRPr="00A6094E" w:rsidRDefault="008A7275" w:rsidP="0052792A">
      <w:pPr>
        <w:pStyle w:val="NormalWeb"/>
        <w:shd w:val="clear" w:color="auto" w:fill="FFFFFF"/>
        <w:spacing w:before="0" w:beforeAutospacing="0" w:after="0" w:afterAutospacing="0" w:line="276" w:lineRule="auto"/>
        <w:ind w:firstLine="720"/>
        <w:jc w:val="both"/>
      </w:pPr>
      <w:r w:rsidRPr="00A6094E">
        <w:t>[3] Pieteicēja</w:t>
      </w:r>
      <w:r w:rsidR="00DB7901" w:rsidRPr="00A6094E">
        <w:t xml:space="preserve"> par apgabaltiesas spriedumu iesniedza kasācijas sūdzību. Tā pamatota ar turpmāk izklāstītajiem argumentiem.</w:t>
      </w:r>
    </w:p>
    <w:p w14:paraId="6812F9AB" w14:textId="5DC35010" w:rsidR="006B2CC6" w:rsidRPr="00A6094E" w:rsidRDefault="00DB7901" w:rsidP="0052792A">
      <w:pPr>
        <w:pStyle w:val="NormalWeb"/>
        <w:shd w:val="clear" w:color="auto" w:fill="FFFFFF"/>
        <w:spacing w:before="0" w:beforeAutospacing="0" w:after="0" w:afterAutospacing="0" w:line="276" w:lineRule="auto"/>
        <w:ind w:firstLine="720"/>
        <w:jc w:val="both"/>
      </w:pPr>
      <w:r w:rsidRPr="00A6094E">
        <w:t xml:space="preserve">[3.1] </w:t>
      </w:r>
      <w:r w:rsidR="006B2CC6" w:rsidRPr="00A6094E">
        <w:t xml:space="preserve">Apgabaltiesa kļūdaini secinājusi, ka </w:t>
      </w:r>
      <w:r w:rsidR="00DE5B99" w:rsidRPr="00A6094E">
        <w:t xml:space="preserve">pārsūdzētā lēmuma pieņemšanas laikā </w:t>
      </w:r>
      <w:r w:rsidR="006B2CC6" w:rsidRPr="00A6094E">
        <w:t xml:space="preserve">lielākā daļa strīdus ēkas telpu </w:t>
      </w:r>
      <w:r w:rsidR="00DE5B99" w:rsidRPr="00A6094E">
        <w:t>bija</w:t>
      </w:r>
      <w:r w:rsidR="006B2CC6" w:rsidRPr="00A6094E">
        <w:t xml:space="preserve"> uzskatāmas par publiskā</w:t>
      </w:r>
      <w:r w:rsidR="00083F18" w:rsidRPr="00A6094E">
        <w:t>m</w:t>
      </w:r>
      <w:r w:rsidR="006B2CC6" w:rsidRPr="00A6094E">
        <w:t xml:space="preserve"> telpām.</w:t>
      </w:r>
    </w:p>
    <w:p w14:paraId="6DB91256" w14:textId="48BD9958" w:rsidR="006B2CC6" w:rsidRPr="00A6094E" w:rsidRDefault="006B2CC6" w:rsidP="0052792A">
      <w:pPr>
        <w:pStyle w:val="NormalWeb"/>
        <w:shd w:val="clear" w:color="auto" w:fill="FFFFFF"/>
        <w:spacing w:before="0" w:beforeAutospacing="0" w:after="0" w:afterAutospacing="0" w:line="276" w:lineRule="auto"/>
        <w:ind w:firstLine="720"/>
        <w:jc w:val="both"/>
      </w:pPr>
      <w:r w:rsidRPr="00A6094E">
        <w:t xml:space="preserve">Skaidrojot, vai strīdus ēka </w:t>
      </w:r>
      <w:r w:rsidR="00DE5B99" w:rsidRPr="00A6094E">
        <w:t>bija</w:t>
      </w:r>
      <w:r w:rsidRPr="00A6094E">
        <w:t xml:space="preserve"> uzskatāma par publisku ēku, apgabaltiesa ēkas telpas </w:t>
      </w:r>
      <w:r w:rsidR="00DE5B99" w:rsidRPr="00A6094E">
        <w:t xml:space="preserve">kļūdaini </w:t>
      </w:r>
      <w:r w:rsidRPr="00A6094E">
        <w:t xml:space="preserve">vērtēja, ņemot vērā </w:t>
      </w:r>
      <w:r w:rsidR="000B79C8" w:rsidRPr="00A6094E">
        <w:t>Būvju klasifikācijas noteikum</w:t>
      </w:r>
      <w:r w:rsidRPr="00A6094E">
        <w:t>us</w:t>
      </w:r>
      <w:r w:rsidR="000B79C8" w:rsidRPr="00A6094E">
        <w:t>.</w:t>
      </w:r>
      <w:r w:rsidRPr="00A6094E">
        <w:t xml:space="preserve"> Ekonomikas ministrija norādījusi, ka Būvju klasifikācijas noteikumos ēkas iedal</w:t>
      </w:r>
      <w:r w:rsidR="004177C2" w:rsidRPr="00A6094E">
        <w:t>ītas</w:t>
      </w:r>
      <w:r w:rsidRPr="00A6094E">
        <w:t xml:space="preserve"> pēc lietošanas veida dzīvojamās vai nedzīvojam</w:t>
      </w:r>
      <w:r w:rsidR="00083F18" w:rsidRPr="00A6094E">
        <w:t>ā</w:t>
      </w:r>
      <w:r w:rsidRPr="00A6094E">
        <w:t xml:space="preserve">s, bet </w:t>
      </w:r>
      <w:r w:rsidR="004177C2" w:rsidRPr="00A6094E">
        <w:t>tajos nav noteikts</w:t>
      </w:r>
      <w:r w:rsidRPr="00A6094E">
        <w:t xml:space="preserve"> ēku iedalījum</w:t>
      </w:r>
      <w:r w:rsidR="004F57E6">
        <w:t>s</w:t>
      </w:r>
      <w:r w:rsidRPr="00A6094E">
        <w:t xml:space="preserve"> publiskās vai nepubliskās ēkās.</w:t>
      </w:r>
    </w:p>
    <w:p w14:paraId="3AB3BDF5" w14:textId="725C3E13" w:rsidR="00BC0B4B" w:rsidRPr="00A6094E" w:rsidRDefault="003D2047" w:rsidP="0052792A">
      <w:pPr>
        <w:pStyle w:val="NormalWeb"/>
        <w:shd w:val="clear" w:color="auto" w:fill="FFFFFF"/>
        <w:spacing w:before="0" w:beforeAutospacing="0" w:after="0" w:afterAutospacing="0" w:line="276" w:lineRule="auto"/>
        <w:ind w:firstLine="720"/>
        <w:jc w:val="both"/>
      </w:pPr>
      <w:r w:rsidRPr="00A6094E">
        <w:t xml:space="preserve">No </w:t>
      </w:r>
      <w:r w:rsidR="00551A9C" w:rsidRPr="00A6094E">
        <w:t xml:space="preserve">Publisku būvju būvnormatīva </w:t>
      </w:r>
      <w:r w:rsidRPr="00A6094E">
        <w:t>2.2.</w:t>
      </w:r>
      <w:r w:rsidR="00210938" w:rsidRPr="00A6094E">
        <w:t>apakšpunktā</w:t>
      </w:r>
      <w:r w:rsidRPr="00A6094E">
        <w:t xml:space="preserve"> norādītās darba telpas definīcijas secināms, ka </w:t>
      </w:r>
      <w:r w:rsidR="00AF0B85" w:rsidRPr="00A6094E">
        <w:t>darba telpa</w:t>
      </w:r>
      <w:r w:rsidRPr="00A6094E">
        <w:t xml:space="preserve"> nav publiska telpa gan faktiskās lietošanas, </w:t>
      </w:r>
      <w:r w:rsidR="00AF0B85" w:rsidRPr="00A6094E">
        <w:t>gan</w:t>
      </w:r>
      <w:r w:rsidRPr="00A6094E">
        <w:t xml:space="preserve"> paredzētās (iespējamās/pieļaujamās) izmantošanas ziņā. </w:t>
      </w:r>
      <w:r w:rsidR="007F00C4" w:rsidRPr="00A6094E">
        <w:t xml:space="preserve">Vairākums telpu strīdus ēkā ir biroja tipa telpas, </w:t>
      </w:r>
      <w:r w:rsidR="004177C2" w:rsidRPr="00A6094E">
        <w:t>tātad –</w:t>
      </w:r>
      <w:r w:rsidR="001631AD">
        <w:t xml:space="preserve"> </w:t>
      </w:r>
      <w:r w:rsidR="004177C2" w:rsidRPr="00A6094E">
        <w:t xml:space="preserve">telpas, </w:t>
      </w:r>
      <w:r w:rsidR="007F00C4" w:rsidRPr="00A6094E">
        <w:t>kurās strādā vairāku savstarpēji nesaistītu uzņēmumu biroja darbinieki autonomajā režīmā un kurās nav par</w:t>
      </w:r>
      <w:r w:rsidR="00BC0B4B" w:rsidRPr="00A6094E">
        <w:t>edzēta apmeklētāju uzturēšanās</w:t>
      </w:r>
      <w:r w:rsidR="001631AD">
        <w:t xml:space="preserve">, proti, </w:t>
      </w:r>
      <w:r w:rsidR="001631AD" w:rsidRPr="00A6094E">
        <w:t>–</w:t>
      </w:r>
      <w:r w:rsidR="001631AD">
        <w:t xml:space="preserve"> darba telpas</w:t>
      </w:r>
      <w:r w:rsidR="00BC0B4B" w:rsidRPr="00A6094E">
        <w:t>.</w:t>
      </w:r>
    </w:p>
    <w:p w14:paraId="2607FC44" w14:textId="3B41C4AB" w:rsidR="00681DDF" w:rsidRPr="00A6094E" w:rsidRDefault="00F1370D" w:rsidP="0052792A">
      <w:pPr>
        <w:pStyle w:val="NormalWeb"/>
        <w:shd w:val="clear" w:color="auto" w:fill="FFFFFF"/>
        <w:spacing w:before="0" w:beforeAutospacing="0" w:after="0" w:afterAutospacing="0" w:line="276" w:lineRule="auto"/>
        <w:ind w:firstLine="720"/>
        <w:jc w:val="both"/>
      </w:pPr>
      <w:r w:rsidRPr="00A6094E">
        <w:t>[</w:t>
      </w:r>
      <w:r w:rsidR="00210938" w:rsidRPr="00A6094E">
        <w:t>3.2</w:t>
      </w:r>
      <w:r w:rsidRPr="00A6094E">
        <w:t xml:space="preserve">] </w:t>
      </w:r>
      <w:r w:rsidR="008D75C6" w:rsidRPr="00A6094E">
        <w:t xml:space="preserve">Apgabaltiesa </w:t>
      </w:r>
      <w:r w:rsidR="006B2CC6" w:rsidRPr="00A6094E">
        <w:t xml:space="preserve">nepamatoti </w:t>
      </w:r>
      <w:r w:rsidR="008D75C6" w:rsidRPr="00A6094E">
        <w:t xml:space="preserve">piemēroja </w:t>
      </w:r>
      <w:r w:rsidR="006B2CC6" w:rsidRPr="00A6094E">
        <w:t xml:space="preserve">Būvju vispārīgo prasību būvnormatīva </w:t>
      </w:r>
      <w:r w:rsidR="008D75C6" w:rsidRPr="00A6094E">
        <w:t>norm</w:t>
      </w:r>
      <w:r w:rsidR="006B2CC6" w:rsidRPr="00A6094E">
        <w:t>as</w:t>
      </w:r>
      <w:r w:rsidR="008D75C6" w:rsidRPr="00A6094E">
        <w:t>, kas stājās spēkā vēlāk</w:t>
      </w:r>
      <w:r w:rsidR="004861E2" w:rsidRPr="00A6094E">
        <w:t>.</w:t>
      </w:r>
      <w:r w:rsidR="00DE5B99" w:rsidRPr="00A6094E">
        <w:t xml:space="preserve"> </w:t>
      </w:r>
      <w:r w:rsidR="009F3F50" w:rsidRPr="00A6094E">
        <w:t xml:space="preserve">Tas, ka tiesas procesa laikā ir mainījušies tiesiskie apstākļi un </w:t>
      </w:r>
      <w:r w:rsidR="005A3B91" w:rsidRPr="00A6094E">
        <w:t>kopš</w:t>
      </w:r>
      <w:r w:rsidR="009F3F50" w:rsidRPr="00A6094E">
        <w:t xml:space="preserve"> </w:t>
      </w:r>
      <w:r w:rsidR="005A3B91" w:rsidRPr="00A6094E">
        <w:t xml:space="preserve">2021.gada 1.novembra </w:t>
      </w:r>
      <w:r w:rsidR="006B2CC6" w:rsidRPr="00A6094E">
        <w:t xml:space="preserve">darba telpas ir uzskatāmas par </w:t>
      </w:r>
      <w:r w:rsidR="009F3F50" w:rsidRPr="00A6094E">
        <w:t>publisk</w:t>
      </w:r>
      <w:r w:rsidR="006B2CC6" w:rsidRPr="00A6094E">
        <w:t>ām</w:t>
      </w:r>
      <w:r w:rsidR="009F3F50" w:rsidRPr="00A6094E">
        <w:t xml:space="preserve"> telp</w:t>
      </w:r>
      <w:r w:rsidR="006B2CC6" w:rsidRPr="00A6094E">
        <w:t>ām</w:t>
      </w:r>
      <w:r w:rsidR="009F3F50" w:rsidRPr="00A6094E">
        <w:t xml:space="preserve">, nemaina to, ka pirms tam atbilstoši </w:t>
      </w:r>
      <w:r w:rsidR="005A3B91" w:rsidRPr="00A6094E">
        <w:t xml:space="preserve">Publisku būvju būvnormatīvā </w:t>
      </w:r>
      <w:r w:rsidR="00A74CD7" w:rsidRPr="00A6094E">
        <w:t>sniegtajai definīcijai</w:t>
      </w:r>
      <w:r w:rsidR="009F3F50" w:rsidRPr="00A6094E">
        <w:t xml:space="preserve"> darba telpa, kas nav pieejama sabiedrībai un kurā nav paredzēta apmeklētāju uzturēšanās</w:t>
      </w:r>
      <w:r w:rsidR="004177C2" w:rsidRPr="00A6094E">
        <w:t>, bija</w:t>
      </w:r>
      <w:r w:rsidR="005A3B91" w:rsidRPr="00A6094E">
        <w:t xml:space="preserve"> uzskatāma par ne</w:t>
      </w:r>
      <w:r w:rsidR="009F3F50" w:rsidRPr="00A6094E">
        <w:t xml:space="preserve">publisku telpu. </w:t>
      </w:r>
    </w:p>
    <w:p w14:paraId="0B87700B" w14:textId="6C80DD12" w:rsidR="00D422C6" w:rsidRPr="00A6094E" w:rsidRDefault="00681DDF" w:rsidP="0052792A">
      <w:pPr>
        <w:pStyle w:val="NormalWeb"/>
        <w:shd w:val="clear" w:color="auto" w:fill="FFFFFF"/>
        <w:spacing w:before="0" w:beforeAutospacing="0" w:after="0" w:afterAutospacing="0" w:line="276" w:lineRule="auto"/>
        <w:ind w:firstLine="720"/>
        <w:jc w:val="both"/>
      </w:pPr>
      <w:r w:rsidRPr="00A6094E">
        <w:t>[</w:t>
      </w:r>
      <w:r w:rsidR="00D04F81" w:rsidRPr="00A6094E">
        <w:t>3.3</w:t>
      </w:r>
      <w:r w:rsidRPr="00A6094E">
        <w:t>]</w:t>
      </w:r>
      <w:r w:rsidR="00651710" w:rsidRPr="00A6094E">
        <w:t xml:space="preserve"> Apgabaltiesa nav piemērojusi Būvniecības likuma normas par valsts un</w:t>
      </w:r>
      <w:r w:rsidR="00D04F81" w:rsidRPr="00A6094E">
        <w:t xml:space="preserve"> </w:t>
      </w:r>
      <w:r w:rsidR="00651710" w:rsidRPr="00A6094E">
        <w:t xml:space="preserve">pašvaldības pārvaldes institūciju kompetenci būvniecības jomā, </w:t>
      </w:r>
      <w:r w:rsidR="00BC3C4E" w:rsidRPr="00A6094E">
        <w:t>kā arī</w:t>
      </w:r>
      <w:r w:rsidR="00651710" w:rsidRPr="00A6094E">
        <w:t xml:space="preserve"> labas pārvaldības principu.</w:t>
      </w:r>
      <w:r w:rsidR="002D246C" w:rsidRPr="00A6094E">
        <w:t xml:space="preserve"> </w:t>
      </w:r>
      <w:r w:rsidR="002D246C" w:rsidRPr="00A6094E">
        <w:rPr>
          <w:shd w:val="clear" w:color="auto" w:fill="FFFFFF"/>
        </w:rPr>
        <w:t xml:space="preserve">Būvniecības valsts kontroles birojs </w:t>
      </w:r>
      <w:r w:rsidR="002D246C" w:rsidRPr="00A6094E">
        <w:t>uzdeva</w:t>
      </w:r>
      <w:r w:rsidR="00210D42" w:rsidRPr="00A6094E">
        <w:t xml:space="preserve"> </w:t>
      </w:r>
      <w:r w:rsidR="002974E7" w:rsidRPr="00A6094E">
        <w:t>pieteicējai</w:t>
      </w:r>
      <w:r w:rsidR="00210D42" w:rsidRPr="00A6094E">
        <w:t xml:space="preserve"> iesn</w:t>
      </w:r>
      <w:r w:rsidR="002974E7" w:rsidRPr="00A6094E">
        <w:t>iegt dokumentāciju citā iestādē</w:t>
      </w:r>
      <w:r w:rsidR="00210D42" w:rsidRPr="00A6094E">
        <w:t xml:space="preserve"> </w:t>
      </w:r>
      <w:r w:rsidR="002974E7" w:rsidRPr="00A6094E">
        <w:t>(</w:t>
      </w:r>
      <w:r w:rsidR="00210D42" w:rsidRPr="00A6094E">
        <w:t>būvvaldē</w:t>
      </w:r>
      <w:r w:rsidR="002974E7" w:rsidRPr="00A6094E">
        <w:t>)</w:t>
      </w:r>
      <w:r w:rsidR="00210D42" w:rsidRPr="00A6094E">
        <w:t xml:space="preserve">, lai </w:t>
      </w:r>
      <w:r w:rsidR="002974E7" w:rsidRPr="00A6094E">
        <w:t>tā</w:t>
      </w:r>
      <w:r w:rsidR="00210D42" w:rsidRPr="00A6094E">
        <w:t xml:space="preserve"> pieņemtu lēmumu par atļauju veikt būvniecību. </w:t>
      </w:r>
      <w:r w:rsidR="009E4754" w:rsidRPr="00A6094E">
        <w:t>Š</w:t>
      </w:r>
      <w:r w:rsidR="00210D42" w:rsidRPr="00A6094E">
        <w:t xml:space="preserve">āda lēmuma pieņemšanas deleģēšana </w:t>
      </w:r>
      <w:r w:rsidR="002974E7" w:rsidRPr="00A6094E">
        <w:t>citai</w:t>
      </w:r>
      <w:r w:rsidR="00210D42" w:rsidRPr="00A6094E">
        <w:t xml:space="preserve"> iestādei </w:t>
      </w:r>
      <w:r w:rsidR="0054676C" w:rsidRPr="00A6094E">
        <w:t xml:space="preserve">tiesību normās </w:t>
      </w:r>
      <w:r w:rsidR="00210D42" w:rsidRPr="00A6094E">
        <w:t>nav paredzēta.</w:t>
      </w:r>
      <w:r w:rsidR="0054676C" w:rsidRPr="00A6094E">
        <w:t xml:space="preserve"> </w:t>
      </w:r>
      <w:r w:rsidR="00550263" w:rsidRPr="00A6094E">
        <w:t xml:space="preserve">Līdz </w:t>
      </w:r>
      <w:r w:rsidR="00960972" w:rsidRPr="00A6094E">
        <w:t xml:space="preserve">2019.gada </w:t>
      </w:r>
      <w:r w:rsidR="00550263" w:rsidRPr="00A6094E">
        <w:t>23.</w:t>
      </w:r>
      <w:r w:rsidR="00960972" w:rsidRPr="00A6094E">
        <w:t>decembrim a</w:t>
      </w:r>
      <w:r w:rsidR="00550263" w:rsidRPr="00A6094E">
        <w:t>tbilstoši Būvniecības likuma 6.</w:t>
      </w:r>
      <w:r w:rsidR="00550263" w:rsidRPr="00A6094E">
        <w:rPr>
          <w:vertAlign w:val="superscript"/>
        </w:rPr>
        <w:t>1</w:t>
      </w:r>
      <w:r w:rsidR="00960972" w:rsidRPr="00A6094E">
        <w:t>panta pirmās daļas 2.punktam</w:t>
      </w:r>
      <w:r w:rsidR="00E96A52">
        <w:t xml:space="preserve"> un </w:t>
      </w:r>
      <w:r w:rsidR="00960972" w:rsidRPr="00A6094E">
        <w:t>otrajai</w:t>
      </w:r>
      <w:r w:rsidR="00550263" w:rsidRPr="00A6094E">
        <w:t xml:space="preserve"> daļa</w:t>
      </w:r>
      <w:r w:rsidR="00960972" w:rsidRPr="00A6094E">
        <w:t>i</w:t>
      </w:r>
      <w:r w:rsidR="00550263" w:rsidRPr="00A6094E">
        <w:t xml:space="preserve">, </w:t>
      </w:r>
      <w:r w:rsidR="00960972" w:rsidRPr="00A6094E">
        <w:t>14.panta pirmajai</w:t>
      </w:r>
      <w:r w:rsidR="00550263" w:rsidRPr="00A6094E">
        <w:t xml:space="preserve"> </w:t>
      </w:r>
      <w:r w:rsidR="00E96A52">
        <w:t>un</w:t>
      </w:r>
      <w:r w:rsidR="00960972" w:rsidRPr="00A6094E">
        <w:t xml:space="preserve"> sestajai</w:t>
      </w:r>
      <w:r w:rsidR="00550263" w:rsidRPr="00A6094E">
        <w:t xml:space="preserve"> daļa</w:t>
      </w:r>
      <w:r w:rsidR="00A270BB" w:rsidRPr="00A6094E">
        <w:t>i būvniecības objekta ekspluatācijas uzraudzību, būvniecības ieceres iesnieguma pieņemšanu, izskatī</w:t>
      </w:r>
      <w:r w:rsidR="00E26F71" w:rsidRPr="00A6094E">
        <w:t>šanu</w:t>
      </w:r>
      <w:r w:rsidR="00A270BB" w:rsidRPr="00A6094E">
        <w:t xml:space="preserve"> un lēmuma par būvniecības ieceres akceptu vai atteik</w:t>
      </w:r>
      <w:r w:rsidR="00E26F71" w:rsidRPr="00A6094E">
        <w:t>umu akceptēt būvniecības ieceri</w:t>
      </w:r>
      <w:r w:rsidR="00A270BB" w:rsidRPr="00A6094E">
        <w:t xml:space="preserve"> pieņemšanu veica viena un tā pati iestāde atbilstoši savai kompetenc</w:t>
      </w:r>
      <w:r w:rsidR="00A81955" w:rsidRPr="00A6094E">
        <w:t xml:space="preserve">ei. Ja objekts bija piekritīgs </w:t>
      </w:r>
      <w:r w:rsidR="006E0B30" w:rsidRPr="00A6094E">
        <w:t xml:space="preserve">Būvniecības valsts kontroles </w:t>
      </w:r>
      <w:r w:rsidR="00A81955" w:rsidRPr="00A6094E">
        <w:t>b</w:t>
      </w:r>
      <w:r w:rsidR="00A270BB" w:rsidRPr="00A6094E">
        <w:t xml:space="preserve">irojam, visas minētās darbības nodrošināja </w:t>
      </w:r>
      <w:r w:rsidR="00A81955" w:rsidRPr="00A6094E">
        <w:t>b</w:t>
      </w:r>
      <w:r w:rsidR="00A270BB" w:rsidRPr="00A6094E">
        <w:t xml:space="preserve">irojs, ja piekritīgs būvvaldei – tās nodrošināja būvvalde. Tāda kompetences sadale atbilst labas pārvaldības principam, </w:t>
      </w:r>
      <w:r w:rsidR="00A270BB" w:rsidRPr="00A6094E">
        <w:lastRenderedPageBreak/>
        <w:t>atbilstoši kuram, citā starpā, valsts pārvaldes struktūru funkcijas nedrīkst pārklāties un dublēties</w:t>
      </w:r>
      <w:r w:rsidR="00A81955" w:rsidRPr="00A6094E">
        <w:t>.</w:t>
      </w:r>
    </w:p>
    <w:p w14:paraId="65E20247" w14:textId="77777777" w:rsidR="00D422C6" w:rsidRPr="00A6094E" w:rsidRDefault="00D422C6" w:rsidP="0052792A">
      <w:pPr>
        <w:pStyle w:val="NormalWeb"/>
        <w:shd w:val="clear" w:color="auto" w:fill="FFFFFF"/>
        <w:spacing w:before="0" w:beforeAutospacing="0" w:after="0" w:afterAutospacing="0" w:line="276" w:lineRule="auto"/>
        <w:ind w:firstLine="720"/>
        <w:jc w:val="both"/>
      </w:pPr>
    </w:p>
    <w:p w14:paraId="291ADF80" w14:textId="3184FBAA" w:rsidR="00C70D87" w:rsidRPr="00A6094E" w:rsidRDefault="00DB7901" w:rsidP="0052792A">
      <w:pPr>
        <w:pStyle w:val="NormalWeb"/>
        <w:shd w:val="clear" w:color="auto" w:fill="FFFFFF"/>
        <w:spacing w:before="0" w:beforeAutospacing="0" w:after="0" w:afterAutospacing="0" w:line="276" w:lineRule="auto"/>
        <w:ind w:firstLine="720"/>
        <w:jc w:val="both"/>
        <w:rPr>
          <w:shd w:val="clear" w:color="auto" w:fill="FFFFFF"/>
        </w:rPr>
      </w:pPr>
      <w:r w:rsidRPr="00A6094E">
        <w:rPr>
          <w:shd w:val="clear" w:color="auto" w:fill="FFFFFF"/>
        </w:rPr>
        <w:t xml:space="preserve">[4] </w:t>
      </w:r>
      <w:r w:rsidR="002D246C" w:rsidRPr="00A6094E">
        <w:rPr>
          <w:shd w:val="clear" w:color="auto" w:fill="FFFFFF"/>
        </w:rPr>
        <w:t xml:space="preserve">Būvniecības valsts kontroles birojs </w:t>
      </w:r>
      <w:r w:rsidR="00745C9C" w:rsidRPr="00A6094E">
        <w:rPr>
          <w:shd w:val="clear" w:color="auto" w:fill="FFFFFF"/>
        </w:rPr>
        <w:t>iesniedza</w:t>
      </w:r>
      <w:r w:rsidRPr="00A6094E">
        <w:rPr>
          <w:shd w:val="clear" w:color="auto" w:fill="FFFFFF"/>
        </w:rPr>
        <w:t xml:space="preserve"> paskaidrojumus, norād</w:t>
      </w:r>
      <w:r w:rsidR="00EE1A8A" w:rsidRPr="00A6094E">
        <w:rPr>
          <w:shd w:val="clear" w:color="auto" w:fill="FFFFFF"/>
        </w:rPr>
        <w:t>ot</w:t>
      </w:r>
      <w:r w:rsidRPr="00A6094E">
        <w:rPr>
          <w:shd w:val="clear" w:color="auto" w:fill="FFFFFF"/>
        </w:rPr>
        <w:t xml:space="preserve">, ka </w:t>
      </w:r>
      <w:r w:rsidR="002A67E8" w:rsidRPr="00A6094E">
        <w:rPr>
          <w:shd w:val="clear" w:color="auto" w:fill="FFFFFF"/>
        </w:rPr>
        <w:t>pieteicēja</w:t>
      </w:r>
      <w:r w:rsidR="00967B01" w:rsidRPr="00A6094E">
        <w:rPr>
          <w:shd w:val="clear" w:color="auto" w:fill="FFFFFF"/>
        </w:rPr>
        <w:t>s kasācijas sūdzība nav pamatota.</w:t>
      </w:r>
      <w:r w:rsidR="00B52D15" w:rsidRPr="00A6094E">
        <w:rPr>
          <w:shd w:val="clear" w:color="auto" w:fill="FFFFFF"/>
        </w:rPr>
        <w:t xml:space="preserve"> </w:t>
      </w:r>
    </w:p>
    <w:p w14:paraId="06FCF610" w14:textId="77777777" w:rsidR="00DB7901" w:rsidRPr="00A6094E" w:rsidRDefault="00DB7901" w:rsidP="0052792A">
      <w:pPr>
        <w:pStyle w:val="NormalWeb"/>
        <w:shd w:val="clear" w:color="auto" w:fill="FFFFFF"/>
        <w:spacing w:before="0" w:beforeAutospacing="0" w:after="0" w:afterAutospacing="0" w:line="276" w:lineRule="auto"/>
        <w:ind w:firstLine="720"/>
        <w:jc w:val="both"/>
        <w:rPr>
          <w:shd w:val="clear" w:color="auto" w:fill="FFFFFF"/>
        </w:rPr>
      </w:pPr>
    </w:p>
    <w:p w14:paraId="31787F02" w14:textId="77777777" w:rsidR="00DB7901" w:rsidRPr="00A6094E" w:rsidRDefault="00DB7901" w:rsidP="0052792A">
      <w:pPr>
        <w:shd w:val="clear" w:color="auto" w:fill="FFFFFF"/>
        <w:spacing w:line="276" w:lineRule="auto"/>
        <w:jc w:val="center"/>
        <w:rPr>
          <w:b/>
        </w:rPr>
      </w:pPr>
      <w:r w:rsidRPr="00A6094E">
        <w:rPr>
          <w:b/>
        </w:rPr>
        <w:t>Motīvu daļa</w:t>
      </w:r>
    </w:p>
    <w:p w14:paraId="76AD363B" w14:textId="77777777" w:rsidR="00DB7901" w:rsidRPr="00A6094E" w:rsidRDefault="00DB7901" w:rsidP="0052792A">
      <w:pPr>
        <w:shd w:val="clear" w:color="auto" w:fill="FFFFFF"/>
        <w:spacing w:line="276" w:lineRule="auto"/>
        <w:jc w:val="center"/>
      </w:pPr>
    </w:p>
    <w:p w14:paraId="6E0672B6" w14:textId="55B77EA0" w:rsidR="00D05019" w:rsidRPr="00A6094E" w:rsidRDefault="004A2931" w:rsidP="0052792A">
      <w:pPr>
        <w:shd w:val="clear" w:color="auto" w:fill="FFFFFF"/>
        <w:spacing w:line="276" w:lineRule="auto"/>
        <w:ind w:firstLine="720"/>
        <w:jc w:val="both"/>
      </w:pPr>
      <w:r w:rsidRPr="00A6094E">
        <w:t>[5]</w:t>
      </w:r>
      <w:r w:rsidR="00DB7901" w:rsidRPr="00A6094E">
        <w:t xml:space="preserve"> </w:t>
      </w:r>
      <w:r w:rsidR="00D05019" w:rsidRPr="00A6094E">
        <w:t xml:space="preserve">Lietā ir strīds par kompetento iestādi </w:t>
      </w:r>
      <w:r w:rsidR="00D05019" w:rsidRPr="00A6094E">
        <w:rPr>
          <w:shd w:val="clear" w:color="auto" w:fill="FFFFFF"/>
        </w:rPr>
        <w:t>strīdus ēkas ekspluatācijas uzraudzībā</w:t>
      </w:r>
      <w:r w:rsidR="0051263E" w:rsidRPr="00A6094E">
        <w:rPr>
          <w:shd w:val="clear" w:color="auto" w:fill="FFFFFF"/>
        </w:rPr>
        <w:t>.</w:t>
      </w:r>
    </w:p>
    <w:p w14:paraId="59E43F7E" w14:textId="2C17E48D" w:rsidR="00FB1762" w:rsidRPr="00A6094E" w:rsidRDefault="000F159C" w:rsidP="0052792A">
      <w:pPr>
        <w:shd w:val="clear" w:color="auto" w:fill="FFFFFF"/>
        <w:spacing w:line="276" w:lineRule="auto"/>
        <w:ind w:firstLine="720"/>
        <w:jc w:val="both"/>
      </w:pPr>
      <w:r w:rsidRPr="00A6094E">
        <w:t>No Būvniecības likuma (</w:t>
      </w:r>
      <w:r w:rsidRPr="00A6094E">
        <w:rPr>
          <w:i/>
          <w:iCs/>
        </w:rPr>
        <w:t xml:space="preserve">šeit un turpmāk </w:t>
      </w:r>
      <w:r w:rsidR="00DD3881" w:rsidRPr="00A6094E">
        <w:rPr>
          <w:i/>
          <w:iCs/>
        </w:rPr>
        <w:t xml:space="preserve">tiesību normas </w:t>
      </w:r>
      <w:r w:rsidRPr="00A6094E">
        <w:rPr>
          <w:i/>
          <w:iCs/>
        </w:rPr>
        <w:t>redakcijā, kas bija spēkā pārsūdzētā lēmuma pieņemšanas laikā</w:t>
      </w:r>
      <w:r w:rsidRPr="00A6094E">
        <w:t>)</w:t>
      </w:r>
      <w:r w:rsidR="00FB1762" w:rsidRPr="00A6094E">
        <w:t xml:space="preserve"> 6.</w:t>
      </w:r>
      <w:r w:rsidR="00FB1762" w:rsidRPr="00A6094E">
        <w:rPr>
          <w:vertAlign w:val="superscript"/>
        </w:rPr>
        <w:t>1</w:t>
      </w:r>
      <w:r w:rsidR="00FB1762" w:rsidRPr="00A6094E">
        <w:t xml:space="preserve">panta pirmās daļas 1.punkta </w:t>
      </w:r>
      <w:r w:rsidR="003649FC" w:rsidRPr="00A6094E">
        <w:t>„</w:t>
      </w:r>
      <w:r w:rsidR="00FB1762" w:rsidRPr="00A6094E">
        <w:t>a</w:t>
      </w:r>
      <w:r w:rsidR="003649FC" w:rsidRPr="00A6094E">
        <w:t>”</w:t>
      </w:r>
      <w:r w:rsidR="007650C4" w:rsidRPr="00A6094E">
        <w:t> </w:t>
      </w:r>
      <w:r w:rsidR="00FB1762" w:rsidRPr="00A6094E">
        <w:t xml:space="preserve">apakšpunkta </w:t>
      </w:r>
      <w:r w:rsidR="00DD3881" w:rsidRPr="00A6094E">
        <w:t xml:space="preserve">un 2.punkta </w:t>
      </w:r>
      <w:r w:rsidR="00FB1762" w:rsidRPr="00A6094E">
        <w:t xml:space="preserve">izriet, ka </w:t>
      </w:r>
      <w:r w:rsidR="007B08C2">
        <w:t xml:space="preserve">Būvniecības valsts kontroles </w:t>
      </w:r>
      <w:r w:rsidR="00DD3881" w:rsidRPr="00A6094E">
        <w:t xml:space="preserve">birojs nodrošina </w:t>
      </w:r>
      <w:r w:rsidR="00167C64" w:rsidRPr="00A6094E">
        <w:t xml:space="preserve">tādu </w:t>
      </w:r>
      <w:r w:rsidR="00DD3881" w:rsidRPr="00A6094E">
        <w:t>publisku ēku, kurās paredzēts vienlaikus uzturēties vairāk nekā 100</w:t>
      </w:r>
      <w:r w:rsidR="00A1381B">
        <w:t> </w:t>
      </w:r>
      <w:r w:rsidR="00DD3881" w:rsidRPr="00A6094E">
        <w:t xml:space="preserve">cilvēkiem, </w:t>
      </w:r>
      <w:r w:rsidR="00AF78AD" w:rsidRPr="00A6094E">
        <w:t xml:space="preserve">būvniecības un pārbūves </w:t>
      </w:r>
      <w:r w:rsidR="00FB1762" w:rsidRPr="00A6094E">
        <w:t>būvdarbu valsts kontroli un pieņemšanu ekspluatācijā,</w:t>
      </w:r>
      <w:r w:rsidR="00DD3881" w:rsidRPr="00A6094E">
        <w:t xml:space="preserve"> </w:t>
      </w:r>
      <w:r w:rsidR="00AF78AD" w:rsidRPr="00A6094E">
        <w:t>kā arī ekspluatācijas uzraudzību.</w:t>
      </w:r>
      <w:r w:rsidR="003649FC" w:rsidRPr="00A6094E">
        <w:t xml:space="preserve"> Savukārt Publisku būvju būvnormatīva 2.4.apakšpunkts noteic, ka publiska būve ir ēka, kurā vairāk nekā 50 procenti ēkas kopējās platības ir publiskas telpas vai telpas publiskas funkcijas nodrošināšanai, vai inženierbūve, kura paredzēta publiskai lietošanai (piemēram, estrādes, stadioni).</w:t>
      </w:r>
    </w:p>
    <w:p w14:paraId="20F087C0" w14:textId="2E6DAE8C" w:rsidR="00C2627B" w:rsidRPr="00A6094E" w:rsidRDefault="001D27E6" w:rsidP="0052792A">
      <w:pPr>
        <w:shd w:val="clear" w:color="auto" w:fill="FFFFFF"/>
        <w:spacing w:line="276" w:lineRule="auto"/>
        <w:ind w:firstLine="720"/>
        <w:jc w:val="both"/>
      </w:pPr>
      <w:r w:rsidRPr="00A6094E">
        <w:t>Apgabaltiesa atzinusi, ka strīdus ēka ir uzskatāma par publisku ēku, jo tajā vairāk nekā 50 procenti ēkas kopējās platības ir publiskas telpas. Pie šāda secinājuma tiesa nonākusi, pamatojoties uz to, ka strīdus ēkā lielākā daļa platības ir biroja telpas un biroja telpas pēc savas būtības ir tād</w:t>
      </w:r>
      <w:r w:rsidR="004823CD" w:rsidRPr="00A6094E">
        <w:t>a</w:t>
      </w:r>
      <w:r w:rsidRPr="00A6094E">
        <w:t>s telpas, kuras ir (var būt) pieejamas apmeklētājiem (klientiem)</w:t>
      </w:r>
      <w:r w:rsidR="003548B4" w:rsidRPr="00A6094E">
        <w:t>.</w:t>
      </w:r>
      <w:r w:rsidR="0099562F" w:rsidRPr="00A6094E">
        <w:t xml:space="preserve"> Pieteicēja</w:t>
      </w:r>
      <w:r w:rsidR="00F21116" w:rsidRPr="00A6094E">
        <w:t xml:space="preserve"> </w:t>
      </w:r>
      <w:r w:rsidRPr="00A6094E">
        <w:t xml:space="preserve">tam iebilst, uzsverot, ka </w:t>
      </w:r>
      <w:r w:rsidR="00E32AEC" w:rsidRPr="00A6094E">
        <w:t xml:space="preserve">atbilstoši Publisku būvju būvnormatīvam </w:t>
      </w:r>
      <w:r w:rsidR="008E2262" w:rsidRPr="00A6094E">
        <w:t>biroja telpa kā</w:t>
      </w:r>
      <w:r w:rsidR="00E32AEC" w:rsidRPr="00A6094E">
        <w:t xml:space="preserve"> darba telpa vispārīgā gadījumā uzskatāma par nepublisku telpu.</w:t>
      </w:r>
    </w:p>
    <w:p w14:paraId="078D5327" w14:textId="765D9B88" w:rsidR="001D27E6" w:rsidRPr="00A6094E" w:rsidRDefault="001D27E6" w:rsidP="0052792A">
      <w:pPr>
        <w:shd w:val="clear" w:color="auto" w:fill="FFFFFF"/>
        <w:spacing w:line="276" w:lineRule="auto"/>
        <w:ind w:firstLine="720"/>
        <w:jc w:val="both"/>
      </w:pPr>
      <w:r w:rsidRPr="00A6094E">
        <w:t xml:space="preserve">Līdz ar to Senātam jāsniedz atbilde uz jautājumu, vai </w:t>
      </w:r>
      <w:r w:rsidR="00167C64" w:rsidRPr="00A6094E">
        <w:t>telpas, kas klasificētas kā biroja telpas, atbilstoši Publisku būvju būvnormatīva normām uzskatāmas</w:t>
      </w:r>
      <w:r w:rsidR="00CC77F4">
        <w:t xml:space="preserve"> par</w:t>
      </w:r>
      <w:r w:rsidR="00167C64" w:rsidRPr="00A6094E">
        <w:t xml:space="preserve"> publiskām telpām.</w:t>
      </w:r>
    </w:p>
    <w:p w14:paraId="392D0E3F" w14:textId="77777777" w:rsidR="00167C64" w:rsidRPr="00A6094E" w:rsidRDefault="00167C64" w:rsidP="0052792A">
      <w:pPr>
        <w:shd w:val="clear" w:color="auto" w:fill="FFFFFF"/>
        <w:spacing w:line="276" w:lineRule="auto"/>
        <w:ind w:firstLine="720"/>
        <w:jc w:val="both"/>
      </w:pPr>
    </w:p>
    <w:p w14:paraId="538111AB" w14:textId="46D97644" w:rsidR="00167C64" w:rsidRPr="00A6094E" w:rsidRDefault="00167C64" w:rsidP="0052792A">
      <w:pPr>
        <w:shd w:val="clear" w:color="auto" w:fill="FFFFFF"/>
        <w:spacing w:line="276" w:lineRule="auto"/>
        <w:ind w:firstLine="720"/>
        <w:jc w:val="both"/>
      </w:pPr>
      <w:r w:rsidRPr="00A6094E">
        <w:t>[6] Publisku būvju b</w:t>
      </w:r>
      <w:r w:rsidR="0099562F" w:rsidRPr="00A6094E">
        <w:t>ūvnormatīva</w:t>
      </w:r>
      <w:r w:rsidR="00A36551" w:rsidRPr="00A6094E">
        <w:t xml:space="preserve"> 2.5.apakšpunkts noteic, ka publiska telpa ir sabiedrībai pieejama nedzīvojamā telpa, kurā īslaicīgi var uzturēties un saņemt dažādus pakalpojumus apmeklētāji (piemēram, skatītāji, pacienti, klienti, pircēji, pasažieri, studenti, audzēkņi)</w:t>
      </w:r>
      <w:r w:rsidR="006D7056" w:rsidRPr="00A6094E">
        <w:t>.</w:t>
      </w:r>
      <w:r w:rsidRPr="00A6094E">
        <w:t xml:space="preserve"> No minētā izriet, ka </w:t>
      </w:r>
      <w:r w:rsidR="0051263E" w:rsidRPr="00A6094E">
        <w:t xml:space="preserve">par </w:t>
      </w:r>
      <w:r w:rsidRPr="00A6094E">
        <w:t>publisk</w:t>
      </w:r>
      <w:r w:rsidR="0051263E" w:rsidRPr="00A6094E">
        <w:t>u telpu atzīstama tāda nedzīvojamā telpa</w:t>
      </w:r>
      <w:r w:rsidRPr="00A6094E">
        <w:t xml:space="preserve">, </w:t>
      </w:r>
      <w:r w:rsidR="0051263E" w:rsidRPr="00A6094E">
        <w:t xml:space="preserve">kurā </w:t>
      </w:r>
      <w:r w:rsidRPr="00A6094E">
        <w:t>var ierasties un īslaicīgi uzturēties apmeklētāji</w:t>
      </w:r>
      <w:r w:rsidR="0051263E" w:rsidRPr="00A6094E">
        <w:t xml:space="preserve"> jeb cilvēki, kuri </w:t>
      </w:r>
      <w:r w:rsidR="00365D3E" w:rsidRPr="00A6094E">
        <w:t xml:space="preserve">parasti </w:t>
      </w:r>
      <w:r w:rsidR="0051263E" w:rsidRPr="00A6094E">
        <w:t>neuzturas konkrētajās telpās pastāvīgi; tas, ka telpās var ierasties apmeklētāji, ir veids, kādā šī telpa ir pieejama sabiedrībai</w:t>
      </w:r>
      <w:r w:rsidRPr="00A6094E">
        <w:t xml:space="preserve">. </w:t>
      </w:r>
      <w:r w:rsidR="00FD2129" w:rsidRPr="00A6094E">
        <w:t>Līdz ar to, lai nedzīvojamas telpas atzītu par publisk</w:t>
      </w:r>
      <w:r w:rsidR="00083F18" w:rsidRPr="00A6094E">
        <w:t>ām</w:t>
      </w:r>
      <w:r w:rsidR="00FD2129" w:rsidRPr="00A6094E">
        <w:t xml:space="preserve"> telp</w:t>
      </w:r>
      <w:r w:rsidR="00083F18" w:rsidRPr="00A6094E">
        <w:t>ām</w:t>
      </w:r>
      <w:r w:rsidR="00FD2129" w:rsidRPr="00A6094E">
        <w:t>, izšķiroši ir tas, vai konkrētajās telpās varētu ierasties apmeklētāji.</w:t>
      </w:r>
    </w:p>
    <w:p w14:paraId="204B3FF8" w14:textId="6E0DB9A4" w:rsidR="005E22C5" w:rsidRPr="00A6094E" w:rsidRDefault="00167C64" w:rsidP="0052792A">
      <w:pPr>
        <w:shd w:val="clear" w:color="auto" w:fill="FFFFFF"/>
        <w:spacing w:line="276" w:lineRule="auto"/>
        <w:ind w:firstLine="720"/>
        <w:jc w:val="both"/>
      </w:pPr>
      <w:r w:rsidRPr="00A6094E">
        <w:t xml:space="preserve">Savukārt </w:t>
      </w:r>
      <w:r w:rsidR="00083F18" w:rsidRPr="00A6094E">
        <w:t xml:space="preserve">Publisku būvju būvnormatīva </w:t>
      </w:r>
      <w:r w:rsidRPr="00A6094E">
        <w:t>2.2.apakšpunkts noteic, ka darba telpa ir nedzīvojamā telpa, kurā notiek darba process un kurā nav paredzēta apmeklētāju uzturēšanās.</w:t>
      </w:r>
      <w:r w:rsidR="00FD2129" w:rsidRPr="00A6094E">
        <w:t xml:space="preserve"> Tādējādi, </w:t>
      </w:r>
      <w:r w:rsidRPr="00A6094E">
        <w:t xml:space="preserve">lai telpa </w:t>
      </w:r>
      <w:r w:rsidR="00FD2129" w:rsidRPr="00A6094E">
        <w:t xml:space="preserve">tiktu </w:t>
      </w:r>
      <w:r w:rsidRPr="00A6094E">
        <w:t>kvalificēt</w:t>
      </w:r>
      <w:r w:rsidR="00FD2129" w:rsidRPr="00A6094E">
        <w:t>a kā</w:t>
      </w:r>
      <w:r w:rsidRPr="00A6094E">
        <w:t xml:space="preserve"> darba telp</w:t>
      </w:r>
      <w:r w:rsidR="00FD2129" w:rsidRPr="00A6094E">
        <w:t>a</w:t>
      </w:r>
      <w:r w:rsidRPr="00A6094E">
        <w:t xml:space="preserve">, </w:t>
      </w:r>
      <w:r w:rsidR="00FD2129" w:rsidRPr="00A6094E">
        <w:t>nepietiek ar to, ka tajā notiek darba process, būtiski ir arī tas, vai šajā telpā nav paredzēta apmeklētāju uzturēšanās. Būtībā par darbu telpu uzskatāma tāda telpa, kurā notiekošais darba process nav (nevarētu</w:t>
      </w:r>
      <w:r w:rsidR="006E0B30" w:rsidRPr="006E0B30">
        <w:t xml:space="preserve"> </w:t>
      </w:r>
      <w:r w:rsidR="006E0B30" w:rsidRPr="00A6094E">
        <w:t>būt</w:t>
      </w:r>
      <w:r w:rsidR="00FD2129" w:rsidRPr="00A6094E">
        <w:t>) saistīts ar apmeklētāju ierašanos.</w:t>
      </w:r>
    </w:p>
    <w:p w14:paraId="2411DE2B" w14:textId="77CD7696" w:rsidR="00167C64" w:rsidRPr="00A6094E" w:rsidRDefault="00167C64" w:rsidP="0052792A">
      <w:pPr>
        <w:shd w:val="clear" w:color="auto" w:fill="FFFFFF"/>
        <w:spacing w:line="276" w:lineRule="auto"/>
        <w:ind w:firstLine="720"/>
        <w:jc w:val="both"/>
      </w:pPr>
      <w:r w:rsidRPr="00A6094E">
        <w:t xml:space="preserve"> </w:t>
      </w:r>
    </w:p>
    <w:p w14:paraId="660576E9" w14:textId="1EC3CD33" w:rsidR="00F849BB" w:rsidRPr="00A6094E" w:rsidRDefault="005E22C5" w:rsidP="0052792A">
      <w:pPr>
        <w:shd w:val="clear" w:color="auto" w:fill="FFFFFF"/>
        <w:spacing w:line="276" w:lineRule="auto"/>
        <w:ind w:firstLine="720"/>
        <w:jc w:val="both"/>
      </w:pPr>
      <w:r w:rsidRPr="00A6094E">
        <w:t xml:space="preserve">[7] </w:t>
      </w:r>
      <w:r w:rsidR="00365D3E" w:rsidRPr="00A6094E">
        <w:t xml:space="preserve">Ievērojot minēto, vispārīgi </w:t>
      </w:r>
      <w:r w:rsidR="008E03FB" w:rsidRPr="00A6094E">
        <w:t xml:space="preserve">pareizs ir </w:t>
      </w:r>
      <w:r w:rsidR="00A9126D" w:rsidRPr="00A6094E">
        <w:t>p</w:t>
      </w:r>
      <w:r w:rsidR="005E09B0" w:rsidRPr="00A6094E">
        <w:t>ieteicēja</w:t>
      </w:r>
      <w:r w:rsidR="00C12AF1" w:rsidRPr="00A6094E">
        <w:t>s</w:t>
      </w:r>
      <w:r w:rsidR="005E09B0" w:rsidRPr="00A6094E">
        <w:t xml:space="preserve"> uzskats, ka</w:t>
      </w:r>
      <w:r w:rsidR="00A9126D" w:rsidRPr="00A6094E">
        <w:t xml:space="preserve"> darba telpas</w:t>
      </w:r>
      <w:r w:rsidR="00C12AF1" w:rsidRPr="00A6094E">
        <w:t>,</w:t>
      </w:r>
      <w:r w:rsidR="00A9126D" w:rsidRPr="00A6094E">
        <w:t xml:space="preserve"> kurās nevar uzturēties apmeklēt</w:t>
      </w:r>
      <w:r w:rsidR="004A20C2" w:rsidRPr="00A6094E">
        <w:t xml:space="preserve">āji, nebija </w:t>
      </w:r>
      <w:r w:rsidR="00A9126D" w:rsidRPr="00A6094E">
        <w:t>uzskatāmas par publiskām telpām.</w:t>
      </w:r>
      <w:r w:rsidR="00365D3E" w:rsidRPr="00A6094E">
        <w:t xml:space="preserve"> </w:t>
      </w:r>
      <w:r w:rsidR="008E03FB" w:rsidRPr="00A6094E">
        <w:t xml:space="preserve">Tomēr </w:t>
      </w:r>
      <w:r w:rsidRPr="00A6094E">
        <w:t xml:space="preserve">nevar </w:t>
      </w:r>
      <w:r w:rsidRPr="00A6094E">
        <w:lastRenderedPageBreak/>
        <w:t xml:space="preserve">piekrist </w:t>
      </w:r>
      <w:r w:rsidR="008E03FB" w:rsidRPr="00A6094E">
        <w:t>pieteicēja</w:t>
      </w:r>
      <w:r w:rsidR="004A20C2" w:rsidRPr="00A6094E">
        <w:t>s</w:t>
      </w:r>
      <w:r w:rsidR="008E03FB" w:rsidRPr="00A6094E">
        <w:t xml:space="preserve"> </w:t>
      </w:r>
      <w:r w:rsidRPr="00A6094E">
        <w:t>apgalvojumam</w:t>
      </w:r>
      <w:r w:rsidR="008E03FB" w:rsidRPr="00A6094E">
        <w:t xml:space="preserve">, ka biroja telpas </w:t>
      </w:r>
      <w:r w:rsidR="00365D3E" w:rsidRPr="00A6094E">
        <w:t>vispārīgi ir uzskatāmas par tādām telpām, kurās notiek darba process, kas nevar</w:t>
      </w:r>
      <w:r w:rsidRPr="00A6094E">
        <w:t>ē</w:t>
      </w:r>
      <w:r w:rsidR="00365D3E" w:rsidRPr="00A6094E">
        <w:t>tu būt saistīts ar apmeklētāju ierašanos.</w:t>
      </w:r>
    </w:p>
    <w:p w14:paraId="72FD155A" w14:textId="466EF252" w:rsidR="009F3444" w:rsidRPr="00A6094E" w:rsidRDefault="00017A73" w:rsidP="0052792A">
      <w:pPr>
        <w:shd w:val="clear" w:color="auto" w:fill="FFFFFF"/>
        <w:spacing w:line="276" w:lineRule="auto"/>
        <w:ind w:firstLine="720"/>
        <w:jc w:val="both"/>
      </w:pPr>
      <w:r w:rsidRPr="00A6094E">
        <w:t>Visupirms jānorāda, ka p</w:t>
      </w:r>
      <w:r w:rsidR="005E22C5" w:rsidRPr="00A6094E">
        <w:t>i</w:t>
      </w:r>
      <w:r w:rsidR="008E03FB" w:rsidRPr="00A6094E">
        <w:t xml:space="preserve">eteicēja </w:t>
      </w:r>
      <w:r w:rsidR="005E22C5" w:rsidRPr="00A6094E">
        <w:t xml:space="preserve">nav izvirzījusi nekādus apsvērumus, kādēļ būtu uzskatāms, ka biroja telpās pēc to būtības notiek tāds darba process, kas nevar ietvert arī apmeklētāju ierašanos. </w:t>
      </w:r>
      <w:r w:rsidR="002B3E42">
        <w:t>Pieteicēja šo savu uzskatu formulējusi tikai apgalvojuma formā bez pamatojuma.</w:t>
      </w:r>
    </w:p>
    <w:p w14:paraId="631EC8C0" w14:textId="67903C13" w:rsidR="00811F93" w:rsidRPr="00A6094E" w:rsidRDefault="009F3444" w:rsidP="0052792A">
      <w:pPr>
        <w:shd w:val="clear" w:color="auto" w:fill="FFFFFF"/>
        <w:spacing w:line="276" w:lineRule="auto"/>
        <w:ind w:firstLine="720"/>
        <w:jc w:val="both"/>
      </w:pPr>
      <w:r w:rsidRPr="00A6094E">
        <w:t>Apgabaltiesa, vērtējot, vai biroja telpas būtu uzskatāmas par tādām, kurās ir paredzēta iespēja ierasties un īslaicīgi uzturēties apmeklētājiem, biroja telpu būtību ir skaidrojusi, ņemot vērā Būvju klasifikācijas noteikumos ietverto aprakstu par to, kāds telpu lietošanas veids ir biroja ēkām (telpām).</w:t>
      </w:r>
      <w:r w:rsidR="00F849BB" w:rsidRPr="00A6094E">
        <w:t xml:space="preserve"> </w:t>
      </w:r>
      <w:r w:rsidR="009C2823" w:rsidRPr="00A6094E">
        <w:t xml:space="preserve">Pieteicēja </w:t>
      </w:r>
      <w:r w:rsidR="00F849BB" w:rsidRPr="00A6094E">
        <w:t>pret to iebildusi</w:t>
      </w:r>
      <w:r w:rsidRPr="00A6094E">
        <w:t>, norādot, ka šie noteikumi neiedala būves publiskās vai nepubliskās</w:t>
      </w:r>
      <w:r w:rsidR="00F02B9B" w:rsidRPr="00A6094E">
        <w:t>.</w:t>
      </w:r>
      <w:r w:rsidR="00F849BB" w:rsidRPr="00A6094E">
        <w:t xml:space="preserve"> Senāts šo iebildumu atzīst par nepamatotu. Kā jau minēts, lai noskaidrotu, vai konkrētas telpas vērtējamas kā publiska</w:t>
      </w:r>
      <w:r w:rsidR="003A5995">
        <w:t>s</w:t>
      </w:r>
      <w:r w:rsidR="00F849BB" w:rsidRPr="00A6094E">
        <w:t xml:space="preserve"> telpas, izšķiroši ir tas, vai šajās telpās, ievērojot to būtībai atbilstošu izmantošu, varētu ierasties un īslaicīgi uzturēties apmeklētāji. Līdz ar to, vērtējot, vai telpas ir uzskatāmas par publiskām telpām, ir būtiski izprast konkrēto telpu iespējamo (pieļaujamo) izmantošanu. Būvju klasifikācijas noteikumi nosaka būvju (telpu) klasifikāciju pēc to lietošanas veida (noteikumu 1.punkts). </w:t>
      </w:r>
      <w:r w:rsidR="00017A73" w:rsidRPr="00A6094E">
        <w:t xml:space="preserve">Tādējādi šajā normatīvajā aktā sniegtais apraksts par to, kāds lietošanas veids var būt biroja telpām, </w:t>
      </w:r>
      <w:r w:rsidR="00811F93" w:rsidRPr="00A6094E">
        <w:t xml:space="preserve">var tikt izmantots, lai izprastu konkrētā veida telpu grupai raksturīgo lietošanu. Tieši to apgabaltiesa ir darījusi, </w:t>
      </w:r>
      <w:r w:rsidR="00A6094E">
        <w:t>savukārt</w:t>
      </w:r>
      <w:r w:rsidR="00811F93" w:rsidRPr="00A6094E">
        <w:t xml:space="preserve"> s</w:t>
      </w:r>
      <w:r w:rsidR="00F02B9B" w:rsidRPr="00A6094E">
        <w:t>ecinājum</w:t>
      </w:r>
      <w:r w:rsidR="00811F93" w:rsidRPr="00A6094E">
        <w:t>us</w:t>
      </w:r>
      <w:r w:rsidR="00F02B9B" w:rsidRPr="00A6094E">
        <w:t xml:space="preserve"> par </w:t>
      </w:r>
      <w:r w:rsidR="00811F93" w:rsidRPr="00A6094E">
        <w:t xml:space="preserve">biroja telpām kā publiskām telpām ir izdarījusi, </w:t>
      </w:r>
      <w:r w:rsidR="00F24997" w:rsidRPr="00A6094E">
        <w:t>analizējot biroja telpu būtību</w:t>
      </w:r>
      <w:r w:rsidR="00811F93" w:rsidRPr="00A6094E">
        <w:t xml:space="preserve"> Publisku būvju normatīva 2.5.apakšpunkta kontekstā.</w:t>
      </w:r>
      <w:r w:rsidR="00A977AC" w:rsidRPr="00A6094E">
        <w:t xml:space="preserve"> </w:t>
      </w:r>
    </w:p>
    <w:p w14:paraId="512D2122" w14:textId="2CB0A0AF" w:rsidR="00F849BB" w:rsidRPr="00A6094E" w:rsidRDefault="00F849BB" w:rsidP="0052792A">
      <w:pPr>
        <w:shd w:val="clear" w:color="auto" w:fill="FFFFFF"/>
        <w:spacing w:line="276" w:lineRule="auto"/>
        <w:ind w:firstLine="720"/>
        <w:jc w:val="both"/>
      </w:pPr>
      <w:r w:rsidRPr="00A6094E">
        <w:t>Senāts nesaskata kļūdas apgabaltiesas secinājumā, ka biroja telpas vispārīgi ir tādas, kurās var ierasties arī apmeklētāji. Senāta ieskatā, ir saprotami, ka biroja telpas ir telpas, kurās var ierasties, piemēram, uzņēmuma sadarbības part</w:t>
      </w:r>
      <w:r w:rsidR="00CC77F4">
        <w:t>n</w:t>
      </w:r>
      <w:r w:rsidRPr="00A6094E">
        <w:t xml:space="preserve">eri, lai vienotos par sadarbību, vai klienti, lai saņemtu vai vienotos par uzņēmuma piedāvātajiem pakalpojumiem (piemēram, ja biroja telpas lieto juridisko pakalpojumu sniegšanas uzņēmums, grāmatvedības pakalpojumu sniegšanas uzņēmums, mārketinga pakalpojumu sniegšanas uzņēmums). </w:t>
      </w:r>
      <w:r w:rsidR="004F57E6">
        <w:t>Šādi</w:t>
      </w:r>
      <w:r w:rsidR="002B3E42">
        <w:t xml:space="preserve"> biroja telpu lietošanas būtība atspoguļota arī </w:t>
      </w:r>
      <w:r w:rsidR="002B3E42" w:rsidRPr="00A6094E">
        <w:t>Būvju klasifikācijas noteikum</w:t>
      </w:r>
      <w:r w:rsidR="002B3E42">
        <w:t xml:space="preserve">os, norādot, ka tās ir telpas, kas citstarp tiek izmantotas darījumu slēgšanai un dažādiem administratīvajiem mērķiem </w:t>
      </w:r>
      <w:r w:rsidR="002B3E42" w:rsidRPr="00A6094E">
        <w:t xml:space="preserve"> </w:t>
      </w:r>
      <w:r w:rsidR="002B3E42">
        <w:t xml:space="preserve">(36.punkts). </w:t>
      </w:r>
      <w:r w:rsidRPr="00A6094E">
        <w:t xml:space="preserve">Protams, nevar izslēgt, ka var būt arī tādas biroju telpas, kur apmeklētāji neienāk un kas tiek izmantotas tikai </w:t>
      </w:r>
      <w:r w:rsidR="00083F18" w:rsidRPr="00A6094E">
        <w:t xml:space="preserve">ar apmeklētājiem nesaistītu </w:t>
      </w:r>
      <w:r w:rsidRPr="00A6094E">
        <w:t xml:space="preserve">darba pienākumu veikšanai. Tomēr, kā apgabaltiesa spriedumā pareizi norādījusi, vērtējot, vai ēka uzskatāma par publisku ēku, ir ņemams vērā būves un telpu grupas paredzētais (iespējamais, pieļaujamais) izmantošanas veids. Proti, telpu atzīšanai par publiskām pietiek, ka tās ir paredzētas kā biroju telpas un līdz ar to šajās telpās var notikt arī tāds darba process, kas ir saistīts ar apmeklētāju ierašanos. </w:t>
      </w:r>
    </w:p>
    <w:p w14:paraId="24C72D8F" w14:textId="77777777" w:rsidR="00382E7E" w:rsidRPr="00A6094E" w:rsidRDefault="00382E7E" w:rsidP="0052792A">
      <w:pPr>
        <w:shd w:val="clear" w:color="auto" w:fill="FFFFFF"/>
        <w:spacing w:line="276" w:lineRule="auto"/>
        <w:ind w:firstLine="720"/>
        <w:jc w:val="both"/>
      </w:pPr>
    </w:p>
    <w:p w14:paraId="59A8335C" w14:textId="008F307F" w:rsidR="00382E7E" w:rsidRPr="00A6094E" w:rsidRDefault="00382E7E" w:rsidP="0052792A">
      <w:pPr>
        <w:shd w:val="clear" w:color="auto" w:fill="FFFFFF"/>
        <w:spacing w:line="276" w:lineRule="auto"/>
        <w:ind w:firstLine="720"/>
        <w:jc w:val="both"/>
      </w:pPr>
      <w:r w:rsidRPr="00A6094E">
        <w:t>[</w:t>
      </w:r>
      <w:r w:rsidR="004A2931" w:rsidRPr="00A6094E">
        <w:t>8</w:t>
      </w:r>
      <w:r w:rsidRPr="00A6094E">
        <w:t xml:space="preserve">] Pieteicēja iebildusi </w:t>
      </w:r>
      <w:r w:rsidR="00811F93" w:rsidRPr="00A6094E">
        <w:t>pret to</w:t>
      </w:r>
      <w:r w:rsidRPr="00A6094E">
        <w:t xml:space="preserve">, ka apgabaltiesa spriedumā </w:t>
      </w:r>
      <w:r w:rsidR="00811F93" w:rsidRPr="00A6094E">
        <w:t xml:space="preserve">citstarp </w:t>
      </w:r>
      <w:r w:rsidRPr="00A6094E">
        <w:t xml:space="preserve">atsaukusies </w:t>
      </w:r>
      <w:r w:rsidR="00811F93" w:rsidRPr="00A6094E">
        <w:t xml:space="preserve">arī </w:t>
      </w:r>
      <w:r w:rsidRPr="00A6094E">
        <w:t>uz Būvju vispārīgo prasību būvnorma</w:t>
      </w:r>
      <w:r w:rsidR="00504507" w:rsidRPr="00A6094E">
        <w:t>tīvu</w:t>
      </w:r>
      <w:r w:rsidR="00325DEC" w:rsidRPr="00A6094E">
        <w:t>, kas stājies spēkā jau pēc strīdus ēkas pārbaudes un pārsūdzētā lēmuma pieņemšanas.</w:t>
      </w:r>
    </w:p>
    <w:p w14:paraId="4942ECA4" w14:textId="11D603FE" w:rsidR="00325DEC" w:rsidRPr="00A6094E" w:rsidRDefault="00BA3BE1" w:rsidP="0052792A">
      <w:pPr>
        <w:shd w:val="clear" w:color="auto" w:fill="FFFFFF"/>
        <w:spacing w:line="276" w:lineRule="auto"/>
        <w:ind w:firstLine="720"/>
        <w:jc w:val="both"/>
      </w:pPr>
      <w:r w:rsidRPr="00A6094E">
        <w:t>Tomēr no apgabaltiesas sprieduma</w:t>
      </w:r>
      <w:r w:rsidR="00E11B1D" w:rsidRPr="00A6094E">
        <w:t xml:space="preserve"> (16.punkta divas pēdējās rindkopas)</w:t>
      </w:r>
      <w:r w:rsidRPr="00A6094E">
        <w:t xml:space="preserve"> nepārprotami izriet tas, ka </w:t>
      </w:r>
      <w:r w:rsidR="003606FC" w:rsidRPr="00A6094E">
        <w:t>minētais</w:t>
      </w:r>
      <w:r w:rsidR="001D20FD" w:rsidRPr="00A6094E">
        <w:t xml:space="preserve"> šobrīd spēkā esošais</w:t>
      </w:r>
      <w:r w:rsidR="003606FC" w:rsidRPr="00A6094E">
        <w:t xml:space="preserve"> būvnormatīvs pieminēts tikai</w:t>
      </w:r>
      <w:r w:rsidR="00504507" w:rsidRPr="00A6094E">
        <w:t xml:space="preserve"> kā </w:t>
      </w:r>
      <w:r w:rsidR="007632F8" w:rsidRPr="00A6094E">
        <w:t>papildu arguments</w:t>
      </w:r>
      <w:r w:rsidR="00325DEC" w:rsidRPr="00A6094E">
        <w:t xml:space="preserve"> apgabaltiesas secinājumam, ka strīdus ēku ir pamats atzīt par publisku ēku.</w:t>
      </w:r>
      <w:r w:rsidR="001D20FD" w:rsidRPr="00A6094E">
        <w:t xml:space="preserve"> Minētais būvnormatīvs piesaukts un analizēts, tikai lai ilustrētu apgabaltiesas uzskatu, ka tiesiskais regulējums kopš strīdus momenta nav pēc būtības mainījies.</w:t>
      </w:r>
    </w:p>
    <w:p w14:paraId="0EADD50E" w14:textId="77777777" w:rsidR="00325DEC" w:rsidRPr="00A6094E" w:rsidRDefault="00325DEC" w:rsidP="0052792A">
      <w:pPr>
        <w:shd w:val="clear" w:color="auto" w:fill="FFFFFF"/>
        <w:spacing w:line="276" w:lineRule="auto"/>
        <w:ind w:firstLine="720"/>
        <w:jc w:val="both"/>
      </w:pPr>
    </w:p>
    <w:p w14:paraId="39D6E445" w14:textId="27D5E08A" w:rsidR="00C5769D" w:rsidRPr="00A6094E" w:rsidRDefault="005978B2" w:rsidP="0052792A">
      <w:pPr>
        <w:shd w:val="clear" w:color="auto" w:fill="FFFFFF"/>
        <w:spacing w:line="276" w:lineRule="auto"/>
        <w:ind w:firstLine="720"/>
        <w:jc w:val="both"/>
      </w:pPr>
      <w:r w:rsidRPr="00A6094E">
        <w:lastRenderedPageBreak/>
        <w:t>[</w:t>
      </w:r>
      <w:r w:rsidR="00A6094E">
        <w:t>9</w:t>
      </w:r>
      <w:r w:rsidRPr="00A6094E">
        <w:t xml:space="preserve">] </w:t>
      </w:r>
      <w:r w:rsidR="00C5769D" w:rsidRPr="00A6094E">
        <w:t>Pieteicēja kasācijas sūdzībā iebildusi arī p</w:t>
      </w:r>
      <w:r w:rsidR="00083F18" w:rsidRPr="00A6094E">
        <w:t>ret</w:t>
      </w:r>
      <w:r w:rsidR="00C5769D" w:rsidRPr="00A6094E">
        <w:t xml:space="preserve"> to, ka apgabaltiesa spriedumā n</w:t>
      </w:r>
      <w:r w:rsidR="00A977AC" w:rsidRPr="00A6094E">
        <w:t>eesot</w:t>
      </w:r>
      <w:r w:rsidR="00C5769D" w:rsidRPr="00A6094E">
        <w:t xml:space="preserve"> piemērojusi Būvniecības likuma normas par valsts un pašvaldības pārvaldes institūciju kompetenci būvniecības jomā</w:t>
      </w:r>
      <w:r w:rsidR="003A604F" w:rsidRPr="00A6094E">
        <w:t xml:space="preserve"> kopsakarā ar </w:t>
      </w:r>
      <w:r w:rsidR="00C5769D" w:rsidRPr="00A6094E">
        <w:t xml:space="preserve">labas pārvaldības principu. No kasācijas sūdzībā norādītā secināms, ka pieteicēju neapmierina tas, ka </w:t>
      </w:r>
      <w:r w:rsidR="00A977AC" w:rsidRPr="00A6094E">
        <w:rPr>
          <w:shd w:val="clear" w:color="auto" w:fill="FFFFFF"/>
        </w:rPr>
        <w:t>Būvniecības valsts kontroles</w:t>
      </w:r>
      <w:r w:rsidR="00A977AC" w:rsidRPr="00A6094E">
        <w:t xml:space="preserve"> </w:t>
      </w:r>
      <w:r w:rsidR="001120B4" w:rsidRPr="00A6094E">
        <w:t xml:space="preserve">biroja pieņemtajā pārsūdzētajā lēmumā </w:t>
      </w:r>
      <w:r w:rsidR="00C5769D" w:rsidRPr="00A6094E">
        <w:t xml:space="preserve">pieteicējai </w:t>
      </w:r>
      <w:r w:rsidR="00A977AC" w:rsidRPr="00A6094E">
        <w:t xml:space="preserve">uzlikts pienākums </w:t>
      </w:r>
      <w:r w:rsidR="00C5769D" w:rsidRPr="00A6094E">
        <w:t xml:space="preserve">iesniegt </w:t>
      </w:r>
      <w:r w:rsidR="00A977AC" w:rsidRPr="00A6094E">
        <w:t xml:space="preserve">būvniecības </w:t>
      </w:r>
      <w:r w:rsidR="00C5769D" w:rsidRPr="00A6094E">
        <w:t>dokumentāciju būvvaldē. Pieteicējas ieskatā</w:t>
      </w:r>
      <w:r w:rsidR="006D0502" w:rsidRPr="00A6094E">
        <w:t>,</w:t>
      </w:r>
      <w:r w:rsidR="00FA27B9" w:rsidRPr="00A6094E">
        <w:t xml:space="preserve"> </w:t>
      </w:r>
      <w:r w:rsidR="006D0502" w:rsidRPr="00A6094E">
        <w:t>j</w:t>
      </w:r>
      <w:r w:rsidR="00FA27B9" w:rsidRPr="00A6094E">
        <w:t xml:space="preserve">a </w:t>
      </w:r>
      <w:r w:rsidR="00A977AC" w:rsidRPr="00A6094E">
        <w:t xml:space="preserve">reiz </w:t>
      </w:r>
      <w:r w:rsidR="00FA27B9" w:rsidRPr="00A6094E">
        <w:t>strīdus ēka</w:t>
      </w:r>
      <w:r w:rsidR="006D0502" w:rsidRPr="00A6094E">
        <w:t>s uzraudzība ir</w:t>
      </w:r>
      <w:r w:rsidR="00FA27B9" w:rsidRPr="00A6094E">
        <w:t xml:space="preserve"> piekritīga </w:t>
      </w:r>
      <w:r w:rsidR="00A977AC" w:rsidRPr="00A6094E">
        <w:rPr>
          <w:shd w:val="clear" w:color="auto" w:fill="FFFFFF"/>
        </w:rPr>
        <w:t>Būvniecības valsts kontroles</w:t>
      </w:r>
      <w:r w:rsidR="00A977AC" w:rsidRPr="00A6094E">
        <w:t xml:space="preserve"> </w:t>
      </w:r>
      <w:r w:rsidR="00FA27B9" w:rsidRPr="00A6094E">
        <w:t>birojam, visas darbības (</w:t>
      </w:r>
      <w:r w:rsidR="00A977AC" w:rsidRPr="00A6094E">
        <w:t xml:space="preserve">arī </w:t>
      </w:r>
      <w:r w:rsidR="00FA27B9" w:rsidRPr="00A6094E">
        <w:t>būvniecības ieceres iesnieguma pieņemšana, izskatīšana, ieceres akcepts vai tā</w:t>
      </w:r>
      <w:r w:rsidR="00972D9E" w:rsidRPr="00A6094E">
        <w:t xml:space="preserve"> atteikums) jānodrošina birojam</w:t>
      </w:r>
      <w:r w:rsidR="00FA27B9" w:rsidRPr="00A6094E">
        <w:t xml:space="preserve">. </w:t>
      </w:r>
      <w:r w:rsidR="00CA3426" w:rsidRPr="00A6094E">
        <w:t>Tāpēc esot</w:t>
      </w:r>
      <w:r w:rsidR="00FA27B9" w:rsidRPr="00A6094E">
        <w:t xml:space="preserve"> notikusi iestāžu funkciju būvniecības jomā dublēšanās un pārklāšanās, kas ir pretēja labas pārvaldības principam</w:t>
      </w:r>
      <w:r w:rsidR="003A604F" w:rsidRPr="00A6094E">
        <w:t>, va</w:t>
      </w:r>
      <w:r w:rsidR="00083F18" w:rsidRPr="00A6094E">
        <w:t>i</w:t>
      </w:r>
      <w:r w:rsidR="003A604F" w:rsidRPr="00A6094E">
        <w:t xml:space="preserve"> arī nepamatota uzdevuma deleģēšana</w:t>
      </w:r>
      <w:r w:rsidR="00FA27B9" w:rsidRPr="00A6094E">
        <w:t>.</w:t>
      </w:r>
    </w:p>
    <w:p w14:paraId="7FCCCDAD" w14:textId="77777777" w:rsidR="00B938CD" w:rsidRPr="00A6094E" w:rsidRDefault="00B938CD" w:rsidP="0052792A">
      <w:pPr>
        <w:shd w:val="clear" w:color="auto" w:fill="FFFFFF"/>
        <w:spacing w:line="276" w:lineRule="auto"/>
        <w:ind w:firstLine="720"/>
        <w:jc w:val="both"/>
      </w:pPr>
    </w:p>
    <w:p w14:paraId="1A2D9391" w14:textId="2378C5BF" w:rsidR="00A977AC" w:rsidRPr="00A6094E" w:rsidRDefault="00B938CD" w:rsidP="0052792A">
      <w:pPr>
        <w:shd w:val="clear" w:color="auto" w:fill="FFFFFF"/>
        <w:spacing w:line="276" w:lineRule="auto"/>
        <w:ind w:firstLine="720"/>
        <w:jc w:val="both"/>
      </w:pPr>
      <w:r w:rsidRPr="00A6094E">
        <w:t>[1</w:t>
      </w:r>
      <w:r w:rsidR="00A6094E">
        <w:t>0</w:t>
      </w:r>
      <w:r w:rsidRPr="00A6094E">
        <w:t xml:space="preserve">] </w:t>
      </w:r>
      <w:r w:rsidR="00A977AC" w:rsidRPr="00A6094E">
        <w:t>Šajā sakarā visupirms norādāms, ka minētie pieteicējas apsvērumi jebkurā gadījumā nevar mainīt to, ka pareizs ir apgabaltiesas secinājums</w:t>
      </w:r>
      <w:r w:rsidR="003A604F" w:rsidRPr="00A6094E">
        <w:t xml:space="preserve"> par </w:t>
      </w:r>
      <w:r w:rsidR="00A977AC" w:rsidRPr="00A6094E">
        <w:t>Būvniecības valsts kontroles biroja</w:t>
      </w:r>
      <w:r w:rsidR="003A604F" w:rsidRPr="00A6094E">
        <w:t xml:space="preserve"> tiesībām</w:t>
      </w:r>
      <w:r w:rsidR="00A977AC" w:rsidRPr="00A6094E">
        <w:t xml:space="preserve"> veikt </w:t>
      </w:r>
      <w:r w:rsidR="003A604F" w:rsidRPr="00A6094E">
        <w:t xml:space="preserve">strīdus ēkas ekspluatācijas </w:t>
      </w:r>
      <w:r w:rsidR="00A977AC" w:rsidRPr="00A6094E">
        <w:t xml:space="preserve">uzraudzību. Tieši uzskats, ka Būvniecības valsts kontroles birojam nav kompetences veikt šādu uzraudzību, ir pieteicējas pieteikuma </w:t>
      </w:r>
      <w:r w:rsidR="00CA3426" w:rsidRPr="00A6094E">
        <w:t xml:space="preserve">pamats </w:t>
      </w:r>
      <w:r w:rsidR="00A977AC" w:rsidRPr="00A6094E">
        <w:t xml:space="preserve">izskatāmajā lietā. </w:t>
      </w:r>
      <w:r w:rsidR="00CA3426" w:rsidRPr="00A6094E">
        <w:t xml:space="preserve">Ne pieteikumā, ne apelācijas sūdzībā pieteicēja nebija norādījusi, ka nepiekrīt pārsūdzētajam lēmumam tāpēc, ka tajā ir uzdots saskaņot patvaļīgos būvdarbus būvvaldē, nevis Būvniecības valsts kontroles birojā. Norādi, ka administratīvajā aktā ietverts šāds pienākums, pieteicēja tiesvedības gaitā būtībā izmantojusi tikai kā apstākli, kas, pieteicējas ieskatā, apliecināja, ka </w:t>
      </w:r>
      <w:r w:rsidR="003A5995" w:rsidRPr="00A6094E">
        <w:t xml:space="preserve">Būvniecības valsts kontroles </w:t>
      </w:r>
      <w:r w:rsidR="00CA3426" w:rsidRPr="00A6094E">
        <w:t>biroja kompetencē n</w:t>
      </w:r>
      <w:r w:rsidR="003A604F" w:rsidRPr="00A6094E">
        <w:t>evar</w:t>
      </w:r>
      <w:r w:rsidR="00CA3426" w:rsidRPr="00A6094E">
        <w:t xml:space="preserve"> būt strīdus ēkas ekspluatācijas un pārbūves uzraudzība. Līdz ar to nav pamata pārmest apgabaltiesai, ka tā, izspriežot lietu, nav īpaši pievērsusies jautājumam, kāpēc pārsūdzētajā lēmumā būvdarbu saskaņošana noteikta būvvaldē, nevis Būvniecības valsts kontroles birojā.</w:t>
      </w:r>
    </w:p>
    <w:p w14:paraId="1B4A96CF" w14:textId="1F21F744" w:rsidR="002277A8" w:rsidRPr="00A6094E" w:rsidRDefault="00CA3426" w:rsidP="0052792A">
      <w:pPr>
        <w:shd w:val="clear" w:color="auto" w:fill="FFFFFF"/>
        <w:spacing w:line="276" w:lineRule="auto"/>
        <w:ind w:firstLine="720"/>
        <w:jc w:val="both"/>
      </w:pPr>
      <w:r w:rsidRPr="00A6094E">
        <w:t xml:space="preserve">Vienlaikus pieteicējai paskaidrojams, ka </w:t>
      </w:r>
      <w:r w:rsidR="007D2A38" w:rsidRPr="00A6094E">
        <w:t xml:space="preserve">būvniecības tiesiskā regulējuma specifika ir tāda, ka būvniecība, tās kontrole un būvju atbilstība dažādām prasībām var būt dažādu iestāžu kompetencē. </w:t>
      </w:r>
      <w:r w:rsidRPr="00A6094E">
        <w:t>P</w:t>
      </w:r>
      <w:r w:rsidR="007D2A38" w:rsidRPr="00A6094E">
        <w:t>iekritība konkrētai iestādei ir atkarīga no būvniecības stadijas un pārbaudāmā priekšmeta. Šāda kār</w:t>
      </w:r>
      <w:r w:rsidR="003A5995">
        <w:t>t</w:t>
      </w:r>
      <w:r w:rsidR="007D2A38" w:rsidRPr="00A6094E">
        <w:t>ība pati par sevi nenozīmē, ka tā būtu pretrunā ar labas pārvaldības principu</w:t>
      </w:r>
      <w:r w:rsidR="003C7A74" w:rsidRPr="00A6094E">
        <w:t>, jo iestāžu kompetences ir nodalītas.</w:t>
      </w:r>
      <w:r w:rsidR="003A604F" w:rsidRPr="00A6094E">
        <w:t xml:space="preserve"> Proti, </w:t>
      </w:r>
      <w:r w:rsidR="000B1989" w:rsidRPr="00A6094E">
        <w:t>Būvniecības likuma 6.</w:t>
      </w:r>
      <w:r w:rsidR="000B1989" w:rsidRPr="00A6094E">
        <w:rPr>
          <w:vertAlign w:val="superscript"/>
        </w:rPr>
        <w:t>1</w:t>
      </w:r>
      <w:r w:rsidR="000B1989" w:rsidRPr="00A6094E">
        <w:t>pant</w:t>
      </w:r>
      <w:r w:rsidR="003A604F" w:rsidRPr="00A6094E">
        <w:t>s</w:t>
      </w:r>
      <w:r w:rsidR="000B1989" w:rsidRPr="00A6094E">
        <w:t xml:space="preserve"> paredz</w:t>
      </w:r>
      <w:r w:rsidR="003A604F" w:rsidRPr="00A6094E">
        <w:t xml:space="preserve">, ka </w:t>
      </w:r>
      <w:r w:rsidR="00746E4C" w:rsidRPr="00A6094E">
        <w:t>atsevišķas</w:t>
      </w:r>
      <w:r w:rsidR="000B1989" w:rsidRPr="00A6094E">
        <w:t xml:space="preserve"> būvvaldes funkcijas</w:t>
      </w:r>
      <w:r w:rsidR="00314CB4" w:rsidRPr="00A6094E">
        <w:t xml:space="preserve"> attiecībā uz publiskām ēkām</w:t>
      </w:r>
      <w:r w:rsidR="000B1989" w:rsidRPr="00A6094E">
        <w:t xml:space="preserve"> pilda </w:t>
      </w:r>
      <w:r w:rsidR="003A5995" w:rsidRPr="00A6094E">
        <w:t xml:space="preserve">Būvniecības valsts kontroles </w:t>
      </w:r>
      <w:r w:rsidR="000B1989" w:rsidRPr="00A6094E">
        <w:t>birojs</w:t>
      </w:r>
      <w:r w:rsidR="004F57E6">
        <w:t xml:space="preserve"> – </w:t>
      </w:r>
      <w:r w:rsidR="00746E4C" w:rsidRPr="00A6094E">
        <w:t>Būvniecības likuma 12.panta trešās daļas 1., 5.</w:t>
      </w:r>
      <w:r w:rsidR="00746E4C" w:rsidRPr="00A6094E">
        <w:rPr>
          <w:vertAlign w:val="superscript"/>
        </w:rPr>
        <w:t>1</w:t>
      </w:r>
      <w:r w:rsidR="00746E4C" w:rsidRPr="00A6094E">
        <w:t xml:space="preserve"> un 7.punktā noteiktās būvvaldes funkcijas, 18.pantā noteikt</w:t>
      </w:r>
      <w:r w:rsidR="004F57E6">
        <w:t>ās</w:t>
      </w:r>
      <w:r w:rsidR="00746E4C" w:rsidRPr="00A6094E">
        <w:t xml:space="preserve"> darbīb</w:t>
      </w:r>
      <w:r w:rsidR="004F57E6">
        <w:t xml:space="preserve">as, kā arī </w:t>
      </w:r>
      <w:r w:rsidR="00746E4C" w:rsidRPr="00A6094E">
        <w:t>publisku ēku ekspluatācijas kontrol</w:t>
      </w:r>
      <w:r w:rsidR="004F57E6">
        <w:t>i</w:t>
      </w:r>
      <w:r w:rsidR="00746E4C" w:rsidRPr="00A6094E">
        <w:t xml:space="preserve"> 21.pantā noteiktajā kārtībā.</w:t>
      </w:r>
      <w:r w:rsidR="00E5561D" w:rsidRPr="00A6094E">
        <w:t xml:space="preserve"> Citas būvvaldes funkcijas </w:t>
      </w:r>
      <w:r w:rsidR="00D87CD3" w:rsidRPr="00A6094E">
        <w:t xml:space="preserve">Būvniecības valsts kontroles </w:t>
      </w:r>
      <w:r w:rsidR="00E5561D" w:rsidRPr="00A6094E">
        <w:t>birojs nepilda.</w:t>
      </w:r>
      <w:r w:rsidR="00497641" w:rsidRPr="00A6094E">
        <w:t xml:space="preserve"> Savukārt Būvniecības likuma 7.panta otrajā daļā noteikts, ka savus pienākumus būvniecības procesa tiesiskuma nodrošināšanā pašvaldība neveic attiecībā uz būvniecības procesiem vai to daļām, kas atbilstoši šā likuma 6.</w:t>
      </w:r>
      <w:r w:rsidR="00497641" w:rsidRPr="00A6094E">
        <w:rPr>
          <w:vertAlign w:val="superscript"/>
        </w:rPr>
        <w:t>1</w:t>
      </w:r>
      <w:r w:rsidR="00497641" w:rsidRPr="00A6094E">
        <w:t xml:space="preserve">pantā noteiktajam ir </w:t>
      </w:r>
      <w:r w:rsidR="00D87CD3" w:rsidRPr="00A6094E">
        <w:t xml:space="preserve">Būvniecības valsts kontroles </w:t>
      </w:r>
      <w:r w:rsidR="00497641" w:rsidRPr="00A6094E">
        <w:t>biroja vai citas institūcijas, kura pilda būvvaldes funkcijas, kompetencē.</w:t>
      </w:r>
      <w:r w:rsidRPr="00A6094E">
        <w:t xml:space="preserve"> </w:t>
      </w:r>
      <w:r w:rsidR="00314CB4" w:rsidRPr="00A6094E">
        <w:t>Tā</w:t>
      </w:r>
      <w:r w:rsidRPr="00A6094E">
        <w:t>dējādi</w:t>
      </w:r>
      <w:r w:rsidR="00314CB4" w:rsidRPr="00A6094E">
        <w:t xml:space="preserve"> Būvniecības likums neparedz, ka </w:t>
      </w:r>
      <w:r w:rsidR="00D87CD3" w:rsidRPr="00A6094E">
        <w:t xml:space="preserve">Būvniecības valsts kontroles </w:t>
      </w:r>
      <w:r w:rsidR="00314CB4" w:rsidRPr="00A6094E">
        <w:t xml:space="preserve">birojs </w:t>
      </w:r>
      <w:r w:rsidR="00182088" w:rsidRPr="00A6094E">
        <w:t>veic tos pašus pien</w:t>
      </w:r>
      <w:r w:rsidR="00596C29" w:rsidRPr="00A6094E">
        <w:t xml:space="preserve">ākumus, ko </w:t>
      </w:r>
      <w:r w:rsidR="00182088" w:rsidRPr="00A6094E">
        <w:t>būvvalde</w:t>
      </w:r>
      <w:r w:rsidR="00596C29" w:rsidRPr="00A6094E">
        <w:t>,</w:t>
      </w:r>
      <w:r w:rsidR="00182088" w:rsidRPr="00A6094E">
        <w:t xml:space="preserve"> vai ka </w:t>
      </w:r>
      <w:r w:rsidR="00314CB4" w:rsidRPr="00A6094E">
        <w:t>pilnībā aizst</w:t>
      </w:r>
      <w:r w:rsidR="00182088" w:rsidRPr="00A6094E">
        <w:t>āj</w:t>
      </w:r>
      <w:r w:rsidR="00314CB4" w:rsidRPr="00A6094E">
        <w:t xml:space="preserve"> būvvaldi, bet gan noteic konkrētus pienākumus, ko attiecībā uz publiskām ēkām veic </w:t>
      </w:r>
      <w:r w:rsidR="00E30D3B" w:rsidRPr="00A6094E">
        <w:t xml:space="preserve">tikai </w:t>
      </w:r>
      <w:r w:rsidR="00D87CD3" w:rsidRPr="00A6094E">
        <w:t xml:space="preserve">Būvniecības valsts kontroles </w:t>
      </w:r>
      <w:r w:rsidR="00314CB4" w:rsidRPr="00A6094E">
        <w:t>birojs, nevis būvvalde</w:t>
      </w:r>
      <w:r w:rsidR="00E5561D" w:rsidRPr="00A6094E">
        <w:t>.</w:t>
      </w:r>
      <w:r w:rsidRPr="00A6094E">
        <w:t xml:space="preserve"> </w:t>
      </w:r>
      <w:r w:rsidR="00E5561D" w:rsidRPr="00A6094E">
        <w:t xml:space="preserve">Tāpēc nav pamata apgalvot, ka abu iestāžu funkcijas pārklātos. </w:t>
      </w:r>
      <w:r w:rsidR="0035563A" w:rsidRPr="00A6094E">
        <w:t xml:space="preserve">Turklāt jāpiebilst, ka </w:t>
      </w:r>
      <w:r w:rsidR="0046489B" w:rsidRPr="00A6094E">
        <w:t>pieteicēja kļūdaini interpretē Būvniec</w:t>
      </w:r>
      <w:r w:rsidR="00263076" w:rsidRPr="00A6094E">
        <w:t>ības likuma 14.pantu</w:t>
      </w:r>
      <w:r w:rsidR="0046489B" w:rsidRPr="00A6094E">
        <w:t xml:space="preserve">, domājot, ka ar </w:t>
      </w:r>
      <w:r w:rsidR="00263076" w:rsidRPr="00A6094E">
        <w:t>„</w:t>
      </w:r>
      <w:r w:rsidR="0046489B" w:rsidRPr="00A6094E">
        <w:t>institūciju</w:t>
      </w:r>
      <w:r w:rsidR="00263076" w:rsidRPr="00A6094E">
        <w:t>, kura pilda būvvaldes funkcijas”</w:t>
      </w:r>
      <w:r w:rsidR="007904DE" w:rsidRPr="00A6094E">
        <w:t>, kurā iesniedzams būvniecības ieceres iesniegums un kura lemj par tā saskaņošanu,</w:t>
      </w:r>
      <w:r w:rsidR="0046489B" w:rsidRPr="00A6094E">
        <w:t xml:space="preserve"> domāts arī </w:t>
      </w:r>
      <w:r w:rsidR="00A6094E" w:rsidRPr="00A6094E">
        <w:t xml:space="preserve">Būvniecības valsts kontroles </w:t>
      </w:r>
      <w:r w:rsidR="0046489B" w:rsidRPr="00A6094E">
        <w:t>birojs.</w:t>
      </w:r>
      <w:r w:rsidR="002277A8" w:rsidRPr="00A6094E">
        <w:t xml:space="preserve"> No likumā lietotās </w:t>
      </w:r>
      <w:r w:rsidR="002277A8" w:rsidRPr="00A6094E">
        <w:lastRenderedPageBreak/>
        <w:t xml:space="preserve">terminoloģijas redzams, ka gadījumos, kad likumdevējs vēlējies norādīt uz </w:t>
      </w:r>
      <w:r w:rsidRPr="00A6094E">
        <w:t xml:space="preserve">Būvniecības valsts kontroles </w:t>
      </w:r>
      <w:r w:rsidR="002277A8" w:rsidRPr="00A6094E">
        <w:t>biroja kompetenci, tas likumā to īpaši uzsvēris</w:t>
      </w:r>
      <w:r w:rsidR="007904DE" w:rsidRPr="00A6094E">
        <w:t xml:space="preserve"> un lietojis</w:t>
      </w:r>
      <w:r w:rsidR="002277A8" w:rsidRPr="00A6094E">
        <w:t xml:space="preserve"> </w:t>
      </w:r>
      <w:r w:rsidR="007904DE" w:rsidRPr="00A6094E">
        <w:t xml:space="preserve">konkrētu norādi uz biroju </w:t>
      </w:r>
      <w:r w:rsidR="002277A8" w:rsidRPr="00A6094E">
        <w:t xml:space="preserve">papildus norādēm uz būvvaldi un </w:t>
      </w:r>
      <w:r w:rsidR="007904DE" w:rsidRPr="00A6094E">
        <w:t>institūcijām</w:t>
      </w:r>
      <w:r w:rsidR="002277A8" w:rsidRPr="00A6094E">
        <w:t>, kura</w:t>
      </w:r>
      <w:r w:rsidR="007904DE" w:rsidRPr="00A6094E">
        <w:t>s</w:t>
      </w:r>
      <w:r w:rsidR="002277A8" w:rsidRPr="00A6094E">
        <w:t xml:space="preserve"> pilda būvvaldes funkcijas</w:t>
      </w:r>
      <w:r w:rsidR="007904DE" w:rsidRPr="00A6094E">
        <w:t>.</w:t>
      </w:r>
    </w:p>
    <w:p w14:paraId="4300D6A0" w14:textId="517DBF09" w:rsidR="00F60E73" w:rsidRPr="00A6094E" w:rsidRDefault="00E5561D" w:rsidP="0052792A">
      <w:pPr>
        <w:shd w:val="clear" w:color="auto" w:fill="FFFFFF"/>
        <w:spacing w:line="276" w:lineRule="auto"/>
        <w:ind w:firstLine="720"/>
        <w:jc w:val="both"/>
      </w:pPr>
      <w:r w:rsidRPr="00A6094E">
        <w:t xml:space="preserve">Tāpat nav pamata apgalvot, ka </w:t>
      </w:r>
      <w:r w:rsidR="006E0B30" w:rsidRPr="00A6094E">
        <w:t xml:space="preserve">Būvniecības valsts kontroles </w:t>
      </w:r>
      <w:r w:rsidRPr="00A6094E">
        <w:t xml:space="preserve">birojs būtu deleģējis kādus pienākumus būvvaldei. </w:t>
      </w:r>
      <w:r w:rsidR="00F60E73" w:rsidRPr="00A6094E">
        <w:t xml:space="preserve">Deleģēt var tikai tādu valsts pārvaldes uzdevumu, kas ir attiecīgās iestādes kompetencē un kura deleģēšanas iespēju nosaka likums (sk. arī Valsts pārvaldes iekārtas likuma 40.panta trešo daļu). </w:t>
      </w:r>
      <w:r w:rsidR="004B6D7E" w:rsidRPr="00A6094E">
        <w:t>Būvniecības likuma 14.pants paredz, ka būvniecības ieceres dokumentācija iesniedzama būvvaldē un ka būvvaldes kompetencē ir tās saskaņošana. Būvniecības likuma 6.</w:t>
      </w:r>
      <w:r w:rsidR="004B6D7E" w:rsidRPr="00A6094E">
        <w:rPr>
          <w:vertAlign w:val="superscript"/>
        </w:rPr>
        <w:t>1</w:t>
      </w:r>
      <w:r w:rsidR="004B6D7E" w:rsidRPr="00A6094E">
        <w:t xml:space="preserve">panta otrā daļa nenoteic, ka šīs funkcijas publiskas ēkas gadījumā ir jāpilda </w:t>
      </w:r>
      <w:r w:rsidR="00A6094E" w:rsidRPr="00A6094E">
        <w:t xml:space="preserve">Būvniecības valsts kontroles </w:t>
      </w:r>
      <w:r w:rsidR="004B6D7E" w:rsidRPr="00A6094E">
        <w:t xml:space="preserve">birojam. </w:t>
      </w:r>
    </w:p>
    <w:p w14:paraId="3EEF3139" w14:textId="77777777" w:rsidR="0094012D" w:rsidRPr="00A6094E" w:rsidRDefault="0094012D" w:rsidP="0052792A">
      <w:pPr>
        <w:shd w:val="clear" w:color="auto" w:fill="FFFFFF"/>
        <w:spacing w:line="276" w:lineRule="auto"/>
        <w:ind w:firstLine="720"/>
        <w:jc w:val="both"/>
      </w:pPr>
    </w:p>
    <w:p w14:paraId="07334861" w14:textId="3E55BA60" w:rsidR="004A2931" w:rsidRPr="00A6094E" w:rsidRDefault="004921A2" w:rsidP="0052792A">
      <w:pPr>
        <w:shd w:val="clear" w:color="auto" w:fill="FFFFFF"/>
        <w:spacing w:line="276" w:lineRule="auto"/>
        <w:ind w:firstLine="720"/>
        <w:jc w:val="both"/>
      </w:pPr>
      <w:r w:rsidRPr="00A6094E">
        <w:t>[</w:t>
      </w:r>
      <w:r w:rsidR="00C02FC5" w:rsidRPr="00A6094E">
        <w:t>1</w:t>
      </w:r>
      <w:r w:rsidR="00A6094E">
        <w:t>1</w:t>
      </w:r>
      <w:r w:rsidRPr="00A6094E">
        <w:t>] Rezumējot minēto, Senāts atzīst, ka kasācijas sūdzības argumenti nevar būt pamats apgabaltiesas sprieduma atcelšanai.</w:t>
      </w:r>
    </w:p>
    <w:p w14:paraId="47F5357A" w14:textId="77777777" w:rsidR="003A7618" w:rsidRPr="00A6094E" w:rsidRDefault="003A7618" w:rsidP="0052792A">
      <w:pPr>
        <w:shd w:val="clear" w:color="auto" w:fill="FFFFFF"/>
        <w:spacing w:line="276" w:lineRule="auto"/>
        <w:ind w:firstLine="720"/>
        <w:jc w:val="both"/>
      </w:pPr>
    </w:p>
    <w:p w14:paraId="24480BAF" w14:textId="77777777" w:rsidR="00DB7901" w:rsidRPr="00A6094E" w:rsidRDefault="00DB7901" w:rsidP="0052792A">
      <w:pPr>
        <w:shd w:val="clear" w:color="auto" w:fill="FFFFFF"/>
        <w:spacing w:line="276" w:lineRule="auto"/>
        <w:jc w:val="center"/>
        <w:rPr>
          <w:b/>
        </w:rPr>
      </w:pPr>
      <w:r w:rsidRPr="00A6094E">
        <w:rPr>
          <w:b/>
        </w:rPr>
        <w:t>Rezolutīvā daļa</w:t>
      </w:r>
    </w:p>
    <w:p w14:paraId="7AF5061F" w14:textId="77777777" w:rsidR="00DB7901" w:rsidRPr="00A6094E" w:rsidRDefault="00DB7901" w:rsidP="0052792A">
      <w:pPr>
        <w:shd w:val="clear" w:color="auto" w:fill="FFFFFF"/>
        <w:spacing w:line="276" w:lineRule="auto"/>
        <w:jc w:val="center"/>
        <w:rPr>
          <w:b/>
        </w:rPr>
      </w:pPr>
    </w:p>
    <w:p w14:paraId="24F8D364" w14:textId="45DD0EDA" w:rsidR="00DB7901" w:rsidRPr="00A6094E" w:rsidRDefault="00DB7901" w:rsidP="0052792A">
      <w:pPr>
        <w:shd w:val="clear" w:color="auto" w:fill="FFFFFF"/>
        <w:spacing w:line="276" w:lineRule="auto"/>
        <w:ind w:firstLine="720"/>
        <w:jc w:val="both"/>
      </w:pPr>
      <w:r w:rsidRPr="00A6094E">
        <w:t xml:space="preserve">Pamatojoties uz Administratīvā procesa likuma </w:t>
      </w:r>
      <w:r w:rsidR="004921A2" w:rsidRPr="00A6094E">
        <w:t>348.panta pirmās daļas 1</w:t>
      </w:r>
      <w:r w:rsidRPr="00A6094E">
        <w:t>.punktu un 351.pantu, Senāts</w:t>
      </w:r>
    </w:p>
    <w:p w14:paraId="78D26E2E" w14:textId="77777777" w:rsidR="00DB7901" w:rsidRPr="00A6094E" w:rsidRDefault="00DB7901" w:rsidP="0052792A">
      <w:pPr>
        <w:shd w:val="clear" w:color="auto" w:fill="FFFFFF"/>
        <w:spacing w:line="276" w:lineRule="auto"/>
        <w:jc w:val="center"/>
        <w:rPr>
          <w:b/>
        </w:rPr>
      </w:pPr>
    </w:p>
    <w:p w14:paraId="3BD9C629" w14:textId="77777777" w:rsidR="00DB7901" w:rsidRPr="00A6094E" w:rsidRDefault="00DB7901" w:rsidP="0052792A">
      <w:pPr>
        <w:shd w:val="clear" w:color="auto" w:fill="FFFFFF"/>
        <w:spacing w:line="276" w:lineRule="auto"/>
        <w:jc w:val="center"/>
        <w:rPr>
          <w:b/>
        </w:rPr>
      </w:pPr>
      <w:r w:rsidRPr="00A6094E">
        <w:rPr>
          <w:b/>
        </w:rPr>
        <w:t>nosprieda</w:t>
      </w:r>
    </w:p>
    <w:p w14:paraId="2C93D8A7" w14:textId="77777777" w:rsidR="00DB7901" w:rsidRPr="00A6094E" w:rsidRDefault="00DB7901" w:rsidP="0052792A">
      <w:pPr>
        <w:shd w:val="clear" w:color="auto" w:fill="FFFFFF"/>
        <w:spacing w:line="276" w:lineRule="auto"/>
        <w:jc w:val="center"/>
        <w:rPr>
          <w:b/>
        </w:rPr>
      </w:pPr>
    </w:p>
    <w:p w14:paraId="3EEB5CA1" w14:textId="4677A3A2" w:rsidR="00DB7901" w:rsidRPr="00A6094E" w:rsidRDefault="004921A2" w:rsidP="0052792A">
      <w:pPr>
        <w:spacing w:line="276" w:lineRule="auto"/>
        <w:ind w:firstLine="709"/>
        <w:jc w:val="both"/>
      </w:pPr>
      <w:r w:rsidRPr="00A6094E">
        <w:rPr>
          <w:lang w:eastAsia="lv-LV"/>
        </w:rPr>
        <w:t>atstāt negrozītu</w:t>
      </w:r>
      <w:r w:rsidR="00DB7901" w:rsidRPr="00A6094E">
        <w:rPr>
          <w:lang w:eastAsia="lv-LV"/>
        </w:rPr>
        <w:t xml:space="preserve"> Administratīvās apgabaltiesas </w:t>
      </w:r>
      <w:r w:rsidRPr="00A6094E">
        <w:rPr>
          <w:lang w:eastAsia="lv-LV"/>
        </w:rPr>
        <w:t>2022.gada 31.marta</w:t>
      </w:r>
      <w:r w:rsidR="00DB7901" w:rsidRPr="00A6094E">
        <w:rPr>
          <w:lang w:eastAsia="lv-LV"/>
        </w:rPr>
        <w:t xml:space="preserve"> spriedumu</w:t>
      </w:r>
      <w:r w:rsidRPr="00A6094E">
        <w:rPr>
          <w:lang w:eastAsia="lv-LV"/>
        </w:rPr>
        <w:t>, bet sabiedrības ar ierobežotu atbildību „VECAIS KUĢIS” kasācijas sūdzību noraidīt</w:t>
      </w:r>
      <w:r w:rsidR="00157C67" w:rsidRPr="00A6094E">
        <w:t>.</w:t>
      </w:r>
    </w:p>
    <w:p w14:paraId="4113C4EE" w14:textId="77777777" w:rsidR="00DB7901" w:rsidRPr="00A6094E" w:rsidRDefault="00DB7901" w:rsidP="0052792A">
      <w:pPr>
        <w:spacing w:line="276" w:lineRule="auto"/>
        <w:ind w:firstLine="709"/>
        <w:jc w:val="both"/>
      </w:pPr>
    </w:p>
    <w:p w14:paraId="2E76C14B" w14:textId="77777777" w:rsidR="00DB7901" w:rsidRPr="00A6094E" w:rsidRDefault="00DB7901" w:rsidP="0052792A">
      <w:pPr>
        <w:spacing w:line="276" w:lineRule="auto"/>
        <w:ind w:firstLine="709"/>
      </w:pPr>
      <w:r w:rsidRPr="00A6094E">
        <w:t>Spriedums nav pārsūdzams.</w:t>
      </w:r>
    </w:p>
    <w:p w14:paraId="1CE22421" w14:textId="77777777" w:rsidR="00DB7901" w:rsidRPr="00A6094E" w:rsidRDefault="00DB7901" w:rsidP="00DB7901">
      <w:pPr>
        <w:spacing w:line="276" w:lineRule="auto"/>
        <w:ind w:firstLine="709"/>
      </w:pPr>
    </w:p>
    <w:p w14:paraId="2A90BD36" w14:textId="77777777" w:rsidR="00DB7901" w:rsidRPr="00A6094E" w:rsidRDefault="00DB7901" w:rsidP="00DB7901">
      <w:pPr>
        <w:spacing w:line="276" w:lineRule="auto"/>
        <w:ind w:firstLine="709"/>
      </w:pPr>
    </w:p>
    <w:p w14:paraId="0DB79570" w14:textId="77777777" w:rsidR="00DB7901" w:rsidRPr="00A6094E" w:rsidRDefault="00DB7901" w:rsidP="00DB7901">
      <w:pPr>
        <w:spacing w:line="276" w:lineRule="auto"/>
        <w:ind w:firstLine="709"/>
      </w:pPr>
    </w:p>
    <w:p w14:paraId="749AE365" w14:textId="77777777" w:rsidR="002E6479" w:rsidRPr="00675208" w:rsidRDefault="002E6479"/>
    <w:sectPr w:rsidR="002E6479" w:rsidRPr="00675208" w:rsidSect="008C3429">
      <w:footerReference w:type="default" r:id="rId7"/>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49950" w14:textId="77777777" w:rsidR="007E0FA8" w:rsidRDefault="007E0FA8">
      <w:r>
        <w:separator/>
      </w:r>
    </w:p>
  </w:endnote>
  <w:endnote w:type="continuationSeparator" w:id="0">
    <w:p w14:paraId="0B59D68A" w14:textId="77777777" w:rsidR="007E0FA8" w:rsidRDefault="007E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03689851"/>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5D3195F" w14:textId="77777777" w:rsidR="008737BF" w:rsidRPr="00D943DB" w:rsidRDefault="008737BF" w:rsidP="00470244">
            <w:pPr>
              <w:pStyle w:val="Footer"/>
              <w:jc w:val="center"/>
              <w:rPr>
                <w:sz w:val="20"/>
                <w:szCs w:val="20"/>
              </w:rPr>
            </w:pPr>
            <w:r w:rsidRPr="00D943DB">
              <w:rPr>
                <w:bCs/>
                <w:sz w:val="20"/>
                <w:szCs w:val="20"/>
              </w:rPr>
              <w:fldChar w:fldCharType="begin"/>
            </w:r>
            <w:r w:rsidRPr="00D943DB">
              <w:rPr>
                <w:bCs/>
                <w:sz w:val="20"/>
                <w:szCs w:val="20"/>
              </w:rPr>
              <w:instrText xml:space="preserve"> PAGE </w:instrText>
            </w:r>
            <w:r w:rsidRPr="00D943DB">
              <w:rPr>
                <w:bCs/>
                <w:sz w:val="20"/>
                <w:szCs w:val="20"/>
              </w:rPr>
              <w:fldChar w:fldCharType="separate"/>
            </w:r>
            <w:r w:rsidR="00D676A4">
              <w:rPr>
                <w:bCs/>
                <w:noProof/>
                <w:sz w:val="20"/>
                <w:szCs w:val="20"/>
              </w:rPr>
              <w:t>2</w:t>
            </w:r>
            <w:r w:rsidRPr="00D943DB">
              <w:rPr>
                <w:bCs/>
                <w:sz w:val="20"/>
                <w:szCs w:val="20"/>
              </w:rPr>
              <w:fldChar w:fldCharType="end"/>
            </w:r>
            <w:r w:rsidRPr="00D943DB">
              <w:rPr>
                <w:sz w:val="20"/>
                <w:szCs w:val="20"/>
              </w:rPr>
              <w:t xml:space="preserve"> no </w:t>
            </w:r>
            <w:r w:rsidRPr="00D943DB">
              <w:rPr>
                <w:bCs/>
                <w:sz w:val="20"/>
                <w:szCs w:val="20"/>
              </w:rPr>
              <w:fldChar w:fldCharType="begin"/>
            </w:r>
            <w:r w:rsidRPr="00D943DB">
              <w:rPr>
                <w:bCs/>
                <w:sz w:val="20"/>
                <w:szCs w:val="20"/>
              </w:rPr>
              <w:instrText xml:space="preserve"> NUMPAGES  </w:instrText>
            </w:r>
            <w:r w:rsidRPr="00D943DB">
              <w:rPr>
                <w:bCs/>
                <w:sz w:val="20"/>
                <w:szCs w:val="20"/>
              </w:rPr>
              <w:fldChar w:fldCharType="separate"/>
            </w:r>
            <w:r w:rsidR="00D676A4">
              <w:rPr>
                <w:bCs/>
                <w:noProof/>
                <w:sz w:val="20"/>
                <w:szCs w:val="20"/>
              </w:rPr>
              <w:t>6</w:t>
            </w:r>
            <w:r w:rsidRPr="00D943DB">
              <w:rPr>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C7849" w14:textId="77777777" w:rsidR="007E0FA8" w:rsidRDefault="007E0FA8">
      <w:r>
        <w:separator/>
      </w:r>
    </w:p>
  </w:footnote>
  <w:footnote w:type="continuationSeparator" w:id="0">
    <w:p w14:paraId="01A680DA" w14:textId="77777777" w:rsidR="007E0FA8" w:rsidRDefault="007E0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E1"/>
    <w:rsid w:val="00017A73"/>
    <w:rsid w:val="00033046"/>
    <w:rsid w:val="0003705C"/>
    <w:rsid w:val="000401B9"/>
    <w:rsid w:val="000631C2"/>
    <w:rsid w:val="000655CB"/>
    <w:rsid w:val="00083D98"/>
    <w:rsid w:val="00083F18"/>
    <w:rsid w:val="000931B3"/>
    <w:rsid w:val="0009373D"/>
    <w:rsid w:val="000A1F8D"/>
    <w:rsid w:val="000A459D"/>
    <w:rsid w:val="000B1989"/>
    <w:rsid w:val="000B79C8"/>
    <w:rsid w:val="000C571F"/>
    <w:rsid w:val="000D67E6"/>
    <w:rsid w:val="000F159C"/>
    <w:rsid w:val="000F3028"/>
    <w:rsid w:val="00100B66"/>
    <w:rsid w:val="00107AAE"/>
    <w:rsid w:val="001120B4"/>
    <w:rsid w:val="00113205"/>
    <w:rsid w:val="00117635"/>
    <w:rsid w:val="00122BD6"/>
    <w:rsid w:val="00131423"/>
    <w:rsid w:val="00150AA5"/>
    <w:rsid w:val="0015474A"/>
    <w:rsid w:val="00157C67"/>
    <w:rsid w:val="001631AD"/>
    <w:rsid w:val="00167C64"/>
    <w:rsid w:val="00170282"/>
    <w:rsid w:val="001714F8"/>
    <w:rsid w:val="00173889"/>
    <w:rsid w:val="00182088"/>
    <w:rsid w:val="00194BEC"/>
    <w:rsid w:val="00195C4E"/>
    <w:rsid w:val="00197B89"/>
    <w:rsid w:val="001A4B6A"/>
    <w:rsid w:val="001B697B"/>
    <w:rsid w:val="001D20FD"/>
    <w:rsid w:val="001D27E6"/>
    <w:rsid w:val="001E2AA1"/>
    <w:rsid w:val="002058B0"/>
    <w:rsid w:val="00210938"/>
    <w:rsid w:val="00210D42"/>
    <w:rsid w:val="00211687"/>
    <w:rsid w:val="002277A8"/>
    <w:rsid w:val="00237834"/>
    <w:rsid w:val="00240CCD"/>
    <w:rsid w:val="002433EF"/>
    <w:rsid w:val="00245D1F"/>
    <w:rsid w:val="00246303"/>
    <w:rsid w:val="00263076"/>
    <w:rsid w:val="00271B51"/>
    <w:rsid w:val="00272507"/>
    <w:rsid w:val="0027705B"/>
    <w:rsid w:val="00284A29"/>
    <w:rsid w:val="002911D6"/>
    <w:rsid w:val="002974E7"/>
    <w:rsid w:val="002A67E8"/>
    <w:rsid w:val="002A6A31"/>
    <w:rsid w:val="002B3E42"/>
    <w:rsid w:val="002D246C"/>
    <w:rsid w:val="002D7222"/>
    <w:rsid w:val="002E6479"/>
    <w:rsid w:val="00304EFF"/>
    <w:rsid w:val="00312B4A"/>
    <w:rsid w:val="00314CB4"/>
    <w:rsid w:val="00325DEC"/>
    <w:rsid w:val="00331579"/>
    <w:rsid w:val="00340EE0"/>
    <w:rsid w:val="003548B4"/>
    <w:rsid w:val="0035563A"/>
    <w:rsid w:val="0036062C"/>
    <w:rsid w:val="003606FC"/>
    <w:rsid w:val="003649FC"/>
    <w:rsid w:val="00365D3E"/>
    <w:rsid w:val="003713EC"/>
    <w:rsid w:val="00381976"/>
    <w:rsid w:val="00382E7E"/>
    <w:rsid w:val="00383701"/>
    <w:rsid w:val="00394810"/>
    <w:rsid w:val="003A2CDF"/>
    <w:rsid w:val="003A510A"/>
    <w:rsid w:val="003A5995"/>
    <w:rsid w:val="003A604F"/>
    <w:rsid w:val="003A7618"/>
    <w:rsid w:val="003B4E08"/>
    <w:rsid w:val="003C0381"/>
    <w:rsid w:val="003C7A74"/>
    <w:rsid w:val="003D2047"/>
    <w:rsid w:val="003F0743"/>
    <w:rsid w:val="003F2B93"/>
    <w:rsid w:val="0040054A"/>
    <w:rsid w:val="0040674D"/>
    <w:rsid w:val="00411F8F"/>
    <w:rsid w:val="0041410A"/>
    <w:rsid w:val="004177C2"/>
    <w:rsid w:val="00422643"/>
    <w:rsid w:val="00423786"/>
    <w:rsid w:val="0043276A"/>
    <w:rsid w:val="004356E0"/>
    <w:rsid w:val="00450C15"/>
    <w:rsid w:val="00462C1B"/>
    <w:rsid w:val="0046489B"/>
    <w:rsid w:val="00470244"/>
    <w:rsid w:val="00480719"/>
    <w:rsid w:val="004823CD"/>
    <w:rsid w:val="004861E2"/>
    <w:rsid w:val="004921A2"/>
    <w:rsid w:val="00497641"/>
    <w:rsid w:val="004A20C2"/>
    <w:rsid w:val="004A2931"/>
    <w:rsid w:val="004B4191"/>
    <w:rsid w:val="004B6C3B"/>
    <w:rsid w:val="004B6D7E"/>
    <w:rsid w:val="004C37FF"/>
    <w:rsid w:val="004C59B8"/>
    <w:rsid w:val="004D7C2F"/>
    <w:rsid w:val="004D7E15"/>
    <w:rsid w:val="004F4CA4"/>
    <w:rsid w:val="004F57E6"/>
    <w:rsid w:val="00504507"/>
    <w:rsid w:val="0051263E"/>
    <w:rsid w:val="0052792A"/>
    <w:rsid w:val="0054344A"/>
    <w:rsid w:val="00545E83"/>
    <w:rsid w:val="00546368"/>
    <w:rsid w:val="0054676C"/>
    <w:rsid w:val="00550263"/>
    <w:rsid w:val="0055029B"/>
    <w:rsid w:val="00551A9C"/>
    <w:rsid w:val="00553D29"/>
    <w:rsid w:val="0055762B"/>
    <w:rsid w:val="00573918"/>
    <w:rsid w:val="00584D8B"/>
    <w:rsid w:val="0059102D"/>
    <w:rsid w:val="005924B9"/>
    <w:rsid w:val="00596C29"/>
    <w:rsid w:val="005978B2"/>
    <w:rsid w:val="005A27D9"/>
    <w:rsid w:val="005A3B91"/>
    <w:rsid w:val="005A6577"/>
    <w:rsid w:val="005B5CCB"/>
    <w:rsid w:val="005B6C69"/>
    <w:rsid w:val="005C52C8"/>
    <w:rsid w:val="005D62C0"/>
    <w:rsid w:val="005E04F8"/>
    <w:rsid w:val="005E09B0"/>
    <w:rsid w:val="005E126B"/>
    <w:rsid w:val="005E22C5"/>
    <w:rsid w:val="005E2B71"/>
    <w:rsid w:val="005E3A70"/>
    <w:rsid w:val="005E776E"/>
    <w:rsid w:val="005F5B58"/>
    <w:rsid w:val="00600EEF"/>
    <w:rsid w:val="006159F1"/>
    <w:rsid w:val="00615F31"/>
    <w:rsid w:val="00626E73"/>
    <w:rsid w:val="006325E5"/>
    <w:rsid w:val="00640DE4"/>
    <w:rsid w:val="00651710"/>
    <w:rsid w:val="006538C2"/>
    <w:rsid w:val="00675208"/>
    <w:rsid w:val="00681DDF"/>
    <w:rsid w:val="0069417F"/>
    <w:rsid w:val="00695913"/>
    <w:rsid w:val="006A45DE"/>
    <w:rsid w:val="006B2CC6"/>
    <w:rsid w:val="006C11D0"/>
    <w:rsid w:val="006C7D0A"/>
    <w:rsid w:val="006D0502"/>
    <w:rsid w:val="006D7056"/>
    <w:rsid w:val="006E0B30"/>
    <w:rsid w:val="006E0B5E"/>
    <w:rsid w:val="006E1E77"/>
    <w:rsid w:val="006E4BD6"/>
    <w:rsid w:val="006E5E56"/>
    <w:rsid w:val="006F11AE"/>
    <w:rsid w:val="006F45D2"/>
    <w:rsid w:val="0070332F"/>
    <w:rsid w:val="00704487"/>
    <w:rsid w:val="007059C6"/>
    <w:rsid w:val="007211CC"/>
    <w:rsid w:val="0072600C"/>
    <w:rsid w:val="007314D5"/>
    <w:rsid w:val="0073405F"/>
    <w:rsid w:val="00744B22"/>
    <w:rsid w:val="00745C9C"/>
    <w:rsid w:val="00746E4C"/>
    <w:rsid w:val="00750907"/>
    <w:rsid w:val="007632F8"/>
    <w:rsid w:val="007650C4"/>
    <w:rsid w:val="00780062"/>
    <w:rsid w:val="007904DE"/>
    <w:rsid w:val="00792A2A"/>
    <w:rsid w:val="00792AE7"/>
    <w:rsid w:val="007B08C2"/>
    <w:rsid w:val="007C4BF2"/>
    <w:rsid w:val="007D2A38"/>
    <w:rsid w:val="007E0FA8"/>
    <w:rsid w:val="007E568E"/>
    <w:rsid w:val="007F00C4"/>
    <w:rsid w:val="00802511"/>
    <w:rsid w:val="00811F93"/>
    <w:rsid w:val="00820FE0"/>
    <w:rsid w:val="00827928"/>
    <w:rsid w:val="00827F47"/>
    <w:rsid w:val="008534B6"/>
    <w:rsid w:val="008562E1"/>
    <w:rsid w:val="00856876"/>
    <w:rsid w:val="008609C0"/>
    <w:rsid w:val="008737BF"/>
    <w:rsid w:val="008A0304"/>
    <w:rsid w:val="008A0CDF"/>
    <w:rsid w:val="008A7275"/>
    <w:rsid w:val="008A7F7C"/>
    <w:rsid w:val="008C3429"/>
    <w:rsid w:val="008C6C3F"/>
    <w:rsid w:val="008D75C6"/>
    <w:rsid w:val="008E03FB"/>
    <w:rsid w:val="008E2262"/>
    <w:rsid w:val="00913426"/>
    <w:rsid w:val="00923987"/>
    <w:rsid w:val="00934A05"/>
    <w:rsid w:val="0094012D"/>
    <w:rsid w:val="00946460"/>
    <w:rsid w:val="00951AD3"/>
    <w:rsid w:val="0095333E"/>
    <w:rsid w:val="009538D8"/>
    <w:rsid w:val="00953F8D"/>
    <w:rsid w:val="00960972"/>
    <w:rsid w:val="00966C47"/>
    <w:rsid w:val="00967B01"/>
    <w:rsid w:val="00972D9E"/>
    <w:rsid w:val="00972E5B"/>
    <w:rsid w:val="00976B08"/>
    <w:rsid w:val="009918BC"/>
    <w:rsid w:val="0099562F"/>
    <w:rsid w:val="009B0B2C"/>
    <w:rsid w:val="009B2BC0"/>
    <w:rsid w:val="009B3F4C"/>
    <w:rsid w:val="009C1D73"/>
    <w:rsid w:val="009C2823"/>
    <w:rsid w:val="009D1CED"/>
    <w:rsid w:val="009E19B9"/>
    <w:rsid w:val="009E4754"/>
    <w:rsid w:val="009F26C4"/>
    <w:rsid w:val="009F3444"/>
    <w:rsid w:val="009F3F50"/>
    <w:rsid w:val="00A052EF"/>
    <w:rsid w:val="00A1381B"/>
    <w:rsid w:val="00A270BB"/>
    <w:rsid w:val="00A276B6"/>
    <w:rsid w:val="00A3092C"/>
    <w:rsid w:val="00A36551"/>
    <w:rsid w:val="00A448E2"/>
    <w:rsid w:val="00A454AF"/>
    <w:rsid w:val="00A545B8"/>
    <w:rsid w:val="00A6094E"/>
    <w:rsid w:val="00A72B31"/>
    <w:rsid w:val="00A747C6"/>
    <w:rsid w:val="00A74CD7"/>
    <w:rsid w:val="00A802A7"/>
    <w:rsid w:val="00A81955"/>
    <w:rsid w:val="00A8431A"/>
    <w:rsid w:val="00A9126D"/>
    <w:rsid w:val="00A921EC"/>
    <w:rsid w:val="00A977AC"/>
    <w:rsid w:val="00AC2EE9"/>
    <w:rsid w:val="00AD0F0C"/>
    <w:rsid w:val="00AE1AB7"/>
    <w:rsid w:val="00AE358A"/>
    <w:rsid w:val="00AF0B85"/>
    <w:rsid w:val="00AF3A92"/>
    <w:rsid w:val="00AF78AD"/>
    <w:rsid w:val="00B07AD2"/>
    <w:rsid w:val="00B26B67"/>
    <w:rsid w:val="00B26E8E"/>
    <w:rsid w:val="00B33FE1"/>
    <w:rsid w:val="00B4723D"/>
    <w:rsid w:val="00B47610"/>
    <w:rsid w:val="00B52D15"/>
    <w:rsid w:val="00B60B42"/>
    <w:rsid w:val="00B80753"/>
    <w:rsid w:val="00B938CD"/>
    <w:rsid w:val="00BA3792"/>
    <w:rsid w:val="00BA3BE1"/>
    <w:rsid w:val="00BB355A"/>
    <w:rsid w:val="00BB426A"/>
    <w:rsid w:val="00BB5DBB"/>
    <w:rsid w:val="00BC0B4B"/>
    <w:rsid w:val="00BC3C4E"/>
    <w:rsid w:val="00BC4C30"/>
    <w:rsid w:val="00BE2E53"/>
    <w:rsid w:val="00BE3587"/>
    <w:rsid w:val="00BF7276"/>
    <w:rsid w:val="00C02FC5"/>
    <w:rsid w:val="00C07E7F"/>
    <w:rsid w:val="00C103B1"/>
    <w:rsid w:val="00C12AF1"/>
    <w:rsid w:val="00C2627B"/>
    <w:rsid w:val="00C27B41"/>
    <w:rsid w:val="00C3127C"/>
    <w:rsid w:val="00C3278D"/>
    <w:rsid w:val="00C3467B"/>
    <w:rsid w:val="00C3517D"/>
    <w:rsid w:val="00C40C9F"/>
    <w:rsid w:val="00C50827"/>
    <w:rsid w:val="00C50B7B"/>
    <w:rsid w:val="00C5769D"/>
    <w:rsid w:val="00C606E8"/>
    <w:rsid w:val="00C70D87"/>
    <w:rsid w:val="00C82C3A"/>
    <w:rsid w:val="00CA3426"/>
    <w:rsid w:val="00CB41BD"/>
    <w:rsid w:val="00CB5D7D"/>
    <w:rsid w:val="00CB742E"/>
    <w:rsid w:val="00CC77F4"/>
    <w:rsid w:val="00CE300A"/>
    <w:rsid w:val="00CE574B"/>
    <w:rsid w:val="00CF069F"/>
    <w:rsid w:val="00CF60C4"/>
    <w:rsid w:val="00CF6BAE"/>
    <w:rsid w:val="00D04843"/>
    <w:rsid w:val="00D04F81"/>
    <w:rsid w:val="00D05019"/>
    <w:rsid w:val="00D13EB8"/>
    <w:rsid w:val="00D32808"/>
    <w:rsid w:val="00D36CFC"/>
    <w:rsid w:val="00D422C6"/>
    <w:rsid w:val="00D42DEA"/>
    <w:rsid w:val="00D45A12"/>
    <w:rsid w:val="00D676A4"/>
    <w:rsid w:val="00D70354"/>
    <w:rsid w:val="00D87CD3"/>
    <w:rsid w:val="00DA404E"/>
    <w:rsid w:val="00DA5507"/>
    <w:rsid w:val="00DA6D6E"/>
    <w:rsid w:val="00DA7B17"/>
    <w:rsid w:val="00DB7901"/>
    <w:rsid w:val="00DD3881"/>
    <w:rsid w:val="00DE3A0A"/>
    <w:rsid w:val="00DE5B99"/>
    <w:rsid w:val="00DF2406"/>
    <w:rsid w:val="00E11B1D"/>
    <w:rsid w:val="00E26F71"/>
    <w:rsid w:val="00E27743"/>
    <w:rsid w:val="00E30D3B"/>
    <w:rsid w:val="00E32AEC"/>
    <w:rsid w:val="00E3304D"/>
    <w:rsid w:val="00E342B8"/>
    <w:rsid w:val="00E45AD2"/>
    <w:rsid w:val="00E54ABD"/>
    <w:rsid w:val="00E5561D"/>
    <w:rsid w:val="00E67411"/>
    <w:rsid w:val="00E762B7"/>
    <w:rsid w:val="00E96A52"/>
    <w:rsid w:val="00E9719D"/>
    <w:rsid w:val="00EA1CCF"/>
    <w:rsid w:val="00EB72AB"/>
    <w:rsid w:val="00EC27D1"/>
    <w:rsid w:val="00EC5207"/>
    <w:rsid w:val="00EC531B"/>
    <w:rsid w:val="00ED61BE"/>
    <w:rsid w:val="00ED7573"/>
    <w:rsid w:val="00EE160F"/>
    <w:rsid w:val="00EE1A8A"/>
    <w:rsid w:val="00EE6444"/>
    <w:rsid w:val="00EF2406"/>
    <w:rsid w:val="00EF7438"/>
    <w:rsid w:val="00F02B9B"/>
    <w:rsid w:val="00F0544B"/>
    <w:rsid w:val="00F1370D"/>
    <w:rsid w:val="00F21116"/>
    <w:rsid w:val="00F23997"/>
    <w:rsid w:val="00F24997"/>
    <w:rsid w:val="00F4467A"/>
    <w:rsid w:val="00F50D8B"/>
    <w:rsid w:val="00F60AAB"/>
    <w:rsid w:val="00F60E73"/>
    <w:rsid w:val="00F849BB"/>
    <w:rsid w:val="00F85FCE"/>
    <w:rsid w:val="00F979FF"/>
    <w:rsid w:val="00FA27B9"/>
    <w:rsid w:val="00FA2FD0"/>
    <w:rsid w:val="00FA6D90"/>
    <w:rsid w:val="00FB1762"/>
    <w:rsid w:val="00FD2129"/>
    <w:rsid w:val="00FD2F4D"/>
    <w:rsid w:val="00FD7E28"/>
    <w:rsid w:val="00FE1D67"/>
    <w:rsid w:val="00FE2C2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88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0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B7901"/>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7901"/>
    <w:pPr>
      <w:spacing w:before="100" w:beforeAutospacing="1" w:after="100" w:afterAutospacing="1"/>
    </w:pPr>
    <w:rPr>
      <w:lang w:eastAsia="lv-LV"/>
    </w:rPr>
  </w:style>
  <w:style w:type="paragraph" w:styleId="Footer">
    <w:name w:val="footer"/>
    <w:basedOn w:val="Normal"/>
    <w:link w:val="FooterChar"/>
    <w:uiPriority w:val="99"/>
    <w:unhideWhenUsed/>
    <w:rsid w:val="00DB7901"/>
    <w:pPr>
      <w:tabs>
        <w:tab w:val="center" w:pos="4153"/>
        <w:tab w:val="right" w:pos="8306"/>
      </w:tabs>
    </w:pPr>
  </w:style>
  <w:style w:type="character" w:customStyle="1" w:styleId="FooterChar">
    <w:name w:val="Footer Char"/>
    <w:basedOn w:val="DefaultParagraphFont"/>
    <w:link w:val="Footer"/>
    <w:uiPriority w:val="99"/>
    <w:rsid w:val="00DB7901"/>
    <w:rPr>
      <w:rFonts w:eastAsia="Times New Roman" w:cs="Times New Roman"/>
      <w:szCs w:val="24"/>
      <w:lang w:eastAsia="ru-RU"/>
    </w:rPr>
  </w:style>
  <w:style w:type="character" w:styleId="Hyperlink">
    <w:name w:val="Hyperlink"/>
    <w:basedOn w:val="DefaultParagraphFont"/>
    <w:uiPriority w:val="99"/>
    <w:unhideWhenUsed/>
    <w:rsid w:val="00DB7901"/>
    <w:rPr>
      <w:color w:val="0563C1" w:themeColor="hyperlink"/>
      <w:u w:val="single"/>
    </w:rPr>
  </w:style>
  <w:style w:type="character" w:styleId="CommentReference">
    <w:name w:val="annotation reference"/>
    <w:basedOn w:val="DefaultParagraphFont"/>
    <w:uiPriority w:val="99"/>
    <w:semiHidden/>
    <w:unhideWhenUsed/>
    <w:rsid w:val="008A0304"/>
    <w:rPr>
      <w:sz w:val="16"/>
      <w:szCs w:val="16"/>
    </w:rPr>
  </w:style>
  <w:style w:type="paragraph" w:styleId="CommentText">
    <w:name w:val="annotation text"/>
    <w:basedOn w:val="Normal"/>
    <w:link w:val="CommentTextChar"/>
    <w:uiPriority w:val="99"/>
    <w:semiHidden/>
    <w:unhideWhenUsed/>
    <w:rsid w:val="008A0304"/>
    <w:rPr>
      <w:sz w:val="20"/>
      <w:szCs w:val="20"/>
    </w:rPr>
  </w:style>
  <w:style w:type="character" w:customStyle="1" w:styleId="CommentTextChar">
    <w:name w:val="Comment Text Char"/>
    <w:basedOn w:val="DefaultParagraphFont"/>
    <w:link w:val="CommentText"/>
    <w:uiPriority w:val="99"/>
    <w:semiHidden/>
    <w:rsid w:val="008A030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0304"/>
    <w:rPr>
      <w:b/>
      <w:bCs/>
    </w:rPr>
  </w:style>
  <w:style w:type="character" w:customStyle="1" w:styleId="CommentSubjectChar">
    <w:name w:val="Comment Subject Char"/>
    <w:basedOn w:val="CommentTextChar"/>
    <w:link w:val="CommentSubject"/>
    <w:uiPriority w:val="99"/>
    <w:semiHidden/>
    <w:rsid w:val="008A0304"/>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8A03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304"/>
    <w:rPr>
      <w:rFonts w:ascii="Segoe UI" w:eastAsia="Times New Roman" w:hAnsi="Segoe UI" w:cs="Segoe UI"/>
      <w:sz w:val="18"/>
      <w:szCs w:val="18"/>
      <w:lang w:eastAsia="ru-RU"/>
    </w:rPr>
  </w:style>
  <w:style w:type="paragraph" w:styleId="Revision">
    <w:name w:val="Revision"/>
    <w:hidden/>
    <w:uiPriority w:val="99"/>
    <w:semiHidden/>
    <w:rsid w:val="00DE3A0A"/>
    <w:pPr>
      <w:spacing w:after="0" w:line="240" w:lineRule="auto"/>
    </w:pPr>
    <w:rPr>
      <w:rFonts w:eastAsia="Times New Roman" w:cs="Times New Roman"/>
      <w:szCs w:val="24"/>
      <w:lang w:eastAsia="ru-RU"/>
    </w:rPr>
  </w:style>
  <w:style w:type="character" w:styleId="FollowedHyperlink">
    <w:name w:val="FollowedHyperlink"/>
    <w:basedOn w:val="DefaultParagraphFont"/>
    <w:uiPriority w:val="99"/>
    <w:semiHidden/>
    <w:unhideWhenUsed/>
    <w:rsid w:val="005279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8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1603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2676</Words>
  <Characters>15258</Characters>
  <Application>Microsoft Office Word</Application>
  <DocSecurity>0</DocSecurity>
  <Lines>127</Lines>
  <Paragraphs>35</Paragraphs>
  <ScaleCrop>false</ScaleCrop>
  <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2023-11-16T11:15:00Z</dcterms:created>
  <dcterms:modified xsi:type="dcterms:W3CDTF">2023-11-16T11:15:00Z</dcterms:modified>
</cp:coreProperties>
</file>