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1E820" w14:textId="77777777" w:rsidR="00EA132F" w:rsidRDefault="00EA132F" w:rsidP="009630BF">
      <w:pPr>
        <w:autoSpaceDE w:val="0"/>
        <w:autoSpaceDN w:val="0"/>
        <w:spacing w:line="276" w:lineRule="auto"/>
        <w:jc w:val="both"/>
        <w:rPr>
          <w:rFonts w:ascii="TimesNewRomanPSMT" w:hAnsi="TimesNewRomanPSMT"/>
          <w:b/>
          <w:bCs/>
          <w:lang w:eastAsia="en-US"/>
        </w:rPr>
      </w:pPr>
      <w:bookmarkStart w:id="0" w:name="_GoBack"/>
      <w:r>
        <w:rPr>
          <w:rFonts w:ascii="TimesNewRomanPSMT" w:hAnsi="TimesNewRomanPSMT"/>
          <w:b/>
          <w:bCs/>
        </w:rPr>
        <w:t>Komercsabiedrības likvidācijas uzsākšanas ietekme uz pievienotās vērtības nodokļa maksātāja statusu</w:t>
      </w:r>
    </w:p>
    <w:p w14:paraId="2CF457E8" w14:textId="4110B28C" w:rsidR="003047F5" w:rsidRDefault="00EA132F" w:rsidP="009630BF">
      <w:pPr>
        <w:autoSpaceDE w:val="0"/>
        <w:autoSpaceDN w:val="0"/>
        <w:spacing w:line="276" w:lineRule="auto"/>
        <w:jc w:val="both"/>
        <w:rPr>
          <w:rFonts w:ascii="TimesNewRomanPSMT" w:hAnsi="TimesNewRomanPSMT"/>
        </w:rPr>
      </w:pPr>
      <w:r>
        <w:rPr>
          <w:rFonts w:ascii="TimesNewRomanPSMT" w:hAnsi="TimesNewRomanPSMT"/>
        </w:rPr>
        <w:t>Komercsabiedrības likvidācijas uzsākšana un likvidatora iecelšana neietekmē sabiedrības kā pievienotās vērtības nodokļa maksātāja statusu un atrašanos pievienotās vērtības nodokļu maksātāju reģistrā.</w:t>
      </w:r>
    </w:p>
    <w:bookmarkEnd w:id="0"/>
    <w:p w14:paraId="389E6F1D" w14:textId="77777777" w:rsidR="00EA132F" w:rsidRPr="00EA132F" w:rsidRDefault="00EA132F" w:rsidP="009630BF">
      <w:pPr>
        <w:autoSpaceDE w:val="0"/>
        <w:autoSpaceDN w:val="0"/>
        <w:spacing w:line="276" w:lineRule="auto"/>
        <w:jc w:val="both"/>
        <w:rPr>
          <w:rFonts w:ascii="TimesNewRomanPSMT" w:hAnsi="TimesNewRomanPSMT"/>
        </w:rPr>
      </w:pPr>
    </w:p>
    <w:p w14:paraId="5B96512A" w14:textId="5760FF6A" w:rsidR="006B7BBC" w:rsidRPr="00EA132F" w:rsidRDefault="00EA132F" w:rsidP="009630BF">
      <w:pPr>
        <w:spacing w:line="276" w:lineRule="auto"/>
        <w:jc w:val="center"/>
        <w:rPr>
          <w:b/>
        </w:rPr>
      </w:pPr>
      <w:r w:rsidRPr="00EA132F">
        <w:rPr>
          <w:b/>
        </w:rPr>
        <w:t>Latvijas Republikas Senāta</w:t>
      </w:r>
    </w:p>
    <w:p w14:paraId="54C652BD" w14:textId="08D669D1" w:rsidR="00EA132F" w:rsidRPr="00EA132F" w:rsidRDefault="00EA132F" w:rsidP="009630BF">
      <w:pPr>
        <w:spacing w:line="276" w:lineRule="auto"/>
        <w:jc w:val="center"/>
        <w:rPr>
          <w:b/>
        </w:rPr>
      </w:pPr>
      <w:r w:rsidRPr="00EA132F">
        <w:rPr>
          <w:b/>
        </w:rPr>
        <w:t xml:space="preserve">Administratīvo lietu departamenta </w:t>
      </w:r>
    </w:p>
    <w:p w14:paraId="24A61F64" w14:textId="140EF61B" w:rsidR="00EA132F" w:rsidRPr="00EA132F" w:rsidRDefault="00EA132F" w:rsidP="009630BF">
      <w:pPr>
        <w:spacing w:line="276" w:lineRule="auto"/>
        <w:jc w:val="center"/>
        <w:rPr>
          <w:b/>
        </w:rPr>
      </w:pPr>
      <w:proofErr w:type="gramStart"/>
      <w:r w:rsidRPr="00EA132F">
        <w:rPr>
          <w:b/>
        </w:rPr>
        <w:t>2023.gada</w:t>
      </w:r>
      <w:proofErr w:type="gramEnd"/>
      <w:r w:rsidRPr="00EA132F">
        <w:rPr>
          <w:b/>
        </w:rPr>
        <w:t xml:space="preserve"> 26.septembra</w:t>
      </w:r>
    </w:p>
    <w:p w14:paraId="30B4B012" w14:textId="4AA36FFE" w:rsidR="006B7BBC" w:rsidRPr="00EA132F" w:rsidRDefault="0089619C" w:rsidP="009630BF">
      <w:pPr>
        <w:spacing w:line="276" w:lineRule="auto"/>
        <w:jc w:val="center"/>
        <w:rPr>
          <w:b/>
        </w:rPr>
      </w:pPr>
      <w:r w:rsidRPr="00EA132F">
        <w:rPr>
          <w:b/>
        </w:rPr>
        <w:t>SPRIEDUMS</w:t>
      </w:r>
    </w:p>
    <w:p w14:paraId="3119859A" w14:textId="77777777" w:rsidR="00EA132F" w:rsidRPr="00EA132F" w:rsidRDefault="00EA132F" w:rsidP="009630BF">
      <w:pPr>
        <w:spacing w:line="276" w:lineRule="auto"/>
        <w:ind w:firstLine="720"/>
        <w:jc w:val="center"/>
        <w:rPr>
          <w:b/>
        </w:rPr>
      </w:pPr>
      <w:r w:rsidRPr="00EA132F">
        <w:rPr>
          <w:b/>
        </w:rPr>
        <w:t>Lieta Nr. </w:t>
      </w:r>
      <w:r w:rsidRPr="00EA132F">
        <w:rPr>
          <w:b/>
          <w:lang w:eastAsia="lv-LV"/>
        </w:rPr>
        <w:t xml:space="preserve">A420129819, </w:t>
      </w:r>
      <w:r w:rsidRPr="00EA132F">
        <w:rPr>
          <w:b/>
        </w:rPr>
        <w:t>SKA-78/2023</w:t>
      </w:r>
    </w:p>
    <w:p w14:paraId="1ED36707" w14:textId="1F175745" w:rsidR="006B7BBC" w:rsidRPr="00E70B6A" w:rsidRDefault="00EA132F" w:rsidP="009630BF">
      <w:pPr>
        <w:spacing w:line="276" w:lineRule="auto"/>
        <w:jc w:val="center"/>
      </w:pPr>
      <w:hyperlink r:id="rId7" w:history="1">
        <w:r w:rsidRPr="00EA132F">
          <w:rPr>
            <w:rStyle w:val="Hyperlink"/>
            <w:rFonts w:ascii="TimesNewRomanPSMT" w:eastAsiaTheme="minorHAnsi" w:hAnsi="TimesNewRomanPSMT" w:cs="TimesNewRomanPSMT"/>
            <w:lang w:val="en-US" w:eastAsia="en-US"/>
          </w:rPr>
          <w:t>ECLI</w:t>
        </w:r>
        <w:proofErr w:type="gramStart"/>
        <w:r w:rsidRPr="00EA132F">
          <w:rPr>
            <w:rStyle w:val="Hyperlink"/>
            <w:rFonts w:ascii="TimesNewRomanPSMT" w:eastAsiaTheme="minorHAnsi" w:hAnsi="TimesNewRomanPSMT" w:cs="TimesNewRomanPSMT"/>
            <w:lang w:val="en-US" w:eastAsia="en-US"/>
          </w:rPr>
          <w:t>:LV:AT:2023:0926.A420129819.14.S</w:t>
        </w:r>
        <w:proofErr w:type="gramEnd"/>
      </w:hyperlink>
    </w:p>
    <w:p w14:paraId="2F242BC5" w14:textId="77777777" w:rsidR="006B7BBC" w:rsidRDefault="006B7BBC" w:rsidP="009630BF">
      <w:pPr>
        <w:spacing w:line="276" w:lineRule="auto"/>
        <w:ind w:firstLine="720"/>
        <w:jc w:val="both"/>
      </w:pPr>
    </w:p>
    <w:p w14:paraId="19AFEF33" w14:textId="252697AC" w:rsidR="006B7BBC" w:rsidRDefault="00980DA7" w:rsidP="009630BF">
      <w:pPr>
        <w:spacing w:line="276" w:lineRule="auto"/>
        <w:ind w:firstLine="720"/>
        <w:jc w:val="both"/>
      </w:pPr>
      <w:r>
        <w:t>Senāts</w:t>
      </w:r>
      <w:r w:rsidR="006B7BBC" w:rsidRPr="0015480A">
        <w:t xml:space="preserve"> šādā sastāvā: </w:t>
      </w:r>
      <w:r w:rsidR="006B7BBC" w:rsidRPr="00980DA7">
        <w:t>senator</w:t>
      </w:r>
      <w:r w:rsidR="0065054A" w:rsidRPr="00980DA7">
        <w:t>e referente</w:t>
      </w:r>
      <w:r w:rsidR="006B7BBC" w:rsidRPr="00980DA7">
        <w:t xml:space="preserve"> </w:t>
      </w:r>
      <w:r w:rsidRPr="00980DA7">
        <w:t>Ilze Freimane</w:t>
      </w:r>
      <w:r w:rsidR="006B7BBC" w:rsidRPr="00980DA7">
        <w:t xml:space="preserve">, </w:t>
      </w:r>
      <w:r w:rsidR="0065054A" w:rsidRPr="000B767E">
        <w:t xml:space="preserve">senatores </w:t>
      </w:r>
      <w:r w:rsidRPr="000B767E">
        <w:t>Ieva Višķere un Rudīte Vīduša</w:t>
      </w:r>
    </w:p>
    <w:p w14:paraId="3049557F" w14:textId="77777777" w:rsidR="003047F5" w:rsidRPr="0082381C" w:rsidRDefault="003047F5" w:rsidP="009630BF">
      <w:pPr>
        <w:spacing w:line="276" w:lineRule="auto"/>
        <w:ind w:firstLine="720"/>
        <w:jc w:val="both"/>
      </w:pPr>
    </w:p>
    <w:p w14:paraId="5DE22EF3" w14:textId="2F2C3069" w:rsidR="00A6596A" w:rsidRDefault="00941626" w:rsidP="009630BF">
      <w:pPr>
        <w:spacing w:line="276" w:lineRule="auto"/>
        <w:ind w:firstLine="720"/>
        <w:jc w:val="both"/>
      </w:pPr>
      <w:r w:rsidRPr="0082381C">
        <w:t xml:space="preserve">rakstveida procesā izskatīja administratīvo lietu, kas ierosināta, pamatojoties uz </w:t>
      </w:r>
      <w:r w:rsidR="00D9141A">
        <w:t xml:space="preserve">likvidējamās </w:t>
      </w:r>
      <w:r w:rsidR="00980DA7">
        <w:t>SIA „</w:t>
      </w:r>
      <w:proofErr w:type="spellStart"/>
      <w:r w:rsidR="00980DA7">
        <w:t>Pyro</w:t>
      </w:r>
      <w:proofErr w:type="spellEnd"/>
      <w:r w:rsidR="00980DA7">
        <w:t xml:space="preserve"> </w:t>
      </w:r>
      <w:proofErr w:type="spellStart"/>
      <w:r w:rsidR="00980DA7">
        <w:t>Power</w:t>
      </w:r>
      <w:proofErr w:type="spellEnd"/>
      <w:r w:rsidR="00980DA7">
        <w:t xml:space="preserve">” pieteikumu par Valsts ieņēmumu dienesta </w:t>
      </w:r>
      <w:proofErr w:type="gramStart"/>
      <w:r w:rsidR="00980DA7">
        <w:t>2018.gada</w:t>
      </w:r>
      <w:proofErr w:type="gramEnd"/>
      <w:r w:rsidR="00980DA7">
        <w:t xml:space="preserve"> 3.decembra lēmuma Nr. 30.1-8.2/</w:t>
      </w:r>
      <w:r w:rsidR="00980DA7" w:rsidRPr="00CD2220">
        <w:t>294235 atzīšanu par prettiesisku</w:t>
      </w:r>
      <w:r w:rsidRPr="00CD2220">
        <w:t>, s</w:t>
      </w:r>
      <w:r w:rsidR="008570F8" w:rsidRPr="00CD2220">
        <w:t>a</w:t>
      </w:r>
      <w:r w:rsidRPr="00CD2220">
        <w:t xml:space="preserve">karā ar </w:t>
      </w:r>
      <w:r w:rsidR="00980DA7" w:rsidRPr="00CD2220">
        <w:t>Valsts</w:t>
      </w:r>
      <w:r w:rsidR="00980DA7">
        <w:t xml:space="preserve"> ieņēmumu dienesta</w:t>
      </w:r>
      <w:r w:rsidRPr="0082381C">
        <w:t xml:space="preserve"> kasācijas sūdzību par </w:t>
      </w:r>
      <w:r w:rsidR="002663B3" w:rsidRPr="00980DA7">
        <w:t>Administratīvās apgabal</w:t>
      </w:r>
      <w:r w:rsidRPr="00980DA7">
        <w:t xml:space="preserve">tiesas </w:t>
      </w:r>
      <w:r w:rsidR="00980DA7" w:rsidRPr="00980DA7">
        <w:t>202</w:t>
      </w:r>
      <w:r w:rsidR="00980DA7">
        <w:t>0.gada 24.marta</w:t>
      </w:r>
      <w:r w:rsidRPr="0082381C">
        <w:t xml:space="preserve"> spriedumu.</w:t>
      </w:r>
    </w:p>
    <w:p w14:paraId="5741E301" w14:textId="77777777" w:rsidR="00DD0B78" w:rsidRPr="0082381C" w:rsidRDefault="00DD0B78" w:rsidP="009630BF">
      <w:pPr>
        <w:spacing w:line="276" w:lineRule="auto"/>
        <w:ind w:firstLine="720"/>
        <w:jc w:val="both"/>
      </w:pPr>
    </w:p>
    <w:p w14:paraId="49301551" w14:textId="77777777" w:rsidR="003047F5" w:rsidRPr="0082381C" w:rsidRDefault="003047F5" w:rsidP="009630BF">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9630BF">
      <w:pPr>
        <w:spacing w:line="276" w:lineRule="auto"/>
        <w:ind w:firstLine="720"/>
        <w:jc w:val="both"/>
      </w:pPr>
    </w:p>
    <w:p w14:paraId="48623ABD" w14:textId="7875F244" w:rsidR="003047F5" w:rsidRPr="002003B9" w:rsidRDefault="003047F5" w:rsidP="009630BF">
      <w:pPr>
        <w:spacing w:line="276" w:lineRule="auto"/>
        <w:ind w:firstLine="720"/>
        <w:jc w:val="both"/>
      </w:pPr>
      <w:r w:rsidRPr="002003B9">
        <w:t>[1] </w:t>
      </w:r>
      <w:r w:rsidR="00564E22" w:rsidRPr="002003B9">
        <w:t xml:space="preserve">Ar Valsts ieņēmumu dienesta </w:t>
      </w:r>
      <w:proofErr w:type="gramStart"/>
      <w:r w:rsidR="00564E22" w:rsidRPr="002003B9">
        <w:t>2018.gada</w:t>
      </w:r>
      <w:proofErr w:type="gramEnd"/>
      <w:r w:rsidR="00564E22" w:rsidRPr="002003B9">
        <w:t xml:space="preserve"> 3.decembra lēmumu Nr. 30.1-8.2/294235 kā administratīvo procesu iestādē noslēdzošo administratīvo aktu pieteicēja </w:t>
      </w:r>
      <w:r w:rsidR="00D9141A">
        <w:t xml:space="preserve">likvidējamā </w:t>
      </w:r>
      <w:r w:rsidR="00564E22" w:rsidRPr="002003B9">
        <w:t>SIA „</w:t>
      </w:r>
      <w:proofErr w:type="spellStart"/>
      <w:r w:rsidR="00564E22" w:rsidRPr="002003B9">
        <w:t>Pyro</w:t>
      </w:r>
      <w:proofErr w:type="spellEnd"/>
      <w:r w:rsidR="00564E22" w:rsidRPr="002003B9">
        <w:t xml:space="preserve"> </w:t>
      </w:r>
      <w:proofErr w:type="spellStart"/>
      <w:r w:rsidR="00564E22" w:rsidRPr="002003B9">
        <w:t>Power</w:t>
      </w:r>
      <w:proofErr w:type="spellEnd"/>
      <w:r w:rsidR="00564E22" w:rsidRPr="002003B9">
        <w:t xml:space="preserve">” izslēgta no pievienotās vērtības nodokļa maksātāju reģistra (turpmāk – reģistrs) sakarā ar to, ka </w:t>
      </w:r>
      <w:r w:rsidR="002A154D" w:rsidRPr="002003B9">
        <w:t>pieteicēja neiesniedza</w:t>
      </w:r>
      <w:r w:rsidR="00564E22" w:rsidRPr="002003B9">
        <w:t xml:space="preserve"> pievienotās vērtības nodokļa deklarācij</w:t>
      </w:r>
      <w:r w:rsidR="002A154D" w:rsidRPr="002003B9">
        <w:t>u</w:t>
      </w:r>
      <w:r w:rsidR="00564E22" w:rsidRPr="002003B9">
        <w:t xml:space="preserve"> par 2017.gada septembri. </w:t>
      </w:r>
      <w:r w:rsidR="002A154D" w:rsidRPr="002003B9">
        <w:t>Pieteicēja d</w:t>
      </w:r>
      <w:r w:rsidR="00E53AD0" w:rsidRPr="002003B9">
        <w:t>ienesta</w:t>
      </w:r>
      <w:r w:rsidR="00E270FA" w:rsidRPr="002003B9">
        <w:t xml:space="preserve"> lēmumu pārsūdzēja administratīvajā tiesā.</w:t>
      </w:r>
    </w:p>
    <w:p w14:paraId="7B7447C9" w14:textId="77777777" w:rsidR="003047F5" w:rsidRPr="002003B9" w:rsidRDefault="003047F5" w:rsidP="009630BF">
      <w:pPr>
        <w:spacing w:line="276" w:lineRule="auto"/>
        <w:ind w:firstLine="720"/>
        <w:jc w:val="both"/>
      </w:pPr>
    </w:p>
    <w:p w14:paraId="36F2F623" w14:textId="1F032820" w:rsidR="003047F5" w:rsidRPr="002003B9" w:rsidRDefault="003047F5" w:rsidP="009630BF">
      <w:pPr>
        <w:spacing w:line="276" w:lineRule="auto"/>
        <w:ind w:firstLine="720"/>
        <w:jc w:val="both"/>
      </w:pPr>
      <w:r w:rsidRPr="002003B9">
        <w:t>[2] </w:t>
      </w:r>
      <w:r w:rsidR="00E270FA" w:rsidRPr="002003B9">
        <w:t xml:space="preserve">Administratīvā </w:t>
      </w:r>
      <w:r w:rsidR="00E270FA" w:rsidRPr="00CB79EE">
        <w:t>apgabaltiesa</w:t>
      </w:r>
      <w:r w:rsidR="00C01659" w:rsidRPr="00CB79EE">
        <w:t>, daļēji pievienojoties rajona tiesas sprieduma motivācijai,</w:t>
      </w:r>
      <w:r w:rsidR="00E270FA" w:rsidRPr="00CB79EE">
        <w:t xml:space="preserve"> ar </w:t>
      </w:r>
      <w:proofErr w:type="gramStart"/>
      <w:r w:rsidR="00E270FA" w:rsidRPr="00CB79EE">
        <w:t>2020.gada</w:t>
      </w:r>
      <w:proofErr w:type="gramEnd"/>
      <w:r w:rsidR="00E270FA" w:rsidRPr="00CB79EE">
        <w:t xml:space="preserve"> 24.marta spriedumu apmierināja pieteikumu un atzina</w:t>
      </w:r>
      <w:r w:rsidR="00E270FA" w:rsidRPr="002003B9">
        <w:t xml:space="preserve"> dienesta lēmumu par prettiesisku. Spriedums pamatots ar turpmāk minētajiem argumentiem.</w:t>
      </w:r>
    </w:p>
    <w:p w14:paraId="7ED706F2" w14:textId="5BFCA7E5" w:rsidR="00E5298A" w:rsidRPr="002003B9" w:rsidRDefault="00E5298A" w:rsidP="009630BF">
      <w:pPr>
        <w:spacing w:line="276" w:lineRule="auto"/>
        <w:ind w:firstLine="720"/>
        <w:jc w:val="both"/>
      </w:pPr>
      <w:r w:rsidRPr="00CB79EE">
        <w:lastRenderedPageBreak/>
        <w:t>[</w:t>
      </w:r>
      <w:r w:rsidR="009C7C04" w:rsidRPr="00CB79EE">
        <w:t>2.1</w:t>
      </w:r>
      <w:r w:rsidRPr="00CB79EE">
        <w:t>]</w:t>
      </w:r>
      <w:r w:rsidR="00B65837" w:rsidRPr="00CB79EE">
        <w:t> </w:t>
      </w:r>
      <w:r w:rsidR="001904C7">
        <w:t>Lieta ir ierosināta par dienesta lēmuma atcelšanu, taču</w:t>
      </w:r>
      <w:r w:rsidR="00B65837" w:rsidRPr="00CB79EE">
        <w:t xml:space="preserve"> lēmums ir izpildīts un zaudējis spēku.</w:t>
      </w:r>
      <w:r w:rsidR="00B61090" w:rsidRPr="002003B9">
        <w:t xml:space="preserve"> Līdz ar to pieteikuma priekšmets precizējams kā prasījums par dienesta lēmuma atzīšanu par prettiesisku </w:t>
      </w:r>
      <w:r w:rsidR="00911759" w:rsidRPr="002003B9">
        <w:t>(</w:t>
      </w:r>
      <w:r w:rsidR="00B61090" w:rsidRPr="002003B9">
        <w:t xml:space="preserve">Administratīvā procesa likuma </w:t>
      </w:r>
      <w:proofErr w:type="gramStart"/>
      <w:r w:rsidR="00B61090" w:rsidRPr="002003B9">
        <w:t>184.panta</w:t>
      </w:r>
      <w:proofErr w:type="gramEnd"/>
      <w:r w:rsidR="00B61090" w:rsidRPr="002003B9">
        <w:t xml:space="preserve"> otr</w:t>
      </w:r>
      <w:r w:rsidR="00911759" w:rsidRPr="002003B9">
        <w:t>ā</w:t>
      </w:r>
      <w:r w:rsidR="00B61090" w:rsidRPr="002003B9">
        <w:t xml:space="preserve"> daļa</w:t>
      </w:r>
      <w:r w:rsidR="00911759" w:rsidRPr="002003B9">
        <w:t>)</w:t>
      </w:r>
      <w:r w:rsidR="00B61090" w:rsidRPr="002003B9">
        <w:t>. Šāds prasījums ir pieļaujams, lai pieteicēja varētu pieprasīt atlīdzinājumu.</w:t>
      </w:r>
    </w:p>
    <w:p w14:paraId="1AE20258" w14:textId="2021032D" w:rsidR="002569AB" w:rsidRPr="002003B9" w:rsidRDefault="00E270FA" w:rsidP="009630BF">
      <w:pPr>
        <w:spacing w:line="276" w:lineRule="auto"/>
        <w:ind w:firstLine="720"/>
        <w:jc w:val="both"/>
      </w:pPr>
      <w:r w:rsidRPr="002003B9">
        <w:t>[</w:t>
      </w:r>
      <w:r w:rsidR="009C7C04" w:rsidRPr="002003B9">
        <w:t>2.2</w:t>
      </w:r>
      <w:r w:rsidRPr="002003B9">
        <w:t>] </w:t>
      </w:r>
      <w:r w:rsidR="003761E9" w:rsidRPr="002003B9">
        <w:t>I</w:t>
      </w:r>
      <w:r w:rsidR="007A1F73" w:rsidRPr="002003B9">
        <w:t>r iestājušies formālie priekšnoteikumi, lai pieteicēju izslēgtu no reģistra.</w:t>
      </w:r>
      <w:r w:rsidR="002A154D" w:rsidRPr="002003B9">
        <w:t xml:space="preserve"> </w:t>
      </w:r>
      <w:r w:rsidR="00B65837" w:rsidRPr="002003B9">
        <w:t xml:space="preserve">Proti, pieteicēja nereaģēja uz dienesta brīdinājumu un neiesniedza pievienotās vērtības nodokļa deklarāciju par </w:t>
      </w:r>
      <w:proofErr w:type="gramStart"/>
      <w:r w:rsidR="00B65837" w:rsidRPr="002003B9">
        <w:t>2017.gada</w:t>
      </w:r>
      <w:proofErr w:type="gramEnd"/>
      <w:r w:rsidR="00B65837" w:rsidRPr="002003B9">
        <w:t xml:space="preserve"> septembri</w:t>
      </w:r>
      <w:r w:rsidR="00FD0CE1" w:rsidRPr="002003B9">
        <w:t xml:space="preserve"> (Pievienotās vērtības nodokļa likuma 73.panta pirmās daļas 5.punkta „a” apakšpunkts, 79.panta pirmā, otrā daļa).</w:t>
      </w:r>
      <w:r w:rsidR="00E72A4E" w:rsidRPr="002003B9">
        <w:t xml:space="preserve"> </w:t>
      </w:r>
      <w:r w:rsidR="00C01659" w:rsidRPr="002003B9">
        <w:t>Tomēr v</w:t>
      </w:r>
      <w:r w:rsidR="00042F40" w:rsidRPr="002003B9">
        <w:t xml:space="preserve">ienlaikus </w:t>
      </w:r>
      <w:r w:rsidR="00257AD9" w:rsidRPr="002003B9">
        <w:t>konstatējam</w:t>
      </w:r>
      <w:r w:rsidR="00E72A4E" w:rsidRPr="002003B9">
        <w:t xml:space="preserve">s, ka </w:t>
      </w:r>
      <w:proofErr w:type="gramStart"/>
      <w:r w:rsidR="00042F40" w:rsidRPr="002003B9">
        <w:t>2017.gada</w:t>
      </w:r>
      <w:proofErr w:type="gramEnd"/>
      <w:r w:rsidR="00042F40" w:rsidRPr="002003B9">
        <w:t xml:space="preserve"> 5.oktobrī nelaimes gadījumā gāja bojā g</w:t>
      </w:r>
      <w:r w:rsidR="00E53AD0" w:rsidRPr="002003B9">
        <w:t>an p</w:t>
      </w:r>
      <w:r w:rsidR="00257AD9" w:rsidRPr="002003B9">
        <w:t>ieteicējas vienīgais dalībnieks</w:t>
      </w:r>
      <w:r w:rsidR="00E53AD0" w:rsidRPr="002003B9">
        <w:t>, gan</w:t>
      </w:r>
      <w:r w:rsidR="00257AD9" w:rsidRPr="002003B9">
        <w:t xml:space="preserve"> valdes</w:t>
      </w:r>
      <w:r w:rsidR="00E5298A" w:rsidRPr="002003B9">
        <w:t xml:space="preserve"> loceklis</w:t>
      </w:r>
      <w:r w:rsidR="003B1EC3" w:rsidRPr="002003B9">
        <w:t>.</w:t>
      </w:r>
      <w:r w:rsidR="00042F40" w:rsidRPr="002003B9">
        <w:t xml:space="preserve"> Līdz ar to pieteicējai zuda gan</w:t>
      </w:r>
      <w:r w:rsidR="00E35DE3" w:rsidRPr="002003B9">
        <w:t xml:space="preserve"> </w:t>
      </w:r>
      <w:r w:rsidR="00042F40" w:rsidRPr="002003B9">
        <w:t>pārstāvis, gan institūcija, kas varētu ievēlēt jaunu valdi.</w:t>
      </w:r>
      <w:r w:rsidR="005F14A9" w:rsidRPr="002003B9">
        <w:t xml:space="preserve"> </w:t>
      </w:r>
      <w:r w:rsidR="00832FD2" w:rsidRPr="002003B9">
        <w:t>Š</w:t>
      </w:r>
      <w:r w:rsidR="00883886" w:rsidRPr="002003B9">
        <w:t xml:space="preserve">ajā brīdī </w:t>
      </w:r>
      <w:r w:rsidR="00E5298A" w:rsidRPr="002003B9">
        <w:t>pieteicēja</w:t>
      </w:r>
      <w:r w:rsidR="003B1EC3" w:rsidRPr="002003B9">
        <w:t xml:space="preserve"> </w:t>
      </w:r>
      <w:r w:rsidR="00883886" w:rsidRPr="002003B9">
        <w:t xml:space="preserve">objektīvu iemeslu dēļ </w:t>
      </w:r>
      <w:r w:rsidR="003B1EC3" w:rsidRPr="002003B9">
        <w:t>zaudēja</w:t>
      </w:r>
      <w:r w:rsidR="00E5298A" w:rsidRPr="002003B9">
        <w:t xml:space="preserve"> </w:t>
      </w:r>
      <w:r w:rsidR="003B1EC3" w:rsidRPr="002003B9">
        <w:t>rīcībspēju</w:t>
      </w:r>
      <w:r w:rsidR="00883886" w:rsidRPr="002003B9">
        <w:t>.</w:t>
      </w:r>
    </w:p>
    <w:p w14:paraId="0D7827B6" w14:textId="15E4CA7C" w:rsidR="006B7BBC" w:rsidRPr="002003B9" w:rsidRDefault="00E5298A" w:rsidP="009630BF">
      <w:pPr>
        <w:spacing w:line="276" w:lineRule="auto"/>
        <w:ind w:firstLine="720"/>
        <w:jc w:val="both"/>
      </w:pPr>
      <w:r w:rsidRPr="002003B9">
        <w:lastRenderedPageBreak/>
        <w:t>[</w:t>
      </w:r>
      <w:r w:rsidR="009C7C04" w:rsidRPr="002003B9">
        <w:t>2.3</w:t>
      </w:r>
      <w:r w:rsidRPr="002003B9">
        <w:t>]</w:t>
      </w:r>
      <w:r w:rsidR="00765907" w:rsidRPr="002003B9">
        <w:t> </w:t>
      </w:r>
      <w:r w:rsidR="00883886" w:rsidRPr="002003B9">
        <w:t>Mantošanas process pie zvērināta notāra tiek uzsākts tikai</w:t>
      </w:r>
      <w:r w:rsidR="00752DD9">
        <w:t xml:space="preserve"> tad</w:t>
      </w:r>
      <w:r w:rsidR="00883886" w:rsidRPr="002003B9">
        <w:t xml:space="preserve">, </w:t>
      </w:r>
      <w:r w:rsidR="008074F8" w:rsidRPr="002003B9">
        <w:t>ja</w:t>
      </w:r>
      <w:r w:rsidR="00883886" w:rsidRPr="002003B9">
        <w:t xml:space="preserve"> to iniciē personas, kurām </w:t>
      </w:r>
      <w:r w:rsidR="00832FD2" w:rsidRPr="002003B9">
        <w:t>ir</w:t>
      </w:r>
      <w:r w:rsidR="00883886" w:rsidRPr="002003B9">
        <w:t xml:space="preserve"> tiesības iesniegt mantošanas iesniegumu.</w:t>
      </w:r>
      <w:r w:rsidR="00967911" w:rsidRPr="002003B9">
        <w:t xml:space="preserve"> </w:t>
      </w:r>
      <w:r w:rsidR="009C7C04" w:rsidRPr="002003B9">
        <w:t>Izskatāmajā lietā n</w:t>
      </w:r>
      <w:r w:rsidR="00883886" w:rsidRPr="002003B9">
        <w:t>av konstatējam</w:t>
      </w:r>
      <w:r w:rsidR="00E72A4E" w:rsidRPr="002003B9">
        <w:t>a persona, kas</w:t>
      </w:r>
      <w:r w:rsidR="0052243A" w:rsidRPr="002003B9">
        <w:t xml:space="preserve"> </w:t>
      </w:r>
      <w:r w:rsidR="00883886" w:rsidRPr="002003B9">
        <w:t>būtu varē</w:t>
      </w:r>
      <w:r w:rsidR="00EF0FCE" w:rsidRPr="002003B9">
        <w:t>j</w:t>
      </w:r>
      <w:r w:rsidR="00E72A4E" w:rsidRPr="002003B9">
        <w:t>usi</w:t>
      </w:r>
      <w:r w:rsidR="00883886" w:rsidRPr="002003B9">
        <w:t xml:space="preserve"> </w:t>
      </w:r>
      <w:r w:rsidR="00E72A4E" w:rsidRPr="002003B9">
        <w:t>to izdarīt</w:t>
      </w:r>
      <w:r w:rsidR="00FA475E" w:rsidRPr="002003B9">
        <w:t>, jo nelaimes gadījumā bojā gāja arī pieteicējas dalībnieka potenciālie mantinieki.</w:t>
      </w:r>
    </w:p>
    <w:p w14:paraId="17A8FFAB" w14:textId="608321C6" w:rsidR="00E72A4E" w:rsidRPr="002003B9" w:rsidRDefault="004A4D97" w:rsidP="009630BF">
      <w:pPr>
        <w:spacing w:line="276" w:lineRule="auto"/>
        <w:ind w:firstLine="720"/>
        <w:jc w:val="both"/>
      </w:pPr>
      <w:r w:rsidRPr="002003B9">
        <w:t>Dienesta arguments, ka mantinieki vai ieinteresētās personas varētu lūgt</w:t>
      </w:r>
      <w:r w:rsidR="007D326C" w:rsidRPr="002003B9">
        <w:t xml:space="preserve"> zvērinātam</w:t>
      </w:r>
      <w:r w:rsidRPr="002003B9">
        <w:t xml:space="preserve"> notāram nodibināt mantojuma aizgādnību saskaņā ar Civillikuma </w:t>
      </w:r>
      <w:proofErr w:type="gramStart"/>
      <w:r w:rsidRPr="002003B9">
        <w:t>660.pantu</w:t>
      </w:r>
      <w:proofErr w:type="gramEnd"/>
      <w:r w:rsidRPr="002003B9">
        <w:t>, ir pamatots. Tomēr</w:t>
      </w:r>
      <w:r w:rsidR="002A5C27" w:rsidRPr="002003B9">
        <w:t xml:space="preserve"> aizgādnības nodibināšana ir</w:t>
      </w:r>
      <w:r w:rsidRPr="002003B9">
        <w:t xml:space="preserve"> atkarīg</w:t>
      </w:r>
      <w:r w:rsidR="002A5C27" w:rsidRPr="002003B9">
        <w:t>a</w:t>
      </w:r>
      <w:r w:rsidRPr="002003B9">
        <w:t xml:space="preserve"> no tā, </w:t>
      </w:r>
      <w:r w:rsidR="007D326C" w:rsidRPr="002003B9">
        <w:t>kad</w:t>
      </w:r>
      <w:r w:rsidR="00CD2220" w:rsidRPr="002003B9">
        <w:t xml:space="preserve"> konkrētās</w:t>
      </w:r>
      <w:r w:rsidRPr="002003B9">
        <w:t xml:space="preserve"> personas uzzin</w:t>
      </w:r>
      <w:r w:rsidR="00FA475E" w:rsidRPr="002003B9">
        <w:t>a</w:t>
      </w:r>
      <w:r w:rsidRPr="002003B9">
        <w:t xml:space="preserve"> par mantojum</w:t>
      </w:r>
      <w:r w:rsidR="002A5C27" w:rsidRPr="002003B9">
        <w:t>u</w:t>
      </w:r>
      <w:r w:rsidRPr="002003B9">
        <w:t xml:space="preserve"> un vai tām ir interese lūgumu iesniegt.</w:t>
      </w:r>
    </w:p>
    <w:p w14:paraId="68D1A4C5" w14:textId="258BB8D3" w:rsidR="007D326C" w:rsidRPr="002003B9" w:rsidRDefault="004A4D97" w:rsidP="009630BF">
      <w:pPr>
        <w:spacing w:line="276" w:lineRule="auto"/>
        <w:ind w:firstLine="720"/>
        <w:jc w:val="both"/>
      </w:pPr>
      <w:r w:rsidRPr="002003B9">
        <w:t>Šāda interese ir bijusi pieteicējai kā kreditoram</w:t>
      </w:r>
      <w:r w:rsidR="00832FD2" w:rsidRPr="002003B9">
        <w:t>. Tomēr</w:t>
      </w:r>
      <w:r w:rsidRPr="002003B9">
        <w:t xml:space="preserve"> </w:t>
      </w:r>
      <w:r w:rsidR="008074F8" w:rsidRPr="002003B9">
        <w:t>pieteicēja</w:t>
      </w:r>
      <w:r w:rsidR="007D326C" w:rsidRPr="002003B9">
        <w:t xml:space="preserve"> </w:t>
      </w:r>
      <w:r w:rsidRPr="002003B9">
        <w:t xml:space="preserve">varēja </w:t>
      </w:r>
      <w:r w:rsidR="007D326C" w:rsidRPr="002003B9">
        <w:t>rīkoties tikai pēc</w:t>
      </w:r>
      <w:r w:rsidRPr="002003B9">
        <w:t xml:space="preserve"> rīcībspēja</w:t>
      </w:r>
      <w:r w:rsidR="007D326C" w:rsidRPr="002003B9">
        <w:t>s atjaunošanas</w:t>
      </w:r>
      <w:r w:rsidR="00765907" w:rsidRPr="002003B9">
        <w:t>.</w:t>
      </w:r>
      <w:r w:rsidR="00E72A4E" w:rsidRPr="002003B9">
        <w:t xml:space="preserve"> </w:t>
      </w:r>
      <w:r w:rsidR="00B21113" w:rsidRPr="002003B9">
        <w:t xml:space="preserve">Pieteicēja atguva rīcībspēju </w:t>
      </w:r>
      <w:proofErr w:type="gramStart"/>
      <w:r w:rsidR="00B21113" w:rsidRPr="002003B9">
        <w:t>2018.gada</w:t>
      </w:r>
      <w:proofErr w:type="gramEnd"/>
      <w:r w:rsidR="00B21113" w:rsidRPr="002003B9">
        <w:t xml:space="preserve"> 1.augustā, kad Uzņēmumu reģistrs pēc ieinteresētās personas 2018.gada 26.jūlija iesnieguma </w:t>
      </w:r>
      <w:r w:rsidR="000A588E" w:rsidRPr="002003B9">
        <w:t>uzsāka</w:t>
      </w:r>
      <w:r w:rsidR="00B21113" w:rsidRPr="002003B9">
        <w:t xml:space="preserve"> pieteicējas likvidācijas proces</w:t>
      </w:r>
      <w:r w:rsidR="000A588E" w:rsidRPr="002003B9">
        <w:t>u</w:t>
      </w:r>
      <w:r w:rsidR="00B21113" w:rsidRPr="002003B9">
        <w:t>, ieceļot likvidatorus.</w:t>
      </w:r>
      <w:r w:rsidR="00EF0FCE" w:rsidRPr="002003B9">
        <w:t xml:space="preserve"> </w:t>
      </w:r>
      <w:r w:rsidR="00474BD7" w:rsidRPr="002003B9">
        <w:t>2018.gada 6.septembrī kreditors (</w:t>
      </w:r>
      <w:r w:rsidR="00474BD7" w:rsidRPr="00CB79EE">
        <w:t xml:space="preserve">likvidējamā </w:t>
      </w:r>
      <w:r w:rsidR="00474BD7" w:rsidRPr="00CB79EE">
        <w:lastRenderedPageBreak/>
        <w:t>SIA „</w:t>
      </w:r>
      <w:proofErr w:type="spellStart"/>
      <w:r w:rsidR="00474BD7" w:rsidRPr="00CB79EE">
        <w:t>Pyro</w:t>
      </w:r>
      <w:proofErr w:type="spellEnd"/>
      <w:r w:rsidR="00474BD7" w:rsidRPr="00CB79EE">
        <w:t xml:space="preserve"> </w:t>
      </w:r>
      <w:proofErr w:type="spellStart"/>
      <w:r w:rsidR="00474BD7" w:rsidRPr="00CB79EE">
        <w:t>Power</w:t>
      </w:r>
      <w:proofErr w:type="spellEnd"/>
      <w:r w:rsidR="00474BD7" w:rsidRPr="00CB79EE">
        <w:t>”)</w:t>
      </w:r>
      <w:r w:rsidR="00474BD7" w:rsidRPr="002003B9">
        <w:t xml:space="preserve"> zvērinātam notāram iesniedza iesniegumu par aizgādnības nodibināšanu pieteicējas dalībnieka mantojumam – pieteicējas kapitāla daļām. Mantojuma atklāšanās un aicinājums pieteikties mantiniekiem izsludināts 2018.gada 10.septembrī.</w:t>
      </w:r>
    </w:p>
    <w:p w14:paraId="5072C659" w14:textId="210C2C2B" w:rsidR="00E71576" w:rsidRPr="002003B9" w:rsidRDefault="00984DB0" w:rsidP="009630BF">
      <w:pPr>
        <w:spacing w:line="276" w:lineRule="auto"/>
        <w:ind w:firstLine="720"/>
        <w:jc w:val="both"/>
      </w:pPr>
      <w:r w:rsidRPr="002003B9">
        <w:t>[</w:t>
      </w:r>
      <w:r w:rsidR="00A60AB8" w:rsidRPr="002003B9">
        <w:t>2.4</w:t>
      </w:r>
      <w:r w:rsidRPr="002003B9">
        <w:t>] </w:t>
      </w:r>
      <w:r w:rsidR="00E71576" w:rsidRPr="002003B9">
        <w:t>No Komerclikuma 314.</w:t>
      </w:r>
      <w:proofErr w:type="gramStart"/>
      <w:r w:rsidR="00E71576" w:rsidRPr="002003B9">
        <w:rPr>
          <w:vertAlign w:val="superscript"/>
        </w:rPr>
        <w:t>1</w:t>
      </w:r>
      <w:r w:rsidR="00E71576" w:rsidRPr="002003B9">
        <w:t>panta</w:t>
      </w:r>
      <w:proofErr w:type="gramEnd"/>
      <w:r w:rsidR="00E71576" w:rsidRPr="002003B9">
        <w:t xml:space="preserve"> pirmās daļas, 317.panta pirmās daļas, 318.</w:t>
      </w:r>
      <w:r w:rsidR="00E71576" w:rsidRPr="002003B9">
        <w:rPr>
          <w:vertAlign w:val="superscript"/>
        </w:rPr>
        <w:t>1</w:t>
      </w:r>
      <w:r w:rsidR="00E71576" w:rsidRPr="002003B9">
        <w:t xml:space="preserve">panta pirmās daļas </w:t>
      </w:r>
      <w:r w:rsidR="00FA475E" w:rsidRPr="002003B9">
        <w:t>izriet</w:t>
      </w:r>
      <w:r w:rsidR="00E71576" w:rsidRPr="002003B9">
        <w:t>, ka likvidatora iecelšana gadījumā, kad sabiedrībai nav pārstāvības institūcijas, ir laikietilpīgs process</w:t>
      </w:r>
      <w:r w:rsidR="00073D93" w:rsidRPr="002003B9">
        <w:t xml:space="preserve">, kas </w:t>
      </w:r>
      <w:r w:rsidR="00E71576" w:rsidRPr="002003B9">
        <w:t>pārsniedz sešus mēnešus. Turklāt savlaicīga</w:t>
      </w:r>
      <w:r w:rsidR="00F61BEC" w:rsidRPr="002003B9">
        <w:t xml:space="preserve"> sabiedrības</w:t>
      </w:r>
      <w:r w:rsidR="00E71576" w:rsidRPr="002003B9">
        <w:t xml:space="preserve"> darbības izbeigšana ir atkarīga no citu per</w:t>
      </w:r>
      <w:r w:rsidR="00073D93" w:rsidRPr="002003B9">
        <w:t>sonu</w:t>
      </w:r>
      <w:r w:rsidR="00E71576" w:rsidRPr="002003B9">
        <w:t xml:space="preserve"> rīcības.</w:t>
      </w:r>
    </w:p>
    <w:p w14:paraId="3CD2104E" w14:textId="562040E4" w:rsidR="004A4D97" w:rsidRPr="002003B9" w:rsidRDefault="004A4D97" w:rsidP="009630BF">
      <w:pPr>
        <w:spacing w:line="276" w:lineRule="auto"/>
        <w:ind w:firstLine="720"/>
        <w:jc w:val="both"/>
      </w:pPr>
      <w:r w:rsidRPr="002003B9">
        <w:t>[</w:t>
      </w:r>
      <w:r w:rsidR="00A60AB8" w:rsidRPr="002003B9">
        <w:t>2.5</w:t>
      </w:r>
      <w:r w:rsidRPr="002003B9">
        <w:t>] Dienesta lēmuma izpilde</w:t>
      </w:r>
      <w:r w:rsidR="007128AD" w:rsidRPr="002003B9">
        <w:t>s rezultātā</w:t>
      </w:r>
      <w:r w:rsidRPr="002003B9">
        <w:t xml:space="preserve"> pieteicēja ir zaudējusi tiesības prasīt pievienotās vērtības nodokļa atmaksu (Pievienotās vērtības nodokļa likuma </w:t>
      </w:r>
      <w:proofErr w:type="gramStart"/>
      <w:r w:rsidRPr="002003B9">
        <w:t>109.panta</w:t>
      </w:r>
      <w:proofErr w:type="gramEnd"/>
      <w:r w:rsidRPr="002003B9">
        <w:t xml:space="preserve"> astotā daļa). Dienests norādījis, ka </w:t>
      </w:r>
      <w:r w:rsidR="007128AD" w:rsidRPr="002003B9">
        <w:t>pieteicējai izveidoju</w:t>
      </w:r>
      <w:r w:rsidR="00073D93" w:rsidRPr="002003B9">
        <w:t>sies</w:t>
      </w:r>
      <w:r w:rsidR="007128AD" w:rsidRPr="002003B9">
        <w:t xml:space="preserve"> nodokļa pārmaksa (987,69</w:t>
      </w:r>
      <w:r w:rsidR="00073D93" w:rsidRPr="002003B9">
        <w:t> </w:t>
      </w:r>
      <w:r w:rsidR="007128AD" w:rsidRPr="002003B9">
        <w:rPr>
          <w:i/>
          <w:iCs/>
        </w:rPr>
        <w:t>euro</w:t>
      </w:r>
      <w:r w:rsidR="00073D93" w:rsidRPr="002003B9">
        <w:t xml:space="preserve">) </w:t>
      </w:r>
      <w:r w:rsidRPr="002003B9">
        <w:t>ir</w:t>
      </w:r>
      <w:r w:rsidR="00073D93" w:rsidRPr="002003B9">
        <w:t xml:space="preserve"> </w:t>
      </w:r>
      <w:r w:rsidR="00B80814" w:rsidRPr="002003B9">
        <w:t xml:space="preserve">jau </w:t>
      </w:r>
      <w:r w:rsidR="00073D93" w:rsidRPr="002003B9">
        <w:t>dzēsta</w:t>
      </w:r>
      <w:r w:rsidR="00B80814" w:rsidRPr="002003B9">
        <w:t xml:space="preserve"> (299,53 </w:t>
      </w:r>
      <w:r w:rsidR="00B80814" w:rsidRPr="002003B9">
        <w:rPr>
          <w:i/>
          <w:iCs/>
        </w:rPr>
        <w:t>euro</w:t>
      </w:r>
      <w:r w:rsidR="00B80814" w:rsidRPr="002003B9">
        <w:t>)</w:t>
      </w:r>
      <w:r w:rsidR="00073D93" w:rsidRPr="002003B9">
        <w:t xml:space="preserve"> vai</w:t>
      </w:r>
      <w:r w:rsidRPr="002003B9">
        <w:t xml:space="preserve"> dzēšama</w:t>
      </w:r>
      <w:r w:rsidR="00B80814" w:rsidRPr="002003B9">
        <w:t xml:space="preserve"> (688,16 </w:t>
      </w:r>
      <w:r w:rsidR="00B80814" w:rsidRPr="002003B9">
        <w:rPr>
          <w:i/>
          <w:iCs/>
        </w:rPr>
        <w:t>euro</w:t>
      </w:r>
      <w:r w:rsidR="00B80814" w:rsidRPr="002003B9">
        <w:t>)</w:t>
      </w:r>
      <w:r w:rsidRPr="002003B9">
        <w:t xml:space="preserve">. </w:t>
      </w:r>
      <w:r w:rsidR="00CA47B0" w:rsidRPr="002003B9">
        <w:t xml:space="preserve">Atbilstoši </w:t>
      </w:r>
      <w:r w:rsidR="00FA475E" w:rsidRPr="002003B9">
        <w:t>Senāta praksei</w:t>
      </w:r>
      <w:r w:rsidR="00073D93" w:rsidRPr="002003B9">
        <w:t xml:space="preserve"> </w:t>
      </w:r>
      <w:r w:rsidR="00E72A4E" w:rsidRPr="002003B9">
        <w:t xml:space="preserve">nodokļa </w:t>
      </w:r>
      <w:r w:rsidRPr="002003B9">
        <w:t>pārmaks</w:t>
      </w:r>
      <w:r w:rsidR="00FA475E" w:rsidRPr="002003B9">
        <w:t>as</w:t>
      </w:r>
      <w:r w:rsidRPr="002003B9">
        <w:t xml:space="preserve"> dzēšana ir iekšējs lēmums, kas pats par sevi nerada tiesiskas sekas.</w:t>
      </w:r>
    </w:p>
    <w:p w14:paraId="635F6903" w14:textId="569F4C7F" w:rsidR="00EF0FCE" w:rsidRPr="002003B9" w:rsidRDefault="004A4D97" w:rsidP="009630BF">
      <w:pPr>
        <w:spacing w:line="276" w:lineRule="auto"/>
        <w:ind w:firstLine="720"/>
        <w:jc w:val="both"/>
      </w:pPr>
      <w:r w:rsidRPr="002003B9">
        <w:lastRenderedPageBreak/>
        <w:t>[</w:t>
      </w:r>
      <w:r w:rsidR="00A60AB8" w:rsidRPr="002003B9">
        <w:t>2.6</w:t>
      </w:r>
      <w:r w:rsidRPr="002003B9">
        <w:t>] </w:t>
      </w:r>
      <w:r w:rsidR="00892360" w:rsidRPr="002003B9">
        <w:t>P</w:t>
      </w:r>
      <w:r w:rsidRPr="002003B9">
        <w:t>ieteicējai</w:t>
      </w:r>
      <w:r w:rsidR="00E71576" w:rsidRPr="002003B9">
        <w:t xml:space="preserve"> n</w:t>
      </w:r>
      <w:r w:rsidRPr="002003B9">
        <w:t>ebija</w:t>
      </w:r>
      <w:r w:rsidR="00E71576" w:rsidRPr="002003B9">
        <w:t xml:space="preserve"> iespējas apstrīdēt</w:t>
      </w:r>
      <w:r w:rsidRPr="002003B9">
        <w:t xml:space="preserve"> un</w:t>
      </w:r>
      <w:r w:rsidR="00E71576" w:rsidRPr="002003B9">
        <w:t xml:space="preserve"> pārsūdzēt </w:t>
      </w:r>
      <w:r w:rsidRPr="002003B9">
        <w:t>tās</w:t>
      </w:r>
      <w:r w:rsidR="00E71576" w:rsidRPr="002003B9">
        <w:t xml:space="preserve"> izslēgšanu no reģistra, </w:t>
      </w:r>
      <w:r w:rsidRPr="002003B9">
        <w:t>kā</w:t>
      </w:r>
      <w:r w:rsidR="00E71576" w:rsidRPr="002003B9">
        <w:t xml:space="preserve"> arī četru mēnešu laikā pieprasīt pārmaksātā </w:t>
      </w:r>
      <w:r w:rsidRPr="002003B9">
        <w:t xml:space="preserve">pievienotās vērtības </w:t>
      </w:r>
      <w:r w:rsidR="00E71576" w:rsidRPr="002003B9">
        <w:t xml:space="preserve">nodokļa atmaksu. </w:t>
      </w:r>
      <w:r w:rsidR="006C5A8B" w:rsidRPr="002003B9">
        <w:t xml:space="preserve">Savukārt </w:t>
      </w:r>
      <w:r w:rsidR="00E71576" w:rsidRPr="002003B9">
        <w:t>likvidatoru nepamatota kavēšanās</w:t>
      </w:r>
      <w:r w:rsidR="006C5A8B" w:rsidRPr="002003B9">
        <w:t xml:space="preserve"> nav saskatāma</w:t>
      </w:r>
      <w:r w:rsidRPr="002003B9">
        <w:t>.</w:t>
      </w:r>
      <w:r w:rsidR="00A60AB8" w:rsidRPr="002003B9">
        <w:t xml:space="preserve"> </w:t>
      </w:r>
      <w:r w:rsidR="000F2E6E" w:rsidRPr="002003B9">
        <w:t>Š</w:t>
      </w:r>
      <w:r w:rsidRPr="002003B9">
        <w:t>īs</w:t>
      </w:r>
      <w:r w:rsidR="00EF0FCE" w:rsidRPr="002003B9">
        <w:t xml:space="preserve"> liet</w:t>
      </w:r>
      <w:r w:rsidRPr="002003B9">
        <w:t>as</w:t>
      </w:r>
      <w:r w:rsidR="00EF0FCE" w:rsidRPr="002003B9">
        <w:t xml:space="preserve"> apstākļi atšķir to no gadījumiem, kad nodokļa deklarācij</w:t>
      </w:r>
      <w:r w:rsidR="00892360" w:rsidRPr="002003B9">
        <w:t xml:space="preserve">a netiek iesniegta </w:t>
      </w:r>
      <w:r w:rsidR="00EF0FCE" w:rsidRPr="002003B9">
        <w:t>negodprātīgi. Lai pieteicēja varētu</w:t>
      </w:r>
      <w:r w:rsidR="000F2E6E" w:rsidRPr="002003B9">
        <w:t xml:space="preserve"> </w:t>
      </w:r>
      <w:r w:rsidR="00EF0FCE" w:rsidRPr="002003B9">
        <w:t>iesniegt deklarāciju, reaģēt uz brīdinājumu, kā arī lūg</w:t>
      </w:r>
      <w:r w:rsidR="00073D93" w:rsidRPr="002003B9">
        <w:t>t</w:t>
      </w:r>
      <w:r w:rsidR="00EF0FCE" w:rsidRPr="002003B9">
        <w:t xml:space="preserve"> atmaksāt pārmaksāto nodok</w:t>
      </w:r>
      <w:r w:rsidR="00A60AB8" w:rsidRPr="002003B9">
        <w:t>li</w:t>
      </w:r>
      <w:r w:rsidR="00EF0FCE" w:rsidRPr="002003B9">
        <w:t xml:space="preserve">, tai bija jābūt rīcībspējīgai. </w:t>
      </w:r>
      <w:r w:rsidR="002543BD" w:rsidRPr="002003B9">
        <w:t>P</w:t>
      </w:r>
      <w:r w:rsidR="00EF0FCE" w:rsidRPr="002003B9">
        <w:t xml:space="preserve">ieteicējas rīcībspēja </w:t>
      </w:r>
      <w:r w:rsidR="002543BD" w:rsidRPr="002003B9">
        <w:t xml:space="preserve">tika atjaunota </w:t>
      </w:r>
      <w:r w:rsidR="00EF0FCE" w:rsidRPr="002003B9">
        <w:t>atbilstoši tiesību normā</w:t>
      </w:r>
      <w:r w:rsidR="00A60AB8" w:rsidRPr="002003B9">
        <w:t>m</w:t>
      </w:r>
      <w:r w:rsidR="00EF0FCE" w:rsidRPr="002003B9">
        <w:t xml:space="preserve"> un nebija atkarīga no pieteicējas gribas. Tādējādi pieteicējas izslēgšana no reģistra, kaut arī</w:t>
      </w:r>
      <w:r w:rsidR="00892360" w:rsidRPr="002003B9">
        <w:t xml:space="preserve"> formāli</w:t>
      </w:r>
      <w:r w:rsidR="00EF0FCE" w:rsidRPr="002003B9">
        <w:t xml:space="preserve"> bija atbilstoša tiesību normām, tomēr ir nesamērīg</w:t>
      </w:r>
      <w:r w:rsidR="002543BD" w:rsidRPr="002003B9">
        <w:t>a.</w:t>
      </w:r>
    </w:p>
    <w:p w14:paraId="313C34A3" w14:textId="15DB3937" w:rsidR="00E71576" w:rsidRPr="002003B9" w:rsidRDefault="00E71576" w:rsidP="009630BF">
      <w:pPr>
        <w:spacing w:line="276" w:lineRule="auto"/>
        <w:ind w:firstLine="720"/>
        <w:jc w:val="both"/>
      </w:pPr>
    </w:p>
    <w:p w14:paraId="21D969F8" w14:textId="5747E5A3" w:rsidR="003047F5" w:rsidRPr="002003B9" w:rsidRDefault="003047F5" w:rsidP="009630BF">
      <w:pPr>
        <w:spacing w:line="276" w:lineRule="auto"/>
        <w:ind w:firstLine="720"/>
        <w:jc w:val="both"/>
      </w:pPr>
      <w:r w:rsidRPr="002003B9">
        <w:t>[</w:t>
      </w:r>
      <w:r w:rsidR="006B7BBC" w:rsidRPr="002003B9">
        <w:t>3</w:t>
      </w:r>
      <w:r w:rsidRPr="002003B9">
        <w:t>] </w:t>
      </w:r>
      <w:r w:rsidR="00FE6ED3" w:rsidRPr="002003B9">
        <w:t>Dienests par apgabaltiesas spriedumu iesniedza kasācijas sūdzību</w:t>
      </w:r>
      <w:r w:rsidR="005918F8" w:rsidRPr="002003B9">
        <w:t xml:space="preserve">, </w:t>
      </w:r>
      <w:r w:rsidR="00FE6ED3" w:rsidRPr="002003B9">
        <w:t>kas pamatota ar turpmāk minētajiem argumentiem.</w:t>
      </w:r>
    </w:p>
    <w:p w14:paraId="36F988C9" w14:textId="11D9F187" w:rsidR="005918F8" w:rsidRPr="002003B9" w:rsidRDefault="000D42E9" w:rsidP="009630BF">
      <w:pPr>
        <w:spacing w:line="276" w:lineRule="auto"/>
        <w:ind w:firstLine="720"/>
        <w:jc w:val="both"/>
      </w:pPr>
      <w:r w:rsidRPr="002003B9">
        <w:lastRenderedPageBreak/>
        <w:t xml:space="preserve">Tiesa atstājusi bez ievērības, ka </w:t>
      </w:r>
      <w:r w:rsidR="00FC5484" w:rsidRPr="002003B9">
        <w:t>pieteicējai</w:t>
      </w:r>
      <w:r w:rsidRPr="002003B9">
        <w:t xml:space="preserve"> ir iecelts likvidators pēc ieinteresēto personu iniciatīvas. </w:t>
      </w:r>
      <w:r w:rsidR="00FC5484" w:rsidRPr="002003B9">
        <w:t>Komerclikuma 314.</w:t>
      </w:r>
      <w:proofErr w:type="gramStart"/>
      <w:r w:rsidR="00FC5484" w:rsidRPr="002003B9">
        <w:rPr>
          <w:vertAlign w:val="superscript"/>
        </w:rPr>
        <w:t>1</w:t>
      </w:r>
      <w:r w:rsidR="00FC5484" w:rsidRPr="002003B9">
        <w:t>pant</w:t>
      </w:r>
      <w:r w:rsidR="002B465E" w:rsidRPr="002003B9">
        <w:t>ā</w:t>
      </w:r>
      <w:proofErr w:type="gramEnd"/>
      <w:r w:rsidR="002B465E" w:rsidRPr="002003B9">
        <w:t xml:space="preserve"> paredzētā vienkāršotā likvidācija</w:t>
      </w:r>
      <w:r w:rsidR="00FC5484" w:rsidRPr="002003B9">
        <w:t xml:space="preserve"> ir mehānisms ieinteresēto personu aizsardzībai. Šīm personām ir tiesības iecelt likvidatoru, k</w:t>
      </w:r>
      <w:r w:rsidR="00075B40" w:rsidRPr="002003B9">
        <w:t>uram</w:t>
      </w:r>
      <w:r w:rsidR="00FC5484" w:rsidRPr="002003B9">
        <w:t xml:space="preserve"> jāveic darbības, kas ir vērstas uz subjekta darbības izbeigšanu, mantas sadali un norēķināšanos ar kreditoriem. Likvidatora iecelšana nav saistīta ar subjekta rīcībspējas atjaunošanu un darbības turpināšanu. </w:t>
      </w:r>
      <w:r w:rsidRPr="002003B9">
        <w:t>Likvidatora darbības, kas vērstas uz komercdarbības atjaunošanu,</w:t>
      </w:r>
      <w:r w:rsidR="004518F7" w:rsidRPr="002003B9">
        <w:t xml:space="preserve"> </w:t>
      </w:r>
      <w:r w:rsidRPr="002003B9">
        <w:t>ir pretrunā likvidācijas mērķi</w:t>
      </w:r>
      <w:r w:rsidR="004518F7" w:rsidRPr="002003B9">
        <w:t>m.</w:t>
      </w:r>
    </w:p>
    <w:p w14:paraId="3F1949B2" w14:textId="5D70917F" w:rsidR="00CE3B04" w:rsidRDefault="006F2DA5" w:rsidP="009630BF">
      <w:pPr>
        <w:spacing w:line="276" w:lineRule="auto"/>
        <w:ind w:firstLine="720"/>
        <w:jc w:val="both"/>
      </w:pPr>
      <w:r w:rsidRPr="002003B9">
        <w:t>I</w:t>
      </w:r>
      <w:r w:rsidR="00F504DF" w:rsidRPr="002003B9">
        <w:t>r</w:t>
      </w:r>
      <w:r w:rsidR="0005569C" w:rsidRPr="002003B9">
        <w:t xml:space="preserve"> </w:t>
      </w:r>
      <w:r w:rsidR="00F504DF" w:rsidRPr="002003B9">
        <w:t>dažādi risinājumi</w:t>
      </w:r>
      <w:r w:rsidR="000D42E9" w:rsidRPr="002003B9">
        <w:t xml:space="preserve"> gadījumiem,</w:t>
      </w:r>
      <w:r w:rsidR="00F504DF" w:rsidRPr="002003B9">
        <w:t xml:space="preserve"> </w:t>
      </w:r>
      <w:r w:rsidR="00E15B58" w:rsidRPr="002003B9">
        <w:t>kad</w:t>
      </w:r>
      <w:r w:rsidRPr="002003B9">
        <w:t xml:space="preserve"> </w:t>
      </w:r>
      <w:r w:rsidR="00633997" w:rsidRPr="002003B9">
        <w:t>zūd</w:t>
      </w:r>
      <w:r w:rsidR="00F504DF" w:rsidRPr="002003B9">
        <w:t xml:space="preserve"> juridisk</w:t>
      </w:r>
      <w:r w:rsidR="002C041D">
        <w:t>ā</w:t>
      </w:r>
      <w:r w:rsidR="00F504DF" w:rsidRPr="002003B9">
        <w:t>s personas dalībnieki (daļu mantošana, rīcība ar bezmantinieku daļām)</w:t>
      </w:r>
      <w:r w:rsidRPr="002003B9">
        <w:t xml:space="preserve">. </w:t>
      </w:r>
      <w:r w:rsidR="00CE3B04" w:rsidRPr="002003B9">
        <w:t xml:space="preserve">To </w:t>
      </w:r>
      <w:r w:rsidRPr="002003B9">
        <w:t>mērķis</w:t>
      </w:r>
      <w:r w:rsidR="00F504DF" w:rsidRPr="002003B9">
        <w:t xml:space="preserve"> </w:t>
      </w:r>
      <w:r w:rsidRPr="002003B9">
        <w:t>ir</w:t>
      </w:r>
      <w:r w:rsidR="00F504DF" w:rsidRPr="002003B9">
        <w:t xml:space="preserve"> aizsargāt dalībnieku tiesības un saistību pārņēmēju interese</w:t>
      </w:r>
      <w:r w:rsidR="00E15B58" w:rsidRPr="002003B9">
        <w:t>s, nevis</w:t>
      </w:r>
      <w:r w:rsidR="003643EE" w:rsidRPr="002003B9">
        <w:t xml:space="preserve"> mākslīgi uzturēt pie dzīvības </w:t>
      </w:r>
      <w:r w:rsidR="00FC5484" w:rsidRPr="002003B9">
        <w:t xml:space="preserve">tādu </w:t>
      </w:r>
      <w:r w:rsidR="003643EE" w:rsidRPr="002003B9">
        <w:t>juridisk</w:t>
      </w:r>
      <w:r w:rsidR="00FC5484" w:rsidRPr="002003B9">
        <w:t>o</w:t>
      </w:r>
      <w:r w:rsidR="003643EE" w:rsidRPr="002003B9">
        <w:t xml:space="preserve"> personu, kura saprātīgā termiņā nevar iegūt jaunus</w:t>
      </w:r>
      <w:r w:rsidR="00633997" w:rsidRPr="002003B9">
        <w:t xml:space="preserve"> dalībniekus</w:t>
      </w:r>
      <w:r w:rsidR="003643EE" w:rsidRPr="002003B9">
        <w:t>.</w:t>
      </w:r>
    </w:p>
    <w:p w14:paraId="2C1389A5" w14:textId="77777777" w:rsidR="00D46A8A" w:rsidRDefault="00D46A8A" w:rsidP="009630BF">
      <w:pPr>
        <w:spacing w:line="276" w:lineRule="auto"/>
        <w:ind w:firstLine="720"/>
        <w:jc w:val="both"/>
      </w:pPr>
    </w:p>
    <w:p w14:paraId="51D5FABC" w14:textId="2E349DD8" w:rsidR="003047F5" w:rsidRDefault="00D46A8A" w:rsidP="009630BF">
      <w:pPr>
        <w:spacing w:line="276" w:lineRule="auto"/>
        <w:ind w:firstLine="720"/>
        <w:jc w:val="both"/>
      </w:pPr>
      <w:r>
        <w:lastRenderedPageBreak/>
        <w:t>[4] </w:t>
      </w:r>
      <w:r w:rsidRPr="00B77A5C">
        <w:t>Pieteicēja rakstveida paskaidrojumā norādīja, ka kasācijas sūdzība nav pamatota.</w:t>
      </w:r>
    </w:p>
    <w:p w14:paraId="7AA48908" w14:textId="77777777" w:rsidR="000854DB" w:rsidRPr="004518F7" w:rsidRDefault="000854DB" w:rsidP="009630BF">
      <w:pPr>
        <w:spacing w:line="276" w:lineRule="auto"/>
        <w:ind w:firstLine="720"/>
        <w:jc w:val="both"/>
      </w:pPr>
    </w:p>
    <w:p w14:paraId="1900DA50" w14:textId="77777777" w:rsidR="003047F5" w:rsidRPr="0082381C" w:rsidRDefault="003047F5" w:rsidP="009630BF">
      <w:pPr>
        <w:spacing w:line="276" w:lineRule="auto"/>
        <w:jc w:val="center"/>
        <w:rPr>
          <w:b/>
        </w:rPr>
      </w:pPr>
      <w:r w:rsidRPr="0082381C">
        <w:rPr>
          <w:b/>
        </w:rPr>
        <w:t>Motīvu daļa</w:t>
      </w:r>
    </w:p>
    <w:p w14:paraId="114CB31A" w14:textId="77777777" w:rsidR="004518F7" w:rsidRPr="002003B9" w:rsidRDefault="004518F7" w:rsidP="009630BF">
      <w:pPr>
        <w:spacing w:line="276" w:lineRule="auto"/>
        <w:ind w:firstLine="720"/>
        <w:jc w:val="both"/>
      </w:pPr>
      <w:bookmarkStart w:id="1" w:name="_Hlk140668228"/>
    </w:p>
    <w:p w14:paraId="4C765B25" w14:textId="606ADB1D" w:rsidR="000C35F0" w:rsidRPr="002003B9" w:rsidRDefault="004518F7" w:rsidP="009630BF">
      <w:pPr>
        <w:spacing w:line="276" w:lineRule="auto"/>
        <w:ind w:firstLine="720"/>
        <w:jc w:val="both"/>
      </w:pPr>
      <w:r w:rsidRPr="002003B9">
        <w:t>[</w:t>
      </w:r>
      <w:r w:rsidR="00D46A8A">
        <w:t>5</w:t>
      </w:r>
      <w:r w:rsidRPr="002003B9">
        <w:t>]</w:t>
      </w:r>
      <w:r w:rsidR="009B555A" w:rsidRPr="002003B9">
        <w:t> </w:t>
      </w:r>
      <w:r w:rsidRPr="002003B9">
        <w:t xml:space="preserve">Saskaņā ar </w:t>
      </w:r>
      <w:bookmarkStart w:id="2" w:name="_Hlk141695914"/>
      <w:r w:rsidRPr="002003B9">
        <w:t xml:space="preserve">Pievienotās vērtības nodokļa </w:t>
      </w:r>
      <w:r w:rsidRPr="00D9141A">
        <w:t>likuma</w:t>
      </w:r>
      <w:r w:rsidR="001E615C" w:rsidRPr="00D9141A">
        <w:t xml:space="preserve"> (</w:t>
      </w:r>
      <w:r w:rsidR="001E615C" w:rsidRPr="00D46A8A">
        <w:t>šeit un turpmāk spriedumā – likums redakcijā, kas bija spēkā pārsūdzētā dienesta lēmuma pieņemšanas brīdī)</w:t>
      </w:r>
      <w:r w:rsidR="001E615C" w:rsidRPr="002003B9">
        <w:t xml:space="preserve"> </w:t>
      </w:r>
      <w:proofErr w:type="gramStart"/>
      <w:r w:rsidRPr="002003B9">
        <w:t>73.panta</w:t>
      </w:r>
      <w:proofErr w:type="gramEnd"/>
      <w:r w:rsidRPr="002003B9">
        <w:t xml:space="preserve"> pirmās daļas 5.punkta „a” apakšpunktu</w:t>
      </w:r>
      <w:bookmarkEnd w:id="2"/>
      <w:r w:rsidRPr="002003B9">
        <w:t xml:space="preserve"> </w:t>
      </w:r>
      <w:r w:rsidR="000C35F0" w:rsidRPr="002003B9">
        <w:t xml:space="preserve">dienests izslēdz reģistrētu nodokļa maksātāju no reģistra, ja 30 dienu laikā pēc šajā likumā noteiktā nodokļa deklarācijas iesniegšanas termiņa nav iesniegta nodokļa deklarācija. 79.panta </w:t>
      </w:r>
      <w:r w:rsidR="00DC5044" w:rsidRPr="002003B9">
        <w:t xml:space="preserve">pirmā un </w:t>
      </w:r>
      <w:r w:rsidR="000C35F0" w:rsidRPr="002003B9">
        <w:t>otr</w:t>
      </w:r>
      <w:r w:rsidR="00590838" w:rsidRPr="002003B9">
        <w:t>ā</w:t>
      </w:r>
      <w:r w:rsidR="000C35F0" w:rsidRPr="002003B9">
        <w:t xml:space="preserve"> daļ</w:t>
      </w:r>
      <w:r w:rsidR="00590838" w:rsidRPr="002003B9">
        <w:t>a no</w:t>
      </w:r>
      <w:r w:rsidR="00372ACF">
        <w:t>teic</w:t>
      </w:r>
      <w:r w:rsidR="00590838" w:rsidRPr="002003B9">
        <w:t xml:space="preserve">, </w:t>
      </w:r>
      <w:r w:rsidR="002B2043" w:rsidRPr="002003B9">
        <w:t>ka</w:t>
      </w:r>
      <w:r w:rsidR="00590838" w:rsidRPr="002003B9">
        <w:t xml:space="preserve"> vispirms</w:t>
      </w:r>
      <w:r w:rsidR="000C35F0" w:rsidRPr="002003B9">
        <w:t xml:space="preserve"> </w:t>
      </w:r>
      <w:r w:rsidR="00590838" w:rsidRPr="002003B9">
        <w:t>n</w:t>
      </w:r>
      <w:r w:rsidR="000C35F0" w:rsidRPr="002003B9">
        <w:t>odokļa maksātāj</w:t>
      </w:r>
      <w:r w:rsidR="00590838" w:rsidRPr="002003B9">
        <w:t>s par izslēgšanu no reģistra rakstveidā brīdin</w:t>
      </w:r>
      <w:r w:rsidR="00E23024" w:rsidRPr="002003B9">
        <w:t>āms</w:t>
      </w:r>
      <w:r w:rsidR="00E72A4E" w:rsidRPr="002003B9">
        <w:t>;</w:t>
      </w:r>
      <w:r w:rsidR="000C35F0" w:rsidRPr="002003B9">
        <w:t xml:space="preserve"> ja 12 darbdienu laikā pēc brīdinājuma nosūtīšanas nodokļa deklarācija netiek iesniegta, </w:t>
      </w:r>
      <w:r w:rsidR="00454A09" w:rsidRPr="002003B9">
        <w:t>nodokļu maksātāju</w:t>
      </w:r>
      <w:r w:rsidR="000C35F0" w:rsidRPr="002003B9">
        <w:t xml:space="preserve"> izslēdz no reģistra.</w:t>
      </w:r>
    </w:p>
    <w:p w14:paraId="5C6DE339" w14:textId="32B5DF75" w:rsidR="003A5ED6" w:rsidRPr="002003B9" w:rsidRDefault="00E15B58" w:rsidP="009630BF">
      <w:pPr>
        <w:spacing w:line="276" w:lineRule="auto"/>
        <w:ind w:firstLine="720"/>
        <w:jc w:val="both"/>
      </w:pPr>
      <w:r w:rsidRPr="002003B9">
        <w:lastRenderedPageBreak/>
        <w:t>Apgabaltiesa, atsaucoties uz samērīguma principu, konkrētajā gadījumā saskatīja pamatu atkāpties no</w:t>
      </w:r>
      <w:r w:rsidR="00F61BEC" w:rsidRPr="002003B9">
        <w:t xml:space="preserve"> tiesību normā paredzēto</w:t>
      </w:r>
      <w:r w:rsidRPr="002003B9">
        <w:t xml:space="preserve"> </w:t>
      </w:r>
      <w:r w:rsidR="003761E9" w:rsidRPr="002003B9">
        <w:t>obligāto</w:t>
      </w:r>
      <w:r w:rsidRPr="002003B9">
        <w:t xml:space="preserve"> tiesisko seku piemērošanas. Tiesa atzina, ka pieteicēja nevarēja laikus iesniegt deklarāciju</w:t>
      </w:r>
      <w:r w:rsidR="00672684" w:rsidRPr="002003B9">
        <w:t xml:space="preserve"> un</w:t>
      </w:r>
      <w:r w:rsidRPr="002003B9">
        <w:t xml:space="preserve"> reaģēt uz dienesta brīdinājumu</w:t>
      </w:r>
      <w:r w:rsidR="00D54C14" w:rsidRPr="002003B9">
        <w:t xml:space="preserve"> </w:t>
      </w:r>
      <w:r w:rsidR="004518F7" w:rsidRPr="002003B9">
        <w:t>objektīvu iemeslu dēļ –</w:t>
      </w:r>
      <w:r w:rsidRPr="002003B9">
        <w:t xml:space="preserve"> tai nebija rīcībspējas. Pieteicējas rīcībspēja atjauno</w:t>
      </w:r>
      <w:r w:rsidR="004518F7" w:rsidRPr="002003B9">
        <w:t xml:space="preserve">ta </w:t>
      </w:r>
      <w:r w:rsidRPr="002003B9">
        <w:t>atbilstoši tiesību normās noteiktajai kārtībai un nebija atkarīga no pieteicējas gribas.</w:t>
      </w:r>
    </w:p>
    <w:p w14:paraId="4C77D4FC" w14:textId="6F890DDA" w:rsidR="003A5ED6" w:rsidRPr="002003B9" w:rsidRDefault="005B4B43" w:rsidP="009630BF">
      <w:pPr>
        <w:spacing w:line="276" w:lineRule="auto"/>
        <w:ind w:firstLine="720"/>
        <w:jc w:val="both"/>
      </w:pPr>
      <w:r w:rsidRPr="002003B9">
        <w:t xml:space="preserve">Savukārt </w:t>
      </w:r>
      <w:r w:rsidR="002B2043" w:rsidRPr="002003B9">
        <w:t>no kasācijas sūdzības iespējams secināt dienesta uzskatu, ka</w:t>
      </w:r>
      <w:r w:rsidRPr="002003B9">
        <w:t xml:space="preserve"> atkāpei no Pievienotās vērtības nodokļa likuma normās paredzēto tiesisko seku piemērošanas nav pamata</w:t>
      </w:r>
      <w:r w:rsidR="00E23024" w:rsidRPr="002003B9">
        <w:t xml:space="preserve"> tāpēc</w:t>
      </w:r>
      <w:r w:rsidR="000D5F0E" w:rsidRPr="002003B9">
        <w:t xml:space="preserve">, </w:t>
      </w:r>
      <w:r w:rsidR="00E23024" w:rsidRPr="002003B9">
        <w:t>ka</w:t>
      </w:r>
      <w:r w:rsidR="000D5F0E" w:rsidRPr="002003B9">
        <w:t xml:space="preserve"> </w:t>
      </w:r>
      <w:r w:rsidR="00AE53FD" w:rsidRPr="002003B9">
        <w:t>pieteicējai pēc ieinteresēto personu iniciatīvas iecelts likvidators</w:t>
      </w:r>
      <w:r w:rsidR="00886FDB" w:rsidRPr="002003B9">
        <w:t>, kura darbību mērķis ir sabiedrības likvidācija</w:t>
      </w:r>
      <w:r w:rsidR="007A117F" w:rsidRPr="002003B9">
        <w:t>, sadalot mantu un norēķinoties ar kreditoriem.</w:t>
      </w:r>
    </w:p>
    <w:p w14:paraId="7892969F" w14:textId="64724BDF" w:rsidR="004972B8" w:rsidRPr="002003B9" w:rsidRDefault="00E72A4E" w:rsidP="009630BF">
      <w:pPr>
        <w:spacing w:line="276" w:lineRule="auto"/>
        <w:ind w:firstLine="720"/>
        <w:jc w:val="both"/>
      </w:pPr>
      <w:r w:rsidRPr="00CB79EE">
        <w:t>I</w:t>
      </w:r>
      <w:r w:rsidR="00797B94" w:rsidRPr="00CB79EE">
        <w:t xml:space="preserve">evērojot </w:t>
      </w:r>
      <w:r w:rsidR="00886FDB" w:rsidRPr="00CB79EE">
        <w:t>minēto</w:t>
      </w:r>
      <w:r w:rsidRPr="00CB79EE">
        <w:t>, Senātam</w:t>
      </w:r>
      <w:r w:rsidR="00C51BE6" w:rsidRPr="00CB79EE">
        <w:t xml:space="preserve"> būtībā</w:t>
      </w:r>
      <w:r w:rsidRPr="00CB79EE">
        <w:t xml:space="preserve"> jāatbild uz</w:t>
      </w:r>
      <w:r w:rsidR="00C51BE6" w:rsidRPr="00CB79EE">
        <w:t xml:space="preserve"> </w:t>
      </w:r>
      <w:r w:rsidRPr="00CB79EE">
        <w:t xml:space="preserve">jautājumu, </w:t>
      </w:r>
      <w:r w:rsidR="00237337" w:rsidRPr="00CB79EE">
        <w:t>vai komercsabiedrības atrašanās reģistrā ir savie</w:t>
      </w:r>
      <w:r w:rsidR="00237337" w:rsidRPr="00CB79EE">
        <w:lastRenderedPageBreak/>
        <w:t>nojama ar tās atrašanos likvidācijas procesā, kurā sabiedrībai iecelts likvidators uz ieinteresētās personas iesnieguma pamata.</w:t>
      </w:r>
    </w:p>
    <w:p w14:paraId="07603220" w14:textId="77777777" w:rsidR="00E72A4E" w:rsidRPr="002003B9" w:rsidRDefault="00E72A4E" w:rsidP="009630BF">
      <w:pPr>
        <w:spacing w:line="276" w:lineRule="auto"/>
        <w:ind w:firstLine="720"/>
        <w:jc w:val="both"/>
      </w:pPr>
    </w:p>
    <w:p w14:paraId="0DB1D1EB" w14:textId="011010E9" w:rsidR="00E72A4E" w:rsidRPr="002003B9" w:rsidRDefault="004972B8" w:rsidP="009630BF">
      <w:pPr>
        <w:spacing w:line="276" w:lineRule="auto"/>
        <w:ind w:firstLine="720"/>
        <w:jc w:val="both"/>
      </w:pPr>
      <w:r w:rsidRPr="002003B9">
        <w:t>[</w:t>
      </w:r>
      <w:r w:rsidR="00D46A8A">
        <w:t>6</w:t>
      </w:r>
      <w:r w:rsidRPr="002003B9">
        <w:t>]</w:t>
      </w:r>
      <w:r w:rsidR="00CB79EE">
        <w:t> </w:t>
      </w:r>
      <w:r w:rsidR="00237337">
        <w:t>I</w:t>
      </w:r>
      <w:r w:rsidR="00E72A4E" w:rsidRPr="002003B9">
        <w:t xml:space="preserve">zskatāmajā gadījumā </w:t>
      </w:r>
      <w:r w:rsidR="00C51BE6" w:rsidRPr="002003B9">
        <w:t>atbilstoši Komerclikuma 318.</w:t>
      </w:r>
      <w:proofErr w:type="gramStart"/>
      <w:r w:rsidR="00C51BE6" w:rsidRPr="002003B9">
        <w:rPr>
          <w:vertAlign w:val="superscript"/>
        </w:rPr>
        <w:t>1</w:t>
      </w:r>
      <w:r w:rsidR="00C51BE6" w:rsidRPr="002003B9">
        <w:t>panta</w:t>
      </w:r>
      <w:proofErr w:type="gramEnd"/>
      <w:r w:rsidR="00C51BE6" w:rsidRPr="002003B9">
        <w:t xml:space="preserve"> trešajai daļai </w:t>
      </w:r>
      <w:r w:rsidR="00E72A4E" w:rsidRPr="002003B9">
        <w:t>pēc paziņojuma par pieteicējas darbības izbeigšanu Uzņēmumu reģistrā tika iesniegts pieteicējas likvidācijā ieinteresētas personas iesniegums un ar Uzņēmumu reģistra 2018.gada 1.augusta lēmumu uzsākts pieteicējas likvidācijas process</w:t>
      </w:r>
      <w:r w:rsidR="007A117F" w:rsidRPr="002003B9">
        <w:t xml:space="preserve">, </w:t>
      </w:r>
      <w:r w:rsidR="00E72A4E" w:rsidRPr="002003B9">
        <w:t>iecelti likvidatori.</w:t>
      </w:r>
    </w:p>
    <w:p w14:paraId="55CF172D" w14:textId="413DC1F0" w:rsidR="00886FDB" w:rsidRPr="002003B9" w:rsidRDefault="00E72A4E" w:rsidP="009630BF">
      <w:pPr>
        <w:spacing w:line="276" w:lineRule="auto"/>
        <w:ind w:firstLine="720"/>
        <w:jc w:val="both"/>
      </w:pPr>
      <w:r w:rsidRPr="002003B9">
        <w:t xml:space="preserve">Likvidatora tiesības un </w:t>
      </w:r>
      <w:r w:rsidRPr="00CB79EE">
        <w:t>pienākumus</w:t>
      </w:r>
      <w:r w:rsidR="002A4D2F" w:rsidRPr="00CB79EE">
        <w:t xml:space="preserve"> neatkarīgi no tā, uz kāda pamata likvidator</w:t>
      </w:r>
      <w:r w:rsidR="00D461E6" w:rsidRPr="00CB79EE">
        <w:t>s</w:t>
      </w:r>
      <w:r w:rsidR="002A4D2F" w:rsidRPr="00CB79EE">
        <w:t xml:space="preserve"> iecel</w:t>
      </w:r>
      <w:r w:rsidR="00D461E6" w:rsidRPr="00CB79EE">
        <w:t>ts</w:t>
      </w:r>
      <w:r w:rsidR="001C4988" w:rsidRPr="00CB79EE">
        <w:t>,</w:t>
      </w:r>
      <w:r w:rsidRPr="00CB79EE">
        <w:t xml:space="preserve"> no</w:t>
      </w:r>
      <w:r w:rsidRPr="002003B9">
        <w:t xml:space="preserve">teic Komerclikuma </w:t>
      </w:r>
      <w:proofErr w:type="gramStart"/>
      <w:r w:rsidRPr="002003B9">
        <w:t>322.pants</w:t>
      </w:r>
      <w:proofErr w:type="gramEnd"/>
      <w:r w:rsidRPr="002003B9">
        <w:t xml:space="preserve">. Saskaņā ar panta pirmo daļu likvidatoram ir visas valdes un padomes tiesības un pienākumi, kas nav pretrunā ar likvidācijas mērķi. Likvidators piedzen parādus, pārdod sabiedrības mantu un apmierina kreditoru prasījumus (panta otrā daļa). Likvidators drīkst slēgt tikai tos darījumus, kuri nepieciešami </w:t>
      </w:r>
      <w:r w:rsidRPr="002003B9">
        <w:lastRenderedPageBreak/>
        <w:t>sabiedrības likvidācijai (panta trešā daļa).</w:t>
      </w:r>
      <w:r w:rsidR="004E3DFE" w:rsidRPr="002003B9">
        <w:t xml:space="preserve"> </w:t>
      </w:r>
      <w:r w:rsidR="00996283" w:rsidRPr="002003B9">
        <w:t>Komerclikuma 324.–</w:t>
      </w:r>
      <w:proofErr w:type="gramStart"/>
      <w:r w:rsidR="00996283" w:rsidRPr="002003B9">
        <w:t>330.pants</w:t>
      </w:r>
      <w:proofErr w:type="gramEnd"/>
      <w:r w:rsidR="00996283" w:rsidRPr="002003B9">
        <w:t xml:space="preserve"> nosaka kārtību, kādā </w:t>
      </w:r>
      <w:r w:rsidR="00790428" w:rsidRPr="002003B9">
        <w:t>likvidators</w:t>
      </w:r>
      <w:r w:rsidR="00996283" w:rsidRPr="002003B9">
        <w:t xml:space="preserve"> sadal</w:t>
      </w:r>
      <w:r w:rsidR="00790428" w:rsidRPr="002003B9">
        <w:t>a</w:t>
      </w:r>
      <w:r w:rsidR="00996283" w:rsidRPr="002003B9">
        <w:t xml:space="preserve"> sabiedrības mant</w:t>
      </w:r>
      <w:r w:rsidR="00790428" w:rsidRPr="002003B9">
        <w:t>u: vispirms tiek apmierināti kreditoru prasījumi, bet atlikusī manta sadalīta starp sabiedrības dalībniekiem</w:t>
      </w:r>
      <w:r w:rsidR="004E3DFE" w:rsidRPr="002003B9">
        <w:t xml:space="preserve">. </w:t>
      </w:r>
      <w:r w:rsidR="00886FDB" w:rsidRPr="002003B9">
        <w:t>Pēc mantas sadales likvidators iesniedz komercreģistra iestādei pieteikumu par likvidācijas pabeigšanu (</w:t>
      </w:r>
      <w:r w:rsidR="004E3DFE" w:rsidRPr="002003B9">
        <w:t xml:space="preserve">likuma </w:t>
      </w:r>
      <w:proofErr w:type="gramStart"/>
      <w:r w:rsidR="004E3DFE" w:rsidRPr="002003B9">
        <w:t>332.pants</w:t>
      </w:r>
      <w:proofErr w:type="gramEnd"/>
      <w:r w:rsidR="00886FDB" w:rsidRPr="002003B9">
        <w:t>).</w:t>
      </w:r>
    </w:p>
    <w:p w14:paraId="1895FBC1" w14:textId="135DA73F" w:rsidR="00CD5155" w:rsidRPr="002003B9" w:rsidRDefault="004E3DFE" w:rsidP="009630BF">
      <w:pPr>
        <w:spacing w:line="276" w:lineRule="auto"/>
        <w:ind w:firstLine="720"/>
        <w:jc w:val="both"/>
      </w:pPr>
      <w:r w:rsidRPr="002003B9">
        <w:t>Kā pareizi norāda dienests, n</w:t>
      </w:r>
      <w:r w:rsidR="00886FDB" w:rsidRPr="002003B9">
        <w:t xml:space="preserve">o minētajām tiesību normām izriet, ka </w:t>
      </w:r>
      <w:r w:rsidR="00C51BE6" w:rsidRPr="002003B9">
        <w:t>šādā kārtī</w:t>
      </w:r>
      <w:r w:rsidR="00790428" w:rsidRPr="002003B9">
        <w:t>b</w:t>
      </w:r>
      <w:r w:rsidR="00C51BE6" w:rsidRPr="002003B9">
        <w:t>ā veiktas likvidācijas mērķis ir nodrošināt, ka tiek apmierināti kreditoru prasījumi un atlikusī manta tiek sadalīta starp dalībniekiem. Komerclikuma 318.</w:t>
      </w:r>
      <w:proofErr w:type="gramStart"/>
      <w:r w:rsidR="00C51BE6" w:rsidRPr="002003B9">
        <w:rPr>
          <w:vertAlign w:val="superscript"/>
        </w:rPr>
        <w:t>1</w:t>
      </w:r>
      <w:r w:rsidR="00C51BE6" w:rsidRPr="002003B9">
        <w:t>panta</w:t>
      </w:r>
      <w:proofErr w:type="gramEnd"/>
      <w:r w:rsidR="00C51BE6" w:rsidRPr="002003B9">
        <w:t xml:space="preserve"> trešā daļa aizsargā likvidācijā ieinteresēto personu – sabiedrības dalībnieku un kreditoru – tiesiskās intereses.</w:t>
      </w:r>
      <w:r w:rsidR="00D54C14" w:rsidRPr="002003B9">
        <w:t xml:space="preserve"> </w:t>
      </w:r>
      <w:r w:rsidR="00886FDB" w:rsidRPr="002003B9">
        <w:t xml:space="preserve">Tomēr </w:t>
      </w:r>
      <w:r w:rsidR="00E72A4E" w:rsidRPr="002003B9">
        <w:t>Senāts</w:t>
      </w:r>
      <w:r w:rsidR="00C363B2" w:rsidRPr="002003B9">
        <w:t xml:space="preserve"> </w:t>
      </w:r>
      <w:r w:rsidR="00E72A4E" w:rsidRPr="002003B9">
        <w:t>nekonstatē, ka likvidācijas uzsākšana</w:t>
      </w:r>
      <w:r w:rsidR="00886FDB" w:rsidRPr="002003B9">
        <w:t xml:space="preserve"> un likvidator</w:t>
      </w:r>
      <w:r w:rsidR="00790428" w:rsidRPr="002003B9">
        <w:t>a</w:t>
      </w:r>
      <w:r w:rsidR="00886FDB" w:rsidRPr="002003B9">
        <w:t xml:space="preserve"> iecelšana</w:t>
      </w:r>
      <w:r w:rsidR="00E72A4E" w:rsidRPr="002003B9">
        <w:t xml:space="preserve"> automātiski ietekmē</w:t>
      </w:r>
      <w:r w:rsidR="007156B1" w:rsidRPr="002003B9">
        <w:t xml:space="preserve"> pievienotās vērtības nodokļa maksātāja </w:t>
      </w:r>
      <w:r w:rsidR="007156B1" w:rsidRPr="00CB79EE">
        <w:t>statusu</w:t>
      </w:r>
      <w:r w:rsidR="006A3F19" w:rsidRPr="00CB79EE">
        <w:t xml:space="preserve"> (</w:t>
      </w:r>
      <w:r w:rsidR="0081725E" w:rsidRPr="00CB79EE">
        <w:t xml:space="preserve">nodokļa maksātāja </w:t>
      </w:r>
      <w:r w:rsidR="006A3F19" w:rsidRPr="00CB79EE">
        <w:t>atrašanos reģistrā)</w:t>
      </w:r>
      <w:r w:rsidR="00E72A4E" w:rsidRPr="00CB79EE">
        <w:t xml:space="preserve"> </w:t>
      </w:r>
      <w:r w:rsidR="00886FDB" w:rsidRPr="00CB79EE">
        <w:t>vai nav savienojama ar</w:t>
      </w:r>
      <w:r w:rsidR="007156B1" w:rsidRPr="00CB79EE">
        <w:t xml:space="preserve"> to</w:t>
      </w:r>
      <w:r w:rsidR="00E72A4E" w:rsidRPr="00CB79EE">
        <w:t>.</w:t>
      </w:r>
    </w:p>
    <w:p w14:paraId="6FFA894D" w14:textId="77777777" w:rsidR="00B65521" w:rsidRPr="002003B9" w:rsidRDefault="00B65521" w:rsidP="009630BF">
      <w:pPr>
        <w:spacing w:line="276" w:lineRule="auto"/>
        <w:ind w:firstLine="720"/>
        <w:jc w:val="both"/>
      </w:pPr>
    </w:p>
    <w:p w14:paraId="2400F18F" w14:textId="4D3F2653" w:rsidR="00C76D0F" w:rsidRPr="00CB79EE" w:rsidRDefault="00CD5155" w:rsidP="009630BF">
      <w:pPr>
        <w:spacing w:line="276" w:lineRule="auto"/>
        <w:ind w:firstLine="720"/>
        <w:jc w:val="both"/>
      </w:pPr>
      <w:r w:rsidRPr="00CB79EE">
        <w:lastRenderedPageBreak/>
        <w:t>[</w:t>
      </w:r>
      <w:r w:rsidR="001C4988" w:rsidRPr="00CB79EE">
        <w:t>7</w:t>
      </w:r>
      <w:r w:rsidRPr="00CB79EE">
        <w:t>] </w:t>
      </w:r>
      <w:r w:rsidR="00F4188C" w:rsidRPr="00CB79EE">
        <w:t xml:space="preserve">Jautājumā par </w:t>
      </w:r>
      <w:r w:rsidR="00224F9D" w:rsidRPr="00CB79EE">
        <w:t>nodokļa maksātāju identifikācij</w:t>
      </w:r>
      <w:r w:rsidR="00F4188C" w:rsidRPr="00CB79EE">
        <w:t>u Eiropas Savienības Tiesa ir skaidrojusi, ka tās</w:t>
      </w:r>
      <w:r w:rsidR="00224F9D" w:rsidRPr="00CB79EE">
        <w:t xml:space="preserve"> galvenais mērķis ir nodrošināt pienācīgu pievienotās vērtības nodokļa sistēmas darbību</w:t>
      </w:r>
      <w:r w:rsidR="0076233D" w:rsidRPr="00CB79EE">
        <w:t>.</w:t>
      </w:r>
      <w:r w:rsidR="00224F9D" w:rsidRPr="00CB79EE">
        <w:t xml:space="preserve"> </w:t>
      </w:r>
      <w:r w:rsidR="0076233D" w:rsidRPr="00CB79EE">
        <w:t>P</w:t>
      </w:r>
      <w:r w:rsidR="00224F9D" w:rsidRPr="00CB79EE">
        <w:t>ievienotās vērtības nodokļa identifikācijas numura piešķiršana sniedz pierādījumu par nodokļa maksātāja statusu nodokļu jomā pievienotās vērtība</w:t>
      </w:r>
      <w:r w:rsidR="002F5616" w:rsidRPr="00CB79EE">
        <w:t>s</w:t>
      </w:r>
      <w:r w:rsidR="00224F9D" w:rsidRPr="00CB79EE">
        <w:t xml:space="preserve"> nodokļa piemērošanas nolūkā un vienkāršo nodokļa maksātāju kontroli nodokļa pareizas iekasēšanas nolūkā</w:t>
      </w:r>
      <w:r w:rsidR="0076233D" w:rsidRPr="00CB79EE">
        <w:t xml:space="preserve">. Turklāt </w:t>
      </w:r>
      <w:r w:rsidR="004E790A" w:rsidRPr="00CB79EE">
        <w:t>tas</w:t>
      </w:r>
      <w:r w:rsidR="0076233D" w:rsidRPr="00CB79EE">
        <w:t xml:space="preserve"> ir svarīgs pierādījums veiktajiem darījumiem. Vairākās </w:t>
      </w:r>
      <w:r w:rsidR="00CB79EE" w:rsidRPr="00CB79EE">
        <w:t xml:space="preserve">Padomes </w:t>
      </w:r>
      <w:proofErr w:type="gramStart"/>
      <w:r w:rsidR="00CB79EE" w:rsidRPr="00CB79EE">
        <w:t>2006.gada</w:t>
      </w:r>
      <w:proofErr w:type="gramEnd"/>
      <w:r w:rsidR="00CB79EE" w:rsidRPr="00CB79EE">
        <w:t xml:space="preserve"> 28.novembra direktīvas 2006/112/EK par kopējo pievienotās vērtības nodokļa sistēmu</w:t>
      </w:r>
      <w:r w:rsidR="0076233D" w:rsidRPr="00CB79EE">
        <w:t xml:space="preserve"> tiesību normās, kas attiecas uz rēķinu piesūtīšanu, deklarāciju iesniegšanu un kopsavilkuma paziņojuma sniegšanu, ir prasīts, ka šim nodokļa maksātāja, preču pircēja vai pakalpojumu saņēmēja identifikācijas numuram ir jābūt obligāti minētam šajos dokumentos</w:t>
      </w:r>
      <w:r w:rsidR="00224F9D" w:rsidRPr="00CB79EE">
        <w:t xml:space="preserve"> (</w:t>
      </w:r>
      <w:r w:rsidR="00224F9D" w:rsidRPr="00CB79EE">
        <w:rPr>
          <w:i/>
          <w:iCs/>
        </w:rPr>
        <w:t>Eiropas Savienības Tiesas</w:t>
      </w:r>
      <w:r w:rsidR="00453F88" w:rsidRPr="00CB79EE">
        <w:rPr>
          <w:i/>
          <w:iCs/>
        </w:rPr>
        <w:t xml:space="preserve"> 2013.gada 14.marta</w:t>
      </w:r>
      <w:r w:rsidR="00224F9D" w:rsidRPr="00CB79EE">
        <w:rPr>
          <w:i/>
          <w:iCs/>
        </w:rPr>
        <w:t xml:space="preserve"> </w:t>
      </w:r>
      <w:r w:rsidR="00453F88" w:rsidRPr="00CB79EE">
        <w:rPr>
          <w:i/>
          <w:iCs/>
        </w:rPr>
        <w:t>spriedum</w:t>
      </w:r>
      <w:r w:rsidR="00D267AD" w:rsidRPr="00CB79EE">
        <w:rPr>
          <w:i/>
          <w:iCs/>
        </w:rPr>
        <w:t>a</w:t>
      </w:r>
      <w:r w:rsidR="00453F88" w:rsidRPr="00CB79EE">
        <w:rPr>
          <w:i/>
          <w:iCs/>
        </w:rPr>
        <w:t xml:space="preserve"> lietā </w:t>
      </w:r>
      <w:r w:rsidR="00695048" w:rsidRPr="00CB79EE">
        <w:rPr>
          <w:i/>
          <w:iCs/>
        </w:rPr>
        <w:t>„</w:t>
      </w:r>
      <w:proofErr w:type="spellStart"/>
      <w:r w:rsidR="00453F88" w:rsidRPr="00CB79EE">
        <w:rPr>
          <w:i/>
          <w:iCs/>
        </w:rPr>
        <w:t>Ablessio</w:t>
      </w:r>
      <w:proofErr w:type="spellEnd"/>
      <w:r w:rsidR="00695048" w:rsidRPr="00CB79EE">
        <w:rPr>
          <w:i/>
          <w:iCs/>
        </w:rPr>
        <w:t>”</w:t>
      </w:r>
      <w:r w:rsidR="00453F88" w:rsidRPr="00CB79EE">
        <w:rPr>
          <w:i/>
          <w:iCs/>
        </w:rPr>
        <w:t>,</w:t>
      </w:r>
      <w:r w:rsidR="00D267AD" w:rsidRPr="00CB79EE">
        <w:rPr>
          <w:i/>
          <w:iCs/>
        </w:rPr>
        <w:t xml:space="preserve"> </w:t>
      </w:r>
      <w:r w:rsidR="00453F88" w:rsidRPr="00CB79EE">
        <w:rPr>
          <w:i/>
          <w:iCs/>
        </w:rPr>
        <w:t xml:space="preserve">C-527/11, </w:t>
      </w:r>
      <w:hyperlink r:id="rId8" w:history="1">
        <w:r w:rsidR="00E35844" w:rsidRPr="00CB79EE">
          <w:rPr>
            <w:rStyle w:val="Hyperlink"/>
            <w:i/>
            <w:iCs/>
          </w:rPr>
          <w:t>ECLI:EU:C:2013:168</w:t>
        </w:r>
      </w:hyperlink>
      <w:r w:rsidR="00453F88" w:rsidRPr="00CB79EE">
        <w:rPr>
          <w:i/>
          <w:iCs/>
        </w:rPr>
        <w:t>,</w:t>
      </w:r>
      <w:r w:rsidR="00D267AD" w:rsidRPr="00CB79EE">
        <w:rPr>
          <w:i/>
          <w:iCs/>
        </w:rPr>
        <w:t xml:space="preserve"> 18.</w:t>
      </w:r>
      <w:r w:rsidR="0076233D" w:rsidRPr="00CB79EE">
        <w:rPr>
          <w:i/>
          <w:iCs/>
        </w:rPr>
        <w:t>–20</w:t>
      </w:r>
      <w:r w:rsidR="00D267AD" w:rsidRPr="00CB79EE">
        <w:rPr>
          <w:i/>
          <w:iCs/>
        </w:rPr>
        <w:t xml:space="preserve">.punkts un tajos </w:t>
      </w:r>
      <w:r w:rsidR="00D267AD" w:rsidRPr="00CB79EE">
        <w:rPr>
          <w:i/>
          <w:iCs/>
        </w:rPr>
        <w:lastRenderedPageBreak/>
        <w:t>norādītā judikatūra</w:t>
      </w:r>
      <w:r w:rsidR="00224F9D" w:rsidRPr="00CB79EE">
        <w:t>)</w:t>
      </w:r>
      <w:r w:rsidR="00D267AD" w:rsidRPr="00CB79EE">
        <w:t>.</w:t>
      </w:r>
      <w:r w:rsidR="002B5F36" w:rsidRPr="00CB79EE">
        <w:t xml:space="preserve"> </w:t>
      </w:r>
      <w:r w:rsidR="002349B8" w:rsidRPr="00CB79EE">
        <w:t>At</w:t>
      </w:r>
      <w:r w:rsidR="002B465E" w:rsidRPr="00CB79EE">
        <w:t>bilstīgi minētajam mērķim</w:t>
      </w:r>
      <w:r w:rsidR="002349B8" w:rsidRPr="00CB79EE">
        <w:t xml:space="preserve"> Pievienotās vērtības nodokļa likuma 55.panta pirm</w:t>
      </w:r>
      <w:r w:rsidR="002B5F36" w:rsidRPr="00CB79EE">
        <w:t>ā</w:t>
      </w:r>
      <w:r w:rsidR="002349B8" w:rsidRPr="00CB79EE">
        <w:t xml:space="preserve"> daļ</w:t>
      </w:r>
      <w:r w:rsidR="002B5F36" w:rsidRPr="00CB79EE">
        <w:t>a noteic, ka</w:t>
      </w:r>
      <w:r w:rsidR="002349B8" w:rsidRPr="00CB79EE">
        <w:t xml:space="preserve"> nodokļa maksātājs reģistrējas reģistrā, pirms tas: 1) veic ar nodokli apliekamos darījumus; 2) saņem tādus pakalpojumus iekšzemē, kuru sniegšanas vietu nosaka saskaņā ar šā likuma 19.panta pirmo daļu; 3) sniedz tādus pakalpojumus, kuru sniegšanas vieta saskaņā ar šā likuma 19.panta pirmo daļu ir cita dalībvalsts un attiecībā uz kuriem par nodokļa samaksu ir atbildīgs pakalpojumu saņēmējs.</w:t>
      </w:r>
    </w:p>
    <w:p w14:paraId="39E01912" w14:textId="1790F280" w:rsidR="006420C4" w:rsidRPr="00CB79EE" w:rsidRDefault="004E6286" w:rsidP="009630BF">
      <w:pPr>
        <w:spacing w:line="276" w:lineRule="auto"/>
        <w:ind w:firstLine="720"/>
        <w:jc w:val="both"/>
      </w:pPr>
      <w:r w:rsidRPr="00CB79EE">
        <w:t>Senāts neredz</w:t>
      </w:r>
      <w:r w:rsidR="002B4980" w:rsidRPr="00CB79EE">
        <w:t xml:space="preserve"> pamat</w:t>
      </w:r>
      <w:r w:rsidR="000813A3" w:rsidRPr="00CB79EE">
        <w:t>u</w:t>
      </w:r>
      <w:r w:rsidR="002B4980" w:rsidRPr="00CB79EE">
        <w:t xml:space="preserve"> t</w:t>
      </w:r>
      <w:r w:rsidR="000A30CF" w:rsidRPr="00CB79EE">
        <w:t>am</w:t>
      </w:r>
      <w:r w:rsidR="002B4980" w:rsidRPr="00CB79EE">
        <w:t xml:space="preserve">, ka </w:t>
      </w:r>
      <w:r w:rsidR="00E43275" w:rsidRPr="00CB79EE">
        <w:t>ar pievienotās vērtības nodokli apliekami</w:t>
      </w:r>
      <w:r w:rsidR="00E43275" w:rsidRPr="002003B9">
        <w:t xml:space="preserve"> darījumi</w:t>
      </w:r>
      <w:r w:rsidR="002B4980" w:rsidRPr="002003B9">
        <w:t xml:space="preserve"> </w:t>
      </w:r>
      <w:r w:rsidR="000B6303" w:rsidRPr="002003B9">
        <w:t>nevarētu tikt veikti arī likvidācijas procesā</w:t>
      </w:r>
      <w:r w:rsidR="00E43275" w:rsidRPr="002003B9">
        <w:t>.</w:t>
      </w:r>
      <w:r w:rsidR="00016F52" w:rsidRPr="002003B9">
        <w:t xml:space="preserve"> Uz to</w:t>
      </w:r>
      <w:r w:rsidR="00F728CB" w:rsidRPr="002003B9">
        <w:t xml:space="preserve">, ka šādā procesā veikti darījumi no nodokļa piemērošanas viedokļa nav uzlūkojami atšķirīgi, </w:t>
      </w:r>
      <w:r w:rsidR="00016F52" w:rsidRPr="002003B9">
        <w:t>norāda</w:t>
      </w:r>
      <w:r w:rsidR="0050007A" w:rsidRPr="002003B9">
        <w:t xml:space="preserve"> </w:t>
      </w:r>
      <w:r w:rsidR="00CD5155" w:rsidRPr="002003B9">
        <w:t xml:space="preserve">Pievienotās vērtības nodokļa likuma </w:t>
      </w:r>
      <w:proofErr w:type="gramStart"/>
      <w:r w:rsidR="00CD5155" w:rsidRPr="002003B9">
        <w:t>145.pants</w:t>
      </w:r>
      <w:proofErr w:type="gramEnd"/>
      <w:r w:rsidR="00972D34" w:rsidRPr="002003B9">
        <w:t xml:space="preserve">. Minētā tiesību norma </w:t>
      </w:r>
      <w:r w:rsidR="00E43275" w:rsidRPr="002003B9">
        <w:t>regulē</w:t>
      </w:r>
      <w:r w:rsidR="00CD5155" w:rsidRPr="002003B9">
        <w:t xml:space="preserve"> nodokļa piemērošanu komersanta (uzņēmuma) likvidācijas gadījumos. </w:t>
      </w:r>
      <w:r w:rsidR="00E43275" w:rsidRPr="002003B9">
        <w:t>P</w:t>
      </w:r>
      <w:r w:rsidR="00CD5155" w:rsidRPr="002003B9">
        <w:t>anta treš</w:t>
      </w:r>
      <w:r w:rsidR="00E43275" w:rsidRPr="002003B9">
        <w:t>ā</w:t>
      </w:r>
      <w:r w:rsidR="00CD5155" w:rsidRPr="002003B9">
        <w:t xml:space="preserve"> daļ</w:t>
      </w:r>
      <w:r w:rsidR="00E43275" w:rsidRPr="002003B9">
        <w:t>a noteic:</w:t>
      </w:r>
      <w:r w:rsidR="00CD5155" w:rsidRPr="002003B9">
        <w:t xml:space="preserve"> ja likvidē komercsabied</w:t>
      </w:r>
      <w:r w:rsidR="00CD5155" w:rsidRPr="002003B9">
        <w:lastRenderedPageBreak/>
        <w:t>rību (uzņēmumu), kas savas darbības laikā ir bijis reģistrēts nodokļa maksātājs vai kam bija jābūt reģistrētam nodokļa maksātājam, tad par piegādātajām precēm nodokli aprēķina un maksā saskaņā ar šo likum</w:t>
      </w:r>
      <w:r w:rsidR="00E43275" w:rsidRPr="002003B9">
        <w:t>u; š</w:t>
      </w:r>
      <w:r w:rsidR="00CD5155" w:rsidRPr="002003B9">
        <w:t>ajos gadījumos persona, kas veic likvidatora funkcijas, iesniedz nodokļa deklarāciju dienestam.</w:t>
      </w:r>
      <w:r w:rsidR="00E35844" w:rsidRPr="002003B9">
        <w:t xml:space="preserve"> </w:t>
      </w:r>
      <w:r w:rsidR="001D240E" w:rsidRPr="002003B9">
        <w:t>Tāpat arī Pievienotās vērtības nodokļa likuma 73.panta pirmās daļas 2.punkts</w:t>
      </w:r>
      <w:r w:rsidR="000A30CF" w:rsidRPr="002003B9">
        <w:t xml:space="preserve"> kā vienu</w:t>
      </w:r>
      <w:r w:rsidR="001D240E" w:rsidRPr="002003B9">
        <w:t xml:space="preserve"> no apstākļiem, kad dienestam ir pienākums izslēgt nodokļu maksātāju no reģistra, </w:t>
      </w:r>
      <w:r w:rsidR="000A30CF" w:rsidRPr="002003B9">
        <w:t xml:space="preserve">paredz </w:t>
      </w:r>
      <w:r w:rsidR="001C4988" w:rsidRPr="002003B9">
        <w:t>r</w:t>
      </w:r>
      <w:r w:rsidR="001D240E" w:rsidRPr="002003B9">
        <w:t>eģistrēt</w:t>
      </w:r>
      <w:r w:rsidR="001C4988" w:rsidRPr="002003B9">
        <w:t xml:space="preserve">a </w:t>
      </w:r>
      <w:r w:rsidR="001D240E" w:rsidRPr="002003B9">
        <w:t>nodokļa maksātāj</w:t>
      </w:r>
      <w:r w:rsidR="001C4988" w:rsidRPr="002003B9">
        <w:t>a likvidāciju</w:t>
      </w:r>
      <w:r w:rsidR="001D240E" w:rsidRPr="002003B9">
        <w:t xml:space="preserve">. Šādā gadījumā nodokļa maksātāju uzskata par izslēgtu no reģistra ar dienu, kad pabeigta tā likvidācija (75.panta otrā daļa). </w:t>
      </w:r>
      <w:r w:rsidR="00806846" w:rsidRPr="002003B9">
        <w:t xml:space="preserve">Līdz ar to </w:t>
      </w:r>
      <w:r w:rsidR="00806846" w:rsidRPr="00CB79EE">
        <w:t>vispārīgi nodokļu maksātājs no reģistra tiek izslēgts tikai pēc likvidācijas procesa pabeigšanas.</w:t>
      </w:r>
      <w:r w:rsidR="00F4188C" w:rsidRPr="00CB79EE">
        <w:t xml:space="preserve"> </w:t>
      </w:r>
      <w:r w:rsidR="00806846" w:rsidRPr="00CB79EE">
        <w:t>Turklā</w:t>
      </w:r>
      <w:r w:rsidR="000A30CF" w:rsidRPr="00CB79EE">
        <w:t>t</w:t>
      </w:r>
      <w:r w:rsidR="00C624AD" w:rsidRPr="00CB79EE">
        <w:t xml:space="preserve"> </w:t>
      </w:r>
      <w:r w:rsidR="00806846" w:rsidRPr="00CB79EE">
        <w:t xml:space="preserve">Eiropas Savienības </w:t>
      </w:r>
      <w:r w:rsidR="002C041D">
        <w:t>T</w:t>
      </w:r>
      <w:r w:rsidR="002C041D" w:rsidRPr="00CB79EE">
        <w:t xml:space="preserve">iesa </w:t>
      </w:r>
      <w:r w:rsidR="00806846" w:rsidRPr="00CB79EE">
        <w:t xml:space="preserve">ir </w:t>
      </w:r>
      <w:r w:rsidR="002D4821" w:rsidRPr="00CB79EE">
        <w:t xml:space="preserve">vairākkārt </w:t>
      </w:r>
      <w:r w:rsidR="00806846" w:rsidRPr="00CB79EE">
        <w:t>atzinusi, ka</w:t>
      </w:r>
      <w:r w:rsidR="007F035C" w:rsidRPr="00CB79EE">
        <w:t xml:space="preserve"> </w:t>
      </w:r>
      <w:r w:rsidR="00C77082" w:rsidRPr="00CB79EE">
        <w:t xml:space="preserve">izdevumi, kas </w:t>
      </w:r>
      <w:r w:rsidR="00E35844" w:rsidRPr="00CB79EE">
        <w:t xml:space="preserve">ir saistīti ar pakalpojumu, kas kalpojis tādas juridiskas personas saimnieciskās darbības veikšanai, kura savu darbību ir izbeigusi un ir likvidācijas procesā, var tikt uzskatīti par daļu no saimnieciskās </w:t>
      </w:r>
      <w:r w:rsidR="00E35844" w:rsidRPr="00CB79EE">
        <w:lastRenderedPageBreak/>
        <w:t xml:space="preserve">darbības, ja minētie izdevumi ir tieši un tūlītēji saistīti ar šo darbību un nav konstatējams krāpniecisks vai ļaunprātīgs nolūks </w:t>
      </w:r>
      <w:r w:rsidR="00C77082" w:rsidRPr="00CB79EE">
        <w:t>(</w:t>
      </w:r>
      <w:r w:rsidR="00E35844" w:rsidRPr="00CB79EE">
        <w:t xml:space="preserve">piemēram, </w:t>
      </w:r>
      <w:r w:rsidR="00EA5A72" w:rsidRPr="00CB79EE">
        <w:rPr>
          <w:i/>
          <w:iCs/>
        </w:rPr>
        <w:t>Eiropas Savienības Tiesas 2005.gada 3.marta sprieduma lietā „</w:t>
      </w:r>
      <w:proofErr w:type="spellStart"/>
      <w:r w:rsidR="00EA5A72" w:rsidRPr="00CB79EE">
        <w:rPr>
          <w:i/>
          <w:iCs/>
        </w:rPr>
        <w:t>Fini</w:t>
      </w:r>
      <w:proofErr w:type="spellEnd"/>
      <w:r w:rsidR="00EA5A72" w:rsidRPr="00CB79EE">
        <w:rPr>
          <w:i/>
          <w:iCs/>
        </w:rPr>
        <w:t xml:space="preserve"> H”, C-32/03, </w:t>
      </w:r>
      <w:hyperlink r:id="rId9" w:history="1">
        <w:r w:rsidR="00EA5A72" w:rsidRPr="00CB79EE">
          <w:rPr>
            <w:rStyle w:val="Hyperlink"/>
            <w:i/>
            <w:iCs/>
          </w:rPr>
          <w:t>ECLI:EU:C:2005:128</w:t>
        </w:r>
      </w:hyperlink>
      <w:r w:rsidR="00EA5A72" w:rsidRPr="00CB79EE">
        <w:rPr>
          <w:i/>
          <w:iCs/>
        </w:rPr>
        <w:t>,</w:t>
      </w:r>
      <w:r w:rsidR="00EA5A72" w:rsidRPr="00CB79EE">
        <w:t xml:space="preserve"> </w:t>
      </w:r>
      <w:r w:rsidR="00C77082" w:rsidRPr="00CB79EE">
        <w:rPr>
          <w:i/>
          <w:iCs/>
        </w:rPr>
        <w:t>24., 26., 31.punkt</w:t>
      </w:r>
      <w:r w:rsidR="002B465E" w:rsidRPr="00CB79EE">
        <w:rPr>
          <w:i/>
          <w:iCs/>
        </w:rPr>
        <w:t>s</w:t>
      </w:r>
      <w:r w:rsidR="00EA5A72" w:rsidRPr="00CB79EE">
        <w:rPr>
          <w:i/>
          <w:iCs/>
        </w:rPr>
        <w:t>, 2017.gada 9.novembra sprieduma lietā „</w:t>
      </w:r>
      <w:proofErr w:type="spellStart"/>
      <w:r w:rsidR="00EA5A72" w:rsidRPr="00CB79EE">
        <w:rPr>
          <w:i/>
          <w:iCs/>
        </w:rPr>
        <w:t>Wind</w:t>
      </w:r>
      <w:proofErr w:type="spellEnd"/>
      <w:r w:rsidR="00EA5A72" w:rsidRPr="00CB79EE">
        <w:rPr>
          <w:i/>
          <w:iCs/>
        </w:rPr>
        <w:t xml:space="preserve"> </w:t>
      </w:r>
      <w:proofErr w:type="spellStart"/>
      <w:r w:rsidR="00EA5A72" w:rsidRPr="00CB79EE">
        <w:rPr>
          <w:i/>
          <w:iCs/>
        </w:rPr>
        <w:t>Inovation</w:t>
      </w:r>
      <w:proofErr w:type="spellEnd"/>
      <w:r w:rsidR="00EA5A72" w:rsidRPr="00CB79EE">
        <w:rPr>
          <w:i/>
          <w:iCs/>
        </w:rPr>
        <w:t xml:space="preserve"> 1”, C-552/16, </w:t>
      </w:r>
      <w:hyperlink r:id="rId10" w:history="1">
        <w:r w:rsidR="00EA5A72" w:rsidRPr="00CB79EE">
          <w:rPr>
            <w:rStyle w:val="Hyperlink"/>
            <w:i/>
            <w:iCs/>
          </w:rPr>
          <w:t>ECLI:EU:C:2017:849</w:t>
        </w:r>
      </w:hyperlink>
      <w:r w:rsidR="00EA5A72" w:rsidRPr="00CB79EE">
        <w:rPr>
          <w:i/>
          <w:iCs/>
        </w:rPr>
        <w:t>, 45.punkts</w:t>
      </w:r>
      <w:r w:rsidR="00C77082" w:rsidRPr="00CB79EE">
        <w:rPr>
          <w:i/>
          <w:iCs/>
        </w:rPr>
        <w:t xml:space="preserve">). </w:t>
      </w:r>
      <w:r w:rsidR="006420C4" w:rsidRPr="00CB79EE">
        <w:t>D</w:t>
      </w:r>
      <w:r w:rsidR="00BB510A" w:rsidRPr="00CB79EE">
        <w:t>arījumu saimniecisko raksturu nevar ietekmēt</w:t>
      </w:r>
      <w:r w:rsidR="00315456" w:rsidRPr="00CB79EE">
        <w:t xml:space="preserve"> </w:t>
      </w:r>
      <w:r w:rsidR="00BB510A" w:rsidRPr="00CB79EE">
        <w:t>tas</w:t>
      </w:r>
      <w:r w:rsidR="00AF473C" w:rsidRPr="00CB79EE">
        <w:t xml:space="preserve"> vien</w:t>
      </w:r>
      <w:r w:rsidR="00315456" w:rsidRPr="00CB79EE">
        <w:t>, ka</w:t>
      </w:r>
      <w:r w:rsidR="00BB510A" w:rsidRPr="00CB79EE">
        <w:t xml:space="preserve"> nodokļa maksātāja darījumu mērķi attiecas tikai uz tā likvidāciju, lai dzēstu parādus, kas seko tā darbības izbeigšanai. Arī nodokļu neitralitātes princips it īpaši liedz no patērētāja viedokļa identiskus vai līdzīgus darījumus, starp kuriem tātad pastāv konkurence, no pievienotās vērtības nodokļa viedokļa aplūkot atšķirīgi</w:t>
      </w:r>
      <w:r w:rsidR="006420C4" w:rsidRPr="00CB79EE">
        <w:t xml:space="preserve"> </w:t>
      </w:r>
      <w:r w:rsidR="00BB510A" w:rsidRPr="00CB79EE">
        <w:t>(</w:t>
      </w:r>
      <w:r w:rsidR="00C77082" w:rsidRPr="00CB79EE">
        <w:rPr>
          <w:i/>
          <w:iCs/>
        </w:rPr>
        <w:t xml:space="preserve">Eiropas Savienības Tiesas 2021.gada 3.jūnija sprieduma lietā </w:t>
      </w:r>
      <w:r w:rsidR="00EA5A72" w:rsidRPr="00CB79EE">
        <w:rPr>
          <w:i/>
          <w:iCs/>
        </w:rPr>
        <w:t>„</w:t>
      </w:r>
      <w:proofErr w:type="spellStart"/>
      <w:r w:rsidR="00C77082" w:rsidRPr="00CB79EE">
        <w:rPr>
          <w:i/>
          <w:iCs/>
        </w:rPr>
        <w:t>Administraţia</w:t>
      </w:r>
      <w:proofErr w:type="spellEnd"/>
      <w:r w:rsidR="00C77082" w:rsidRPr="00CB79EE">
        <w:rPr>
          <w:i/>
          <w:iCs/>
        </w:rPr>
        <w:t xml:space="preserve"> </w:t>
      </w:r>
      <w:proofErr w:type="spellStart"/>
      <w:r w:rsidR="00C77082" w:rsidRPr="00CB79EE">
        <w:rPr>
          <w:i/>
          <w:iCs/>
        </w:rPr>
        <w:t>Judeţeană</w:t>
      </w:r>
      <w:proofErr w:type="spellEnd"/>
      <w:r w:rsidR="00C77082" w:rsidRPr="00CB79EE">
        <w:rPr>
          <w:i/>
          <w:iCs/>
        </w:rPr>
        <w:t xml:space="preserve"> a </w:t>
      </w:r>
      <w:proofErr w:type="spellStart"/>
      <w:r w:rsidR="00C77082" w:rsidRPr="00CB79EE">
        <w:rPr>
          <w:i/>
          <w:iCs/>
        </w:rPr>
        <w:t>Finanţelor</w:t>
      </w:r>
      <w:proofErr w:type="spellEnd"/>
      <w:r w:rsidR="00C77082" w:rsidRPr="00CB79EE">
        <w:rPr>
          <w:i/>
          <w:iCs/>
        </w:rPr>
        <w:t xml:space="preserve"> </w:t>
      </w:r>
      <w:proofErr w:type="spellStart"/>
      <w:r w:rsidR="00C77082" w:rsidRPr="00CB79EE">
        <w:rPr>
          <w:i/>
          <w:iCs/>
        </w:rPr>
        <w:t>Publice</w:t>
      </w:r>
      <w:proofErr w:type="spellEnd"/>
      <w:r w:rsidR="00C77082" w:rsidRPr="00CB79EE">
        <w:rPr>
          <w:i/>
          <w:iCs/>
        </w:rPr>
        <w:t xml:space="preserve"> </w:t>
      </w:r>
      <w:proofErr w:type="spellStart"/>
      <w:r w:rsidR="00C77082" w:rsidRPr="00CB79EE">
        <w:rPr>
          <w:i/>
          <w:iCs/>
        </w:rPr>
        <w:t>Suceava</w:t>
      </w:r>
      <w:proofErr w:type="spellEnd"/>
      <w:r w:rsidR="00C77082" w:rsidRPr="00CB79EE">
        <w:rPr>
          <w:i/>
          <w:iCs/>
        </w:rPr>
        <w:t xml:space="preserve"> u.c.</w:t>
      </w:r>
      <w:r w:rsidR="00EA5A72" w:rsidRPr="00CB79EE">
        <w:rPr>
          <w:i/>
          <w:iCs/>
        </w:rPr>
        <w:t>”</w:t>
      </w:r>
      <w:r w:rsidR="00C77082" w:rsidRPr="00CB79EE">
        <w:rPr>
          <w:i/>
          <w:iCs/>
        </w:rPr>
        <w:t xml:space="preserve">, C-182/20, </w:t>
      </w:r>
      <w:hyperlink r:id="rId11" w:history="1">
        <w:r w:rsidR="00C77082" w:rsidRPr="00CB79EE">
          <w:rPr>
            <w:rStyle w:val="Hyperlink"/>
            <w:i/>
            <w:iCs/>
          </w:rPr>
          <w:t>ECI:EU:C:2021:442</w:t>
        </w:r>
      </w:hyperlink>
      <w:r w:rsidR="00BB510A" w:rsidRPr="00CB79EE">
        <w:rPr>
          <w:i/>
          <w:iCs/>
        </w:rPr>
        <w:t>, 3</w:t>
      </w:r>
      <w:r w:rsidR="00EA5A72" w:rsidRPr="00CB79EE">
        <w:rPr>
          <w:i/>
          <w:iCs/>
        </w:rPr>
        <w:t>6</w:t>
      </w:r>
      <w:r w:rsidR="00BB510A" w:rsidRPr="00CB79EE">
        <w:rPr>
          <w:i/>
          <w:iCs/>
        </w:rPr>
        <w:t>.–</w:t>
      </w:r>
      <w:r w:rsidR="00C77082" w:rsidRPr="00CB79EE">
        <w:rPr>
          <w:i/>
          <w:iCs/>
        </w:rPr>
        <w:t>40</w:t>
      </w:r>
      <w:r w:rsidR="00BB510A" w:rsidRPr="00CB79EE">
        <w:rPr>
          <w:i/>
          <w:iCs/>
        </w:rPr>
        <w:t>.punkts un taj</w:t>
      </w:r>
      <w:r w:rsidR="00B57885">
        <w:rPr>
          <w:i/>
          <w:iCs/>
        </w:rPr>
        <w:t>os</w:t>
      </w:r>
      <w:r w:rsidR="00BB510A" w:rsidRPr="00CB79EE">
        <w:rPr>
          <w:i/>
          <w:iCs/>
        </w:rPr>
        <w:t xml:space="preserve"> norādītā judikatūra</w:t>
      </w:r>
      <w:r w:rsidR="00BB510A" w:rsidRPr="00CB79EE">
        <w:t>).</w:t>
      </w:r>
    </w:p>
    <w:p w14:paraId="5AB299A1" w14:textId="35791BB0" w:rsidR="00E72A4E" w:rsidRPr="002003B9" w:rsidRDefault="00886FDB" w:rsidP="009630BF">
      <w:pPr>
        <w:spacing w:line="276" w:lineRule="auto"/>
        <w:ind w:firstLine="720"/>
        <w:jc w:val="both"/>
      </w:pPr>
      <w:r w:rsidRPr="00CB79EE">
        <w:lastRenderedPageBreak/>
        <w:t>Līdz ar to</w:t>
      </w:r>
      <w:r w:rsidR="007465E4" w:rsidRPr="00CB79EE">
        <w:t xml:space="preserve"> komercsabiedrības atrašanās likvidācijas procesā</w:t>
      </w:r>
      <w:r w:rsidR="006420C4" w:rsidRPr="00CB79EE">
        <w:t xml:space="preserve"> </w:t>
      </w:r>
      <w:r w:rsidR="007465E4" w:rsidRPr="00CB79EE">
        <w:t>neizslēd</w:t>
      </w:r>
      <w:r w:rsidR="00AA7E35" w:rsidRPr="00CB79EE">
        <w:t>z</w:t>
      </w:r>
      <w:r w:rsidR="00AA7E35" w:rsidRPr="002003B9">
        <w:t xml:space="preserve"> tās atrašanos </w:t>
      </w:r>
      <w:r w:rsidR="007465E4" w:rsidRPr="002003B9">
        <w:t xml:space="preserve">ir </w:t>
      </w:r>
      <w:r w:rsidR="00AA7E35" w:rsidRPr="002003B9">
        <w:t>r</w:t>
      </w:r>
      <w:r w:rsidR="007465E4" w:rsidRPr="002003B9">
        <w:t>eģistrā.</w:t>
      </w:r>
      <w:r w:rsidR="004317E4" w:rsidRPr="002003B9">
        <w:t xml:space="preserve"> </w:t>
      </w:r>
      <w:r w:rsidR="002B465E" w:rsidRPr="002003B9">
        <w:t xml:space="preserve">Attiecīgi – </w:t>
      </w:r>
      <w:r w:rsidR="00401762" w:rsidRPr="002003B9">
        <w:t>dienesta</w:t>
      </w:r>
      <w:r w:rsidR="004317E4" w:rsidRPr="002003B9">
        <w:t xml:space="preserve"> kasācijas sūdzībā norādītie</w:t>
      </w:r>
      <w:r w:rsidR="00AA7E35" w:rsidRPr="002003B9">
        <w:t xml:space="preserve"> argument</w:t>
      </w:r>
      <w:r w:rsidR="006420C4" w:rsidRPr="002003B9">
        <w:t xml:space="preserve">i </w:t>
      </w:r>
      <w:r w:rsidR="00AA7E35" w:rsidRPr="002003B9">
        <w:t xml:space="preserve">neatspēko </w:t>
      </w:r>
      <w:r w:rsidRPr="002003B9">
        <w:rPr>
          <w:rStyle w:val="CharStyle3"/>
          <w:rFonts w:asciiTheme="majorBidi" w:hAnsiTheme="majorBidi" w:cstheme="majorBidi"/>
        </w:rPr>
        <w:t>apgabaltiesas</w:t>
      </w:r>
      <w:r w:rsidR="002B08C0" w:rsidRPr="002003B9">
        <w:rPr>
          <w:rStyle w:val="CharStyle3"/>
          <w:rFonts w:asciiTheme="majorBidi" w:hAnsiTheme="majorBidi" w:cstheme="majorBidi"/>
        </w:rPr>
        <w:t xml:space="preserve"> </w:t>
      </w:r>
      <w:r w:rsidRPr="002003B9">
        <w:rPr>
          <w:rStyle w:val="CharStyle3"/>
          <w:rFonts w:asciiTheme="majorBidi" w:hAnsiTheme="majorBidi" w:cstheme="majorBidi"/>
        </w:rPr>
        <w:t>secinājumu, ka apstākļos</w:t>
      </w:r>
      <w:r w:rsidR="0051480A" w:rsidRPr="002003B9">
        <w:rPr>
          <w:rStyle w:val="CharStyle3"/>
          <w:rFonts w:asciiTheme="majorBidi" w:hAnsiTheme="majorBidi" w:cstheme="majorBidi"/>
        </w:rPr>
        <w:t>, kad pieteicējai objektīvi nebija iespēj</w:t>
      </w:r>
      <w:r w:rsidR="00AB63BE" w:rsidRPr="002003B9">
        <w:rPr>
          <w:rStyle w:val="CharStyle3"/>
          <w:rFonts w:asciiTheme="majorBidi" w:hAnsiTheme="majorBidi" w:cstheme="majorBidi"/>
        </w:rPr>
        <w:t>as</w:t>
      </w:r>
      <w:r w:rsidR="0051480A" w:rsidRPr="002003B9">
        <w:rPr>
          <w:rStyle w:val="CharStyle3"/>
          <w:rFonts w:asciiTheme="majorBidi" w:hAnsiTheme="majorBidi" w:cstheme="majorBidi"/>
        </w:rPr>
        <w:t xml:space="preserve"> iesniegt pievienotās vērtības nodokļa deklarāciju likumā noteiktajā termiņā,</w:t>
      </w:r>
      <w:r w:rsidRPr="002003B9">
        <w:rPr>
          <w:rStyle w:val="CharStyle3"/>
          <w:rFonts w:asciiTheme="majorBidi" w:hAnsiTheme="majorBidi" w:cstheme="majorBidi"/>
        </w:rPr>
        <w:t xml:space="preserve"> pieteicējas izslēgšana no reģistra ir </w:t>
      </w:r>
      <w:r w:rsidR="002B08C0" w:rsidRPr="002003B9">
        <w:rPr>
          <w:rStyle w:val="CharStyle3"/>
          <w:rFonts w:asciiTheme="majorBidi" w:hAnsiTheme="majorBidi" w:cstheme="majorBidi"/>
        </w:rPr>
        <w:t xml:space="preserve">bijusi </w:t>
      </w:r>
      <w:r w:rsidRPr="002003B9">
        <w:rPr>
          <w:rStyle w:val="CharStyle3"/>
          <w:rFonts w:asciiTheme="majorBidi" w:hAnsiTheme="majorBidi" w:cstheme="majorBidi"/>
        </w:rPr>
        <w:t>nesamērī</w:t>
      </w:r>
      <w:r w:rsidR="00AA7E35" w:rsidRPr="002003B9">
        <w:rPr>
          <w:rStyle w:val="CharStyle3"/>
          <w:rFonts w:asciiTheme="majorBidi" w:hAnsiTheme="majorBidi" w:cstheme="majorBidi"/>
        </w:rPr>
        <w:t>ga.</w:t>
      </w:r>
      <w:r w:rsidR="00401762" w:rsidRPr="002003B9">
        <w:rPr>
          <w:rStyle w:val="CharStyle3"/>
          <w:rFonts w:asciiTheme="majorBidi" w:hAnsiTheme="majorBidi" w:cstheme="majorBidi"/>
        </w:rPr>
        <w:t xml:space="preserve"> </w:t>
      </w:r>
      <w:r w:rsidR="00AA7E35" w:rsidRPr="002003B9">
        <w:t>Kasācijas sūdzībā arī nav iz</w:t>
      </w:r>
      <w:r w:rsidR="002B465E" w:rsidRPr="002003B9">
        <w:t>teikti</w:t>
      </w:r>
      <w:r w:rsidR="00AA7E35" w:rsidRPr="002003B9">
        <w:t xml:space="preserve"> argumenti, kas uzrādītu pamatu apšaubīt apgabaltiesas secinājumu, ka konkrētais gadījums nav tipisk</w:t>
      </w:r>
      <w:r w:rsidR="004317E4" w:rsidRPr="002003B9">
        <w:t>s</w:t>
      </w:r>
      <w:r w:rsidR="00AA7E35" w:rsidRPr="002003B9">
        <w:t xml:space="preserve"> Pievienotās vērtības nodokļa likuma </w:t>
      </w:r>
      <w:proofErr w:type="gramStart"/>
      <w:r w:rsidR="00AA7E35" w:rsidRPr="002003B9">
        <w:t>73.panta</w:t>
      </w:r>
      <w:proofErr w:type="gramEnd"/>
      <w:r w:rsidR="00AA7E35" w:rsidRPr="002003B9">
        <w:t xml:space="preserve"> pirmās daļas 5.punkta „a” apakšpunkta piemērošanas gadījum</w:t>
      </w:r>
      <w:r w:rsidR="004317E4" w:rsidRPr="002003B9">
        <w:t>s</w:t>
      </w:r>
      <w:r w:rsidR="00AA7E35" w:rsidRPr="002003B9">
        <w:t>.</w:t>
      </w:r>
      <w:r w:rsidR="004317E4" w:rsidRPr="002003B9">
        <w:t xml:space="preserve"> </w:t>
      </w:r>
      <w:r w:rsidRPr="002003B9">
        <w:rPr>
          <w:rStyle w:val="CharStyle3"/>
          <w:rFonts w:asciiTheme="majorBidi" w:hAnsiTheme="majorBidi" w:cstheme="majorBidi"/>
        </w:rPr>
        <w:t xml:space="preserve">Savukārt dienesta </w:t>
      </w:r>
      <w:r w:rsidR="002B08C0" w:rsidRPr="002003B9">
        <w:rPr>
          <w:rStyle w:val="CharStyle3"/>
          <w:rFonts w:asciiTheme="majorBidi" w:hAnsiTheme="majorBidi" w:cstheme="majorBidi"/>
        </w:rPr>
        <w:t>norād</w:t>
      </w:r>
      <w:r w:rsidR="00EA4DD7" w:rsidRPr="002003B9">
        <w:rPr>
          <w:rStyle w:val="CharStyle3"/>
          <w:rFonts w:asciiTheme="majorBidi" w:hAnsiTheme="majorBidi" w:cstheme="majorBidi"/>
        </w:rPr>
        <w:t>es</w:t>
      </w:r>
      <w:r w:rsidRPr="002003B9">
        <w:rPr>
          <w:rStyle w:val="CharStyle3"/>
          <w:rFonts w:asciiTheme="majorBidi" w:hAnsiTheme="majorBidi" w:cstheme="majorBidi"/>
        </w:rPr>
        <w:t xml:space="preserve"> par </w:t>
      </w:r>
      <w:r w:rsidR="00EA4DD7" w:rsidRPr="002003B9">
        <w:rPr>
          <w:rStyle w:val="CharStyle3"/>
          <w:rFonts w:asciiTheme="majorBidi" w:hAnsiTheme="majorBidi" w:cstheme="majorBidi"/>
        </w:rPr>
        <w:t>likvidatora darbīb</w:t>
      </w:r>
      <w:r w:rsidR="00401762" w:rsidRPr="002003B9">
        <w:rPr>
          <w:rStyle w:val="CharStyle3"/>
          <w:rFonts w:asciiTheme="majorBidi" w:hAnsiTheme="majorBidi" w:cstheme="majorBidi"/>
        </w:rPr>
        <w:t>ām</w:t>
      </w:r>
      <w:r w:rsidR="00EA4DD7" w:rsidRPr="002003B9">
        <w:rPr>
          <w:rStyle w:val="CharStyle3"/>
          <w:rFonts w:asciiTheme="majorBidi" w:hAnsiTheme="majorBidi" w:cstheme="majorBidi"/>
        </w:rPr>
        <w:t xml:space="preserve">, kas </w:t>
      </w:r>
      <w:r w:rsidRPr="002003B9">
        <w:t>vērstas uz</w:t>
      </w:r>
      <w:r w:rsidR="004317E4" w:rsidRPr="002003B9">
        <w:t xml:space="preserve"> pieteicējas</w:t>
      </w:r>
      <w:r w:rsidR="00EA4DD7" w:rsidRPr="002003B9">
        <w:t xml:space="preserve"> </w:t>
      </w:r>
      <w:r w:rsidRPr="002003B9">
        <w:t>komercdarbības atjaunošanu</w:t>
      </w:r>
      <w:r w:rsidR="00EA4DD7" w:rsidRPr="002003B9">
        <w:t xml:space="preserve"> un darbības turpināšanu</w:t>
      </w:r>
      <w:r w:rsidR="00AB63BE" w:rsidRPr="002003B9">
        <w:t>,</w:t>
      </w:r>
      <w:r w:rsidRPr="002003B9">
        <w:t xml:space="preserve"> </w:t>
      </w:r>
      <w:r w:rsidRPr="002003B9">
        <w:rPr>
          <w:rStyle w:val="CharStyle3"/>
          <w:rFonts w:asciiTheme="majorBidi" w:hAnsiTheme="majorBidi" w:cstheme="majorBidi"/>
        </w:rPr>
        <w:t xml:space="preserve">ir tikai </w:t>
      </w:r>
      <w:r w:rsidR="004317E4" w:rsidRPr="002003B9">
        <w:rPr>
          <w:rStyle w:val="CharStyle3"/>
          <w:rFonts w:asciiTheme="majorBidi" w:hAnsiTheme="majorBidi" w:cstheme="majorBidi"/>
        </w:rPr>
        <w:t xml:space="preserve">dienesta </w:t>
      </w:r>
      <w:r w:rsidR="00EA4DD7" w:rsidRPr="002003B9">
        <w:rPr>
          <w:rStyle w:val="CharStyle3"/>
          <w:rFonts w:asciiTheme="majorBidi" w:hAnsiTheme="majorBidi" w:cstheme="majorBidi"/>
        </w:rPr>
        <w:t>ap</w:t>
      </w:r>
      <w:r w:rsidR="00D54C14" w:rsidRPr="002003B9">
        <w:rPr>
          <w:rStyle w:val="CharStyle3"/>
          <w:rFonts w:asciiTheme="majorBidi" w:hAnsiTheme="majorBidi" w:cstheme="majorBidi"/>
        </w:rPr>
        <w:t>g</w:t>
      </w:r>
      <w:r w:rsidR="00EA4DD7" w:rsidRPr="002003B9">
        <w:rPr>
          <w:rStyle w:val="CharStyle3"/>
          <w:rFonts w:asciiTheme="majorBidi" w:hAnsiTheme="majorBidi" w:cstheme="majorBidi"/>
        </w:rPr>
        <w:t>alvojumi bez sasaistes ar izskatāmās lietas apstākļiem</w:t>
      </w:r>
      <w:r w:rsidRPr="002003B9">
        <w:rPr>
          <w:rStyle w:val="CharStyle3"/>
          <w:rFonts w:asciiTheme="majorBidi" w:hAnsiTheme="majorBidi" w:cstheme="majorBidi"/>
        </w:rPr>
        <w:t>.</w:t>
      </w:r>
    </w:p>
    <w:p w14:paraId="79F5F935" w14:textId="274B7325" w:rsidR="00AB63BE" w:rsidRPr="002003B9" w:rsidRDefault="00AB63BE" w:rsidP="009630BF">
      <w:pPr>
        <w:spacing w:line="276" w:lineRule="auto"/>
        <w:ind w:firstLine="720"/>
        <w:jc w:val="both"/>
      </w:pPr>
    </w:p>
    <w:p w14:paraId="077E8949" w14:textId="23062FFA" w:rsidR="00CD2220" w:rsidRPr="002003B9" w:rsidRDefault="00AB63BE" w:rsidP="009630BF">
      <w:pPr>
        <w:pStyle w:val="labojumupamats"/>
        <w:shd w:val="clear" w:color="auto" w:fill="FFFFFF"/>
        <w:spacing w:before="0" w:beforeAutospacing="0" w:after="0" w:afterAutospacing="0" w:line="276" w:lineRule="auto"/>
        <w:ind w:firstLine="720"/>
        <w:jc w:val="both"/>
      </w:pPr>
      <w:r w:rsidRPr="002003B9">
        <w:lastRenderedPageBreak/>
        <w:t>[</w:t>
      </w:r>
      <w:r w:rsidR="00B673DD" w:rsidRPr="002003B9">
        <w:t>8</w:t>
      </w:r>
      <w:r w:rsidRPr="002003B9">
        <w:t>] </w:t>
      </w:r>
      <w:r w:rsidR="00B673DD" w:rsidRPr="002003B9">
        <w:t>Apkopojot minēto</w:t>
      </w:r>
      <w:r w:rsidR="00B71CCF" w:rsidRPr="002003B9">
        <w:t xml:space="preserve">, Senāts atzīst, ka </w:t>
      </w:r>
      <w:r w:rsidR="00B673DD" w:rsidRPr="002003B9">
        <w:t xml:space="preserve">kasācijas sūdzības </w:t>
      </w:r>
      <w:r w:rsidR="00B71CCF" w:rsidRPr="002003B9">
        <w:t>argumenti nerada šaubas par pārsūdzētā sprieduma tiesiskumu</w:t>
      </w:r>
      <w:r w:rsidR="00DA6A8F" w:rsidRPr="002003B9">
        <w:t xml:space="preserve">. </w:t>
      </w:r>
      <w:r w:rsidR="00CD2220" w:rsidRPr="002003B9">
        <w:t>Tas nozīmē, ka apgabaltiesas spriedums ir atstājams negrozīts, bet dienesta kasācijas sūdzība ir noraidāma.</w:t>
      </w:r>
    </w:p>
    <w:bookmarkEnd w:id="1"/>
    <w:p w14:paraId="2252A3A1" w14:textId="77777777" w:rsidR="0057614B" w:rsidRDefault="0057614B" w:rsidP="009630BF">
      <w:pPr>
        <w:spacing w:line="276" w:lineRule="auto"/>
        <w:ind w:firstLine="720"/>
        <w:jc w:val="both"/>
      </w:pPr>
    </w:p>
    <w:p w14:paraId="7F133DF8" w14:textId="77777777" w:rsidR="003047F5" w:rsidRPr="0082381C" w:rsidRDefault="003047F5" w:rsidP="009630BF">
      <w:pPr>
        <w:spacing w:line="276" w:lineRule="auto"/>
        <w:jc w:val="center"/>
        <w:rPr>
          <w:b/>
        </w:rPr>
      </w:pPr>
      <w:r w:rsidRPr="0082381C">
        <w:rPr>
          <w:b/>
        </w:rPr>
        <w:t>Rezolutīvā daļa</w:t>
      </w:r>
    </w:p>
    <w:p w14:paraId="203D55B2" w14:textId="77777777" w:rsidR="003047F5" w:rsidRPr="0082381C" w:rsidRDefault="003047F5" w:rsidP="009630BF">
      <w:pPr>
        <w:spacing w:line="276" w:lineRule="auto"/>
        <w:ind w:firstLine="720"/>
        <w:jc w:val="both"/>
        <w:rPr>
          <w:bCs/>
          <w:spacing w:val="70"/>
        </w:rPr>
      </w:pPr>
    </w:p>
    <w:p w14:paraId="6C0D5837" w14:textId="6C452296" w:rsidR="003047F5" w:rsidRPr="0082381C" w:rsidRDefault="003047F5" w:rsidP="009630BF">
      <w:pPr>
        <w:spacing w:line="276" w:lineRule="auto"/>
        <w:ind w:firstLine="720"/>
        <w:jc w:val="both"/>
        <w:rPr>
          <w:strike/>
        </w:rPr>
      </w:pPr>
      <w:r w:rsidRPr="0082381C">
        <w:t xml:space="preserve">Pamatojoties uz </w:t>
      </w:r>
      <w:r w:rsidR="00941626" w:rsidRPr="0082381C">
        <w:rPr>
          <w:rFonts w:eastAsiaTheme="minorHAnsi"/>
          <w:lang w:eastAsia="en-US"/>
        </w:rPr>
        <w:t>Administratīvā procesa likuma</w:t>
      </w:r>
      <w:r w:rsidR="00AF2237" w:rsidRPr="00E63EC7">
        <w:rPr>
          <w:rFonts w:eastAsiaTheme="minorHAnsi"/>
          <w:lang w:eastAsia="en-US"/>
        </w:rPr>
        <w:t xml:space="preserve"> </w:t>
      </w:r>
      <w:proofErr w:type="gramStart"/>
      <w:r w:rsidR="00AF2237" w:rsidRPr="00E63EC7">
        <w:rPr>
          <w:rFonts w:eastAsiaTheme="minorHAnsi"/>
          <w:lang w:eastAsia="en-US"/>
        </w:rPr>
        <w:t>348.panta</w:t>
      </w:r>
      <w:proofErr w:type="gramEnd"/>
      <w:r w:rsidR="00AF2237" w:rsidRPr="00E63EC7">
        <w:rPr>
          <w:rFonts w:eastAsiaTheme="minorHAnsi"/>
          <w:lang w:eastAsia="en-US"/>
        </w:rPr>
        <w:t xml:space="preserve"> </w:t>
      </w:r>
      <w:r w:rsidR="00AF2237">
        <w:rPr>
          <w:rFonts w:eastAsiaTheme="minorHAnsi"/>
          <w:lang w:eastAsia="en-US"/>
        </w:rPr>
        <w:t xml:space="preserve">pirmās daļas </w:t>
      </w:r>
      <w:r w:rsidR="006561A2">
        <w:rPr>
          <w:rFonts w:eastAsiaTheme="minorHAnsi"/>
          <w:lang w:eastAsia="en-US"/>
        </w:rPr>
        <w:t>1.punktu</w:t>
      </w:r>
      <w:r w:rsidR="00AF2237" w:rsidRPr="00E63EC7">
        <w:rPr>
          <w:rFonts w:eastAsiaTheme="minorHAnsi"/>
          <w:lang w:eastAsia="en-US"/>
        </w:rPr>
        <w:t xml:space="preserve"> un 351.pantu</w:t>
      </w:r>
      <w:r w:rsidRPr="0082381C">
        <w:t xml:space="preserve">, </w:t>
      </w:r>
      <w:r w:rsidR="006B7BBC" w:rsidRPr="00B75A4A">
        <w:t>Senāts</w:t>
      </w:r>
    </w:p>
    <w:p w14:paraId="56FE2BEB" w14:textId="77777777" w:rsidR="003047F5" w:rsidRPr="0082381C" w:rsidRDefault="003047F5" w:rsidP="009630BF">
      <w:pPr>
        <w:spacing w:line="276" w:lineRule="auto"/>
        <w:ind w:firstLine="720"/>
        <w:jc w:val="both"/>
      </w:pPr>
    </w:p>
    <w:p w14:paraId="6FE7AC9C" w14:textId="268BB826" w:rsidR="003047F5" w:rsidRPr="0082381C" w:rsidRDefault="003047F5" w:rsidP="009630BF">
      <w:pPr>
        <w:spacing w:line="276" w:lineRule="auto"/>
        <w:jc w:val="center"/>
        <w:rPr>
          <w:b/>
        </w:rPr>
      </w:pPr>
      <w:r w:rsidRPr="0082381C">
        <w:rPr>
          <w:b/>
        </w:rPr>
        <w:t>nosprieda</w:t>
      </w:r>
    </w:p>
    <w:p w14:paraId="25D5DF80" w14:textId="77777777" w:rsidR="00A6596A" w:rsidRPr="0082381C" w:rsidRDefault="00A6596A" w:rsidP="009630BF">
      <w:pPr>
        <w:spacing w:line="276" w:lineRule="auto"/>
        <w:ind w:firstLine="720"/>
        <w:jc w:val="center"/>
        <w:rPr>
          <w:b/>
        </w:rPr>
      </w:pPr>
    </w:p>
    <w:p w14:paraId="244C56BE" w14:textId="24F9EFC3" w:rsidR="000F3172" w:rsidRDefault="006561A2" w:rsidP="009630BF">
      <w:pPr>
        <w:spacing w:line="276" w:lineRule="auto"/>
        <w:ind w:firstLine="720"/>
        <w:jc w:val="both"/>
      </w:pPr>
      <w:r>
        <w:t>a</w:t>
      </w:r>
      <w:r w:rsidR="000F3172">
        <w:t xml:space="preserve">tstāt negrozītu </w:t>
      </w:r>
      <w:r w:rsidR="000F3172" w:rsidRPr="006561A2">
        <w:t xml:space="preserve">Administratīvās </w:t>
      </w:r>
      <w:r w:rsidR="000F3172" w:rsidRPr="007A117F">
        <w:t>apgabaltiesas</w:t>
      </w:r>
      <w:r w:rsidR="000F3172" w:rsidRPr="006561A2">
        <w:t xml:space="preserve"> </w:t>
      </w:r>
      <w:proofErr w:type="gramStart"/>
      <w:r w:rsidRPr="006561A2">
        <w:t>2020.gada</w:t>
      </w:r>
      <w:proofErr w:type="gramEnd"/>
      <w:r w:rsidRPr="006561A2">
        <w:t xml:space="preserve"> 24.marta</w:t>
      </w:r>
      <w:r w:rsidR="000F3172" w:rsidRPr="006561A2">
        <w:t xml:space="preserve"> spriedumu, bet </w:t>
      </w:r>
      <w:r w:rsidRPr="006561A2">
        <w:t>Valsts ieņēmumu dienesta</w:t>
      </w:r>
      <w:r w:rsidR="000F3172" w:rsidRPr="006561A2">
        <w:t xml:space="preserve"> kasācijas sūdzību noraidīt.</w:t>
      </w:r>
    </w:p>
    <w:p w14:paraId="70BE4E52" w14:textId="77777777" w:rsidR="006561A2" w:rsidRDefault="006561A2" w:rsidP="009630BF">
      <w:pPr>
        <w:spacing w:line="276" w:lineRule="auto"/>
        <w:ind w:firstLine="720"/>
        <w:jc w:val="both"/>
      </w:pPr>
    </w:p>
    <w:p w14:paraId="1FA8889F" w14:textId="77777777" w:rsidR="000F3172" w:rsidRDefault="000F3172" w:rsidP="009630BF">
      <w:pPr>
        <w:spacing w:line="276" w:lineRule="auto"/>
        <w:ind w:firstLine="720"/>
        <w:jc w:val="both"/>
      </w:pPr>
      <w:r>
        <w:t>Spriedums nav pārsūdzams.</w:t>
      </w:r>
    </w:p>
    <w:p w14:paraId="27C2F36C" w14:textId="77777777" w:rsidR="000F3172" w:rsidRDefault="000F3172" w:rsidP="004B7BFD">
      <w:pPr>
        <w:spacing w:line="276" w:lineRule="auto"/>
        <w:ind w:firstLine="720"/>
        <w:jc w:val="both"/>
      </w:pPr>
    </w:p>
    <w:p w14:paraId="7761F727" w14:textId="77777777" w:rsidR="006561A2" w:rsidRDefault="006561A2" w:rsidP="004B7BFD">
      <w:pPr>
        <w:spacing w:line="276" w:lineRule="auto"/>
        <w:ind w:firstLine="720"/>
        <w:jc w:val="both"/>
      </w:pPr>
    </w:p>
    <w:p w14:paraId="6044D008" w14:textId="77777777" w:rsidR="006561A2" w:rsidRDefault="006561A2" w:rsidP="004B7BFD">
      <w:pPr>
        <w:spacing w:line="276" w:lineRule="auto"/>
        <w:ind w:firstLine="720"/>
        <w:jc w:val="both"/>
      </w:pPr>
    </w:p>
    <w:p w14:paraId="0D3260AD" w14:textId="77777777" w:rsidR="006561A2" w:rsidRDefault="006561A2" w:rsidP="004B7BFD">
      <w:pPr>
        <w:spacing w:line="276" w:lineRule="auto"/>
        <w:ind w:firstLine="720"/>
        <w:jc w:val="both"/>
      </w:pPr>
    </w:p>
    <w:p w14:paraId="4FF9EDC9" w14:textId="50D02D19" w:rsidR="006B7BBC" w:rsidRDefault="00801CD9" w:rsidP="004B7BFD">
      <w:pPr>
        <w:tabs>
          <w:tab w:val="center" w:pos="1276"/>
          <w:tab w:val="center" w:pos="4678"/>
          <w:tab w:val="center" w:pos="8080"/>
        </w:tabs>
        <w:spacing w:line="276" w:lineRule="auto"/>
        <w:ind w:firstLine="720"/>
        <w:jc w:val="both"/>
        <w:rPr>
          <w:color w:val="000000"/>
        </w:rPr>
      </w:pPr>
      <w:r>
        <w:rPr>
          <w:color w:val="000000"/>
        </w:rPr>
        <w:tab/>
      </w:r>
    </w:p>
    <w:sectPr w:rsidR="006B7BBC" w:rsidSect="004B7BFD">
      <w:footerReference w:type="default" r:id="rId12"/>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FA062" w14:textId="77777777" w:rsidR="00C43375" w:rsidRDefault="00C43375" w:rsidP="003047F5">
      <w:r>
        <w:separator/>
      </w:r>
    </w:p>
  </w:endnote>
  <w:endnote w:type="continuationSeparator" w:id="0">
    <w:p w14:paraId="4E4E5261" w14:textId="77777777" w:rsidR="00C43375" w:rsidRDefault="00C4337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3BA25A18" w:rsidR="00F43FAD" w:rsidRPr="004B7BFD" w:rsidRDefault="00F43FAD" w:rsidP="00F43FAD">
    <w:pPr>
      <w:pStyle w:val="Footer"/>
      <w:tabs>
        <w:tab w:val="clear" w:pos="4153"/>
        <w:tab w:val="clear" w:pos="8306"/>
      </w:tabs>
      <w:jc w:val="center"/>
      <w:rPr>
        <w:sz w:val="20"/>
        <w:szCs w:val="20"/>
      </w:rPr>
    </w:pPr>
    <w:r w:rsidRPr="004B7BFD">
      <w:rPr>
        <w:rStyle w:val="PageNumber"/>
        <w:sz w:val="20"/>
        <w:szCs w:val="20"/>
      </w:rPr>
      <w:fldChar w:fldCharType="begin"/>
    </w:r>
    <w:r w:rsidRPr="004B7BFD">
      <w:rPr>
        <w:rStyle w:val="PageNumber"/>
        <w:sz w:val="20"/>
        <w:szCs w:val="20"/>
      </w:rPr>
      <w:instrText xml:space="preserve">PAGE  </w:instrText>
    </w:r>
    <w:r w:rsidRPr="004B7BFD">
      <w:rPr>
        <w:rStyle w:val="PageNumber"/>
        <w:sz w:val="20"/>
        <w:szCs w:val="20"/>
      </w:rPr>
      <w:fldChar w:fldCharType="separate"/>
    </w:r>
    <w:r w:rsidR="00237C63">
      <w:rPr>
        <w:rStyle w:val="PageNumber"/>
        <w:noProof/>
        <w:sz w:val="20"/>
        <w:szCs w:val="20"/>
      </w:rPr>
      <w:t>2</w:t>
    </w:r>
    <w:r w:rsidRPr="004B7BFD">
      <w:rPr>
        <w:rStyle w:val="PageNumber"/>
        <w:sz w:val="20"/>
        <w:szCs w:val="20"/>
      </w:rPr>
      <w:fldChar w:fldCharType="end"/>
    </w:r>
    <w:r w:rsidRPr="004B7BFD">
      <w:rPr>
        <w:rStyle w:val="PageNumber"/>
        <w:sz w:val="20"/>
        <w:szCs w:val="20"/>
      </w:rPr>
      <w:t xml:space="preserve"> no </w:t>
    </w:r>
    <w:r w:rsidR="00F81367" w:rsidRPr="004B7BFD">
      <w:rPr>
        <w:rStyle w:val="PageNumber"/>
        <w:noProof/>
        <w:sz w:val="20"/>
        <w:szCs w:val="20"/>
      </w:rPr>
      <w:fldChar w:fldCharType="begin"/>
    </w:r>
    <w:r w:rsidR="00F81367" w:rsidRPr="004B7BFD">
      <w:rPr>
        <w:rStyle w:val="PageNumber"/>
        <w:noProof/>
        <w:sz w:val="20"/>
        <w:szCs w:val="20"/>
      </w:rPr>
      <w:instrText xml:space="preserve"> SECTIONPAGES   \* MERGEFORMAT </w:instrText>
    </w:r>
    <w:r w:rsidR="00F81367" w:rsidRPr="004B7BFD">
      <w:rPr>
        <w:rStyle w:val="PageNumber"/>
        <w:noProof/>
        <w:sz w:val="20"/>
        <w:szCs w:val="20"/>
      </w:rPr>
      <w:fldChar w:fldCharType="separate"/>
    </w:r>
    <w:r w:rsidR="00237C63">
      <w:rPr>
        <w:rStyle w:val="PageNumber"/>
        <w:noProof/>
        <w:sz w:val="20"/>
        <w:szCs w:val="20"/>
      </w:rPr>
      <w:t>5</w:t>
    </w:r>
    <w:r w:rsidR="00F81367" w:rsidRPr="004B7BFD">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6C6CA" w14:textId="77777777" w:rsidR="00C43375" w:rsidRDefault="00C43375" w:rsidP="003047F5">
      <w:r>
        <w:separator/>
      </w:r>
    </w:p>
  </w:footnote>
  <w:footnote w:type="continuationSeparator" w:id="0">
    <w:p w14:paraId="35C51764" w14:textId="77777777" w:rsidR="00C43375" w:rsidRDefault="00C4337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36B0"/>
    <w:rsid w:val="000125F2"/>
    <w:rsid w:val="00013FD0"/>
    <w:rsid w:val="00016F52"/>
    <w:rsid w:val="00017CC7"/>
    <w:rsid w:val="00023401"/>
    <w:rsid w:val="0002398A"/>
    <w:rsid w:val="00042F40"/>
    <w:rsid w:val="0005569C"/>
    <w:rsid w:val="00063177"/>
    <w:rsid w:val="000708AF"/>
    <w:rsid w:val="00072833"/>
    <w:rsid w:val="00073D93"/>
    <w:rsid w:val="00075B40"/>
    <w:rsid w:val="000813A3"/>
    <w:rsid w:val="000854DB"/>
    <w:rsid w:val="000A30CF"/>
    <w:rsid w:val="000A4161"/>
    <w:rsid w:val="000A588E"/>
    <w:rsid w:val="000B0A3A"/>
    <w:rsid w:val="000B6303"/>
    <w:rsid w:val="000B767E"/>
    <w:rsid w:val="000C0BEB"/>
    <w:rsid w:val="000C35F0"/>
    <w:rsid w:val="000C43D7"/>
    <w:rsid w:val="000D42E9"/>
    <w:rsid w:val="000D5F0E"/>
    <w:rsid w:val="000F2E6E"/>
    <w:rsid w:val="000F3172"/>
    <w:rsid w:val="001108D8"/>
    <w:rsid w:val="00113E2E"/>
    <w:rsid w:val="0012423A"/>
    <w:rsid w:val="00132A1B"/>
    <w:rsid w:val="001428EE"/>
    <w:rsid w:val="00142F40"/>
    <w:rsid w:val="001443F4"/>
    <w:rsid w:val="0014709E"/>
    <w:rsid w:val="001601AB"/>
    <w:rsid w:val="0016381F"/>
    <w:rsid w:val="001646E9"/>
    <w:rsid w:val="0017223A"/>
    <w:rsid w:val="00180F5E"/>
    <w:rsid w:val="001904C7"/>
    <w:rsid w:val="0019238A"/>
    <w:rsid w:val="001938BF"/>
    <w:rsid w:val="00194ED8"/>
    <w:rsid w:val="00196BAA"/>
    <w:rsid w:val="001A0495"/>
    <w:rsid w:val="001A521F"/>
    <w:rsid w:val="001C4988"/>
    <w:rsid w:val="001D240E"/>
    <w:rsid w:val="001D4A8A"/>
    <w:rsid w:val="001E3A09"/>
    <w:rsid w:val="001E615C"/>
    <w:rsid w:val="001F6A8D"/>
    <w:rsid w:val="002003B9"/>
    <w:rsid w:val="00200A03"/>
    <w:rsid w:val="00212475"/>
    <w:rsid w:val="00222AA9"/>
    <w:rsid w:val="00224F9D"/>
    <w:rsid w:val="002327F9"/>
    <w:rsid w:val="002349B8"/>
    <w:rsid w:val="00236E52"/>
    <w:rsid w:val="00237337"/>
    <w:rsid w:val="00237C63"/>
    <w:rsid w:val="00237F92"/>
    <w:rsid w:val="002510D5"/>
    <w:rsid w:val="002543BD"/>
    <w:rsid w:val="00254C6D"/>
    <w:rsid w:val="00255C20"/>
    <w:rsid w:val="002569AB"/>
    <w:rsid w:val="00257AD9"/>
    <w:rsid w:val="002639AC"/>
    <w:rsid w:val="002663B3"/>
    <w:rsid w:val="0027469B"/>
    <w:rsid w:val="0027777C"/>
    <w:rsid w:val="0028518F"/>
    <w:rsid w:val="00293462"/>
    <w:rsid w:val="002A154D"/>
    <w:rsid w:val="002A3FCE"/>
    <w:rsid w:val="002A4D2F"/>
    <w:rsid w:val="002A5C27"/>
    <w:rsid w:val="002A7E3E"/>
    <w:rsid w:val="002B08C0"/>
    <w:rsid w:val="002B2043"/>
    <w:rsid w:val="002B465E"/>
    <w:rsid w:val="002B4980"/>
    <w:rsid w:val="002B5F36"/>
    <w:rsid w:val="002C041D"/>
    <w:rsid w:val="002D275F"/>
    <w:rsid w:val="002D3D07"/>
    <w:rsid w:val="002D4821"/>
    <w:rsid w:val="002E2F41"/>
    <w:rsid w:val="002F200B"/>
    <w:rsid w:val="002F5616"/>
    <w:rsid w:val="00301A51"/>
    <w:rsid w:val="003047F5"/>
    <w:rsid w:val="00314BC3"/>
    <w:rsid w:val="00315456"/>
    <w:rsid w:val="00322995"/>
    <w:rsid w:val="003229EF"/>
    <w:rsid w:val="003268A1"/>
    <w:rsid w:val="003405CD"/>
    <w:rsid w:val="0035346E"/>
    <w:rsid w:val="003562D0"/>
    <w:rsid w:val="00362FD7"/>
    <w:rsid w:val="003643EE"/>
    <w:rsid w:val="00372ACF"/>
    <w:rsid w:val="003761E9"/>
    <w:rsid w:val="003777CA"/>
    <w:rsid w:val="003A2FEA"/>
    <w:rsid w:val="003A5B69"/>
    <w:rsid w:val="003A5ED6"/>
    <w:rsid w:val="003B1EC3"/>
    <w:rsid w:val="003B4F6C"/>
    <w:rsid w:val="003C1D16"/>
    <w:rsid w:val="003E5205"/>
    <w:rsid w:val="003E5BA8"/>
    <w:rsid w:val="003E6AC8"/>
    <w:rsid w:val="003E73F4"/>
    <w:rsid w:val="003F3DB7"/>
    <w:rsid w:val="00401762"/>
    <w:rsid w:val="004028F2"/>
    <w:rsid w:val="00403818"/>
    <w:rsid w:val="00421994"/>
    <w:rsid w:val="00424B84"/>
    <w:rsid w:val="004317E4"/>
    <w:rsid w:val="0043182C"/>
    <w:rsid w:val="0043387D"/>
    <w:rsid w:val="00444BDD"/>
    <w:rsid w:val="004518F7"/>
    <w:rsid w:val="00453F88"/>
    <w:rsid w:val="00454279"/>
    <w:rsid w:val="00454A09"/>
    <w:rsid w:val="004622FB"/>
    <w:rsid w:val="00474BD7"/>
    <w:rsid w:val="00490E36"/>
    <w:rsid w:val="00491DEC"/>
    <w:rsid w:val="004972B8"/>
    <w:rsid w:val="004A0332"/>
    <w:rsid w:val="004A4903"/>
    <w:rsid w:val="004A4D97"/>
    <w:rsid w:val="004A6C2F"/>
    <w:rsid w:val="004A70B3"/>
    <w:rsid w:val="004B16C6"/>
    <w:rsid w:val="004B7BFD"/>
    <w:rsid w:val="004C5067"/>
    <w:rsid w:val="004C7A1D"/>
    <w:rsid w:val="004D4E8A"/>
    <w:rsid w:val="004E3DFE"/>
    <w:rsid w:val="004E6286"/>
    <w:rsid w:val="004E790A"/>
    <w:rsid w:val="004F5941"/>
    <w:rsid w:val="0050007A"/>
    <w:rsid w:val="0051480A"/>
    <w:rsid w:val="0051757E"/>
    <w:rsid w:val="005215D0"/>
    <w:rsid w:val="00521A02"/>
    <w:rsid w:val="0052243A"/>
    <w:rsid w:val="0053287A"/>
    <w:rsid w:val="00541704"/>
    <w:rsid w:val="00543E46"/>
    <w:rsid w:val="005444EC"/>
    <w:rsid w:val="005515F2"/>
    <w:rsid w:val="00556D4B"/>
    <w:rsid w:val="00561B3E"/>
    <w:rsid w:val="00564E22"/>
    <w:rsid w:val="0057614B"/>
    <w:rsid w:val="00580493"/>
    <w:rsid w:val="00590838"/>
    <w:rsid w:val="005918F8"/>
    <w:rsid w:val="005961A9"/>
    <w:rsid w:val="005B4B43"/>
    <w:rsid w:val="005C1BF9"/>
    <w:rsid w:val="005C43FB"/>
    <w:rsid w:val="005D11EE"/>
    <w:rsid w:val="005E5944"/>
    <w:rsid w:val="005F14A9"/>
    <w:rsid w:val="00601505"/>
    <w:rsid w:val="00622196"/>
    <w:rsid w:val="0063178D"/>
    <w:rsid w:val="00633997"/>
    <w:rsid w:val="00633C48"/>
    <w:rsid w:val="006420C4"/>
    <w:rsid w:val="0065054A"/>
    <w:rsid w:val="00652AAD"/>
    <w:rsid w:val="006561A2"/>
    <w:rsid w:val="006615B9"/>
    <w:rsid w:val="00672684"/>
    <w:rsid w:val="00694474"/>
    <w:rsid w:val="00694E58"/>
    <w:rsid w:val="00695048"/>
    <w:rsid w:val="00695A37"/>
    <w:rsid w:val="00697143"/>
    <w:rsid w:val="0069743A"/>
    <w:rsid w:val="006A3F19"/>
    <w:rsid w:val="006B25E4"/>
    <w:rsid w:val="006B5112"/>
    <w:rsid w:val="006B5F9A"/>
    <w:rsid w:val="006B7BBC"/>
    <w:rsid w:val="006C0E1D"/>
    <w:rsid w:val="006C1F51"/>
    <w:rsid w:val="006C5A8B"/>
    <w:rsid w:val="006C6135"/>
    <w:rsid w:val="006C705D"/>
    <w:rsid w:val="006F1835"/>
    <w:rsid w:val="006F2DA5"/>
    <w:rsid w:val="006F5D3B"/>
    <w:rsid w:val="007128AD"/>
    <w:rsid w:val="007156B1"/>
    <w:rsid w:val="007171C5"/>
    <w:rsid w:val="00736BA7"/>
    <w:rsid w:val="00743BB2"/>
    <w:rsid w:val="007461E6"/>
    <w:rsid w:val="007465E4"/>
    <w:rsid w:val="00752DD9"/>
    <w:rsid w:val="007535CA"/>
    <w:rsid w:val="0076233D"/>
    <w:rsid w:val="00765907"/>
    <w:rsid w:val="00766E5A"/>
    <w:rsid w:val="007704DA"/>
    <w:rsid w:val="007709C7"/>
    <w:rsid w:val="007715F2"/>
    <w:rsid w:val="0077509E"/>
    <w:rsid w:val="007818DB"/>
    <w:rsid w:val="00790428"/>
    <w:rsid w:val="00797B94"/>
    <w:rsid w:val="007A117F"/>
    <w:rsid w:val="007A1F73"/>
    <w:rsid w:val="007A2379"/>
    <w:rsid w:val="007A4FBD"/>
    <w:rsid w:val="007D2BE9"/>
    <w:rsid w:val="007D326C"/>
    <w:rsid w:val="007F035C"/>
    <w:rsid w:val="00801CD9"/>
    <w:rsid w:val="00806846"/>
    <w:rsid w:val="008074F8"/>
    <w:rsid w:val="008075F6"/>
    <w:rsid w:val="0081725E"/>
    <w:rsid w:val="00821C14"/>
    <w:rsid w:val="0082381C"/>
    <w:rsid w:val="00832FD2"/>
    <w:rsid w:val="00833668"/>
    <w:rsid w:val="0084055E"/>
    <w:rsid w:val="0085169F"/>
    <w:rsid w:val="008570F8"/>
    <w:rsid w:val="0087404B"/>
    <w:rsid w:val="00881808"/>
    <w:rsid w:val="00883886"/>
    <w:rsid w:val="00886FDB"/>
    <w:rsid w:val="00892360"/>
    <w:rsid w:val="00893B1B"/>
    <w:rsid w:val="008945E7"/>
    <w:rsid w:val="0089619C"/>
    <w:rsid w:val="008A6B84"/>
    <w:rsid w:val="008B4B99"/>
    <w:rsid w:val="008C3728"/>
    <w:rsid w:val="008C6542"/>
    <w:rsid w:val="008D0E3F"/>
    <w:rsid w:val="009061A2"/>
    <w:rsid w:val="00911759"/>
    <w:rsid w:val="00920522"/>
    <w:rsid w:val="009229FE"/>
    <w:rsid w:val="00940166"/>
    <w:rsid w:val="00941626"/>
    <w:rsid w:val="0094553C"/>
    <w:rsid w:val="0095091E"/>
    <w:rsid w:val="00951404"/>
    <w:rsid w:val="009555A5"/>
    <w:rsid w:val="009630BF"/>
    <w:rsid w:val="009639F7"/>
    <w:rsid w:val="00967911"/>
    <w:rsid w:val="00971DF4"/>
    <w:rsid w:val="00971E1D"/>
    <w:rsid w:val="00972D34"/>
    <w:rsid w:val="00980DA7"/>
    <w:rsid w:val="00984DB0"/>
    <w:rsid w:val="00996283"/>
    <w:rsid w:val="009A3B85"/>
    <w:rsid w:val="009B1D9D"/>
    <w:rsid w:val="009B40D1"/>
    <w:rsid w:val="009B555A"/>
    <w:rsid w:val="009C3EB1"/>
    <w:rsid w:val="009C7C04"/>
    <w:rsid w:val="009E4FF0"/>
    <w:rsid w:val="009F32FE"/>
    <w:rsid w:val="00A00062"/>
    <w:rsid w:val="00A014D8"/>
    <w:rsid w:val="00A35500"/>
    <w:rsid w:val="00A4766A"/>
    <w:rsid w:val="00A60AB8"/>
    <w:rsid w:val="00A64F2C"/>
    <w:rsid w:val="00A6596A"/>
    <w:rsid w:val="00A72692"/>
    <w:rsid w:val="00A731AB"/>
    <w:rsid w:val="00A831F1"/>
    <w:rsid w:val="00AA7E35"/>
    <w:rsid w:val="00AB63BE"/>
    <w:rsid w:val="00AC1501"/>
    <w:rsid w:val="00AD3949"/>
    <w:rsid w:val="00AE412D"/>
    <w:rsid w:val="00AE53FD"/>
    <w:rsid w:val="00AF0568"/>
    <w:rsid w:val="00AF2237"/>
    <w:rsid w:val="00AF473C"/>
    <w:rsid w:val="00B0174B"/>
    <w:rsid w:val="00B042EE"/>
    <w:rsid w:val="00B131E3"/>
    <w:rsid w:val="00B21113"/>
    <w:rsid w:val="00B27F9F"/>
    <w:rsid w:val="00B35553"/>
    <w:rsid w:val="00B4460B"/>
    <w:rsid w:val="00B51266"/>
    <w:rsid w:val="00B572F3"/>
    <w:rsid w:val="00B57885"/>
    <w:rsid w:val="00B61090"/>
    <w:rsid w:val="00B65521"/>
    <w:rsid w:val="00B65837"/>
    <w:rsid w:val="00B673DD"/>
    <w:rsid w:val="00B71CCF"/>
    <w:rsid w:val="00B75A4A"/>
    <w:rsid w:val="00B80814"/>
    <w:rsid w:val="00BA1E3D"/>
    <w:rsid w:val="00BB26F6"/>
    <w:rsid w:val="00BB4182"/>
    <w:rsid w:val="00BB510A"/>
    <w:rsid w:val="00BB5382"/>
    <w:rsid w:val="00BB7F29"/>
    <w:rsid w:val="00BC0AF3"/>
    <w:rsid w:val="00BC3225"/>
    <w:rsid w:val="00BD3F49"/>
    <w:rsid w:val="00BF5376"/>
    <w:rsid w:val="00BF5CFE"/>
    <w:rsid w:val="00BF78DC"/>
    <w:rsid w:val="00C01659"/>
    <w:rsid w:val="00C01FAD"/>
    <w:rsid w:val="00C104DF"/>
    <w:rsid w:val="00C157A2"/>
    <w:rsid w:val="00C34170"/>
    <w:rsid w:val="00C363B2"/>
    <w:rsid w:val="00C41EE0"/>
    <w:rsid w:val="00C43375"/>
    <w:rsid w:val="00C51BE6"/>
    <w:rsid w:val="00C624AD"/>
    <w:rsid w:val="00C72BC4"/>
    <w:rsid w:val="00C76D0F"/>
    <w:rsid w:val="00C77082"/>
    <w:rsid w:val="00C82C62"/>
    <w:rsid w:val="00C83120"/>
    <w:rsid w:val="00C93AFA"/>
    <w:rsid w:val="00CA0E3E"/>
    <w:rsid w:val="00CA47B0"/>
    <w:rsid w:val="00CB0CDF"/>
    <w:rsid w:val="00CB0F3B"/>
    <w:rsid w:val="00CB79EE"/>
    <w:rsid w:val="00CC0381"/>
    <w:rsid w:val="00CC2A43"/>
    <w:rsid w:val="00CD18C5"/>
    <w:rsid w:val="00CD2220"/>
    <w:rsid w:val="00CD401A"/>
    <w:rsid w:val="00CD5155"/>
    <w:rsid w:val="00CE3B04"/>
    <w:rsid w:val="00CF61BF"/>
    <w:rsid w:val="00D02380"/>
    <w:rsid w:val="00D10708"/>
    <w:rsid w:val="00D22271"/>
    <w:rsid w:val="00D267AD"/>
    <w:rsid w:val="00D27CE6"/>
    <w:rsid w:val="00D3210B"/>
    <w:rsid w:val="00D42389"/>
    <w:rsid w:val="00D45349"/>
    <w:rsid w:val="00D461E6"/>
    <w:rsid w:val="00D46A8A"/>
    <w:rsid w:val="00D545C5"/>
    <w:rsid w:val="00D54C14"/>
    <w:rsid w:val="00D7028E"/>
    <w:rsid w:val="00D71427"/>
    <w:rsid w:val="00D7177F"/>
    <w:rsid w:val="00D76D78"/>
    <w:rsid w:val="00D86891"/>
    <w:rsid w:val="00D9141A"/>
    <w:rsid w:val="00DA677A"/>
    <w:rsid w:val="00DA6A8F"/>
    <w:rsid w:val="00DC0D2D"/>
    <w:rsid w:val="00DC5044"/>
    <w:rsid w:val="00DD0B78"/>
    <w:rsid w:val="00DD71C6"/>
    <w:rsid w:val="00E14291"/>
    <w:rsid w:val="00E15B58"/>
    <w:rsid w:val="00E23024"/>
    <w:rsid w:val="00E24D90"/>
    <w:rsid w:val="00E270FA"/>
    <w:rsid w:val="00E27981"/>
    <w:rsid w:val="00E354D5"/>
    <w:rsid w:val="00E35844"/>
    <w:rsid w:val="00E35DE3"/>
    <w:rsid w:val="00E43275"/>
    <w:rsid w:val="00E5207C"/>
    <w:rsid w:val="00E5298A"/>
    <w:rsid w:val="00E53AD0"/>
    <w:rsid w:val="00E569A2"/>
    <w:rsid w:val="00E71576"/>
    <w:rsid w:val="00E72A4E"/>
    <w:rsid w:val="00E72D1A"/>
    <w:rsid w:val="00E772EC"/>
    <w:rsid w:val="00E77612"/>
    <w:rsid w:val="00E92D15"/>
    <w:rsid w:val="00EA132F"/>
    <w:rsid w:val="00EA4DD7"/>
    <w:rsid w:val="00EA50DF"/>
    <w:rsid w:val="00EA5A72"/>
    <w:rsid w:val="00EB20EA"/>
    <w:rsid w:val="00EB69D9"/>
    <w:rsid w:val="00EC421F"/>
    <w:rsid w:val="00EC6FEE"/>
    <w:rsid w:val="00ED72A3"/>
    <w:rsid w:val="00ED7D7B"/>
    <w:rsid w:val="00EE0FA3"/>
    <w:rsid w:val="00EE362C"/>
    <w:rsid w:val="00EE683F"/>
    <w:rsid w:val="00EF0FCE"/>
    <w:rsid w:val="00EF5049"/>
    <w:rsid w:val="00EF5B1B"/>
    <w:rsid w:val="00F15470"/>
    <w:rsid w:val="00F16273"/>
    <w:rsid w:val="00F20CC3"/>
    <w:rsid w:val="00F4188C"/>
    <w:rsid w:val="00F42C2F"/>
    <w:rsid w:val="00F43FAD"/>
    <w:rsid w:val="00F504DF"/>
    <w:rsid w:val="00F61BEC"/>
    <w:rsid w:val="00F728CB"/>
    <w:rsid w:val="00F81367"/>
    <w:rsid w:val="00F85B70"/>
    <w:rsid w:val="00F97C2B"/>
    <w:rsid w:val="00FA0337"/>
    <w:rsid w:val="00FA0541"/>
    <w:rsid w:val="00FA475E"/>
    <w:rsid w:val="00FB383D"/>
    <w:rsid w:val="00FC0AE5"/>
    <w:rsid w:val="00FC5164"/>
    <w:rsid w:val="00FC5484"/>
    <w:rsid w:val="00FC5AE2"/>
    <w:rsid w:val="00FC7C9E"/>
    <w:rsid w:val="00FD0CE1"/>
    <w:rsid w:val="00FD25E0"/>
    <w:rsid w:val="00FE6ED3"/>
    <w:rsid w:val="00FF6B1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F73"/>
    <w:pPr>
      <w:spacing w:after="0" w:line="240" w:lineRule="auto"/>
    </w:pPr>
    <w:rPr>
      <w:rFonts w:eastAsia="Times New Roman" w:cs="Times New Roman"/>
      <w:szCs w:val="24"/>
      <w:lang w:eastAsia="ru-RU"/>
    </w:rPr>
  </w:style>
  <w:style w:type="character" w:customStyle="1" w:styleId="CharStyle3">
    <w:name w:val="Char Style 3"/>
    <w:link w:val="Style2"/>
    <w:uiPriority w:val="99"/>
    <w:rsid w:val="00886FDB"/>
    <w:rPr>
      <w:shd w:val="clear" w:color="auto" w:fill="FFFFFF"/>
    </w:rPr>
  </w:style>
  <w:style w:type="paragraph" w:customStyle="1" w:styleId="Style2">
    <w:name w:val="Style 2"/>
    <w:basedOn w:val="Normal"/>
    <w:link w:val="CharStyle3"/>
    <w:uiPriority w:val="99"/>
    <w:rsid w:val="00886FDB"/>
    <w:pPr>
      <w:widowControl w:val="0"/>
      <w:shd w:val="clear" w:color="auto" w:fill="FFFFFF"/>
      <w:spacing w:after="340" w:line="274" w:lineRule="exact"/>
      <w:ind w:hanging="3840"/>
      <w:jc w:val="right"/>
    </w:pPr>
    <w:rPr>
      <w:rFonts w:eastAsiaTheme="minorHAnsi" w:cstheme="minorBidi"/>
      <w:szCs w:val="22"/>
      <w:lang w:eastAsia="en-US"/>
    </w:rPr>
  </w:style>
  <w:style w:type="character" w:styleId="Hyperlink">
    <w:name w:val="Hyperlink"/>
    <w:basedOn w:val="DefaultParagraphFont"/>
    <w:uiPriority w:val="99"/>
    <w:unhideWhenUsed/>
    <w:rsid w:val="00B572F3"/>
    <w:rPr>
      <w:color w:val="0563C1" w:themeColor="hyperlink"/>
      <w:u w:val="single"/>
    </w:rPr>
  </w:style>
  <w:style w:type="character" w:customStyle="1" w:styleId="UnresolvedMention">
    <w:name w:val="Unresolved Mention"/>
    <w:basedOn w:val="DefaultParagraphFont"/>
    <w:uiPriority w:val="99"/>
    <w:semiHidden/>
    <w:unhideWhenUsed/>
    <w:rsid w:val="00B572F3"/>
    <w:rPr>
      <w:color w:val="605E5C"/>
      <w:shd w:val="clear" w:color="auto" w:fill="E1DFDD"/>
    </w:rPr>
  </w:style>
  <w:style w:type="character" w:styleId="FollowedHyperlink">
    <w:name w:val="FollowedHyperlink"/>
    <w:basedOn w:val="DefaultParagraphFont"/>
    <w:uiPriority w:val="99"/>
    <w:semiHidden/>
    <w:unhideWhenUsed/>
    <w:rsid w:val="00B572F3"/>
    <w:rPr>
      <w:color w:val="954F72" w:themeColor="followedHyperlink"/>
      <w:u w:val="single"/>
    </w:rPr>
  </w:style>
  <w:style w:type="paragraph" w:customStyle="1" w:styleId="labojumupamats">
    <w:name w:val="labojumu_pamats"/>
    <w:basedOn w:val="Normal"/>
    <w:rsid w:val="00AB63B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48354">
      <w:bodyDiv w:val="1"/>
      <w:marLeft w:val="0"/>
      <w:marRight w:val="0"/>
      <w:marTop w:val="0"/>
      <w:marBottom w:val="0"/>
      <w:divBdr>
        <w:top w:val="none" w:sz="0" w:space="0" w:color="auto"/>
        <w:left w:val="none" w:sz="0" w:space="0" w:color="auto"/>
        <w:bottom w:val="none" w:sz="0" w:space="0" w:color="auto"/>
        <w:right w:val="none" w:sz="0" w:space="0" w:color="auto"/>
      </w:divBdr>
    </w:div>
    <w:div w:id="188639317">
      <w:bodyDiv w:val="1"/>
      <w:marLeft w:val="0"/>
      <w:marRight w:val="0"/>
      <w:marTop w:val="0"/>
      <w:marBottom w:val="0"/>
      <w:divBdr>
        <w:top w:val="none" w:sz="0" w:space="0" w:color="auto"/>
        <w:left w:val="none" w:sz="0" w:space="0" w:color="auto"/>
        <w:bottom w:val="none" w:sz="0" w:space="0" w:color="auto"/>
        <w:right w:val="none" w:sz="0" w:space="0" w:color="auto"/>
      </w:divBdr>
    </w:div>
    <w:div w:id="509881368">
      <w:bodyDiv w:val="1"/>
      <w:marLeft w:val="0"/>
      <w:marRight w:val="0"/>
      <w:marTop w:val="0"/>
      <w:marBottom w:val="0"/>
      <w:divBdr>
        <w:top w:val="none" w:sz="0" w:space="0" w:color="auto"/>
        <w:left w:val="none" w:sz="0" w:space="0" w:color="auto"/>
        <w:bottom w:val="none" w:sz="0" w:space="0" w:color="auto"/>
        <w:right w:val="none" w:sz="0" w:space="0" w:color="auto"/>
      </w:divBdr>
    </w:div>
    <w:div w:id="576476434">
      <w:bodyDiv w:val="1"/>
      <w:marLeft w:val="0"/>
      <w:marRight w:val="0"/>
      <w:marTop w:val="0"/>
      <w:marBottom w:val="0"/>
      <w:divBdr>
        <w:top w:val="none" w:sz="0" w:space="0" w:color="auto"/>
        <w:left w:val="none" w:sz="0" w:space="0" w:color="auto"/>
        <w:bottom w:val="none" w:sz="0" w:space="0" w:color="auto"/>
        <w:right w:val="none" w:sz="0" w:space="0" w:color="auto"/>
      </w:divBdr>
    </w:div>
    <w:div w:id="649404784">
      <w:bodyDiv w:val="1"/>
      <w:marLeft w:val="0"/>
      <w:marRight w:val="0"/>
      <w:marTop w:val="0"/>
      <w:marBottom w:val="0"/>
      <w:divBdr>
        <w:top w:val="none" w:sz="0" w:space="0" w:color="auto"/>
        <w:left w:val="none" w:sz="0" w:space="0" w:color="auto"/>
        <w:bottom w:val="none" w:sz="0" w:space="0" w:color="auto"/>
        <w:right w:val="none" w:sz="0" w:space="0" w:color="auto"/>
      </w:divBdr>
    </w:div>
    <w:div w:id="761532979">
      <w:bodyDiv w:val="1"/>
      <w:marLeft w:val="0"/>
      <w:marRight w:val="0"/>
      <w:marTop w:val="0"/>
      <w:marBottom w:val="0"/>
      <w:divBdr>
        <w:top w:val="none" w:sz="0" w:space="0" w:color="auto"/>
        <w:left w:val="none" w:sz="0" w:space="0" w:color="auto"/>
        <w:bottom w:val="none" w:sz="0" w:space="0" w:color="auto"/>
        <w:right w:val="none" w:sz="0" w:space="0" w:color="auto"/>
      </w:divBdr>
    </w:div>
    <w:div w:id="791096716">
      <w:bodyDiv w:val="1"/>
      <w:marLeft w:val="0"/>
      <w:marRight w:val="0"/>
      <w:marTop w:val="0"/>
      <w:marBottom w:val="0"/>
      <w:divBdr>
        <w:top w:val="none" w:sz="0" w:space="0" w:color="auto"/>
        <w:left w:val="none" w:sz="0" w:space="0" w:color="auto"/>
        <w:bottom w:val="none" w:sz="0" w:space="0" w:color="auto"/>
        <w:right w:val="none" w:sz="0" w:space="0" w:color="auto"/>
      </w:divBdr>
    </w:div>
    <w:div w:id="909969642">
      <w:bodyDiv w:val="1"/>
      <w:marLeft w:val="0"/>
      <w:marRight w:val="0"/>
      <w:marTop w:val="0"/>
      <w:marBottom w:val="0"/>
      <w:divBdr>
        <w:top w:val="none" w:sz="0" w:space="0" w:color="auto"/>
        <w:left w:val="none" w:sz="0" w:space="0" w:color="auto"/>
        <w:bottom w:val="none" w:sz="0" w:space="0" w:color="auto"/>
        <w:right w:val="none" w:sz="0" w:space="0" w:color="auto"/>
      </w:divBdr>
    </w:div>
    <w:div w:id="965698592">
      <w:bodyDiv w:val="1"/>
      <w:marLeft w:val="0"/>
      <w:marRight w:val="0"/>
      <w:marTop w:val="0"/>
      <w:marBottom w:val="0"/>
      <w:divBdr>
        <w:top w:val="none" w:sz="0" w:space="0" w:color="auto"/>
        <w:left w:val="none" w:sz="0" w:space="0" w:color="auto"/>
        <w:bottom w:val="none" w:sz="0" w:space="0" w:color="auto"/>
        <w:right w:val="none" w:sz="0" w:space="0" w:color="auto"/>
      </w:divBdr>
    </w:div>
    <w:div w:id="1086346997">
      <w:bodyDiv w:val="1"/>
      <w:marLeft w:val="0"/>
      <w:marRight w:val="0"/>
      <w:marTop w:val="0"/>
      <w:marBottom w:val="0"/>
      <w:divBdr>
        <w:top w:val="none" w:sz="0" w:space="0" w:color="auto"/>
        <w:left w:val="none" w:sz="0" w:space="0" w:color="auto"/>
        <w:bottom w:val="none" w:sz="0" w:space="0" w:color="auto"/>
        <w:right w:val="none" w:sz="0" w:space="0" w:color="auto"/>
      </w:divBdr>
    </w:div>
    <w:div w:id="1226336480">
      <w:bodyDiv w:val="1"/>
      <w:marLeft w:val="0"/>
      <w:marRight w:val="0"/>
      <w:marTop w:val="0"/>
      <w:marBottom w:val="0"/>
      <w:divBdr>
        <w:top w:val="none" w:sz="0" w:space="0" w:color="auto"/>
        <w:left w:val="none" w:sz="0" w:space="0" w:color="auto"/>
        <w:bottom w:val="none" w:sz="0" w:space="0" w:color="auto"/>
        <w:right w:val="none" w:sz="0" w:space="0" w:color="auto"/>
      </w:divBdr>
    </w:div>
    <w:div w:id="1271933007">
      <w:bodyDiv w:val="1"/>
      <w:marLeft w:val="0"/>
      <w:marRight w:val="0"/>
      <w:marTop w:val="0"/>
      <w:marBottom w:val="0"/>
      <w:divBdr>
        <w:top w:val="none" w:sz="0" w:space="0" w:color="auto"/>
        <w:left w:val="none" w:sz="0" w:space="0" w:color="auto"/>
        <w:bottom w:val="none" w:sz="0" w:space="0" w:color="auto"/>
        <w:right w:val="none" w:sz="0" w:space="0" w:color="auto"/>
      </w:divBdr>
    </w:div>
    <w:div w:id="1291479173">
      <w:bodyDiv w:val="1"/>
      <w:marLeft w:val="0"/>
      <w:marRight w:val="0"/>
      <w:marTop w:val="0"/>
      <w:marBottom w:val="0"/>
      <w:divBdr>
        <w:top w:val="none" w:sz="0" w:space="0" w:color="auto"/>
        <w:left w:val="none" w:sz="0" w:space="0" w:color="auto"/>
        <w:bottom w:val="none" w:sz="0" w:space="0" w:color="auto"/>
        <w:right w:val="none" w:sz="0" w:space="0" w:color="auto"/>
      </w:divBdr>
    </w:div>
    <w:div w:id="1326201621">
      <w:bodyDiv w:val="1"/>
      <w:marLeft w:val="0"/>
      <w:marRight w:val="0"/>
      <w:marTop w:val="0"/>
      <w:marBottom w:val="0"/>
      <w:divBdr>
        <w:top w:val="none" w:sz="0" w:space="0" w:color="auto"/>
        <w:left w:val="none" w:sz="0" w:space="0" w:color="auto"/>
        <w:bottom w:val="none" w:sz="0" w:space="0" w:color="auto"/>
        <w:right w:val="none" w:sz="0" w:space="0" w:color="auto"/>
      </w:divBdr>
    </w:div>
    <w:div w:id="1395930551">
      <w:bodyDiv w:val="1"/>
      <w:marLeft w:val="0"/>
      <w:marRight w:val="0"/>
      <w:marTop w:val="0"/>
      <w:marBottom w:val="0"/>
      <w:divBdr>
        <w:top w:val="none" w:sz="0" w:space="0" w:color="auto"/>
        <w:left w:val="none" w:sz="0" w:space="0" w:color="auto"/>
        <w:bottom w:val="none" w:sz="0" w:space="0" w:color="auto"/>
        <w:right w:val="none" w:sz="0" w:space="0" w:color="auto"/>
      </w:divBdr>
    </w:div>
    <w:div w:id="1492715436">
      <w:bodyDiv w:val="1"/>
      <w:marLeft w:val="0"/>
      <w:marRight w:val="0"/>
      <w:marTop w:val="0"/>
      <w:marBottom w:val="0"/>
      <w:divBdr>
        <w:top w:val="none" w:sz="0" w:space="0" w:color="auto"/>
        <w:left w:val="none" w:sz="0" w:space="0" w:color="auto"/>
        <w:bottom w:val="none" w:sz="0" w:space="0" w:color="auto"/>
        <w:right w:val="none" w:sz="0" w:space="0" w:color="auto"/>
      </w:divBdr>
    </w:div>
    <w:div w:id="1585534468">
      <w:bodyDiv w:val="1"/>
      <w:marLeft w:val="0"/>
      <w:marRight w:val="0"/>
      <w:marTop w:val="0"/>
      <w:marBottom w:val="0"/>
      <w:divBdr>
        <w:top w:val="none" w:sz="0" w:space="0" w:color="auto"/>
        <w:left w:val="none" w:sz="0" w:space="0" w:color="auto"/>
        <w:bottom w:val="none" w:sz="0" w:space="0" w:color="auto"/>
        <w:right w:val="none" w:sz="0" w:space="0" w:color="auto"/>
      </w:divBdr>
    </w:div>
    <w:div w:id="1683357811">
      <w:bodyDiv w:val="1"/>
      <w:marLeft w:val="0"/>
      <w:marRight w:val="0"/>
      <w:marTop w:val="0"/>
      <w:marBottom w:val="0"/>
      <w:divBdr>
        <w:top w:val="none" w:sz="0" w:space="0" w:color="auto"/>
        <w:left w:val="none" w:sz="0" w:space="0" w:color="auto"/>
        <w:bottom w:val="none" w:sz="0" w:space="0" w:color="auto"/>
        <w:right w:val="none" w:sz="0" w:space="0" w:color="auto"/>
      </w:divBdr>
    </w:div>
    <w:div w:id="1819766591">
      <w:bodyDiv w:val="1"/>
      <w:marLeft w:val="0"/>
      <w:marRight w:val="0"/>
      <w:marTop w:val="0"/>
      <w:marBottom w:val="0"/>
      <w:divBdr>
        <w:top w:val="none" w:sz="0" w:space="0" w:color="auto"/>
        <w:left w:val="none" w:sz="0" w:space="0" w:color="auto"/>
        <w:bottom w:val="none" w:sz="0" w:space="0" w:color="auto"/>
        <w:right w:val="none" w:sz="0" w:space="0" w:color="auto"/>
      </w:divBdr>
    </w:div>
    <w:div w:id="1944919004">
      <w:bodyDiv w:val="1"/>
      <w:marLeft w:val="0"/>
      <w:marRight w:val="0"/>
      <w:marTop w:val="0"/>
      <w:marBottom w:val="0"/>
      <w:divBdr>
        <w:top w:val="none" w:sz="0" w:space="0" w:color="auto"/>
        <w:left w:val="none" w:sz="0" w:space="0" w:color="auto"/>
        <w:bottom w:val="none" w:sz="0" w:space="0" w:color="auto"/>
        <w:right w:val="none" w:sz="0" w:space="0" w:color="auto"/>
      </w:divBdr>
    </w:div>
    <w:div w:id="2025785680">
      <w:bodyDiv w:val="1"/>
      <w:marLeft w:val="0"/>
      <w:marRight w:val="0"/>
      <w:marTop w:val="0"/>
      <w:marBottom w:val="0"/>
      <w:divBdr>
        <w:top w:val="none" w:sz="0" w:space="0" w:color="auto"/>
        <w:left w:val="none" w:sz="0" w:space="0" w:color="auto"/>
        <w:bottom w:val="none" w:sz="0" w:space="0" w:color="auto"/>
        <w:right w:val="none" w:sz="0" w:space="0" w:color="auto"/>
      </w:divBdr>
    </w:div>
    <w:div w:id="212107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ustice.europa.eu/ecli/beta/EU001/lv/ECLI:EU:C:2013:168.html?index=0&amp;text=%22ECLI%3AEU%3AC%3A2013%3A168%22&amp;ascending=false&amp;lan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1429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justice.europa.eu/ecli/beta/EU001/lv/ECLI:EU:C:2021:442.html?index=0&amp;text=ECLI%3AEU%3AC%3A2021%3A442&amp;ascending=false&amp;lang=en" TargetMode="External"/><Relationship Id="rId5" Type="http://schemas.openxmlformats.org/officeDocument/2006/relationships/footnotes" Target="footnotes.xml"/><Relationship Id="rId10" Type="http://schemas.openxmlformats.org/officeDocument/2006/relationships/hyperlink" Target="https://e-justice.europa.eu/ecli/beta/EU001/lv/ECLI:EU:C:2017:849.html?index=0&amp;text=%22ECLI%3AEU%3AC%3A2017%3A849%22&amp;ascending=false&amp;lang=en" TargetMode="External"/><Relationship Id="rId4" Type="http://schemas.openxmlformats.org/officeDocument/2006/relationships/webSettings" Target="webSettings.xml"/><Relationship Id="rId9" Type="http://schemas.openxmlformats.org/officeDocument/2006/relationships/hyperlink" Target="https://e-justice.europa.eu/ecli/beta/EU001/lv/ECLI:EU:C:2005:128.html?index=0&amp;text=%22ECLI%3AEU%3AC%3A2005%3A128%22&amp;ascending=false&amp;lan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79950-3CFE-4228-A918-B8021F4A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2325</Words>
  <Characters>13259</Characters>
  <Application>Microsoft Office Word</Application>
  <DocSecurity>0</DocSecurity>
  <Lines>110</Lines>
  <Paragraphs>31</Paragraphs>
  <ScaleCrop>false</ScaleCrop>
  <Company/>
  <LinksUpToDate>false</LinksUpToDate>
  <CharactersWithSpaces>15553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2023-12-05T13:55:00Z</dcterms:created>
  <dcterms:modified xsi:type="dcterms:W3CDTF">2023-12-05T13:55:00Z</dcterms:modified>
</cp:coreProperties>
</file>