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4334" w14:textId="77777777" w:rsidR="00F714CC" w:rsidRDefault="00F714CC" w:rsidP="006202DC">
      <w:pPr>
        <w:autoSpaceDE w:val="0"/>
        <w:autoSpaceDN w:val="0"/>
        <w:spacing w:line="276" w:lineRule="auto"/>
        <w:jc w:val="both"/>
        <w:rPr>
          <w:rFonts w:ascii="TimesNewRomanPSMT" w:hAnsi="TimesNewRomanPSMT"/>
          <w:b/>
          <w:bCs/>
          <w:lang w:eastAsia="en-US"/>
        </w:rPr>
      </w:pPr>
      <w:r>
        <w:rPr>
          <w:rFonts w:ascii="TimesNewRomanPSMT" w:hAnsi="TimesNewRomanPSMT"/>
          <w:b/>
          <w:bCs/>
        </w:rPr>
        <w:t>Būvieceres neatbilstības pašvaldības teritorijas plānojumam sekas</w:t>
      </w:r>
    </w:p>
    <w:p w14:paraId="7AA20E62" w14:textId="77777777" w:rsidR="00F714CC" w:rsidRDefault="00F714CC" w:rsidP="006202DC">
      <w:pPr>
        <w:autoSpaceDE w:val="0"/>
        <w:autoSpaceDN w:val="0"/>
        <w:spacing w:line="276" w:lineRule="auto"/>
        <w:jc w:val="both"/>
        <w:rPr>
          <w:rFonts w:ascii="TimesNewRomanPSMT" w:hAnsi="TimesNewRomanPSMT"/>
        </w:rPr>
      </w:pPr>
      <w:r>
        <w:rPr>
          <w:rFonts w:ascii="TimesNewRomanPSMT" w:hAnsi="TimesNewRomanPSMT"/>
        </w:rPr>
        <w:t>Situācijā – kad pašvaldība teritorijas plānojumā ir nepārprotami noteikusi konkrētā pilsētas daļā pieļaujamo maksimālo apbūves stāvu skaitu jaunai būvniecībai –, nav šaubu, ka minētais stāvu skaits ir tāds apbūves rādītājs, kas zemesgabala īpašniekam ir jāievēro, izstrādājot būvprojektu.</w:t>
      </w:r>
    </w:p>
    <w:p w14:paraId="3C5F209D" w14:textId="1E04CF95" w:rsidR="00F714CC" w:rsidRDefault="00F714CC" w:rsidP="006202DC">
      <w:pPr>
        <w:autoSpaceDE w:val="0"/>
        <w:autoSpaceDN w:val="0"/>
        <w:spacing w:line="276" w:lineRule="auto"/>
        <w:jc w:val="both"/>
        <w:rPr>
          <w:rFonts w:ascii="TimesNewRomanPSMT" w:hAnsi="TimesNewRomanPSMT"/>
        </w:rPr>
      </w:pPr>
      <w:r>
        <w:rPr>
          <w:rFonts w:ascii="TimesNewRomanPSMT" w:hAnsi="TimesNewRomanPSMT"/>
        </w:rPr>
        <w:t>Gadījumā, ja būviecere neatbilst vietējās pašvaldības teritorijas plānojumam, tas pats par sevi ir pamats secinājumam, ka šādai būviecerei nevar tikt izsniegta būvatļauja.</w:t>
      </w:r>
    </w:p>
    <w:p w14:paraId="2872F44A" w14:textId="77777777" w:rsidR="00F714CC" w:rsidRDefault="00F714CC" w:rsidP="006202DC">
      <w:pPr>
        <w:autoSpaceDE w:val="0"/>
        <w:autoSpaceDN w:val="0"/>
        <w:spacing w:line="276" w:lineRule="auto"/>
        <w:jc w:val="both"/>
        <w:rPr>
          <w:rFonts w:ascii="TimesNewRomanPSMT" w:hAnsi="TimesNewRomanPSMT"/>
        </w:rPr>
      </w:pPr>
    </w:p>
    <w:p w14:paraId="5D1278C6" w14:textId="77777777" w:rsidR="00F714CC" w:rsidRDefault="00F714CC" w:rsidP="006202DC">
      <w:pPr>
        <w:autoSpaceDE w:val="0"/>
        <w:autoSpaceDN w:val="0"/>
        <w:spacing w:line="276" w:lineRule="auto"/>
        <w:jc w:val="both"/>
        <w:rPr>
          <w:rFonts w:ascii="TimesNewRomanPSMT" w:hAnsi="TimesNewRomanPSMT"/>
          <w:b/>
          <w:bCs/>
        </w:rPr>
      </w:pPr>
      <w:r>
        <w:rPr>
          <w:rFonts w:ascii="TimesNewRomanPSMT" w:hAnsi="TimesNewRomanPSMT"/>
          <w:b/>
          <w:bCs/>
        </w:rPr>
        <w:t xml:space="preserve">Detālplānojuma būtība </w:t>
      </w:r>
    </w:p>
    <w:p w14:paraId="28B01F1F" w14:textId="77777777" w:rsidR="00F714CC" w:rsidRDefault="00F714CC" w:rsidP="006202DC">
      <w:pPr>
        <w:autoSpaceDE w:val="0"/>
        <w:autoSpaceDN w:val="0"/>
        <w:spacing w:line="276" w:lineRule="auto"/>
        <w:jc w:val="both"/>
        <w:rPr>
          <w:rFonts w:ascii="TimesNewRomanPSMT" w:hAnsi="TimesNewRomanPSMT"/>
        </w:rPr>
      </w:pPr>
      <w:r>
        <w:rPr>
          <w:rFonts w:ascii="TimesNewRomanPSMT" w:hAnsi="TimesNewRomanPSMT"/>
        </w:rPr>
        <w:t>Detālplānojums ir tāds teritorijas plānošanas dokuments, kurā var detalizēt un konkretizēt (bet ne grozīt) teritorijas plānojumā noteiktajā funkcionālajā zonējumā paredzētos teritorijas izmantošanas veidus un aprobežojumus.</w:t>
      </w:r>
    </w:p>
    <w:p w14:paraId="7EA87CC1" w14:textId="74F140B1" w:rsidR="00447EE6" w:rsidRPr="00F714CC" w:rsidRDefault="00F714CC" w:rsidP="006202DC">
      <w:pPr>
        <w:autoSpaceDE w:val="0"/>
        <w:autoSpaceDN w:val="0"/>
        <w:spacing w:line="276" w:lineRule="auto"/>
        <w:jc w:val="both"/>
        <w:rPr>
          <w:rFonts w:ascii="TimesNewRomanPSMT" w:hAnsi="TimesNewRomanPSMT"/>
        </w:rPr>
      </w:pPr>
      <w:r>
        <w:rPr>
          <w:rFonts w:ascii="TimesNewRomanPSMT" w:hAnsi="TimesNewRomanPSMT"/>
        </w:rPr>
        <w:t>Tādējādi vispārīgi detālplānojums nav tāds tiesiskais instruments, ar kura palīdzību var risināt tādus ar teritorijas izmantošanu un apbūvi saistītus jautājumus, kas ir skaidri un nepārprotami noregulēti teritorijas plānojumā un līdz ar to nav ne sīkāk detalizējami, ne konkretizējami hierarhiski zemākā teritorijas plānošanas dokumentā.</w:t>
      </w:r>
    </w:p>
    <w:p w14:paraId="365AE4B3" w14:textId="550E9EE5" w:rsidR="00F714CC" w:rsidRPr="00F714CC" w:rsidRDefault="00F714CC" w:rsidP="006202DC">
      <w:pPr>
        <w:spacing w:before="240" w:line="276" w:lineRule="auto"/>
        <w:jc w:val="center"/>
        <w:rPr>
          <w:b/>
        </w:rPr>
      </w:pPr>
      <w:r w:rsidRPr="00F714CC">
        <w:rPr>
          <w:b/>
        </w:rPr>
        <w:t>Latvijas Republikas Senāta</w:t>
      </w:r>
      <w:r w:rsidRPr="00F714CC">
        <w:rPr>
          <w:b/>
        </w:rPr>
        <w:br/>
        <w:t xml:space="preserve">Administratīvo lietu departamenta </w:t>
      </w:r>
      <w:r w:rsidRPr="00F714CC">
        <w:rPr>
          <w:b/>
        </w:rPr>
        <w:br/>
        <w:t>2023.gada 26.septembra</w:t>
      </w:r>
    </w:p>
    <w:p w14:paraId="0E16D73F" w14:textId="77777777" w:rsidR="00447EE6" w:rsidRPr="00F714CC" w:rsidRDefault="00447EE6" w:rsidP="006202DC">
      <w:pPr>
        <w:spacing w:line="276" w:lineRule="auto"/>
        <w:jc w:val="center"/>
        <w:rPr>
          <w:b/>
        </w:rPr>
      </w:pPr>
      <w:r w:rsidRPr="00F714CC">
        <w:rPr>
          <w:b/>
        </w:rPr>
        <w:t>SPRIEDUMS</w:t>
      </w:r>
      <w:r w:rsidRPr="00F714CC" w:rsidDel="000D5B2A">
        <w:rPr>
          <w:b/>
        </w:rPr>
        <w:t xml:space="preserve"> </w:t>
      </w:r>
    </w:p>
    <w:p w14:paraId="007EBD7B" w14:textId="77777777" w:rsidR="00F714CC" w:rsidRPr="00F714CC" w:rsidRDefault="00F714CC" w:rsidP="006202DC">
      <w:pPr>
        <w:spacing w:line="276" w:lineRule="auto"/>
        <w:jc w:val="center"/>
        <w:rPr>
          <w:b/>
        </w:rPr>
      </w:pPr>
      <w:r w:rsidRPr="00F714CC">
        <w:rPr>
          <w:b/>
        </w:rPr>
        <w:t>Lieta Nr. A420200918</w:t>
      </w:r>
      <w:r w:rsidRPr="00F714CC">
        <w:rPr>
          <w:b/>
          <w:lang w:eastAsia="lv-LV"/>
        </w:rPr>
        <w:t xml:space="preserve">, </w:t>
      </w:r>
      <w:r w:rsidRPr="00F714CC">
        <w:rPr>
          <w:b/>
        </w:rPr>
        <w:t>SKA-521/2023</w:t>
      </w:r>
    </w:p>
    <w:p w14:paraId="664BAED3" w14:textId="7EA3775E" w:rsidR="00F714CC" w:rsidRDefault="00F714CC" w:rsidP="006202DC">
      <w:pPr>
        <w:spacing w:line="276" w:lineRule="auto"/>
        <w:jc w:val="center"/>
      </w:pPr>
      <w:hyperlink r:id="rId8" w:history="1">
        <w:r w:rsidRPr="00F714CC">
          <w:rPr>
            <w:rStyle w:val="Hyperlink"/>
            <w:rFonts w:ascii="TimesNewRomanPSMT" w:eastAsiaTheme="minorHAnsi" w:hAnsi="TimesNewRomanPSMT" w:cs="TimesNewRomanPSMT"/>
            <w:lang w:val="en-US" w:eastAsia="en-US"/>
          </w:rPr>
          <w:t>ECLI:LV:AT:2023:0926.A420200918.24.S</w:t>
        </w:r>
      </w:hyperlink>
    </w:p>
    <w:p w14:paraId="10334F74" w14:textId="77777777" w:rsidR="00411CD0" w:rsidRPr="00011547" w:rsidRDefault="00411CD0" w:rsidP="006202DC">
      <w:pPr>
        <w:spacing w:line="276" w:lineRule="auto"/>
        <w:ind w:firstLine="720"/>
        <w:jc w:val="center"/>
      </w:pPr>
    </w:p>
    <w:p w14:paraId="1B7BCD31" w14:textId="1E080F3B" w:rsidR="00447EE6" w:rsidRDefault="00447EE6" w:rsidP="006202DC">
      <w:pPr>
        <w:spacing w:line="276" w:lineRule="auto"/>
        <w:ind w:firstLine="720"/>
        <w:jc w:val="both"/>
      </w:pPr>
      <w:r w:rsidRPr="00A65CB1">
        <w:t>Senāts šādā sastāvā:</w:t>
      </w:r>
      <w:r w:rsidR="00D25D87" w:rsidRPr="00A65CB1">
        <w:t xml:space="preserve"> senatore referente </w:t>
      </w:r>
      <w:r w:rsidR="00A65CB1" w:rsidRPr="00A65CB1">
        <w:t>Ieva Višķere</w:t>
      </w:r>
      <w:r w:rsidR="00D25D87" w:rsidRPr="00A65CB1">
        <w:t xml:space="preserve">, senatores </w:t>
      </w:r>
      <w:r w:rsidR="00A65CB1" w:rsidRPr="00A65CB1">
        <w:t>Ilze Freimane</w:t>
      </w:r>
      <w:r w:rsidR="00D25D87" w:rsidRPr="00A65CB1">
        <w:t xml:space="preserve"> un</w:t>
      </w:r>
      <w:r w:rsidR="00A65CB1" w:rsidRPr="00A65CB1">
        <w:t xml:space="preserve"> Rudīte Vīduša</w:t>
      </w:r>
    </w:p>
    <w:p w14:paraId="777B7F2E" w14:textId="77777777" w:rsidR="00A11873" w:rsidRDefault="00A11873" w:rsidP="006202DC">
      <w:pPr>
        <w:spacing w:line="276" w:lineRule="auto"/>
        <w:ind w:firstLine="720"/>
        <w:jc w:val="both"/>
      </w:pPr>
    </w:p>
    <w:p w14:paraId="57CAF242" w14:textId="3A78C78F" w:rsidR="00A11873" w:rsidRDefault="00A11873" w:rsidP="006202DC">
      <w:pPr>
        <w:spacing w:line="276" w:lineRule="auto"/>
        <w:ind w:firstLine="720"/>
        <w:jc w:val="both"/>
      </w:pPr>
      <w:r w:rsidRPr="0082381C">
        <w:t>rakstveida procesā izskatīja administratīvo lietu, kas ierosināta, pamatojoties uz</w:t>
      </w:r>
      <w:bookmarkStart w:id="0" w:name="_Hlk92890879"/>
      <w:r w:rsidR="00F714CC">
        <w:t xml:space="preserve"> [pers. A]</w:t>
      </w:r>
      <w:r w:rsidR="00EB737B" w:rsidRPr="00EB737B">
        <w:t xml:space="preserve">, </w:t>
      </w:r>
      <w:r w:rsidR="00F714CC">
        <w:t>[pers. </w:t>
      </w:r>
      <w:r w:rsidR="00F714CC">
        <w:t>B</w:t>
      </w:r>
      <w:r w:rsidR="00F714CC">
        <w:t>]</w:t>
      </w:r>
      <w:r w:rsidR="00EB737B" w:rsidRPr="00EB737B">
        <w:t xml:space="preserve">, </w:t>
      </w:r>
      <w:r w:rsidR="00F714CC">
        <w:t>[pers. </w:t>
      </w:r>
      <w:r w:rsidR="00F714CC">
        <w:t>C</w:t>
      </w:r>
      <w:r w:rsidR="00F714CC">
        <w:t>]</w:t>
      </w:r>
      <w:r w:rsidR="00EB737B" w:rsidRPr="00EB737B">
        <w:t xml:space="preserve">, </w:t>
      </w:r>
      <w:r w:rsidR="00F714CC">
        <w:t>[pers. </w:t>
      </w:r>
      <w:r w:rsidR="00F714CC">
        <w:t>D]</w:t>
      </w:r>
      <w:r w:rsidR="00EB737B" w:rsidRPr="00EB737B">
        <w:t xml:space="preserve">, </w:t>
      </w:r>
      <w:r w:rsidR="00F714CC">
        <w:t>[pers. </w:t>
      </w:r>
      <w:r w:rsidR="00F714CC">
        <w:t>E</w:t>
      </w:r>
      <w:r w:rsidR="00F714CC">
        <w:t>]</w:t>
      </w:r>
      <w:r w:rsidR="00EB737B" w:rsidRPr="00EB737B">
        <w:t xml:space="preserve">, </w:t>
      </w:r>
      <w:r w:rsidR="00F714CC">
        <w:t>[pers. </w:t>
      </w:r>
      <w:r w:rsidR="00F714CC">
        <w:t>F</w:t>
      </w:r>
      <w:r w:rsidR="00F714CC">
        <w:t>]</w:t>
      </w:r>
      <w:r w:rsidR="00EB737B" w:rsidRPr="00EB737B">
        <w:t xml:space="preserve">, </w:t>
      </w:r>
      <w:r w:rsidR="0061284A">
        <w:t>[pers. </w:t>
      </w:r>
      <w:r w:rsidR="0061284A">
        <w:t>G</w:t>
      </w:r>
      <w:r w:rsidR="0061284A">
        <w:t>]</w:t>
      </w:r>
      <w:r w:rsidR="0061284A">
        <w:t xml:space="preserve">, </w:t>
      </w:r>
      <w:r w:rsidR="0061284A">
        <w:t>[pers. </w:t>
      </w:r>
      <w:r w:rsidR="0061284A">
        <w:t>H</w:t>
      </w:r>
      <w:r w:rsidR="0061284A">
        <w:t>]</w:t>
      </w:r>
      <w:r w:rsidR="0061284A">
        <w:t xml:space="preserve">, </w:t>
      </w:r>
      <w:r w:rsidR="0061284A">
        <w:t>[pers. </w:t>
      </w:r>
      <w:r w:rsidR="0061284A">
        <w:t>I</w:t>
      </w:r>
      <w:r w:rsidR="0061284A">
        <w:t>]</w:t>
      </w:r>
      <w:r w:rsidR="0061284A">
        <w:t xml:space="preserve"> </w:t>
      </w:r>
      <w:r w:rsidR="00EB737B" w:rsidRPr="00EB737B">
        <w:t xml:space="preserve">un biedrības </w:t>
      </w:r>
      <w:r w:rsidR="00EB737B" w:rsidRPr="00EB737B">
        <w:lastRenderedPageBreak/>
        <w:t xml:space="preserve">„Māras dārzi” </w:t>
      </w:r>
      <w:bookmarkEnd w:id="0"/>
      <w:r w:rsidR="00EB737B" w:rsidRPr="00EB737B">
        <w:t>pieteikumu par Rīgas domes Pilsētas attīstības departamenta 2018.gada 26.marta lēmuma Nr. DA-18-682-ap atcelšanu</w:t>
      </w:r>
      <w:r w:rsidRPr="0082381C">
        <w:t>, s</w:t>
      </w:r>
      <w:r>
        <w:t>a</w:t>
      </w:r>
      <w:r w:rsidRPr="0082381C">
        <w:t xml:space="preserve">karā ar </w:t>
      </w:r>
      <w:r w:rsidR="005872F0">
        <w:t xml:space="preserve">minēto personu </w:t>
      </w:r>
      <w:r w:rsidRPr="0082381C">
        <w:t xml:space="preserve">kasācijas sūdzību par </w:t>
      </w:r>
      <w:r>
        <w:t xml:space="preserve">Administratīvās </w:t>
      </w:r>
      <w:r w:rsidR="005872F0">
        <w:t>apgabaltiesas 2022.gada 19.decembra</w:t>
      </w:r>
      <w:r w:rsidRPr="0082381C">
        <w:t xml:space="preserve"> spriedumu.</w:t>
      </w:r>
    </w:p>
    <w:p w14:paraId="1FBCB335" w14:textId="77777777" w:rsidR="00411CD0" w:rsidRDefault="00411CD0" w:rsidP="006202DC">
      <w:pPr>
        <w:spacing w:line="276" w:lineRule="auto"/>
        <w:ind w:firstLine="720"/>
        <w:jc w:val="both"/>
      </w:pPr>
    </w:p>
    <w:p w14:paraId="2533BAF1" w14:textId="77777777" w:rsidR="00447EE6" w:rsidRDefault="00447EE6" w:rsidP="006202DC">
      <w:pPr>
        <w:spacing w:line="276" w:lineRule="auto"/>
        <w:jc w:val="center"/>
        <w:rPr>
          <w:b/>
          <w:shd w:val="clear" w:color="auto" w:fill="FFFFFF"/>
        </w:rPr>
      </w:pPr>
      <w:r w:rsidRPr="00011547">
        <w:rPr>
          <w:b/>
          <w:shd w:val="clear" w:color="auto" w:fill="FFFFFF"/>
        </w:rPr>
        <w:t>Aprakstošā daļa</w:t>
      </w:r>
    </w:p>
    <w:p w14:paraId="4C977C5A" w14:textId="77777777" w:rsidR="00411CD0" w:rsidRPr="00011547" w:rsidRDefault="00411CD0" w:rsidP="006202DC">
      <w:pPr>
        <w:spacing w:line="276" w:lineRule="auto"/>
        <w:jc w:val="center"/>
        <w:rPr>
          <w:shd w:val="clear" w:color="auto" w:fill="FFFFFF"/>
        </w:rPr>
      </w:pPr>
    </w:p>
    <w:p w14:paraId="46CE179A" w14:textId="3FCDCAF2" w:rsidR="00546C0F" w:rsidRDefault="00447EE6" w:rsidP="006202DC">
      <w:pPr>
        <w:spacing w:line="276" w:lineRule="auto"/>
        <w:ind w:firstLine="720"/>
        <w:jc w:val="both"/>
      </w:pPr>
      <w:r w:rsidRPr="00B66CF3">
        <w:rPr>
          <w:shd w:val="clear" w:color="auto" w:fill="FFFFFF"/>
        </w:rPr>
        <w:t>[1]</w:t>
      </w:r>
      <w:r w:rsidR="000A65CA">
        <w:rPr>
          <w:shd w:val="clear" w:color="auto" w:fill="FFFFFF"/>
        </w:rPr>
        <w:t> </w:t>
      </w:r>
      <w:r w:rsidR="00546C0F">
        <w:t>Rīgas pilsētas būvvalde 2018.gada 2.janvārī izdeva šajā lietā pieaicinātajai trešajai personai SIA „Hepsor SA2” (iepriekš – SIA „Crowdestate SA2”) būvatļauju  daudzdzīvokļu dzīvojamās mājas būvniecībai</w:t>
      </w:r>
      <w:r w:rsidR="006202DC">
        <w:t xml:space="preserve"> [adrese A]</w:t>
      </w:r>
      <w:r w:rsidR="00546C0F">
        <w:t>.</w:t>
      </w:r>
    </w:p>
    <w:p w14:paraId="6B6C4855" w14:textId="3605EF29" w:rsidR="00546C0F" w:rsidRDefault="00546C0F" w:rsidP="006202DC">
      <w:pPr>
        <w:spacing w:line="276" w:lineRule="auto"/>
        <w:ind w:firstLine="720"/>
        <w:jc w:val="both"/>
      </w:pPr>
      <w:r>
        <w:t>Līdzpieteicēji</w:t>
      </w:r>
      <w:r w:rsidR="00F714CC">
        <w:t xml:space="preserve"> </w:t>
      </w:r>
      <w:r w:rsidR="00F714CC">
        <w:t>[pers. A]</w:t>
      </w:r>
      <w:r w:rsidRPr="004F1AEF">
        <w:t xml:space="preserve">, </w:t>
      </w:r>
      <w:r w:rsidR="00F714CC">
        <w:t>[pers. B]</w:t>
      </w:r>
      <w:r w:rsidRPr="004F1AEF">
        <w:t xml:space="preserve">, </w:t>
      </w:r>
      <w:r w:rsidR="00F714CC">
        <w:t>[pers. </w:t>
      </w:r>
      <w:r w:rsidR="00F714CC">
        <w:t>C</w:t>
      </w:r>
      <w:r w:rsidR="00F714CC">
        <w:t>]</w:t>
      </w:r>
      <w:r w:rsidR="00F714CC">
        <w:t xml:space="preserve">, </w:t>
      </w:r>
      <w:r w:rsidR="00F714CC">
        <w:t>[pers. </w:t>
      </w:r>
      <w:r w:rsidR="00F714CC">
        <w:t>D</w:t>
      </w:r>
      <w:r w:rsidR="00F714CC">
        <w:t>]</w:t>
      </w:r>
      <w:r w:rsidRPr="004F1AEF">
        <w:t xml:space="preserve">, </w:t>
      </w:r>
      <w:r w:rsidR="00F714CC">
        <w:t>[pers. </w:t>
      </w:r>
      <w:r w:rsidR="00F714CC">
        <w:t>E</w:t>
      </w:r>
      <w:r w:rsidR="00F714CC">
        <w:t>]</w:t>
      </w:r>
      <w:r w:rsidRPr="004F1AEF">
        <w:t xml:space="preserve">, </w:t>
      </w:r>
      <w:r w:rsidR="0061284A">
        <w:t>[pers. </w:t>
      </w:r>
      <w:r w:rsidR="0061284A">
        <w:t>F</w:t>
      </w:r>
      <w:r w:rsidR="0061284A">
        <w:t>]</w:t>
      </w:r>
      <w:r w:rsidR="0061284A">
        <w:t xml:space="preserve">, </w:t>
      </w:r>
      <w:r w:rsidR="0061284A">
        <w:t>[pers. </w:t>
      </w:r>
      <w:r w:rsidR="0061284A">
        <w:t>G</w:t>
      </w:r>
      <w:r w:rsidR="0061284A">
        <w:t>]</w:t>
      </w:r>
      <w:r w:rsidRPr="004F1AEF">
        <w:t xml:space="preserve">, </w:t>
      </w:r>
      <w:r w:rsidR="0061284A">
        <w:t>[pers. </w:t>
      </w:r>
      <w:r w:rsidR="0061284A">
        <w:t>H</w:t>
      </w:r>
      <w:r w:rsidR="0061284A">
        <w:t>]</w:t>
      </w:r>
      <w:r w:rsidR="0061284A">
        <w:t xml:space="preserve"> </w:t>
      </w:r>
      <w:r>
        <w:t>un</w:t>
      </w:r>
      <w:r w:rsidR="0061284A">
        <w:t xml:space="preserve"> </w:t>
      </w:r>
      <w:r w:rsidR="0061284A">
        <w:t>[pers. </w:t>
      </w:r>
      <w:r w:rsidR="0061284A">
        <w:t>I</w:t>
      </w:r>
      <w:r w:rsidR="0061284A">
        <w:t>]</w:t>
      </w:r>
      <w:r>
        <w:t xml:space="preserve">, kuri dzīvo zemesgabalam, kurā plānots būvēt strīdus būvi, blakus esošajā daudzdzīvokļu </w:t>
      </w:r>
      <w:r>
        <w:lastRenderedPageBreak/>
        <w:t>dzīvojamā mājā</w:t>
      </w:r>
      <w:r w:rsidR="006202DC">
        <w:t xml:space="preserve"> [adrese B]</w:t>
      </w:r>
      <w:r>
        <w:t>,</w:t>
      </w:r>
      <w:r w:rsidRPr="004F1AEF">
        <w:t xml:space="preserve"> </w:t>
      </w:r>
      <w:r>
        <w:t>kā arī</w:t>
      </w:r>
      <w:r w:rsidRPr="004F1AEF">
        <w:t xml:space="preserve"> biedrība „Māras dārzi”</w:t>
      </w:r>
      <w:r>
        <w:t xml:space="preserve"> </w:t>
      </w:r>
      <w:r w:rsidRPr="00DE5D1C">
        <w:t xml:space="preserve">(iepriekš – biedrība „AURORAS PARKA </w:t>
      </w:r>
      <w:r w:rsidRPr="00B42EE7">
        <w:t xml:space="preserve">REZIDENCE”), kura minēto māju apsaimnieko, </w:t>
      </w:r>
      <w:r>
        <w:t>strīdus būvatļauju apstrīdēja.</w:t>
      </w:r>
    </w:p>
    <w:p w14:paraId="341FD978" w14:textId="38D58B46" w:rsidR="00546C0F" w:rsidRDefault="00546C0F" w:rsidP="006202DC">
      <w:pPr>
        <w:spacing w:line="276" w:lineRule="auto"/>
        <w:ind w:firstLine="720"/>
        <w:jc w:val="both"/>
      </w:pPr>
      <w:r>
        <w:t>Rīgas domes Pilsētas attīstības departaments (turpmāk – departaments) ar 2018.gada 26.marta lēmumu Nr. DA-18-682-ap strīdus būvatļauju atstāja negrozītu.</w:t>
      </w:r>
    </w:p>
    <w:p w14:paraId="44E69C59" w14:textId="77777777" w:rsidR="00546C0F" w:rsidRPr="0082381C" w:rsidRDefault="00546C0F" w:rsidP="006202DC">
      <w:pPr>
        <w:spacing w:line="276" w:lineRule="auto"/>
        <w:ind w:firstLine="720"/>
        <w:jc w:val="both"/>
      </w:pPr>
    </w:p>
    <w:p w14:paraId="27D158C9" w14:textId="734CD870" w:rsidR="00546C0F" w:rsidRDefault="00546C0F" w:rsidP="006202DC">
      <w:pPr>
        <w:pStyle w:val="NormalWeb"/>
        <w:shd w:val="clear" w:color="auto" w:fill="FFFFFF"/>
        <w:spacing w:before="0" w:beforeAutospacing="0" w:after="0" w:afterAutospacing="0" w:line="276" w:lineRule="auto"/>
        <w:ind w:firstLine="720"/>
        <w:jc w:val="both"/>
      </w:pPr>
      <w:r>
        <w:rPr>
          <w:shd w:val="clear" w:color="auto" w:fill="FFFFFF"/>
        </w:rPr>
        <w:t>[2] </w:t>
      </w:r>
      <w:r>
        <w:t xml:space="preserve">Līdzpieteicēji vērsās tiesā ar pieteikumu par </w:t>
      </w:r>
      <w:r w:rsidR="00875C14">
        <w:t xml:space="preserve">minētā </w:t>
      </w:r>
      <w:r>
        <w:t>lēmuma (strīdus būvatļaujas) atcelšanu.</w:t>
      </w:r>
    </w:p>
    <w:p w14:paraId="71E5F932" w14:textId="77777777" w:rsidR="00067766" w:rsidRDefault="00067766" w:rsidP="006202DC">
      <w:pPr>
        <w:pStyle w:val="NormalWeb"/>
        <w:shd w:val="clear" w:color="auto" w:fill="FFFFFF"/>
        <w:spacing w:before="0" w:beforeAutospacing="0" w:after="0" w:afterAutospacing="0" w:line="276" w:lineRule="auto"/>
        <w:ind w:firstLine="720"/>
        <w:jc w:val="both"/>
      </w:pPr>
    </w:p>
    <w:p w14:paraId="4BDCE3C8" w14:textId="4B39D18B" w:rsidR="00546C0F" w:rsidRDefault="00546C0F" w:rsidP="006202DC">
      <w:pPr>
        <w:pStyle w:val="NormalWeb"/>
        <w:shd w:val="clear" w:color="auto" w:fill="FFFFFF"/>
        <w:spacing w:before="0" w:beforeAutospacing="0" w:after="0" w:afterAutospacing="0" w:line="276" w:lineRule="auto"/>
        <w:ind w:firstLine="720"/>
        <w:jc w:val="both"/>
      </w:pPr>
      <w:r>
        <w:t xml:space="preserve">[3] Ar Administratīvās apgabaltiesas 2020.gada 12.februāra spriedumu līdzpieteicēju pieteikums tika apmierināts, atceļot pārsūdzēto lēmumu. Ar Senāta 2022.gada 25.februāra spriedumu Nr. SKA-188/2022 </w:t>
      </w:r>
      <w:r w:rsidR="00153084">
        <w:t>(</w:t>
      </w:r>
      <w:hyperlink r:id="rId9" w:history="1">
        <w:r w:rsidR="00153084" w:rsidRPr="00153084">
          <w:rPr>
            <w:rStyle w:val="Hyperlink"/>
            <w:i/>
            <w:iCs/>
          </w:rPr>
          <w:t>ECLI:LV:AT:2022:0225.A420200918.16.S</w:t>
        </w:r>
      </w:hyperlink>
      <w:r w:rsidR="00153084">
        <w:t xml:space="preserve">) </w:t>
      </w:r>
      <w:r w:rsidR="008D2AAC">
        <w:t>minētais</w:t>
      </w:r>
      <w:r>
        <w:t xml:space="preserve"> apgabaltiesas spriedums tika atcelts.</w:t>
      </w:r>
    </w:p>
    <w:p w14:paraId="63FB7260" w14:textId="77777777" w:rsidR="00546C0F" w:rsidRDefault="00546C0F" w:rsidP="006202DC">
      <w:pPr>
        <w:pStyle w:val="NormalWeb"/>
        <w:shd w:val="clear" w:color="auto" w:fill="FFFFFF"/>
        <w:spacing w:before="0" w:beforeAutospacing="0" w:after="0" w:afterAutospacing="0" w:line="276" w:lineRule="auto"/>
        <w:ind w:firstLine="720"/>
        <w:jc w:val="both"/>
      </w:pPr>
    </w:p>
    <w:p w14:paraId="5396092A" w14:textId="04340636" w:rsidR="00546C0F" w:rsidRDefault="00546C0F" w:rsidP="006202DC">
      <w:pPr>
        <w:pStyle w:val="NormalWeb"/>
        <w:shd w:val="clear" w:color="auto" w:fill="FFFFFF"/>
        <w:spacing w:before="0" w:beforeAutospacing="0" w:after="0" w:afterAutospacing="0" w:line="276" w:lineRule="auto"/>
        <w:ind w:firstLine="720"/>
        <w:jc w:val="both"/>
      </w:pPr>
      <w:r>
        <w:lastRenderedPageBreak/>
        <w:t>[4] Izskatījusi lietu no jauna, Administratīvā apgabaltiesa ar 2022.gada 19.decembra spriedumu līdzpieteicēju pieteikumu noraidīja. Spriedums pamatots ar turpmāk izklāstītajiem argumentiem.</w:t>
      </w:r>
    </w:p>
    <w:p w14:paraId="5FE7988F" w14:textId="3DE3CF9F" w:rsidR="00CD150A" w:rsidRDefault="00546C0F" w:rsidP="006202DC">
      <w:pPr>
        <w:pStyle w:val="NormalWeb"/>
        <w:shd w:val="clear" w:color="auto" w:fill="FFFFFF"/>
        <w:spacing w:before="0" w:beforeAutospacing="0" w:after="0" w:afterAutospacing="0" w:line="276" w:lineRule="auto"/>
        <w:ind w:firstLine="720"/>
        <w:jc w:val="both"/>
      </w:pPr>
      <w:r>
        <w:t>[4.1] </w:t>
      </w:r>
      <w:r w:rsidR="00526B1F">
        <w:t xml:space="preserve">Ar strīdus būvatļauju </w:t>
      </w:r>
      <w:r w:rsidR="00537E15">
        <w:t>atļauta četrus stāvus augstas būves būvniecība.</w:t>
      </w:r>
      <w:r w:rsidR="00B62227">
        <w:t xml:space="preserve"> </w:t>
      </w:r>
      <w:r w:rsidR="00875C14">
        <w:t>A</w:t>
      </w:r>
      <w:r w:rsidR="00410C5C">
        <w:t xml:space="preserve">tbilstoši Rīgas pilsētas teritorijas plānojuma 2006.–2018.gadam (turpmāk – 2006.gada teritorijas plānojums) sastāvā ietilpstošo teritorijas izmantošanas un apbūves noteikumu, kas apstiprināti ar Rīgas </w:t>
      </w:r>
      <w:r w:rsidR="003F5997">
        <w:t>domes 2005.gada 20.decembra saistošajiem noteikumiem Nr. 34 „Rīgas teritorijas izmantošanas un apbūves noteikumi” (turpmāk – apbūves noteikumi)</w:t>
      </w:r>
      <w:r w:rsidR="00CD150A">
        <w:t>, normām zemesgabals, kurā plānots īstenot strīdus būvieceri, atrodas Rīgas pilsētas (pēc administratīvi teritoriālās reformas – valstspilsētas) apbūves aizsardzības teritorijā „Āgenskalns”</w:t>
      </w:r>
      <w:r w:rsidR="00875C14">
        <w:t xml:space="preserve"> un </w:t>
      </w:r>
      <w:r w:rsidR="00CD150A">
        <w:t xml:space="preserve">strīdus būves stāvu </w:t>
      </w:r>
      <w:r w:rsidR="005C5E9D">
        <w:t xml:space="preserve">skaits nedrīkst būt lielāks par konkrētajā teritorijā iedibināto stāvu skaitu. Proti, </w:t>
      </w:r>
      <w:r w:rsidR="00666681">
        <w:t xml:space="preserve">saskaņā ar apbūves noteikumu normām </w:t>
      </w:r>
      <w:r w:rsidR="005C5E9D">
        <w:t xml:space="preserve">strīdus būves stāvu skaits nedrīkst būt lielāks par stāvu skaitu, kāds ir vismaz </w:t>
      </w:r>
      <w:r w:rsidR="00CD150A">
        <w:lastRenderedPageBreak/>
        <w:t>50 % no kvartālā</w:t>
      </w:r>
      <w:r w:rsidR="004B4B36">
        <w:t>, kurā plānots būvēt strīdus būvi,</w:t>
      </w:r>
      <w:r w:rsidR="00CD150A">
        <w:t xml:space="preserve"> likumīgi esošām ēkām.</w:t>
      </w:r>
    </w:p>
    <w:p w14:paraId="314AFDEC" w14:textId="48B94A5A" w:rsidR="00546C0F" w:rsidRDefault="00546C0F" w:rsidP="006202DC">
      <w:pPr>
        <w:pStyle w:val="NormalWeb"/>
        <w:shd w:val="clear" w:color="auto" w:fill="FFFFFF"/>
        <w:spacing w:before="0" w:beforeAutospacing="0" w:after="0" w:afterAutospacing="0" w:line="276" w:lineRule="auto"/>
        <w:ind w:firstLine="720"/>
        <w:jc w:val="both"/>
      </w:pPr>
      <w:r>
        <w:t>[4.2]</w:t>
      </w:r>
      <w:r w:rsidR="002E6251">
        <w:t xml:space="preserve"> Strīdus būvatļaujas izdošanas brīdī iedibinātais jeb kvartālam raksturīgais būvju stāvu skaits bija trīs stāvi. Arī vērtējot kvartāla apbūvi, kāda pastāv tiesvedības gaitā, secināms, ka </w:t>
      </w:r>
      <w:r w:rsidR="00154A4F">
        <w:t>četri stāvi</w:t>
      </w:r>
      <w:r w:rsidR="002E6251">
        <w:t xml:space="preserve"> joprojām neveido </w:t>
      </w:r>
      <w:r w:rsidR="00A84D68">
        <w:t xml:space="preserve">kvartālam raksturīgo </w:t>
      </w:r>
      <w:r w:rsidR="00154A4F">
        <w:t>būvju stāvu skaitu</w:t>
      </w:r>
      <w:r w:rsidR="00A84D68">
        <w:t xml:space="preserve">. </w:t>
      </w:r>
      <w:r w:rsidR="00EB5F4A">
        <w:t>Līdz ar to</w:t>
      </w:r>
      <w:r w:rsidR="00052C17">
        <w:t xml:space="preserve"> būvatļaujas izdošanas brīdī strīdus būve neatbilda </w:t>
      </w:r>
      <w:r w:rsidR="0034075A">
        <w:t xml:space="preserve">tai apkārt esošo būvju apbūves parametriem – iedibinātajam stāvu skaitam. Minētais nozīmē, ka pirms strīdus būvatļaujas izdošanas strīdus būvieceres īstenošanai bija nepieciešams izstrādāt detālplānojumu. </w:t>
      </w:r>
      <w:r w:rsidR="00A306E1">
        <w:t>Savukārt tas noved pie secinājuma, ka strīdus būvatļauja izdota prettiesiski.</w:t>
      </w:r>
    </w:p>
    <w:p w14:paraId="3BE5792B" w14:textId="15C647D2" w:rsidR="00B325F4" w:rsidRDefault="0034075A" w:rsidP="006202DC">
      <w:pPr>
        <w:pStyle w:val="NormalWeb"/>
        <w:shd w:val="clear" w:color="auto" w:fill="FFFFFF"/>
        <w:spacing w:before="0" w:beforeAutospacing="0" w:after="0" w:afterAutospacing="0" w:line="276" w:lineRule="auto"/>
        <w:ind w:firstLine="720"/>
        <w:jc w:val="both"/>
      </w:pPr>
      <w:r>
        <w:t>[4.3] </w:t>
      </w:r>
      <w:r w:rsidR="00650685">
        <w:t>Pēc strīdus būvatļaujas izdošanas ir mainījies tiesiskais regulējums</w:t>
      </w:r>
      <w:r w:rsidR="00B325F4">
        <w:t>. T</w:t>
      </w:r>
      <w:r w:rsidR="00650685">
        <w:t xml:space="preserve">āpēc ir </w:t>
      </w:r>
      <w:r w:rsidR="00B325F4">
        <w:t>iz</w:t>
      </w:r>
      <w:r w:rsidR="00650685">
        <w:t>vērtējami trešās personas un departamenta argumenti</w:t>
      </w:r>
      <w:r w:rsidR="006A4F05">
        <w:t>, ka šobrīd strīdus būves būvniecība atbilst</w:t>
      </w:r>
      <w:r w:rsidR="00B325F4">
        <w:t xml:space="preserve"> </w:t>
      </w:r>
      <w:r w:rsidR="006A4F05">
        <w:t>tiesiskajam regulējumam</w:t>
      </w:r>
      <w:r w:rsidR="00B325F4">
        <w:t xml:space="preserve"> un tādējādi, ja strīdus būvatļauja tiktu atcelta, trešajai personai varētu tikt izdota jauna, pēc būtības identiska būvatļauja.</w:t>
      </w:r>
    </w:p>
    <w:p w14:paraId="6C0271F8" w14:textId="1EB2EEAB" w:rsidR="00A57F29" w:rsidRDefault="00A57F29" w:rsidP="006202DC">
      <w:pPr>
        <w:pStyle w:val="NormalWeb"/>
        <w:shd w:val="clear" w:color="auto" w:fill="FFFFFF"/>
        <w:spacing w:before="0" w:beforeAutospacing="0" w:after="0" w:afterAutospacing="0" w:line="276" w:lineRule="auto"/>
        <w:ind w:firstLine="720"/>
        <w:jc w:val="both"/>
      </w:pPr>
      <w:r>
        <w:lastRenderedPageBreak/>
        <w:t>[4.4]</w:t>
      </w:r>
      <w:r w:rsidR="0013398B">
        <w:t xml:space="preserve"> Pēc strīdus būvatļaujas izdošanas – proti, 2021.gada 15.decembrī – </w:t>
      </w:r>
      <w:r w:rsidR="00CB186E">
        <w:t>Rīgas valstspilsētai ir apstiprināts jauns teritorijas plānojums (turpmāk – 202</w:t>
      </w:r>
      <w:r w:rsidR="00B96EC3">
        <w:t>2</w:t>
      </w:r>
      <w:r w:rsidR="00CB186E">
        <w:t>.gada teritorijas plānojums)</w:t>
      </w:r>
      <w:r w:rsidR="00477056">
        <w:t>. Tomēr ar vides aizsardzības un reģionālās attīstības ministra 2022.gada 2</w:t>
      </w:r>
      <w:r w:rsidR="00CA4579">
        <w:t>2</w:t>
      </w:r>
      <w:r w:rsidR="00477056">
        <w:t>.marta rīkojumu minētā teritorijas plānojuma darbība ir apturēta</w:t>
      </w:r>
      <w:r w:rsidR="00405537">
        <w:t xml:space="preserve">, un tas nozīmē, ka joprojām ir piemērojams iepriekšējais – 2006.gada teritorijas plānojums. </w:t>
      </w:r>
      <w:r w:rsidR="00477056">
        <w:t>Līdz ar to nav nozīmes līdzpieteicēju argumentam, ka</w:t>
      </w:r>
      <w:r w:rsidR="00B96EC3">
        <w:t xml:space="preserve"> saskaņā ar</w:t>
      </w:r>
      <w:r w:rsidR="00477056">
        <w:t xml:space="preserve"> </w:t>
      </w:r>
      <w:r w:rsidR="00B96EC3">
        <w:t xml:space="preserve">2022.gada teritorijas plānojumu zemesgabalā, kurā iecerēts būvēt strīdus būvi, pieļaujama maksimums trīs stāvu </w:t>
      </w:r>
      <w:r w:rsidR="0040718C">
        <w:t xml:space="preserve">augstas </w:t>
      </w:r>
      <w:r w:rsidR="00B96EC3">
        <w:t xml:space="preserve">būves būvniecība. </w:t>
      </w:r>
    </w:p>
    <w:p w14:paraId="2E7F820E" w14:textId="223FA0D6" w:rsidR="000620EF" w:rsidRDefault="002A084A" w:rsidP="006202DC">
      <w:pPr>
        <w:pStyle w:val="NormalWeb"/>
        <w:shd w:val="clear" w:color="auto" w:fill="FFFFFF"/>
        <w:spacing w:before="0" w:beforeAutospacing="0" w:after="0" w:afterAutospacing="0" w:line="276" w:lineRule="auto"/>
        <w:ind w:firstLine="720"/>
        <w:jc w:val="both"/>
      </w:pPr>
      <w:r>
        <w:t>[4.5] </w:t>
      </w:r>
      <w:r w:rsidR="001846A2">
        <w:t>Pēc strīdus būvatļaujas izdošanas</w:t>
      </w:r>
      <w:r w:rsidR="00744307">
        <w:t xml:space="preserve"> ir tikušas grozītas arī Ministru kabineta 2014.gada 14.oktobra noteikumu Nr. 628 „Noteikumi par pašvaldību teritorijas attīstības plānošanas dokumentiem” normas par detālplānojuma izstrādi. </w:t>
      </w:r>
      <w:r w:rsidR="004D405A">
        <w:t xml:space="preserve">Saskaņā ar minētajām normām šobrīd apstāklis, ka plānotā būviecere neatbilst konkrētajā teritorijā </w:t>
      </w:r>
      <w:r w:rsidR="004D405A">
        <w:lastRenderedPageBreak/>
        <w:t xml:space="preserve">dominējošajai apbūves funkcijai un apbūves parametriem, </w:t>
      </w:r>
      <w:r w:rsidR="00067766">
        <w:t>nav pamats</w:t>
      </w:r>
      <w:r w:rsidR="005347EE">
        <w:t xml:space="preserve"> plānotās būvieceres īstenošanai izstrādāt detālplānojumu. </w:t>
      </w:r>
      <w:r w:rsidR="00437B80">
        <w:t xml:space="preserve">Tomēr detālplānojumu ir pamats izstrādāt tad, ja ir nepieciešama esošās transporta organizācijas pārkārtošana, likvidējot vai pārvietojot esošas ielas vai pašvaldību ceļus, vai jaunas satiksmes infrastruktūras plānošana, izveidojot jaunas ielas vai pašvaldību ceļus. </w:t>
      </w:r>
      <w:r w:rsidR="000620EF">
        <w:t>Taču</w:t>
      </w:r>
      <w:r w:rsidR="009C1EC7">
        <w:t>, pretēji līdzpieteicēju viedoklim,</w:t>
      </w:r>
      <w:r w:rsidR="000620EF">
        <w:t xml:space="preserve"> konkrētajā gadījumā nav konstatējams, ka strīdus būvieceres īstenošanai ir nepieciešama infrastruktūras pārkārtošana piegulošajā teritorijā. </w:t>
      </w:r>
      <w:r w:rsidR="009C1EC7">
        <w:t>Līdz ar to strīdus būves būvniecība nav pretrunā ar šobrīd spēkā esošajām normām par detālplānojuma izstrādi.</w:t>
      </w:r>
    </w:p>
    <w:p w14:paraId="6CA3C1CA" w14:textId="56C81C6F" w:rsidR="009C1EC7" w:rsidRDefault="009C1EC7" w:rsidP="006202DC">
      <w:pPr>
        <w:pStyle w:val="NormalWeb"/>
        <w:shd w:val="clear" w:color="auto" w:fill="FFFFFF"/>
        <w:spacing w:before="0" w:beforeAutospacing="0" w:after="0" w:afterAutospacing="0" w:line="276" w:lineRule="auto"/>
        <w:ind w:firstLine="720"/>
        <w:jc w:val="both"/>
      </w:pPr>
      <w:r>
        <w:t>[4.6] Nepamatots ir arī līdzpieteicēju arguments par to, ka pirms strīdus būvieceres īstenošanas ir nepieciešams veikt sākotnējās ietekmes uz vidi novērtējuma procedūru.</w:t>
      </w:r>
    </w:p>
    <w:p w14:paraId="6B0B3E03" w14:textId="109C2BD2" w:rsidR="00EB6B1A" w:rsidRDefault="00EB6B1A" w:rsidP="006202DC">
      <w:pPr>
        <w:pStyle w:val="NormalWeb"/>
        <w:shd w:val="clear" w:color="auto" w:fill="FFFFFF"/>
        <w:spacing w:before="0" w:beforeAutospacing="0" w:after="0" w:afterAutospacing="0" w:line="276" w:lineRule="auto"/>
        <w:ind w:firstLine="720"/>
        <w:jc w:val="both"/>
      </w:pPr>
      <w:r>
        <w:t xml:space="preserve">[4.7] Rezumējot minēto, </w:t>
      </w:r>
      <w:r w:rsidR="00DD2F38">
        <w:t>līdzpieteicēju pieteikuma apmierināšanai nav pamata.</w:t>
      </w:r>
    </w:p>
    <w:p w14:paraId="0AB635C1" w14:textId="77777777" w:rsidR="00546C0F" w:rsidRDefault="00546C0F" w:rsidP="006202DC">
      <w:pPr>
        <w:pStyle w:val="NormalWeb"/>
        <w:shd w:val="clear" w:color="auto" w:fill="FFFFFF"/>
        <w:spacing w:before="0" w:beforeAutospacing="0" w:after="0" w:afterAutospacing="0" w:line="276" w:lineRule="auto"/>
        <w:ind w:firstLine="720"/>
        <w:jc w:val="both"/>
      </w:pPr>
    </w:p>
    <w:p w14:paraId="545F6361" w14:textId="296ECFB6" w:rsidR="006E0423" w:rsidRDefault="00546C0F" w:rsidP="006202DC">
      <w:pPr>
        <w:pStyle w:val="NormalWeb"/>
        <w:shd w:val="clear" w:color="auto" w:fill="FFFFFF"/>
        <w:spacing w:before="0" w:beforeAutospacing="0" w:after="0" w:afterAutospacing="0" w:line="276" w:lineRule="auto"/>
        <w:ind w:firstLine="720"/>
        <w:jc w:val="both"/>
        <w:rPr>
          <w:shd w:val="clear" w:color="auto" w:fill="FFFFFF"/>
        </w:rPr>
      </w:pPr>
      <w:r>
        <w:lastRenderedPageBreak/>
        <w:t>[5] </w:t>
      </w:r>
      <w:r w:rsidR="006E0423">
        <w:t>Līdzpieteicēji par minēto spriedumu iesniedza kasācijas sūdzību</w:t>
      </w:r>
      <w:r w:rsidR="008F016A">
        <w:t xml:space="preserve">. Kasācijas sūdzībā argumentēts, ka tiesai, konstatējot, ka strīdus būves stāvu skaits ir lielāks par kvartālā, kurā strīdus būvi iecerēts būvēt, iedibināto stāvu skaitu, vajadzēja </w:t>
      </w:r>
      <w:r w:rsidR="008B77F6">
        <w:t>nonākt pie secinājuma</w:t>
      </w:r>
      <w:r w:rsidR="008F016A">
        <w:t xml:space="preserve">, ka strīdus būve neatbilst 2006.gada teritorijas </w:t>
      </w:r>
      <w:r w:rsidR="008B77F6">
        <w:t>plānojumam. Tā kā atbilstoši pašas tiesas atzītajam minētais teritorijas plānojums bija piemērojams ne tikai strīdus būvatļaujas izdošanas, bet arī tiesas sprieduma sastādīšanas brīdī, tas attiecīgi arī nozīmē</w:t>
      </w:r>
      <w:r w:rsidR="000B1A29">
        <w:t>jot</w:t>
      </w:r>
      <w:r w:rsidR="008B77F6">
        <w:t xml:space="preserve">, ka nepamatots ir tiesas secinājums, ka strīdus būves būvniecību pieļāva tiesas sprieduma sastādīšanas brīdī spēkā esošais tiesiskais regulējums. Vienlaikus kasācijas sūdzībā norādīts arī uz virkni citiem </w:t>
      </w:r>
      <w:r w:rsidR="00256137">
        <w:t>apgabaltiesas pieļautiem tiesību normu pārkāpumiem, kuru rezultātā tiesa nonākusi arī pie nepareiziem secinājumiem par to, ka pirms strīdus būvieceres īstenošanas nebija nepieciešams izstrādāt detālplānojumu un veikt sākotnējās ietekmes uz vidi novērtējumu.</w:t>
      </w:r>
    </w:p>
    <w:p w14:paraId="171CC5FE" w14:textId="77777777" w:rsidR="00411CD0" w:rsidRDefault="00411CD0" w:rsidP="006202DC">
      <w:pPr>
        <w:pStyle w:val="NormalWeb"/>
        <w:shd w:val="clear" w:color="auto" w:fill="FFFFFF"/>
        <w:spacing w:before="0" w:beforeAutospacing="0" w:after="0" w:afterAutospacing="0" w:line="276" w:lineRule="auto"/>
        <w:ind w:firstLine="720"/>
        <w:jc w:val="both"/>
        <w:rPr>
          <w:shd w:val="clear" w:color="auto" w:fill="FFFFFF"/>
        </w:rPr>
      </w:pPr>
    </w:p>
    <w:p w14:paraId="3292C502" w14:textId="73658866" w:rsidR="003144A5" w:rsidRDefault="006E0423" w:rsidP="006202DC">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lastRenderedPageBreak/>
        <w:t>[6]</w:t>
      </w:r>
      <w:r w:rsidR="00DE31EB">
        <w:rPr>
          <w:shd w:val="clear" w:color="auto" w:fill="FFFFFF"/>
        </w:rPr>
        <w:t xml:space="preserve"> Departaments </w:t>
      </w:r>
      <w:r w:rsidR="003144A5">
        <w:rPr>
          <w:shd w:val="clear" w:color="auto" w:fill="FFFFFF"/>
        </w:rPr>
        <w:t>un trešā persona iesniedza paskaidrojumus par kasācijas sūdzību, norādot, ka uzskata to par nepamatotu. Vienlaikus departaments paskaidrojumos uzsvēris, ka nepiekrīt tiesas argumentācijai par iedibināto stāvu</w:t>
      </w:r>
      <w:r w:rsidR="00E37316">
        <w:rPr>
          <w:shd w:val="clear" w:color="auto" w:fill="FFFFFF"/>
        </w:rPr>
        <w:t xml:space="preserve"> skaitu</w:t>
      </w:r>
      <w:r w:rsidR="003144A5">
        <w:rPr>
          <w:shd w:val="clear" w:color="auto" w:fill="FFFFFF"/>
        </w:rPr>
        <w:t xml:space="preserve"> kvartālā, kurā iecerēts būvēt strīdus būvi, </w:t>
      </w:r>
      <w:r w:rsidR="00BB308B">
        <w:rPr>
          <w:shd w:val="clear" w:color="auto" w:fill="FFFFFF"/>
        </w:rPr>
        <w:t xml:space="preserve">jo minētajā kvartālā </w:t>
      </w:r>
      <w:r w:rsidR="00A37B3D">
        <w:rPr>
          <w:shd w:val="clear" w:color="auto" w:fill="FFFFFF"/>
        </w:rPr>
        <w:t xml:space="preserve">iedibinātais stāvu skaits nemaz neesot konstatējams. </w:t>
      </w:r>
    </w:p>
    <w:p w14:paraId="3F0497BF" w14:textId="77777777" w:rsidR="00DE31EB" w:rsidRDefault="00DE31EB" w:rsidP="006202DC">
      <w:pPr>
        <w:pStyle w:val="NormalWeb"/>
        <w:shd w:val="clear" w:color="auto" w:fill="FFFFFF"/>
        <w:spacing w:before="0" w:beforeAutospacing="0" w:after="0" w:afterAutospacing="0" w:line="276" w:lineRule="auto"/>
        <w:ind w:firstLine="720"/>
        <w:jc w:val="both"/>
        <w:rPr>
          <w:shd w:val="clear" w:color="auto" w:fill="FFFFFF"/>
        </w:rPr>
      </w:pPr>
    </w:p>
    <w:p w14:paraId="45E45B7E" w14:textId="77777777" w:rsidR="00447EE6" w:rsidRDefault="00447EE6" w:rsidP="006202DC">
      <w:pPr>
        <w:shd w:val="clear" w:color="auto" w:fill="FFFFFF"/>
        <w:spacing w:line="276" w:lineRule="auto"/>
        <w:jc w:val="center"/>
        <w:rPr>
          <w:b/>
        </w:rPr>
      </w:pPr>
      <w:r w:rsidRPr="00011547">
        <w:rPr>
          <w:b/>
        </w:rPr>
        <w:t>Motīvu daļa</w:t>
      </w:r>
    </w:p>
    <w:p w14:paraId="6496CFC8" w14:textId="77777777" w:rsidR="00411CD0" w:rsidRPr="00011547" w:rsidRDefault="00411CD0" w:rsidP="006202DC">
      <w:pPr>
        <w:shd w:val="clear" w:color="auto" w:fill="FFFFFF"/>
        <w:spacing w:line="276" w:lineRule="auto"/>
        <w:jc w:val="center"/>
      </w:pPr>
    </w:p>
    <w:p w14:paraId="4DB11739" w14:textId="6B8D2D6D" w:rsidR="00D50A8A" w:rsidRDefault="00447EE6" w:rsidP="006202DC">
      <w:pPr>
        <w:shd w:val="clear" w:color="auto" w:fill="FFFFFF"/>
        <w:spacing w:line="276" w:lineRule="auto"/>
        <w:ind w:firstLine="720"/>
        <w:jc w:val="both"/>
      </w:pPr>
      <w:r w:rsidRPr="00011547">
        <w:t>[</w:t>
      </w:r>
      <w:r w:rsidR="00DE31EB">
        <w:t>7</w:t>
      </w:r>
      <w:r w:rsidRPr="00011547">
        <w:t>]</w:t>
      </w:r>
      <w:r w:rsidR="00A13A3B">
        <w:t xml:space="preserve"> Apgabaltiesa pārsūdzētajā spriedumā ir atzinusi, ka strīdus būvatļauja ir prettiesiska. Vienlaikus, </w:t>
      </w:r>
      <w:r w:rsidR="00D50A8A">
        <w:t>ievērojot</w:t>
      </w:r>
      <w:r w:rsidR="00A13A3B">
        <w:t xml:space="preserve"> to, ka tiesas sprieduma sastādīšanas brīdī bija notikušas izmaiņas tiesiskajā regulējumā, tiesa vērtēja, vai </w:t>
      </w:r>
      <w:r w:rsidR="00864B85">
        <w:t xml:space="preserve">saskaņā ar jauno tiesisko regulējumu strīdus būve būtu pieļaujama. Tiesa secināja, ka jaunais tiesiskais regulējums atļauj strīdus būves būvniecību, </w:t>
      </w:r>
      <w:r w:rsidR="00BF755D">
        <w:t xml:space="preserve">un tas nozīmē, ka gadījumā, ja tiesa atceltu strīdus būvatļauju, trešā persona, pēc </w:t>
      </w:r>
      <w:r w:rsidR="00BF755D">
        <w:lastRenderedPageBreak/>
        <w:t>būtības neveicot nekādas papildu darbības, varētu nekavējoties saņemt jaunu, identisku būvatļauju. Līdz ar to tiesa atzina, ka nav lietderīgi atcelt strīdus būvatļauju</w:t>
      </w:r>
      <w:r w:rsidR="003C42E2">
        <w:t>.</w:t>
      </w:r>
    </w:p>
    <w:p w14:paraId="28635FA4" w14:textId="73FE438E" w:rsidR="00864B85" w:rsidRDefault="00571C07" w:rsidP="006202DC">
      <w:pPr>
        <w:shd w:val="clear" w:color="auto" w:fill="FFFFFF"/>
        <w:spacing w:line="276" w:lineRule="auto"/>
        <w:ind w:firstLine="720"/>
        <w:jc w:val="both"/>
      </w:pPr>
      <w:r>
        <w:t xml:space="preserve">Līdzpieteicēju kasācijas sūdzības galvenais arguments ir, ka </w:t>
      </w:r>
      <w:r w:rsidR="00D314E9">
        <w:t xml:space="preserve">tiesas secinājums, ka saskaņā ar jauno tiesisko regulējumu strīdus būve būtu pieļaujama, ir nepamatots, jo </w:t>
      </w:r>
      <w:r w:rsidR="00B208B3">
        <w:t xml:space="preserve">arī </w:t>
      </w:r>
      <w:r w:rsidR="00D314E9">
        <w:t xml:space="preserve">sprieduma sastādīšanas brīdī strīdus būves būvniecību nepieļāva Rīgas valstspilsētā </w:t>
      </w:r>
      <w:r w:rsidR="008D14C6">
        <w:t>piemērojamais</w:t>
      </w:r>
      <w:r w:rsidR="00D314E9">
        <w:t xml:space="preserve"> teritorijas plānojums.</w:t>
      </w:r>
    </w:p>
    <w:p w14:paraId="423F0E10" w14:textId="5CBF861C" w:rsidR="00D314E9" w:rsidRDefault="00D314E9" w:rsidP="006202DC">
      <w:pPr>
        <w:shd w:val="clear" w:color="auto" w:fill="FFFFFF"/>
        <w:spacing w:line="276" w:lineRule="auto"/>
        <w:ind w:firstLine="720"/>
        <w:jc w:val="both"/>
      </w:pPr>
      <w:r>
        <w:t xml:space="preserve">Līdz ar to kasācijas tiesvedības ietvaros vispirms izšķirams, vai </w:t>
      </w:r>
      <w:r w:rsidR="00E50F78">
        <w:t xml:space="preserve">tiesa ir pieļāvusi kasācijas sūdzībā norādītās tiesību normu piemērošanas kļūdas, secinot, ka </w:t>
      </w:r>
      <w:r>
        <w:t xml:space="preserve">tiesas sprieduma sastādīšanas brīdī strīdus būves būvniecība atbilda </w:t>
      </w:r>
      <w:r w:rsidR="00D467CA">
        <w:t>tobrīd spēkā esošajam regulējumam</w:t>
      </w:r>
      <w:r>
        <w:t>.</w:t>
      </w:r>
    </w:p>
    <w:p w14:paraId="7B5E8E2E" w14:textId="77777777" w:rsidR="009D4530" w:rsidRDefault="009D4530" w:rsidP="006202DC">
      <w:pPr>
        <w:shd w:val="clear" w:color="auto" w:fill="FFFFFF"/>
        <w:spacing w:line="276" w:lineRule="auto"/>
        <w:ind w:firstLine="720"/>
        <w:jc w:val="both"/>
      </w:pPr>
    </w:p>
    <w:p w14:paraId="03466C7F" w14:textId="46C913FD" w:rsidR="009D4530" w:rsidRDefault="009D4530" w:rsidP="006202DC">
      <w:pPr>
        <w:spacing w:line="276" w:lineRule="auto"/>
        <w:ind w:firstLine="567"/>
        <w:jc w:val="both"/>
      </w:pPr>
      <w:r>
        <w:t xml:space="preserve">[8] Kā Senāts jau norādīja 2022.gada 25.februāra spriedumā šajā lietā, vērtējot būvatļaujas atbilstību tiesību normām, jāņem vērā, ka atbilstoši Būvniecības likuma </w:t>
      </w:r>
      <w:r>
        <w:lastRenderedPageBreak/>
        <w:t>15.panta pirmās daļas 1.punktam</w:t>
      </w:r>
      <w:r>
        <w:rPr>
          <w:bCs/>
        </w:rPr>
        <w:t xml:space="preserve"> viens no būvatļaujas izdošanas priekšnoteikumiem ir būvieceres atbilstība vietējās pašvaldības teritorijas plānojumam, lokālplānojumam (ja tāds ir izstrādāts) un detālplānojumam (ja tas nepieciešams saskaņā ar normatīvajiem aktiem). Tādējādi</w:t>
      </w:r>
      <w:r>
        <w:t xml:space="preserve"> personas plānotajai būviecerei ir jāatbilst teritorijas plānojumam visos gadījumos, lokālplānojumam ir jāatbilst tad, ja šāds teritorijas plānošanas dokuments konkrētajai teritorijai ir izstrādāts, savukārt detālplānojumam – ja tas ir nepieciešams saskaņā ar normatīvajiem aktiem. Līdz ar to, ja pieteikumā par būvatļaujas atcelšanu ir izteikti argumenti par konkrētas būvieceres neatbilstību teritorijas plānošanas dokumentiem, tiesai atbilstoši Būvniecības likuma 15.panta pirmās daļas 1.punktam visupirms ir jāpārbauda būvieceres atbilstība vietējās pašvaldības teritorijas plānojumam (</w:t>
      </w:r>
      <w:r w:rsidRPr="00067766">
        <w:rPr>
          <w:i/>
          <w:iCs/>
        </w:rPr>
        <w:t>minētā sprieduma 10.punkts</w:t>
      </w:r>
      <w:r>
        <w:t xml:space="preserve">). </w:t>
      </w:r>
    </w:p>
    <w:p w14:paraId="0DC690B6" w14:textId="77777777" w:rsidR="00D314E9" w:rsidRDefault="00D314E9" w:rsidP="006202DC">
      <w:pPr>
        <w:shd w:val="clear" w:color="auto" w:fill="FFFFFF"/>
        <w:spacing w:line="276" w:lineRule="auto"/>
        <w:ind w:firstLine="720"/>
        <w:jc w:val="both"/>
      </w:pPr>
    </w:p>
    <w:p w14:paraId="29FC38E1" w14:textId="2BB386FC" w:rsidR="00D314E9" w:rsidRDefault="00D314E9" w:rsidP="006202DC">
      <w:pPr>
        <w:shd w:val="clear" w:color="auto" w:fill="FFFFFF"/>
        <w:spacing w:line="276" w:lineRule="auto"/>
        <w:ind w:firstLine="720"/>
        <w:jc w:val="both"/>
      </w:pPr>
      <w:r>
        <w:t>[</w:t>
      </w:r>
      <w:r w:rsidR="009D4530">
        <w:t>9</w:t>
      </w:r>
      <w:r>
        <w:t>]</w:t>
      </w:r>
      <w:r w:rsidR="00A8250B">
        <w:t> </w:t>
      </w:r>
      <w:r w:rsidR="00C54D17">
        <w:t>Kā pamatoti atzīts pārsūdzētajā spriedumā</w:t>
      </w:r>
      <w:r w:rsidR="00A8250B">
        <w:t>, gan</w:t>
      </w:r>
      <w:r w:rsidR="00D65309">
        <w:t xml:space="preserve"> strīdus būvatļaujas izdošanas brīdī, gan </w:t>
      </w:r>
      <w:r w:rsidR="00C54D17">
        <w:t>apgabal</w:t>
      </w:r>
      <w:r w:rsidR="00D65309">
        <w:t xml:space="preserve">tiesas </w:t>
      </w:r>
      <w:r w:rsidR="00D65309">
        <w:lastRenderedPageBreak/>
        <w:t>sprieduma sastādīšanas brīdī</w:t>
      </w:r>
      <w:r w:rsidR="00722136">
        <w:t xml:space="preserve"> Rīgas valstspilsētā bija piemērojams 200</w:t>
      </w:r>
      <w:r w:rsidR="00532E94">
        <w:t>6</w:t>
      </w:r>
      <w:r w:rsidR="00722136">
        <w:t xml:space="preserve">.gada teritorijas plānojums. </w:t>
      </w:r>
      <w:r w:rsidR="00D65309">
        <w:t xml:space="preserve">Proti, lai arī sprieduma sastādīšanas brīdī Rīgas valstspilsētā bija </w:t>
      </w:r>
      <w:r w:rsidR="00627D5F">
        <w:t>pieņemts</w:t>
      </w:r>
      <w:r w:rsidR="00D65309">
        <w:t xml:space="preserve"> jauns teritorijas plānojums – 202</w:t>
      </w:r>
      <w:r w:rsidR="00532E94">
        <w:t>2</w:t>
      </w:r>
      <w:r w:rsidR="00D65309">
        <w:t>.gada teritorijas plānojums –</w:t>
      </w:r>
      <w:r w:rsidR="009501B9">
        <w:t>,</w:t>
      </w:r>
      <w:r w:rsidR="00D65309">
        <w:t xml:space="preserve"> tomēr minētā teritorijas plānojuma darbība</w:t>
      </w:r>
      <w:r w:rsidR="00722136">
        <w:t xml:space="preserve"> ar </w:t>
      </w:r>
      <w:r w:rsidR="00532E94">
        <w:t>v</w:t>
      </w:r>
      <w:r w:rsidR="00722136">
        <w:t xml:space="preserve">ides aizsardzības un reģionālās attīstības ministra 2022.gada 22.marta rīkojumu bija apturēta. </w:t>
      </w:r>
      <w:r w:rsidR="003A3301">
        <w:t>Līdz ar to sprieduma sastādīšanas brīdī, tāpat kā būvatļaujas izdošanas brīdī, bija piemērojams iepriekšējais – 200</w:t>
      </w:r>
      <w:r w:rsidR="00532E94">
        <w:t>6</w:t>
      </w:r>
      <w:r w:rsidR="003A3301">
        <w:t>.gada teritorijas plānojums.</w:t>
      </w:r>
    </w:p>
    <w:p w14:paraId="41200753" w14:textId="16554BE5" w:rsidR="00F071BE" w:rsidRDefault="004F5328" w:rsidP="006202DC">
      <w:pPr>
        <w:shd w:val="clear" w:color="auto" w:fill="FFFFFF"/>
        <w:spacing w:line="276" w:lineRule="auto"/>
        <w:ind w:firstLine="720"/>
        <w:jc w:val="both"/>
      </w:pPr>
      <w:r>
        <w:t xml:space="preserve">Līdzpieteicēji kasācijas sūdzībā </w:t>
      </w:r>
      <w:r w:rsidR="00F071BE">
        <w:t xml:space="preserve">norāda, ka tiesa, vērtējot strīdus būvatļaujas tiesiskumu, </w:t>
      </w:r>
      <w:r w:rsidR="00D467CA">
        <w:t xml:space="preserve">pati ir </w:t>
      </w:r>
      <w:r w:rsidR="00F071BE">
        <w:t>atzinusi, ka strīdus būves stāvu skaits ir lielāks par kvartālā, kurā iecerēts īstenot strīdus būvieceri, esošajām būvēm raksturīgo iedibināto stāvu skaitu</w:t>
      </w:r>
      <w:r w:rsidR="00532E94">
        <w:t xml:space="preserve">. </w:t>
      </w:r>
      <w:r w:rsidR="00F071BE">
        <w:t>T</w:t>
      </w:r>
      <w:r w:rsidR="00B208B3">
        <w:t xml:space="preserve">as nozīmējot, ka tiesa būtībā ir atzinusi, ka </w:t>
      </w:r>
      <w:r w:rsidR="00F071BE">
        <w:t>strīdus būves stāvu skaits neatbil</w:t>
      </w:r>
      <w:r w:rsidR="00A11544">
        <w:t>st</w:t>
      </w:r>
      <w:r w:rsidR="00F071BE">
        <w:t xml:space="preserve"> teritorijas plānojuma normām. Līdz ar to tiesai </w:t>
      </w:r>
      <w:r w:rsidR="00165B32">
        <w:t>neesot bijis</w:t>
      </w:r>
      <w:r w:rsidR="00F071BE">
        <w:t xml:space="preserve"> pa</w:t>
      </w:r>
      <w:r w:rsidR="00F071BE">
        <w:lastRenderedPageBreak/>
        <w:t>mata izdarīt secinājumu, ka strīdus būves būvniecību pieļāva tiesas sprieduma sastādīšanas brīdī piemērojam</w:t>
      </w:r>
      <w:r w:rsidR="00B208B3">
        <w:t>ās tiesību normas</w:t>
      </w:r>
      <w:r w:rsidR="00B918CE">
        <w:t>.</w:t>
      </w:r>
    </w:p>
    <w:p w14:paraId="3C306897" w14:textId="38B8DA73" w:rsidR="00F071BE" w:rsidRDefault="00F071BE" w:rsidP="006202DC">
      <w:pPr>
        <w:shd w:val="clear" w:color="auto" w:fill="FFFFFF"/>
        <w:spacing w:line="276" w:lineRule="auto"/>
        <w:ind w:firstLine="720"/>
        <w:jc w:val="both"/>
      </w:pPr>
      <w:r>
        <w:t xml:space="preserve">Senāts turpmāk norādīto apsvērumu dēļ piekrīt </w:t>
      </w:r>
      <w:r w:rsidR="00EC4411">
        <w:t>līdzpieteicējiem</w:t>
      </w:r>
      <w:r>
        <w:t>.</w:t>
      </w:r>
    </w:p>
    <w:p w14:paraId="405BB1C5" w14:textId="77777777" w:rsidR="00F071BE" w:rsidRDefault="00F071BE" w:rsidP="006202DC">
      <w:pPr>
        <w:shd w:val="clear" w:color="auto" w:fill="FFFFFF"/>
        <w:spacing w:line="276" w:lineRule="auto"/>
        <w:ind w:firstLine="720"/>
        <w:jc w:val="both"/>
      </w:pPr>
    </w:p>
    <w:p w14:paraId="583045D5" w14:textId="6602B2B0" w:rsidR="00F071BE" w:rsidRDefault="00F071BE" w:rsidP="006202DC">
      <w:pPr>
        <w:shd w:val="clear" w:color="auto" w:fill="FFFFFF"/>
        <w:spacing w:line="276" w:lineRule="auto"/>
        <w:ind w:firstLine="720"/>
        <w:jc w:val="both"/>
      </w:pPr>
      <w:r>
        <w:t>[</w:t>
      </w:r>
      <w:r w:rsidR="00E24982">
        <w:t>10</w:t>
      </w:r>
      <w:r>
        <w:t>]</w:t>
      </w:r>
      <w:r w:rsidR="00782425">
        <w:t xml:space="preserve"> Senāts jau </w:t>
      </w:r>
      <w:r w:rsidR="00323F19">
        <w:t>iepriekšējā</w:t>
      </w:r>
      <w:r w:rsidR="00782425">
        <w:t xml:space="preserve"> spriedumā</w:t>
      </w:r>
      <w:r w:rsidR="004F3B93">
        <w:t xml:space="preserve"> </w:t>
      </w:r>
      <w:r w:rsidR="00782425">
        <w:t xml:space="preserve">šajā lietā analizēja </w:t>
      </w:r>
      <w:r w:rsidR="00893DE1">
        <w:t>apbūves noteikumos</w:t>
      </w:r>
      <w:r w:rsidR="00782425">
        <w:t xml:space="preserve"> ietverto regulējumu par apbūves stāvu skaitu Rīgas valstspilsētā.</w:t>
      </w:r>
    </w:p>
    <w:p w14:paraId="35F4B52C" w14:textId="5844DF15" w:rsidR="001A5EC9" w:rsidRPr="001A5EC9" w:rsidRDefault="00A36892" w:rsidP="006202DC">
      <w:pPr>
        <w:shd w:val="clear" w:color="auto" w:fill="FFFFFF"/>
        <w:spacing w:line="276" w:lineRule="auto"/>
        <w:ind w:firstLine="720"/>
        <w:jc w:val="both"/>
      </w:pPr>
      <w:r>
        <w:t>Proti,</w:t>
      </w:r>
      <w:r w:rsidR="00DA09E6">
        <w:t xml:space="preserve"> laikā, kad bija piemērojams 200</w:t>
      </w:r>
      <w:r w:rsidR="00741945">
        <w:t>6</w:t>
      </w:r>
      <w:r w:rsidR="00DA09E6">
        <w:t>.gada teritorijas plānojums,</w:t>
      </w:r>
      <w:r>
        <w:t xml:space="preserve"> apbūves stāvu skaits Rīgas valstspilsētā bija regulēts minēt</w:t>
      </w:r>
      <w:r w:rsidR="00DA09E6">
        <w:t>ā teritorijas plānojuma sastāvā ietilpstošo</w:t>
      </w:r>
      <w:r>
        <w:t xml:space="preserve"> apbūves noteikumu 3.nodaļas „Noteikumi teritoriju apbūvei” 3.3.apakšnodaļā „Apbūves stāvu skaits”.</w:t>
      </w:r>
      <w:r w:rsidR="001D5563">
        <w:t xml:space="preserve"> </w:t>
      </w:r>
      <w:r w:rsidR="00CB4723">
        <w:t>Minētajā apakšnodaļā iekļautais</w:t>
      </w:r>
      <w:r w:rsidR="001A5EC9" w:rsidRPr="001A5EC9">
        <w:t xml:space="preserve"> 269.punkt</w:t>
      </w:r>
      <w:r w:rsidR="00CB4723">
        <w:t>s paredzēja, ka</w:t>
      </w:r>
      <w:r w:rsidR="001A5EC9" w:rsidRPr="001A5EC9">
        <w:t xml:space="preserve"> tiktāl, ciktāl apbūves noteikumos nav noteikts citādi, būves maksimālais stāvu skaits ir nosakāms, ievērojot teritorijas plānojuma grafiskās daļas plānā „Apbūves stāvu skaita </w:t>
      </w:r>
      <w:r w:rsidR="001A5EC9" w:rsidRPr="001A5EC9">
        <w:lastRenderedPageBreak/>
        <w:t xml:space="preserve">plāns” (16.pielikums) noteikto stāvu skaitu attiecīgajai teritorijai. </w:t>
      </w:r>
      <w:r w:rsidR="00CB4723">
        <w:t>Savukārt apakšnodaļā ietvertais</w:t>
      </w:r>
      <w:r w:rsidR="001A5EC9" w:rsidRPr="001A5EC9">
        <w:t xml:space="preserve"> 270.punkt</w:t>
      </w:r>
      <w:r w:rsidR="00CB4723">
        <w:t>s paredzēja, ka</w:t>
      </w:r>
      <w:r w:rsidR="001A5EC9" w:rsidRPr="001A5EC9">
        <w:t xml:space="preserve"> apbūves aizsardzības teritorijās būves stāvu skaits ir nosakāms, ievērojot iedibināto stāvu skaitu, un tas prevalē pār teritorijas plānojuma grafiskās daļas 16.pielikumā norādīto atļauto stāvu skaitu.</w:t>
      </w:r>
    </w:p>
    <w:p w14:paraId="07D721F8" w14:textId="084598E7" w:rsidR="001A5EC9" w:rsidRDefault="001A5EC9" w:rsidP="006202DC">
      <w:pPr>
        <w:shd w:val="clear" w:color="auto" w:fill="FFFFFF"/>
        <w:spacing w:line="276" w:lineRule="auto"/>
        <w:ind w:firstLine="720"/>
        <w:jc w:val="both"/>
      </w:pPr>
      <w:r w:rsidRPr="001A5EC9">
        <w:t xml:space="preserve">Līdzīgas tiesību normas </w:t>
      </w:r>
      <w:r w:rsidR="00CB4723">
        <w:t>bija</w:t>
      </w:r>
      <w:r w:rsidRPr="001A5EC9">
        <w:t xml:space="preserve"> ietvertas arī apbūves noteikumu 4.nodaļas „Noteikumi kultūrvēsturiskā mantojuma aizsardzībai” 3.apakšnodaļā „Kultūras pieminekļu un apbūves aizsardzības teritoriju apbūves noteikumi”. Proti, 398.1.apakšpunkts paredz</w:t>
      </w:r>
      <w:r w:rsidR="00CB4723">
        <w:t>ēja</w:t>
      </w:r>
      <w:r w:rsidRPr="001A5EC9">
        <w:t>, ka maksimālais būves stāvu skaits apbūves aizsardzības teritorijās ir noteikts plānojuma grafiskās daļas 16.pielikumā, bet iedibināta stāvu skaita gadījumā to nosaka atbilstoši iedibinātajam stāvu skaitam. Savukārt 398.4.apakšpunkts paredz</w:t>
      </w:r>
      <w:r w:rsidR="00CB4723">
        <w:t>ēja</w:t>
      </w:r>
      <w:r w:rsidRPr="001A5EC9">
        <w:t>, ka apbūves aizsardzības teritorijā ietilpstošā zemesgabalā atļauto stāvu skaitu un apbūves tehniskos rādītājus nosaka atbilstoši iedibinātajam stāvu skaitam un apbūves tehniskajiem rādītājiem.</w:t>
      </w:r>
    </w:p>
    <w:p w14:paraId="666C6E15" w14:textId="56847284" w:rsidR="00DA09E6" w:rsidRDefault="006508A1" w:rsidP="006202DC">
      <w:pPr>
        <w:shd w:val="clear" w:color="auto" w:fill="FFFFFF"/>
        <w:spacing w:line="276" w:lineRule="auto"/>
        <w:ind w:firstLine="720"/>
        <w:jc w:val="both"/>
      </w:pPr>
      <w:r>
        <w:lastRenderedPageBreak/>
        <w:t>Tādējādi no</w:t>
      </w:r>
      <w:r w:rsidR="001A77EE">
        <w:t xml:space="preserve"> 200</w:t>
      </w:r>
      <w:r w:rsidR="00741945">
        <w:t>6</w:t>
      </w:r>
      <w:r w:rsidR="001A77EE">
        <w:t xml:space="preserve">.gada teritorijas plānojumā ietverto </w:t>
      </w:r>
      <w:r>
        <w:t>apbūves noteikumu normām skaidri izrietēja:</w:t>
      </w:r>
      <w:r w:rsidR="0046545B">
        <w:t xml:space="preserve"> vispārīgā gadījumā,</w:t>
      </w:r>
      <w:r>
        <w:t xml:space="preserve"> ja tiek būvēta jauna būve, tās maksimālajam stāvu skaitam ir jāatbilst teritorijas plānojuma grafiskās daļas 16.pielikumā noteiktajam stāvu skaitam attiecīgaj</w:t>
      </w:r>
      <w:r w:rsidR="000F7880">
        <w:t>ā</w:t>
      </w:r>
      <w:r>
        <w:t xml:space="preserve"> teritorijā; savukārt, ja jauna būve tiek būvēta </w:t>
      </w:r>
      <w:r w:rsidR="0046545B">
        <w:t xml:space="preserve">apbūves aizsardzības teritorijā, </w:t>
      </w:r>
      <w:r w:rsidR="004E42F8">
        <w:t xml:space="preserve">tās maksimālajam stāvu skaitam ir jāatbilst </w:t>
      </w:r>
      <w:r w:rsidR="000F7880">
        <w:t>iedibinātajam stāvu skaitam (kas apbūves noteikumu 2.3</w:t>
      </w:r>
      <w:r w:rsidR="00616E27">
        <w:t>5</w:t>
      </w:r>
      <w:r w:rsidR="000F7880">
        <w:t>.apakšpunktā bija definēts kā stāvu skaits, kāds ir vismaz 50 % no kvartālā likumīgi esošām ēkām).</w:t>
      </w:r>
    </w:p>
    <w:p w14:paraId="35AE2BD8" w14:textId="77777777" w:rsidR="00016361" w:rsidRDefault="00016361" w:rsidP="006202DC">
      <w:pPr>
        <w:shd w:val="clear" w:color="auto" w:fill="FFFFFF"/>
        <w:spacing w:line="276" w:lineRule="auto"/>
        <w:ind w:firstLine="720"/>
        <w:jc w:val="both"/>
      </w:pPr>
    </w:p>
    <w:p w14:paraId="667E5D0E" w14:textId="322A189B" w:rsidR="00E24982" w:rsidRDefault="00016361" w:rsidP="006202DC">
      <w:pPr>
        <w:shd w:val="clear" w:color="auto" w:fill="FFFFFF"/>
        <w:spacing w:line="276" w:lineRule="auto"/>
        <w:ind w:firstLine="720"/>
        <w:jc w:val="both"/>
      </w:pPr>
      <w:r>
        <w:t>[</w:t>
      </w:r>
      <w:r w:rsidR="00E24982">
        <w:t>11</w:t>
      </w:r>
      <w:r>
        <w:t xml:space="preserve">] Tiesa pārsūdzētajā spriedumā, </w:t>
      </w:r>
      <w:r w:rsidR="00841D29">
        <w:t>analizējot,</w:t>
      </w:r>
      <w:r>
        <w:t xml:space="preserve"> kāds ir kvartālā, kurā </w:t>
      </w:r>
      <w:r w:rsidR="00AB2A86">
        <w:t>iecerēts īstenot strīdus būvieceri, iedibinātais stāvu skaits, ir izdarījusi nepārprotamu secinājumu, ka</w:t>
      </w:r>
      <w:r w:rsidR="00C2387A">
        <w:t xml:space="preserve">, pat </w:t>
      </w:r>
      <w:r w:rsidR="00841D29">
        <w:t>vērtējot</w:t>
      </w:r>
      <w:r w:rsidR="00C2387A">
        <w:t xml:space="preserve"> iedibināto stāvu skaitu no vairākiem aspektiem,</w:t>
      </w:r>
      <w:r w:rsidR="00AB2A86">
        <w:t xml:space="preserve"> tas ir mazāks par stāvu skaitu, kāds ir plānots strīdus būvei</w:t>
      </w:r>
      <w:r w:rsidR="00C2387A">
        <w:t xml:space="preserve"> </w:t>
      </w:r>
      <w:r w:rsidR="00AB2A86">
        <w:t>(</w:t>
      </w:r>
      <w:r w:rsidR="0004275B" w:rsidRPr="0004275B">
        <w:rPr>
          <w:i/>
          <w:iCs/>
        </w:rPr>
        <w:t xml:space="preserve">pārsūdzētā </w:t>
      </w:r>
      <w:r w:rsidR="00AB2A86" w:rsidRPr="00AB2A86">
        <w:rPr>
          <w:i/>
          <w:iCs/>
        </w:rPr>
        <w:t>sprieduma 23.punkts</w:t>
      </w:r>
      <w:r w:rsidR="00AB2A86">
        <w:t>)</w:t>
      </w:r>
      <w:r w:rsidR="000E284F">
        <w:t xml:space="preserve">. </w:t>
      </w:r>
    </w:p>
    <w:p w14:paraId="23011402" w14:textId="60A9A07A" w:rsidR="00F8753C" w:rsidRDefault="00DD0552" w:rsidP="006202DC">
      <w:pPr>
        <w:shd w:val="clear" w:color="auto" w:fill="FFFFFF"/>
        <w:spacing w:line="276" w:lineRule="auto"/>
        <w:ind w:firstLine="720"/>
        <w:jc w:val="both"/>
      </w:pPr>
      <w:r>
        <w:lastRenderedPageBreak/>
        <w:t>T</w:t>
      </w:r>
      <w:r w:rsidR="005173F9">
        <w:t>aču t</w:t>
      </w:r>
      <w:r>
        <w:t>ālāk</w:t>
      </w:r>
      <w:r w:rsidR="000E284F">
        <w:t xml:space="preserve"> spriedumā </w:t>
      </w:r>
      <w:r>
        <w:t xml:space="preserve">tiesa </w:t>
      </w:r>
      <w:r w:rsidR="005368ED">
        <w:t xml:space="preserve">ir </w:t>
      </w:r>
      <w:r w:rsidR="000E284F">
        <w:t xml:space="preserve">atzinusi, ka </w:t>
      </w:r>
      <w:r>
        <w:t>šī iemesla dēļ pirms strīdus būvatļaujas izdošanas teritorijai, kurā iecerēta strīdus būves būvniecība, bija nepieciešams izstrādāt detālplānojumu</w:t>
      </w:r>
      <w:r w:rsidR="007E7F79">
        <w:t xml:space="preserve"> (</w:t>
      </w:r>
      <w:r w:rsidR="00F8753C">
        <w:t>nevis</w:t>
      </w:r>
      <w:r w:rsidR="009E0179">
        <w:t>, ka strīdus būves būvniecība neatbilst 2006.gada teritorijas plānojumam</w:t>
      </w:r>
      <w:r w:rsidR="007E7F79">
        <w:t>)</w:t>
      </w:r>
      <w:r w:rsidR="009E0179">
        <w:t xml:space="preserve">. </w:t>
      </w:r>
      <w:r w:rsidR="00075E7C">
        <w:t xml:space="preserve">No sprieduma noprotams, ka minētā secinājuma pamatā ir tiesas uzskats, ka </w:t>
      </w:r>
      <w:r w:rsidR="003D2542">
        <w:t>strīdus būves stāvu skaita neatbilstība</w:t>
      </w:r>
      <w:r w:rsidR="00C75568">
        <w:t xml:space="preserve"> tādam konkrētajā teritorijā jau esošo būvju apbūves</w:t>
      </w:r>
      <w:r w:rsidR="003D2542">
        <w:t xml:space="preserve"> </w:t>
      </w:r>
      <w:r w:rsidR="00C75568">
        <w:t xml:space="preserve">parametram kā </w:t>
      </w:r>
      <w:r w:rsidR="003D2542">
        <w:t xml:space="preserve">iedibinātajam stāvu skaitam </w:t>
      </w:r>
      <w:r w:rsidR="003B376B">
        <w:t>var tikt risināta, detālplānojumā būvei paredzot no iedibinātā stāvu skaita atšķirīgu maksimālo stāvu skaitu.</w:t>
      </w:r>
    </w:p>
    <w:p w14:paraId="381566A1" w14:textId="0997F9D4" w:rsidR="00D219F9" w:rsidRDefault="00473847" w:rsidP="006202DC">
      <w:pPr>
        <w:shd w:val="clear" w:color="auto" w:fill="FFFFFF"/>
        <w:spacing w:line="276" w:lineRule="auto"/>
        <w:ind w:firstLine="720"/>
        <w:jc w:val="both"/>
      </w:pPr>
      <w:r>
        <w:t xml:space="preserve">Senāts </w:t>
      </w:r>
      <w:r w:rsidR="003D2542">
        <w:t>šādu uzskatu atzīst par nepareizu.</w:t>
      </w:r>
    </w:p>
    <w:p w14:paraId="54F1A7B7" w14:textId="77777777" w:rsidR="00D219F9" w:rsidRDefault="00D219F9" w:rsidP="006202DC">
      <w:pPr>
        <w:shd w:val="clear" w:color="auto" w:fill="FFFFFF"/>
        <w:spacing w:line="276" w:lineRule="auto"/>
        <w:ind w:firstLine="720"/>
        <w:jc w:val="both"/>
      </w:pPr>
    </w:p>
    <w:p w14:paraId="2EBE064F" w14:textId="00AB4DEB" w:rsidR="00BE65C3" w:rsidRDefault="00D219F9" w:rsidP="006202DC">
      <w:pPr>
        <w:shd w:val="clear" w:color="auto" w:fill="FFFFFF"/>
        <w:spacing w:line="276" w:lineRule="auto"/>
        <w:ind w:firstLine="720"/>
        <w:jc w:val="both"/>
      </w:pPr>
      <w:r>
        <w:t>[</w:t>
      </w:r>
      <w:r w:rsidR="00E24982">
        <w:t>12</w:t>
      </w:r>
      <w:r>
        <w:t>] </w:t>
      </w:r>
      <w:r w:rsidR="00E459FE">
        <w:t xml:space="preserve">Senāts jau </w:t>
      </w:r>
      <w:r w:rsidR="00EA60C0">
        <w:t>iepriekš</w:t>
      </w:r>
      <w:r w:rsidR="00E459FE">
        <w:t xml:space="preserve"> šajā lietā norādīja, ka tas, ka </w:t>
      </w:r>
      <w:r w:rsidR="00533449">
        <w:t xml:space="preserve">iedibinātais stāvu skaits ir mazāks par būvprojektā paredzēto strīdus būves stāvu skaitu, </w:t>
      </w:r>
      <w:r w:rsidR="00E459FE">
        <w:t>ir apstāklis, kas visupirms ir nozīmīgs, vērtējot, vai iecerētā būve atbilst teritorijas plānojuma normām</w:t>
      </w:r>
      <w:r w:rsidR="00FB2184">
        <w:t xml:space="preserve"> (</w:t>
      </w:r>
      <w:r w:rsidR="00695212" w:rsidRPr="00695212">
        <w:rPr>
          <w:i/>
          <w:iCs/>
        </w:rPr>
        <w:t>sprieduma 17.punkts</w:t>
      </w:r>
      <w:r w:rsidR="00FB2184">
        <w:t>)</w:t>
      </w:r>
      <w:r w:rsidR="00E459FE">
        <w:t>.</w:t>
      </w:r>
    </w:p>
    <w:p w14:paraId="66F295B7" w14:textId="6FC8D952" w:rsidR="008A4986" w:rsidRDefault="00035EDC" w:rsidP="006202DC">
      <w:pPr>
        <w:shd w:val="clear" w:color="auto" w:fill="FFFFFF"/>
        <w:spacing w:line="276" w:lineRule="auto"/>
        <w:ind w:firstLine="720"/>
        <w:jc w:val="both"/>
      </w:pPr>
      <w:r>
        <w:lastRenderedPageBreak/>
        <w:t xml:space="preserve">Šajā sakarā jāņem vērā, ka </w:t>
      </w:r>
      <w:r w:rsidR="00E833DD">
        <w:t xml:space="preserve">pašvaldībai </w:t>
      </w:r>
      <w:r w:rsidR="00E34460">
        <w:t>vispārīgi ir liela rīcības brīvība tās teritorijas plānojumā noteikt darbību prioritātes, attīstības virzienu</w:t>
      </w:r>
      <w:r w:rsidR="0064508D">
        <w:t>s</w:t>
      </w:r>
      <w:r w:rsidR="00E34460">
        <w:t xml:space="preserve"> un sasniedzamos mērķus, kuru labad nepieciešams paredzēt īpašuma tiesību izmantošanas priekšnoteikumus</w:t>
      </w:r>
      <w:r w:rsidR="008A523E">
        <w:t xml:space="preserve"> (</w:t>
      </w:r>
      <w:r w:rsidR="00320FC5" w:rsidRPr="00320FC5">
        <w:rPr>
          <w:i/>
          <w:iCs/>
        </w:rPr>
        <w:t>Satversmes tiesas</w:t>
      </w:r>
      <w:r w:rsidR="00320FC5">
        <w:t xml:space="preserve"> </w:t>
      </w:r>
      <w:r w:rsidR="00320FC5" w:rsidRPr="00320FC5">
        <w:rPr>
          <w:i/>
          <w:iCs/>
        </w:rPr>
        <w:t>2013.gada 5.aprīļa sprieduma lietā Nr.</w:t>
      </w:r>
      <w:r w:rsidR="00320FC5">
        <w:rPr>
          <w:i/>
          <w:iCs/>
        </w:rPr>
        <w:t> </w:t>
      </w:r>
      <w:r w:rsidR="00320FC5" w:rsidRPr="00320FC5">
        <w:rPr>
          <w:i/>
          <w:iCs/>
        </w:rPr>
        <w:t>2012-20-03 12.punkts</w:t>
      </w:r>
      <w:r w:rsidR="008A523E">
        <w:t>)</w:t>
      </w:r>
      <w:r w:rsidR="001072CB">
        <w:t>. K</w:t>
      </w:r>
      <w:r w:rsidR="008A523E">
        <w:t xml:space="preserve">onkrētajā gadījumā pašvaldība šo rīcības brīvību ir izmantojusi tādējādi, ka </w:t>
      </w:r>
      <w:r w:rsidR="003C3C18">
        <w:t>200</w:t>
      </w:r>
      <w:r w:rsidR="00ED0612">
        <w:t>6</w:t>
      </w:r>
      <w:r w:rsidR="003C3C18">
        <w:t xml:space="preserve">.gada </w:t>
      </w:r>
      <w:r w:rsidR="008A523E">
        <w:t xml:space="preserve">teritorijas plānojumā ir noregulējusi maksimālā apbūves stāvu skaita jautājumu visā pilsētas teritorijā. Proti, </w:t>
      </w:r>
      <w:r w:rsidR="001072CB">
        <w:t xml:space="preserve">kā jau norādīts, </w:t>
      </w:r>
      <w:r w:rsidR="000D58FB">
        <w:t>pašvaldība teritorijas plānojumā ir skaidri paredzējusi, ka jaunas būvniecības gadījumā būves maksimālajam stāvu skaitam ir jāatbilst vai nu teritorijas plānojuma grafiskajā daļā</w:t>
      </w:r>
      <w:r w:rsidR="00090579">
        <w:t xml:space="preserve"> attēlotajam stāvu skaitam konkrētajā pilsētas daļā, vai arī iedibinātajam stāvu skaitam, ja būvieceri plānots īstenot kādā no pilsētas </w:t>
      </w:r>
      <w:r w:rsidR="00090579" w:rsidRPr="001A5EC9">
        <w:t xml:space="preserve">kultūras pieminekļu aizsardzības </w:t>
      </w:r>
      <w:r w:rsidR="00090579">
        <w:t>vai</w:t>
      </w:r>
      <w:r w:rsidR="00090579" w:rsidRPr="001A5EC9">
        <w:t xml:space="preserve"> apbūves aizsardzības </w:t>
      </w:r>
      <w:r w:rsidR="002E6F67">
        <w:t>teritorijām</w:t>
      </w:r>
      <w:r w:rsidR="00FB5C98">
        <w:t>.</w:t>
      </w:r>
      <w:r w:rsidR="002D5E10">
        <w:t xml:space="preserve"> </w:t>
      </w:r>
      <w:r w:rsidR="00944AD7">
        <w:t>Šādā situācijā –</w:t>
      </w:r>
      <w:r w:rsidR="00B40F73">
        <w:t xml:space="preserve"> </w:t>
      </w:r>
      <w:r w:rsidR="00944AD7">
        <w:t>kad pašvaldība teritorijas plānojumā ir nepārpro</w:t>
      </w:r>
      <w:r w:rsidR="00944AD7">
        <w:lastRenderedPageBreak/>
        <w:t xml:space="preserve">tami noteikusi konkrētā pilsētas daļā pieļaujamo maksimālo apbūves stāvu skaitu jaunai būvniecībai –, </w:t>
      </w:r>
      <w:r w:rsidR="00357931">
        <w:t xml:space="preserve">nav šaubu, ka </w:t>
      </w:r>
      <w:r w:rsidR="00944AD7">
        <w:t>minētais stāvu skaits</w:t>
      </w:r>
      <w:r w:rsidR="00042E79">
        <w:t xml:space="preserve"> ir tāds apbūves </w:t>
      </w:r>
      <w:r w:rsidR="006A4854">
        <w:t>rādītājs</w:t>
      </w:r>
      <w:r w:rsidR="00042E79">
        <w:t>, kas</w:t>
      </w:r>
      <w:r w:rsidR="00944AD7">
        <w:t xml:space="preserve"> </w:t>
      </w:r>
      <w:r w:rsidR="00B40F73">
        <w:t>zemesgabala īpašniekam</w:t>
      </w:r>
      <w:r w:rsidR="00944AD7">
        <w:t xml:space="preserve"> ir jāievēro, izstrādājot būvprojektu</w:t>
      </w:r>
      <w:r w:rsidR="00357931">
        <w:t>.</w:t>
      </w:r>
    </w:p>
    <w:p w14:paraId="4E4697E5" w14:textId="129BE530" w:rsidR="00F257EB" w:rsidRDefault="008A4986" w:rsidP="006202DC">
      <w:pPr>
        <w:shd w:val="clear" w:color="auto" w:fill="FFFFFF"/>
        <w:spacing w:line="276" w:lineRule="auto"/>
        <w:ind w:firstLine="720"/>
        <w:jc w:val="both"/>
      </w:pPr>
      <w:r>
        <w:t xml:space="preserve">Savukārt detālplānojumā no teritorijas plānojuma atšķirīgs – proti, lielāks – maksimālais apbūves stāvu skaits konkrētā pilsētas </w:t>
      </w:r>
      <w:r w:rsidR="0027125F">
        <w:t xml:space="preserve">daļā </w:t>
      </w:r>
      <w:r>
        <w:t xml:space="preserve">varētu tikt noteikts tad, ja </w:t>
      </w:r>
      <w:r w:rsidR="005758F7">
        <w:t xml:space="preserve">šādu iespēju tieši paredzētu </w:t>
      </w:r>
      <w:r w:rsidR="000B0FDF">
        <w:t>200</w:t>
      </w:r>
      <w:r w:rsidR="00ED0612">
        <w:t>6</w:t>
      </w:r>
      <w:r w:rsidR="000B0FDF">
        <w:t xml:space="preserve">.gada </w:t>
      </w:r>
      <w:r w:rsidR="005758F7">
        <w:t xml:space="preserve">teritorijas plānojums. </w:t>
      </w:r>
      <w:r w:rsidR="000B0FDF">
        <w:t xml:space="preserve">Minētais pamatojams ar to, ka </w:t>
      </w:r>
      <w:r w:rsidR="00B84A93">
        <w:t>atbilstoši Teritorijas attīstības plānošanas likuma 28.panta pirmajai daļai (</w:t>
      </w:r>
      <w:r w:rsidR="00B84A93" w:rsidRPr="003165FD">
        <w:rPr>
          <w:i/>
          <w:iCs/>
        </w:rPr>
        <w:t>redakcijā, kas bija spēkā gan strīdus būvatļaujas izdošanas, gan pārsūdzētā sprieduma sastādīšanas brīdī</w:t>
      </w:r>
      <w:r w:rsidR="00BE65C3">
        <w:rPr>
          <w:i/>
          <w:iCs/>
        </w:rPr>
        <w:t xml:space="preserve">, gan </w:t>
      </w:r>
      <w:r w:rsidR="00ED0612">
        <w:rPr>
          <w:i/>
          <w:iCs/>
        </w:rPr>
        <w:t xml:space="preserve">arī </w:t>
      </w:r>
      <w:r w:rsidR="00BE65C3">
        <w:rPr>
          <w:i/>
          <w:iCs/>
        </w:rPr>
        <w:t>šobrīd</w:t>
      </w:r>
      <w:r w:rsidR="00B84A93">
        <w:t>) detālplānojums ir tāds teritorijas plānošanas dokuments, kurā var detalizēt un konkretizēt (bet ne grozīt) teritorijas plānojumā noteiktajā funkcionālajā zonējumā paredzētos teritorijas izmantošanas veidus un aprobežojumus.</w:t>
      </w:r>
      <w:r w:rsidR="00C27A7B">
        <w:t xml:space="preserve"> Tādējādi vispārīgi detālplānojums nav tāds tiesiskais instru</w:t>
      </w:r>
      <w:r w:rsidR="00C27A7B">
        <w:lastRenderedPageBreak/>
        <w:t xml:space="preserve">ments, ar kura palīdzību var risināt </w:t>
      </w:r>
      <w:r w:rsidR="00FE19EB">
        <w:t>tādus ar teritorijas izmantošanu un apbūvi saistītus jautājumus, kas ir skaidri un nepārprotami noregulēti teritorijas plānojum</w:t>
      </w:r>
      <w:r w:rsidR="004A7716">
        <w:t xml:space="preserve">ā un līdz ar to nav ne </w:t>
      </w:r>
      <w:r w:rsidR="00DA2B26">
        <w:t xml:space="preserve">sīkāk </w:t>
      </w:r>
      <w:r w:rsidR="004A7716">
        <w:t>detalizējami, ne konkretizējami</w:t>
      </w:r>
      <w:r w:rsidR="00DA2B26">
        <w:t xml:space="preserve"> hierarhiski zemākā teritorijas plānošanas dokumentā</w:t>
      </w:r>
      <w:r w:rsidR="004A7716">
        <w:t xml:space="preserve">. </w:t>
      </w:r>
    </w:p>
    <w:p w14:paraId="291A4D1E" w14:textId="2ACFB1D9" w:rsidR="0099452D" w:rsidRDefault="009D2D72" w:rsidP="006202DC">
      <w:pPr>
        <w:shd w:val="clear" w:color="auto" w:fill="FFFFFF"/>
        <w:spacing w:line="276" w:lineRule="auto"/>
        <w:ind w:firstLine="720"/>
        <w:jc w:val="both"/>
      </w:pPr>
      <w:r>
        <w:t xml:space="preserve">Konkrētajā gadījumā </w:t>
      </w:r>
      <w:r w:rsidR="009101AE">
        <w:t>tiesa</w:t>
      </w:r>
      <w:r w:rsidR="00FD6003">
        <w:t xml:space="preserve"> </w:t>
      </w:r>
      <w:r w:rsidR="00E24982">
        <w:t xml:space="preserve">nav norādījusi uz </w:t>
      </w:r>
      <w:r w:rsidR="00EF09BA">
        <w:t>200</w:t>
      </w:r>
      <w:r w:rsidR="00FD6003">
        <w:t>6</w:t>
      </w:r>
      <w:r w:rsidR="00EF09BA">
        <w:t>.gada</w:t>
      </w:r>
      <w:r w:rsidR="00005BCF">
        <w:t xml:space="preserve"> teritorijas plānojuma normu, </w:t>
      </w:r>
      <w:r w:rsidR="00E5122C">
        <w:t>no kuras izrietētu iespēja</w:t>
      </w:r>
      <w:r w:rsidR="00E20938">
        <w:t xml:space="preserve"> detālplānojumā </w:t>
      </w:r>
      <w:r w:rsidR="00844C3E">
        <w:t xml:space="preserve">noteikt no teritorijas plānojuma </w:t>
      </w:r>
      <w:r w:rsidR="00797974">
        <w:t>normās noteiktā maksimālā</w:t>
      </w:r>
      <w:r w:rsidR="00844C3E">
        <w:t xml:space="preserve"> stāvu skaita atšķirīgu apbūves stāvu skaitu noteiktā pilsētas daļā</w:t>
      </w:r>
      <w:r w:rsidR="0099452D">
        <w:t xml:space="preserve">. </w:t>
      </w:r>
      <w:r w:rsidR="001C51C0">
        <w:t xml:space="preserve">Arī Senāts nekonstatē, ka teritorijas plānojumā </w:t>
      </w:r>
      <w:r w:rsidR="00E90463">
        <w:t xml:space="preserve">ir </w:t>
      </w:r>
      <w:r w:rsidR="001C51C0">
        <w:t xml:space="preserve">ietvertas </w:t>
      </w:r>
      <w:r w:rsidR="00E90463">
        <w:t xml:space="preserve">šādas </w:t>
      </w:r>
      <w:r w:rsidR="00E13218">
        <w:t>normas.</w:t>
      </w:r>
      <w:r w:rsidR="00F9482F">
        <w:t xml:space="preserve"> </w:t>
      </w:r>
      <w:r w:rsidR="00FA0B23">
        <w:t>Tādējādi</w:t>
      </w:r>
      <w:r w:rsidR="00782020">
        <w:t xml:space="preserve"> </w:t>
      </w:r>
      <w:r w:rsidR="00942EFD">
        <w:t xml:space="preserve">tiesa pārsūdzētajā spriedumā ir nonākusi pie nepareiza secinājuma, ka </w:t>
      </w:r>
      <w:r w:rsidR="00F9482F">
        <w:t xml:space="preserve">būvprojektā paredzētā strīdus būves stāvu skaita neatbilstība iedibinātajam stāvu skaitam </w:t>
      </w:r>
      <w:r w:rsidR="00942EFD">
        <w:t>nozīmē</w:t>
      </w:r>
      <w:r w:rsidR="00EC4411">
        <w:t xml:space="preserve"> vien to</w:t>
      </w:r>
      <w:r w:rsidR="00942EFD">
        <w:t>, ka pirms strīdus būvieceres īstenošanas teritorijai, kurā iecerēts būvēt strīdus būvi, bija nepieciešams izstrādāt detālplānojumu</w:t>
      </w:r>
      <w:r w:rsidR="00E24982">
        <w:t xml:space="preserve"> (un ar tā palīdzību risināt neatbilstības iedibinātajam stāvu skaitam jautājumu)</w:t>
      </w:r>
      <w:r w:rsidR="00942EFD">
        <w:t>.</w:t>
      </w:r>
      <w:r w:rsidR="00627D5F">
        <w:t xml:space="preserve"> </w:t>
      </w:r>
      <w:r w:rsidR="00E24982">
        <w:t xml:space="preserve">Tiesa </w:t>
      </w:r>
      <w:r w:rsidR="00E24982">
        <w:lastRenderedPageBreak/>
        <w:t xml:space="preserve">nav pievērsusi uzmanību, ka gadījumā, ja </w:t>
      </w:r>
      <w:r w:rsidR="00627D5F">
        <w:t>būviecere neatbilst vietējās pašvaldības teritorijas plānojumam, tas pats par sevi ir pamats secinājumam, ka šādai būviecerei nevar tikt izsniegta būvatļauja.</w:t>
      </w:r>
      <w:r w:rsidR="00067766">
        <w:t xml:space="preserve"> Citiem vārdiem sakot, tiesa nevajadzīgi pievērsusies jautājumam, vai strīdus būves būvniecībai saskaņā ar spēkā esošajām normām būtu nepieciešams izstrādāt detālplānojumu, nepievērošot uzmanību tam, ka tiesiskais regulējums visupirms prasa, lai būviecere atbilstu vietējās pašvaldības teritorijas plānojumam.</w:t>
      </w:r>
    </w:p>
    <w:p w14:paraId="42BAA829" w14:textId="77777777" w:rsidR="00942EFD" w:rsidRDefault="00942EFD" w:rsidP="006202DC">
      <w:pPr>
        <w:shd w:val="clear" w:color="auto" w:fill="FFFFFF"/>
        <w:spacing w:line="276" w:lineRule="auto"/>
        <w:ind w:firstLine="720"/>
        <w:jc w:val="both"/>
      </w:pPr>
    </w:p>
    <w:p w14:paraId="757D9945" w14:textId="4305969A" w:rsidR="00B3104C" w:rsidRDefault="00942EFD" w:rsidP="006202DC">
      <w:pPr>
        <w:shd w:val="clear" w:color="auto" w:fill="FFFFFF"/>
        <w:spacing w:line="276" w:lineRule="auto"/>
        <w:ind w:firstLine="720"/>
        <w:jc w:val="both"/>
      </w:pPr>
      <w:r>
        <w:t>[</w:t>
      </w:r>
      <w:r w:rsidR="00E24982">
        <w:t>13</w:t>
      </w:r>
      <w:r>
        <w:t>]</w:t>
      </w:r>
      <w:r w:rsidR="00D84E9F">
        <w:t> D</w:t>
      </w:r>
      <w:r>
        <w:t xml:space="preserve">epartaments paskaidrojumos par kasācijas sūdzību turpina uzturēt jau visā tiesvedības gaitā </w:t>
      </w:r>
      <w:r w:rsidR="00411FDF">
        <w:t xml:space="preserve">pausto </w:t>
      </w:r>
      <w:r>
        <w:t>viedokli, ka</w:t>
      </w:r>
      <w:r w:rsidR="001468F4">
        <w:t xml:space="preserve"> teritorijā</w:t>
      </w:r>
      <w:r w:rsidR="00885E2A">
        <w:t xml:space="preserve"> (</w:t>
      </w:r>
      <w:r w:rsidR="001468F4">
        <w:t>konkrētāk – kvartālā</w:t>
      </w:r>
      <w:r w:rsidR="00885E2A">
        <w:t>)</w:t>
      </w:r>
      <w:r w:rsidR="001468F4">
        <w:t>, kurā plānot būvēt strīdus būvi, nemaz nav iespējams noteikt iedibināto stāvu skaitu.</w:t>
      </w:r>
    </w:p>
    <w:p w14:paraId="785E9D58" w14:textId="7794185C" w:rsidR="0082164C" w:rsidRDefault="00174DAD" w:rsidP="006202DC">
      <w:pPr>
        <w:shd w:val="clear" w:color="auto" w:fill="FFFFFF"/>
        <w:spacing w:line="276" w:lineRule="auto"/>
        <w:ind w:firstLine="720"/>
        <w:jc w:val="both"/>
      </w:pPr>
      <w:r>
        <w:t xml:space="preserve">Vispirms departaments norāda, ka tiesa </w:t>
      </w:r>
      <w:r w:rsidR="00526297">
        <w:t xml:space="preserve">pārāk šauri – faktiski tikai no gramatiskā viedokļa </w:t>
      </w:r>
      <w:r w:rsidR="008B7A85">
        <w:t xml:space="preserve">un atrauti no citām apbūves noteikumu normām </w:t>
      </w:r>
      <w:r w:rsidR="00526297">
        <w:t xml:space="preserve">– esot interpretējusi </w:t>
      </w:r>
      <w:r w:rsidR="00526297">
        <w:lastRenderedPageBreak/>
        <w:t>200</w:t>
      </w:r>
      <w:r w:rsidR="0038764F">
        <w:t>6</w:t>
      </w:r>
      <w:r w:rsidR="00526297">
        <w:t>.gada teritorijas plānojuma</w:t>
      </w:r>
      <w:r w:rsidR="006F2E19">
        <w:t xml:space="preserve"> sastāvā ietilpstošās apbūves noteikumu</w:t>
      </w:r>
      <w:r w:rsidR="00526297">
        <w:t xml:space="preserve"> normas par iedibināto stāvu skaitu.</w:t>
      </w:r>
    </w:p>
    <w:p w14:paraId="3EE81C17" w14:textId="02FBDA11" w:rsidR="00175B04" w:rsidRDefault="0082164C" w:rsidP="006202DC">
      <w:pPr>
        <w:shd w:val="clear" w:color="auto" w:fill="FFFFFF"/>
        <w:spacing w:line="276" w:lineRule="auto"/>
        <w:ind w:firstLine="720"/>
        <w:jc w:val="both"/>
      </w:pPr>
      <w:r>
        <w:t>Senāts tam nepiekrīt. I</w:t>
      </w:r>
      <w:r w:rsidR="00140EEA">
        <w:t>edibinātais stāvu skaits</w:t>
      </w:r>
      <w:r w:rsidR="00D47935">
        <w:t xml:space="preserve"> – </w:t>
      </w:r>
      <w:r w:rsidR="00885B16">
        <w:t>kas</w:t>
      </w:r>
      <w:r w:rsidR="005A419E">
        <w:t>, kā Senāts atzina jau iepriekš šajā lietā pieņemtajā spriedumā,</w:t>
      </w:r>
      <w:r w:rsidR="00885B16">
        <w:t xml:space="preserve"> ir viens no apbūves aizsardzības teritorijās iedibināto apbūvi raksturojošiem elementiem</w:t>
      </w:r>
      <w:r w:rsidR="00D47935">
        <w:t xml:space="preserve"> – </w:t>
      </w:r>
      <w:r w:rsidR="00885B16">
        <w:t xml:space="preserve">apbūves noteikumu normās </w:t>
      </w:r>
      <w:r w:rsidR="00C5153C">
        <w:t xml:space="preserve">ir skaidri </w:t>
      </w:r>
      <w:r w:rsidR="00D47935">
        <w:t>definēts kā tāds stāvu skaits</w:t>
      </w:r>
      <w:r w:rsidR="00C5153C">
        <w:t>, kāds ir vismaz 50 % no kvartālā esošajām būvēm.</w:t>
      </w:r>
      <w:r w:rsidR="003D0283">
        <w:t xml:space="preserve"> </w:t>
      </w:r>
      <w:r w:rsidR="00175B04">
        <w:t xml:space="preserve">Tādējādi secināms, ka pašvaldība kā teritorijas plānojuma izstrādātāja apbūves noteikumu normās ir prezumējusi, ka stāvu skaits, kāds ir vismaz pusei no kvartālā likumīgi uzbūvētajām būvēm, ir </w:t>
      </w:r>
      <w:r w:rsidR="00D345C8">
        <w:t xml:space="preserve">uzskatāms par tādu </w:t>
      </w:r>
      <w:r w:rsidR="00175B04">
        <w:t>stāvu skait</w:t>
      </w:r>
      <w:r w:rsidR="00D345C8">
        <w:t>u</w:t>
      </w:r>
      <w:r w:rsidR="00175B04">
        <w:t xml:space="preserve">, kas raksturo </w:t>
      </w:r>
      <w:r w:rsidR="00D345C8">
        <w:t>attiecīgajā apbūves aizsardzības teritorijā esošo iedibināto apbūvi</w:t>
      </w:r>
      <w:r w:rsidR="00343DBC">
        <w:t xml:space="preserve">. </w:t>
      </w:r>
      <w:r w:rsidR="00CD7319">
        <w:t xml:space="preserve">Savukārt šī apbūves noteikumos ietvertā prezumpcija, kā tas ir jebkuras prezumpcijas gadījumā, var tikt atspēkota. Proti, </w:t>
      </w:r>
      <w:r w:rsidR="0059044D">
        <w:t>ja ir konkrēti apsvērumi, kas konkrētajā situācijā norāda uz to, ka stāvu skaits, kas ir vismaz pusei no kvartālā likumīgi uzbūvētajām būvēm, tomēr nevar tikt uzskatīts par tādu, kas raksturo</w:t>
      </w:r>
      <w:r w:rsidR="00616E27">
        <w:t xml:space="preserve"> attiecīgajā </w:t>
      </w:r>
      <w:r w:rsidR="00616E27">
        <w:lastRenderedPageBreak/>
        <w:t xml:space="preserve">kvartālā esošo iedibināto apbūvi </w:t>
      </w:r>
      <w:r w:rsidR="002B25C3">
        <w:t>(</w:t>
      </w:r>
      <w:r w:rsidR="00616E27">
        <w:t>tas ir, apbūvi, kuru vieno savdabīgs apbūves raksturs, noteikts apbūves apjoms, izmērs un proporciju sistēma, forma, arhitektūra un pielietotie materiāli</w:t>
      </w:r>
      <w:r w:rsidR="0001450C">
        <w:t xml:space="preserve"> (</w:t>
      </w:r>
      <w:r w:rsidR="0001450C" w:rsidRPr="002B25C3">
        <w:rPr>
          <w:i/>
          <w:iCs/>
        </w:rPr>
        <w:t>sk. apbūves noteikumu 2.3</w:t>
      </w:r>
      <w:r w:rsidR="002B25C3" w:rsidRPr="002B25C3">
        <w:rPr>
          <w:i/>
          <w:iCs/>
        </w:rPr>
        <w:t>4</w:t>
      </w:r>
      <w:r w:rsidR="0001450C" w:rsidRPr="002B25C3">
        <w:rPr>
          <w:i/>
          <w:iCs/>
        </w:rPr>
        <w:t xml:space="preserve">.apakšpunktā ietverto </w:t>
      </w:r>
      <w:r w:rsidR="001B212B" w:rsidRPr="002B25C3">
        <w:rPr>
          <w:i/>
          <w:iCs/>
        </w:rPr>
        <w:t xml:space="preserve">jēdziena </w:t>
      </w:r>
      <w:r w:rsidR="0001450C" w:rsidRPr="002B25C3">
        <w:rPr>
          <w:i/>
          <w:iCs/>
        </w:rPr>
        <w:t>„iedibināt</w:t>
      </w:r>
      <w:r w:rsidR="001B212B" w:rsidRPr="002B25C3">
        <w:rPr>
          <w:i/>
          <w:iCs/>
        </w:rPr>
        <w:t>a</w:t>
      </w:r>
      <w:r w:rsidR="0001450C" w:rsidRPr="002B25C3">
        <w:rPr>
          <w:i/>
          <w:iCs/>
        </w:rPr>
        <w:t xml:space="preserve"> apbūve”</w:t>
      </w:r>
      <w:r w:rsidR="001B212B" w:rsidRPr="002B25C3">
        <w:rPr>
          <w:i/>
          <w:iCs/>
        </w:rPr>
        <w:t xml:space="preserve"> definīciju</w:t>
      </w:r>
      <w:r w:rsidR="007D2D6E" w:rsidRPr="002B25C3">
        <w:rPr>
          <w:i/>
          <w:iCs/>
        </w:rPr>
        <w:t>)</w:t>
      </w:r>
      <w:r w:rsidR="002B25C3">
        <w:t>)</w:t>
      </w:r>
      <w:r w:rsidR="007D2D6E">
        <w:t xml:space="preserve">, tad </w:t>
      </w:r>
      <w:r w:rsidR="00913893">
        <w:t xml:space="preserve">tas </w:t>
      </w:r>
      <w:r w:rsidR="007D2D6E">
        <w:t xml:space="preserve">var būt pamats </w:t>
      </w:r>
      <w:r w:rsidR="00D84755">
        <w:t>secinājumam</w:t>
      </w:r>
      <w:r w:rsidR="007D2D6E">
        <w:t xml:space="preserve">, ka attiecīgajā kvartālā </w:t>
      </w:r>
      <w:r w:rsidR="00D84755">
        <w:t>nav konstatējams iedibinātais stāvu skaits.</w:t>
      </w:r>
      <w:r w:rsidR="00913893">
        <w:t xml:space="preserve"> </w:t>
      </w:r>
      <w:r w:rsidR="002B25C3">
        <w:t>Piemēram, kā Senāts jau norādīja iepriekšējā spriedumā šajā lietā, šāds secinājums varētu tikt izdarīts tad, ja kvartāls ir maz apbūvēts</w:t>
      </w:r>
      <w:r w:rsidR="008C32F5">
        <w:t xml:space="preserve"> un līdz ar to tajā vēl nav izveidojusies tāda apbūve, kuru raksturo kāds noteikts iedibināts stāvu skaits (</w:t>
      </w:r>
      <w:r w:rsidR="008C32F5" w:rsidRPr="008C32F5">
        <w:rPr>
          <w:i/>
          <w:iCs/>
        </w:rPr>
        <w:t>sprieduma 21.punkts</w:t>
      </w:r>
      <w:r w:rsidR="008C32F5">
        <w:t>).</w:t>
      </w:r>
      <w:r w:rsidR="0084573E">
        <w:t xml:space="preserve"> </w:t>
      </w:r>
      <w:r w:rsidR="00913893">
        <w:t>Taču tādā gadījumā minētais jautājums ir faktisko apstākļu novērtēšanas, nevis tiesību normu interpretācijas jautājums.</w:t>
      </w:r>
    </w:p>
    <w:p w14:paraId="6C845B04" w14:textId="4E978204" w:rsidR="00913893" w:rsidRDefault="00D90383" w:rsidP="006202DC">
      <w:pPr>
        <w:shd w:val="clear" w:color="auto" w:fill="FFFFFF"/>
        <w:spacing w:line="276" w:lineRule="auto"/>
        <w:ind w:firstLine="720"/>
        <w:jc w:val="both"/>
      </w:pPr>
      <w:r>
        <w:t xml:space="preserve">Šajā sakarā Senāts konstatē, ka departamenta arguments par pārāk šauru apbūves noteikumu normu par iedibināto stāvu skaitu interpretāciju, </w:t>
      </w:r>
      <w:r w:rsidRPr="00D90383">
        <w:t xml:space="preserve">lai arī formāli ir pamatots ar apsvērumiem par tiesas pieļautām kļūdām tiesību normu </w:t>
      </w:r>
      <w:r>
        <w:t>tulkošanā</w:t>
      </w:r>
      <w:r w:rsidRPr="00D90383">
        <w:t xml:space="preserve">, taču faktiski </w:t>
      </w:r>
      <w:r w:rsidR="001473D9">
        <w:t xml:space="preserve">ir balstīts iebildumos </w:t>
      </w:r>
      <w:r w:rsidR="001473D9">
        <w:lastRenderedPageBreak/>
        <w:t xml:space="preserve">par tiesas veikto faktisko apstākļu novērtējumu lietā. </w:t>
      </w:r>
      <w:r w:rsidR="00902907">
        <w:t xml:space="preserve">Proti, </w:t>
      </w:r>
      <w:r w:rsidR="00AB7138">
        <w:t xml:space="preserve">departaments paskaidrojumos par kasācijas sūdzību </w:t>
      </w:r>
      <w:r w:rsidR="003C3F4D">
        <w:t>ir uzsvēris</w:t>
      </w:r>
      <w:r w:rsidR="00AB7138">
        <w:t xml:space="preserve">, ka </w:t>
      </w:r>
      <w:r w:rsidR="003C3F4D">
        <w:t>būv</w:t>
      </w:r>
      <w:r w:rsidR="00D72707">
        <w:t>ēm</w:t>
      </w:r>
      <w:r w:rsidR="003C3F4D">
        <w:t xml:space="preserve">, kuras tiesa ir ņēmusi vērā, aprēķinot iedibināto stāvu skaitu strīdus kvartālā, esot </w:t>
      </w:r>
      <w:r w:rsidR="00D72707">
        <w:t xml:space="preserve">ļoti dažāds stāvu skaits, tās esot </w:t>
      </w:r>
      <w:r w:rsidR="003C3F4D">
        <w:t xml:space="preserve">būvētas dažādos laikos un atrodoties dažādās kvartāla vietās. </w:t>
      </w:r>
      <w:r w:rsidR="00557DED">
        <w:t>Tāpat departaments ir arī paudis neizpratni</w:t>
      </w:r>
      <w:r w:rsidR="00F17B47">
        <w:t xml:space="preserve">, vai tiešām </w:t>
      </w:r>
      <w:r w:rsidR="0082164C">
        <w:t xml:space="preserve">mazstāvu būves, kuras ir izvietotas blakus Māras dīķim, ap kuru vēsturiski ir izvietota savrupmāju apbūve, </w:t>
      </w:r>
      <w:r w:rsidR="00F17B47">
        <w:t>esot jāuzskata par tādām būvēm, kas šobrīd veido visa kvartāla īpatnējo raksturu, kā arī arhitektonisko un vēsturisko savdabību.</w:t>
      </w:r>
    </w:p>
    <w:p w14:paraId="4C167067" w14:textId="5F25CEC9" w:rsidR="006F2E19" w:rsidRDefault="006D7530" w:rsidP="006202DC">
      <w:pPr>
        <w:shd w:val="clear" w:color="auto" w:fill="FFFFFF"/>
        <w:spacing w:line="276" w:lineRule="auto"/>
        <w:ind w:firstLine="720"/>
        <w:jc w:val="both"/>
      </w:pPr>
      <w:r>
        <w:t>Tomēr, norādot minētos apsvērumus, departaments nav paskaidrojis, kādēļ attiecīgie apstākļi paši par sevi būtu jāuzskata par tādiem, kas liecina, ka strīdus kvartālā, pretēji tiesas atzītajam, nav konstatējams iedibinātais stāvu skaits. Tas, ka būves ir būvētas dažādos laikos, atrodas dažādās kvartāla vietās un tām ir visnotaļ dažāds stāvu skaits, pats par sevi neizslēdz, ka tās savstarpējā kopsakarā veido iedibināto apbūvi konkrētajā kvartālā</w:t>
      </w:r>
      <w:r w:rsidR="001473D9">
        <w:t xml:space="preserve">, </w:t>
      </w:r>
      <w:r w:rsidR="001473D9">
        <w:lastRenderedPageBreak/>
        <w:t>turklāt ar tādu iedibināto stāvu skaitu, kurš parasti ir raksturīgs mazstāvu apbūvei</w:t>
      </w:r>
      <w:r>
        <w:t xml:space="preserve">. </w:t>
      </w:r>
      <w:r w:rsidR="00EB0F70">
        <w:t>Tādējādi departamenta paskaidrojumos norādītie apsvērumi faktiski ir vērtējami vienīgi kā nepiekrišana tiesas secinājumiem par iedibināto stāvu skaitu kvartālā, kas</w:t>
      </w:r>
      <w:r w:rsidR="00BF07BC">
        <w:t xml:space="preserve"> pats par sevi nerada pamatu atzīt, ka tiesa, izdarot minētos secinājumus, ir pieļāvusi tiesību normu pārkāpumus.</w:t>
      </w:r>
    </w:p>
    <w:p w14:paraId="297FC26C" w14:textId="77777777" w:rsidR="00351B56" w:rsidRDefault="00351B56" w:rsidP="006202DC">
      <w:pPr>
        <w:shd w:val="clear" w:color="auto" w:fill="FFFFFF"/>
        <w:spacing w:line="276" w:lineRule="auto"/>
        <w:ind w:firstLine="720"/>
        <w:jc w:val="both"/>
      </w:pPr>
    </w:p>
    <w:p w14:paraId="376091A9" w14:textId="7F743916" w:rsidR="00C63B38" w:rsidRDefault="00C63B38" w:rsidP="006202DC">
      <w:pPr>
        <w:shd w:val="clear" w:color="auto" w:fill="FFFFFF"/>
        <w:spacing w:line="276" w:lineRule="auto"/>
        <w:ind w:firstLine="720"/>
        <w:jc w:val="both"/>
      </w:pPr>
      <w:r>
        <w:t>[</w:t>
      </w:r>
      <w:r w:rsidR="00E24982">
        <w:t>14</w:t>
      </w:r>
      <w:r>
        <w:t xml:space="preserve">] Rezumējot minēto, Senāts atzīst, ka </w:t>
      </w:r>
      <w:r w:rsidR="00237B05">
        <w:t xml:space="preserve">tiesa pārsūdzētajā spriedumā ir </w:t>
      </w:r>
      <w:r w:rsidR="001473D9">
        <w:t>nonākusi pie kļūdaina secinājuma</w:t>
      </w:r>
      <w:r w:rsidR="00237B05">
        <w:t xml:space="preserve">, ka strīdus būves būvniecību pieļāva sprieduma sastādīšanas brīdī </w:t>
      </w:r>
      <w:r w:rsidR="009F4D02">
        <w:t>spēkā esošais tiesiskais regulējums</w:t>
      </w:r>
      <w:r w:rsidR="00237B05">
        <w:t xml:space="preserve">. </w:t>
      </w:r>
      <w:r w:rsidR="003755AB">
        <w:t>Minētais pats par sevi, arī nevērtējot pārējos kasācijas sūdzībā norādītos argumentus, ir pamats sprieduma atcelšanai un lietas nosūtīšanai jaunai izskatīšanai apelācijas instances tiesai.</w:t>
      </w:r>
    </w:p>
    <w:p w14:paraId="3932E086" w14:textId="77777777" w:rsidR="00C63B38" w:rsidRDefault="00C63B38" w:rsidP="006202DC">
      <w:pPr>
        <w:shd w:val="clear" w:color="auto" w:fill="FFFFFF"/>
        <w:spacing w:line="276" w:lineRule="auto"/>
        <w:ind w:firstLine="720"/>
        <w:jc w:val="both"/>
      </w:pPr>
    </w:p>
    <w:p w14:paraId="5A11377E" w14:textId="69CAD023" w:rsidR="00351B56" w:rsidRDefault="00C63B38" w:rsidP="006202DC">
      <w:pPr>
        <w:shd w:val="clear" w:color="auto" w:fill="FFFFFF"/>
        <w:spacing w:line="276" w:lineRule="auto"/>
        <w:ind w:firstLine="720"/>
        <w:jc w:val="both"/>
      </w:pPr>
      <w:r>
        <w:t>[</w:t>
      </w:r>
      <w:r w:rsidR="00E24982">
        <w:t>15</w:t>
      </w:r>
      <w:r>
        <w:t xml:space="preserve">] Nododot lietu jaunai izskatīšanai, Senāts uzskata par nepieciešamu vērst uzmanību arī uz to, ka </w:t>
      </w:r>
      <w:r w:rsidR="00C472C0">
        <w:t xml:space="preserve">no </w:t>
      </w:r>
      <w:r w:rsidR="00C472C0">
        <w:lastRenderedPageBreak/>
        <w:t>2023.gada 16.februāra Rīgas valstpilsētā ir piemērojams jaunais – 2022.gada teritorijas plānojums. Atbilstoši</w:t>
      </w:r>
      <w:r w:rsidR="005C0BF0">
        <w:t xml:space="preserve"> minētā teritorijas plānojuma normām, ko </w:t>
      </w:r>
      <w:r w:rsidR="002C5EC5">
        <w:t xml:space="preserve">lietas materiālos esošajā </w:t>
      </w:r>
      <w:r w:rsidR="00C472C0">
        <w:t>izziņā ir apstiprinājis arī departaments</w:t>
      </w:r>
      <w:r w:rsidR="005C0BF0">
        <w:t xml:space="preserve">, zemesgabalā, kurā plānota strīdus būves būvniecība, pieļaujama maksimums trīs stāvus augstas būves būvniecība </w:t>
      </w:r>
      <w:r w:rsidR="00C472C0">
        <w:t>(</w:t>
      </w:r>
      <w:r w:rsidR="00C472C0" w:rsidRPr="00C472C0">
        <w:rPr>
          <w:i/>
          <w:iCs/>
        </w:rPr>
        <w:t>lietas 5.sējuma 100.–101.lapa</w:t>
      </w:r>
      <w:r w:rsidR="00C472C0">
        <w:t>).</w:t>
      </w:r>
      <w:r w:rsidR="005C0BF0">
        <w:t xml:space="preserve"> </w:t>
      </w:r>
      <w:r w:rsidR="004C03AF">
        <w:t xml:space="preserve">Tādējādi arī šobrīd spēkā esošais teritorijas plānojums </w:t>
      </w:r>
      <w:r w:rsidR="00D03C05">
        <w:t>nepieļauj četru</w:t>
      </w:r>
      <w:r w:rsidR="004C03AF">
        <w:t>s</w:t>
      </w:r>
      <w:r w:rsidR="00D03C05">
        <w:t xml:space="preserve"> stāvu</w:t>
      </w:r>
      <w:r w:rsidR="004C03AF">
        <w:t>s augstas</w:t>
      </w:r>
      <w:r w:rsidR="00D03C05">
        <w:t xml:space="preserve"> daudzdzīvokļu dzīvojamās mājas būvniecību</w:t>
      </w:r>
      <w:r w:rsidR="005C0BF0">
        <w:t xml:space="preserve"> strīdus zemesgabalā.</w:t>
      </w:r>
    </w:p>
    <w:p w14:paraId="647BB8EB" w14:textId="77777777" w:rsidR="00351B56" w:rsidRDefault="00351B56" w:rsidP="006202DC">
      <w:pPr>
        <w:shd w:val="clear" w:color="auto" w:fill="FFFFFF"/>
        <w:spacing w:line="276" w:lineRule="auto"/>
        <w:jc w:val="both"/>
      </w:pPr>
    </w:p>
    <w:p w14:paraId="0F552C3D" w14:textId="77777777" w:rsidR="00447EE6" w:rsidRDefault="00447EE6" w:rsidP="006202DC">
      <w:pPr>
        <w:shd w:val="clear" w:color="auto" w:fill="FFFFFF"/>
        <w:spacing w:line="276" w:lineRule="auto"/>
        <w:jc w:val="center"/>
        <w:rPr>
          <w:b/>
        </w:rPr>
      </w:pPr>
      <w:r w:rsidRPr="00847F44">
        <w:rPr>
          <w:b/>
        </w:rPr>
        <w:t xml:space="preserve">Rezolutīvā daļa </w:t>
      </w:r>
    </w:p>
    <w:p w14:paraId="518EDAFA" w14:textId="77777777" w:rsidR="00411CD0" w:rsidRPr="00847F44" w:rsidRDefault="00411CD0" w:rsidP="006202DC">
      <w:pPr>
        <w:shd w:val="clear" w:color="auto" w:fill="FFFFFF"/>
        <w:spacing w:line="276" w:lineRule="auto"/>
        <w:jc w:val="center"/>
        <w:rPr>
          <w:b/>
        </w:rPr>
      </w:pPr>
    </w:p>
    <w:p w14:paraId="70739936" w14:textId="45B44191" w:rsidR="00447EE6" w:rsidRDefault="00447EE6" w:rsidP="006202DC">
      <w:pPr>
        <w:shd w:val="clear" w:color="auto" w:fill="FFFFFF"/>
        <w:spacing w:line="276" w:lineRule="auto"/>
        <w:ind w:firstLine="720"/>
        <w:jc w:val="both"/>
      </w:pPr>
      <w:r w:rsidRPr="005E1EBA">
        <w:t xml:space="preserve">Pamatojoties uz </w:t>
      </w:r>
      <w:r w:rsidR="000A65CA" w:rsidRPr="005E1EBA">
        <w:rPr>
          <w:rFonts w:eastAsiaTheme="minorHAnsi"/>
          <w:lang w:eastAsia="en-US"/>
        </w:rPr>
        <w:t>Administratīvā procesa likuma 129.</w:t>
      </w:r>
      <w:r w:rsidR="000A65CA" w:rsidRPr="005E1EBA">
        <w:rPr>
          <w:rFonts w:eastAsiaTheme="minorHAnsi"/>
          <w:vertAlign w:val="superscript"/>
          <w:lang w:eastAsia="en-US"/>
        </w:rPr>
        <w:t>1</w:t>
      </w:r>
      <w:r w:rsidR="000A65CA" w:rsidRPr="005E1EBA">
        <w:rPr>
          <w:rFonts w:eastAsiaTheme="minorHAnsi"/>
          <w:lang w:eastAsia="en-US"/>
        </w:rPr>
        <w:t xml:space="preserve">panta pirmās daļas 1.punktu, 348.panta pirmās daļas </w:t>
      </w:r>
      <w:r w:rsidR="00546C0F" w:rsidRPr="005E1EBA">
        <w:rPr>
          <w:rFonts w:eastAsiaTheme="minorHAnsi"/>
          <w:lang w:eastAsia="en-US"/>
        </w:rPr>
        <w:t>2.</w:t>
      </w:r>
      <w:r w:rsidR="000A65CA" w:rsidRPr="005E1EBA">
        <w:rPr>
          <w:rFonts w:eastAsiaTheme="minorHAnsi"/>
          <w:lang w:eastAsia="en-US"/>
        </w:rPr>
        <w:t>punktu un 351.pantu</w:t>
      </w:r>
      <w:r w:rsidR="000A65CA" w:rsidRPr="005E1EBA">
        <w:t xml:space="preserve">, </w:t>
      </w:r>
      <w:r w:rsidRPr="005E1EBA">
        <w:t>Senāts</w:t>
      </w:r>
    </w:p>
    <w:p w14:paraId="1DC99824" w14:textId="77777777" w:rsidR="00411CD0" w:rsidRPr="00BF21E2" w:rsidRDefault="00411CD0" w:rsidP="006202DC">
      <w:pPr>
        <w:shd w:val="clear" w:color="auto" w:fill="FFFFFF"/>
        <w:spacing w:line="276" w:lineRule="auto"/>
        <w:ind w:firstLine="720"/>
        <w:jc w:val="both"/>
      </w:pPr>
    </w:p>
    <w:p w14:paraId="59DE69BB" w14:textId="77777777" w:rsidR="00447EE6" w:rsidRDefault="00411CD0" w:rsidP="006202DC">
      <w:pPr>
        <w:shd w:val="clear" w:color="auto" w:fill="FFFFFF"/>
        <w:spacing w:line="276" w:lineRule="auto"/>
        <w:jc w:val="center"/>
        <w:rPr>
          <w:b/>
        </w:rPr>
      </w:pPr>
      <w:r>
        <w:rPr>
          <w:b/>
        </w:rPr>
        <w:t>n</w:t>
      </w:r>
      <w:r w:rsidR="00447EE6" w:rsidRPr="00A53E41">
        <w:rPr>
          <w:b/>
        </w:rPr>
        <w:t>osprieda</w:t>
      </w:r>
    </w:p>
    <w:p w14:paraId="448AFDCE" w14:textId="77777777" w:rsidR="00411CD0" w:rsidRDefault="00411CD0" w:rsidP="006202DC">
      <w:pPr>
        <w:shd w:val="clear" w:color="auto" w:fill="FFFFFF"/>
        <w:spacing w:line="276" w:lineRule="auto"/>
        <w:jc w:val="center"/>
        <w:rPr>
          <w:b/>
        </w:rPr>
      </w:pPr>
    </w:p>
    <w:p w14:paraId="341ED9CD" w14:textId="35BD094E" w:rsidR="00BF21E2" w:rsidRPr="00E862AF" w:rsidRDefault="007F57CA" w:rsidP="006202DC">
      <w:pPr>
        <w:spacing w:line="276" w:lineRule="auto"/>
        <w:ind w:firstLine="720"/>
        <w:jc w:val="both"/>
      </w:pPr>
      <w:r w:rsidRPr="00E862AF">
        <w:lastRenderedPageBreak/>
        <w:t>a</w:t>
      </w:r>
      <w:r w:rsidR="00BF21E2" w:rsidRPr="00E862AF">
        <w:t xml:space="preserve">tcelt Administratīvās </w:t>
      </w:r>
      <w:r w:rsidR="005E1EBA" w:rsidRPr="00E862AF">
        <w:t>apgabaltiesas 2022.gada 19.decembra</w:t>
      </w:r>
      <w:r w:rsidR="00093086" w:rsidRPr="00E862AF">
        <w:t xml:space="preserve"> </w:t>
      </w:r>
      <w:r w:rsidR="00BF21E2" w:rsidRPr="00E862AF">
        <w:t>spriedumu un nodot lietu jaunai izskatīšanai Administratīvajai apgabaltiesai</w:t>
      </w:r>
      <w:r w:rsidR="005E1EBA" w:rsidRPr="00E862AF">
        <w:t>;</w:t>
      </w:r>
    </w:p>
    <w:p w14:paraId="1E9659C1" w14:textId="428F1DD8" w:rsidR="00BF21E2" w:rsidRPr="00E862AF" w:rsidRDefault="007F57CA" w:rsidP="006202DC">
      <w:pPr>
        <w:spacing w:line="276" w:lineRule="auto"/>
        <w:ind w:firstLine="720"/>
        <w:jc w:val="both"/>
      </w:pPr>
      <w:r w:rsidRPr="00E862AF">
        <w:t>a</w:t>
      </w:r>
      <w:r w:rsidR="00BF21E2" w:rsidRPr="00E862AF">
        <w:t xml:space="preserve">tmaksāt </w:t>
      </w:r>
      <w:r w:rsidR="00247E61" w:rsidRPr="00E862AF">
        <w:t>SIA </w:t>
      </w:r>
      <w:r w:rsidR="005E1EBA" w:rsidRPr="00E862AF">
        <w:t>„</w:t>
      </w:r>
      <w:r w:rsidR="00247E61" w:rsidRPr="00E862AF">
        <w:t xml:space="preserve">Zvērinātu advokātu birojs </w:t>
      </w:r>
      <w:r w:rsidR="005E1EBA" w:rsidRPr="00E862AF">
        <w:t>Šķiņķis Pētersons” par</w:t>
      </w:r>
      <w:r w:rsidR="00F714CC">
        <w:t xml:space="preserve"> </w:t>
      </w:r>
      <w:r w:rsidR="00F714CC">
        <w:t>[pers. </w:t>
      </w:r>
      <w:r w:rsidR="00F714CC">
        <w:t>A</w:t>
      </w:r>
      <w:r w:rsidR="00F714CC">
        <w:t>]</w:t>
      </w:r>
      <w:r w:rsidR="00F714CC">
        <w:t xml:space="preserve">, </w:t>
      </w:r>
      <w:r w:rsidR="00F714CC">
        <w:t>[pers. B]</w:t>
      </w:r>
      <w:r w:rsidR="005E1EBA" w:rsidRPr="00E862AF">
        <w:t xml:space="preserve">, </w:t>
      </w:r>
      <w:r w:rsidR="00F714CC">
        <w:t>[pers. </w:t>
      </w:r>
      <w:r w:rsidR="00F714CC">
        <w:t>C</w:t>
      </w:r>
      <w:r w:rsidR="00F714CC">
        <w:t>]</w:t>
      </w:r>
      <w:r w:rsidR="005E1EBA" w:rsidRPr="00E862AF">
        <w:t xml:space="preserve">, </w:t>
      </w:r>
      <w:r w:rsidR="00F714CC">
        <w:t>[pers. </w:t>
      </w:r>
      <w:r w:rsidR="00F714CC">
        <w:t>D</w:t>
      </w:r>
      <w:r w:rsidR="00F714CC">
        <w:t>]</w:t>
      </w:r>
      <w:r w:rsidR="005E1EBA" w:rsidRPr="00E862AF">
        <w:t xml:space="preserve">, </w:t>
      </w:r>
      <w:r w:rsidR="00F714CC">
        <w:t>[pers. </w:t>
      </w:r>
      <w:r w:rsidR="00F714CC">
        <w:t>E</w:t>
      </w:r>
      <w:r w:rsidR="00F714CC">
        <w:t>]</w:t>
      </w:r>
      <w:r w:rsidR="005E1EBA" w:rsidRPr="00E862AF">
        <w:t xml:space="preserve">, </w:t>
      </w:r>
      <w:r w:rsidR="0061284A">
        <w:t>[pers. </w:t>
      </w:r>
      <w:r w:rsidR="0061284A">
        <w:t>F</w:t>
      </w:r>
      <w:r w:rsidR="0061284A">
        <w:t>]</w:t>
      </w:r>
      <w:r w:rsidR="005E1EBA" w:rsidRPr="00E862AF">
        <w:t xml:space="preserve">, </w:t>
      </w:r>
      <w:r w:rsidR="0061284A">
        <w:t>[pers. </w:t>
      </w:r>
      <w:r w:rsidR="0061284A">
        <w:t>G</w:t>
      </w:r>
      <w:r w:rsidR="0061284A">
        <w:t>]</w:t>
      </w:r>
      <w:r w:rsidR="005E1EBA" w:rsidRPr="00E862AF">
        <w:t xml:space="preserve">, </w:t>
      </w:r>
      <w:r w:rsidR="0061284A">
        <w:t>[pers. </w:t>
      </w:r>
      <w:r w:rsidR="0061284A">
        <w:t>H</w:t>
      </w:r>
      <w:r w:rsidR="0061284A">
        <w:t>]</w:t>
      </w:r>
      <w:r w:rsidR="005E1EBA" w:rsidRPr="00E862AF">
        <w:t xml:space="preserve">, </w:t>
      </w:r>
      <w:r w:rsidR="0061284A">
        <w:t>[pers. </w:t>
      </w:r>
      <w:r w:rsidR="0061284A">
        <w:t>I</w:t>
      </w:r>
      <w:r w:rsidR="0061284A">
        <w:t>]</w:t>
      </w:r>
      <w:r w:rsidR="0061284A">
        <w:t xml:space="preserve"> </w:t>
      </w:r>
      <w:r w:rsidR="005E1EBA" w:rsidRPr="00E862AF">
        <w:t xml:space="preserve">un biedrības „Māras dārzi” </w:t>
      </w:r>
      <w:r w:rsidR="009B2F93" w:rsidRPr="00E862AF">
        <w:t xml:space="preserve">kasācijas sūdzību samaksāto </w:t>
      </w:r>
      <w:r w:rsidR="00BF21E2" w:rsidRPr="00E862AF">
        <w:t>drošības naudu 70 </w:t>
      </w:r>
      <w:r w:rsidR="00BF21E2" w:rsidRPr="00E862AF">
        <w:rPr>
          <w:i/>
        </w:rPr>
        <w:t>euro</w:t>
      </w:r>
      <w:r w:rsidR="00BF21E2" w:rsidRPr="00E862AF">
        <w:t>.</w:t>
      </w:r>
    </w:p>
    <w:p w14:paraId="08FDF125" w14:textId="77777777" w:rsidR="007F57CA" w:rsidRPr="00E862AF" w:rsidRDefault="007F57CA" w:rsidP="006202DC">
      <w:pPr>
        <w:spacing w:line="276" w:lineRule="auto"/>
        <w:ind w:firstLine="720"/>
        <w:jc w:val="both"/>
      </w:pPr>
    </w:p>
    <w:p w14:paraId="1118DC7B" w14:textId="77777777" w:rsidR="00BF21E2" w:rsidRDefault="00BF21E2" w:rsidP="006202DC">
      <w:pPr>
        <w:spacing w:line="276" w:lineRule="auto"/>
        <w:ind w:firstLine="720"/>
        <w:jc w:val="both"/>
      </w:pPr>
      <w:r w:rsidRPr="00E862AF">
        <w:t>Spriedums nav pārsūdzams.</w:t>
      </w:r>
    </w:p>
    <w:p w14:paraId="6EA81B20" w14:textId="77777777" w:rsidR="00273A50" w:rsidRDefault="00273A50" w:rsidP="00247E61">
      <w:pPr>
        <w:spacing w:line="276" w:lineRule="auto"/>
        <w:ind w:firstLine="720"/>
        <w:jc w:val="both"/>
      </w:pPr>
    </w:p>
    <w:p w14:paraId="1165BACE" w14:textId="77777777" w:rsidR="009B2F93" w:rsidRDefault="009B2F93" w:rsidP="00BF21E2">
      <w:pPr>
        <w:spacing w:line="276" w:lineRule="auto"/>
        <w:ind w:firstLine="567"/>
        <w:jc w:val="both"/>
        <w:rPr>
          <w:bCs/>
        </w:rPr>
      </w:pPr>
    </w:p>
    <w:p w14:paraId="42259210" w14:textId="77777777" w:rsidR="00BF21E2" w:rsidRDefault="00BF21E2" w:rsidP="00BF21E2">
      <w:pPr>
        <w:spacing w:line="276" w:lineRule="auto"/>
        <w:ind w:firstLine="567"/>
        <w:jc w:val="both"/>
        <w:rPr>
          <w:bCs/>
        </w:rPr>
      </w:pPr>
    </w:p>
    <w:p w14:paraId="741A203C" w14:textId="77777777" w:rsidR="009B2F93" w:rsidRPr="00A6596A" w:rsidRDefault="009B2F93" w:rsidP="00BF21E2">
      <w:pPr>
        <w:spacing w:line="276" w:lineRule="auto"/>
        <w:ind w:firstLine="567"/>
        <w:jc w:val="both"/>
        <w:rPr>
          <w:bCs/>
        </w:rPr>
      </w:pPr>
    </w:p>
    <w:p w14:paraId="69470DCC" w14:textId="1F00C8AA" w:rsidR="00B54F4B" w:rsidRPr="009B2F93" w:rsidRDefault="00273A50" w:rsidP="009B2F93">
      <w:pPr>
        <w:tabs>
          <w:tab w:val="center" w:pos="1276"/>
          <w:tab w:val="center" w:pos="4678"/>
          <w:tab w:val="center" w:pos="8080"/>
        </w:tabs>
        <w:spacing w:line="276" w:lineRule="auto"/>
        <w:jc w:val="both"/>
        <w:rPr>
          <w:smallCaps/>
          <w:color w:val="000000"/>
        </w:rPr>
      </w:pPr>
      <w:r>
        <w:rPr>
          <w:color w:val="000000"/>
        </w:rPr>
        <w:tab/>
      </w:r>
      <w:bookmarkStart w:id="1" w:name="_GoBack"/>
      <w:bookmarkEnd w:id="1"/>
    </w:p>
    <w:sectPr w:rsidR="00B54F4B" w:rsidRPr="009B2F93" w:rsidSect="00D25D87">
      <w:footerReference w:type="default" r:id="rId1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99169" w14:textId="77777777" w:rsidR="00366573" w:rsidRDefault="00366573" w:rsidP="009F7ACE">
      <w:r>
        <w:separator/>
      </w:r>
    </w:p>
  </w:endnote>
  <w:endnote w:type="continuationSeparator" w:id="0">
    <w:p w14:paraId="3A2F3D73" w14:textId="77777777" w:rsidR="00366573" w:rsidRDefault="00366573"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EFDBD" w14:textId="40117156"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F42846">
      <w:rPr>
        <w:rStyle w:val="PageNumber"/>
        <w:noProof/>
        <w:sz w:val="20"/>
        <w:szCs w:val="20"/>
      </w:rPr>
      <w:t>8</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F42846">
      <w:rPr>
        <w:rStyle w:val="PageNumber"/>
        <w:noProof/>
        <w:sz w:val="20"/>
        <w:szCs w:val="20"/>
      </w:rPr>
      <w:t>8</w:t>
    </w:r>
    <w:r>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2F28E" w14:textId="77777777" w:rsidR="00366573" w:rsidRDefault="00366573" w:rsidP="009F7ACE">
      <w:r>
        <w:separator/>
      </w:r>
    </w:p>
  </w:footnote>
  <w:footnote w:type="continuationSeparator" w:id="0">
    <w:p w14:paraId="33785914" w14:textId="77777777" w:rsidR="00366573" w:rsidRDefault="00366573" w:rsidP="009F7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lv-LV" w:vendorID="71" w:dllVersion="512" w:checkStyle="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E6"/>
    <w:rsid w:val="00005BCF"/>
    <w:rsid w:val="0001450C"/>
    <w:rsid w:val="00016361"/>
    <w:rsid w:val="00030BFD"/>
    <w:rsid w:val="0003216E"/>
    <w:rsid w:val="000350E0"/>
    <w:rsid w:val="00035DBC"/>
    <w:rsid w:val="00035EDC"/>
    <w:rsid w:val="00042622"/>
    <w:rsid w:val="0004275B"/>
    <w:rsid w:val="00042E79"/>
    <w:rsid w:val="00051836"/>
    <w:rsid w:val="00052C17"/>
    <w:rsid w:val="000620EF"/>
    <w:rsid w:val="00067766"/>
    <w:rsid w:val="000706FC"/>
    <w:rsid w:val="000709A5"/>
    <w:rsid w:val="00075E7C"/>
    <w:rsid w:val="000879EB"/>
    <w:rsid w:val="00090579"/>
    <w:rsid w:val="00093086"/>
    <w:rsid w:val="00096DB1"/>
    <w:rsid w:val="000971B6"/>
    <w:rsid w:val="000A1348"/>
    <w:rsid w:val="000A1533"/>
    <w:rsid w:val="000A4E50"/>
    <w:rsid w:val="000A65CA"/>
    <w:rsid w:val="000B0FDF"/>
    <w:rsid w:val="000B1A29"/>
    <w:rsid w:val="000D58FB"/>
    <w:rsid w:val="000E284F"/>
    <w:rsid w:val="000F19E6"/>
    <w:rsid w:val="000F6B9F"/>
    <w:rsid w:val="000F7880"/>
    <w:rsid w:val="001072CB"/>
    <w:rsid w:val="00107EA1"/>
    <w:rsid w:val="001242A4"/>
    <w:rsid w:val="0013040E"/>
    <w:rsid w:val="00131CC9"/>
    <w:rsid w:val="0013398B"/>
    <w:rsid w:val="00140EEA"/>
    <w:rsid w:val="001468F4"/>
    <w:rsid w:val="001473D9"/>
    <w:rsid w:val="00153084"/>
    <w:rsid w:val="00154914"/>
    <w:rsid w:val="00154A4F"/>
    <w:rsid w:val="00165B32"/>
    <w:rsid w:val="00166AA0"/>
    <w:rsid w:val="00174DAD"/>
    <w:rsid w:val="00175B04"/>
    <w:rsid w:val="00175D0F"/>
    <w:rsid w:val="001846A2"/>
    <w:rsid w:val="00186A4A"/>
    <w:rsid w:val="001A5EC9"/>
    <w:rsid w:val="001A7672"/>
    <w:rsid w:val="001A77EE"/>
    <w:rsid w:val="001B212B"/>
    <w:rsid w:val="001B2766"/>
    <w:rsid w:val="001C51C0"/>
    <w:rsid w:val="001D52BB"/>
    <w:rsid w:val="001D5563"/>
    <w:rsid w:val="001E0A92"/>
    <w:rsid w:val="00205EEE"/>
    <w:rsid w:val="00210BB5"/>
    <w:rsid w:val="002147C4"/>
    <w:rsid w:val="00216473"/>
    <w:rsid w:val="00237B05"/>
    <w:rsid w:val="00247E61"/>
    <w:rsid w:val="00256137"/>
    <w:rsid w:val="002619B5"/>
    <w:rsid w:val="0027125F"/>
    <w:rsid w:val="00273A50"/>
    <w:rsid w:val="00275865"/>
    <w:rsid w:val="002816E9"/>
    <w:rsid w:val="00291D9A"/>
    <w:rsid w:val="002977F1"/>
    <w:rsid w:val="002A084A"/>
    <w:rsid w:val="002A4669"/>
    <w:rsid w:val="002B25C3"/>
    <w:rsid w:val="002B39A1"/>
    <w:rsid w:val="002C5EC5"/>
    <w:rsid w:val="002C787F"/>
    <w:rsid w:val="002D4FA2"/>
    <w:rsid w:val="002D5E10"/>
    <w:rsid w:val="002E6251"/>
    <w:rsid w:val="002E6F67"/>
    <w:rsid w:val="002F195D"/>
    <w:rsid w:val="00300890"/>
    <w:rsid w:val="00304C61"/>
    <w:rsid w:val="003056C7"/>
    <w:rsid w:val="00305A5A"/>
    <w:rsid w:val="00307ACF"/>
    <w:rsid w:val="00307B8A"/>
    <w:rsid w:val="003140CA"/>
    <w:rsid w:val="003144A5"/>
    <w:rsid w:val="003165FD"/>
    <w:rsid w:val="00320FC5"/>
    <w:rsid w:val="00323F19"/>
    <w:rsid w:val="00332BD8"/>
    <w:rsid w:val="0034075A"/>
    <w:rsid w:val="00341107"/>
    <w:rsid w:val="00343110"/>
    <w:rsid w:val="00343DBC"/>
    <w:rsid w:val="00351B56"/>
    <w:rsid w:val="003540C8"/>
    <w:rsid w:val="00357931"/>
    <w:rsid w:val="003621B1"/>
    <w:rsid w:val="00366573"/>
    <w:rsid w:val="00371B02"/>
    <w:rsid w:val="003733DF"/>
    <w:rsid w:val="003755AB"/>
    <w:rsid w:val="003802A4"/>
    <w:rsid w:val="0038764F"/>
    <w:rsid w:val="003A249F"/>
    <w:rsid w:val="003A3301"/>
    <w:rsid w:val="003B376B"/>
    <w:rsid w:val="003B7DC1"/>
    <w:rsid w:val="003C3C18"/>
    <w:rsid w:val="003C3F4D"/>
    <w:rsid w:val="003C42E2"/>
    <w:rsid w:val="003D0283"/>
    <w:rsid w:val="003D2542"/>
    <w:rsid w:val="003D6244"/>
    <w:rsid w:val="003E0EFD"/>
    <w:rsid w:val="003E2162"/>
    <w:rsid w:val="003E704C"/>
    <w:rsid w:val="003F16BD"/>
    <w:rsid w:val="003F288D"/>
    <w:rsid w:val="003F5997"/>
    <w:rsid w:val="00405537"/>
    <w:rsid w:val="0040718C"/>
    <w:rsid w:val="00410AF1"/>
    <w:rsid w:val="00410C5C"/>
    <w:rsid w:val="00411CD0"/>
    <w:rsid w:val="00411FDF"/>
    <w:rsid w:val="00413C65"/>
    <w:rsid w:val="0042124D"/>
    <w:rsid w:val="00425F1D"/>
    <w:rsid w:val="00426021"/>
    <w:rsid w:val="00437B80"/>
    <w:rsid w:val="00440CA0"/>
    <w:rsid w:val="00447EE6"/>
    <w:rsid w:val="004606B0"/>
    <w:rsid w:val="0046545B"/>
    <w:rsid w:val="00467474"/>
    <w:rsid w:val="00473847"/>
    <w:rsid w:val="00477056"/>
    <w:rsid w:val="00485B6D"/>
    <w:rsid w:val="00490782"/>
    <w:rsid w:val="004908E7"/>
    <w:rsid w:val="00493195"/>
    <w:rsid w:val="004A70F9"/>
    <w:rsid w:val="004A7716"/>
    <w:rsid w:val="004B2A94"/>
    <w:rsid w:val="004B4B36"/>
    <w:rsid w:val="004C03AF"/>
    <w:rsid w:val="004C0544"/>
    <w:rsid w:val="004C781A"/>
    <w:rsid w:val="004D405A"/>
    <w:rsid w:val="004D6700"/>
    <w:rsid w:val="004E42F8"/>
    <w:rsid w:val="004E54EC"/>
    <w:rsid w:val="004F0066"/>
    <w:rsid w:val="004F1887"/>
    <w:rsid w:val="004F3B93"/>
    <w:rsid w:val="004F3FF3"/>
    <w:rsid w:val="004F5328"/>
    <w:rsid w:val="004F6B48"/>
    <w:rsid w:val="00504AF5"/>
    <w:rsid w:val="0051027B"/>
    <w:rsid w:val="00515E34"/>
    <w:rsid w:val="005173F9"/>
    <w:rsid w:val="00525740"/>
    <w:rsid w:val="00526297"/>
    <w:rsid w:val="00526B1F"/>
    <w:rsid w:val="00532E94"/>
    <w:rsid w:val="00533449"/>
    <w:rsid w:val="005347EE"/>
    <w:rsid w:val="005368ED"/>
    <w:rsid w:val="00537E15"/>
    <w:rsid w:val="00544B11"/>
    <w:rsid w:val="00546C0F"/>
    <w:rsid w:val="00547C02"/>
    <w:rsid w:val="0055164F"/>
    <w:rsid w:val="0055774B"/>
    <w:rsid w:val="00557DED"/>
    <w:rsid w:val="005603BE"/>
    <w:rsid w:val="00564764"/>
    <w:rsid w:val="00571C07"/>
    <w:rsid w:val="005732BC"/>
    <w:rsid w:val="005737FB"/>
    <w:rsid w:val="005758F7"/>
    <w:rsid w:val="005779D3"/>
    <w:rsid w:val="005801C6"/>
    <w:rsid w:val="005821A2"/>
    <w:rsid w:val="005872F0"/>
    <w:rsid w:val="0059044D"/>
    <w:rsid w:val="005A419E"/>
    <w:rsid w:val="005A536D"/>
    <w:rsid w:val="005B32A6"/>
    <w:rsid w:val="005C0BF0"/>
    <w:rsid w:val="005C340F"/>
    <w:rsid w:val="005C5E9D"/>
    <w:rsid w:val="005D2E04"/>
    <w:rsid w:val="005E1EBA"/>
    <w:rsid w:val="00604DA5"/>
    <w:rsid w:val="006102BD"/>
    <w:rsid w:val="0061284A"/>
    <w:rsid w:val="00615124"/>
    <w:rsid w:val="0061667C"/>
    <w:rsid w:val="00616E27"/>
    <w:rsid w:val="006202DC"/>
    <w:rsid w:val="006266C1"/>
    <w:rsid w:val="00627D5F"/>
    <w:rsid w:val="00630B4B"/>
    <w:rsid w:val="006449AB"/>
    <w:rsid w:val="00644E94"/>
    <w:rsid w:val="0064508D"/>
    <w:rsid w:val="00650685"/>
    <w:rsid w:val="006508A1"/>
    <w:rsid w:val="00651926"/>
    <w:rsid w:val="006578DC"/>
    <w:rsid w:val="00666681"/>
    <w:rsid w:val="00672E62"/>
    <w:rsid w:val="0067562C"/>
    <w:rsid w:val="00682E70"/>
    <w:rsid w:val="00695212"/>
    <w:rsid w:val="006A4854"/>
    <w:rsid w:val="006A4CD1"/>
    <w:rsid w:val="006A4F05"/>
    <w:rsid w:val="006D6AEC"/>
    <w:rsid w:val="006D7530"/>
    <w:rsid w:val="006E0423"/>
    <w:rsid w:val="006E114A"/>
    <w:rsid w:val="006F2E19"/>
    <w:rsid w:val="006F3BBC"/>
    <w:rsid w:val="006F3E9A"/>
    <w:rsid w:val="006F798A"/>
    <w:rsid w:val="00722136"/>
    <w:rsid w:val="007353E3"/>
    <w:rsid w:val="00741945"/>
    <w:rsid w:val="00744307"/>
    <w:rsid w:val="007447B1"/>
    <w:rsid w:val="00755939"/>
    <w:rsid w:val="0076069D"/>
    <w:rsid w:val="00774D2E"/>
    <w:rsid w:val="0078139E"/>
    <w:rsid w:val="00782020"/>
    <w:rsid w:val="00782425"/>
    <w:rsid w:val="00782A79"/>
    <w:rsid w:val="0078453B"/>
    <w:rsid w:val="00785355"/>
    <w:rsid w:val="007975C4"/>
    <w:rsid w:val="00797974"/>
    <w:rsid w:val="007A1F21"/>
    <w:rsid w:val="007A4297"/>
    <w:rsid w:val="007B31E9"/>
    <w:rsid w:val="007B5540"/>
    <w:rsid w:val="007C0FBA"/>
    <w:rsid w:val="007C32C8"/>
    <w:rsid w:val="007D2D6E"/>
    <w:rsid w:val="007D4C4B"/>
    <w:rsid w:val="007E7A3E"/>
    <w:rsid w:val="007E7F79"/>
    <w:rsid w:val="007F57CA"/>
    <w:rsid w:val="007F6BEE"/>
    <w:rsid w:val="00810083"/>
    <w:rsid w:val="00817CF7"/>
    <w:rsid w:val="00817FD2"/>
    <w:rsid w:val="0082164C"/>
    <w:rsid w:val="00823870"/>
    <w:rsid w:val="00834B85"/>
    <w:rsid w:val="00841D29"/>
    <w:rsid w:val="00844C3E"/>
    <w:rsid w:val="0084545B"/>
    <w:rsid w:val="0084573E"/>
    <w:rsid w:val="008529B0"/>
    <w:rsid w:val="00861EDD"/>
    <w:rsid w:val="00863137"/>
    <w:rsid w:val="00864B85"/>
    <w:rsid w:val="00874CAC"/>
    <w:rsid w:val="00875C14"/>
    <w:rsid w:val="00882340"/>
    <w:rsid w:val="00884723"/>
    <w:rsid w:val="00885B16"/>
    <w:rsid w:val="00885E2A"/>
    <w:rsid w:val="00893DE1"/>
    <w:rsid w:val="008943F3"/>
    <w:rsid w:val="0089609D"/>
    <w:rsid w:val="00897343"/>
    <w:rsid w:val="008A0E9F"/>
    <w:rsid w:val="008A4986"/>
    <w:rsid w:val="008A523E"/>
    <w:rsid w:val="008A6879"/>
    <w:rsid w:val="008B77F6"/>
    <w:rsid w:val="008B7A85"/>
    <w:rsid w:val="008C32F5"/>
    <w:rsid w:val="008D14C6"/>
    <w:rsid w:val="008D2AAC"/>
    <w:rsid w:val="008D3779"/>
    <w:rsid w:val="008E4EBF"/>
    <w:rsid w:val="008F016A"/>
    <w:rsid w:val="008F0317"/>
    <w:rsid w:val="008F1383"/>
    <w:rsid w:val="008F1FB2"/>
    <w:rsid w:val="00902907"/>
    <w:rsid w:val="009062E2"/>
    <w:rsid w:val="009101AE"/>
    <w:rsid w:val="00913893"/>
    <w:rsid w:val="00923F84"/>
    <w:rsid w:val="00942EFD"/>
    <w:rsid w:val="00944AD7"/>
    <w:rsid w:val="00945F7A"/>
    <w:rsid w:val="00946159"/>
    <w:rsid w:val="009501B9"/>
    <w:rsid w:val="00950CF7"/>
    <w:rsid w:val="0096500B"/>
    <w:rsid w:val="009829F5"/>
    <w:rsid w:val="0099452D"/>
    <w:rsid w:val="009A4AD5"/>
    <w:rsid w:val="009B1CB5"/>
    <w:rsid w:val="009B2F93"/>
    <w:rsid w:val="009C1EC7"/>
    <w:rsid w:val="009D2D72"/>
    <w:rsid w:val="009D4530"/>
    <w:rsid w:val="009E0179"/>
    <w:rsid w:val="009F4D02"/>
    <w:rsid w:val="009F7ACE"/>
    <w:rsid w:val="00A073E8"/>
    <w:rsid w:val="00A108DE"/>
    <w:rsid w:val="00A11544"/>
    <w:rsid w:val="00A11873"/>
    <w:rsid w:val="00A13A3B"/>
    <w:rsid w:val="00A156F9"/>
    <w:rsid w:val="00A16153"/>
    <w:rsid w:val="00A2458A"/>
    <w:rsid w:val="00A26177"/>
    <w:rsid w:val="00A27282"/>
    <w:rsid w:val="00A30400"/>
    <w:rsid w:val="00A306E1"/>
    <w:rsid w:val="00A3324C"/>
    <w:rsid w:val="00A36892"/>
    <w:rsid w:val="00A37B3D"/>
    <w:rsid w:val="00A56E94"/>
    <w:rsid w:val="00A57F29"/>
    <w:rsid w:val="00A64FED"/>
    <w:rsid w:val="00A65CB1"/>
    <w:rsid w:val="00A722A5"/>
    <w:rsid w:val="00A8250B"/>
    <w:rsid w:val="00A84D68"/>
    <w:rsid w:val="00A922BF"/>
    <w:rsid w:val="00A97276"/>
    <w:rsid w:val="00AA031D"/>
    <w:rsid w:val="00AA528A"/>
    <w:rsid w:val="00AB2A86"/>
    <w:rsid w:val="00AB2EF0"/>
    <w:rsid w:val="00AB7138"/>
    <w:rsid w:val="00AC0DC3"/>
    <w:rsid w:val="00AC7B87"/>
    <w:rsid w:val="00AD152A"/>
    <w:rsid w:val="00AE4741"/>
    <w:rsid w:val="00AF3E2A"/>
    <w:rsid w:val="00B00329"/>
    <w:rsid w:val="00B00C61"/>
    <w:rsid w:val="00B01F29"/>
    <w:rsid w:val="00B208B3"/>
    <w:rsid w:val="00B3104C"/>
    <w:rsid w:val="00B31511"/>
    <w:rsid w:val="00B325F4"/>
    <w:rsid w:val="00B3318D"/>
    <w:rsid w:val="00B34B9B"/>
    <w:rsid w:val="00B4015E"/>
    <w:rsid w:val="00B40F73"/>
    <w:rsid w:val="00B42AAC"/>
    <w:rsid w:val="00B44998"/>
    <w:rsid w:val="00B50180"/>
    <w:rsid w:val="00B50406"/>
    <w:rsid w:val="00B54F4B"/>
    <w:rsid w:val="00B60993"/>
    <w:rsid w:val="00B62227"/>
    <w:rsid w:val="00B64A40"/>
    <w:rsid w:val="00B84A93"/>
    <w:rsid w:val="00B918CE"/>
    <w:rsid w:val="00B925CA"/>
    <w:rsid w:val="00B9597D"/>
    <w:rsid w:val="00B96EC3"/>
    <w:rsid w:val="00BA4E33"/>
    <w:rsid w:val="00BB308B"/>
    <w:rsid w:val="00BB5354"/>
    <w:rsid w:val="00BC3258"/>
    <w:rsid w:val="00BC3F35"/>
    <w:rsid w:val="00BE3597"/>
    <w:rsid w:val="00BE65C3"/>
    <w:rsid w:val="00BF028A"/>
    <w:rsid w:val="00BF07BC"/>
    <w:rsid w:val="00BF21E2"/>
    <w:rsid w:val="00BF2C1D"/>
    <w:rsid w:val="00BF6DDB"/>
    <w:rsid w:val="00BF755D"/>
    <w:rsid w:val="00C16475"/>
    <w:rsid w:val="00C2216B"/>
    <w:rsid w:val="00C22788"/>
    <w:rsid w:val="00C2377B"/>
    <w:rsid w:val="00C2387A"/>
    <w:rsid w:val="00C25A9F"/>
    <w:rsid w:val="00C27A7B"/>
    <w:rsid w:val="00C3640F"/>
    <w:rsid w:val="00C472C0"/>
    <w:rsid w:val="00C5023B"/>
    <w:rsid w:val="00C50D88"/>
    <w:rsid w:val="00C5153C"/>
    <w:rsid w:val="00C54D17"/>
    <w:rsid w:val="00C55107"/>
    <w:rsid w:val="00C60A0E"/>
    <w:rsid w:val="00C63B38"/>
    <w:rsid w:val="00C67FA4"/>
    <w:rsid w:val="00C75568"/>
    <w:rsid w:val="00C83C0E"/>
    <w:rsid w:val="00C87172"/>
    <w:rsid w:val="00C96D15"/>
    <w:rsid w:val="00CA4579"/>
    <w:rsid w:val="00CA4C03"/>
    <w:rsid w:val="00CA4F33"/>
    <w:rsid w:val="00CA6EB6"/>
    <w:rsid w:val="00CB186E"/>
    <w:rsid w:val="00CB3CFB"/>
    <w:rsid w:val="00CB4723"/>
    <w:rsid w:val="00CD011B"/>
    <w:rsid w:val="00CD1290"/>
    <w:rsid w:val="00CD150A"/>
    <w:rsid w:val="00CD3F01"/>
    <w:rsid w:val="00CD7319"/>
    <w:rsid w:val="00CE126D"/>
    <w:rsid w:val="00CF4D8F"/>
    <w:rsid w:val="00CF6774"/>
    <w:rsid w:val="00D03C05"/>
    <w:rsid w:val="00D04ABE"/>
    <w:rsid w:val="00D055A2"/>
    <w:rsid w:val="00D219F9"/>
    <w:rsid w:val="00D2285E"/>
    <w:rsid w:val="00D22A1F"/>
    <w:rsid w:val="00D25D87"/>
    <w:rsid w:val="00D314E9"/>
    <w:rsid w:val="00D345C8"/>
    <w:rsid w:val="00D467CA"/>
    <w:rsid w:val="00D47935"/>
    <w:rsid w:val="00D50A8A"/>
    <w:rsid w:val="00D55E0B"/>
    <w:rsid w:val="00D63FC6"/>
    <w:rsid w:val="00D65309"/>
    <w:rsid w:val="00D6629D"/>
    <w:rsid w:val="00D72707"/>
    <w:rsid w:val="00D82926"/>
    <w:rsid w:val="00D84755"/>
    <w:rsid w:val="00D84E9F"/>
    <w:rsid w:val="00D90383"/>
    <w:rsid w:val="00D90F84"/>
    <w:rsid w:val="00DA09E6"/>
    <w:rsid w:val="00DA0ED6"/>
    <w:rsid w:val="00DA2B26"/>
    <w:rsid w:val="00DA4CE9"/>
    <w:rsid w:val="00DC0DD6"/>
    <w:rsid w:val="00DD0552"/>
    <w:rsid w:val="00DD2F38"/>
    <w:rsid w:val="00DE31EB"/>
    <w:rsid w:val="00DE77C6"/>
    <w:rsid w:val="00DF3C7D"/>
    <w:rsid w:val="00DF54F0"/>
    <w:rsid w:val="00E069DD"/>
    <w:rsid w:val="00E07BB6"/>
    <w:rsid w:val="00E1078E"/>
    <w:rsid w:val="00E13218"/>
    <w:rsid w:val="00E20938"/>
    <w:rsid w:val="00E24982"/>
    <w:rsid w:val="00E25F5B"/>
    <w:rsid w:val="00E34460"/>
    <w:rsid w:val="00E37316"/>
    <w:rsid w:val="00E459FE"/>
    <w:rsid w:val="00E50F78"/>
    <w:rsid w:val="00E5122C"/>
    <w:rsid w:val="00E54F5D"/>
    <w:rsid w:val="00E7278F"/>
    <w:rsid w:val="00E72C8A"/>
    <w:rsid w:val="00E74D36"/>
    <w:rsid w:val="00E833DD"/>
    <w:rsid w:val="00E858EB"/>
    <w:rsid w:val="00E862AF"/>
    <w:rsid w:val="00E90463"/>
    <w:rsid w:val="00E93D9D"/>
    <w:rsid w:val="00EA60C0"/>
    <w:rsid w:val="00EA6304"/>
    <w:rsid w:val="00EB0952"/>
    <w:rsid w:val="00EB0F70"/>
    <w:rsid w:val="00EB18E8"/>
    <w:rsid w:val="00EB29ED"/>
    <w:rsid w:val="00EB5F4A"/>
    <w:rsid w:val="00EB6B1A"/>
    <w:rsid w:val="00EB737B"/>
    <w:rsid w:val="00EC4411"/>
    <w:rsid w:val="00ED0612"/>
    <w:rsid w:val="00EE219C"/>
    <w:rsid w:val="00EF09BA"/>
    <w:rsid w:val="00EF6917"/>
    <w:rsid w:val="00F0147F"/>
    <w:rsid w:val="00F01FAA"/>
    <w:rsid w:val="00F071BE"/>
    <w:rsid w:val="00F16156"/>
    <w:rsid w:val="00F17B47"/>
    <w:rsid w:val="00F257EB"/>
    <w:rsid w:val="00F27433"/>
    <w:rsid w:val="00F275A6"/>
    <w:rsid w:val="00F42846"/>
    <w:rsid w:val="00F42FAB"/>
    <w:rsid w:val="00F50535"/>
    <w:rsid w:val="00F53291"/>
    <w:rsid w:val="00F714CC"/>
    <w:rsid w:val="00F74301"/>
    <w:rsid w:val="00F766AA"/>
    <w:rsid w:val="00F8753C"/>
    <w:rsid w:val="00F946F8"/>
    <w:rsid w:val="00F9482F"/>
    <w:rsid w:val="00FA0B23"/>
    <w:rsid w:val="00FA2EB0"/>
    <w:rsid w:val="00FA7A5C"/>
    <w:rsid w:val="00FB1CCE"/>
    <w:rsid w:val="00FB2184"/>
    <w:rsid w:val="00FB362D"/>
    <w:rsid w:val="00FB5C98"/>
    <w:rsid w:val="00FC4C53"/>
    <w:rsid w:val="00FD2518"/>
    <w:rsid w:val="00FD4D16"/>
    <w:rsid w:val="00FD4F6F"/>
    <w:rsid w:val="00FD6003"/>
    <w:rsid w:val="00FE19EB"/>
    <w:rsid w:val="00FE59D2"/>
    <w:rsid w:val="00FF3DAB"/>
    <w:rsid w:val="00FF6D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37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CommentReference">
    <w:name w:val="annotation reference"/>
    <w:basedOn w:val="DefaultParagraphFont"/>
    <w:uiPriority w:val="99"/>
    <w:semiHidden/>
    <w:unhideWhenUsed/>
    <w:rsid w:val="00FD4F6F"/>
    <w:rPr>
      <w:sz w:val="16"/>
      <w:szCs w:val="16"/>
    </w:rPr>
  </w:style>
  <w:style w:type="paragraph" w:styleId="CommentText">
    <w:name w:val="annotation text"/>
    <w:basedOn w:val="Normal"/>
    <w:link w:val="CommentTextChar"/>
    <w:uiPriority w:val="99"/>
    <w:semiHidden/>
    <w:unhideWhenUsed/>
    <w:rsid w:val="00FD4F6F"/>
    <w:rPr>
      <w:sz w:val="20"/>
      <w:szCs w:val="20"/>
    </w:rPr>
  </w:style>
  <w:style w:type="character" w:customStyle="1" w:styleId="CommentTextChar">
    <w:name w:val="Comment Text Char"/>
    <w:basedOn w:val="DefaultParagraphFont"/>
    <w:link w:val="CommentText"/>
    <w:uiPriority w:val="99"/>
    <w:semiHidden/>
    <w:rsid w:val="00FD4F6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D4F6F"/>
    <w:rPr>
      <w:b/>
      <w:bCs/>
    </w:rPr>
  </w:style>
  <w:style w:type="character" w:customStyle="1" w:styleId="CommentSubjectChar">
    <w:name w:val="Comment Subject Char"/>
    <w:basedOn w:val="CommentTextChar"/>
    <w:link w:val="CommentSubject"/>
    <w:uiPriority w:val="99"/>
    <w:semiHidden/>
    <w:rsid w:val="00FD4F6F"/>
    <w:rPr>
      <w:rFonts w:eastAsia="Times New Roman" w:cs="Times New Roman"/>
      <w:b/>
      <w:bCs/>
      <w:sz w:val="20"/>
      <w:szCs w:val="20"/>
      <w:lang w:val="lv-LV" w:eastAsia="ru-RU"/>
    </w:rPr>
  </w:style>
  <w:style w:type="character" w:styleId="Hyperlink">
    <w:name w:val="Hyperlink"/>
    <w:basedOn w:val="DefaultParagraphFont"/>
    <w:uiPriority w:val="99"/>
    <w:unhideWhenUsed/>
    <w:rsid w:val="00153084"/>
    <w:rPr>
      <w:color w:val="0563C1" w:themeColor="hyperlink"/>
      <w:u w:val="single"/>
    </w:rPr>
  </w:style>
  <w:style w:type="character" w:customStyle="1" w:styleId="UnresolvedMention">
    <w:name w:val="Unresolved Mention"/>
    <w:basedOn w:val="DefaultParagraphFont"/>
    <w:uiPriority w:val="99"/>
    <w:semiHidden/>
    <w:unhideWhenUsed/>
    <w:rsid w:val="00153084"/>
    <w:rPr>
      <w:color w:val="605E5C"/>
      <w:shd w:val="clear" w:color="auto" w:fill="E1DFDD"/>
    </w:rPr>
  </w:style>
  <w:style w:type="paragraph" w:styleId="Revision">
    <w:name w:val="Revision"/>
    <w:hidden/>
    <w:uiPriority w:val="99"/>
    <w:semiHidden/>
    <w:rsid w:val="008E4EBF"/>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114083">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428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22:0225.A420200918.1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BDF10-025D-4776-9556-82629C97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3633</Words>
  <Characters>20712</Characters>
  <Application>Microsoft Office Word</Application>
  <DocSecurity>0</DocSecurity>
  <Lines>172</Lines>
  <Paragraphs>48</Paragraphs>
  <ScaleCrop>false</ScaleCrop>
  <Company/>
  <LinksUpToDate>false</LinksUpToDate>
  <CharactersWithSpaces>24297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2023-12-04T13:27:00Z</dcterms:created>
  <dcterms:modified xsi:type="dcterms:W3CDTF">2023-12-04T13:27:00Z</dcterms:modified>
</cp:coreProperties>
</file>