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4F696" w14:textId="67736E18" w:rsidR="00EB569C" w:rsidRPr="00EB569C" w:rsidRDefault="00EB569C" w:rsidP="00EB569C">
      <w:pPr>
        <w:autoSpaceDE w:val="0"/>
        <w:autoSpaceDN w:val="0"/>
        <w:spacing w:line="276" w:lineRule="auto"/>
        <w:jc w:val="both"/>
        <w:rPr>
          <w:rFonts w:ascii="TimesNewRomanPSMT" w:hAnsi="TimesNewRomanPSMT"/>
          <w:b/>
          <w:bCs/>
          <w:lang w:eastAsia="en-US"/>
        </w:rPr>
      </w:pPr>
      <w:bookmarkStart w:id="0" w:name="_GoBack"/>
      <w:r w:rsidRPr="00EB569C">
        <w:rPr>
          <w:rFonts w:ascii="TimesNewRomanPSMT" w:hAnsi="TimesNewRomanPSMT"/>
          <w:b/>
          <w:bCs/>
        </w:rPr>
        <w:t>Pievienotās vērtības nodokļa noteikšana darījuma tirgus vērtībai</w:t>
      </w:r>
    </w:p>
    <w:p w14:paraId="2834AC0A" w14:textId="77777777" w:rsidR="00EB569C" w:rsidRPr="00EB569C" w:rsidRDefault="00EB569C" w:rsidP="00EB569C">
      <w:pPr>
        <w:autoSpaceDE w:val="0"/>
        <w:autoSpaceDN w:val="0"/>
        <w:spacing w:line="276" w:lineRule="auto"/>
        <w:jc w:val="both"/>
        <w:rPr>
          <w:rFonts w:ascii="Calibri" w:hAnsi="Calibri"/>
          <w:sz w:val="22"/>
          <w:szCs w:val="22"/>
        </w:rPr>
      </w:pPr>
      <w:r w:rsidRPr="00EB569C">
        <w:t xml:space="preserve">Viens no gadījumiem, kad ar pievienotās vērtības nodokli apliekama darījuma tirgus vērtību, ir paredzēts Pievienotās vērtības nodokļa likuma </w:t>
      </w:r>
      <w:proofErr w:type="gramStart"/>
      <w:r w:rsidRPr="00EB569C">
        <w:t>34.panta</w:t>
      </w:r>
      <w:proofErr w:type="gramEnd"/>
      <w:r w:rsidRPr="00EB569C">
        <w:t xml:space="preserve"> devītās daļas 3.punktā, proti, ja darījuma vērtība ir lielāka par tirgus vērtību un preču piegādātājam vai pakalpojumu sniedzējam nav tiesību atskaitīt priekšnodokli pilnā apmērā.</w:t>
      </w:r>
    </w:p>
    <w:p w14:paraId="07B8C36B" w14:textId="77777777" w:rsidR="00EB569C" w:rsidRDefault="00EB569C" w:rsidP="00EB569C">
      <w:pPr>
        <w:autoSpaceDE w:val="0"/>
        <w:autoSpaceDN w:val="0"/>
        <w:spacing w:line="276" w:lineRule="auto"/>
        <w:jc w:val="both"/>
        <w:rPr>
          <w:rFonts w:ascii="TimesNewRomanPSMT" w:hAnsi="TimesNewRomanPSMT"/>
        </w:rPr>
      </w:pPr>
      <w:r w:rsidRPr="00EB569C">
        <w:rPr>
          <w:rFonts w:ascii="TimesNewRomanPSMT" w:hAnsi="TimesNewRomanPSMT"/>
        </w:rPr>
        <w:t>Noteikums „preču piegādātājam vai pakalpojumu sniedzējam nav tiesību atskaitīt priekšnodokli pilnā apmērā” aptver tādus gadījumus, kad preču piegādātājs vai pakalpojumu sniedzējs veic ar pievienotās vērtības nodokli neapliekamus vai tādus darījumus, kuros ir tiesības nodokli atskaitīt proporcionāli, un kad</w:t>
      </w:r>
      <w:r>
        <w:rPr>
          <w:rFonts w:ascii="TimesNewRomanPSMT" w:hAnsi="TimesNewRomanPSMT"/>
        </w:rPr>
        <w:t xml:space="preserve"> mākslīgi palielina cenu ar nodokli apliekamām piegādēm nodokļus pilnā apmērā maksājošam darījuma partnerim, kurš ir ar to saistīts, un šīs piegādes vērtības maiņas rezultātā rodas tieši zaudējumi no neiekasētiem nodokļiem. Proti, preču vai pakalpojumu saņēmējs var pilnībā atgūt priekšnodokli, bet, palielinot vērtību, piegādātājam izdodas mainīt attiecību starp veikto apliekamo un neapliekamo piegāžu vērtību, lai panāktu lielāku atgūstamā pievienotās vērtības nodokļa īpatsvaru.</w:t>
      </w:r>
    </w:p>
    <w:bookmarkEnd w:id="0"/>
    <w:p w14:paraId="12235C97" w14:textId="5253858E" w:rsidR="008B7CCD" w:rsidRPr="00EC00F0" w:rsidRDefault="008B7CCD" w:rsidP="00EB569C">
      <w:pPr>
        <w:pStyle w:val="BodyText2"/>
        <w:spacing w:after="0" w:line="276" w:lineRule="auto"/>
        <w:contextualSpacing/>
        <w:rPr>
          <w:lang w:val="lv-LV"/>
        </w:rPr>
      </w:pPr>
    </w:p>
    <w:p w14:paraId="71A3CA25" w14:textId="0FA64BD7" w:rsidR="008B7CCD" w:rsidRPr="00EB569C" w:rsidRDefault="00EB569C" w:rsidP="00EB569C">
      <w:pPr>
        <w:spacing w:line="276" w:lineRule="auto"/>
        <w:contextualSpacing/>
        <w:jc w:val="center"/>
        <w:rPr>
          <w:b/>
        </w:rPr>
      </w:pPr>
      <w:r w:rsidRPr="00EB569C">
        <w:rPr>
          <w:b/>
        </w:rPr>
        <w:t>Latvijas Republikas Senāta</w:t>
      </w:r>
    </w:p>
    <w:p w14:paraId="79B83CDC" w14:textId="69DA1538" w:rsidR="00EB569C" w:rsidRPr="00EB569C" w:rsidRDefault="00EB569C" w:rsidP="00EB569C">
      <w:pPr>
        <w:spacing w:line="276" w:lineRule="auto"/>
        <w:contextualSpacing/>
        <w:jc w:val="center"/>
        <w:rPr>
          <w:b/>
        </w:rPr>
      </w:pPr>
      <w:r w:rsidRPr="00EB569C">
        <w:rPr>
          <w:b/>
        </w:rPr>
        <w:t xml:space="preserve">Administratīvo lietu departamenta </w:t>
      </w:r>
    </w:p>
    <w:p w14:paraId="1A773287" w14:textId="6E6CFDAD" w:rsidR="00EB569C" w:rsidRPr="00EB569C" w:rsidRDefault="00EB569C" w:rsidP="00EB569C">
      <w:pPr>
        <w:spacing w:line="276" w:lineRule="auto"/>
        <w:contextualSpacing/>
        <w:jc w:val="center"/>
        <w:rPr>
          <w:b/>
        </w:rPr>
      </w:pPr>
      <w:proofErr w:type="gramStart"/>
      <w:r w:rsidRPr="00EB569C">
        <w:rPr>
          <w:b/>
        </w:rPr>
        <w:t>2023.gada</w:t>
      </w:r>
      <w:proofErr w:type="gramEnd"/>
      <w:r w:rsidRPr="00EB569C">
        <w:rPr>
          <w:b/>
        </w:rPr>
        <w:t xml:space="preserve"> 24.oktobra </w:t>
      </w:r>
    </w:p>
    <w:p w14:paraId="338EDD9C" w14:textId="77777777" w:rsidR="008B7CCD" w:rsidRPr="00EB569C" w:rsidRDefault="008B7CCD" w:rsidP="00EB569C">
      <w:pPr>
        <w:spacing w:line="276" w:lineRule="auto"/>
        <w:contextualSpacing/>
        <w:jc w:val="center"/>
        <w:rPr>
          <w:b/>
        </w:rPr>
      </w:pPr>
      <w:r w:rsidRPr="00EB569C">
        <w:rPr>
          <w:b/>
        </w:rPr>
        <w:t xml:space="preserve">SPRIEDUMS </w:t>
      </w:r>
    </w:p>
    <w:p w14:paraId="72BDB1E9" w14:textId="77777777" w:rsidR="00EB569C" w:rsidRPr="00EB569C" w:rsidRDefault="00EB569C" w:rsidP="00EB569C">
      <w:pPr>
        <w:spacing w:line="276" w:lineRule="auto"/>
        <w:contextualSpacing/>
        <w:jc w:val="center"/>
        <w:rPr>
          <w:b/>
        </w:rPr>
      </w:pPr>
      <w:r w:rsidRPr="00EB569C">
        <w:rPr>
          <w:b/>
        </w:rPr>
        <w:t>Lieta Nr. A420181417, SKA</w:t>
      </w:r>
      <w:r w:rsidRPr="00EB569C">
        <w:rPr>
          <w:b/>
        </w:rPr>
        <w:noBreakHyphen/>
        <w:t>884/2023</w:t>
      </w:r>
    </w:p>
    <w:p w14:paraId="2B18D55A" w14:textId="301B79CF" w:rsidR="00EB569C" w:rsidRPr="00C56509" w:rsidRDefault="002A2E0A" w:rsidP="00EB569C">
      <w:pPr>
        <w:spacing w:line="276" w:lineRule="auto"/>
        <w:contextualSpacing/>
        <w:jc w:val="center"/>
      </w:pPr>
      <w:hyperlink r:id="rId7" w:history="1">
        <w:r w:rsidR="00EB569C" w:rsidRPr="00EB569C">
          <w:rPr>
            <w:rStyle w:val="Hyperlink"/>
            <w:rFonts w:ascii="TimesNewRomanPSMT" w:eastAsiaTheme="minorHAnsi" w:hAnsi="TimesNewRomanPSMT" w:cs="TimesNewRomanPSMT"/>
            <w:lang w:val="en-US" w:eastAsia="en-US"/>
          </w:rPr>
          <w:t>ECLI</w:t>
        </w:r>
        <w:proofErr w:type="gramStart"/>
        <w:r w:rsidR="00EB569C" w:rsidRPr="00EB569C">
          <w:rPr>
            <w:rStyle w:val="Hyperlink"/>
            <w:rFonts w:ascii="TimesNewRomanPSMT" w:eastAsiaTheme="minorHAnsi" w:hAnsi="TimesNewRomanPSMT" w:cs="TimesNewRomanPSMT"/>
            <w:lang w:val="en-US" w:eastAsia="en-US"/>
          </w:rPr>
          <w:t>:LV:AT:2023:1024.A420181417.22.S</w:t>
        </w:r>
        <w:proofErr w:type="gramEnd"/>
      </w:hyperlink>
    </w:p>
    <w:p w14:paraId="2EC14FB2" w14:textId="77777777" w:rsidR="008B7CCD" w:rsidRPr="00EC00F0" w:rsidRDefault="008B7CCD" w:rsidP="00EB569C">
      <w:pPr>
        <w:spacing w:line="276" w:lineRule="auto"/>
        <w:ind w:firstLine="720"/>
        <w:jc w:val="both"/>
        <w:rPr>
          <w:rFonts w:asciiTheme="majorBidi" w:hAnsiTheme="majorBidi" w:cstheme="majorBidi"/>
        </w:rPr>
      </w:pPr>
    </w:p>
    <w:p w14:paraId="24CBA226" w14:textId="66766DB0" w:rsidR="00EF7AC4" w:rsidRDefault="00EF7AC4" w:rsidP="00EB569C">
      <w:pPr>
        <w:spacing w:line="276" w:lineRule="auto"/>
        <w:ind w:firstLine="720"/>
        <w:jc w:val="both"/>
      </w:pPr>
      <w:r>
        <w:t xml:space="preserve">Senāts </w:t>
      </w:r>
      <w:r w:rsidRPr="00011547">
        <w:t>šādā sastāvā</w:t>
      </w:r>
      <w:r>
        <w:t>: senatore referente Rudīte Vīduša, senator</w:t>
      </w:r>
      <w:r w:rsidR="004E3687">
        <w:t>es</w:t>
      </w:r>
      <w:r>
        <w:t xml:space="preserve"> </w:t>
      </w:r>
      <w:r w:rsidR="004E3687">
        <w:t>Ilze Freimane un Ieva Višķere</w:t>
      </w:r>
    </w:p>
    <w:p w14:paraId="3199FCA5" w14:textId="77777777" w:rsidR="008B7CCD" w:rsidRPr="00EC00F0" w:rsidRDefault="008B7CCD" w:rsidP="00EB569C">
      <w:pPr>
        <w:spacing w:line="276" w:lineRule="auto"/>
        <w:ind w:firstLine="720"/>
        <w:jc w:val="both"/>
      </w:pPr>
    </w:p>
    <w:p w14:paraId="43196535" w14:textId="5CCB2851" w:rsidR="005E06FB" w:rsidRPr="00EC00F0" w:rsidRDefault="008B7CCD" w:rsidP="00EB569C">
      <w:pPr>
        <w:spacing w:line="276" w:lineRule="auto"/>
        <w:ind w:firstLine="720"/>
        <w:jc w:val="both"/>
        <w:rPr>
          <w:rFonts w:eastAsiaTheme="minorHAnsi"/>
          <w:lang w:eastAsia="en-US"/>
        </w:rPr>
      </w:pPr>
      <w:r w:rsidRPr="00EC00F0">
        <w:t xml:space="preserve">rakstveida procesā izskatīja administratīvo lietu, kas ierosināta, </w:t>
      </w:r>
      <w:r w:rsidR="00A42AEC" w:rsidRPr="00EC00F0">
        <w:rPr>
          <w:rFonts w:eastAsiaTheme="minorHAnsi"/>
          <w:lang w:eastAsia="en-US"/>
        </w:rPr>
        <w:t>pamatojoties uz</w:t>
      </w:r>
      <w:r w:rsidR="00BA0DD9">
        <w:t xml:space="preserve"> AS „</w:t>
      </w:r>
      <w:proofErr w:type="spellStart"/>
      <w:r w:rsidR="00BA0DD9">
        <w:t>Baltic</w:t>
      </w:r>
      <w:proofErr w:type="spellEnd"/>
      <w:r w:rsidR="00BA0DD9">
        <w:t xml:space="preserve"> RE </w:t>
      </w:r>
      <w:proofErr w:type="spellStart"/>
      <w:r w:rsidR="00BA0DD9">
        <w:t>Group</w:t>
      </w:r>
      <w:proofErr w:type="spellEnd"/>
      <w:r w:rsidR="00BA0DD9">
        <w:t xml:space="preserve">” (pirms reorganizācijas SIA „BB 21”) pieteikumu par Valsts ieņēmumu dienesta </w:t>
      </w:r>
      <w:proofErr w:type="gramStart"/>
      <w:r w:rsidR="00BA0DD9">
        <w:t>2017.gada</w:t>
      </w:r>
      <w:proofErr w:type="gramEnd"/>
      <w:r w:rsidR="00BA0DD9">
        <w:t xml:space="preserve"> 1.marta lēmuma Nr. 30.2-22.8/1269 atcelšanu, sakarā ar AS „</w:t>
      </w:r>
      <w:proofErr w:type="spellStart"/>
      <w:r w:rsidR="00BA0DD9">
        <w:t>Baltic</w:t>
      </w:r>
      <w:proofErr w:type="spellEnd"/>
      <w:r w:rsidR="00BA0DD9">
        <w:t xml:space="preserve"> RE </w:t>
      </w:r>
      <w:proofErr w:type="spellStart"/>
      <w:r w:rsidR="00BA0DD9">
        <w:t>Group</w:t>
      </w:r>
      <w:proofErr w:type="spellEnd"/>
      <w:r w:rsidR="00BA0DD9">
        <w:t>”</w:t>
      </w:r>
      <w:r w:rsidR="00BA0DD9">
        <w:rPr>
          <w:rFonts w:eastAsiaTheme="minorHAnsi"/>
          <w:lang w:eastAsia="en-US"/>
        </w:rPr>
        <w:t xml:space="preserve"> </w:t>
      </w:r>
      <w:r w:rsidR="00A52B16" w:rsidRPr="00EC00F0">
        <w:rPr>
          <w:rFonts w:eastAsiaTheme="minorHAnsi"/>
          <w:lang w:eastAsia="en-US"/>
        </w:rPr>
        <w:t>kasācijas sūdzību par Administratīvās apgabaltiesas 202</w:t>
      </w:r>
      <w:r w:rsidR="00BA0DD9">
        <w:rPr>
          <w:rFonts w:eastAsiaTheme="minorHAnsi"/>
          <w:lang w:eastAsia="en-US"/>
        </w:rPr>
        <w:t>3</w:t>
      </w:r>
      <w:r w:rsidR="00A52B16" w:rsidRPr="00EC00F0">
        <w:rPr>
          <w:rFonts w:eastAsiaTheme="minorHAnsi"/>
          <w:lang w:eastAsia="en-US"/>
        </w:rPr>
        <w:t xml:space="preserve">.gada </w:t>
      </w:r>
      <w:r w:rsidR="009460BC">
        <w:rPr>
          <w:rFonts w:eastAsiaTheme="minorHAnsi"/>
          <w:lang w:eastAsia="en-US"/>
        </w:rPr>
        <w:t>2</w:t>
      </w:r>
      <w:r w:rsidR="00BA0DD9">
        <w:rPr>
          <w:rFonts w:eastAsiaTheme="minorHAnsi"/>
          <w:lang w:eastAsia="en-US"/>
        </w:rPr>
        <w:t>7</w:t>
      </w:r>
      <w:r w:rsidR="00A52B16" w:rsidRPr="00EC00F0">
        <w:rPr>
          <w:rFonts w:eastAsiaTheme="minorHAnsi"/>
          <w:lang w:eastAsia="en-US"/>
        </w:rPr>
        <w:t>.</w:t>
      </w:r>
      <w:r w:rsidR="009460BC">
        <w:rPr>
          <w:rFonts w:eastAsiaTheme="minorHAnsi"/>
          <w:lang w:eastAsia="en-US"/>
        </w:rPr>
        <w:t>j</w:t>
      </w:r>
      <w:r w:rsidR="00BA0DD9">
        <w:rPr>
          <w:rFonts w:eastAsiaTheme="minorHAnsi"/>
          <w:lang w:eastAsia="en-US"/>
        </w:rPr>
        <w:t>ūlija</w:t>
      </w:r>
      <w:r w:rsidR="00A52B16" w:rsidRPr="00EC00F0">
        <w:rPr>
          <w:rFonts w:eastAsiaTheme="minorHAnsi"/>
          <w:lang w:eastAsia="en-US"/>
        </w:rPr>
        <w:t xml:space="preserve"> spriedumu</w:t>
      </w:r>
      <w:r w:rsidR="00BA0DD9">
        <w:rPr>
          <w:rFonts w:eastAsiaTheme="minorHAnsi"/>
          <w:lang w:eastAsia="en-US"/>
        </w:rPr>
        <w:t xml:space="preserve"> daļā</w:t>
      </w:r>
      <w:r w:rsidR="00CA155C">
        <w:rPr>
          <w:rFonts w:eastAsiaTheme="minorHAnsi"/>
          <w:lang w:eastAsia="en-US"/>
        </w:rPr>
        <w:t xml:space="preserve">, ar kuru noraidīts </w:t>
      </w:r>
      <w:r w:rsidR="00CA155C">
        <w:t>AS „</w:t>
      </w:r>
      <w:proofErr w:type="spellStart"/>
      <w:r w:rsidR="00CA155C">
        <w:t>Baltic</w:t>
      </w:r>
      <w:proofErr w:type="spellEnd"/>
      <w:r w:rsidR="00CA155C">
        <w:t xml:space="preserve"> RE </w:t>
      </w:r>
      <w:proofErr w:type="spellStart"/>
      <w:r w:rsidR="00CA155C">
        <w:t>Group</w:t>
      </w:r>
      <w:proofErr w:type="spellEnd"/>
      <w:r w:rsidR="00CA155C">
        <w:t>” pieteikums</w:t>
      </w:r>
      <w:r w:rsidR="00A52B16" w:rsidRPr="00EC00F0">
        <w:rPr>
          <w:rFonts w:eastAsiaTheme="minorHAnsi"/>
          <w:lang w:eastAsia="en-US"/>
        </w:rPr>
        <w:t>.</w:t>
      </w:r>
    </w:p>
    <w:p w14:paraId="50642059" w14:textId="77777777" w:rsidR="005E06FB" w:rsidRPr="00EC00F0" w:rsidRDefault="005E06FB" w:rsidP="00EB569C">
      <w:pPr>
        <w:spacing w:line="276" w:lineRule="auto"/>
        <w:ind w:firstLine="720"/>
        <w:jc w:val="both"/>
        <w:rPr>
          <w:rFonts w:eastAsiaTheme="minorHAnsi"/>
          <w:lang w:eastAsia="en-US"/>
        </w:rPr>
      </w:pPr>
    </w:p>
    <w:p w14:paraId="2B79C98E" w14:textId="77777777" w:rsidR="008B7CCD" w:rsidRDefault="008B7CCD" w:rsidP="00EB569C">
      <w:pPr>
        <w:pStyle w:val="ATvirsraksts"/>
        <w:contextualSpacing/>
      </w:pPr>
      <w:r w:rsidRPr="00EC00F0">
        <w:t>Aprakstošā daļa</w:t>
      </w:r>
    </w:p>
    <w:p w14:paraId="34F85DCF" w14:textId="77777777" w:rsidR="00805F01" w:rsidRPr="00EC00F0" w:rsidRDefault="00805F01" w:rsidP="00EB569C">
      <w:pPr>
        <w:pStyle w:val="ATvirsraksts"/>
        <w:contextualSpacing/>
      </w:pPr>
    </w:p>
    <w:p w14:paraId="7A360561" w14:textId="432DF510" w:rsidR="00F005AF" w:rsidRPr="00DE3A55" w:rsidRDefault="00DE3A55" w:rsidP="00EB569C">
      <w:pPr>
        <w:spacing w:line="276" w:lineRule="auto"/>
        <w:ind w:firstLine="720"/>
        <w:jc w:val="both"/>
        <w:rPr>
          <w:i/>
          <w:iCs/>
        </w:rPr>
      </w:pPr>
      <w:r w:rsidRPr="00DE3A55">
        <w:rPr>
          <w:i/>
          <w:iCs/>
        </w:rPr>
        <w:t>Lietas apstākļi</w:t>
      </w:r>
    </w:p>
    <w:p w14:paraId="236356B1" w14:textId="2A944ECA" w:rsidR="005E58DD" w:rsidRDefault="008B7CCD" w:rsidP="00EB569C">
      <w:pPr>
        <w:autoSpaceDE w:val="0"/>
        <w:autoSpaceDN w:val="0"/>
        <w:adjustRightInd w:val="0"/>
        <w:spacing w:line="276" w:lineRule="auto"/>
        <w:ind w:firstLine="720"/>
        <w:jc w:val="both"/>
      </w:pPr>
      <w:r w:rsidRPr="00682FC0">
        <w:t>[1]</w:t>
      </w:r>
      <w:r w:rsidR="005C6957">
        <w:t xml:space="preserve"> </w:t>
      </w:r>
      <w:r w:rsidR="005E58DD">
        <w:t>Pieteicēja AS „</w:t>
      </w:r>
      <w:proofErr w:type="spellStart"/>
      <w:r w:rsidR="005E58DD">
        <w:t>Baltic</w:t>
      </w:r>
      <w:proofErr w:type="spellEnd"/>
      <w:r w:rsidR="005E58DD">
        <w:t xml:space="preserve"> RE </w:t>
      </w:r>
      <w:proofErr w:type="spellStart"/>
      <w:r w:rsidR="005E58DD">
        <w:t>Group</w:t>
      </w:r>
      <w:proofErr w:type="spellEnd"/>
      <w:r w:rsidR="005E58DD">
        <w:t xml:space="preserve">” atskaitīja </w:t>
      </w:r>
      <w:r w:rsidR="004C379F">
        <w:t xml:space="preserve">pievienotās vērtības nodokļa </w:t>
      </w:r>
      <w:r w:rsidR="005E58DD">
        <w:t xml:space="preserve">priekšnodokli, pamatojoties uz SIA „TER </w:t>
      </w:r>
      <w:proofErr w:type="spellStart"/>
      <w:r w:rsidR="005E58DD">
        <w:t>Properties</w:t>
      </w:r>
      <w:proofErr w:type="spellEnd"/>
      <w:r w:rsidR="005E58DD">
        <w:t xml:space="preserve">” izrakstītajiem rēķiniem par starpniecības pakalpojumu sniegšanu un </w:t>
      </w:r>
      <w:r w:rsidR="009614EF">
        <w:t xml:space="preserve">nekustamā īpašuma </w:t>
      </w:r>
      <w:r w:rsidR="005E58DD">
        <w:t xml:space="preserve">projekta dokumentācijas piegādi. </w:t>
      </w:r>
    </w:p>
    <w:p w14:paraId="154E1D78" w14:textId="4A7EEA3D" w:rsidR="009614EF" w:rsidRDefault="005E58DD" w:rsidP="00EB569C">
      <w:pPr>
        <w:autoSpaceDE w:val="0"/>
        <w:autoSpaceDN w:val="0"/>
        <w:adjustRightInd w:val="0"/>
        <w:spacing w:line="276" w:lineRule="auto"/>
        <w:ind w:firstLine="720"/>
        <w:jc w:val="both"/>
      </w:pPr>
      <w:r>
        <w:t xml:space="preserve">Valsts ieņēmumu dienests veica pieteicējai pievienotās vērtības nodokļa auditu. Tā rezultātā dienests secināja, ka SIA „TER </w:t>
      </w:r>
      <w:proofErr w:type="spellStart"/>
      <w:r>
        <w:t>Properties</w:t>
      </w:r>
      <w:proofErr w:type="spellEnd"/>
      <w:r>
        <w:t xml:space="preserve">” starpniecības pakalpojumus nav saņēmusi no SIA „VESTABALT”, tātad nav tos arī sniegusi pieteicējai, par ko pieteicēja nevarēja nezināt. Līdz ar to dienests atzina, ka pieteicēja nebija tiesīga atskaitīt priekšnodokli par starpniecības pakalpojumiem. Savukārt, pārbaudot darījumu par </w:t>
      </w:r>
      <w:r w:rsidR="009614EF">
        <w:t xml:space="preserve">nekustamā īpašuma </w:t>
      </w:r>
      <w:r>
        <w:t>projekta dokumentācijas iegādi</w:t>
      </w:r>
      <w:r w:rsidR="006830CC">
        <w:t xml:space="preserve"> no SIA „TER </w:t>
      </w:r>
      <w:proofErr w:type="spellStart"/>
      <w:r w:rsidR="006830CC">
        <w:t>Properties</w:t>
      </w:r>
      <w:proofErr w:type="spellEnd"/>
      <w:r w:rsidR="006830CC">
        <w:t>”</w:t>
      </w:r>
      <w:r>
        <w:t>, dienests konstatēja</w:t>
      </w:r>
      <w:r w:rsidR="009614EF">
        <w:t>, ka</w:t>
      </w:r>
      <w:r>
        <w:t xml:space="preserve"> darījumā iesaistīt</w:t>
      </w:r>
      <w:r w:rsidR="009614EF">
        <w:t>ās</w:t>
      </w:r>
      <w:r>
        <w:t xml:space="preserve"> </w:t>
      </w:r>
      <w:r w:rsidR="009614EF">
        <w:t>sabiedrības</w:t>
      </w:r>
      <w:r>
        <w:t xml:space="preserve"> ir savstarpēji saistītas personas, kas </w:t>
      </w:r>
      <w:r>
        <w:lastRenderedPageBreak/>
        <w:t xml:space="preserve">saskaņoti rīkojušās tā, lai mākslīgi paaugstinātu darījuma vērtību un lai tādējādi </w:t>
      </w:r>
      <w:r w:rsidR="00805F01">
        <w:t xml:space="preserve">pārmaksātā nodokļa atmaksas veidā </w:t>
      </w:r>
      <w:r>
        <w:t xml:space="preserve">iegūtu papildu līdzekļus no valsts budžeta. Līdz ar to dienests samazināja strīdus darījuma vērtību un tā rezultātā arī pieteicējas atskaitāmo priekšnodokli. </w:t>
      </w:r>
    </w:p>
    <w:p w14:paraId="63E89E93" w14:textId="04877E40" w:rsidR="005E58DD" w:rsidRDefault="009614EF" w:rsidP="00EB569C">
      <w:pPr>
        <w:autoSpaceDE w:val="0"/>
        <w:autoSpaceDN w:val="0"/>
        <w:adjustRightInd w:val="0"/>
        <w:spacing w:line="276" w:lineRule="auto"/>
        <w:ind w:firstLine="720"/>
        <w:jc w:val="both"/>
      </w:pPr>
      <w:r>
        <w:t xml:space="preserve">Administratīvais process iestādē noslēdzās ar Valsts ieņēmumu dienesta </w:t>
      </w:r>
      <w:proofErr w:type="gramStart"/>
      <w:r w:rsidR="005E58DD">
        <w:t>2017.gada</w:t>
      </w:r>
      <w:proofErr w:type="gramEnd"/>
      <w:r w:rsidR="005E58DD">
        <w:t xml:space="preserve"> 1.marta lēmumu Nr. 30.2-22.8/1269</w:t>
      </w:r>
      <w:r w:rsidR="004E4E2B">
        <w:t xml:space="preserve">, ar kuru pieteicējai </w:t>
      </w:r>
      <w:r w:rsidR="005E58DD">
        <w:t>papildu samaksai budžetā</w:t>
      </w:r>
      <w:r w:rsidR="000641B8">
        <w:t xml:space="preserve"> noteikts</w:t>
      </w:r>
      <w:r w:rsidR="005E58DD">
        <w:t xml:space="preserve"> pievienotās vērtības nodokli</w:t>
      </w:r>
      <w:r w:rsidR="00D61A0A">
        <w:t>s</w:t>
      </w:r>
      <w:r w:rsidR="005E58DD">
        <w:t>, soda naud</w:t>
      </w:r>
      <w:r w:rsidR="00635A26">
        <w:t>a</w:t>
      </w:r>
      <w:r w:rsidR="005E58DD">
        <w:t xml:space="preserve"> un nokavējuma naud</w:t>
      </w:r>
      <w:r w:rsidR="00635A26">
        <w:t>a</w:t>
      </w:r>
      <w:r w:rsidR="005E58DD">
        <w:t xml:space="preserve">, </w:t>
      </w:r>
      <w:r w:rsidR="00304080">
        <w:t xml:space="preserve">kā arī </w:t>
      </w:r>
      <w:r w:rsidR="005E58DD">
        <w:t>notei</w:t>
      </w:r>
      <w:r w:rsidR="004E4E2B">
        <w:t>kts</w:t>
      </w:r>
      <w:r w:rsidR="005E58DD">
        <w:t xml:space="preserve"> no budžeta atmaksājamā pievienotās vērtības nodokļa samazinājum</w:t>
      </w:r>
      <w:r w:rsidR="004E4E2B">
        <w:t>s</w:t>
      </w:r>
      <w:r w:rsidR="005E58DD">
        <w:t xml:space="preserve"> un saistībā ar to aprēķinā</w:t>
      </w:r>
      <w:r w:rsidR="004E4E2B">
        <w:t>ta</w:t>
      </w:r>
      <w:r w:rsidR="005E58DD">
        <w:t xml:space="preserve"> soda naud</w:t>
      </w:r>
      <w:r w:rsidR="004E4E2B">
        <w:t>a</w:t>
      </w:r>
      <w:r w:rsidR="005E58DD">
        <w:t>.</w:t>
      </w:r>
    </w:p>
    <w:p w14:paraId="794732BD" w14:textId="3B726735" w:rsidR="00795839" w:rsidRPr="00E302C2" w:rsidRDefault="00795839" w:rsidP="00EB569C">
      <w:pPr>
        <w:autoSpaceDE w:val="0"/>
        <w:autoSpaceDN w:val="0"/>
        <w:adjustRightInd w:val="0"/>
        <w:spacing w:line="276" w:lineRule="auto"/>
        <w:ind w:firstLine="720"/>
        <w:jc w:val="both"/>
        <w:rPr>
          <w:rFonts w:asciiTheme="majorBidi" w:eastAsiaTheme="minorHAnsi" w:hAnsiTheme="majorBidi" w:cstheme="majorBidi"/>
          <w:lang w:eastAsia="en-US"/>
        </w:rPr>
      </w:pPr>
      <w:r w:rsidRPr="00682FC0">
        <w:rPr>
          <w:rFonts w:eastAsiaTheme="minorHAnsi"/>
          <w:lang w:eastAsia="en-US"/>
        </w:rPr>
        <w:t>Pieteicēj</w:t>
      </w:r>
      <w:r>
        <w:rPr>
          <w:rFonts w:eastAsiaTheme="minorHAnsi"/>
          <w:lang w:eastAsia="en-US"/>
        </w:rPr>
        <w:t>a</w:t>
      </w:r>
      <w:r w:rsidRPr="00682FC0">
        <w:rPr>
          <w:rFonts w:eastAsiaTheme="minorHAnsi"/>
          <w:lang w:eastAsia="en-US"/>
        </w:rPr>
        <w:t xml:space="preserve"> </w:t>
      </w:r>
      <w:r>
        <w:rPr>
          <w:rFonts w:eastAsiaTheme="minorHAnsi"/>
          <w:lang w:eastAsia="en-US"/>
        </w:rPr>
        <w:t>iesniedza tiesā pieteikumu par administratīvā akta atcelšanu.</w:t>
      </w:r>
    </w:p>
    <w:p w14:paraId="76BC20AD" w14:textId="77777777" w:rsidR="00F64801" w:rsidRDefault="00F64801" w:rsidP="00EB569C">
      <w:pPr>
        <w:autoSpaceDE w:val="0"/>
        <w:autoSpaceDN w:val="0"/>
        <w:adjustRightInd w:val="0"/>
        <w:spacing w:line="276" w:lineRule="auto"/>
        <w:ind w:firstLine="720"/>
        <w:jc w:val="both"/>
        <w:rPr>
          <w:rFonts w:asciiTheme="majorBidi" w:eastAsiaTheme="minorHAnsi" w:hAnsiTheme="majorBidi" w:cstheme="majorBidi"/>
          <w:lang w:eastAsia="en-US"/>
        </w:rPr>
      </w:pPr>
    </w:p>
    <w:p w14:paraId="31761D2B" w14:textId="771769BF" w:rsidR="00F64801" w:rsidRPr="00F64801" w:rsidRDefault="00A17711" w:rsidP="00EB569C">
      <w:pPr>
        <w:autoSpaceDE w:val="0"/>
        <w:autoSpaceDN w:val="0"/>
        <w:adjustRightInd w:val="0"/>
        <w:spacing w:line="276" w:lineRule="auto"/>
        <w:ind w:firstLine="720"/>
        <w:jc w:val="both"/>
        <w:rPr>
          <w:rFonts w:eastAsiaTheme="minorHAnsi"/>
          <w:lang w:eastAsia="en-US"/>
        </w:rPr>
      </w:pPr>
      <w:r w:rsidRPr="00682FC0">
        <w:rPr>
          <w:rFonts w:eastAsiaTheme="minorHAnsi"/>
          <w:lang w:eastAsia="en-US"/>
        </w:rPr>
        <w:t>[2]</w:t>
      </w:r>
      <w:r w:rsidR="005C6957">
        <w:rPr>
          <w:rFonts w:eastAsiaTheme="minorHAnsi"/>
          <w:lang w:eastAsia="en-US"/>
        </w:rPr>
        <w:t xml:space="preserve"> </w:t>
      </w:r>
      <w:r w:rsidR="00F64801" w:rsidRPr="008F40C4">
        <w:rPr>
          <w:color w:val="000000"/>
        </w:rPr>
        <w:t xml:space="preserve">Administratīvā apgabaltiesa ar </w:t>
      </w:r>
      <w:proofErr w:type="gramStart"/>
      <w:r w:rsidR="00F64801">
        <w:t>2019.gada</w:t>
      </w:r>
      <w:proofErr w:type="gramEnd"/>
      <w:r w:rsidR="00F64801">
        <w:t xml:space="preserve"> 4.jūlija spriedumu pieteikumu noraidīja</w:t>
      </w:r>
      <w:r w:rsidR="00F64801">
        <w:rPr>
          <w:color w:val="000000"/>
        </w:rPr>
        <w:t>.</w:t>
      </w:r>
      <w:r w:rsidR="00F64801" w:rsidRPr="008F40C4">
        <w:rPr>
          <w:color w:val="000000"/>
        </w:rPr>
        <w:t xml:space="preserve"> Ar Senāta </w:t>
      </w:r>
      <w:proofErr w:type="gramStart"/>
      <w:r w:rsidR="00F64801">
        <w:t>2022.gada</w:t>
      </w:r>
      <w:proofErr w:type="gramEnd"/>
      <w:r w:rsidR="00F64801">
        <w:t xml:space="preserve"> 27.jūnija </w:t>
      </w:r>
      <w:r w:rsidR="00F64801" w:rsidRPr="008F40C4">
        <w:rPr>
          <w:color w:val="000000"/>
        </w:rPr>
        <w:t>spriedumu šis apgabaltiesas spriedums atcelts</w:t>
      </w:r>
      <w:r w:rsidR="00304080">
        <w:rPr>
          <w:color w:val="000000"/>
        </w:rPr>
        <w:t>.</w:t>
      </w:r>
    </w:p>
    <w:p w14:paraId="4A9A9691" w14:textId="77777777" w:rsidR="00F64801" w:rsidRDefault="00F64801" w:rsidP="00EB569C">
      <w:pPr>
        <w:autoSpaceDE w:val="0"/>
        <w:autoSpaceDN w:val="0"/>
        <w:adjustRightInd w:val="0"/>
        <w:spacing w:line="276" w:lineRule="auto"/>
        <w:ind w:firstLine="720"/>
        <w:jc w:val="both"/>
        <w:rPr>
          <w:rFonts w:eastAsiaTheme="minorHAnsi"/>
          <w:lang w:eastAsia="en-US"/>
        </w:rPr>
      </w:pPr>
    </w:p>
    <w:p w14:paraId="73B55E70" w14:textId="77777777" w:rsidR="00F64801" w:rsidRPr="00DE3A55" w:rsidRDefault="00F64801" w:rsidP="00EB569C">
      <w:pPr>
        <w:autoSpaceDE w:val="0"/>
        <w:autoSpaceDN w:val="0"/>
        <w:adjustRightInd w:val="0"/>
        <w:spacing w:line="276" w:lineRule="auto"/>
        <w:ind w:firstLine="720"/>
        <w:jc w:val="both"/>
        <w:rPr>
          <w:rFonts w:asciiTheme="majorBidi" w:eastAsiaTheme="minorHAnsi" w:hAnsiTheme="majorBidi" w:cstheme="majorBidi"/>
          <w:i/>
          <w:iCs/>
          <w:lang w:eastAsia="en-US"/>
        </w:rPr>
      </w:pPr>
      <w:r w:rsidRPr="00DE3A55">
        <w:rPr>
          <w:rFonts w:asciiTheme="majorBidi" w:eastAsiaTheme="minorHAnsi" w:hAnsiTheme="majorBidi" w:cstheme="majorBidi"/>
          <w:i/>
          <w:iCs/>
          <w:lang w:eastAsia="en-US"/>
        </w:rPr>
        <w:t>Apelācijas instances tiesas spriedums</w:t>
      </w:r>
    </w:p>
    <w:p w14:paraId="25134BB8" w14:textId="5D031200" w:rsidR="00F64801" w:rsidRDefault="00F64801" w:rsidP="00EB569C">
      <w:pPr>
        <w:autoSpaceDE w:val="0"/>
        <w:autoSpaceDN w:val="0"/>
        <w:adjustRightInd w:val="0"/>
        <w:spacing w:line="276" w:lineRule="auto"/>
        <w:ind w:firstLine="720"/>
        <w:jc w:val="both"/>
        <w:rPr>
          <w:color w:val="000000"/>
        </w:rPr>
      </w:pPr>
      <w:r>
        <w:rPr>
          <w:rFonts w:eastAsiaTheme="minorHAnsi"/>
          <w:lang w:eastAsia="en-US"/>
        </w:rPr>
        <w:t xml:space="preserve">[3] </w:t>
      </w:r>
      <w:r w:rsidRPr="008F40C4">
        <w:rPr>
          <w:color w:val="000000"/>
        </w:rPr>
        <w:t xml:space="preserve">Ar Administratīvās apgabaltiesas </w:t>
      </w:r>
      <w:proofErr w:type="gramStart"/>
      <w:r w:rsidRPr="008F40C4">
        <w:rPr>
          <w:color w:val="000000"/>
        </w:rPr>
        <w:t>20</w:t>
      </w:r>
      <w:r>
        <w:rPr>
          <w:color w:val="000000"/>
        </w:rPr>
        <w:t>23</w:t>
      </w:r>
      <w:r w:rsidRPr="008F40C4">
        <w:rPr>
          <w:color w:val="000000"/>
        </w:rPr>
        <w:t>.gada</w:t>
      </w:r>
      <w:proofErr w:type="gramEnd"/>
      <w:r w:rsidRPr="008F40C4">
        <w:rPr>
          <w:color w:val="000000"/>
        </w:rPr>
        <w:t xml:space="preserve"> </w:t>
      </w:r>
      <w:r>
        <w:rPr>
          <w:color w:val="000000"/>
        </w:rPr>
        <w:t>27</w:t>
      </w:r>
      <w:r w:rsidRPr="008F40C4">
        <w:rPr>
          <w:color w:val="000000"/>
        </w:rPr>
        <w:t>.</w:t>
      </w:r>
      <w:r>
        <w:rPr>
          <w:color w:val="000000"/>
        </w:rPr>
        <w:t>jūlija</w:t>
      </w:r>
      <w:r w:rsidRPr="008F40C4">
        <w:rPr>
          <w:color w:val="000000"/>
        </w:rPr>
        <w:t xml:space="preserve"> spriedumu, lietu izskatot no jauna, pieteikums </w:t>
      </w:r>
      <w:r>
        <w:rPr>
          <w:color w:val="000000"/>
        </w:rPr>
        <w:t>apmierināts daļā un pārsūdzētais lēmums atcelts daļ</w:t>
      </w:r>
      <w:r w:rsidR="008B4FD9">
        <w:rPr>
          <w:color w:val="000000"/>
        </w:rPr>
        <w:t>ā</w:t>
      </w:r>
      <w:r w:rsidR="008B4FD9">
        <w:t xml:space="preserve">, kas attiecas uz pieteicējas darījumu ar SIA „TER </w:t>
      </w:r>
      <w:proofErr w:type="spellStart"/>
      <w:r w:rsidR="008B4FD9">
        <w:t>Properties</w:t>
      </w:r>
      <w:proofErr w:type="spellEnd"/>
      <w:r w:rsidR="008B4FD9">
        <w:t>” par starpniecības pakalpojum</w:t>
      </w:r>
      <w:r w:rsidR="00635A26">
        <w:t>iem</w:t>
      </w:r>
      <w:r w:rsidR="00412372">
        <w:t xml:space="preserve">, </w:t>
      </w:r>
      <w:r w:rsidR="008B4FD9">
        <w:t>par ko noformēts 2016.gada 26.februāra rēķins Nr. TP-16-02-01. Pārējā daļā pieteikums noraidīt</w:t>
      </w:r>
      <w:r w:rsidR="004C379F">
        <w:t>s</w:t>
      </w:r>
      <w:r w:rsidR="008B4FD9">
        <w:t>.</w:t>
      </w:r>
      <w:r w:rsidR="008B4FD9">
        <w:rPr>
          <w:color w:val="000000"/>
        </w:rPr>
        <w:t xml:space="preserve"> </w:t>
      </w:r>
      <w:r w:rsidRPr="008F40C4">
        <w:rPr>
          <w:color w:val="000000"/>
        </w:rPr>
        <w:t>Apgabaltiesas spriedum</w:t>
      </w:r>
      <w:r w:rsidR="00412372">
        <w:rPr>
          <w:color w:val="000000"/>
        </w:rPr>
        <w:t>s daļā, ar kuru pieteikums noraidīts</w:t>
      </w:r>
      <w:r w:rsidR="00D61A0A">
        <w:rPr>
          <w:color w:val="000000"/>
        </w:rPr>
        <w:t>,</w:t>
      </w:r>
      <w:r w:rsidR="00412372">
        <w:rPr>
          <w:color w:val="000000"/>
        </w:rPr>
        <w:t xml:space="preserve"> pamatots ar turpmāk minētajiem argumentiem.</w:t>
      </w:r>
      <w:r w:rsidRPr="008F40C4">
        <w:rPr>
          <w:color w:val="000000"/>
        </w:rPr>
        <w:t xml:space="preserve"> </w:t>
      </w:r>
    </w:p>
    <w:p w14:paraId="653909D6" w14:textId="3ACB7055" w:rsidR="007C598F" w:rsidRDefault="00C51DE1" w:rsidP="00EB569C">
      <w:pPr>
        <w:autoSpaceDE w:val="0"/>
        <w:autoSpaceDN w:val="0"/>
        <w:adjustRightInd w:val="0"/>
        <w:spacing w:line="276" w:lineRule="auto"/>
        <w:ind w:firstLine="720"/>
        <w:jc w:val="both"/>
      </w:pPr>
      <w:r>
        <w:rPr>
          <w:color w:val="000000"/>
        </w:rPr>
        <w:t xml:space="preserve">[3.1] </w:t>
      </w:r>
      <w:r w:rsidR="007C598F">
        <w:t xml:space="preserve">Tiesai ir jāvērtē, vai pieteicējas darījumam ar SIA „TER </w:t>
      </w:r>
      <w:proofErr w:type="spellStart"/>
      <w:r w:rsidR="007C598F">
        <w:t>Properties</w:t>
      </w:r>
      <w:proofErr w:type="spellEnd"/>
      <w:r w:rsidR="007C598F">
        <w:t xml:space="preserve">” par projekta dokumentācijas iegādi ir konstatējami Pievienotās vērtības nodokļa likuma </w:t>
      </w:r>
      <w:proofErr w:type="gramStart"/>
      <w:r w:rsidR="007C598F">
        <w:t>34.panta</w:t>
      </w:r>
      <w:proofErr w:type="gramEnd"/>
      <w:r w:rsidR="007C598F">
        <w:t xml:space="preserve"> devītās daļas 3.punktā ietvertie no</w:t>
      </w:r>
      <w:r w:rsidR="00174151">
        <w:t>teikumi</w:t>
      </w:r>
      <w:r w:rsidR="007C598F">
        <w:t>, proti, vai pieteicējas darījuma dokumentos norādītā darījuma vērtība ir lielāka par tirgus vērtību un vai preču piegādātājam ir tiesības atskaitīt priekšnodokli pilnā apmērā.</w:t>
      </w:r>
    </w:p>
    <w:p w14:paraId="0F049677" w14:textId="75F88F72" w:rsidR="00E03CEB" w:rsidRPr="002E1047" w:rsidRDefault="00E03CEB" w:rsidP="00EB569C">
      <w:pPr>
        <w:autoSpaceDE w:val="0"/>
        <w:autoSpaceDN w:val="0"/>
        <w:adjustRightInd w:val="0"/>
        <w:spacing w:line="276" w:lineRule="auto"/>
        <w:ind w:firstLine="720"/>
        <w:jc w:val="both"/>
        <w:rPr>
          <w:color w:val="000000"/>
        </w:rPr>
      </w:pPr>
      <w:r>
        <w:t>[3.</w:t>
      </w:r>
      <w:r w:rsidR="00F62A46">
        <w:t>2</w:t>
      </w:r>
      <w:r>
        <w:t xml:space="preserve">] Ar spēkā stājušos Administratīvās </w:t>
      </w:r>
      <w:r w:rsidR="004E3687">
        <w:t xml:space="preserve">apgabaltiesas </w:t>
      </w:r>
      <w:proofErr w:type="gramStart"/>
      <w:r>
        <w:t>2022.gada</w:t>
      </w:r>
      <w:proofErr w:type="gramEnd"/>
      <w:r>
        <w:t xml:space="preserve"> 3.oktobra spriedumu lietā Nr. A420179917 ir atzīts, ka SIA „TER </w:t>
      </w:r>
      <w:proofErr w:type="spellStart"/>
      <w:r>
        <w:t>Properties</w:t>
      </w:r>
      <w:proofErr w:type="spellEnd"/>
      <w:r>
        <w:t xml:space="preserve">” iesaistīja darījumā SIA „NEO 21”, radot mākslīgu darījumu ķēdi un sadārdzinot konkrēto darījumu vairāk nekā desmit reizes. Tāpēc atzīts, ka SIA „TER </w:t>
      </w:r>
      <w:proofErr w:type="spellStart"/>
      <w:r>
        <w:t>Properties</w:t>
      </w:r>
      <w:proofErr w:type="spellEnd"/>
      <w:r>
        <w:t xml:space="preserve">” nav tiesību par šo darījumu atskaitīt priekšnodokli. </w:t>
      </w:r>
    </w:p>
    <w:p w14:paraId="3E0D00B6" w14:textId="6A9DFBCC" w:rsidR="00E03CEB" w:rsidRDefault="00E03CEB" w:rsidP="00EB569C">
      <w:pPr>
        <w:autoSpaceDE w:val="0"/>
        <w:autoSpaceDN w:val="0"/>
        <w:adjustRightInd w:val="0"/>
        <w:spacing w:line="276" w:lineRule="auto"/>
        <w:ind w:firstLine="720"/>
        <w:jc w:val="both"/>
      </w:pPr>
      <w:r>
        <w:t xml:space="preserve">Līdz ar to izskatāmajā lietā ir konstatējams Pievienotās vērtības nodokļa likuma </w:t>
      </w:r>
      <w:proofErr w:type="gramStart"/>
      <w:r>
        <w:t>34.panta</w:t>
      </w:r>
      <w:proofErr w:type="gramEnd"/>
      <w:r>
        <w:t xml:space="preserve"> devītās daļas 3.punkta otrais no</w:t>
      </w:r>
      <w:r w:rsidR="00174151">
        <w:t>teikums</w:t>
      </w:r>
      <w:r>
        <w:t xml:space="preserve">, proti, pieteicējas preču piegādātājam SIA „TER </w:t>
      </w:r>
      <w:proofErr w:type="spellStart"/>
      <w:r>
        <w:t>Properties</w:t>
      </w:r>
      <w:proofErr w:type="spellEnd"/>
      <w:r>
        <w:t>” konkrētajā darījumā nav tiesību atskaitīt priekšnodokli pilnā apmērā.</w:t>
      </w:r>
    </w:p>
    <w:p w14:paraId="39CD65D3" w14:textId="44046BDC" w:rsidR="00AD3936" w:rsidRDefault="007C598F" w:rsidP="00EB569C">
      <w:pPr>
        <w:autoSpaceDE w:val="0"/>
        <w:autoSpaceDN w:val="0"/>
        <w:adjustRightInd w:val="0"/>
        <w:spacing w:line="276" w:lineRule="auto"/>
        <w:ind w:firstLine="720"/>
        <w:jc w:val="both"/>
      </w:pPr>
      <w:r>
        <w:t>[3.</w:t>
      </w:r>
      <w:r w:rsidR="00F62A46">
        <w:t>3</w:t>
      </w:r>
      <w:r>
        <w:t xml:space="preserve">] </w:t>
      </w:r>
      <w:r w:rsidR="002E1047">
        <w:t xml:space="preserve">SIA „TER </w:t>
      </w:r>
      <w:proofErr w:type="spellStart"/>
      <w:r w:rsidR="002E1047">
        <w:t>Properties</w:t>
      </w:r>
      <w:proofErr w:type="spellEnd"/>
      <w:r w:rsidR="002E1047">
        <w:t xml:space="preserve">” un pieteicēja bija saistītas personas likuma „Par nodokļiem un nodevām” </w:t>
      </w:r>
      <w:proofErr w:type="gramStart"/>
      <w:r w:rsidR="002E1047">
        <w:t>1.panta</w:t>
      </w:r>
      <w:proofErr w:type="gramEnd"/>
      <w:r w:rsidR="002E1047">
        <w:t xml:space="preserve"> 18.punkta izpratnē.</w:t>
      </w:r>
    </w:p>
    <w:p w14:paraId="13C35F0D" w14:textId="28A14F54" w:rsidR="00F47B92" w:rsidRDefault="00AD3936" w:rsidP="00EB569C">
      <w:pPr>
        <w:autoSpaceDE w:val="0"/>
        <w:autoSpaceDN w:val="0"/>
        <w:adjustRightInd w:val="0"/>
        <w:spacing w:line="276" w:lineRule="auto"/>
        <w:ind w:firstLine="720"/>
        <w:jc w:val="both"/>
      </w:pPr>
      <w:r>
        <w:t>D</w:t>
      </w:r>
      <w:r w:rsidR="002E1047">
        <w:t xml:space="preserve">ienests pamatoti secināja, ka šīs sabiedrības zināja par projekta dokumentācijas sākotnējo vērtību. Līgumi un darbu pieņemšanas un nodošanas akti starp darījumu ķēdē iesaistītajām SIA „TER </w:t>
      </w:r>
      <w:proofErr w:type="spellStart"/>
      <w:r w:rsidR="002E1047">
        <w:t>Properties</w:t>
      </w:r>
      <w:proofErr w:type="spellEnd"/>
      <w:r w:rsidR="002E1047">
        <w:t>”, SIA „NEO 21” un SIA „</w:t>
      </w:r>
      <w:proofErr w:type="spellStart"/>
      <w:r w:rsidR="002E1047">
        <w:t>Neobalts</w:t>
      </w:r>
      <w:proofErr w:type="spellEnd"/>
      <w:r w:rsidR="002E1047">
        <w:t>” tika noformēti vienā datumā, līdz ar to dienests pamatoti apšaubīja to, ka būtu izstrādāta papildu dokumentācija.</w:t>
      </w:r>
      <w:r w:rsidR="00F47B92">
        <w:t xml:space="preserve"> </w:t>
      </w:r>
      <w:r w:rsidR="002E1047">
        <w:t xml:space="preserve">Dienests </w:t>
      </w:r>
      <w:r w:rsidR="00AE1021">
        <w:t>pamatoti</w:t>
      </w:r>
      <w:r w:rsidR="002E1047">
        <w:t xml:space="preserve"> ņēma vērā arī projekta dokumentācijas izstrādātāja SIA</w:t>
      </w:r>
      <w:r w:rsidR="00F47B92">
        <w:t> </w:t>
      </w:r>
      <w:r w:rsidR="002E1047">
        <w:t>„ARHITEKTU SABIEDRĪBA” sākotnēji norādīto projekta dokumentācijas vērtību un SIA</w:t>
      </w:r>
      <w:r>
        <w:t> </w:t>
      </w:r>
      <w:r w:rsidR="002E1047">
        <w:t xml:space="preserve">„TER </w:t>
      </w:r>
      <w:proofErr w:type="spellStart"/>
      <w:r w:rsidR="002E1047">
        <w:t>Properties</w:t>
      </w:r>
      <w:proofErr w:type="spellEnd"/>
      <w:r w:rsidR="002E1047">
        <w:t>” auditā konstatēto par darījumā ar SIA</w:t>
      </w:r>
      <w:r w:rsidR="00F47B92">
        <w:t> </w:t>
      </w:r>
      <w:r w:rsidR="002E1047">
        <w:t>„NEO 21” mākslīgi palielināto darījuma vērtību.</w:t>
      </w:r>
    </w:p>
    <w:p w14:paraId="22B53E6E" w14:textId="29A13A95" w:rsidR="002E1047" w:rsidRDefault="00F47B92" w:rsidP="00EB569C">
      <w:pPr>
        <w:autoSpaceDE w:val="0"/>
        <w:autoSpaceDN w:val="0"/>
        <w:adjustRightInd w:val="0"/>
        <w:spacing w:line="276" w:lineRule="auto"/>
        <w:ind w:firstLine="720"/>
        <w:jc w:val="both"/>
      </w:pPr>
      <w:r>
        <w:lastRenderedPageBreak/>
        <w:t xml:space="preserve">Līdz ar to </w:t>
      </w:r>
      <w:r w:rsidR="002E1047">
        <w:t>dienests pamatoti secināja, ka SIA</w:t>
      </w:r>
      <w:r>
        <w:t> </w:t>
      </w:r>
      <w:r w:rsidR="002E1047">
        <w:t xml:space="preserve">„TER </w:t>
      </w:r>
      <w:proofErr w:type="spellStart"/>
      <w:r w:rsidR="002E1047">
        <w:t>Properties</w:t>
      </w:r>
      <w:proofErr w:type="spellEnd"/>
      <w:r w:rsidR="002E1047">
        <w:t xml:space="preserve">” </w:t>
      </w:r>
      <w:proofErr w:type="gramStart"/>
      <w:r w:rsidR="002E1047">
        <w:t>2016.gada</w:t>
      </w:r>
      <w:proofErr w:type="gramEnd"/>
      <w:r w:rsidR="002E1047">
        <w:t xml:space="preserve"> 27.aprīlī izrakstītajā rēķinā pieteicējai norādītā dokumentu </w:t>
      </w:r>
      <w:r w:rsidR="00635A26">
        <w:t>p</w:t>
      </w:r>
      <w:r w:rsidR="002E1047">
        <w:t>iegādes vērtība neatbilst šo dokumentu patiesajai tirgus vērtībai.</w:t>
      </w:r>
    </w:p>
    <w:p w14:paraId="5D0D97FD" w14:textId="0142FA89" w:rsidR="00E03CEB" w:rsidRDefault="00E03CEB" w:rsidP="00EB569C">
      <w:pPr>
        <w:autoSpaceDE w:val="0"/>
        <w:autoSpaceDN w:val="0"/>
        <w:adjustRightInd w:val="0"/>
        <w:spacing w:line="276" w:lineRule="auto"/>
        <w:ind w:firstLine="720"/>
        <w:jc w:val="both"/>
      </w:pPr>
      <w:r>
        <w:t xml:space="preserve">Ņemot vērā minēto, izskatāmajā lietā ir konstatējams arī Pievienotās vērtības nodokļa likuma </w:t>
      </w:r>
      <w:proofErr w:type="gramStart"/>
      <w:r>
        <w:t>34.panta</w:t>
      </w:r>
      <w:proofErr w:type="gramEnd"/>
      <w:r>
        <w:t xml:space="preserve"> devītās daļas 3.punkta pirmais no</w:t>
      </w:r>
      <w:r w:rsidR="00174151">
        <w:t>teikums</w:t>
      </w:r>
      <w:r>
        <w:t>, proti, pieteicējas darījuma dokumentos norādītā darījuma vērtība ir lielāka par tā tirgus vērtību un dienestam bija pamats koriģēt SIA</w:t>
      </w:r>
      <w:r w:rsidR="00424E67">
        <w:t> </w:t>
      </w:r>
      <w:r>
        <w:t xml:space="preserve">„TER </w:t>
      </w:r>
      <w:proofErr w:type="spellStart"/>
      <w:r>
        <w:t>Properties</w:t>
      </w:r>
      <w:proofErr w:type="spellEnd"/>
      <w:r>
        <w:t>” 2016.gada 27.aprīļa rēķinā pieteicējai norādīto darījuma vērtību.</w:t>
      </w:r>
    </w:p>
    <w:p w14:paraId="54A2F0BC" w14:textId="77777777" w:rsidR="00F47B92" w:rsidRDefault="00F47B92" w:rsidP="00EB569C">
      <w:pPr>
        <w:autoSpaceDE w:val="0"/>
        <w:autoSpaceDN w:val="0"/>
        <w:adjustRightInd w:val="0"/>
        <w:spacing w:line="276" w:lineRule="auto"/>
        <w:ind w:firstLine="720"/>
        <w:jc w:val="both"/>
      </w:pPr>
    </w:p>
    <w:p w14:paraId="517A2144" w14:textId="77777777" w:rsidR="00D135F3" w:rsidRDefault="00D135F3" w:rsidP="00EB569C">
      <w:pPr>
        <w:autoSpaceDE w:val="0"/>
        <w:autoSpaceDN w:val="0"/>
        <w:adjustRightInd w:val="0"/>
        <w:spacing w:line="276" w:lineRule="auto"/>
        <w:ind w:firstLine="720"/>
        <w:jc w:val="both"/>
      </w:pPr>
    </w:p>
    <w:p w14:paraId="23340F07" w14:textId="77777777" w:rsidR="00D135F3" w:rsidRDefault="00D135F3" w:rsidP="00EB569C">
      <w:pPr>
        <w:autoSpaceDE w:val="0"/>
        <w:autoSpaceDN w:val="0"/>
        <w:adjustRightInd w:val="0"/>
        <w:spacing w:line="276" w:lineRule="auto"/>
        <w:ind w:firstLine="720"/>
        <w:jc w:val="both"/>
      </w:pPr>
    </w:p>
    <w:p w14:paraId="331D9068" w14:textId="53002742" w:rsidR="00DE3A55" w:rsidRPr="00DE3A55" w:rsidRDefault="00DE3A55" w:rsidP="00EB569C">
      <w:pPr>
        <w:autoSpaceDE w:val="0"/>
        <w:autoSpaceDN w:val="0"/>
        <w:adjustRightInd w:val="0"/>
        <w:spacing w:line="276" w:lineRule="auto"/>
        <w:ind w:firstLine="720"/>
        <w:jc w:val="both"/>
        <w:rPr>
          <w:rFonts w:eastAsiaTheme="minorHAnsi"/>
          <w:i/>
          <w:iCs/>
          <w:lang w:eastAsia="en-US"/>
        </w:rPr>
      </w:pPr>
      <w:r w:rsidRPr="00DE3A55">
        <w:rPr>
          <w:rFonts w:eastAsiaTheme="minorHAnsi"/>
          <w:i/>
          <w:iCs/>
          <w:lang w:eastAsia="en-US"/>
        </w:rPr>
        <w:t>Pieteicējas kasācijas sūdzības argumenti</w:t>
      </w:r>
    </w:p>
    <w:p w14:paraId="6B4EA9B2" w14:textId="20BF6465" w:rsidR="00276F49" w:rsidRDefault="008B7CCD" w:rsidP="00EB569C">
      <w:pPr>
        <w:spacing w:line="276" w:lineRule="auto"/>
        <w:ind w:firstLine="720"/>
        <w:jc w:val="both"/>
      </w:pPr>
      <w:r w:rsidRPr="00682FC0">
        <w:t>[</w:t>
      </w:r>
      <w:r w:rsidR="001D0737">
        <w:t>4</w:t>
      </w:r>
      <w:r w:rsidRPr="00682FC0">
        <w:t>]</w:t>
      </w:r>
      <w:r w:rsidR="005C6957">
        <w:t xml:space="preserve"> </w:t>
      </w:r>
      <w:r w:rsidR="00CC3BE4">
        <w:t>Pieteicēj</w:t>
      </w:r>
      <w:r w:rsidR="007167DE">
        <w:t>a</w:t>
      </w:r>
      <w:r w:rsidR="00061BB1" w:rsidRPr="00682FC0">
        <w:t xml:space="preserve"> </w:t>
      </w:r>
      <w:r w:rsidRPr="00682FC0">
        <w:t>par apgabaltiesas spriedumu</w:t>
      </w:r>
      <w:r w:rsidR="009B04ED">
        <w:t xml:space="preserve"> daļā, ar kuru noraidīts pieteicējas pieteikums,</w:t>
      </w:r>
      <w:r w:rsidR="00DB4559">
        <w:t xml:space="preserve"> </w:t>
      </w:r>
      <w:r w:rsidRPr="00682FC0">
        <w:t>iesniedza kasācijas sūdzību</w:t>
      </w:r>
      <w:r w:rsidR="00276F49" w:rsidRPr="007147DE">
        <w:t xml:space="preserve">, </w:t>
      </w:r>
      <w:r w:rsidR="00DE3A55">
        <w:t>kurā norādīti turpmāk minētie pamati apgabaltiesas sprieduma atcelšanai</w:t>
      </w:r>
      <w:r w:rsidR="00276F49" w:rsidRPr="007147DE">
        <w:t>.</w:t>
      </w:r>
    </w:p>
    <w:p w14:paraId="7D251050" w14:textId="6A0C9CDA" w:rsidR="0080374A" w:rsidRDefault="00520D68" w:rsidP="00EB569C">
      <w:pPr>
        <w:spacing w:line="276" w:lineRule="auto"/>
        <w:ind w:firstLine="720"/>
        <w:jc w:val="both"/>
        <w:rPr>
          <w:rFonts w:asciiTheme="majorBidi" w:hAnsiTheme="majorBidi" w:cstheme="majorBidi"/>
          <w:color w:val="000000" w:themeColor="text1"/>
          <w:shd w:val="clear" w:color="auto" w:fill="FFFFFF"/>
        </w:rPr>
      </w:pPr>
      <w:r>
        <w:t>[</w:t>
      </w:r>
      <w:r w:rsidR="001D0737">
        <w:t>4</w:t>
      </w:r>
      <w:r>
        <w:t xml:space="preserve">.1] </w:t>
      </w:r>
      <w:r w:rsidR="009B04ED">
        <w:t>T</w:t>
      </w:r>
      <w:r w:rsidR="00486FFF">
        <w:t xml:space="preserve">iesa ir </w:t>
      </w:r>
      <w:r w:rsidR="009B04ED">
        <w:t xml:space="preserve">kļūdaini interpretējusi Pievienotās vērtības nodokļa likuma </w:t>
      </w:r>
      <w:proofErr w:type="gramStart"/>
      <w:r w:rsidR="009B04ED">
        <w:t>34.panta</w:t>
      </w:r>
      <w:proofErr w:type="gramEnd"/>
      <w:r w:rsidR="009B04ED">
        <w:t xml:space="preserve"> devītās daļas 3.punktu, līdz ar to nepamatoti atzinusi, ka pastāv pamats</w:t>
      </w:r>
      <w:r w:rsidR="006301F2">
        <w:t xml:space="preserve"> nodokļa aprēķināšanā izmantot darījuma tirgus vērtību</w:t>
      </w:r>
      <w:r w:rsidR="00B6499B">
        <w:t>,</w:t>
      </w:r>
      <w:r w:rsidR="006301F2">
        <w:t xml:space="preserve"> nevis darījuma dokumentos norādīto atlīdzību. Pieteicējas ieskatā, t</w:t>
      </w:r>
      <w:r w:rsidR="009B04ED" w:rsidRPr="006F263D">
        <w:t>iesa ir nepamatoti paplašinājusi minēt</w:t>
      </w:r>
      <w:r w:rsidR="006F263D" w:rsidRPr="006F263D">
        <w:t>ajā tiesību</w:t>
      </w:r>
      <w:r w:rsidR="009B04ED" w:rsidRPr="006F263D">
        <w:t xml:space="preserve"> norm</w:t>
      </w:r>
      <w:r w:rsidR="006F263D" w:rsidRPr="006F263D">
        <w:t xml:space="preserve">ā paredzētā kritērija </w:t>
      </w:r>
      <w:r w:rsidR="00B6499B">
        <w:t>„</w:t>
      </w:r>
      <w:r w:rsidR="006F263D" w:rsidRPr="006F263D">
        <w:t xml:space="preserve">preču piegādātājam </w:t>
      </w:r>
      <w:r w:rsidR="006F263D" w:rsidRPr="00681B58">
        <w:rPr>
          <w:color w:val="000000" w:themeColor="text1"/>
        </w:rPr>
        <w:t xml:space="preserve">vai </w:t>
      </w:r>
      <w:r w:rsidR="006F263D" w:rsidRPr="00681B58">
        <w:rPr>
          <w:color w:val="000000" w:themeColor="text1"/>
          <w:shd w:val="clear" w:color="auto" w:fill="FFFFFF"/>
        </w:rPr>
        <w:t>pakalpojumu sniedzējam nav tiesību atskaitīt priekšnodokli pilnā apmērā” piemērošanu.</w:t>
      </w:r>
      <w:r w:rsidR="00681B58">
        <w:rPr>
          <w:color w:val="000000" w:themeColor="text1"/>
          <w:shd w:val="clear" w:color="auto" w:fill="FFFFFF"/>
        </w:rPr>
        <w:t xml:space="preserve"> Pieteicēja minēto argumentu pamato </w:t>
      </w:r>
      <w:r w:rsidR="006301F2">
        <w:rPr>
          <w:color w:val="000000" w:themeColor="text1"/>
          <w:shd w:val="clear" w:color="auto" w:fill="FFFFFF"/>
        </w:rPr>
        <w:t xml:space="preserve">ar </w:t>
      </w:r>
      <w:r w:rsidR="00A414D4">
        <w:t>Eiropas Savienības Tiesas</w:t>
      </w:r>
      <w:r w:rsidR="00A414D4">
        <w:rPr>
          <w:color w:val="000000" w:themeColor="text1"/>
          <w:shd w:val="clear" w:color="auto" w:fill="FFFFFF"/>
        </w:rPr>
        <w:t xml:space="preserve"> </w:t>
      </w:r>
      <w:r w:rsidR="00681B58">
        <w:rPr>
          <w:color w:val="000000" w:themeColor="text1"/>
          <w:shd w:val="clear" w:color="auto" w:fill="FFFFFF"/>
        </w:rPr>
        <w:t>ģenerāladvokāt</w:t>
      </w:r>
      <w:r w:rsidR="00C25B72">
        <w:rPr>
          <w:color w:val="000000" w:themeColor="text1"/>
          <w:shd w:val="clear" w:color="auto" w:fill="FFFFFF"/>
        </w:rPr>
        <w:t>a</w:t>
      </w:r>
      <w:r w:rsidR="00681B58">
        <w:rPr>
          <w:color w:val="000000" w:themeColor="text1"/>
          <w:shd w:val="clear" w:color="auto" w:fill="FFFFFF"/>
        </w:rPr>
        <w:t xml:space="preserve"> </w:t>
      </w:r>
      <w:r w:rsidR="005A3D5B">
        <w:rPr>
          <w:color w:val="000000" w:themeColor="text1"/>
          <w:shd w:val="clear" w:color="auto" w:fill="FFFFFF"/>
        </w:rPr>
        <w:t xml:space="preserve">norādīto </w:t>
      </w:r>
      <w:r w:rsidR="0080374A">
        <w:rPr>
          <w:color w:val="000000" w:themeColor="text1"/>
          <w:shd w:val="clear" w:color="auto" w:fill="FFFFFF"/>
        </w:rPr>
        <w:t xml:space="preserve">apvienotajās lietās </w:t>
      </w:r>
      <w:r w:rsidR="0080374A" w:rsidRPr="0080374A">
        <w:rPr>
          <w:rFonts w:asciiTheme="majorBidi" w:hAnsiTheme="majorBidi" w:cstheme="majorBidi"/>
          <w:color w:val="000000" w:themeColor="text1"/>
          <w:shd w:val="clear" w:color="auto" w:fill="FFFFFF"/>
        </w:rPr>
        <w:t>C-621/10 un C-129/11</w:t>
      </w:r>
      <w:r w:rsidR="0080374A">
        <w:rPr>
          <w:rFonts w:asciiTheme="majorBidi" w:hAnsiTheme="majorBidi" w:cstheme="majorBidi"/>
          <w:color w:val="000000" w:themeColor="text1"/>
          <w:shd w:val="clear" w:color="auto" w:fill="FFFFFF"/>
        </w:rPr>
        <w:t>.</w:t>
      </w:r>
    </w:p>
    <w:p w14:paraId="352423E9" w14:textId="1A6CFEB4" w:rsidR="00D97A44" w:rsidRDefault="00D97A44" w:rsidP="00EB569C">
      <w:pPr>
        <w:spacing w:line="276" w:lineRule="auto"/>
        <w:ind w:firstLine="720"/>
        <w:jc w:val="both"/>
      </w:pPr>
      <w:r>
        <w:rPr>
          <w:rFonts w:asciiTheme="majorBidi" w:hAnsiTheme="majorBidi" w:cstheme="majorBidi"/>
          <w:color w:val="000000" w:themeColor="text1"/>
          <w:shd w:val="clear" w:color="auto" w:fill="FFFFFF"/>
        </w:rPr>
        <w:t>[</w:t>
      </w:r>
      <w:r w:rsidR="001D0737">
        <w:rPr>
          <w:rFonts w:asciiTheme="majorBidi" w:hAnsiTheme="majorBidi" w:cstheme="majorBidi"/>
          <w:color w:val="000000" w:themeColor="text1"/>
          <w:shd w:val="clear" w:color="auto" w:fill="FFFFFF"/>
        </w:rPr>
        <w:t>4</w:t>
      </w:r>
      <w:r>
        <w:rPr>
          <w:rFonts w:asciiTheme="majorBidi" w:hAnsiTheme="majorBidi" w:cstheme="majorBidi"/>
          <w:color w:val="000000" w:themeColor="text1"/>
          <w:shd w:val="clear" w:color="auto" w:fill="FFFFFF"/>
        </w:rPr>
        <w:t xml:space="preserve">.2] </w:t>
      </w:r>
      <w:r w:rsidR="009938CB">
        <w:rPr>
          <w:rFonts w:asciiTheme="majorBidi" w:hAnsiTheme="majorBidi" w:cstheme="majorBidi"/>
          <w:color w:val="000000" w:themeColor="text1"/>
          <w:shd w:val="clear" w:color="auto" w:fill="FFFFFF"/>
        </w:rPr>
        <w:t>Tiesa nav ņēmusi vērā, ka dienests pieteicējas un tās darījum</w:t>
      </w:r>
      <w:r w:rsidR="00635A26">
        <w:rPr>
          <w:rFonts w:asciiTheme="majorBidi" w:hAnsiTheme="majorBidi" w:cstheme="majorBidi"/>
          <w:color w:val="000000" w:themeColor="text1"/>
          <w:shd w:val="clear" w:color="auto" w:fill="FFFFFF"/>
        </w:rPr>
        <w:t>u</w:t>
      </w:r>
      <w:r w:rsidR="009938CB">
        <w:rPr>
          <w:rFonts w:asciiTheme="majorBidi" w:hAnsiTheme="majorBidi" w:cstheme="majorBidi"/>
          <w:color w:val="000000" w:themeColor="text1"/>
          <w:shd w:val="clear" w:color="auto" w:fill="FFFFFF"/>
        </w:rPr>
        <w:t xml:space="preserve"> partneres </w:t>
      </w:r>
      <w:r w:rsidR="009938CB">
        <w:t xml:space="preserve">SIA „TER </w:t>
      </w:r>
      <w:proofErr w:type="spellStart"/>
      <w:r w:rsidR="009938CB">
        <w:t>Properties</w:t>
      </w:r>
      <w:proofErr w:type="spellEnd"/>
      <w:r w:rsidR="009938CB">
        <w:t xml:space="preserve">” nodokļu auditos katrai no darījuma pusēm piemēroja atšķirīgus nosacījumus viena un tā paša darījuma ar nodokli apliekamās vērtības noteikšanai, proti, SIA „TER </w:t>
      </w:r>
      <w:proofErr w:type="spellStart"/>
      <w:r w:rsidR="009938CB">
        <w:t>Properties</w:t>
      </w:r>
      <w:proofErr w:type="spellEnd"/>
      <w:r w:rsidR="009938CB">
        <w:t xml:space="preserve">” </w:t>
      </w:r>
      <w:proofErr w:type="gramStart"/>
      <w:r w:rsidR="009938CB">
        <w:t>34.panta</w:t>
      </w:r>
      <w:proofErr w:type="gramEnd"/>
      <w:r w:rsidR="009938CB">
        <w:t xml:space="preserve"> pirmo daļu (darījuma dokumentos norādīto atlīdzību), bet pieteicējai 34.panta devītās daļas 3.punktu (</w:t>
      </w:r>
      <w:r w:rsidR="00635A26">
        <w:t xml:space="preserve">darījuma </w:t>
      </w:r>
      <w:r w:rsidR="009938CB">
        <w:t>tirgus vērtību). Tādējādi tiesa nav ņēmusi vērā, ka dienests ir rupji pārkāpis pievienotās vērtības nodokļa piemērošanas principus, tostarp neitralitātes principu un vienlīdzības principu.</w:t>
      </w:r>
    </w:p>
    <w:p w14:paraId="1CF179E3" w14:textId="53B4AC91" w:rsidR="009938CB" w:rsidRPr="0098209F" w:rsidRDefault="009938CB" w:rsidP="00EB569C">
      <w:pPr>
        <w:spacing w:line="276" w:lineRule="auto"/>
        <w:ind w:firstLine="720"/>
        <w:jc w:val="both"/>
      </w:pPr>
      <w:r>
        <w:t>[</w:t>
      </w:r>
      <w:r w:rsidR="001D0737">
        <w:t>4</w:t>
      </w:r>
      <w:r>
        <w:t xml:space="preserve">.3] </w:t>
      </w:r>
      <w:r w:rsidR="0098209F">
        <w:t xml:space="preserve">Pieteicēja kā kasācijas pamatu norādījusi </w:t>
      </w:r>
      <w:r w:rsidR="00635A26">
        <w:t xml:space="preserve">arī </w:t>
      </w:r>
      <w:r w:rsidR="0098209F">
        <w:t xml:space="preserve">Administratīvā procesa likuma </w:t>
      </w:r>
      <w:proofErr w:type="gramStart"/>
      <w:r w:rsidR="0098209F">
        <w:t>154.panta</w:t>
      </w:r>
      <w:proofErr w:type="gramEnd"/>
      <w:r w:rsidR="0098209F">
        <w:t xml:space="preserve"> pirmās un trešās daļas pārkāpumu, jo tiesa nav novērtējusi visus pierādījumus </w:t>
      </w:r>
      <w:r w:rsidR="006830CC">
        <w:t xml:space="preserve">lietā </w:t>
      </w:r>
      <w:r w:rsidR="0098209F">
        <w:t>to kopsakarā. Minēto argumentu pieteicēja pamato ar apstākli, ka t</w:t>
      </w:r>
      <w:r w:rsidR="00CB165C">
        <w:t xml:space="preserve">iesa pieteikumu apmierināja daļā, atzīstot, ka pieteicējai bija tiesības atskaitīt priekšnodokli par starpniecības </w:t>
      </w:r>
      <w:r w:rsidR="00635A26">
        <w:t>pakalpojumu sniegšanu</w:t>
      </w:r>
      <w:r w:rsidR="00CB165C">
        <w:t>, par kur</w:t>
      </w:r>
      <w:r w:rsidR="00635A26">
        <w:t>iem</w:t>
      </w:r>
      <w:r w:rsidR="00CB165C">
        <w:t xml:space="preserve"> SIA „TER </w:t>
      </w:r>
      <w:proofErr w:type="spellStart"/>
      <w:r w:rsidR="00CB165C">
        <w:t>Properties</w:t>
      </w:r>
      <w:proofErr w:type="spellEnd"/>
      <w:r w:rsidR="00CB165C">
        <w:t xml:space="preserve">” izrakstījusi </w:t>
      </w:r>
      <w:proofErr w:type="gramStart"/>
      <w:r w:rsidR="00CB165C">
        <w:t>2016.gada</w:t>
      </w:r>
      <w:proofErr w:type="gramEnd"/>
      <w:r w:rsidR="00CB165C">
        <w:t xml:space="preserve"> 26.februāra rēķinu Nr. TP-16-02-01. Vienlaikus tiesa nav ņēmusi vērā, ka par šo starpniecības </w:t>
      </w:r>
      <w:r w:rsidR="00635A26">
        <w:t>pakalpojumu sniegšanu</w:t>
      </w:r>
      <w:r w:rsidR="00CB165C">
        <w:t xml:space="preserve"> pieteicēja SIA „TER </w:t>
      </w:r>
      <w:proofErr w:type="spellStart"/>
      <w:r w:rsidR="00CB165C">
        <w:t>Properties</w:t>
      </w:r>
      <w:proofErr w:type="spellEnd"/>
      <w:r w:rsidR="00CB165C">
        <w:t xml:space="preserve">” ir samaksājusi </w:t>
      </w:r>
      <w:r w:rsidR="00F76B68">
        <w:t xml:space="preserve">atlīdzību 5 % no darījuma vērtības, kas bija iekļauta </w:t>
      </w:r>
      <w:proofErr w:type="gramStart"/>
      <w:r w:rsidR="00F76B68">
        <w:t>2016.gada</w:t>
      </w:r>
      <w:proofErr w:type="gramEnd"/>
      <w:r w:rsidR="00F76B68">
        <w:t xml:space="preserve"> 27.aprīļa rēķinā Nr. TP-16-04-01 un attiecīgi deklarēta 2016.gada aprīlī. Tādējādi tiesa nepamatoti </w:t>
      </w:r>
      <w:r w:rsidR="0098209F">
        <w:t>noraidījusi pieteikumu par priekšnodokļa atskaitīšanu 1724,63 </w:t>
      </w:r>
      <w:proofErr w:type="spellStart"/>
      <w:r w:rsidR="0098209F" w:rsidRPr="0098209F">
        <w:rPr>
          <w:i/>
          <w:iCs/>
        </w:rPr>
        <w:t>euro</w:t>
      </w:r>
      <w:proofErr w:type="spellEnd"/>
      <w:r w:rsidR="0098209F">
        <w:t xml:space="preserve"> apmērā. </w:t>
      </w:r>
    </w:p>
    <w:p w14:paraId="79D7A568" w14:textId="77777777" w:rsidR="009B04ED" w:rsidRPr="006F263D" w:rsidRDefault="009B04ED" w:rsidP="00EB569C">
      <w:pPr>
        <w:spacing w:line="276" w:lineRule="auto"/>
        <w:ind w:firstLine="720"/>
        <w:jc w:val="both"/>
      </w:pPr>
    </w:p>
    <w:p w14:paraId="19BC5CF3" w14:textId="748EED66" w:rsidR="00DE3A55" w:rsidRPr="00DE3A55" w:rsidRDefault="00DE3A55" w:rsidP="00EB569C">
      <w:pPr>
        <w:spacing w:line="276" w:lineRule="auto"/>
        <w:ind w:firstLine="720"/>
        <w:jc w:val="both"/>
        <w:rPr>
          <w:i/>
          <w:iCs/>
        </w:rPr>
      </w:pPr>
      <w:r w:rsidRPr="00DE3A55">
        <w:rPr>
          <w:i/>
          <w:iCs/>
        </w:rPr>
        <w:t>Valsts ieņēmumu dienesta paskaidrojumi</w:t>
      </w:r>
    </w:p>
    <w:p w14:paraId="0B2ECF71" w14:textId="6CDA1A72" w:rsidR="00F4204A" w:rsidRPr="00941A60" w:rsidRDefault="00347158" w:rsidP="00EB569C">
      <w:pPr>
        <w:spacing w:line="276" w:lineRule="auto"/>
        <w:ind w:firstLine="720"/>
        <w:jc w:val="both"/>
      </w:pPr>
      <w:r w:rsidRPr="00682FC0">
        <w:t>[</w:t>
      </w:r>
      <w:r w:rsidR="001D0737">
        <w:t>5</w:t>
      </w:r>
      <w:r w:rsidRPr="00682FC0">
        <w:t>]</w:t>
      </w:r>
      <w:r w:rsidR="005C6957">
        <w:t xml:space="preserve"> </w:t>
      </w:r>
      <w:r w:rsidR="00CC3BE4">
        <w:t>Valsts ieņēmumu dienests</w:t>
      </w:r>
      <w:r w:rsidRPr="00682FC0">
        <w:t xml:space="preserve"> rakstveida paskaidrojum</w:t>
      </w:r>
      <w:r w:rsidR="00554EA2" w:rsidRPr="00682FC0">
        <w:t xml:space="preserve">os </w:t>
      </w:r>
      <w:r w:rsidR="00182DD6" w:rsidRPr="00682FC0">
        <w:t>norāda</w:t>
      </w:r>
      <w:r w:rsidR="00F4204A">
        <w:t xml:space="preserve"> turpmāk minētos argumentus</w:t>
      </w:r>
      <w:r w:rsidR="00CC3BE4">
        <w:t>.</w:t>
      </w:r>
    </w:p>
    <w:p w14:paraId="7061431F" w14:textId="77777777" w:rsidR="00B6499B" w:rsidRDefault="00B6499B" w:rsidP="00EB569C">
      <w:pPr>
        <w:spacing w:line="276" w:lineRule="auto"/>
        <w:ind w:firstLine="720"/>
        <w:jc w:val="both"/>
      </w:pPr>
      <w:r>
        <w:t xml:space="preserve">Dienesta ieskatā, tiesa ir pareizi piemērojusi Pievienotās vērtības nodokļa likuma </w:t>
      </w:r>
      <w:proofErr w:type="gramStart"/>
      <w:r>
        <w:t>34.panta</w:t>
      </w:r>
      <w:proofErr w:type="gramEnd"/>
      <w:r>
        <w:t xml:space="preserve"> devītās daļas 3.punktu un nav paplašinājusi minētās normas noteikumus.</w:t>
      </w:r>
    </w:p>
    <w:p w14:paraId="5E550DD2" w14:textId="019FF406" w:rsidR="00941A60" w:rsidRDefault="00941A60" w:rsidP="00EB569C">
      <w:pPr>
        <w:spacing w:line="276" w:lineRule="auto"/>
        <w:ind w:firstLine="720"/>
        <w:jc w:val="both"/>
      </w:pPr>
      <w:r w:rsidRPr="00941A60">
        <w:lastRenderedPageBreak/>
        <w:t xml:space="preserve">Dienests nepiekrīt pieteicējas norādītajam, ka </w:t>
      </w:r>
      <w:r w:rsidR="00050899">
        <w:t>vienam un tam pašam darījumam piemēro</w:t>
      </w:r>
      <w:r w:rsidR="006830CC">
        <w:t>ti</w:t>
      </w:r>
      <w:r w:rsidR="00050899">
        <w:t xml:space="preserve"> atšķirīg</w:t>
      </w:r>
      <w:r w:rsidR="006830CC">
        <w:t>i</w:t>
      </w:r>
      <w:r w:rsidR="00050899">
        <w:t xml:space="preserve"> nosacījum</w:t>
      </w:r>
      <w:r w:rsidR="006830CC">
        <w:t>i</w:t>
      </w:r>
      <w:r w:rsidR="00050899">
        <w:t>. Dienests d</w:t>
      </w:r>
      <w:r w:rsidRPr="00941A60">
        <w:t>arījum</w:t>
      </w:r>
      <w:r w:rsidR="00050899">
        <w:t>u</w:t>
      </w:r>
      <w:r w:rsidRPr="00941A60">
        <w:t xml:space="preserve"> vērtē</w:t>
      </w:r>
      <w:r w:rsidR="00050899">
        <w:t>jis</w:t>
      </w:r>
      <w:r w:rsidRPr="00941A60">
        <w:t xml:space="preserve"> atšķirīgi dažādos darījum</w:t>
      </w:r>
      <w:r w:rsidR="00050899">
        <w:t>a</w:t>
      </w:r>
      <w:r w:rsidRPr="00941A60">
        <w:t xml:space="preserve"> ķēdes posmos, nevis vien</w:t>
      </w:r>
      <w:r w:rsidR="006830CC">
        <w:t>u</w:t>
      </w:r>
      <w:r w:rsidRPr="00941A60">
        <w:t xml:space="preserve"> darījum</w:t>
      </w:r>
      <w:r w:rsidR="006830CC">
        <w:t>u</w:t>
      </w:r>
      <w:r w:rsidRPr="00941A60">
        <w:t xml:space="preserve"> vērtē</w:t>
      </w:r>
      <w:r w:rsidR="006830CC">
        <w:t>jis</w:t>
      </w:r>
      <w:r w:rsidRPr="00941A60">
        <w:t xml:space="preserve"> atšķirīgi. </w:t>
      </w:r>
      <w:r w:rsidR="006830CC">
        <w:t>D</w:t>
      </w:r>
      <w:r w:rsidRPr="00941A60">
        <w:t>ienests, vērtējot darījum</w:t>
      </w:r>
      <w:r w:rsidR="00050899">
        <w:t>a</w:t>
      </w:r>
      <w:r w:rsidRPr="00941A60">
        <w:t xml:space="preserve"> ķēdi, konstatē</w:t>
      </w:r>
      <w:r w:rsidR="006830CC">
        <w:t>ja</w:t>
      </w:r>
      <w:r w:rsidRPr="00941A60">
        <w:t xml:space="preserve">, ka vienā darījuma posmā </w:t>
      </w:r>
      <w:r w:rsidR="00635A26">
        <w:t xml:space="preserve">starp </w:t>
      </w:r>
      <w:r w:rsidRPr="00941A60">
        <w:t>SIA ,,NEO 21”</w:t>
      </w:r>
      <w:r>
        <w:t xml:space="preserve"> </w:t>
      </w:r>
      <w:r w:rsidR="00635A26">
        <w:t>un</w:t>
      </w:r>
      <w:r w:rsidRPr="00941A60">
        <w:t xml:space="preserve"> SIA ,,TER </w:t>
      </w:r>
      <w:proofErr w:type="spellStart"/>
      <w:r w:rsidRPr="00941A60">
        <w:t>Properties</w:t>
      </w:r>
      <w:proofErr w:type="spellEnd"/>
      <w:r w:rsidRPr="00941A60">
        <w:t xml:space="preserve">” darījums faktiski nav noticis, bet nākamajā darījuma posmā </w:t>
      </w:r>
      <w:r w:rsidR="00321351">
        <w:t xml:space="preserve">starp </w:t>
      </w:r>
      <w:r w:rsidRPr="00941A60">
        <w:t xml:space="preserve">SIA ,,TER </w:t>
      </w:r>
      <w:proofErr w:type="spellStart"/>
      <w:r w:rsidRPr="00941A60">
        <w:t>Properties</w:t>
      </w:r>
      <w:proofErr w:type="spellEnd"/>
      <w:r w:rsidRPr="00941A60">
        <w:t xml:space="preserve">” </w:t>
      </w:r>
      <w:r w:rsidR="00321351">
        <w:t>un</w:t>
      </w:r>
      <w:r w:rsidRPr="00941A60">
        <w:t xml:space="preserve"> pieteicēj</w:t>
      </w:r>
      <w:r w:rsidR="00321351">
        <w:t>u</w:t>
      </w:r>
      <w:r w:rsidRPr="00941A60">
        <w:t xml:space="preserve"> konstatē</w:t>
      </w:r>
      <w:r w:rsidR="006830CC">
        <w:t>ja</w:t>
      </w:r>
      <w:r w:rsidRPr="00941A60">
        <w:t>, ka pieteicēja projekta dokumentāciju ir</w:t>
      </w:r>
      <w:proofErr w:type="gramStart"/>
      <w:r w:rsidRPr="00941A60">
        <w:t xml:space="preserve"> iegādājusies par nepamatoti</w:t>
      </w:r>
      <w:proofErr w:type="gramEnd"/>
      <w:r w:rsidRPr="00941A60">
        <w:t xml:space="preserve"> paaugstinātu cenu,</w:t>
      </w:r>
      <w:r w:rsidR="006830CC">
        <w:t xml:space="preserve"> tāpēc</w:t>
      </w:r>
      <w:r w:rsidRPr="00941A60">
        <w:t xml:space="preserve"> ir tikai loģiski, ka dažādā</w:t>
      </w:r>
      <w:r w:rsidR="006830CC">
        <w:t>s</w:t>
      </w:r>
      <w:r w:rsidRPr="00941A60">
        <w:t xml:space="preserve"> faktiskā</w:t>
      </w:r>
      <w:r w:rsidR="006830CC">
        <w:t>s</w:t>
      </w:r>
      <w:r w:rsidRPr="00941A60">
        <w:t xml:space="preserve"> un tiesiskā</w:t>
      </w:r>
      <w:r w:rsidR="006830CC">
        <w:t>s</w:t>
      </w:r>
      <w:r w:rsidRPr="00941A60">
        <w:t xml:space="preserve"> situācijā</w:t>
      </w:r>
      <w:r w:rsidR="006830CC">
        <w:t>s</w:t>
      </w:r>
      <w:r w:rsidRPr="00941A60">
        <w:t xml:space="preserve"> </w:t>
      </w:r>
      <w:r w:rsidR="006830CC">
        <w:t xml:space="preserve">ir </w:t>
      </w:r>
      <w:r w:rsidRPr="00941A60">
        <w:t>piemēro</w:t>
      </w:r>
      <w:r w:rsidR="006830CC">
        <w:t>tas</w:t>
      </w:r>
      <w:r w:rsidRPr="00941A60">
        <w:t xml:space="preserve"> atšķirīgas tiesību normas.</w:t>
      </w:r>
    </w:p>
    <w:p w14:paraId="41844D39" w14:textId="00000A3C" w:rsidR="00941A60" w:rsidRDefault="00941A60" w:rsidP="00EB569C">
      <w:pPr>
        <w:spacing w:line="276" w:lineRule="auto"/>
        <w:ind w:firstLine="720"/>
        <w:jc w:val="both"/>
      </w:pPr>
    </w:p>
    <w:p w14:paraId="411CAED8" w14:textId="77777777" w:rsidR="00D135F3" w:rsidRDefault="00D135F3" w:rsidP="00EB569C">
      <w:pPr>
        <w:spacing w:line="276" w:lineRule="auto"/>
        <w:ind w:firstLine="720"/>
        <w:jc w:val="both"/>
      </w:pPr>
    </w:p>
    <w:p w14:paraId="511B03FD" w14:textId="77777777" w:rsidR="00D135F3" w:rsidRPr="00941A60" w:rsidRDefault="00D135F3" w:rsidP="00EB569C">
      <w:pPr>
        <w:spacing w:line="276" w:lineRule="auto"/>
        <w:ind w:firstLine="720"/>
        <w:jc w:val="both"/>
      </w:pPr>
    </w:p>
    <w:p w14:paraId="46BAEB97" w14:textId="7C713575" w:rsidR="008700D3" w:rsidRPr="00EC00F0" w:rsidRDefault="008700D3" w:rsidP="00EB569C">
      <w:pPr>
        <w:spacing w:line="276" w:lineRule="auto"/>
        <w:contextualSpacing/>
        <w:jc w:val="center"/>
        <w:rPr>
          <w:b/>
        </w:rPr>
      </w:pPr>
      <w:r w:rsidRPr="00EC00F0">
        <w:rPr>
          <w:b/>
        </w:rPr>
        <w:t>Motīvu daļa</w:t>
      </w:r>
    </w:p>
    <w:p w14:paraId="36988A62" w14:textId="419F54F0" w:rsidR="00AD1275" w:rsidRPr="003A6564" w:rsidRDefault="00AD1275" w:rsidP="00EB569C">
      <w:pPr>
        <w:spacing w:line="276" w:lineRule="auto"/>
        <w:ind w:firstLine="720"/>
        <w:jc w:val="both"/>
        <w:rPr>
          <w:rFonts w:asciiTheme="majorBidi" w:hAnsiTheme="majorBidi" w:cstheme="majorBidi"/>
        </w:rPr>
      </w:pPr>
    </w:p>
    <w:p w14:paraId="32268608" w14:textId="4FDA35F9" w:rsidR="00EE50CD" w:rsidRDefault="008A1DD0" w:rsidP="00EB569C">
      <w:pPr>
        <w:spacing w:line="276" w:lineRule="auto"/>
        <w:ind w:firstLine="720"/>
        <w:jc w:val="both"/>
        <w:rPr>
          <w:rFonts w:asciiTheme="majorBidi" w:hAnsiTheme="majorBidi" w:cstheme="majorBidi"/>
        </w:rPr>
      </w:pPr>
      <w:r w:rsidRPr="003A6564">
        <w:rPr>
          <w:rFonts w:asciiTheme="majorBidi" w:hAnsiTheme="majorBidi" w:cstheme="majorBidi"/>
        </w:rPr>
        <w:t>[</w:t>
      </w:r>
      <w:r w:rsidR="001D0737">
        <w:rPr>
          <w:rFonts w:asciiTheme="majorBidi" w:hAnsiTheme="majorBidi" w:cstheme="majorBidi"/>
        </w:rPr>
        <w:t>6</w:t>
      </w:r>
      <w:r w:rsidRPr="003A6564">
        <w:rPr>
          <w:rFonts w:asciiTheme="majorBidi" w:hAnsiTheme="majorBidi" w:cstheme="majorBidi"/>
        </w:rPr>
        <w:t>]</w:t>
      </w:r>
      <w:r w:rsidR="005C6957">
        <w:rPr>
          <w:rFonts w:asciiTheme="majorBidi" w:hAnsiTheme="majorBidi" w:cstheme="majorBidi"/>
        </w:rPr>
        <w:t xml:space="preserve"> </w:t>
      </w:r>
      <w:r w:rsidR="00F64F89" w:rsidRPr="003A6564">
        <w:rPr>
          <w:rFonts w:asciiTheme="majorBidi" w:hAnsiTheme="majorBidi" w:cstheme="majorBidi"/>
        </w:rPr>
        <w:t>Lietā</w:t>
      </w:r>
      <w:r w:rsidR="000A785A" w:rsidRPr="003A6564">
        <w:rPr>
          <w:rFonts w:asciiTheme="majorBidi" w:hAnsiTheme="majorBidi" w:cstheme="majorBidi"/>
        </w:rPr>
        <w:t xml:space="preserve"> </w:t>
      </w:r>
      <w:r w:rsidR="00520D68">
        <w:rPr>
          <w:rFonts w:asciiTheme="majorBidi" w:hAnsiTheme="majorBidi" w:cstheme="majorBidi"/>
        </w:rPr>
        <w:t>pārbaudāms</w:t>
      </w:r>
      <w:r w:rsidR="000A785A" w:rsidRPr="003A6564">
        <w:rPr>
          <w:rFonts w:asciiTheme="majorBidi" w:hAnsiTheme="majorBidi" w:cstheme="majorBidi"/>
        </w:rPr>
        <w:t xml:space="preserve">, vai </w:t>
      </w:r>
      <w:r w:rsidR="00520D68">
        <w:rPr>
          <w:rFonts w:asciiTheme="majorBidi" w:hAnsiTheme="majorBidi" w:cstheme="majorBidi"/>
        </w:rPr>
        <w:t xml:space="preserve">tiesa pareizi piemērojusi </w:t>
      </w:r>
      <w:r w:rsidR="00E653A8" w:rsidRPr="003A6564">
        <w:rPr>
          <w:rFonts w:asciiTheme="majorBidi" w:hAnsiTheme="majorBidi" w:cstheme="majorBidi"/>
        </w:rPr>
        <w:t xml:space="preserve">Pievienotās vērtības nodokļa likuma </w:t>
      </w:r>
      <w:proofErr w:type="gramStart"/>
      <w:r w:rsidR="00520D68">
        <w:rPr>
          <w:rFonts w:asciiTheme="majorBidi" w:hAnsiTheme="majorBidi" w:cstheme="majorBidi"/>
        </w:rPr>
        <w:t>3</w:t>
      </w:r>
      <w:r w:rsidR="00EE50CD">
        <w:rPr>
          <w:rFonts w:asciiTheme="majorBidi" w:hAnsiTheme="majorBidi" w:cstheme="majorBidi"/>
        </w:rPr>
        <w:t>4</w:t>
      </w:r>
      <w:r w:rsidR="00520D68">
        <w:rPr>
          <w:rFonts w:asciiTheme="majorBidi" w:hAnsiTheme="majorBidi" w:cstheme="majorBidi"/>
        </w:rPr>
        <w:t>.panta</w:t>
      </w:r>
      <w:proofErr w:type="gramEnd"/>
      <w:r w:rsidR="00520D68">
        <w:rPr>
          <w:rFonts w:asciiTheme="majorBidi" w:hAnsiTheme="majorBidi" w:cstheme="majorBidi"/>
        </w:rPr>
        <w:t xml:space="preserve"> </w:t>
      </w:r>
      <w:r w:rsidR="00EE50CD">
        <w:rPr>
          <w:rFonts w:asciiTheme="majorBidi" w:hAnsiTheme="majorBidi" w:cstheme="majorBidi"/>
        </w:rPr>
        <w:t>devītās daļas 3.punktu</w:t>
      </w:r>
      <w:r w:rsidR="00520D68">
        <w:rPr>
          <w:rFonts w:asciiTheme="majorBidi" w:hAnsiTheme="majorBidi" w:cstheme="majorBidi"/>
        </w:rPr>
        <w:t>, kas paredz priekšno</w:t>
      </w:r>
      <w:r w:rsidR="00174151">
        <w:rPr>
          <w:rFonts w:asciiTheme="majorBidi" w:hAnsiTheme="majorBidi" w:cstheme="majorBidi"/>
        </w:rPr>
        <w:t>teikumus</w:t>
      </w:r>
      <w:r w:rsidR="00520D68">
        <w:rPr>
          <w:rFonts w:asciiTheme="majorBidi" w:hAnsiTheme="majorBidi" w:cstheme="majorBidi"/>
        </w:rPr>
        <w:t xml:space="preserve"> pievienotās vērtības nodokļa</w:t>
      </w:r>
      <w:r w:rsidR="00EE50CD">
        <w:rPr>
          <w:rFonts w:asciiTheme="majorBidi" w:hAnsiTheme="majorBidi" w:cstheme="majorBidi"/>
        </w:rPr>
        <w:t xml:space="preserve"> </w:t>
      </w:r>
      <w:r w:rsidR="00EE50CD">
        <w:t>aprēķināšanai izmantot darījuma tirgus vērtību.</w:t>
      </w:r>
      <w:r w:rsidR="00EE50CD">
        <w:rPr>
          <w:rFonts w:asciiTheme="majorBidi" w:hAnsiTheme="majorBidi" w:cstheme="majorBidi"/>
        </w:rPr>
        <w:t xml:space="preserve"> </w:t>
      </w:r>
      <w:r w:rsidR="009B725A" w:rsidRPr="003A6564">
        <w:rPr>
          <w:rFonts w:asciiTheme="majorBidi" w:hAnsiTheme="majorBidi" w:cstheme="majorBidi"/>
        </w:rPr>
        <w:t>Lietā arī noskaidrojams, vai tiesa ir p</w:t>
      </w:r>
      <w:r w:rsidR="00EE50CD">
        <w:rPr>
          <w:rFonts w:asciiTheme="majorBidi" w:hAnsiTheme="majorBidi" w:cstheme="majorBidi"/>
        </w:rPr>
        <w:t xml:space="preserve">ieļāvusi Administratīvā procesa likuma </w:t>
      </w:r>
      <w:proofErr w:type="gramStart"/>
      <w:r w:rsidR="00EE50CD">
        <w:rPr>
          <w:rFonts w:asciiTheme="majorBidi" w:hAnsiTheme="majorBidi" w:cstheme="majorBidi"/>
        </w:rPr>
        <w:t>154.panta</w:t>
      </w:r>
      <w:proofErr w:type="gramEnd"/>
      <w:r w:rsidR="00EE50CD">
        <w:rPr>
          <w:rFonts w:asciiTheme="majorBidi" w:hAnsiTheme="majorBidi" w:cstheme="majorBidi"/>
        </w:rPr>
        <w:t xml:space="preserve"> pirmās un trešās daļas pārkāpumu</w:t>
      </w:r>
      <w:r w:rsidR="00857914">
        <w:rPr>
          <w:rFonts w:asciiTheme="majorBidi" w:hAnsiTheme="majorBidi" w:cstheme="majorBidi"/>
        </w:rPr>
        <w:t>.</w:t>
      </w:r>
    </w:p>
    <w:p w14:paraId="73EEAF11" w14:textId="77777777" w:rsidR="00EE50CD" w:rsidRDefault="00EE50CD" w:rsidP="00EB569C">
      <w:pPr>
        <w:spacing w:line="276" w:lineRule="auto"/>
        <w:ind w:firstLine="720"/>
        <w:jc w:val="both"/>
        <w:rPr>
          <w:rFonts w:asciiTheme="majorBidi" w:hAnsiTheme="majorBidi" w:cstheme="majorBidi"/>
        </w:rPr>
      </w:pPr>
    </w:p>
    <w:p w14:paraId="4B75386F" w14:textId="233268BC" w:rsidR="006601F4" w:rsidRPr="006601F4" w:rsidRDefault="006601F4" w:rsidP="00EB569C">
      <w:pPr>
        <w:spacing w:line="276" w:lineRule="auto"/>
        <w:ind w:firstLine="720"/>
        <w:jc w:val="both"/>
        <w:rPr>
          <w:i/>
          <w:iCs/>
          <w:color w:val="000000" w:themeColor="text1"/>
          <w:shd w:val="clear" w:color="auto" w:fill="FFFFFF"/>
        </w:rPr>
      </w:pPr>
      <w:r w:rsidRPr="006601F4">
        <w:rPr>
          <w:i/>
          <w:iCs/>
          <w:color w:val="000000" w:themeColor="text1"/>
          <w:shd w:val="clear" w:color="auto" w:fill="FFFFFF"/>
        </w:rPr>
        <w:t xml:space="preserve">Par </w:t>
      </w:r>
      <w:r>
        <w:rPr>
          <w:i/>
          <w:iCs/>
        </w:rPr>
        <w:t>materiālo tiesību normu interpretāciju un piemērošanu</w:t>
      </w:r>
    </w:p>
    <w:p w14:paraId="1EBBA2A8" w14:textId="2825C14C" w:rsidR="00043036" w:rsidRDefault="00043036" w:rsidP="00EB569C">
      <w:pPr>
        <w:spacing w:line="276" w:lineRule="auto"/>
        <w:ind w:firstLine="720"/>
        <w:jc w:val="both"/>
      </w:pPr>
      <w:r>
        <w:rPr>
          <w:color w:val="000000" w:themeColor="text1"/>
          <w:shd w:val="clear" w:color="auto" w:fill="FFFFFF"/>
        </w:rPr>
        <w:t>[</w:t>
      </w:r>
      <w:r w:rsidR="00D31CE2">
        <w:rPr>
          <w:color w:val="000000" w:themeColor="text1"/>
          <w:shd w:val="clear" w:color="auto" w:fill="FFFFFF"/>
        </w:rPr>
        <w:t>7</w:t>
      </w:r>
      <w:r>
        <w:rPr>
          <w:color w:val="000000" w:themeColor="text1"/>
          <w:shd w:val="clear" w:color="auto" w:fill="FFFFFF"/>
        </w:rPr>
        <w:t xml:space="preserve">] Senāts </w:t>
      </w:r>
      <w:proofErr w:type="gramStart"/>
      <w:r>
        <w:rPr>
          <w:color w:val="000000" w:themeColor="text1"/>
          <w:shd w:val="clear" w:color="auto" w:fill="FFFFFF"/>
        </w:rPr>
        <w:t>2022.gada</w:t>
      </w:r>
      <w:proofErr w:type="gramEnd"/>
      <w:r>
        <w:rPr>
          <w:color w:val="000000" w:themeColor="text1"/>
          <w:shd w:val="clear" w:color="auto" w:fill="FFFFFF"/>
        </w:rPr>
        <w:t xml:space="preserve"> 27.jūnija spriedumā šajā lietā ir norādījis, ka </w:t>
      </w:r>
      <w:r>
        <w:t>likuma „Par nodokļiem un nodevām” 23.</w:t>
      </w:r>
      <w:r w:rsidRPr="00043036">
        <w:rPr>
          <w:vertAlign w:val="superscript"/>
        </w:rPr>
        <w:t>2</w:t>
      </w:r>
      <w:r>
        <w:t>panta pirmajā daļā un otrās daļas 1.punktā ir noteiktas dienesta tiesības koriģēt darījuma vērtību un noteikt, kāda darījuma vērtība ir apliekama ar nodokli, ņemot vērā konkrētā nodokļa likumā paredzēto.</w:t>
      </w:r>
    </w:p>
    <w:p w14:paraId="2B9EF331" w14:textId="189755E0" w:rsidR="00043036" w:rsidRDefault="00043036" w:rsidP="00EB569C">
      <w:pPr>
        <w:spacing w:line="276" w:lineRule="auto"/>
        <w:ind w:firstLine="720"/>
        <w:jc w:val="both"/>
      </w:pPr>
      <w:r>
        <w:t xml:space="preserve">Darījuma vērtība, kas tiek aplikta ar pievienotās vērtības nodokli, ir noteikta Pievienotās vērtības nodokļa likuma </w:t>
      </w:r>
      <w:proofErr w:type="gramStart"/>
      <w:r>
        <w:t>34.pantā</w:t>
      </w:r>
      <w:proofErr w:type="gramEnd"/>
      <w:r>
        <w:t>. Atbilstoši šā panta pirmajai daļai vispārīgi preču piegādes un pakalpojumu sniegšanas darījumā ar nodokli apliekamā vērtība ir atlīdzība par piegādātajām precēm vai sniegtajiem pakalpojumiem. Vienlaikus šajā pantā ir paredzēti arī gadījumi, kad ar nodokli apliek nevis atlīdzību par piegādātajām precēm un sniegtajiem pakalpojumiem, bet gan darījuma tirgus vērtību.</w:t>
      </w:r>
    </w:p>
    <w:p w14:paraId="4D122F56" w14:textId="07E03624" w:rsidR="00043036" w:rsidRDefault="00043036" w:rsidP="00EB569C">
      <w:pPr>
        <w:spacing w:line="276" w:lineRule="auto"/>
        <w:ind w:firstLine="720"/>
        <w:jc w:val="both"/>
      </w:pPr>
      <w:r>
        <w:t xml:space="preserve">Viens no šādiem gadījumiem ir paredzēts Pievienotās vērtības nodokļa likuma </w:t>
      </w:r>
      <w:proofErr w:type="gramStart"/>
      <w:r>
        <w:t>34.panta</w:t>
      </w:r>
      <w:proofErr w:type="gramEnd"/>
      <w:r>
        <w:t xml:space="preserve"> devītās daļas 3.punktā, atbilstoši kuram preču piegādes un pakalpojumu sniegšanas darījumā starp saistītām personām likuma „Par nodokļiem un nodevām” izpratnē ar nodokli apliekamā vērtība ir preču piegādes un pakalpojumu sniegšanas tirgus vērtība, ja darījuma vērtība ir lielāka par tirgus vērtību un preču piegādātājam vai pakalpojumu sniedzējam nav tiesību atskaitīt priekšnodokli pilnā apmērā. </w:t>
      </w:r>
    </w:p>
    <w:p w14:paraId="1CE98095" w14:textId="729C351A" w:rsidR="00043036" w:rsidRDefault="00043036" w:rsidP="00EB569C">
      <w:pPr>
        <w:spacing w:line="276" w:lineRule="auto"/>
        <w:ind w:firstLine="720"/>
        <w:jc w:val="both"/>
      </w:pPr>
      <w:r>
        <w:t>Tātad šajā tiesību normā ir paredzēti divi priekšnoteikumi, kuriem iestājoties ar nodokli tiek aplikta nevis darījuma dokumentos norādītā atlīdzība, bet gan darījuma tirgus vērtība, proti, dokumentos norādītā darījuma vērtība ir lielāka par tirgus vērtību, un preču piegādātājam nav tiesību atskaitīt priekšnodokli pilnā apmērā (</w:t>
      </w:r>
      <w:r w:rsidRPr="00A177C4">
        <w:rPr>
          <w:i/>
          <w:iCs/>
        </w:rPr>
        <w:t xml:space="preserve">Senāta </w:t>
      </w:r>
      <w:proofErr w:type="gramStart"/>
      <w:r w:rsidRPr="00A177C4">
        <w:rPr>
          <w:i/>
          <w:iCs/>
        </w:rPr>
        <w:t>2022.gada</w:t>
      </w:r>
      <w:proofErr w:type="gramEnd"/>
      <w:r w:rsidRPr="00A177C4">
        <w:rPr>
          <w:i/>
          <w:iCs/>
        </w:rPr>
        <w:t xml:space="preserve"> 27.jūnija sprieduma lietā Nr. </w:t>
      </w:r>
      <w:r w:rsidR="00E256FC">
        <w:rPr>
          <w:i/>
          <w:iCs/>
        </w:rPr>
        <w:t>SKA-</w:t>
      </w:r>
      <w:r w:rsidR="00A177C4" w:rsidRPr="00A177C4">
        <w:rPr>
          <w:i/>
          <w:iCs/>
        </w:rPr>
        <w:t xml:space="preserve">117/2022, </w:t>
      </w:r>
      <w:hyperlink r:id="rId8" w:history="1">
        <w:r w:rsidR="00A177C4" w:rsidRPr="00A177C4">
          <w:rPr>
            <w:rStyle w:val="Hyperlink"/>
            <w:i/>
            <w:iCs/>
          </w:rPr>
          <w:t>ECLI:LV:AT:2022:0627.A420181417.13.S L</w:t>
        </w:r>
      </w:hyperlink>
      <w:r w:rsidR="00A177C4" w:rsidRPr="00A177C4">
        <w:rPr>
          <w:i/>
          <w:iCs/>
        </w:rPr>
        <w:t>, 16.punkts</w:t>
      </w:r>
      <w:r w:rsidR="00A177C4">
        <w:t>).</w:t>
      </w:r>
    </w:p>
    <w:p w14:paraId="094D5B23" w14:textId="77777777" w:rsidR="00A177C4" w:rsidRDefault="00A177C4" w:rsidP="00EB569C">
      <w:pPr>
        <w:spacing w:line="276" w:lineRule="auto"/>
        <w:ind w:firstLine="720"/>
        <w:jc w:val="both"/>
      </w:pPr>
    </w:p>
    <w:p w14:paraId="6C956242" w14:textId="7AEAEA35" w:rsidR="00A177C4" w:rsidRDefault="00A177C4" w:rsidP="00EB569C">
      <w:pPr>
        <w:spacing w:line="276" w:lineRule="auto"/>
        <w:ind w:firstLine="720"/>
        <w:jc w:val="both"/>
      </w:pPr>
      <w:r>
        <w:t>[</w:t>
      </w:r>
      <w:r w:rsidR="00D31CE2">
        <w:t>8</w:t>
      </w:r>
      <w:r>
        <w:t xml:space="preserve">] Pievienotās vērtības nodokļa likuma </w:t>
      </w:r>
      <w:proofErr w:type="gramStart"/>
      <w:r>
        <w:t>34.panta</w:t>
      </w:r>
      <w:proofErr w:type="gramEnd"/>
      <w:r>
        <w:t xml:space="preserve"> devītās daļas 3.punktā ir transponēta Padomes 2006.gada 28.novembra direktīvas 2006/112/EK par kopējo pievienotās vērtības nodokļa sistēmu (turpmāk – Pievienotās vērtības nodokļa direktīva) 80.panta 1.punkta „c” apakšpunkta norma, kas noteic: lai novērstu nodokļu nemaksāšanu </w:t>
      </w:r>
      <w:r>
        <w:lastRenderedPageBreak/>
        <w:t>vai izvairīšanos no nodokļu maksāšanas, dalībvalstis var veikt pasākumus, lai nodrošinātu, ka summa, kurai uzliek nodokli, attiecībā uz preču piegādēm un pakalpojumu sniegšanu pircējiem vai saņēmējiem, ar ko pastāv ģimenes saites vai citas ciešas personiskas saites, vadības, īpašuma, dalības, finanšu vai juridiskas saites, kā tās definējusi attiecīgā dalībvalsts, ir atvērta tirgus vērtība, ja atlīdzība ir lielāka par atvērtā tirgus vērtību un ja preču piegādātājam vai pakalpojumu sniedzējam nav tiesību pilnībā atskaitīt pievienotās vērtības nodokli saskaņā ar 167. līdz 171.pantu un 173. līdz 177.pantu.</w:t>
      </w:r>
    </w:p>
    <w:p w14:paraId="4ACA3592" w14:textId="04B00F02" w:rsidR="00F62A46" w:rsidRDefault="00415A79" w:rsidP="00EB569C">
      <w:pPr>
        <w:spacing w:line="276" w:lineRule="auto"/>
        <w:ind w:firstLine="720"/>
        <w:jc w:val="both"/>
        <w:rPr>
          <w:rFonts w:asciiTheme="majorBidi" w:hAnsiTheme="majorBidi" w:cstheme="majorBidi"/>
          <w:color w:val="000000"/>
        </w:rPr>
      </w:pPr>
      <w:r w:rsidRPr="00AC6963">
        <w:rPr>
          <w:color w:val="000000" w:themeColor="text1"/>
          <w:shd w:val="clear" w:color="auto" w:fill="FFFFFF"/>
        </w:rPr>
        <w:t xml:space="preserve">Eiropas Savienības </w:t>
      </w:r>
      <w:r w:rsidR="00E256FC">
        <w:rPr>
          <w:color w:val="000000" w:themeColor="text1"/>
          <w:shd w:val="clear" w:color="auto" w:fill="FFFFFF"/>
        </w:rPr>
        <w:t>T</w:t>
      </w:r>
      <w:r w:rsidRPr="00AC6963">
        <w:rPr>
          <w:color w:val="000000" w:themeColor="text1"/>
          <w:shd w:val="clear" w:color="auto" w:fill="FFFFFF"/>
        </w:rPr>
        <w:t>iesa ir norādījusi, ka</w:t>
      </w:r>
      <w:r w:rsidR="00E256FC">
        <w:rPr>
          <w:color w:val="000000" w:themeColor="text1"/>
          <w:shd w:val="clear" w:color="auto" w:fill="FFFFFF"/>
        </w:rPr>
        <w:t>,</w:t>
      </w:r>
      <w:r w:rsidR="00AC6963" w:rsidRPr="00AC6963">
        <w:rPr>
          <w:color w:val="000000" w:themeColor="text1"/>
          <w:shd w:val="clear" w:color="auto" w:fill="FFFFFF"/>
        </w:rPr>
        <w:t xml:space="preserve"> n</w:t>
      </w:r>
      <w:r w:rsidR="00AC6963" w:rsidRPr="00AC6963">
        <w:rPr>
          <w:color w:val="000000"/>
        </w:rPr>
        <w:t xml:space="preserve">oteiktos gadījumos ļaujot uzskatīt, ka nodokļa bāze ir darījuma atvērtā tirgus vērtība, </w:t>
      </w:r>
      <w:r w:rsidR="00AC6963" w:rsidRPr="00AC6963">
        <w:t>Pievienotās vērtības nodokļa</w:t>
      </w:r>
      <w:r w:rsidR="00AC6963" w:rsidRPr="00AC6963">
        <w:rPr>
          <w:color w:val="000000"/>
        </w:rPr>
        <w:t xml:space="preserve"> direktīvas </w:t>
      </w:r>
      <w:proofErr w:type="gramStart"/>
      <w:r w:rsidR="00AC6963" w:rsidRPr="00AC6963">
        <w:rPr>
          <w:color w:val="000000"/>
        </w:rPr>
        <w:t>80.panta</w:t>
      </w:r>
      <w:proofErr w:type="gramEnd"/>
      <w:r w:rsidR="00AC6963" w:rsidRPr="00AC6963">
        <w:rPr>
          <w:color w:val="000000"/>
        </w:rPr>
        <w:t xml:space="preserve"> 1.punkts nosaka izņēmumu vispārējam noteikumam, kas paredzēts minētās direktīvas 73.pantā; līdz ar to tas ir jāinterpretē šauri.</w:t>
      </w:r>
      <w:r w:rsidRPr="00AC6963">
        <w:rPr>
          <w:color w:val="000000" w:themeColor="text1"/>
          <w:shd w:val="clear" w:color="auto" w:fill="FFFFFF"/>
        </w:rPr>
        <w:t xml:space="preserve"> </w:t>
      </w:r>
      <w:r w:rsidR="00AC6963" w:rsidRPr="00AC6963">
        <w:rPr>
          <w:color w:val="000000" w:themeColor="text1"/>
          <w:shd w:val="clear" w:color="auto" w:fill="FFFFFF"/>
        </w:rPr>
        <w:t>S</w:t>
      </w:r>
      <w:r w:rsidRPr="00AC6963">
        <w:rPr>
          <w:color w:val="000000" w:themeColor="text1"/>
          <w:shd w:val="clear" w:color="auto" w:fill="FFFFFF"/>
        </w:rPr>
        <w:t>askaņā</w:t>
      </w:r>
      <w:r w:rsidRPr="00415A79">
        <w:rPr>
          <w:color w:val="000000" w:themeColor="text1"/>
          <w:shd w:val="clear" w:color="auto" w:fill="FFFFFF"/>
        </w:rPr>
        <w:t xml:space="preserve"> ar Pievienotās vērtības </w:t>
      </w:r>
      <w:r w:rsidR="00321351">
        <w:rPr>
          <w:color w:val="000000" w:themeColor="text1"/>
          <w:shd w:val="clear" w:color="auto" w:fill="FFFFFF"/>
        </w:rPr>
        <w:t xml:space="preserve">nodokļa </w:t>
      </w:r>
      <w:r w:rsidRPr="00415A79">
        <w:rPr>
          <w:color w:val="000000" w:themeColor="text1"/>
          <w:shd w:val="clear" w:color="auto" w:fill="FFFFFF"/>
        </w:rPr>
        <w:t xml:space="preserve">direktīvas </w:t>
      </w:r>
      <w:r w:rsidRPr="00415A79">
        <w:rPr>
          <w:color w:val="000000"/>
        </w:rPr>
        <w:t xml:space="preserve">26.apsvērumu šīs direktīvas </w:t>
      </w:r>
      <w:proofErr w:type="gramStart"/>
      <w:r w:rsidRPr="00415A79">
        <w:rPr>
          <w:color w:val="000000"/>
        </w:rPr>
        <w:t>80.panta</w:t>
      </w:r>
      <w:proofErr w:type="gramEnd"/>
      <w:r w:rsidRPr="00415A79">
        <w:rPr>
          <w:color w:val="000000"/>
        </w:rPr>
        <w:t xml:space="preserve"> 1.punkta mērķis ir novērst nodokļu nemaksāšanu vai izvairīšanos no nodokļu maksāšanas.</w:t>
      </w:r>
      <w:r w:rsidRPr="00415A79">
        <w:rPr>
          <w:color w:val="000000" w:themeColor="text1"/>
          <w:shd w:val="clear" w:color="auto" w:fill="FFFFFF"/>
        </w:rPr>
        <w:t xml:space="preserve"> </w:t>
      </w:r>
      <w:r w:rsidRPr="00415A79">
        <w:rPr>
          <w:color w:val="000000"/>
        </w:rPr>
        <w:t>Ja preču vai pakalpojumu piegāde par mākslīgi zemu vai augstu cenu notiek starp darījuma dalībniekiem, kuriem abiem ir tiesības pilnībā atskaitīt pievienotās vērtības nodokli saistībā ar darījumu, tad šajā posmā nav nodokļu nemaksāšana vai izvairīšanās no nodokļu maksāšanas. Tas tā var notikt vienīgi gala patērētāja posmā vai</w:t>
      </w:r>
      <w:proofErr w:type="gramStart"/>
      <w:r w:rsidRPr="00415A79">
        <w:rPr>
          <w:color w:val="000000"/>
        </w:rPr>
        <w:t xml:space="preserve"> ,,</w:t>
      </w:r>
      <w:proofErr w:type="gramEnd"/>
      <w:r w:rsidRPr="00415A79">
        <w:rPr>
          <w:color w:val="000000"/>
        </w:rPr>
        <w:t>jaukta veida” nodokļu maksātāja, kam ir tiesības nodokli atskaitīt proporcionāli, gadījumā, kad mākslīgi zema vai augsta cena var radīt nodokļa zudumus</w:t>
      </w:r>
      <w:r w:rsidR="00F62A46">
        <w:rPr>
          <w:rFonts w:asciiTheme="majorBidi" w:hAnsiTheme="majorBidi" w:cstheme="majorBidi"/>
          <w:color w:val="000000"/>
        </w:rPr>
        <w:t>.</w:t>
      </w:r>
    </w:p>
    <w:p w14:paraId="425FE833" w14:textId="7309B00B" w:rsidR="00415A79" w:rsidRPr="00AC6963" w:rsidRDefault="00F62A46" w:rsidP="00EB569C">
      <w:pPr>
        <w:spacing w:line="276" w:lineRule="auto"/>
        <w:ind w:firstLine="720"/>
        <w:jc w:val="both"/>
        <w:rPr>
          <w:i/>
          <w:iCs/>
        </w:rPr>
      </w:pPr>
      <w:r>
        <w:t xml:space="preserve">Pievienotās vērtības nodokļa direktīvas </w:t>
      </w:r>
      <w:proofErr w:type="gramStart"/>
      <w:r>
        <w:t>80.panta</w:t>
      </w:r>
      <w:proofErr w:type="gramEnd"/>
      <w:r>
        <w:t xml:space="preserve"> 1.punktā paredzētie piemērošanas nosacījumi ir izsmeļoši</w:t>
      </w:r>
      <w:r w:rsidR="00E256FC">
        <w:t>,</w:t>
      </w:r>
      <w:r>
        <w:t xml:space="preserve"> un līdz ar to valsts tiesību aktos, pamatojoties uz šo tiesību normu, nevar tikt paredzēts, ka nodokļa bāze ir darījuma atvērtā tirgus vērtība citos gadījumos nekā tie, kuri uzskaitīti minētajā tiesību normā, it īpaši, ja piegādātājam vai pircējam ir tiesības pilnībā atskaitīt pievienotās vērtības nodokli </w:t>
      </w:r>
      <w:r w:rsidR="00415A79" w:rsidRPr="00415A79">
        <w:rPr>
          <w:rFonts w:asciiTheme="majorBidi" w:hAnsiTheme="majorBidi" w:cstheme="majorBidi"/>
          <w:color w:val="000000"/>
        </w:rPr>
        <w:t>(</w:t>
      </w:r>
      <w:r w:rsidR="00415A79" w:rsidRPr="00A31BA7">
        <w:rPr>
          <w:i/>
          <w:iCs/>
        </w:rPr>
        <w:t xml:space="preserve">Eiropas Savienības Tiesas 2012.gada 26.aprīļa sprieduma apvienotajās lietās </w:t>
      </w:r>
      <w:r w:rsidR="00E256FC">
        <w:rPr>
          <w:i/>
          <w:iCs/>
        </w:rPr>
        <w:t>„</w:t>
      </w:r>
      <w:proofErr w:type="spellStart"/>
      <w:r w:rsidR="00415A79" w:rsidRPr="00A31BA7">
        <w:rPr>
          <w:i/>
          <w:iCs/>
        </w:rPr>
        <w:t>Balkan</w:t>
      </w:r>
      <w:proofErr w:type="spellEnd"/>
      <w:r w:rsidR="00415A79" w:rsidRPr="00A31BA7">
        <w:rPr>
          <w:i/>
          <w:iCs/>
        </w:rPr>
        <w:t xml:space="preserve"> </w:t>
      </w:r>
      <w:proofErr w:type="spellStart"/>
      <w:r w:rsidR="00415A79" w:rsidRPr="00A31BA7">
        <w:rPr>
          <w:i/>
          <w:iCs/>
        </w:rPr>
        <w:t>and</w:t>
      </w:r>
      <w:proofErr w:type="spellEnd"/>
      <w:r w:rsidR="00415A79" w:rsidRPr="00A31BA7">
        <w:rPr>
          <w:i/>
          <w:iCs/>
        </w:rPr>
        <w:t xml:space="preserve"> </w:t>
      </w:r>
      <w:proofErr w:type="spellStart"/>
      <w:r w:rsidR="00415A79" w:rsidRPr="00A31BA7">
        <w:rPr>
          <w:i/>
          <w:iCs/>
        </w:rPr>
        <w:t>Sea</w:t>
      </w:r>
      <w:proofErr w:type="spellEnd"/>
      <w:r w:rsidR="00415A79" w:rsidRPr="00A31BA7">
        <w:rPr>
          <w:i/>
          <w:iCs/>
        </w:rPr>
        <w:t xml:space="preserve"> </w:t>
      </w:r>
      <w:proofErr w:type="spellStart"/>
      <w:r w:rsidR="00415A79" w:rsidRPr="00A31BA7">
        <w:rPr>
          <w:i/>
          <w:iCs/>
        </w:rPr>
        <w:t>Properties</w:t>
      </w:r>
      <w:proofErr w:type="spellEnd"/>
      <w:r w:rsidR="00E256FC">
        <w:rPr>
          <w:i/>
          <w:iCs/>
        </w:rPr>
        <w:t>”</w:t>
      </w:r>
      <w:r w:rsidR="00415A79" w:rsidRPr="00A31BA7">
        <w:rPr>
          <w:i/>
          <w:iCs/>
        </w:rPr>
        <w:t xml:space="preserve"> </w:t>
      </w:r>
      <w:r w:rsidR="00415A79" w:rsidRPr="00E256FC">
        <w:rPr>
          <w:i/>
          <w:iCs/>
        </w:rPr>
        <w:t>un</w:t>
      </w:r>
      <w:r w:rsidR="00415A79" w:rsidRPr="00A31BA7">
        <w:rPr>
          <w:i/>
          <w:iCs/>
        </w:rPr>
        <w:t xml:space="preserve"> </w:t>
      </w:r>
      <w:r w:rsidR="00E256FC">
        <w:rPr>
          <w:i/>
          <w:iCs/>
        </w:rPr>
        <w:t>„</w:t>
      </w:r>
      <w:proofErr w:type="spellStart"/>
      <w:r w:rsidR="00415A79" w:rsidRPr="00A31BA7">
        <w:rPr>
          <w:i/>
          <w:iCs/>
        </w:rPr>
        <w:t>Provadinvest</w:t>
      </w:r>
      <w:proofErr w:type="spellEnd"/>
      <w:r w:rsidR="00E256FC">
        <w:rPr>
          <w:i/>
          <w:iCs/>
        </w:rPr>
        <w:t>”</w:t>
      </w:r>
      <w:r w:rsidR="00415A79" w:rsidRPr="00A31BA7">
        <w:rPr>
          <w:i/>
          <w:iCs/>
        </w:rPr>
        <w:t xml:space="preserve">, C-621/10 un C-129/11, </w:t>
      </w:r>
      <w:hyperlink r:id="rId9" w:history="1">
        <w:r w:rsidR="00415A79" w:rsidRPr="00E24658">
          <w:rPr>
            <w:rStyle w:val="Hyperlink"/>
            <w:i/>
            <w:iCs/>
          </w:rPr>
          <w:t>ECLI:EU:C:2012:248</w:t>
        </w:r>
      </w:hyperlink>
      <w:r w:rsidR="00415A79" w:rsidRPr="00A31BA7">
        <w:rPr>
          <w:i/>
          <w:iCs/>
        </w:rPr>
        <w:t xml:space="preserve">, </w:t>
      </w:r>
      <w:r w:rsidR="00415A79">
        <w:rPr>
          <w:i/>
          <w:iCs/>
        </w:rPr>
        <w:t>4</w:t>
      </w:r>
      <w:r w:rsidR="00AC6963">
        <w:rPr>
          <w:i/>
          <w:iCs/>
        </w:rPr>
        <w:t>5.–</w:t>
      </w:r>
      <w:r w:rsidR="00415A79">
        <w:rPr>
          <w:i/>
          <w:iCs/>
        </w:rPr>
        <w:t>47</w:t>
      </w:r>
      <w:r w:rsidR="00415A79" w:rsidRPr="00A31BA7">
        <w:rPr>
          <w:i/>
          <w:iCs/>
        </w:rPr>
        <w:t>.punkt</w:t>
      </w:r>
      <w:r w:rsidR="000433AB">
        <w:rPr>
          <w:i/>
          <w:iCs/>
        </w:rPr>
        <w:t>s</w:t>
      </w:r>
      <w:r>
        <w:rPr>
          <w:i/>
          <w:iCs/>
        </w:rPr>
        <w:t xml:space="preserve"> un </w:t>
      </w:r>
      <w:r w:rsidRPr="00D25C47">
        <w:rPr>
          <w:i/>
          <w:iCs/>
        </w:rPr>
        <w:t>51.punkts</w:t>
      </w:r>
      <w:r w:rsidR="00415A79" w:rsidRPr="00415A79">
        <w:rPr>
          <w:rFonts w:asciiTheme="majorBidi" w:hAnsiTheme="majorBidi" w:cstheme="majorBidi"/>
          <w:color w:val="000000"/>
        </w:rPr>
        <w:t>)</w:t>
      </w:r>
      <w:r w:rsidR="00415A79">
        <w:rPr>
          <w:rFonts w:asciiTheme="majorBidi" w:hAnsiTheme="majorBidi" w:cstheme="majorBidi"/>
          <w:color w:val="000000"/>
        </w:rPr>
        <w:t>.</w:t>
      </w:r>
    </w:p>
    <w:p w14:paraId="1D1F603C" w14:textId="4EC7EA89" w:rsidR="00F62A46" w:rsidRPr="00590577" w:rsidRDefault="00F03AC7" w:rsidP="00EB569C">
      <w:pPr>
        <w:spacing w:line="276" w:lineRule="auto"/>
        <w:ind w:firstLine="720"/>
        <w:jc w:val="both"/>
        <w:rPr>
          <w:rFonts w:asciiTheme="majorBidi" w:hAnsiTheme="majorBidi" w:cstheme="majorBidi"/>
          <w:color w:val="000000" w:themeColor="text1"/>
        </w:rPr>
      </w:pPr>
      <w:r>
        <w:rPr>
          <w:color w:val="000000" w:themeColor="text1"/>
          <w:shd w:val="clear" w:color="auto" w:fill="FFFFFF"/>
        </w:rPr>
        <w:t xml:space="preserve">No minētā secināms, ka </w:t>
      </w:r>
      <w:r>
        <w:t xml:space="preserve">Pievienotās vērtības nodokļa likuma </w:t>
      </w:r>
      <w:proofErr w:type="gramStart"/>
      <w:r>
        <w:t>34.panta</w:t>
      </w:r>
      <w:proofErr w:type="gramEnd"/>
      <w:r>
        <w:t xml:space="preserve"> devītās daļas 3.punkta no</w:t>
      </w:r>
      <w:r w:rsidR="00174151">
        <w:t>teikums</w:t>
      </w:r>
      <w:r>
        <w:t xml:space="preserve"> </w:t>
      </w:r>
      <w:r w:rsidR="00E24658">
        <w:t>„</w:t>
      </w:r>
      <w:r>
        <w:t>preču piegādātājam vai pakalpojumu sniedzējam nav tiesību atskaitīt priekšnodokli pilnā apmērā” aptver</w:t>
      </w:r>
      <w:r w:rsidR="00AD56B7">
        <w:t xml:space="preserve"> </w:t>
      </w:r>
      <w:r>
        <w:t xml:space="preserve">tādus gadījumus, kad </w:t>
      </w:r>
      <w:r>
        <w:rPr>
          <w:rFonts w:asciiTheme="majorBidi" w:hAnsiTheme="majorBidi" w:cstheme="majorBidi"/>
          <w:color w:val="000000" w:themeColor="text1"/>
        </w:rPr>
        <w:t xml:space="preserve">preču piegādātājs vai pakalpojumu </w:t>
      </w:r>
      <w:r w:rsidR="00D03BDD">
        <w:rPr>
          <w:rFonts w:asciiTheme="majorBidi" w:hAnsiTheme="majorBidi" w:cstheme="majorBidi"/>
          <w:color w:val="000000" w:themeColor="text1"/>
        </w:rPr>
        <w:t xml:space="preserve">sniedzējs veic </w:t>
      </w:r>
      <w:r w:rsidR="00D03BDD">
        <w:t xml:space="preserve">ar pievienotās vērtības nodokli neapliekamus vai </w:t>
      </w:r>
      <w:r w:rsidR="007526A9">
        <w:t xml:space="preserve">tādus darījumus, </w:t>
      </w:r>
      <w:r w:rsidR="007526A9" w:rsidRPr="007526A9">
        <w:t xml:space="preserve">kuros </w:t>
      </w:r>
      <w:r w:rsidR="007526A9" w:rsidRPr="007526A9">
        <w:rPr>
          <w:rFonts w:asciiTheme="majorBidi" w:hAnsiTheme="majorBidi" w:cstheme="majorBidi"/>
          <w:color w:val="000000" w:themeColor="text1"/>
        </w:rPr>
        <w:t>ir tiesības nodokli atskaitīt proporcionāli</w:t>
      </w:r>
      <w:r w:rsidR="007526A9">
        <w:rPr>
          <w:rFonts w:asciiTheme="majorBidi" w:hAnsiTheme="majorBidi" w:cstheme="majorBidi"/>
          <w:color w:val="000000" w:themeColor="text1"/>
        </w:rPr>
        <w:t xml:space="preserve">, </w:t>
      </w:r>
      <w:r w:rsidRPr="00777792">
        <w:rPr>
          <w:rFonts w:asciiTheme="majorBidi" w:hAnsiTheme="majorBidi" w:cstheme="majorBidi"/>
          <w:color w:val="000000" w:themeColor="text1"/>
        </w:rPr>
        <w:t>un kas mākslīgi palielina cenu ar nodokli apliekamām piegādēm nodokļus pilnā apmērā maksājoš</w:t>
      </w:r>
      <w:r>
        <w:rPr>
          <w:rFonts w:asciiTheme="majorBidi" w:hAnsiTheme="majorBidi" w:cstheme="majorBidi"/>
          <w:color w:val="000000" w:themeColor="text1"/>
        </w:rPr>
        <w:t>am darījuma partnerim</w:t>
      </w:r>
      <w:r w:rsidRPr="00777792">
        <w:rPr>
          <w:rFonts w:asciiTheme="majorBidi" w:hAnsiTheme="majorBidi" w:cstheme="majorBidi"/>
          <w:color w:val="000000" w:themeColor="text1"/>
        </w:rPr>
        <w:t>, kur</w:t>
      </w:r>
      <w:r>
        <w:rPr>
          <w:rFonts w:asciiTheme="majorBidi" w:hAnsiTheme="majorBidi" w:cstheme="majorBidi"/>
          <w:color w:val="000000" w:themeColor="text1"/>
        </w:rPr>
        <w:t>š</w:t>
      </w:r>
      <w:r w:rsidRPr="00777792">
        <w:rPr>
          <w:rFonts w:asciiTheme="majorBidi" w:hAnsiTheme="majorBidi" w:cstheme="majorBidi"/>
          <w:color w:val="000000" w:themeColor="text1"/>
        </w:rPr>
        <w:t xml:space="preserve"> ir ar t</w:t>
      </w:r>
      <w:r>
        <w:rPr>
          <w:rFonts w:asciiTheme="majorBidi" w:hAnsiTheme="majorBidi" w:cstheme="majorBidi"/>
          <w:color w:val="000000" w:themeColor="text1"/>
        </w:rPr>
        <w:t>o</w:t>
      </w:r>
      <w:r w:rsidRPr="00777792">
        <w:rPr>
          <w:rFonts w:asciiTheme="majorBidi" w:hAnsiTheme="majorBidi" w:cstheme="majorBidi"/>
          <w:color w:val="000000" w:themeColor="text1"/>
        </w:rPr>
        <w:t xml:space="preserve"> saistīt</w:t>
      </w:r>
      <w:r>
        <w:rPr>
          <w:rFonts w:asciiTheme="majorBidi" w:hAnsiTheme="majorBidi" w:cstheme="majorBidi"/>
          <w:color w:val="000000" w:themeColor="text1"/>
        </w:rPr>
        <w:t>s</w:t>
      </w:r>
      <w:r w:rsidR="00590577">
        <w:rPr>
          <w:rFonts w:asciiTheme="majorBidi" w:hAnsiTheme="majorBidi" w:cstheme="majorBidi"/>
          <w:color w:val="000000" w:themeColor="text1"/>
        </w:rPr>
        <w:t xml:space="preserve">, un šīs </w:t>
      </w:r>
      <w:r w:rsidR="00590577" w:rsidRPr="00590577">
        <w:rPr>
          <w:rFonts w:asciiTheme="majorBidi" w:hAnsiTheme="majorBidi" w:cstheme="majorBidi"/>
          <w:color w:val="000000" w:themeColor="text1"/>
        </w:rPr>
        <w:t>piegādes vērtības maiņas rezultātā rodas tieši zaudējumi no neiekasētiem nodokļiem.</w:t>
      </w:r>
      <w:r w:rsidR="00590577">
        <w:rPr>
          <w:rFonts w:asciiTheme="majorBidi" w:hAnsiTheme="majorBidi" w:cstheme="majorBidi"/>
          <w:color w:val="000000" w:themeColor="text1"/>
        </w:rPr>
        <w:t xml:space="preserve"> </w:t>
      </w:r>
      <w:r w:rsidR="00554CE7">
        <w:rPr>
          <w:rFonts w:asciiTheme="majorBidi" w:hAnsiTheme="majorBidi" w:cstheme="majorBidi"/>
          <w:color w:val="000000"/>
        </w:rPr>
        <w:t xml:space="preserve">Citiem vārdiem, </w:t>
      </w:r>
      <w:r w:rsidR="00554CE7">
        <w:rPr>
          <w:rFonts w:asciiTheme="majorBidi" w:hAnsiTheme="majorBidi" w:cstheme="majorBidi"/>
          <w:color w:val="000000" w:themeColor="text1"/>
        </w:rPr>
        <w:t>p</w:t>
      </w:r>
      <w:r>
        <w:rPr>
          <w:rFonts w:asciiTheme="majorBidi" w:hAnsiTheme="majorBidi" w:cstheme="majorBidi"/>
          <w:color w:val="000000" w:themeColor="text1"/>
        </w:rPr>
        <w:t>reču vai pakalpojumu s</w:t>
      </w:r>
      <w:r w:rsidRPr="00777792">
        <w:rPr>
          <w:rFonts w:asciiTheme="majorBidi" w:hAnsiTheme="majorBidi" w:cstheme="majorBidi"/>
          <w:color w:val="000000" w:themeColor="text1"/>
        </w:rPr>
        <w:t xml:space="preserve">aņēmējs var pilnībā atgūt priekšnodokli, bet, palielinot vērtību, piegādātājam izdodas mainīt attiecību starp veikto apliekamo un neapliekamo piegāžu vērtību, lai panāktu lielāku atgūstamā </w:t>
      </w:r>
      <w:r>
        <w:rPr>
          <w:rFonts w:asciiTheme="majorBidi" w:hAnsiTheme="majorBidi" w:cstheme="majorBidi"/>
          <w:color w:val="000000" w:themeColor="text1"/>
        </w:rPr>
        <w:t>pievienotās vērtības nodokļa</w:t>
      </w:r>
      <w:r w:rsidRPr="00777792">
        <w:rPr>
          <w:rFonts w:asciiTheme="majorBidi" w:hAnsiTheme="majorBidi" w:cstheme="majorBidi"/>
          <w:color w:val="000000" w:themeColor="text1"/>
        </w:rPr>
        <w:t xml:space="preserve"> īpatsvaru. </w:t>
      </w:r>
    </w:p>
    <w:p w14:paraId="7BFD8483" w14:textId="55E9C0CA" w:rsidR="005A6FFE" w:rsidRDefault="005A6FFE" w:rsidP="00EB569C">
      <w:pPr>
        <w:spacing w:line="276" w:lineRule="auto"/>
        <w:ind w:firstLine="720"/>
        <w:jc w:val="both"/>
        <w:rPr>
          <w:rFonts w:asciiTheme="majorBidi" w:hAnsiTheme="majorBidi" w:cstheme="majorBidi"/>
          <w:color w:val="000000" w:themeColor="text1"/>
        </w:rPr>
      </w:pPr>
    </w:p>
    <w:p w14:paraId="11A92414" w14:textId="006F6BDA" w:rsidR="007F1CD5" w:rsidRDefault="005E7430" w:rsidP="00EB569C">
      <w:pPr>
        <w:spacing w:line="276" w:lineRule="auto"/>
        <w:ind w:firstLine="720"/>
        <w:jc w:val="both"/>
        <w:rPr>
          <w:rFonts w:asciiTheme="majorBidi" w:hAnsiTheme="majorBidi" w:cstheme="majorBidi"/>
        </w:rPr>
      </w:pPr>
      <w:r w:rsidRPr="003A6564">
        <w:rPr>
          <w:rFonts w:asciiTheme="majorBidi" w:hAnsiTheme="majorBidi" w:cstheme="majorBidi"/>
        </w:rPr>
        <w:t>[</w:t>
      </w:r>
      <w:r w:rsidR="00D31CE2">
        <w:rPr>
          <w:rFonts w:asciiTheme="majorBidi" w:hAnsiTheme="majorBidi" w:cstheme="majorBidi"/>
        </w:rPr>
        <w:t>9</w:t>
      </w:r>
      <w:r w:rsidRPr="003A6564">
        <w:rPr>
          <w:rFonts w:asciiTheme="majorBidi" w:hAnsiTheme="majorBidi" w:cstheme="majorBidi"/>
        </w:rPr>
        <w:t>]</w:t>
      </w:r>
      <w:r w:rsidR="005C6957">
        <w:rPr>
          <w:rFonts w:asciiTheme="majorBidi" w:hAnsiTheme="majorBidi" w:cstheme="majorBidi"/>
        </w:rPr>
        <w:t xml:space="preserve"> </w:t>
      </w:r>
      <w:r w:rsidR="006A19F4">
        <w:rPr>
          <w:rFonts w:asciiTheme="majorBidi" w:hAnsiTheme="majorBidi" w:cstheme="majorBidi"/>
        </w:rPr>
        <w:t>Pārbaudot</w:t>
      </w:r>
      <w:r w:rsidR="007F1CD5">
        <w:rPr>
          <w:rFonts w:asciiTheme="majorBidi" w:hAnsiTheme="majorBidi" w:cstheme="majorBidi"/>
        </w:rPr>
        <w:t xml:space="preserve"> apgabaltiesas spriedumā norādīto </w:t>
      </w:r>
      <w:r w:rsidR="006A19F4">
        <w:rPr>
          <w:rFonts w:asciiTheme="majorBidi" w:hAnsiTheme="majorBidi" w:cstheme="majorBidi"/>
        </w:rPr>
        <w:t xml:space="preserve">konkrētās situācijas </w:t>
      </w:r>
      <w:r w:rsidR="007F1CD5">
        <w:rPr>
          <w:rFonts w:asciiTheme="majorBidi" w:hAnsiTheme="majorBidi" w:cstheme="majorBidi"/>
        </w:rPr>
        <w:t>novērtējumu</w:t>
      </w:r>
      <w:r w:rsidR="00956EC0">
        <w:rPr>
          <w:rFonts w:asciiTheme="majorBidi" w:hAnsiTheme="majorBidi" w:cstheme="majorBidi"/>
        </w:rPr>
        <w:t>, Senāts atzīst,</w:t>
      </w:r>
      <w:r w:rsidR="007F1CD5">
        <w:rPr>
          <w:rFonts w:asciiTheme="majorBidi" w:hAnsiTheme="majorBidi" w:cstheme="majorBidi"/>
        </w:rPr>
        <w:t xml:space="preserve"> ka tas nav veikts atbilstoši </w:t>
      </w:r>
      <w:r w:rsidR="00326538">
        <w:t xml:space="preserve">Pievienotās vērtības nodokļa likuma </w:t>
      </w:r>
      <w:proofErr w:type="gramStart"/>
      <w:r w:rsidR="00326538">
        <w:t>34.panta</w:t>
      </w:r>
      <w:proofErr w:type="gramEnd"/>
      <w:r w:rsidR="00326538">
        <w:t xml:space="preserve"> devītās daļas 3.punkta </w:t>
      </w:r>
      <w:r w:rsidR="007F1CD5">
        <w:rPr>
          <w:rFonts w:asciiTheme="majorBidi" w:hAnsiTheme="majorBidi" w:cstheme="majorBidi"/>
        </w:rPr>
        <w:t xml:space="preserve">tiesiskajam sastāvam </w:t>
      </w:r>
      <w:r w:rsidR="00A8441E">
        <w:rPr>
          <w:rFonts w:asciiTheme="majorBidi" w:hAnsiTheme="majorBidi" w:cstheme="majorBidi"/>
        </w:rPr>
        <w:t xml:space="preserve">(šā sprieduma </w:t>
      </w:r>
      <w:r w:rsidR="00D31CE2">
        <w:rPr>
          <w:rFonts w:asciiTheme="majorBidi" w:hAnsiTheme="majorBidi" w:cstheme="majorBidi"/>
        </w:rPr>
        <w:t>7</w:t>
      </w:r>
      <w:r w:rsidR="00A8441E">
        <w:rPr>
          <w:rFonts w:asciiTheme="majorBidi" w:hAnsiTheme="majorBidi" w:cstheme="majorBidi"/>
        </w:rPr>
        <w:t>.</w:t>
      </w:r>
      <w:r w:rsidR="00326538">
        <w:rPr>
          <w:rFonts w:asciiTheme="majorBidi" w:hAnsiTheme="majorBidi" w:cstheme="majorBidi"/>
        </w:rPr>
        <w:t xml:space="preserve"> un </w:t>
      </w:r>
      <w:r w:rsidR="00D31CE2">
        <w:rPr>
          <w:rFonts w:asciiTheme="majorBidi" w:hAnsiTheme="majorBidi" w:cstheme="majorBidi"/>
        </w:rPr>
        <w:t>8</w:t>
      </w:r>
      <w:r w:rsidR="00326538">
        <w:rPr>
          <w:rFonts w:asciiTheme="majorBidi" w:hAnsiTheme="majorBidi" w:cstheme="majorBidi"/>
        </w:rPr>
        <w:t>.</w:t>
      </w:r>
      <w:r w:rsidR="00A8441E">
        <w:rPr>
          <w:rFonts w:asciiTheme="majorBidi" w:hAnsiTheme="majorBidi" w:cstheme="majorBidi"/>
        </w:rPr>
        <w:t>punkts)</w:t>
      </w:r>
      <w:r w:rsidR="007F1CD5">
        <w:rPr>
          <w:rFonts w:asciiTheme="majorBidi" w:hAnsiTheme="majorBidi" w:cstheme="majorBidi"/>
        </w:rPr>
        <w:t>.</w:t>
      </w:r>
    </w:p>
    <w:p w14:paraId="5A2619A4" w14:textId="19982AD5" w:rsidR="00B14A40" w:rsidRDefault="00326538" w:rsidP="00EB569C">
      <w:pPr>
        <w:spacing w:line="276" w:lineRule="auto"/>
        <w:ind w:firstLine="720"/>
        <w:jc w:val="both"/>
      </w:pPr>
      <w:r>
        <w:rPr>
          <w:rFonts w:asciiTheme="majorBidi" w:hAnsiTheme="majorBidi" w:cstheme="majorBidi"/>
        </w:rPr>
        <w:t xml:space="preserve">Apgabaltiesa </w:t>
      </w:r>
      <w:r w:rsidR="00B14A40">
        <w:t xml:space="preserve">Pievienotās vērtības nodokļa likuma </w:t>
      </w:r>
      <w:proofErr w:type="gramStart"/>
      <w:r w:rsidR="00B14A40">
        <w:t>34.panta</w:t>
      </w:r>
      <w:proofErr w:type="gramEnd"/>
      <w:r w:rsidR="00B14A40">
        <w:t xml:space="preserve"> devītās daļas 3.punkta no</w:t>
      </w:r>
      <w:r w:rsidR="00174151">
        <w:t>teikum</w:t>
      </w:r>
      <w:r w:rsidR="00FF5CD0">
        <w:t>a</w:t>
      </w:r>
      <w:r w:rsidR="00B14A40">
        <w:t xml:space="preserve"> </w:t>
      </w:r>
      <w:r w:rsidR="00E24658">
        <w:t>„</w:t>
      </w:r>
      <w:r w:rsidR="00B14A40">
        <w:t>preču piegādātājam vai pakalpojumu sniedzējam nav tiesību atskaitīt priekšnodokli pilnā apmērā” izpildīšanos atzina</w:t>
      </w:r>
      <w:r w:rsidR="00E24658">
        <w:t xml:space="preserve"> tāpēc</w:t>
      </w:r>
      <w:r w:rsidR="00B14A40">
        <w:t xml:space="preserve">, </w:t>
      </w:r>
      <w:r w:rsidR="00E24658">
        <w:t>ka</w:t>
      </w:r>
      <w:r w:rsidR="00B14A40">
        <w:t xml:space="preserve"> ar spēkā stājušos tiesas </w:t>
      </w:r>
      <w:r w:rsidR="00B14A40">
        <w:lastRenderedPageBreak/>
        <w:t xml:space="preserve">spriedumu ir </w:t>
      </w:r>
      <w:r w:rsidR="00D31CE2">
        <w:t>konstatēts</w:t>
      </w:r>
      <w:r w:rsidR="00B14A40">
        <w:t xml:space="preserve">, ka pieteicējas darījumu partnerei SIA „TER </w:t>
      </w:r>
      <w:proofErr w:type="spellStart"/>
      <w:r w:rsidR="00B14A40">
        <w:t>Properties</w:t>
      </w:r>
      <w:proofErr w:type="spellEnd"/>
      <w:r w:rsidR="00B14A40">
        <w:t>” nav tiesību atskaitīt priekšnodokli par projekta dokumentācijas iegādes darījumu no</w:t>
      </w:r>
      <w:r w:rsidR="000433AB">
        <w:t xml:space="preserve"> tās tālākās darījumu partneres</w:t>
      </w:r>
      <w:r w:rsidR="00B14A40">
        <w:t xml:space="preserve"> SIA „NEO 21”, jo darījums ir noformēts mākslīgi.</w:t>
      </w:r>
    </w:p>
    <w:p w14:paraId="3C68E3D9" w14:textId="62722BEB" w:rsidR="007E0947" w:rsidRPr="007E0947" w:rsidRDefault="007E0947" w:rsidP="00EB569C">
      <w:pPr>
        <w:spacing w:line="276" w:lineRule="auto"/>
        <w:ind w:firstLine="720"/>
        <w:jc w:val="both"/>
        <w:rPr>
          <w:color w:val="000000" w:themeColor="text1"/>
          <w:shd w:val="clear" w:color="auto" w:fill="FFFFFF"/>
        </w:rPr>
      </w:pPr>
      <w:r>
        <w:t>Senāts atzīst, ka t</w:t>
      </w:r>
      <w:r w:rsidRPr="006F263D">
        <w:t xml:space="preserve">iesa ir </w:t>
      </w:r>
      <w:r>
        <w:t>nepareizi interpretējusi</w:t>
      </w:r>
      <w:r w:rsidRPr="006F263D">
        <w:t xml:space="preserve"> minēt</w:t>
      </w:r>
      <w:r w:rsidR="00E24658">
        <w:t>o</w:t>
      </w:r>
      <w:r w:rsidRPr="006F263D">
        <w:t xml:space="preserve"> tiesību norm</w:t>
      </w:r>
      <w:r w:rsidR="00E24658">
        <w:t>u</w:t>
      </w:r>
      <w:r>
        <w:rPr>
          <w:color w:val="000000" w:themeColor="text1"/>
          <w:shd w:val="clear" w:color="auto" w:fill="FFFFFF"/>
        </w:rPr>
        <w:t xml:space="preserve">, līdz ar to </w:t>
      </w:r>
      <w:r w:rsidR="00857914">
        <w:rPr>
          <w:color w:val="000000" w:themeColor="text1"/>
          <w:shd w:val="clear" w:color="auto" w:fill="FFFFFF"/>
        </w:rPr>
        <w:t xml:space="preserve">nepamatoti atzinusi, kas ir pieļaujams nodokli aprēķināt no </w:t>
      </w:r>
      <w:r>
        <w:t>darījuma tirgus vērtīb</w:t>
      </w:r>
      <w:r w:rsidR="00857914">
        <w:t>as</w:t>
      </w:r>
      <w:r>
        <w:t xml:space="preserve"> citā gadījumā</w:t>
      </w:r>
      <w:r w:rsidR="00857914">
        <w:t>,</w:t>
      </w:r>
      <w:r>
        <w:t xml:space="preserve"> nekā </w:t>
      </w:r>
      <w:r w:rsidR="00857914">
        <w:t>tas ir paredzēts</w:t>
      </w:r>
      <w:r>
        <w:t xml:space="preserve"> tiesību normā. </w:t>
      </w:r>
    </w:p>
    <w:p w14:paraId="527724DD" w14:textId="6A369209" w:rsidR="007E0947" w:rsidRDefault="007526A9" w:rsidP="00EB569C">
      <w:pPr>
        <w:spacing w:line="276" w:lineRule="auto"/>
        <w:ind w:firstLine="720"/>
        <w:jc w:val="both"/>
      </w:pPr>
      <w:r>
        <w:rPr>
          <w:color w:val="000000" w:themeColor="text1"/>
          <w:shd w:val="clear" w:color="auto" w:fill="FFFFFF"/>
        </w:rPr>
        <w:t>Vērā ņemams</w:t>
      </w:r>
      <w:r w:rsidR="007E0947">
        <w:rPr>
          <w:color w:val="000000" w:themeColor="text1"/>
          <w:shd w:val="clear" w:color="auto" w:fill="FFFFFF"/>
        </w:rPr>
        <w:t xml:space="preserve"> arī</w:t>
      </w:r>
      <w:r>
        <w:rPr>
          <w:color w:val="000000" w:themeColor="text1"/>
          <w:shd w:val="clear" w:color="auto" w:fill="FFFFFF"/>
        </w:rPr>
        <w:t xml:space="preserve"> </w:t>
      </w:r>
      <w:r w:rsidR="00B83F73">
        <w:rPr>
          <w:color w:val="000000" w:themeColor="text1"/>
          <w:shd w:val="clear" w:color="auto" w:fill="FFFFFF"/>
        </w:rPr>
        <w:t>Valsts ieņēmumu dienest</w:t>
      </w:r>
      <w:r>
        <w:rPr>
          <w:color w:val="000000" w:themeColor="text1"/>
          <w:shd w:val="clear" w:color="auto" w:fill="FFFFFF"/>
        </w:rPr>
        <w:t>a</w:t>
      </w:r>
      <w:r w:rsidR="00B83F73">
        <w:rPr>
          <w:color w:val="000000" w:themeColor="text1"/>
          <w:shd w:val="clear" w:color="auto" w:fill="FFFFFF"/>
        </w:rPr>
        <w:t xml:space="preserve"> </w:t>
      </w:r>
      <w:r w:rsidR="00321351">
        <w:rPr>
          <w:color w:val="000000" w:themeColor="text1"/>
          <w:shd w:val="clear" w:color="auto" w:fill="FFFFFF"/>
        </w:rPr>
        <w:t xml:space="preserve">pārstāvja </w:t>
      </w:r>
      <w:proofErr w:type="gramStart"/>
      <w:r w:rsidR="00B83F73">
        <w:rPr>
          <w:color w:val="000000" w:themeColor="text1"/>
          <w:shd w:val="clear" w:color="auto" w:fill="FFFFFF"/>
        </w:rPr>
        <w:t>2023.gada</w:t>
      </w:r>
      <w:proofErr w:type="gramEnd"/>
      <w:r w:rsidR="00B83F73">
        <w:rPr>
          <w:color w:val="000000" w:themeColor="text1"/>
          <w:shd w:val="clear" w:color="auto" w:fill="FFFFFF"/>
        </w:rPr>
        <w:t xml:space="preserve"> 15.marta tiesas sēdē</w:t>
      </w:r>
      <w:r w:rsidR="00D31CE2">
        <w:rPr>
          <w:color w:val="000000" w:themeColor="text1"/>
          <w:shd w:val="clear" w:color="auto" w:fill="FFFFFF"/>
        </w:rPr>
        <w:t xml:space="preserve"> norādī</w:t>
      </w:r>
      <w:r>
        <w:rPr>
          <w:color w:val="000000" w:themeColor="text1"/>
          <w:shd w:val="clear" w:color="auto" w:fill="FFFFFF"/>
        </w:rPr>
        <w:t>tais</w:t>
      </w:r>
      <w:r w:rsidR="00B83F73">
        <w:rPr>
          <w:color w:val="000000" w:themeColor="text1"/>
          <w:shd w:val="clear" w:color="auto" w:fill="FFFFFF"/>
        </w:rPr>
        <w:t>, ka</w:t>
      </w:r>
      <w:r>
        <w:rPr>
          <w:color w:val="000000" w:themeColor="text1"/>
          <w:shd w:val="clear" w:color="auto" w:fill="FFFFFF"/>
        </w:rPr>
        <w:t xml:space="preserve"> dienests</w:t>
      </w:r>
      <w:r w:rsidR="00B83F73">
        <w:rPr>
          <w:color w:val="000000" w:themeColor="text1"/>
          <w:shd w:val="clear" w:color="auto" w:fill="FFFFFF"/>
        </w:rPr>
        <w:t xml:space="preserve"> atzīst nepamatotu </w:t>
      </w:r>
      <w:r w:rsidR="00B83F73">
        <w:t>Pievienotās vērtības nodokļa likuma 34.panta devītās daļas 3.punkta piemērošanu, jo konkrētajā gadījumā neizpildās tiesību normā norādītais</w:t>
      </w:r>
      <w:r w:rsidR="00D31CE2">
        <w:t xml:space="preserve"> strīdus</w:t>
      </w:r>
      <w:r w:rsidR="00B83F73">
        <w:t xml:space="preserve"> no</w:t>
      </w:r>
      <w:r w:rsidR="00174151">
        <w:t>teikums</w:t>
      </w:r>
      <w:r w:rsidR="00B83F73">
        <w:t xml:space="preserve">. Dienests paskaidroja, ka pārsūdzētā lēmuma pieņemšanas laikā nebija pareizi izpratis piemērojamo tiesību normu, jo uzskatīja, </w:t>
      </w:r>
      <w:r w:rsidR="00EC2DDF">
        <w:t>ka tiesību normā nav paredzēti divi priekšno</w:t>
      </w:r>
      <w:r w:rsidR="00174151">
        <w:t>teikumi</w:t>
      </w:r>
      <w:r w:rsidR="00EC2DDF">
        <w:t>, bet gan viens</w:t>
      </w:r>
      <w:r w:rsidR="000433AB">
        <w:t>. Proti, dienests uzskatīja</w:t>
      </w:r>
      <w:r w:rsidR="00174151">
        <w:t>, ka</w:t>
      </w:r>
      <w:r w:rsidR="000433AB">
        <w:t xml:space="preserve"> ir viens priekšno</w:t>
      </w:r>
      <w:r w:rsidR="00174151">
        <w:t>teikums</w:t>
      </w:r>
      <w:r w:rsidR="00EC2DDF">
        <w:t xml:space="preserve"> </w:t>
      </w:r>
      <w:r w:rsidR="00E24658">
        <w:t>„</w:t>
      </w:r>
      <w:r w:rsidR="00EC2DDF">
        <w:t>darījuma vērtība ir lielāka par tirgus vērtību”</w:t>
      </w:r>
      <w:r w:rsidR="000433AB">
        <w:t>, bet</w:t>
      </w:r>
      <w:r w:rsidR="00EC2DDF">
        <w:t xml:space="preserve"> </w:t>
      </w:r>
      <w:r w:rsidR="00E24658">
        <w:t>„</w:t>
      </w:r>
      <w:r w:rsidR="00EC2DDF">
        <w:t xml:space="preserve">preču piegādātājam vai pakalpojumu sniedzējam nav tiesību atskaitīt priekšnodokli pilnā apmērā” </w:t>
      </w:r>
      <w:r w:rsidR="000433AB">
        <w:t>ir</w:t>
      </w:r>
      <w:r w:rsidR="00EC2DDF">
        <w:t xml:space="preserve"> sekas, nevis otr</w:t>
      </w:r>
      <w:r w:rsidR="000433AB">
        <w:t>s</w:t>
      </w:r>
      <w:r w:rsidR="00EC2DDF">
        <w:t xml:space="preserve"> priekšno</w:t>
      </w:r>
      <w:r w:rsidR="00174151">
        <w:t>teikums</w:t>
      </w:r>
      <w:r w:rsidR="00EC2DDF">
        <w:t>.</w:t>
      </w:r>
      <w:r w:rsidR="000433AB">
        <w:t xml:space="preserve"> Minēto apliecinot dienesta vēstule Finanšu ministrijai, kurā lūgts skaidrot tiesību normu</w:t>
      </w:r>
      <w:r w:rsidR="008D1650">
        <w:t xml:space="preserve"> piemērošanu.</w:t>
      </w:r>
      <w:r w:rsidR="00EC2DDF">
        <w:t xml:space="preserve"> Līdz ar to ne auditā, ne pārsūdzētajā lēmumā nav vērtēta strīdus </w:t>
      </w:r>
      <w:r w:rsidR="00FF5CD0">
        <w:t>noteikuma</w:t>
      </w:r>
      <w:r w:rsidR="00EC2DDF">
        <w:t xml:space="preserve"> izpildīšanās. Dienests</w:t>
      </w:r>
      <w:r w:rsidR="008D1650">
        <w:t xml:space="preserve"> tiesas sēdē paskaidroja, ka </w:t>
      </w:r>
      <w:r w:rsidR="00EC2DDF">
        <w:t xml:space="preserve">tā rīcībā nav informācijas, ka SIA „TER </w:t>
      </w:r>
      <w:proofErr w:type="spellStart"/>
      <w:r w:rsidR="00EC2DDF">
        <w:t>Properties</w:t>
      </w:r>
      <w:proofErr w:type="spellEnd"/>
      <w:r w:rsidR="00EC2DDF">
        <w:t>” kā piegādātājs būtu veicis ar pievienotās vērtības nodokli neapliekamus</w:t>
      </w:r>
      <w:r w:rsidR="008D1650">
        <w:t xml:space="preserve"> darījumus</w:t>
      </w:r>
      <w:r w:rsidR="00EC2DDF">
        <w:t xml:space="preserve"> vai </w:t>
      </w:r>
      <w:r w:rsidR="00D31CE2">
        <w:t>tādus darījumus, kuros tiesības nodokli būtu atskaitīt proporcionāli</w:t>
      </w:r>
      <w:r w:rsidR="00FF5CD0">
        <w:t>.</w:t>
      </w:r>
      <w:r w:rsidR="00EC2DDF">
        <w:t xml:space="preserve"> </w:t>
      </w:r>
      <w:r w:rsidR="00FF5CD0">
        <w:t>L</w:t>
      </w:r>
      <w:r w:rsidR="00EC2DDF">
        <w:t xml:space="preserve">īdz ar to dienests atzina, ka </w:t>
      </w:r>
      <w:r w:rsidR="00D31CE2">
        <w:t>konkrētajā gadījumā strīdus no</w:t>
      </w:r>
      <w:r w:rsidR="00174151">
        <w:t>teikums</w:t>
      </w:r>
      <w:r w:rsidR="00D31CE2">
        <w:t xml:space="preserve"> </w:t>
      </w:r>
      <w:r w:rsidR="00EC2DDF">
        <w:t xml:space="preserve">neizpildās </w:t>
      </w:r>
      <w:r w:rsidR="00A06243">
        <w:t>(</w:t>
      </w:r>
      <w:r w:rsidR="00A06243" w:rsidRPr="00A06243">
        <w:rPr>
          <w:i/>
          <w:iCs/>
        </w:rPr>
        <w:t xml:space="preserve">Administratīvās apgabaltiesas </w:t>
      </w:r>
      <w:proofErr w:type="gramStart"/>
      <w:r w:rsidR="00A06243" w:rsidRPr="00A06243">
        <w:rPr>
          <w:i/>
          <w:iCs/>
          <w:color w:val="000000" w:themeColor="text1"/>
          <w:shd w:val="clear" w:color="auto" w:fill="FFFFFF"/>
        </w:rPr>
        <w:t>2023.gada</w:t>
      </w:r>
      <w:proofErr w:type="gramEnd"/>
      <w:r w:rsidR="00A06243" w:rsidRPr="00A06243">
        <w:rPr>
          <w:i/>
          <w:iCs/>
          <w:color w:val="000000" w:themeColor="text1"/>
          <w:shd w:val="clear" w:color="auto" w:fill="FFFFFF"/>
        </w:rPr>
        <w:t xml:space="preserve"> 15.marta tiesas sēdes audio </w:t>
      </w:r>
      <w:r w:rsidR="00A06243">
        <w:rPr>
          <w:i/>
          <w:iCs/>
          <w:color w:val="000000" w:themeColor="text1"/>
          <w:shd w:val="clear" w:color="auto" w:fill="FFFFFF"/>
        </w:rPr>
        <w:t>ieraksta</w:t>
      </w:r>
      <w:r w:rsidR="00A06243" w:rsidRPr="00A06243">
        <w:rPr>
          <w:i/>
          <w:iCs/>
          <w:color w:val="000000" w:themeColor="text1"/>
          <w:shd w:val="clear" w:color="auto" w:fill="FFFFFF"/>
        </w:rPr>
        <w:t xml:space="preserve"> 21:32 – 26:14</w:t>
      </w:r>
      <w:r w:rsidR="00A06243">
        <w:rPr>
          <w:color w:val="000000" w:themeColor="text1"/>
          <w:shd w:val="clear" w:color="auto" w:fill="FFFFFF"/>
        </w:rPr>
        <w:t>)</w:t>
      </w:r>
      <w:r w:rsidR="00D31CE2">
        <w:rPr>
          <w:color w:val="000000" w:themeColor="text1"/>
          <w:shd w:val="clear" w:color="auto" w:fill="FFFFFF"/>
        </w:rPr>
        <w:t>.</w:t>
      </w:r>
      <w:r w:rsidR="005D7623">
        <w:t xml:space="preserve"> </w:t>
      </w:r>
    </w:p>
    <w:p w14:paraId="47407A86" w14:textId="2FD2545A" w:rsidR="00B83F73" w:rsidRDefault="00A06243" w:rsidP="00EB569C">
      <w:pPr>
        <w:spacing w:line="276" w:lineRule="auto"/>
        <w:ind w:firstLine="720"/>
        <w:jc w:val="both"/>
      </w:pPr>
      <w:r>
        <w:t>Tiesa šos</w:t>
      </w:r>
      <w:r w:rsidR="007E0947">
        <w:t xml:space="preserve"> dienesta paskaidrojumus</w:t>
      </w:r>
      <w:r>
        <w:t xml:space="preserve"> ir atstājusi bez ievērības.</w:t>
      </w:r>
    </w:p>
    <w:p w14:paraId="4992DB9C" w14:textId="6DB08BCE" w:rsidR="00756523" w:rsidRPr="007E0947" w:rsidRDefault="00FF5CD0" w:rsidP="00EB569C">
      <w:pPr>
        <w:spacing w:line="276" w:lineRule="auto"/>
        <w:ind w:firstLine="720"/>
        <w:jc w:val="both"/>
        <w:rPr>
          <w:color w:val="000000" w:themeColor="text1"/>
          <w:shd w:val="clear" w:color="auto" w:fill="FFFFFF"/>
        </w:rPr>
      </w:pPr>
      <w:r>
        <w:t xml:space="preserve">Šādos apstākļos </w:t>
      </w:r>
      <w:r w:rsidR="007526A9">
        <w:t>Senāts atzīst, ka t</w:t>
      </w:r>
      <w:r w:rsidR="007526A9" w:rsidRPr="006F263D">
        <w:t xml:space="preserve">iesa ir </w:t>
      </w:r>
      <w:r w:rsidR="007526A9">
        <w:t>nepareizi interpretējusi</w:t>
      </w:r>
      <w:r w:rsidR="007526A9" w:rsidRPr="006F263D">
        <w:t xml:space="preserve"> </w:t>
      </w:r>
      <w:r w:rsidR="00321351">
        <w:t xml:space="preserve">Pievienotās vērtības nodokļa likuma </w:t>
      </w:r>
      <w:proofErr w:type="gramStart"/>
      <w:r w:rsidR="00321351">
        <w:t>34.panta</w:t>
      </w:r>
      <w:proofErr w:type="gramEnd"/>
      <w:r w:rsidR="00321351">
        <w:t xml:space="preserve"> devītās daļas 3.punkt</w:t>
      </w:r>
      <w:r w:rsidR="00805F01">
        <w:t>u</w:t>
      </w:r>
      <w:r w:rsidR="007526A9">
        <w:rPr>
          <w:color w:val="000000" w:themeColor="text1"/>
          <w:shd w:val="clear" w:color="auto" w:fill="FFFFFF"/>
        </w:rPr>
        <w:t xml:space="preserve"> </w:t>
      </w:r>
      <w:r w:rsidR="007526A9">
        <w:t>un tas ir novedis pie nepareiza konkrētās lietas faktisko apstākļu novērtējuma</w:t>
      </w:r>
      <w:r w:rsidR="007526A9">
        <w:rPr>
          <w:color w:val="000000" w:themeColor="text1"/>
          <w:shd w:val="clear" w:color="auto" w:fill="FFFFFF"/>
        </w:rPr>
        <w:t xml:space="preserve">. Līdz ar to pieteicējas kasācijas sūdzības arguments par nepareizu piemērojamās normas interpretāciju </w:t>
      </w:r>
      <w:r w:rsidR="007E0947">
        <w:rPr>
          <w:color w:val="000000" w:themeColor="text1"/>
          <w:shd w:val="clear" w:color="auto" w:fill="FFFFFF"/>
        </w:rPr>
        <w:t xml:space="preserve">un piemērošanu </w:t>
      </w:r>
      <w:r w:rsidR="007526A9">
        <w:rPr>
          <w:color w:val="000000" w:themeColor="text1"/>
          <w:shd w:val="clear" w:color="auto" w:fill="FFFFFF"/>
        </w:rPr>
        <w:t>ir pamatots.</w:t>
      </w:r>
      <w:r w:rsidR="007E0947">
        <w:rPr>
          <w:color w:val="000000" w:themeColor="text1"/>
          <w:shd w:val="clear" w:color="auto" w:fill="FFFFFF"/>
        </w:rPr>
        <w:t xml:space="preserve"> </w:t>
      </w:r>
      <w:r w:rsidR="00805F01">
        <w:rPr>
          <w:iCs/>
        </w:rPr>
        <w:t>Tas</w:t>
      </w:r>
      <w:r w:rsidR="00756523">
        <w:rPr>
          <w:iCs/>
        </w:rPr>
        <w:t xml:space="preserve"> ir pamats </w:t>
      </w:r>
      <w:r w:rsidR="006A7D54">
        <w:rPr>
          <w:iCs/>
        </w:rPr>
        <w:t xml:space="preserve">atcelt </w:t>
      </w:r>
      <w:r w:rsidR="00CE21D5">
        <w:t>apgabal</w:t>
      </w:r>
      <w:r w:rsidR="00756523">
        <w:t xml:space="preserve">tiesas spriedumu </w:t>
      </w:r>
      <w:r w:rsidR="005D7623">
        <w:t xml:space="preserve">tā pārsūdzētajā daļā </w:t>
      </w:r>
      <w:r w:rsidR="00756523">
        <w:t>un nodot lietu jaunai izskatīšanai apelācijas instances tiesā.</w:t>
      </w:r>
    </w:p>
    <w:p w14:paraId="5A806C09" w14:textId="77777777" w:rsidR="00A650C7" w:rsidRDefault="00A650C7" w:rsidP="00EB569C">
      <w:pPr>
        <w:spacing w:line="276" w:lineRule="auto"/>
        <w:ind w:firstLine="720"/>
        <w:jc w:val="both"/>
      </w:pPr>
    </w:p>
    <w:p w14:paraId="7DFA2BC2" w14:textId="797376A8" w:rsidR="006601F4" w:rsidRPr="006601F4" w:rsidRDefault="006601F4" w:rsidP="00EB569C">
      <w:pPr>
        <w:spacing w:line="276" w:lineRule="auto"/>
        <w:ind w:firstLine="720"/>
        <w:jc w:val="both"/>
        <w:rPr>
          <w:i/>
          <w:iCs/>
        </w:rPr>
      </w:pPr>
      <w:r w:rsidRPr="006601F4">
        <w:rPr>
          <w:i/>
          <w:iCs/>
        </w:rPr>
        <w:t>Par procesuālo tiesību normu ievērošanu</w:t>
      </w:r>
    </w:p>
    <w:p w14:paraId="645E0CAC" w14:textId="03D3A227" w:rsidR="005D7623" w:rsidRDefault="00A650C7" w:rsidP="00EB569C">
      <w:pPr>
        <w:spacing w:line="276" w:lineRule="auto"/>
        <w:ind w:firstLine="720"/>
        <w:jc w:val="both"/>
      </w:pPr>
      <w:r>
        <w:t>[</w:t>
      </w:r>
      <w:r w:rsidR="005D7623">
        <w:t>10</w:t>
      </w:r>
      <w:r>
        <w:t xml:space="preserve">] </w:t>
      </w:r>
      <w:r w:rsidR="0020673B">
        <w:t xml:space="preserve">Pieteicēja, kā kasācijas pamatu norādījusi procesuālo tiesību normu pārkāpumu, novērtējot lietā pierādījumus. Pieteicēja argumentē, ka tiesai, atzīstot priekšnodokļa atskaitīšanas tiesības par starpniecības </w:t>
      </w:r>
      <w:r w:rsidR="00321351">
        <w:t>pakalpojumiem</w:t>
      </w:r>
      <w:r w:rsidR="0020673B">
        <w:t>, bija jāvērtē</w:t>
      </w:r>
      <w:r w:rsidR="00302FE6">
        <w:t xml:space="preserve">, vai Valsts ieņēmumu dienests pamatoti liedzis atskaitīt priekšnodokli par </w:t>
      </w:r>
      <w:r w:rsidR="00644633">
        <w:t xml:space="preserve">atlīdzību, ko pieteicēja samaksāja par </w:t>
      </w:r>
      <w:r w:rsidR="008D1650">
        <w:t xml:space="preserve">šo </w:t>
      </w:r>
      <w:r w:rsidR="00644633">
        <w:t xml:space="preserve">starpniecības darījumu un </w:t>
      </w:r>
      <w:r w:rsidR="0020673B">
        <w:t>kas iekļauta citā rēķinā</w:t>
      </w:r>
      <w:r w:rsidR="008D1650">
        <w:t>.</w:t>
      </w:r>
    </w:p>
    <w:p w14:paraId="5FA7EEEF" w14:textId="45FB1D28" w:rsidR="001442A0" w:rsidRDefault="0020673B" w:rsidP="00EB569C">
      <w:pPr>
        <w:spacing w:line="276" w:lineRule="auto"/>
        <w:ind w:firstLine="720"/>
        <w:jc w:val="both"/>
      </w:pPr>
      <w:r>
        <w:t>Senāts pieteicējas argumentu atzīst par pamatotu</w:t>
      </w:r>
      <w:r w:rsidR="00805F01">
        <w:t>. A</w:t>
      </w:r>
      <w:r>
        <w:t>pgabaltiesa vispār nav vērtējusi</w:t>
      </w:r>
      <w:r w:rsidR="00302FE6">
        <w:t xml:space="preserve">, vai dienests pamatoti liedzis </w:t>
      </w:r>
      <w:r w:rsidR="001442A0">
        <w:t>priekšnodok</w:t>
      </w:r>
      <w:r w:rsidR="00B62A92">
        <w:t>ļa atskaitīšanu</w:t>
      </w:r>
      <w:r w:rsidR="001442A0">
        <w:t xml:space="preserve"> par </w:t>
      </w:r>
      <w:r>
        <w:t>atlīdzību</w:t>
      </w:r>
      <w:r w:rsidR="001442A0">
        <w:t>, kas samaksāta</w:t>
      </w:r>
      <w:r>
        <w:t xml:space="preserve"> </w:t>
      </w:r>
      <w:r w:rsidR="001442A0">
        <w:t>par starpniecības</w:t>
      </w:r>
      <w:r>
        <w:t xml:space="preserve"> darījum</w:t>
      </w:r>
      <w:r w:rsidR="001442A0">
        <w:t xml:space="preserve">u. Līdz ar to Senāts atzīst, ka apgabaltiesa ir pārkāpusi Administratīvā procesa likuma </w:t>
      </w:r>
      <w:proofErr w:type="gramStart"/>
      <w:r w:rsidR="001442A0">
        <w:t>154.panta</w:t>
      </w:r>
      <w:proofErr w:type="gramEnd"/>
      <w:r w:rsidR="001442A0">
        <w:t xml:space="preserve"> </w:t>
      </w:r>
      <w:r w:rsidR="00B62A92">
        <w:t>pirmo daļu.</w:t>
      </w:r>
      <w:r w:rsidR="006A7D54">
        <w:t xml:space="preserve"> </w:t>
      </w:r>
      <w:r w:rsidR="008D1650">
        <w:t>Tādējādi</w:t>
      </w:r>
      <w:r w:rsidR="006A7D54">
        <w:t xml:space="preserve"> arī šis pārkāpums ir pamats </w:t>
      </w:r>
      <w:r w:rsidR="006A7D54">
        <w:rPr>
          <w:iCs/>
        </w:rPr>
        <w:t xml:space="preserve">atcelt </w:t>
      </w:r>
      <w:r w:rsidR="006A7D54">
        <w:t>apgabaltiesas spriedumu tā pārsūdzētajā daļā.</w:t>
      </w:r>
    </w:p>
    <w:p w14:paraId="49EAFFA3" w14:textId="77777777" w:rsidR="005D7623" w:rsidRDefault="005D7623" w:rsidP="00EB569C">
      <w:pPr>
        <w:spacing w:line="276" w:lineRule="auto"/>
        <w:ind w:firstLine="720"/>
        <w:jc w:val="both"/>
      </w:pPr>
    </w:p>
    <w:p w14:paraId="59299E82" w14:textId="77777777" w:rsidR="006601F4" w:rsidRPr="0055432D" w:rsidRDefault="006601F4" w:rsidP="00EB569C">
      <w:pPr>
        <w:spacing w:line="276" w:lineRule="auto"/>
        <w:ind w:firstLine="720"/>
        <w:jc w:val="both"/>
        <w:rPr>
          <w:i/>
          <w:iCs/>
        </w:rPr>
      </w:pPr>
      <w:r w:rsidRPr="0055432D">
        <w:rPr>
          <w:i/>
          <w:iCs/>
        </w:rPr>
        <w:t>Kopsavilkums</w:t>
      </w:r>
    </w:p>
    <w:p w14:paraId="6D4303BD" w14:textId="59D65F0B" w:rsidR="006601F4" w:rsidRPr="006601F4" w:rsidRDefault="00C40453" w:rsidP="00EB569C">
      <w:pPr>
        <w:spacing w:line="276" w:lineRule="auto"/>
        <w:ind w:firstLine="720"/>
        <w:jc w:val="both"/>
      </w:pPr>
      <w:r>
        <w:t>[</w:t>
      </w:r>
      <w:r w:rsidR="0023460A">
        <w:t>1</w:t>
      </w:r>
      <w:r w:rsidR="006601F4">
        <w:t>1</w:t>
      </w:r>
      <w:r>
        <w:t>]</w:t>
      </w:r>
      <w:r w:rsidR="005C6957">
        <w:t xml:space="preserve"> </w:t>
      </w:r>
      <w:r w:rsidR="0055432D">
        <w:t>Ņemot vērā iepriekš minēto, secināms, ka apgabaltiesa pieteikumu noraidījusi</w:t>
      </w:r>
      <w:r w:rsidR="00AE474A">
        <w:t xml:space="preserve"> daļā</w:t>
      </w:r>
      <w:r w:rsidR="00D61A0A">
        <w:t>,</w:t>
      </w:r>
      <w:r w:rsidR="00AE474A">
        <w:t xml:space="preserve"> </w:t>
      </w:r>
      <w:r w:rsidR="0055432D">
        <w:t>nepareizi interpretēj</w:t>
      </w:r>
      <w:r w:rsidR="00AE474A">
        <w:t>ot</w:t>
      </w:r>
      <w:r w:rsidR="0055432D">
        <w:t xml:space="preserve"> un piemēroj</w:t>
      </w:r>
      <w:r w:rsidR="00AE474A">
        <w:t>ot</w:t>
      </w:r>
      <w:r w:rsidR="0055432D">
        <w:t xml:space="preserve"> Pievienotās vērtības nodokļa likuma </w:t>
      </w:r>
      <w:proofErr w:type="gramStart"/>
      <w:r w:rsidR="0020673B">
        <w:t>34.panta</w:t>
      </w:r>
      <w:proofErr w:type="gramEnd"/>
      <w:r w:rsidR="0020673B">
        <w:t xml:space="preserve"> devītās daļas 3.punktu, kā arī </w:t>
      </w:r>
      <w:r w:rsidR="006601F4">
        <w:t xml:space="preserve">pieļaujot Administratīvā procesa likuma </w:t>
      </w:r>
      <w:r w:rsidR="006601F4">
        <w:lastRenderedPageBreak/>
        <w:t>154.pa</w:t>
      </w:r>
      <w:r w:rsidR="00321351">
        <w:t>n</w:t>
      </w:r>
      <w:r w:rsidR="006601F4">
        <w:t xml:space="preserve">ta pirmās daļas pārkāpumu, </w:t>
      </w:r>
      <w:r w:rsidR="0020673B">
        <w:t>nepilnīgi novērtējot pierādījumus lietā.</w:t>
      </w:r>
      <w:r w:rsidR="00A650C7">
        <w:t xml:space="preserve"> Tādēļ spriedums</w:t>
      </w:r>
      <w:r w:rsidR="006601F4">
        <w:t xml:space="preserve"> tā pārsūdzētajā daļā</w:t>
      </w:r>
      <w:r w:rsidR="00A650C7">
        <w:t xml:space="preserve"> ir atceļams un lieta nosūtāma jaunai izskatīšanai Administratīvajai apgabaltiesai.</w:t>
      </w:r>
      <w:r w:rsidR="006601F4">
        <w:t xml:space="preserve"> Līdz ar to </w:t>
      </w:r>
      <w:r w:rsidR="006601F4" w:rsidRPr="00AA0738">
        <w:rPr>
          <w:rFonts w:asciiTheme="majorBidi" w:hAnsiTheme="majorBidi" w:cstheme="majorBidi"/>
        </w:rPr>
        <w:t xml:space="preserve">Senāts izvērsti neatbildēs uz pārējiem kasācijas sūdzības argumentiem. </w:t>
      </w:r>
    </w:p>
    <w:p w14:paraId="3EF35C3A" w14:textId="1009090F" w:rsidR="006601F4" w:rsidRPr="00AC4850" w:rsidRDefault="006601F4" w:rsidP="00EB569C">
      <w:pPr>
        <w:autoSpaceDE w:val="0"/>
        <w:autoSpaceDN w:val="0"/>
        <w:adjustRightInd w:val="0"/>
        <w:spacing w:line="276" w:lineRule="auto"/>
        <w:ind w:firstLine="720"/>
        <w:jc w:val="both"/>
        <w:rPr>
          <w:rFonts w:asciiTheme="majorBidi" w:hAnsiTheme="majorBidi" w:cstheme="majorBidi"/>
        </w:rPr>
      </w:pPr>
      <w:r w:rsidRPr="00AA0738">
        <w:rPr>
          <w:rFonts w:asciiTheme="majorBidi" w:hAnsiTheme="majorBidi" w:cstheme="majorBidi"/>
        </w:rPr>
        <w:t xml:space="preserve">Tomēr, ievērojot procesuālās ekonomijas principu, Senāts uzskata par nepieciešamu vērst apgabaltiesas uzmanību uz Senāta </w:t>
      </w:r>
      <w:r w:rsidR="00AC4850">
        <w:t>iepriekš</w:t>
      </w:r>
      <w:r w:rsidR="00AC4850">
        <w:rPr>
          <w:color w:val="000000"/>
        </w:rPr>
        <w:t xml:space="preserve"> </w:t>
      </w:r>
      <w:r w:rsidRPr="00AA0738">
        <w:rPr>
          <w:rFonts w:asciiTheme="majorBidi" w:hAnsiTheme="majorBidi" w:cstheme="majorBidi"/>
        </w:rPr>
        <w:t>norādīto šajā lietā</w:t>
      </w:r>
      <w:r w:rsidR="00AC4850">
        <w:rPr>
          <w:rFonts w:asciiTheme="majorBidi" w:hAnsiTheme="majorBidi" w:cstheme="majorBidi"/>
        </w:rPr>
        <w:t>: p</w:t>
      </w:r>
      <w:r w:rsidRPr="00AA0738">
        <w:rPr>
          <w:rFonts w:asciiTheme="majorBidi" w:eastAsiaTheme="minorHAnsi" w:hAnsiTheme="majorBidi" w:cstheme="majorBidi"/>
          <w:lang w:eastAsia="en-US"/>
        </w:rPr>
        <w:t>ievienotās vērtības nodokļa neitralitātes principa nodrošināšanas nolūkos tiesa</w:t>
      </w:r>
      <w:r>
        <w:rPr>
          <w:rFonts w:asciiTheme="majorBidi" w:eastAsiaTheme="minorHAnsi" w:hAnsiTheme="majorBidi" w:cstheme="majorBidi"/>
          <w:lang w:eastAsia="en-US"/>
        </w:rPr>
        <w:t>i</w:t>
      </w:r>
      <w:r w:rsidRPr="00AA0738">
        <w:rPr>
          <w:rFonts w:asciiTheme="majorBidi" w:eastAsiaTheme="minorHAnsi" w:hAnsiTheme="majorBidi" w:cstheme="majorBidi"/>
          <w:lang w:eastAsia="en-US"/>
        </w:rPr>
        <w:t xml:space="preserve"> izskatāmajā gadījumā </w:t>
      </w:r>
      <w:r>
        <w:rPr>
          <w:rFonts w:asciiTheme="majorBidi" w:eastAsiaTheme="minorHAnsi" w:hAnsiTheme="majorBidi" w:cstheme="majorBidi"/>
          <w:lang w:eastAsia="en-US"/>
        </w:rPr>
        <w:t xml:space="preserve">ir pamats </w:t>
      </w:r>
      <w:r w:rsidRPr="00AA0738">
        <w:rPr>
          <w:rFonts w:asciiTheme="majorBidi" w:eastAsiaTheme="minorHAnsi" w:hAnsiTheme="majorBidi" w:cstheme="majorBidi"/>
          <w:lang w:eastAsia="en-US"/>
        </w:rPr>
        <w:t xml:space="preserve">noskaidrot iemeslus, kāpēc </w:t>
      </w:r>
      <w:r>
        <w:rPr>
          <w:rFonts w:asciiTheme="majorBidi" w:eastAsiaTheme="minorHAnsi" w:hAnsiTheme="majorBidi" w:cstheme="majorBidi"/>
          <w:lang w:eastAsia="en-US"/>
        </w:rPr>
        <w:t xml:space="preserve">Valsts ieņēmumu </w:t>
      </w:r>
      <w:r w:rsidRPr="00AA0738">
        <w:rPr>
          <w:rFonts w:asciiTheme="majorBidi" w:eastAsiaTheme="minorHAnsi" w:hAnsiTheme="majorBidi" w:cstheme="majorBidi"/>
          <w:lang w:eastAsia="en-US"/>
        </w:rPr>
        <w:t>dienests vienu un to pašu darījumu ir vērtējis atšķirīgi, kā rezultātā ir veicis arī atšķirīgas nodokļa korekcijas. Vienlaikus ir jāpatur prātā, ka, pārbaudot pārsūdzētā administratīvā akta tiesiskumu, tiesa var ņemt vērā tikai administratīvajā aktā norādīto pamatojumu.</w:t>
      </w:r>
    </w:p>
    <w:p w14:paraId="6DE63152" w14:textId="77777777" w:rsidR="006601F4" w:rsidRPr="00891F52" w:rsidRDefault="006601F4" w:rsidP="00EB569C">
      <w:pPr>
        <w:spacing w:line="276" w:lineRule="auto"/>
        <w:ind w:firstLine="720"/>
        <w:jc w:val="both"/>
      </w:pPr>
    </w:p>
    <w:p w14:paraId="46830BC2" w14:textId="77777777" w:rsidR="00974E53" w:rsidRPr="00EC00F0" w:rsidRDefault="00974E53" w:rsidP="00EB569C">
      <w:pPr>
        <w:spacing w:line="276" w:lineRule="auto"/>
        <w:contextualSpacing/>
        <w:jc w:val="center"/>
        <w:rPr>
          <w:b/>
        </w:rPr>
      </w:pPr>
      <w:r w:rsidRPr="00EC00F0">
        <w:rPr>
          <w:b/>
        </w:rPr>
        <w:t>Rezolutīvā daļa</w:t>
      </w:r>
    </w:p>
    <w:p w14:paraId="4EEFE9E9" w14:textId="77777777" w:rsidR="00206E28" w:rsidRDefault="00206E28" w:rsidP="00EB569C">
      <w:pPr>
        <w:pStyle w:val="Title"/>
        <w:spacing w:line="276" w:lineRule="auto"/>
        <w:ind w:firstLine="720"/>
        <w:jc w:val="both"/>
        <w:rPr>
          <w:sz w:val="24"/>
          <w:szCs w:val="24"/>
        </w:rPr>
      </w:pPr>
    </w:p>
    <w:p w14:paraId="7F504E52" w14:textId="77777777" w:rsidR="00907691" w:rsidRPr="007448E3" w:rsidRDefault="00907691" w:rsidP="00EB569C">
      <w:pPr>
        <w:spacing w:line="276" w:lineRule="auto"/>
        <w:ind w:firstLine="720"/>
        <w:jc w:val="both"/>
      </w:pPr>
      <w:r w:rsidRPr="007448E3">
        <w:t xml:space="preserve">Pamatojoties uz </w:t>
      </w:r>
      <w:r w:rsidRPr="007448E3">
        <w:rPr>
          <w:rFonts w:eastAsiaTheme="minorHAnsi"/>
          <w:lang w:eastAsia="en-US"/>
        </w:rPr>
        <w:t xml:space="preserve">Administratīvā procesa likuma </w:t>
      </w:r>
      <w:r w:rsidRPr="007448E3">
        <w:t>129.</w:t>
      </w:r>
      <w:proofErr w:type="gramStart"/>
      <w:r w:rsidRPr="007448E3">
        <w:rPr>
          <w:vertAlign w:val="superscript"/>
        </w:rPr>
        <w:t>1</w:t>
      </w:r>
      <w:r w:rsidRPr="007448E3">
        <w:t>panta</w:t>
      </w:r>
      <w:proofErr w:type="gramEnd"/>
      <w:r w:rsidRPr="007448E3">
        <w:t xml:space="preserve"> pirmās daļas 1.punktu, 348.panta pirmās daļas 2.punktu un 351.pantu, Senāts</w:t>
      </w:r>
    </w:p>
    <w:p w14:paraId="178388A6" w14:textId="77777777" w:rsidR="00A14253" w:rsidRDefault="00A14253" w:rsidP="00EB569C">
      <w:pPr>
        <w:pStyle w:val="Title"/>
        <w:spacing w:line="276" w:lineRule="auto"/>
        <w:ind w:firstLine="720"/>
        <w:jc w:val="both"/>
        <w:rPr>
          <w:sz w:val="24"/>
          <w:szCs w:val="24"/>
        </w:rPr>
      </w:pPr>
    </w:p>
    <w:p w14:paraId="53C5D34C" w14:textId="71E43674" w:rsidR="00974E53" w:rsidRDefault="00944CB2" w:rsidP="00EB569C">
      <w:pPr>
        <w:spacing w:line="276" w:lineRule="auto"/>
        <w:contextualSpacing/>
        <w:jc w:val="center"/>
        <w:rPr>
          <w:b/>
        </w:rPr>
      </w:pPr>
      <w:r>
        <w:rPr>
          <w:b/>
        </w:rPr>
        <w:t>n</w:t>
      </w:r>
      <w:r w:rsidR="00974E53" w:rsidRPr="00EC00F0">
        <w:rPr>
          <w:b/>
        </w:rPr>
        <w:t>osprieda</w:t>
      </w:r>
    </w:p>
    <w:p w14:paraId="22D6CF5B" w14:textId="77777777" w:rsidR="00D7646C" w:rsidRPr="00EC00F0" w:rsidRDefault="00D7646C" w:rsidP="00EB569C">
      <w:pPr>
        <w:spacing w:line="276" w:lineRule="auto"/>
        <w:ind w:firstLine="720"/>
        <w:jc w:val="center"/>
        <w:rPr>
          <w:b/>
        </w:rPr>
      </w:pPr>
    </w:p>
    <w:p w14:paraId="2D048BB2" w14:textId="1560EA5C" w:rsidR="00907691" w:rsidRDefault="00907691" w:rsidP="00EB569C">
      <w:pPr>
        <w:tabs>
          <w:tab w:val="left" w:pos="2700"/>
          <w:tab w:val="left" w:pos="6660"/>
        </w:tabs>
        <w:spacing w:line="276" w:lineRule="auto"/>
        <w:ind w:firstLine="720"/>
        <w:jc w:val="both"/>
        <w:rPr>
          <w:lang w:eastAsia="en-US"/>
        </w:rPr>
      </w:pPr>
      <w:r w:rsidRPr="00B75BCD">
        <w:t xml:space="preserve">atcelt Administratīvās apgabaltiesas </w:t>
      </w:r>
      <w:proofErr w:type="gramStart"/>
      <w:r w:rsidRPr="00B75BCD">
        <w:t>202</w:t>
      </w:r>
      <w:r w:rsidR="00F6607F">
        <w:t>3</w:t>
      </w:r>
      <w:r w:rsidRPr="00B75BCD">
        <w:t>.gada</w:t>
      </w:r>
      <w:proofErr w:type="gramEnd"/>
      <w:r w:rsidRPr="00B75BCD">
        <w:t xml:space="preserve"> 2</w:t>
      </w:r>
      <w:r w:rsidR="00F6607F">
        <w:t>7</w:t>
      </w:r>
      <w:r w:rsidRPr="00B75BCD">
        <w:t>.j</w:t>
      </w:r>
      <w:r w:rsidR="00F6607F">
        <w:t>ūlija</w:t>
      </w:r>
      <w:r w:rsidRPr="00B75BCD">
        <w:t xml:space="preserve"> spriedumu</w:t>
      </w:r>
      <w:r w:rsidR="00F6607F">
        <w:t xml:space="preserve"> daļā, ar kuru noraidīts AS „</w:t>
      </w:r>
      <w:proofErr w:type="spellStart"/>
      <w:r w:rsidR="00F6607F">
        <w:t>Baltic</w:t>
      </w:r>
      <w:proofErr w:type="spellEnd"/>
      <w:r w:rsidR="00F6607F">
        <w:t xml:space="preserve"> RE </w:t>
      </w:r>
      <w:proofErr w:type="spellStart"/>
      <w:r w:rsidR="00F6607F">
        <w:t>Group</w:t>
      </w:r>
      <w:proofErr w:type="spellEnd"/>
      <w:r w:rsidR="00F6607F">
        <w:t>” pieteikums</w:t>
      </w:r>
      <w:r w:rsidR="00846F68">
        <w:t>,</w:t>
      </w:r>
      <w:r w:rsidRPr="00B75BCD">
        <w:t xml:space="preserve"> </w:t>
      </w:r>
      <w:r w:rsidRPr="00B75BCD">
        <w:rPr>
          <w:lang w:eastAsia="en-US"/>
        </w:rPr>
        <w:t>un nosūtīt lietu</w:t>
      </w:r>
      <w:r w:rsidR="009A06AD">
        <w:rPr>
          <w:lang w:eastAsia="en-US"/>
        </w:rPr>
        <w:t xml:space="preserve"> šajā daļā</w:t>
      </w:r>
      <w:r w:rsidRPr="00B75BCD">
        <w:rPr>
          <w:lang w:eastAsia="en-US"/>
        </w:rPr>
        <w:t xml:space="preserve"> jaunai izskatīšanai Administratīvajai apgabaltiesai;</w:t>
      </w:r>
    </w:p>
    <w:p w14:paraId="0FF594E7" w14:textId="4FF9F0C1" w:rsidR="00B75BCD" w:rsidRPr="00B75BCD" w:rsidRDefault="00B75BCD" w:rsidP="00EB569C">
      <w:pPr>
        <w:tabs>
          <w:tab w:val="left" w:pos="2700"/>
          <w:tab w:val="left" w:pos="6660"/>
        </w:tabs>
        <w:spacing w:line="276" w:lineRule="auto"/>
        <w:ind w:firstLine="720"/>
        <w:jc w:val="both"/>
        <w:rPr>
          <w:lang w:eastAsia="en-US"/>
        </w:rPr>
      </w:pPr>
      <w:r w:rsidRPr="00B75BCD">
        <w:rPr>
          <w:lang w:eastAsia="en-US"/>
        </w:rPr>
        <w:t xml:space="preserve">atmaksāt </w:t>
      </w:r>
      <w:r w:rsidR="00F6607F">
        <w:t>AS „</w:t>
      </w:r>
      <w:proofErr w:type="spellStart"/>
      <w:r w:rsidR="00F6607F">
        <w:t>Baltic</w:t>
      </w:r>
      <w:proofErr w:type="spellEnd"/>
      <w:r w:rsidR="00F6607F">
        <w:t xml:space="preserve"> RE </w:t>
      </w:r>
      <w:proofErr w:type="spellStart"/>
      <w:r w:rsidR="00F6607F">
        <w:t>Group</w:t>
      </w:r>
      <w:proofErr w:type="spellEnd"/>
      <w:r w:rsidR="00F6607F">
        <w:t>”</w:t>
      </w:r>
      <w:r w:rsidRPr="00B75BCD">
        <w:rPr>
          <w:lang w:eastAsia="en-US"/>
        </w:rPr>
        <w:t xml:space="preserve"> drošības naudu 70 </w:t>
      </w:r>
      <w:proofErr w:type="spellStart"/>
      <w:r w:rsidRPr="00B75BCD">
        <w:rPr>
          <w:i/>
          <w:iCs/>
          <w:lang w:eastAsia="en-US"/>
        </w:rPr>
        <w:t>euro</w:t>
      </w:r>
      <w:proofErr w:type="spellEnd"/>
      <w:r w:rsidRPr="00B75BCD">
        <w:rPr>
          <w:lang w:eastAsia="en-US"/>
        </w:rPr>
        <w:t xml:space="preserve">. </w:t>
      </w:r>
    </w:p>
    <w:p w14:paraId="4B24AF4B" w14:textId="77777777" w:rsidR="00B75BCD" w:rsidRDefault="00B75BCD" w:rsidP="00EB569C">
      <w:pPr>
        <w:tabs>
          <w:tab w:val="left" w:pos="2700"/>
          <w:tab w:val="left" w:pos="6660"/>
        </w:tabs>
        <w:spacing w:line="276" w:lineRule="auto"/>
        <w:ind w:firstLine="720"/>
        <w:jc w:val="both"/>
        <w:rPr>
          <w:lang w:eastAsia="en-US"/>
        </w:rPr>
      </w:pPr>
    </w:p>
    <w:p w14:paraId="3C7C073A" w14:textId="5282E81D" w:rsidR="00B75BCD" w:rsidRDefault="00B75BCD" w:rsidP="00EB569C">
      <w:pPr>
        <w:tabs>
          <w:tab w:val="left" w:pos="2700"/>
          <w:tab w:val="left" w:pos="6660"/>
        </w:tabs>
        <w:spacing w:line="276" w:lineRule="auto"/>
        <w:ind w:firstLine="720"/>
        <w:jc w:val="both"/>
        <w:rPr>
          <w:lang w:eastAsia="en-US"/>
        </w:rPr>
      </w:pPr>
      <w:r>
        <w:rPr>
          <w:lang w:eastAsia="en-US"/>
        </w:rPr>
        <w:t>Spriedums nav pārsūdzams.</w:t>
      </w:r>
    </w:p>
    <w:p w14:paraId="7F7D23DB" w14:textId="7ED57B0C" w:rsidR="00E34077" w:rsidRDefault="00E34077" w:rsidP="00907691">
      <w:pPr>
        <w:tabs>
          <w:tab w:val="center" w:pos="1701"/>
          <w:tab w:val="center" w:pos="4536"/>
          <w:tab w:val="center" w:pos="7371"/>
        </w:tabs>
        <w:spacing w:line="276" w:lineRule="auto"/>
        <w:ind w:firstLine="720"/>
        <w:jc w:val="both"/>
      </w:pPr>
    </w:p>
    <w:p w14:paraId="038BC9EA" w14:textId="77777777" w:rsidR="00B75BCD" w:rsidRDefault="00B75BCD" w:rsidP="00907691">
      <w:pPr>
        <w:tabs>
          <w:tab w:val="center" w:pos="1701"/>
          <w:tab w:val="center" w:pos="4536"/>
          <w:tab w:val="center" w:pos="7371"/>
        </w:tabs>
        <w:spacing w:line="276" w:lineRule="auto"/>
        <w:ind w:firstLine="720"/>
        <w:jc w:val="both"/>
      </w:pPr>
    </w:p>
    <w:p w14:paraId="04759133" w14:textId="77777777" w:rsidR="00B75BCD" w:rsidRDefault="00B75BCD" w:rsidP="00907691">
      <w:pPr>
        <w:tabs>
          <w:tab w:val="center" w:pos="1701"/>
          <w:tab w:val="center" w:pos="4536"/>
          <w:tab w:val="center" w:pos="7371"/>
        </w:tabs>
        <w:spacing w:line="276" w:lineRule="auto"/>
        <w:ind w:firstLine="720"/>
        <w:jc w:val="both"/>
      </w:pPr>
    </w:p>
    <w:p w14:paraId="3E2F3C3E" w14:textId="77777777" w:rsidR="00907691" w:rsidRPr="00EC00F0" w:rsidRDefault="00907691" w:rsidP="00907691">
      <w:pPr>
        <w:tabs>
          <w:tab w:val="center" w:pos="1701"/>
          <w:tab w:val="center" w:pos="4536"/>
          <w:tab w:val="center" w:pos="7371"/>
        </w:tabs>
        <w:spacing w:line="276" w:lineRule="auto"/>
        <w:ind w:firstLine="720"/>
        <w:jc w:val="both"/>
      </w:pPr>
    </w:p>
    <w:p w14:paraId="5EDE6A2D" w14:textId="77777777" w:rsidR="00E34077" w:rsidRPr="00EC00F0" w:rsidRDefault="00E34077" w:rsidP="00193336">
      <w:pPr>
        <w:tabs>
          <w:tab w:val="center" w:pos="1701"/>
          <w:tab w:val="center" w:pos="4536"/>
          <w:tab w:val="center" w:pos="7371"/>
        </w:tabs>
        <w:spacing w:line="276" w:lineRule="auto"/>
        <w:contextualSpacing/>
        <w:jc w:val="both"/>
      </w:pPr>
    </w:p>
    <w:sectPr w:rsidR="00E34077" w:rsidRPr="00EC00F0" w:rsidSect="00867C96">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B1194" w14:textId="77777777" w:rsidR="002B4B05" w:rsidRDefault="002B4B05" w:rsidP="00F005AF">
      <w:r>
        <w:separator/>
      </w:r>
    </w:p>
  </w:endnote>
  <w:endnote w:type="continuationSeparator" w:id="0">
    <w:p w14:paraId="3C948242" w14:textId="77777777" w:rsidR="002B4B05" w:rsidRDefault="002B4B05"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31D556EC" w14:textId="038ECCD1" w:rsidR="00F005AF" w:rsidRPr="00795839" w:rsidRDefault="00F005AF" w:rsidP="0079583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2A2E0A">
              <w:rPr>
                <w:bCs/>
                <w:noProof/>
                <w:sz w:val="20"/>
                <w:szCs w:val="20"/>
              </w:rPr>
              <w:t>2</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2A2E0A">
              <w:rPr>
                <w:bCs/>
                <w:noProof/>
                <w:sz w:val="20"/>
                <w:szCs w:val="20"/>
              </w:rPr>
              <w:t>7</w:t>
            </w:r>
            <w:r w:rsidRPr="00795839">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595B5" w14:textId="77777777" w:rsidR="002B4B05" w:rsidRDefault="002B4B05" w:rsidP="00F005AF">
      <w:r>
        <w:separator/>
      </w:r>
    </w:p>
  </w:footnote>
  <w:footnote w:type="continuationSeparator" w:id="0">
    <w:p w14:paraId="1C106A3F" w14:textId="77777777" w:rsidR="002B4B05" w:rsidRDefault="002B4B05"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3C97"/>
    <w:rsid w:val="0000468D"/>
    <w:rsid w:val="00005AA6"/>
    <w:rsid w:val="00007F32"/>
    <w:rsid w:val="00012FF6"/>
    <w:rsid w:val="000139D8"/>
    <w:rsid w:val="000145D4"/>
    <w:rsid w:val="0001481D"/>
    <w:rsid w:val="0001547F"/>
    <w:rsid w:val="0002182C"/>
    <w:rsid w:val="000252AD"/>
    <w:rsid w:val="0002689C"/>
    <w:rsid w:val="00027B8C"/>
    <w:rsid w:val="00032089"/>
    <w:rsid w:val="000325CD"/>
    <w:rsid w:val="000402A9"/>
    <w:rsid w:val="0004076B"/>
    <w:rsid w:val="00041347"/>
    <w:rsid w:val="00043036"/>
    <w:rsid w:val="000433AB"/>
    <w:rsid w:val="00046976"/>
    <w:rsid w:val="000469E8"/>
    <w:rsid w:val="00047B0D"/>
    <w:rsid w:val="00050899"/>
    <w:rsid w:val="000508B2"/>
    <w:rsid w:val="0005168D"/>
    <w:rsid w:val="00054BCD"/>
    <w:rsid w:val="000555EE"/>
    <w:rsid w:val="00055771"/>
    <w:rsid w:val="00055B04"/>
    <w:rsid w:val="00055E64"/>
    <w:rsid w:val="00057A6B"/>
    <w:rsid w:val="00061BB1"/>
    <w:rsid w:val="00063E57"/>
    <w:rsid w:val="000641B8"/>
    <w:rsid w:val="00065FAA"/>
    <w:rsid w:val="00067DB7"/>
    <w:rsid w:val="0007243B"/>
    <w:rsid w:val="00072BDC"/>
    <w:rsid w:val="00072E75"/>
    <w:rsid w:val="00073811"/>
    <w:rsid w:val="00075846"/>
    <w:rsid w:val="00081CD0"/>
    <w:rsid w:val="00082553"/>
    <w:rsid w:val="00083FFD"/>
    <w:rsid w:val="0008583E"/>
    <w:rsid w:val="00085D29"/>
    <w:rsid w:val="0008753F"/>
    <w:rsid w:val="00087BA9"/>
    <w:rsid w:val="0009244F"/>
    <w:rsid w:val="00094700"/>
    <w:rsid w:val="0009691F"/>
    <w:rsid w:val="00096E73"/>
    <w:rsid w:val="000A0856"/>
    <w:rsid w:val="000A0B4B"/>
    <w:rsid w:val="000A4B6F"/>
    <w:rsid w:val="000A4B77"/>
    <w:rsid w:val="000A6741"/>
    <w:rsid w:val="000A785A"/>
    <w:rsid w:val="000A7AFB"/>
    <w:rsid w:val="000B1457"/>
    <w:rsid w:val="000C23D8"/>
    <w:rsid w:val="000C3889"/>
    <w:rsid w:val="000C4544"/>
    <w:rsid w:val="000C60CC"/>
    <w:rsid w:val="000C6686"/>
    <w:rsid w:val="000D27C9"/>
    <w:rsid w:val="000D46EE"/>
    <w:rsid w:val="000D5F0C"/>
    <w:rsid w:val="000D6D04"/>
    <w:rsid w:val="000D70A9"/>
    <w:rsid w:val="000E3EFD"/>
    <w:rsid w:val="000E5B95"/>
    <w:rsid w:val="000F42C6"/>
    <w:rsid w:val="000F4C17"/>
    <w:rsid w:val="001002EC"/>
    <w:rsid w:val="00100D6A"/>
    <w:rsid w:val="001023F3"/>
    <w:rsid w:val="00105AB7"/>
    <w:rsid w:val="001064D6"/>
    <w:rsid w:val="00110F5F"/>
    <w:rsid w:val="00111B55"/>
    <w:rsid w:val="00113AFC"/>
    <w:rsid w:val="00114B3A"/>
    <w:rsid w:val="00114CC4"/>
    <w:rsid w:val="00121DA4"/>
    <w:rsid w:val="00123E35"/>
    <w:rsid w:val="00126FDF"/>
    <w:rsid w:val="00130158"/>
    <w:rsid w:val="001317CF"/>
    <w:rsid w:val="0013233E"/>
    <w:rsid w:val="0013465D"/>
    <w:rsid w:val="00134D67"/>
    <w:rsid w:val="00135652"/>
    <w:rsid w:val="00135DF9"/>
    <w:rsid w:val="001360A2"/>
    <w:rsid w:val="00141B34"/>
    <w:rsid w:val="001442A0"/>
    <w:rsid w:val="00144805"/>
    <w:rsid w:val="001475CB"/>
    <w:rsid w:val="00150338"/>
    <w:rsid w:val="00150CFF"/>
    <w:rsid w:val="001569D4"/>
    <w:rsid w:val="00156D44"/>
    <w:rsid w:val="00162007"/>
    <w:rsid w:val="00162213"/>
    <w:rsid w:val="00166312"/>
    <w:rsid w:val="001709E5"/>
    <w:rsid w:val="00174151"/>
    <w:rsid w:val="00174DF5"/>
    <w:rsid w:val="00174EE1"/>
    <w:rsid w:val="00181366"/>
    <w:rsid w:val="00182DD6"/>
    <w:rsid w:val="00183AD6"/>
    <w:rsid w:val="00184C46"/>
    <w:rsid w:val="00185CE5"/>
    <w:rsid w:val="001866B1"/>
    <w:rsid w:val="00186D74"/>
    <w:rsid w:val="00193336"/>
    <w:rsid w:val="001952C3"/>
    <w:rsid w:val="00197126"/>
    <w:rsid w:val="001A085D"/>
    <w:rsid w:val="001A385A"/>
    <w:rsid w:val="001A587C"/>
    <w:rsid w:val="001B2335"/>
    <w:rsid w:val="001B7A9B"/>
    <w:rsid w:val="001B7FDB"/>
    <w:rsid w:val="001C2FF9"/>
    <w:rsid w:val="001D0737"/>
    <w:rsid w:val="001D1194"/>
    <w:rsid w:val="001D1AC7"/>
    <w:rsid w:val="001D293F"/>
    <w:rsid w:val="001D33EE"/>
    <w:rsid w:val="001D43F0"/>
    <w:rsid w:val="001D4757"/>
    <w:rsid w:val="001D553D"/>
    <w:rsid w:val="001D58B0"/>
    <w:rsid w:val="001D68F1"/>
    <w:rsid w:val="001D7016"/>
    <w:rsid w:val="001E1819"/>
    <w:rsid w:val="001E2A98"/>
    <w:rsid w:val="001E6D85"/>
    <w:rsid w:val="001F22A8"/>
    <w:rsid w:val="001F3C17"/>
    <w:rsid w:val="001F3DFE"/>
    <w:rsid w:val="001F4E54"/>
    <w:rsid w:val="001F6887"/>
    <w:rsid w:val="001F7983"/>
    <w:rsid w:val="002003C7"/>
    <w:rsid w:val="00203EB3"/>
    <w:rsid w:val="0020673B"/>
    <w:rsid w:val="00206E28"/>
    <w:rsid w:val="0021560F"/>
    <w:rsid w:val="0022214C"/>
    <w:rsid w:val="00231310"/>
    <w:rsid w:val="002318D8"/>
    <w:rsid w:val="00231C5A"/>
    <w:rsid w:val="00232C00"/>
    <w:rsid w:val="00233753"/>
    <w:rsid w:val="00233A9E"/>
    <w:rsid w:val="002345BA"/>
    <w:rsid w:val="0023460A"/>
    <w:rsid w:val="002355E7"/>
    <w:rsid w:val="002401A5"/>
    <w:rsid w:val="002415C7"/>
    <w:rsid w:val="0024176E"/>
    <w:rsid w:val="0024218E"/>
    <w:rsid w:val="00245915"/>
    <w:rsid w:val="0024664F"/>
    <w:rsid w:val="0025186D"/>
    <w:rsid w:val="0025570B"/>
    <w:rsid w:val="00255E35"/>
    <w:rsid w:val="00261F16"/>
    <w:rsid w:val="002638FC"/>
    <w:rsid w:val="00264420"/>
    <w:rsid w:val="0026562D"/>
    <w:rsid w:val="00265750"/>
    <w:rsid w:val="002662EE"/>
    <w:rsid w:val="00267CE2"/>
    <w:rsid w:val="00270C44"/>
    <w:rsid w:val="00272A27"/>
    <w:rsid w:val="00274AF3"/>
    <w:rsid w:val="00276F49"/>
    <w:rsid w:val="00281C46"/>
    <w:rsid w:val="00282339"/>
    <w:rsid w:val="00286638"/>
    <w:rsid w:val="00287096"/>
    <w:rsid w:val="0028788C"/>
    <w:rsid w:val="002905CD"/>
    <w:rsid w:val="0029072A"/>
    <w:rsid w:val="002947CA"/>
    <w:rsid w:val="00294959"/>
    <w:rsid w:val="0029558D"/>
    <w:rsid w:val="00297328"/>
    <w:rsid w:val="002A1B2F"/>
    <w:rsid w:val="002A2405"/>
    <w:rsid w:val="002A2E0A"/>
    <w:rsid w:val="002A57F2"/>
    <w:rsid w:val="002A7A91"/>
    <w:rsid w:val="002B0ABE"/>
    <w:rsid w:val="002B1F49"/>
    <w:rsid w:val="002B2F7B"/>
    <w:rsid w:val="002B4B05"/>
    <w:rsid w:val="002B69A0"/>
    <w:rsid w:val="002B6F03"/>
    <w:rsid w:val="002C27EA"/>
    <w:rsid w:val="002C2AE3"/>
    <w:rsid w:val="002C3088"/>
    <w:rsid w:val="002C357E"/>
    <w:rsid w:val="002C3BBB"/>
    <w:rsid w:val="002C5DD3"/>
    <w:rsid w:val="002C6F0B"/>
    <w:rsid w:val="002D0E86"/>
    <w:rsid w:val="002D16F8"/>
    <w:rsid w:val="002D26F5"/>
    <w:rsid w:val="002D276F"/>
    <w:rsid w:val="002D3593"/>
    <w:rsid w:val="002D3D30"/>
    <w:rsid w:val="002D5308"/>
    <w:rsid w:val="002D5A60"/>
    <w:rsid w:val="002D7377"/>
    <w:rsid w:val="002E0C7B"/>
    <w:rsid w:val="002E1047"/>
    <w:rsid w:val="002E21D9"/>
    <w:rsid w:val="002E342E"/>
    <w:rsid w:val="002E34AC"/>
    <w:rsid w:val="002E3713"/>
    <w:rsid w:val="002E4CC2"/>
    <w:rsid w:val="002E59F1"/>
    <w:rsid w:val="002E67A0"/>
    <w:rsid w:val="002F0082"/>
    <w:rsid w:val="002F75AD"/>
    <w:rsid w:val="002F7739"/>
    <w:rsid w:val="00302C0F"/>
    <w:rsid w:val="00302F32"/>
    <w:rsid w:val="00302FE6"/>
    <w:rsid w:val="0030391B"/>
    <w:rsid w:val="00304080"/>
    <w:rsid w:val="00304B5A"/>
    <w:rsid w:val="00305275"/>
    <w:rsid w:val="00306623"/>
    <w:rsid w:val="00306AFE"/>
    <w:rsid w:val="0030781A"/>
    <w:rsid w:val="00307C63"/>
    <w:rsid w:val="0031019D"/>
    <w:rsid w:val="00316E37"/>
    <w:rsid w:val="00316F91"/>
    <w:rsid w:val="00320A94"/>
    <w:rsid w:val="00320E9C"/>
    <w:rsid w:val="003211C6"/>
    <w:rsid w:val="00321351"/>
    <w:rsid w:val="00321F9E"/>
    <w:rsid w:val="0032362C"/>
    <w:rsid w:val="00325595"/>
    <w:rsid w:val="003264B2"/>
    <w:rsid w:val="00326538"/>
    <w:rsid w:val="00326B9F"/>
    <w:rsid w:val="00327011"/>
    <w:rsid w:val="00332133"/>
    <w:rsid w:val="00336679"/>
    <w:rsid w:val="00337CE4"/>
    <w:rsid w:val="003405D2"/>
    <w:rsid w:val="00341CAC"/>
    <w:rsid w:val="003424A5"/>
    <w:rsid w:val="003424EC"/>
    <w:rsid w:val="003451A4"/>
    <w:rsid w:val="00345F82"/>
    <w:rsid w:val="0034615E"/>
    <w:rsid w:val="00347158"/>
    <w:rsid w:val="00347C6A"/>
    <w:rsid w:val="003501FE"/>
    <w:rsid w:val="00350295"/>
    <w:rsid w:val="003554CF"/>
    <w:rsid w:val="0035629C"/>
    <w:rsid w:val="00356C83"/>
    <w:rsid w:val="00356F71"/>
    <w:rsid w:val="00357099"/>
    <w:rsid w:val="0035785C"/>
    <w:rsid w:val="00357A87"/>
    <w:rsid w:val="003631F1"/>
    <w:rsid w:val="00363760"/>
    <w:rsid w:val="00363E4F"/>
    <w:rsid w:val="00365388"/>
    <w:rsid w:val="00376506"/>
    <w:rsid w:val="00380BF2"/>
    <w:rsid w:val="003811BA"/>
    <w:rsid w:val="00383C5B"/>
    <w:rsid w:val="00386AEF"/>
    <w:rsid w:val="003877BE"/>
    <w:rsid w:val="00387B40"/>
    <w:rsid w:val="00387F98"/>
    <w:rsid w:val="00391966"/>
    <w:rsid w:val="0039346A"/>
    <w:rsid w:val="003965B4"/>
    <w:rsid w:val="00397FEB"/>
    <w:rsid w:val="003A0157"/>
    <w:rsid w:val="003A0489"/>
    <w:rsid w:val="003A6564"/>
    <w:rsid w:val="003A759E"/>
    <w:rsid w:val="003B66FA"/>
    <w:rsid w:val="003C3173"/>
    <w:rsid w:val="003C3EDD"/>
    <w:rsid w:val="003C42C4"/>
    <w:rsid w:val="003C4C9D"/>
    <w:rsid w:val="003C63BB"/>
    <w:rsid w:val="003D1A13"/>
    <w:rsid w:val="003D44F2"/>
    <w:rsid w:val="003D49A2"/>
    <w:rsid w:val="003E1F54"/>
    <w:rsid w:val="003E2DE7"/>
    <w:rsid w:val="003E369D"/>
    <w:rsid w:val="003F11D7"/>
    <w:rsid w:val="003F3598"/>
    <w:rsid w:val="003F39A2"/>
    <w:rsid w:val="003F5D74"/>
    <w:rsid w:val="003F690A"/>
    <w:rsid w:val="004038CE"/>
    <w:rsid w:val="004042DC"/>
    <w:rsid w:val="00404B95"/>
    <w:rsid w:val="00405E39"/>
    <w:rsid w:val="00406010"/>
    <w:rsid w:val="00412372"/>
    <w:rsid w:val="00412CE4"/>
    <w:rsid w:val="00414066"/>
    <w:rsid w:val="004148C5"/>
    <w:rsid w:val="00414A8D"/>
    <w:rsid w:val="00415877"/>
    <w:rsid w:val="00415A79"/>
    <w:rsid w:val="0041733C"/>
    <w:rsid w:val="0041768A"/>
    <w:rsid w:val="004203B6"/>
    <w:rsid w:val="00422965"/>
    <w:rsid w:val="00424E67"/>
    <w:rsid w:val="004255A2"/>
    <w:rsid w:val="00427A9A"/>
    <w:rsid w:val="00427D98"/>
    <w:rsid w:val="00432DF1"/>
    <w:rsid w:val="00435E1B"/>
    <w:rsid w:val="00436BA3"/>
    <w:rsid w:val="00436EF3"/>
    <w:rsid w:val="00442666"/>
    <w:rsid w:val="004429E8"/>
    <w:rsid w:val="00442B0D"/>
    <w:rsid w:val="004430D0"/>
    <w:rsid w:val="0044447C"/>
    <w:rsid w:val="00450CEA"/>
    <w:rsid w:val="00451131"/>
    <w:rsid w:val="00451BF8"/>
    <w:rsid w:val="00452BC6"/>
    <w:rsid w:val="0045337D"/>
    <w:rsid w:val="00456371"/>
    <w:rsid w:val="0046443E"/>
    <w:rsid w:val="004650F8"/>
    <w:rsid w:val="00467980"/>
    <w:rsid w:val="004716C4"/>
    <w:rsid w:val="00472B70"/>
    <w:rsid w:val="004748E9"/>
    <w:rsid w:val="00476273"/>
    <w:rsid w:val="00477E5C"/>
    <w:rsid w:val="00484733"/>
    <w:rsid w:val="00484C76"/>
    <w:rsid w:val="00484DD8"/>
    <w:rsid w:val="00486FFF"/>
    <w:rsid w:val="00490568"/>
    <w:rsid w:val="004968A6"/>
    <w:rsid w:val="00497E33"/>
    <w:rsid w:val="004A69FD"/>
    <w:rsid w:val="004B0950"/>
    <w:rsid w:val="004B186B"/>
    <w:rsid w:val="004B3AB3"/>
    <w:rsid w:val="004B685A"/>
    <w:rsid w:val="004B7F6F"/>
    <w:rsid w:val="004C2EFA"/>
    <w:rsid w:val="004C2F59"/>
    <w:rsid w:val="004C379F"/>
    <w:rsid w:val="004C4AE6"/>
    <w:rsid w:val="004C66C3"/>
    <w:rsid w:val="004D126E"/>
    <w:rsid w:val="004D37E2"/>
    <w:rsid w:val="004D39CA"/>
    <w:rsid w:val="004D532A"/>
    <w:rsid w:val="004D635E"/>
    <w:rsid w:val="004E3687"/>
    <w:rsid w:val="004E43E5"/>
    <w:rsid w:val="004E4E2B"/>
    <w:rsid w:val="004E788C"/>
    <w:rsid w:val="004E7B9D"/>
    <w:rsid w:val="004F0411"/>
    <w:rsid w:val="004F199A"/>
    <w:rsid w:val="004F2DD9"/>
    <w:rsid w:val="004F315A"/>
    <w:rsid w:val="004F31C8"/>
    <w:rsid w:val="004F3D0B"/>
    <w:rsid w:val="00502578"/>
    <w:rsid w:val="005025DB"/>
    <w:rsid w:val="00505947"/>
    <w:rsid w:val="00505E19"/>
    <w:rsid w:val="00507A14"/>
    <w:rsid w:val="00507AA2"/>
    <w:rsid w:val="00512820"/>
    <w:rsid w:val="00513053"/>
    <w:rsid w:val="00515836"/>
    <w:rsid w:val="00515E02"/>
    <w:rsid w:val="0052087D"/>
    <w:rsid w:val="00520D68"/>
    <w:rsid w:val="005249BF"/>
    <w:rsid w:val="005254D3"/>
    <w:rsid w:val="00530282"/>
    <w:rsid w:val="00533E54"/>
    <w:rsid w:val="005361BF"/>
    <w:rsid w:val="0054177F"/>
    <w:rsid w:val="00543D8B"/>
    <w:rsid w:val="00544C94"/>
    <w:rsid w:val="00544DFC"/>
    <w:rsid w:val="00545B88"/>
    <w:rsid w:val="0054662C"/>
    <w:rsid w:val="00547FC6"/>
    <w:rsid w:val="00550CD7"/>
    <w:rsid w:val="0055225A"/>
    <w:rsid w:val="0055288D"/>
    <w:rsid w:val="0055432D"/>
    <w:rsid w:val="00554CE7"/>
    <w:rsid w:val="00554EA2"/>
    <w:rsid w:val="005566F8"/>
    <w:rsid w:val="00557FE0"/>
    <w:rsid w:val="00561FBE"/>
    <w:rsid w:val="00562F4C"/>
    <w:rsid w:val="00564907"/>
    <w:rsid w:val="00564F53"/>
    <w:rsid w:val="005654A7"/>
    <w:rsid w:val="00570045"/>
    <w:rsid w:val="00570292"/>
    <w:rsid w:val="005718E1"/>
    <w:rsid w:val="00572121"/>
    <w:rsid w:val="005728D2"/>
    <w:rsid w:val="00580F7A"/>
    <w:rsid w:val="00583777"/>
    <w:rsid w:val="005843CD"/>
    <w:rsid w:val="00587964"/>
    <w:rsid w:val="00590577"/>
    <w:rsid w:val="005933D9"/>
    <w:rsid w:val="00593A7A"/>
    <w:rsid w:val="005946A5"/>
    <w:rsid w:val="00596A6E"/>
    <w:rsid w:val="005A1E86"/>
    <w:rsid w:val="005A30AB"/>
    <w:rsid w:val="005A31AA"/>
    <w:rsid w:val="005A3781"/>
    <w:rsid w:val="005A3D5B"/>
    <w:rsid w:val="005A4220"/>
    <w:rsid w:val="005A5D6F"/>
    <w:rsid w:val="005A6FFE"/>
    <w:rsid w:val="005B313C"/>
    <w:rsid w:val="005B5437"/>
    <w:rsid w:val="005B67F8"/>
    <w:rsid w:val="005C07E0"/>
    <w:rsid w:val="005C1984"/>
    <w:rsid w:val="005C2CE8"/>
    <w:rsid w:val="005C30FA"/>
    <w:rsid w:val="005C3F92"/>
    <w:rsid w:val="005C423A"/>
    <w:rsid w:val="005C4A67"/>
    <w:rsid w:val="005C5CDC"/>
    <w:rsid w:val="005C6957"/>
    <w:rsid w:val="005D1AD6"/>
    <w:rsid w:val="005D7623"/>
    <w:rsid w:val="005D786E"/>
    <w:rsid w:val="005E06FB"/>
    <w:rsid w:val="005E36D9"/>
    <w:rsid w:val="005E58DD"/>
    <w:rsid w:val="005E7430"/>
    <w:rsid w:val="005E798B"/>
    <w:rsid w:val="005F1FE9"/>
    <w:rsid w:val="005F2654"/>
    <w:rsid w:val="005F5A63"/>
    <w:rsid w:val="005F757B"/>
    <w:rsid w:val="0060086E"/>
    <w:rsid w:val="00600C0A"/>
    <w:rsid w:val="00603D1A"/>
    <w:rsid w:val="00603DBD"/>
    <w:rsid w:val="00604763"/>
    <w:rsid w:val="00605846"/>
    <w:rsid w:val="00606089"/>
    <w:rsid w:val="00606A63"/>
    <w:rsid w:val="00607475"/>
    <w:rsid w:val="0060774D"/>
    <w:rsid w:val="00610A8B"/>
    <w:rsid w:val="00612700"/>
    <w:rsid w:val="00613C36"/>
    <w:rsid w:val="00613FCA"/>
    <w:rsid w:val="0061749A"/>
    <w:rsid w:val="00617A37"/>
    <w:rsid w:val="00620207"/>
    <w:rsid w:val="00620A6B"/>
    <w:rsid w:val="006210FF"/>
    <w:rsid w:val="00621B67"/>
    <w:rsid w:val="00621CA2"/>
    <w:rsid w:val="0062232B"/>
    <w:rsid w:val="00623D8A"/>
    <w:rsid w:val="00624F16"/>
    <w:rsid w:val="00626452"/>
    <w:rsid w:val="00627AB3"/>
    <w:rsid w:val="006301F2"/>
    <w:rsid w:val="00630FCC"/>
    <w:rsid w:val="0063497E"/>
    <w:rsid w:val="00634B63"/>
    <w:rsid w:val="00635A26"/>
    <w:rsid w:val="0063635C"/>
    <w:rsid w:val="00642B71"/>
    <w:rsid w:val="00644633"/>
    <w:rsid w:val="00646BF4"/>
    <w:rsid w:val="00647B0C"/>
    <w:rsid w:val="00652B40"/>
    <w:rsid w:val="00652BE2"/>
    <w:rsid w:val="00652D65"/>
    <w:rsid w:val="00654846"/>
    <w:rsid w:val="00655C4D"/>
    <w:rsid w:val="0065664E"/>
    <w:rsid w:val="00656892"/>
    <w:rsid w:val="00657721"/>
    <w:rsid w:val="006600E7"/>
    <w:rsid w:val="006601F4"/>
    <w:rsid w:val="0066091D"/>
    <w:rsid w:val="00661B5E"/>
    <w:rsid w:val="00661D4E"/>
    <w:rsid w:val="00666379"/>
    <w:rsid w:val="00667AC0"/>
    <w:rsid w:val="0067013F"/>
    <w:rsid w:val="00671599"/>
    <w:rsid w:val="006766B5"/>
    <w:rsid w:val="00677F6F"/>
    <w:rsid w:val="00681B58"/>
    <w:rsid w:val="00682186"/>
    <w:rsid w:val="00682FC0"/>
    <w:rsid w:val="006830CC"/>
    <w:rsid w:val="006839C4"/>
    <w:rsid w:val="006860FF"/>
    <w:rsid w:val="0068691A"/>
    <w:rsid w:val="00686B24"/>
    <w:rsid w:val="00687DFC"/>
    <w:rsid w:val="0069291B"/>
    <w:rsid w:val="00692A03"/>
    <w:rsid w:val="00694683"/>
    <w:rsid w:val="00694BBF"/>
    <w:rsid w:val="0069538B"/>
    <w:rsid w:val="00695400"/>
    <w:rsid w:val="0069559B"/>
    <w:rsid w:val="0069585C"/>
    <w:rsid w:val="006A19B2"/>
    <w:rsid w:val="006A19BC"/>
    <w:rsid w:val="006A19F4"/>
    <w:rsid w:val="006A25A7"/>
    <w:rsid w:val="006A5BF1"/>
    <w:rsid w:val="006A77BE"/>
    <w:rsid w:val="006A7D54"/>
    <w:rsid w:val="006B0623"/>
    <w:rsid w:val="006B44C5"/>
    <w:rsid w:val="006B5F55"/>
    <w:rsid w:val="006B66C3"/>
    <w:rsid w:val="006B6CA0"/>
    <w:rsid w:val="006C28F5"/>
    <w:rsid w:val="006D04F8"/>
    <w:rsid w:val="006D09EE"/>
    <w:rsid w:val="006D14CC"/>
    <w:rsid w:val="006D1845"/>
    <w:rsid w:val="006D6D29"/>
    <w:rsid w:val="006E119D"/>
    <w:rsid w:val="006E178B"/>
    <w:rsid w:val="006E5B90"/>
    <w:rsid w:val="006E68A7"/>
    <w:rsid w:val="006F1275"/>
    <w:rsid w:val="006F263D"/>
    <w:rsid w:val="006F26FB"/>
    <w:rsid w:val="006F2DFD"/>
    <w:rsid w:val="006F3A8D"/>
    <w:rsid w:val="006F45AC"/>
    <w:rsid w:val="00702EAB"/>
    <w:rsid w:val="00710B87"/>
    <w:rsid w:val="00711EA1"/>
    <w:rsid w:val="007167DE"/>
    <w:rsid w:val="007203AA"/>
    <w:rsid w:val="0072075C"/>
    <w:rsid w:val="00721129"/>
    <w:rsid w:val="00724985"/>
    <w:rsid w:val="00725EAB"/>
    <w:rsid w:val="0072696E"/>
    <w:rsid w:val="00726F09"/>
    <w:rsid w:val="007274D2"/>
    <w:rsid w:val="00730081"/>
    <w:rsid w:val="00731329"/>
    <w:rsid w:val="00732222"/>
    <w:rsid w:val="00737B86"/>
    <w:rsid w:val="007443BD"/>
    <w:rsid w:val="00744D66"/>
    <w:rsid w:val="00745E68"/>
    <w:rsid w:val="00745F19"/>
    <w:rsid w:val="00751E25"/>
    <w:rsid w:val="00751FBC"/>
    <w:rsid w:val="007526A9"/>
    <w:rsid w:val="00756523"/>
    <w:rsid w:val="00762FA6"/>
    <w:rsid w:val="00764193"/>
    <w:rsid w:val="007667B3"/>
    <w:rsid w:val="00767ECA"/>
    <w:rsid w:val="007708AC"/>
    <w:rsid w:val="00771590"/>
    <w:rsid w:val="0077161D"/>
    <w:rsid w:val="00777792"/>
    <w:rsid w:val="007829EE"/>
    <w:rsid w:val="00784B8C"/>
    <w:rsid w:val="00785C54"/>
    <w:rsid w:val="00793363"/>
    <w:rsid w:val="00794B0A"/>
    <w:rsid w:val="00795839"/>
    <w:rsid w:val="0079749C"/>
    <w:rsid w:val="007A285F"/>
    <w:rsid w:val="007A3CFD"/>
    <w:rsid w:val="007A4EBD"/>
    <w:rsid w:val="007A7593"/>
    <w:rsid w:val="007A7FE6"/>
    <w:rsid w:val="007B072F"/>
    <w:rsid w:val="007B0E66"/>
    <w:rsid w:val="007B5C35"/>
    <w:rsid w:val="007B6A13"/>
    <w:rsid w:val="007C003E"/>
    <w:rsid w:val="007C11E1"/>
    <w:rsid w:val="007C2BCE"/>
    <w:rsid w:val="007C2CFF"/>
    <w:rsid w:val="007C598F"/>
    <w:rsid w:val="007C644D"/>
    <w:rsid w:val="007C7882"/>
    <w:rsid w:val="007D3B71"/>
    <w:rsid w:val="007D613C"/>
    <w:rsid w:val="007E0947"/>
    <w:rsid w:val="007E10E3"/>
    <w:rsid w:val="007E515B"/>
    <w:rsid w:val="007E6891"/>
    <w:rsid w:val="007F0247"/>
    <w:rsid w:val="007F1CD5"/>
    <w:rsid w:val="007F2805"/>
    <w:rsid w:val="007F4825"/>
    <w:rsid w:val="007F502E"/>
    <w:rsid w:val="007F666B"/>
    <w:rsid w:val="007F6EDE"/>
    <w:rsid w:val="007F7E09"/>
    <w:rsid w:val="008024A4"/>
    <w:rsid w:val="0080374A"/>
    <w:rsid w:val="008043D2"/>
    <w:rsid w:val="008047C3"/>
    <w:rsid w:val="00804D7C"/>
    <w:rsid w:val="00805C7B"/>
    <w:rsid w:val="00805F01"/>
    <w:rsid w:val="00806D17"/>
    <w:rsid w:val="00807BD7"/>
    <w:rsid w:val="00810FC0"/>
    <w:rsid w:val="0081247E"/>
    <w:rsid w:val="00813474"/>
    <w:rsid w:val="00813C8F"/>
    <w:rsid w:val="0081628F"/>
    <w:rsid w:val="008171EA"/>
    <w:rsid w:val="00817206"/>
    <w:rsid w:val="00817BAB"/>
    <w:rsid w:val="0082126F"/>
    <w:rsid w:val="00835583"/>
    <w:rsid w:val="008356A0"/>
    <w:rsid w:val="00835DA5"/>
    <w:rsid w:val="00836B86"/>
    <w:rsid w:val="0084195D"/>
    <w:rsid w:val="00844A09"/>
    <w:rsid w:val="00846F68"/>
    <w:rsid w:val="008477B2"/>
    <w:rsid w:val="00850934"/>
    <w:rsid w:val="00853263"/>
    <w:rsid w:val="00854C11"/>
    <w:rsid w:val="0085519B"/>
    <w:rsid w:val="00857681"/>
    <w:rsid w:val="00857914"/>
    <w:rsid w:val="00857AA3"/>
    <w:rsid w:val="00857CAB"/>
    <w:rsid w:val="00860356"/>
    <w:rsid w:val="00860E9A"/>
    <w:rsid w:val="00861A2B"/>
    <w:rsid w:val="00863142"/>
    <w:rsid w:val="0086319F"/>
    <w:rsid w:val="00863821"/>
    <w:rsid w:val="00863C87"/>
    <w:rsid w:val="00864116"/>
    <w:rsid w:val="0086457E"/>
    <w:rsid w:val="00864743"/>
    <w:rsid w:val="00864B8F"/>
    <w:rsid w:val="00866B9E"/>
    <w:rsid w:val="00866F3C"/>
    <w:rsid w:val="00867C96"/>
    <w:rsid w:val="008700D3"/>
    <w:rsid w:val="00876C9B"/>
    <w:rsid w:val="008775B7"/>
    <w:rsid w:val="00881BFE"/>
    <w:rsid w:val="00883060"/>
    <w:rsid w:val="0088354D"/>
    <w:rsid w:val="0088419A"/>
    <w:rsid w:val="0088477C"/>
    <w:rsid w:val="00885616"/>
    <w:rsid w:val="00887B80"/>
    <w:rsid w:val="00887D51"/>
    <w:rsid w:val="008946B0"/>
    <w:rsid w:val="008A09E2"/>
    <w:rsid w:val="008A1246"/>
    <w:rsid w:val="008A1DD0"/>
    <w:rsid w:val="008A22CE"/>
    <w:rsid w:val="008A2B53"/>
    <w:rsid w:val="008A3783"/>
    <w:rsid w:val="008A5377"/>
    <w:rsid w:val="008A6E2B"/>
    <w:rsid w:val="008B0096"/>
    <w:rsid w:val="008B4583"/>
    <w:rsid w:val="008B4FD9"/>
    <w:rsid w:val="008B7097"/>
    <w:rsid w:val="008B7CCD"/>
    <w:rsid w:val="008C3515"/>
    <w:rsid w:val="008C5C05"/>
    <w:rsid w:val="008C627F"/>
    <w:rsid w:val="008C6CC7"/>
    <w:rsid w:val="008D0364"/>
    <w:rsid w:val="008D1650"/>
    <w:rsid w:val="008D2A62"/>
    <w:rsid w:val="008D3901"/>
    <w:rsid w:val="008D5D58"/>
    <w:rsid w:val="008E03B5"/>
    <w:rsid w:val="008E215C"/>
    <w:rsid w:val="008E3C76"/>
    <w:rsid w:val="008E494F"/>
    <w:rsid w:val="008F051D"/>
    <w:rsid w:val="008F5735"/>
    <w:rsid w:val="008F6175"/>
    <w:rsid w:val="00902391"/>
    <w:rsid w:val="0090516D"/>
    <w:rsid w:val="009068FF"/>
    <w:rsid w:val="00906A98"/>
    <w:rsid w:val="00907691"/>
    <w:rsid w:val="00907970"/>
    <w:rsid w:val="00910590"/>
    <w:rsid w:val="0091325A"/>
    <w:rsid w:val="009154F6"/>
    <w:rsid w:val="00917A12"/>
    <w:rsid w:val="00921DF1"/>
    <w:rsid w:val="009234C8"/>
    <w:rsid w:val="00924819"/>
    <w:rsid w:val="00925B02"/>
    <w:rsid w:val="00926BB7"/>
    <w:rsid w:val="0093106B"/>
    <w:rsid w:val="00935DD6"/>
    <w:rsid w:val="009374EB"/>
    <w:rsid w:val="00940435"/>
    <w:rsid w:val="00940451"/>
    <w:rsid w:val="00941711"/>
    <w:rsid w:val="00941A60"/>
    <w:rsid w:val="00941BA3"/>
    <w:rsid w:val="00941C76"/>
    <w:rsid w:val="00943B88"/>
    <w:rsid w:val="00944CB2"/>
    <w:rsid w:val="00945138"/>
    <w:rsid w:val="009460BC"/>
    <w:rsid w:val="009479C8"/>
    <w:rsid w:val="00950840"/>
    <w:rsid w:val="0095218C"/>
    <w:rsid w:val="009528CE"/>
    <w:rsid w:val="00952FD5"/>
    <w:rsid w:val="00953FDA"/>
    <w:rsid w:val="009565DB"/>
    <w:rsid w:val="00956C88"/>
    <w:rsid w:val="00956EC0"/>
    <w:rsid w:val="009614EF"/>
    <w:rsid w:val="00961EE1"/>
    <w:rsid w:val="00965595"/>
    <w:rsid w:val="00965641"/>
    <w:rsid w:val="00967EB6"/>
    <w:rsid w:val="00970E3B"/>
    <w:rsid w:val="009740FD"/>
    <w:rsid w:val="00974198"/>
    <w:rsid w:val="009745F1"/>
    <w:rsid w:val="00974E53"/>
    <w:rsid w:val="0097516D"/>
    <w:rsid w:val="00980DBE"/>
    <w:rsid w:val="009818E1"/>
    <w:rsid w:val="0098209F"/>
    <w:rsid w:val="00983CA2"/>
    <w:rsid w:val="009858AE"/>
    <w:rsid w:val="00986BAC"/>
    <w:rsid w:val="00987E8B"/>
    <w:rsid w:val="00987ECD"/>
    <w:rsid w:val="009938CB"/>
    <w:rsid w:val="009962F2"/>
    <w:rsid w:val="009A0536"/>
    <w:rsid w:val="009A06AD"/>
    <w:rsid w:val="009A2DAE"/>
    <w:rsid w:val="009A35B0"/>
    <w:rsid w:val="009A550C"/>
    <w:rsid w:val="009B04ED"/>
    <w:rsid w:val="009B58CC"/>
    <w:rsid w:val="009B6772"/>
    <w:rsid w:val="009B6981"/>
    <w:rsid w:val="009B725A"/>
    <w:rsid w:val="009B736A"/>
    <w:rsid w:val="009B7496"/>
    <w:rsid w:val="009B7ADA"/>
    <w:rsid w:val="009C1884"/>
    <w:rsid w:val="009C2457"/>
    <w:rsid w:val="009D48E7"/>
    <w:rsid w:val="009D55B9"/>
    <w:rsid w:val="009D56AC"/>
    <w:rsid w:val="009D5A11"/>
    <w:rsid w:val="009D663A"/>
    <w:rsid w:val="009E015B"/>
    <w:rsid w:val="009E4AE4"/>
    <w:rsid w:val="009E6E97"/>
    <w:rsid w:val="009F090B"/>
    <w:rsid w:val="009F09AD"/>
    <w:rsid w:val="009F0FE2"/>
    <w:rsid w:val="009F18B0"/>
    <w:rsid w:val="009F32A1"/>
    <w:rsid w:val="009F3A3D"/>
    <w:rsid w:val="009F4F97"/>
    <w:rsid w:val="00A06171"/>
    <w:rsid w:val="00A06243"/>
    <w:rsid w:val="00A067D2"/>
    <w:rsid w:val="00A123A8"/>
    <w:rsid w:val="00A14253"/>
    <w:rsid w:val="00A162D4"/>
    <w:rsid w:val="00A16FD1"/>
    <w:rsid w:val="00A175C1"/>
    <w:rsid w:val="00A17711"/>
    <w:rsid w:val="00A177C4"/>
    <w:rsid w:val="00A2229B"/>
    <w:rsid w:val="00A27034"/>
    <w:rsid w:val="00A30E38"/>
    <w:rsid w:val="00A31BA7"/>
    <w:rsid w:val="00A34712"/>
    <w:rsid w:val="00A34C05"/>
    <w:rsid w:val="00A35F45"/>
    <w:rsid w:val="00A37AAA"/>
    <w:rsid w:val="00A40D21"/>
    <w:rsid w:val="00A414D4"/>
    <w:rsid w:val="00A42AEC"/>
    <w:rsid w:val="00A43580"/>
    <w:rsid w:val="00A44DF1"/>
    <w:rsid w:val="00A50D2D"/>
    <w:rsid w:val="00A51BF7"/>
    <w:rsid w:val="00A52B16"/>
    <w:rsid w:val="00A544B7"/>
    <w:rsid w:val="00A55E07"/>
    <w:rsid w:val="00A6136B"/>
    <w:rsid w:val="00A61C1D"/>
    <w:rsid w:val="00A650C7"/>
    <w:rsid w:val="00A66CF8"/>
    <w:rsid w:val="00A67409"/>
    <w:rsid w:val="00A7139C"/>
    <w:rsid w:val="00A71AAE"/>
    <w:rsid w:val="00A76099"/>
    <w:rsid w:val="00A779F5"/>
    <w:rsid w:val="00A802F9"/>
    <w:rsid w:val="00A803C6"/>
    <w:rsid w:val="00A83483"/>
    <w:rsid w:val="00A83642"/>
    <w:rsid w:val="00A8441E"/>
    <w:rsid w:val="00A94283"/>
    <w:rsid w:val="00A94CB0"/>
    <w:rsid w:val="00A95A55"/>
    <w:rsid w:val="00A9664A"/>
    <w:rsid w:val="00AA0738"/>
    <w:rsid w:val="00AB2344"/>
    <w:rsid w:val="00AB2A59"/>
    <w:rsid w:val="00AB2DFC"/>
    <w:rsid w:val="00AB70B5"/>
    <w:rsid w:val="00AB754F"/>
    <w:rsid w:val="00AB75FC"/>
    <w:rsid w:val="00AC00AF"/>
    <w:rsid w:val="00AC0F68"/>
    <w:rsid w:val="00AC47A0"/>
    <w:rsid w:val="00AC4850"/>
    <w:rsid w:val="00AC6963"/>
    <w:rsid w:val="00AC716C"/>
    <w:rsid w:val="00AC7414"/>
    <w:rsid w:val="00AD10B7"/>
    <w:rsid w:val="00AD1275"/>
    <w:rsid w:val="00AD3936"/>
    <w:rsid w:val="00AD3992"/>
    <w:rsid w:val="00AD50EF"/>
    <w:rsid w:val="00AD56B7"/>
    <w:rsid w:val="00AD5F62"/>
    <w:rsid w:val="00AD721C"/>
    <w:rsid w:val="00AE1021"/>
    <w:rsid w:val="00AE3520"/>
    <w:rsid w:val="00AE474A"/>
    <w:rsid w:val="00AE49D1"/>
    <w:rsid w:val="00AE4AB4"/>
    <w:rsid w:val="00AF0712"/>
    <w:rsid w:val="00AF1CD5"/>
    <w:rsid w:val="00AF1E6D"/>
    <w:rsid w:val="00AF5F64"/>
    <w:rsid w:val="00AF6AF6"/>
    <w:rsid w:val="00AF7C37"/>
    <w:rsid w:val="00B05E27"/>
    <w:rsid w:val="00B069D2"/>
    <w:rsid w:val="00B14A40"/>
    <w:rsid w:val="00B14AAA"/>
    <w:rsid w:val="00B16AD6"/>
    <w:rsid w:val="00B23E12"/>
    <w:rsid w:val="00B247BF"/>
    <w:rsid w:val="00B25481"/>
    <w:rsid w:val="00B27093"/>
    <w:rsid w:val="00B328A7"/>
    <w:rsid w:val="00B333FA"/>
    <w:rsid w:val="00B35033"/>
    <w:rsid w:val="00B352A0"/>
    <w:rsid w:val="00B35F68"/>
    <w:rsid w:val="00B37252"/>
    <w:rsid w:val="00B37D1F"/>
    <w:rsid w:val="00B41CC2"/>
    <w:rsid w:val="00B432E0"/>
    <w:rsid w:val="00B43F2F"/>
    <w:rsid w:val="00B50A6E"/>
    <w:rsid w:val="00B52079"/>
    <w:rsid w:val="00B5388D"/>
    <w:rsid w:val="00B54F84"/>
    <w:rsid w:val="00B5603F"/>
    <w:rsid w:val="00B60544"/>
    <w:rsid w:val="00B60B6A"/>
    <w:rsid w:val="00B614E9"/>
    <w:rsid w:val="00B62A92"/>
    <w:rsid w:val="00B63B4A"/>
    <w:rsid w:val="00B63BF8"/>
    <w:rsid w:val="00B6499B"/>
    <w:rsid w:val="00B64B34"/>
    <w:rsid w:val="00B66706"/>
    <w:rsid w:val="00B7073D"/>
    <w:rsid w:val="00B730BB"/>
    <w:rsid w:val="00B74FA6"/>
    <w:rsid w:val="00B75327"/>
    <w:rsid w:val="00B75BCD"/>
    <w:rsid w:val="00B75FD5"/>
    <w:rsid w:val="00B81CCA"/>
    <w:rsid w:val="00B81D3C"/>
    <w:rsid w:val="00B8241F"/>
    <w:rsid w:val="00B828FD"/>
    <w:rsid w:val="00B83F73"/>
    <w:rsid w:val="00B84A18"/>
    <w:rsid w:val="00B9022E"/>
    <w:rsid w:val="00B90C72"/>
    <w:rsid w:val="00B935F9"/>
    <w:rsid w:val="00B9420A"/>
    <w:rsid w:val="00BA00E0"/>
    <w:rsid w:val="00BA0441"/>
    <w:rsid w:val="00BA0DD9"/>
    <w:rsid w:val="00BA14BF"/>
    <w:rsid w:val="00BA27BE"/>
    <w:rsid w:val="00BB309D"/>
    <w:rsid w:val="00BB4ED5"/>
    <w:rsid w:val="00BB53F5"/>
    <w:rsid w:val="00BB6035"/>
    <w:rsid w:val="00BB6169"/>
    <w:rsid w:val="00BB7E55"/>
    <w:rsid w:val="00BC09E7"/>
    <w:rsid w:val="00BC2047"/>
    <w:rsid w:val="00BC3293"/>
    <w:rsid w:val="00BC3880"/>
    <w:rsid w:val="00BC3DBF"/>
    <w:rsid w:val="00BC5649"/>
    <w:rsid w:val="00BD39F5"/>
    <w:rsid w:val="00BD40A2"/>
    <w:rsid w:val="00BD52CD"/>
    <w:rsid w:val="00BD550C"/>
    <w:rsid w:val="00BD5E8B"/>
    <w:rsid w:val="00BF1822"/>
    <w:rsid w:val="00BF3D8E"/>
    <w:rsid w:val="00BF7820"/>
    <w:rsid w:val="00BF7FC1"/>
    <w:rsid w:val="00C00376"/>
    <w:rsid w:val="00C01776"/>
    <w:rsid w:val="00C030EE"/>
    <w:rsid w:val="00C04B2E"/>
    <w:rsid w:val="00C058CD"/>
    <w:rsid w:val="00C05942"/>
    <w:rsid w:val="00C06312"/>
    <w:rsid w:val="00C06C65"/>
    <w:rsid w:val="00C10382"/>
    <w:rsid w:val="00C104A1"/>
    <w:rsid w:val="00C16781"/>
    <w:rsid w:val="00C22685"/>
    <w:rsid w:val="00C24264"/>
    <w:rsid w:val="00C25B72"/>
    <w:rsid w:val="00C26EAF"/>
    <w:rsid w:val="00C2749D"/>
    <w:rsid w:val="00C30169"/>
    <w:rsid w:val="00C303B7"/>
    <w:rsid w:val="00C305D6"/>
    <w:rsid w:val="00C30749"/>
    <w:rsid w:val="00C310AA"/>
    <w:rsid w:val="00C33DE0"/>
    <w:rsid w:val="00C348DE"/>
    <w:rsid w:val="00C35562"/>
    <w:rsid w:val="00C357E1"/>
    <w:rsid w:val="00C36917"/>
    <w:rsid w:val="00C40453"/>
    <w:rsid w:val="00C40D87"/>
    <w:rsid w:val="00C40FF5"/>
    <w:rsid w:val="00C42293"/>
    <w:rsid w:val="00C42AE8"/>
    <w:rsid w:val="00C42E99"/>
    <w:rsid w:val="00C434F5"/>
    <w:rsid w:val="00C43E35"/>
    <w:rsid w:val="00C46FEC"/>
    <w:rsid w:val="00C50447"/>
    <w:rsid w:val="00C50D7D"/>
    <w:rsid w:val="00C51DE1"/>
    <w:rsid w:val="00C53D1F"/>
    <w:rsid w:val="00C55B52"/>
    <w:rsid w:val="00C56509"/>
    <w:rsid w:val="00C570FA"/>
    <w:rsid w:val="00C60446"/>
    <w:rsid w:val="00C642EC"/>
    <w:rsid w:val="00C669C5"/>
    <w:rsid w:val="00C70835"/>
    <w:rsid w:val="00C74AD0"/>
    <w:rsid w:val="00C75052"/>
    <w:rsid w:val="00C76EC8"/>
    <w:rsid w:val="00C77C77"/>
    <w:rsid w:val="00C77FA9"/>
    <w:rsid w:val="00C813C6"/>
    <w:rsid w:val="00C82414"/>
    <w:rsid w:val="00C86808"/>
    <w:rsid w:val="00C86CD6"/>
    <w:rsid w:val="00C93989"/>
    <w:rsid w:val="00C9542D"/>
    <w:rsid w:val="00CA0D2E"/>
    <w:rsid w:val="00CA155C"/>
    <w:rsid w:val="00CA15FC"/>
    <w:rsid w:val="00CA17E0"/>
    <w:rsid w:val="00CA19DB"/>
    <w:rsid w:val="00CA2626"/>
    <w:rsid w:val="00CA2891"/>
    <w:rsid w:val="00CA4F59"/>
    <w:rsid w:val="00CA79E7"/>
    <w:rsid w:val="00CA7CDC"/>
    <w:rsid w:val="00CB165C"/>
    <w:rsid w:val="00CB1933"/>
    <w:rsid w:val="00CB1F3F"/>
    <w:rsid w:val="00CB2E84"/>
    <w:rsid w:val="00CB46A0"/>
    <w:rsid w:val="00CB64AE"/>
    <w:rsid w:val="00CC3727"/>
    <w:rsid w:val="00CC3BE4"/>
    <w:rsid w:val="00CC4834"/>
    <w:rsid w:val="00CC4ECE"/>
    <w:rsid w:val="00CD018E"/>
    <w:rsid w:val="00CD7186"/>
    <w:rsid w:val="00CE21D5"/>
    <w:rsid w:val="00CE3127"/>
    <w:rsid w:val="00CE31F0"/>
    <w:rsid w:val="00CE38C3"/>
    <w:rsid w:val="00CE39D6"/>
    <w:rsid w:val="00CE4C77"/>
    <w:rsid w:val="00CE6AE7"/>
    <w:rsid w:val="00CF1A03"/>
    <w:rsid w:val="00CF21F9"/>
    <w:rsid w:val="00CF340C"/>
    <w:rsid w:val="00CF4224"/>
    <w:rsid w:val="00CF50FC"/>
    <w:rsid w:val="00D02147"/>
    <w:rsid w:val="00D03BDD"/>
    <w:rsid w:val="00D04724"/>
    <w:rsid w:val="00D07E9A"/>
    <w:rsid w:val="00D11E6F"/>
    <w:rsid w:val="00D135F3"/>
    <w:rsid w:val="00D16B1C"/>
    <w:rsid w:val="00D20FC1"/>
    <w:rsid w:val="00D22031"/>
    <w:rsid w:val="00D22896"/>
    <w:rsid w:val="00D23702"/>
    <w:rsid w:val="00D25C47"/>
    <w:rsid w:val="00D274D1"/>
    <w:rsid w:val="00D27DA0"/>
    <w:rsid w:val="00D31CE2"/>
    <w:rsid w:val="00D33FCC"/>
    <w:rsid w:val="00D34395"/>
    <w:rsid w:val="00D34A70"/>
    <w:rsid w:val="00D35572"/>
    <w:rsid w:val="00D406CC"/>
    <w:rsid w:val="00D4144D"/>
    <w:rsid w:val="00D4310E"/>
    <w:rsid w:val="00D43FBB"/>
    <w:rsid w:val="00D46D86"/>
    <w:rsid w:val="00D547C1"/>
    <w:rsid w:val="00D54BF1"/>
    <w:rsid w:val="00D559F9"/>
    <w:rsid w:val="00D574C8"/>
    <w:rsid w:val="00D57F08"/>
    <w:rsid w:val="00D61A0A"/>
    <w:rsid w:val="00D63234"/>
    <w:rsid w:val="00D64F50"/>
    <w:rsid w:val="00D65728"/>
    <w:rsid w:val="00D675D8"/>
    <w:rsid w:val="00D6792B"/>
    <w:rsid w:val="00D715AD"/>
    <w:rsid w:val="00D72570"/>
    <w:rsid w:val="00D72633"/>
    <w:rsid w:val="00D731F6"/>
    <w:rsid w:val="00D74652"/>
    <w:rsid w:val="00D75184"/>
    <w:rsid w:val="00D7646C"/>
    <w:rsid w:val="00D8076F"/>
    <w:rsid w:val="00D81343"/>
    <w:rsid w:val="00D82E0E"/>
    <w:rsid w:val="00D841E1"/>
    <w:rsid w:val="00D878C9"/>
    <w:rsid w:val="00D915BE"/>
    <w:rsid w:val="00D91E54"/>
    <w:rsid w:val="00D93109"/>
    <w:rsid w:val="00D9585D"/>
    <w:rsid w:val="00D95E9E"/>
    <w:rsid w:val="00D964DB"/>
    <w:rsid w:val="00D97007"/>
    <w:rsid w:val="00D97230"/>
    <w:rsid w:val="00D97A44"/>
    <w:rsid w:val="00DA01DE"/>
    <w:rsid w:val="00DA1B7B"/>
    <w:rsid w:val="00DA1E2F"/>
    <w:rsid w:val="00DA2685"/>
    <w:rsid w:val="00DA3C51"/>
    <w:rsid w:val="00DA409A"/>
    <w:rsid w:val="00DA524A"/>
    <w:rsid w:val="00DA6095"/>
    <w:rsid w:val="00DA70A6"/>
    <w:rsid w:val="00DA70FA"/>
    <w:rsid w:val="00DA758C"/>
    <w:rsid w:val="00DB2BBE"/>
    <w:rsid w:val="00DB348A"/>
    <w:rsid w:val="00DB4559"/>
    <w:rsid w:val="00DB4A03"/>
    <w:rsid w:val="00DB4F0A"/>
    <w:rsid w:val="00DB6018"/>
    <w:rsid w:val="00DB7B86"/>
    <w:rsid w:val="00DC1F54"/>
    <w:rsid w:val="00DC2B05"/>
    <w:rsid w:val="00DC2E17"/>
    <w:rsid w:val="00DC3392"/>
    <w:rsid w:val="00DC3652"/>
    <w:rsid w:val="00DC7887"/>
    <w:rsid w:val="00DD1573"/>
    <w:rsid w:val="00DD31A9"/>
    <w:rsid w:val="00DD3CA5"/>
    <w:rsid w:val="00DD3E2F"/>
    <w:rsid w:val="00DD4BE2"/>
    <w:rsid w:val="00DD74DD"/>
    <w:rsid w:val="00DE06A6"/>
    <w:rsid w:val="00DE3A55"/>
    <w:rsid w:val="00DE3C99"/>
    <w:rsid w:val="00DE457B"/>
    <w:rsid w:val="00DE4D89"/>
    <w:rsid w:val="00DE5468"/>
    <w:rsid w:val="00DE5A55"/>
    <w:rsid w:val="00DE7015"/>
    <w:rsid w:val="00DF0803"/>
    <w:rsid w:val="00DF13CA"/>
    <w:rsid w:val="00DF1AF7"/>
    <w:rsid w:val="00DF232A"/>
    <w:rsid w:val="00E03CEB"/>
    <w:rsid w:val="00E04D8C"/>
    <w:rsid w:val="00E04DA6"/>
    <w:rsid w:val="00E05D38"/>
    <w:rsid w:val="00E06EED"/>
    <w:rsid w:val="00E1591A"/>
    <w:rsid w:val="00E17589"/>
    <w:rsid w:val="00E20442"/>
    <w:rsid w:val="00E20D68"/>
    <w:rsid w:val="00E2300D"/>
    <w:rsid w:val="00E240EE"/>
    <w:rsid w:val="00E24658"/>
    <w:rsid w:val="00E24A3D"/>
    <w:rsid w:val="00E256F0"/>
    <w:rsid w:val="00E256FC"/>
    <w:rsid w:val="00E302C2"/>
    <w:rsid w:val="00E31B69"/>
    <w:rsid w:val="00E33E6F"/>
    <w:rsid w:val="00E34077"/>
    <w:rsid w:val="00E34523"/>
    <w:rsid w:val="00E35526"/>
    <w:rsid w:val="00E37F42"/>
    <w:rsid w:val="00E406C6"/>
    <w:rsid w:val="00E41507"/>
    <w:rsid w:val="00E41F63"/>
    <w:rsid w:val="00E45CBE"/>
    <w:rsid w:val="00E47DB7"/>
    <w:rsid w:val="00E50B40"/>
    <w:rsid w:val="00E50C77"/>
    <w:rsid w:val="00E56EE2"/>
    <w:rsid w:val="00E57522"/>
    <w:rsid w:val="00E61C4E"/>
    <w:rsid w:val="00E6278A"/>
    <w:rsid w:val="00E653A8"/>
    <w:rsid w:val="00E6576D"/>
    <w:rsid w:val="00E70D0C"/>
    <w:rsid w:val="00E70DF3"/>
    <w:rsid w:val="00E734A1"/>
    <w:rsid w:val="00E75AEF"/>
    <w:rsid w:val="00E80571"/>
    <w:rsid w:val="00E80917"/>
    <w:rsid w:val="00E816B6"/>
    <w:rsid w:val="00E81772"/>
    <w:rsid w:val="00E81775"/>
    <w:rsid w:val="00E81963"/>
    <w:rsid w:val="00E8387E"/>
    <w:rsid w:val="00E84B0C"/>
    <w:rsid w:val="00E92026"/>
    <w:rsid w:val="00E94182"/>
    <w:rsid w:val="00E9495C"/>
    <w:rsid w:val="00EA4AEF"/>
    <w:rsid w:val="00EA4EDA"/>
    <w:rsid w:val="00EA5599"/>
    <w:rsid w:val="00EB10D6"/>
    <w:rsid w:val="00EB1418"/>
    <w:rsid w:val="00EB1820"/>
    <w:rsid w:val="00EB569C"/>
    <w:rsid w:val="00EB588B"/>
    <w:rsid w:val="00EB5D6B"/>
    <w:rsid w:val="00EC00F0"/>
    <w:rsid w:val="00EC1FDD"/>
    <w:rsid w:val="00EC2DDF"/>
    <w:rsid w:val="00EC3A08"/>
    <w:rsid w:val="00EC3D97"/>
    <w:rsid w:val="00EC44B0"/>
    <w:rsid w:val="00EC77AF"/>
    <w:rsid w:val="00ED10C2"/>
    <w:rsid w:val="00ED3866"/>
    <w:rsid w:val="00EE26C2"/>
    <w:rsid w:val="00EE44DE"/>
    <w:rsid w:val="00EE45A3"/>
    <w:rsid w:val="00EE50CD"/>
    <w:rsid w:val="00EE5A34"/>
    <w:rsid w:val="00EF02D4"/>
    <w:rsid w:val="00EF3201"/>
    <w:rsid w:val="00EF3997"/>
    <w:rsid w:val="00EF3E0B"/>
    <w:rsid w:val="00EF3E82"/>
    <w:rsid w:val="00EF6DA3"/>
    <w:rsid w:val="00EF7AC4"/>
    <w:rsid w:val="00F005AF"/>
    <w:rsid w:val="00F01661"/>
    <w:rsid w:val="00F03833"/>
    <w:rsid w:val="00F03AC7"/>
    <w:rsid w:val="00F0619B"/>
    <w:rsid w:val="00F071CA"/>
    <w:rsid w:val="00F10505"/>
    <w:rsid w:val="00F17ECA"/>
    <w:rsid w:val="00F21493"/>
    <w:rsid w:val="00F230A7"/>
    <w:rsid w:val="00F23593"/>
    <w:rsid w:val="00F27372"/>
    <w:rsid w:val="00F323F8"/>
    <w:rsid w:val="00F34C74"/>
    <w:rsid w:val="00F3518A"/>
    <w:rsid w:val="00F36A64"/>
    <w:rsid w:val="00F37C92"/>
    <w:rsid w:val="00F41AFE"/>
    <w:rsid w:val="00F4204A"/>
    <w:rsid w:val="00F42142"/>
    <w:rsid w:val="00F42E80"/>
    <w:rsid w:val="00F43BD1"/>
    <w:rsid w:val="00F44C09"/>
    <w:rsid w:val="00F45D4F"/>
    <w:rsid w:val="00F45EFE"/>
    <w:rsid w:val="00F47B92"/>
    <w:rsid w:val="00F532CC"/>
    <w:rsid w:val="00F53CD6"/>
    <w:rsid w:val="00F54EAB"/>
    <w:rsid w:val="00F5600D"/>
    <w:rsid w:val="00F5603F"/>
    <w:rsid w:val="00F57C3B"/>
    <w:rsid w:val="00F62A46"/>
    <w:rsid w:val="00F640D7"/>
    <w:rsid w:val="00F64801"/>
    <w:rsid w:val="00F64F89"/>
    <w:rsid w:val="00F6607F"/>
    <w:rsid w:val="00F71690"/>
    <w:rsid w:val="00F76616"/>
    <w:rsid w:val="00F76B68"/>
    <w:rsid w:val="00F8158C"/>
    <w:rsid w:val="00F8252B"/>
    <w:rsid w:val="00F85A0C"/>
    <w:rsid w:val="00F92DCA"/>
    <w:rsid w:val="00F93BF2"/>
    <w:rsid w:val="00F95294"/>
    <w:rsid w:val="00F9576F"/>
    <w:rsid w:val="00F9649C"/>
    <w:rsid w:val="00FA2385"/>
    <w:rsid w:val="00FA3E60"/>
    <w:rsid w:val="00FA6FF4"/>
    <w:rsid w:val="00FB01CA"/>
    <w:rsid w:val="00FB0347"/>
    <w:rsid w:val="00FB2A5C"/>
    <w:rsid w:val="00FB501A"/>
    <w:rsid w:val="00FB5243"/>
    <w:rsid w:val="00FB7565"/>
    <w:rsid w:val="00FB7EC3"/>
    <w:rsid w:val="00FC16BF"/>
    <w:rsid w:val="00FC27E5"/>
    <w:rsid w:val="00FC2F64"/>
    <w:rsid w:val="00FC4B9F"/>
    <w:rsid w:val="00FC5E44"/>
    <w:rsid w:val="00FD0468"/>
    <w:rsid w:val="00FD16BE"/>
    <w:rsid w:val="00FD1B95"/>
    <w:rsid w:val="00FD2675"/>
    <w:rsid w:val="00FD3203"/>
    <w:rsid w:val="00FD3E54"/>
    <w:rsid w:val="00FD426E"/>
    <w:rsid w:val="00FD4E49"/>
    <w:rsid w:val="00FE2004"/>
    <w:rsid w:val="00FE6469"/>
    <w:rsid w:val="00FF2465"/>
    <w:rsid w:val="00FF5CD0"/>
    <w:rsid w:val="00FF5EE6"/>
    <w:rsid w:val="00FF66C9"/>
    <w:rsid w:val="00FF78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B37D1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3501FE"/>
    <w:rPr>
      <w:color w:val="800080" w:themeColor="followedHyperlink"/>
      <w:u w:val="single"/>
    </w:rPr>
  </w:style>
  <w:style w:type="paragraph" w:styleId="Revision">
    <w:name w:val="Revision"/>
    <w:hidden/>
    <w:uiPriority w:val="99"/>
    <w:semiHidden/>
    <w:rsid w:val="00DE4D8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35874608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1716.pdf" TargetMode="External"/><Relationship Id="rId3" Type="http://schemas.openxmlformats.org/officeDocument/2006/relationships/settings" Target="settings.xml"/><Relationship Id="rId7" Type="http://schemas.openxmlformats.org/officeDocument/2006/relationships/hyperlink" Target="https://manas.tiesas.lv/eTiesasMvc/nolemumi/pdf/5164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uria.europa.eu/juris/document/document.jsf;jsessionid=B80AD9767064533F2FC2BFF484092EA0?text=&amp;docid=118483&amp;pageIndex=0&amp;doclang=lv&amp;mode=lst&amp;dir=&amp;occ=first&amp;part=1&amp;cid=1444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3091</Words>
  <Characters>17625</Characters>
  <Application>Microsoft Office Word</Application>
  <DocSecurity>0</DocSecurity>
  <Lines>146</Lines>
  <Paragraphs>41</Paragraphs>
  <ScaleCrop>false</ScaleCrop>
  <Company/>
  <LinksUpToDate>false</LinksUpToDate>
  <CharactersWithSpaces>20675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2023-12-07T13:07:00Z</dcterms:created>
  <dcterms:modified xsi:type="dcterms:W3CDTF">2023-12-07T13:07:00Z</dcterms:modified>
</cp:coreProperties>
</file>