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33C7" w14:textId="2071DEB8" w:rsidR="00E94891" w:rsidRPr="0079698D" w:rsidRDefault="003D3FA1" w:rsidP="003D3FA1">
      <w:pPr>
        <w:tabs>
          <w:tab w:val="left" w:pos="9072"/>
        </w:tabs>
        <w:spacing w:after="0" w:line="276" w:lineRule="auto"/>
        <w:jc w:val="both"/>
        <w:rPr>
          <w:rFonts w:cs="Times New Roman"/>
          <w:noProof/>
          <w:szCs w:val="24"/>
        </w:rPr>
      </w:pPr>
      <w:r w:rsidRPr="00E364A6">
        <w:rPr>
          <w:rFonts w:cs="Times New Roman"/>
          <w:b/>
          <w:bCs/>
          <w:szCs w:val="24"/>
        </w:rPr>
        <w:t>Negodprātīgs pieteikums par prasītāja procesuālo tiesību pārņemšanu noraidītas prasības pārsūdzības</w:t>
      </w:r>
      <w:r>
        <w:rPr>
          <w:rFonts w:cs="Times New Roman"/>
          <w:b/>
          <w:bCs/>
          <w:szCs w:val="24"/>
        </w:rPr>
        <w:t xml:space="preserve"> stadijā</w:t>
      </w:r>
    </w:p>
    <w:p w14:paraId="1A290EF0" w14:textId="77777777" w:rsidR="009D5E43" w:rsidRPr="0079698D" w:rsidRDefault="009D5E43" w:rsidP="00A73DFB">
      <w:pPr>
        <w:tabs>
          <w:tab w:val="left" w:pos="8789"/>
        </w:tabs>
        <w:spacing w:after="0" w:line="276" w:lineRule="auto"/>
        <w:ind w:firstLine="851"/>
        <w:jc w:val="center"/>
        <w:rPr>
          <w:rFonts w:cs="Times New Roman"/>
          <w:b/>
          <w:szCs w:val="24"/>
        </w:rPr>
      </w:pPr>
    </w:p>
    <w:p w14:paraId="342EDB1D" w14:textId="29615231" w:rsidR="009D5E43" w:rsidRPr="0079698D" w:rsidRDefault="009D5E43" w:rsidP="00A73DFB">
      <w:pPr>
        <w:tabs>
          <w:tab w:val="left" w:pos="8789"/>
        </w:tabs>
        <w:spacing w:after="0" w:line="276" w:lineRule="auto"/>
        <w:ind w:firstLine="851"/>
        <w:jc w:val="center"/>
        <w:rPr>
          <w:rFonts w:cs="Times New Roman"/>
          <w:b/>
          <w:szCs w:val="24"/>
        </w:rPr>
      </w:pPr>
      <w:r w:rsidRPr="0079698D">
        <w:rPr>
          <w:rFonts w:cs="Times New Roman"/>
          <w:b/>
          <w:szCs w:val="24"/>
        </w:rPr>
        <w:t>Latvijas Republikas Senāt</w:t>
      </w:r>
      <w:r w:rsidR="00AF623E" w:rsidRPr="0079698D">
        <w:rPr>
          <w:rFonts w:cs="Times New Roman"/>
          <w:b/>
          <w:szCs w:val="24"/>
        </w:rPr>
        <w:t>a</w:t>
      </w:r>
    </w:p>
    <w:p w14:paraId="72D4B55B" w14:textId="00C548C4" w:rsidR="00AF623E" w:rsidRPr="0079698D" w:rsidRDefault="00AF623E" w:rsidP="00A73DFB">
      <w:pPr>
        <w:tabs>
          <w:tab w:val="left" w:pos="8789"/>
        </w:tabs>
        <w:spacing w:after="0" w:line="276" w:lineRule="auto"/>
        <w:ind w:firstLine="851"/>
        <w:jc w:val="center"/>
        <w:rPr>
          <w:rFonts w:cs="Times New Roman"/>
          <w:b/>
          <w:szCs w:val="24"/>
        </w:rPr>
      </w:pPr>
      <w:r w:rsidRPr="0079698D">
        <w:rPr>
          <w:rFonts w:cs="Times New Roman"/>
          <w:b/>
          <w:szCs w:val="24"/>
        </w:rPr>
        <w:t>Civillietu departamenta</w:t>
      </w:r>
    </w:p>
    <w:p w14:paraId="2E4ED7BC" w14:textId="4D733E7D" w:rsidR="00AF623E" w:rsidRPr="0079698D" w:rsidRDefault="00AF623E" w:rsidP="00A73DFB">
      <w:pPr>
        <w:tabs>
          <w:tab w:val="left" w:pos="8789"/>
        </w:tabs>
        <w:spacing w:after="0" w:line="276" w:lineRule="auto"/>
        <w:ind w:firstLine="851"/>
        <w:jc w:val="center"/>
        <w:rPr>
          <w:rFonts w:cs="Times New Roman"/>
          <w:b/>
          <w:szCs w:val="24"/>
        </w:rPr>
      </w:pPr>
      <w:proofErr w:type="gramStart"/>
      <w:r w:rsidRPr="0079698D">
        <w:rPr>
          <w:rFonts w:cs="Times New Roman"/>
          <w:b/>
          <w:szCs w:val="24"/>
        </w:rPr>
        <w:t>2023.gada</w:t>
      </w:r>
      <w:proofErr w:type="gramEnd"/>
      <w:r w:rsidRPr="0079698D">
        <w:rPr>
          <w:rFonts w:cs="Times New Roman"/>
          <w:b/>
          <w:szCs w:val="24"/>
        </w:rPr>
        <w:t> 31. oktobra</w:t>
      </w:r>
    </w:p>
    <w:p w14:paraId="0498BDC8" w14:textId="77777777" w:rsidR="009D5E43" w:rsidRPr="0079698D" w:rsidRDefault="009D5E43" w:rsidP="00A73DFB">
      <w:pPr>
        <w:tabs>
          <w:tab w:val="left" w:pos="8789"/>
        </w:tabs>
        <w:spacing w:after="0" w:line="276" w:lineRule="auto"/>
        <w:ind w:firstLine="851"/>
        <w:jc w:val="center"/>
        <w:rPr>
          <w:rFonts w:cs="Times New Roman"/>
          <w:b/>
          <w:szCs w:val="24"/>
        </w:rPr>
      </w:pPr>
      <w:r w:rsidRPr="0079698D">
        <w:rPr>
          <w:rFonts w:cs="Times New Roman"/>
          <w:b/>
          <w:szCs w:val="24"/>
        </w:rPr>
        <w:t>LĒMUMS</w:t>
      </w:r>
    </w:p>
    <w:p w14:paraId="59B1BD9C" w14:textId="03B91F33" w:rsidR="00AF623E" w:rsidRPr="0079698D" w:rsidRDefault="00AF623E" w:rsidP="00AF623E">
      <w:pPr>
        <w:tabs>
          <w:tab w:val="left" w:pos="9072"/>
        </w:tabs>
        <w:spacing w:after="0" w:line="276" w:lineRule="auto"/>
        <w:ind w:firstLine="851"/>
        <w:jc w:val="center"/>
        <w:rPr>
          <w:rFonts w:cs="Times New Roman"/>
          <w:b/>
          <w:noProof/>
          <w:szCs w:val="24"/>
        </w:rPr>
      </w:pPr>
      <w:r w:rsidRPr="0079698D">
        <w:rPr>
          <w:rFonts w:cs="Times New Roman"/>
          <w:b/>
          <w:noProof/>
          <w:szCs w:val="24"/>
        </w:rPr>
        <w:t>Lieta Nr. C30671419, SKC-144/2023</w:t>
      </w:r>
    </w:p>
    <w:p w14:paraId="4CBB4EBD" w14:textId="210DC506" w:rsidR="00AF623E" w:rsidRPr="0079698D" w:rsidRDefault="003D3FA1" w:rsidP="00A73DFB">
      <w:pPr>
        <w:tabs>
          <w:tab w:val="left" w:pos="8789"/>
        </w:tabs>
        <w:spacing w:after="0" w:line="276" w:lineRule="auto"/>
        <w:ind w:firstLine="851"/>
        <w:jc w:val="center"/>
        <w:rPr>
          <w:rFonts w:cs="Times New Roman"/>
          <w:b/>
          <w:szCs w:val="24"/>
        </w:rPr>
      </w:pPr>
      <w:hyperlink r:id="rId7" w:history="1">
        <w:r w:rsidR="00AF623E" w:rsidRPr="0079698D">
          <w:rPr>
            <w:rStyle w:val="Hyperlink"/>
            <w:rFonts w:cs="Times New Roman"/>
            <w:szCs w:val="24"/>
            <w:shd w:val="clear" w:color="auto" w:fill="FFFFFF"/>
          </w:rPr>
          <w:t>ECLI:LV:AT:2023:1031.C30671419.28.L</w:t>
        </w:r>
      </w:hyperlink>
    </w:p>
    <w:p w14:paraId="72B557C0" w14:textId="689B5F32" w:rsidR="009D5E43" w:rsidRPr="0079698D" w:rsidRDefault="009D5E43" w:rsidP="00A73DFB">
      <w:pPr>
        <w:spacing w:after="0" w:line="276" w:lineRule="auto"/>
        <w:ind w:firstLine="851"/>
        <w:jc w:val="center"/>
        <w:rPr>
          <w:rFonts w:cs="Times New Roman"/>
          <w:szCs w:val="24"/>
        </w:rPr>
      </w:pPr>
    </w:p>
    <w:p w14:paraId="2224337D" w14:textId="0C8D0E82" w:rsidR="009D5E43" w:rsidRPr="0079698D" w:rsidRDefault="009D5E43" w:rsidP="00104980">
      <w:pPr>
        <w:spacing w:after="0" w:line="276" w:lineRule="auto"/>
        <w:ind w:firstLine="851"/>
        <w:jc w:val="both"/>
        <w:rPr>
          <w:rFonts w:cs="Times New Roman"/>
          <w:szCs w:val="24"/>
        </w:rPr>
      </w:pPr>
      <w:r w:rsidRPr="0079698D">
        <w:rPr>
          <w:rFonts w:cs="Times New Roman"/>
          <w:szCs w:val="24"/>
        </w:rPr>
        <w:t>Senāts šādā sastāv</w:t>
      </w:r>
      <w:r w:rsidR="00104980" w:rsidRPr="0079698D">
        <w:rPr>
          <w:rFonts w:cs="Times New Roman"/>
          <w:szCs w:val="24"/>
        </w:rPr>
        <w:t xml:space="preserve">ā: </w:t>
      </w:r>
      <w:r w:rsidRPr="0079698D">
        <w:rPr>
          <w:rFonts w:cs="Times New Roman"/>
          <w:szCs w:val="24"/>
        </w:rPr>
        <w:t xml:space="preserve">senators </w:t>
      </w:r>
      <w:r w:rsidR="00104980" w:rsidRPr="0079698D">
        <w:rPr>
          <w:rFonts w:cs="Times New Roman"/>
          <w:szCs w:val="24"/>
        </w:rPr>
        <w:t xml:space="preserve">referents </w:t>
      </w:r>
      <w:r w:rsidRPr="0079698D">
        <w:rPr>
          <w:rFonts w:cs="Times New Roman"/>
          <w:szCs w:val="24"/>
        </w:rPr>
        <w:t>Kaspars Balodis,</w:t>
      </w:r>
      <w:r w:rsidR="00104980" w:rsidRPr="0079698D">
        <w:rPr>
          <w:rFonts w:cs="Times New Roman"/>
          <w:szCs w:val="24"/>
        </w:rPr>
        <w:t xml:space="preserve"> </w:t>
      </w:r>
      <w:r w:rsidRPr="0079698D">
        <w:rPr>
          <w:rFonts w:cs="Times New Roman"/>
          <w:szCs w:val="24"/>
        </w:rPr>
        <w:t>senator</w:t>
      </w:r>
      <w:r w:rsidR="00104980" w:rsidRPr="0079698D">
        <w:rPr>
          <w:rFonts w:cs="Times New Roman"/>
          <w:szCs w:val="24"/>
        </w:rPr>
        <w:t xml:space="preserve">es </w:t>
      </w:r>
      <w:r w:rsidR="00EF18A6" w:rsidRPr="0079698D">
        <w:rPr>
          <w:rFonts w:cs="Times New Roman"/>
          <w:szCs w:val="24"/>
        </w:rPr>
        <w:t>Ļubova Kušnire un Inta Lauka</w:t>
      </w:r>
    </w:p>
    <w:p w14:paraId="5EB28832" w14:textId="77777777" w:rsidR="00104980" w:rsidRPr="0079698D" w:rsidRDefault="00104980" w:rsidP="00104980">
      <w:pPr>
        <w:spacing w:after="0" w:line="276" w:lineRule="auto"/>
        <w:ind w:firstLine="851"/>
        <w:jc w:val="both"/>
        <w:rPr>
          <w:rFonts w:cs="Times New Roman"/>
          <w:szCs w:val="24"/>
        </w:rPr>
      </w:pPr>
    </w:p>
    <w:p w14:paraId="61D7F549" w14:textId="39A87C3B" w:rsidR="009D5E43" w:rsidRPr="0079698D" w:rsidRDefault="007D1293" w:rsidP="00A73DFB">
      <w:pPr>
        <w:spacing w:after="0" w:line="276" w:lineRule="auto"/>
        <w:ind w:firstLine="851"/>
        <w:jc w:val="both"/>
        <w:rPr>
          <w:rFonts w:cs="Times New Roman"/>
          <w:szCs w:val="24"/>
        </w:rPr>
      </w:pPr>
      <w:r w:rsidRPr="0079698D">
        <w:rPr>
          <w:rFonts w:cs="Times New Roman"/>
          <w:szCs w:val="24"/>
        </w:rPr>
        <w:t>i</w:t>
      </w:r>
      <w:r w:rsidR="00104980" w:rsidRPr="0079698D">
        <w:rPr>
          <w:rFonts w:cs="Times New Roman"/>
          <w:szCs w:val="24"/>
        </w:rPr>
        <w:t xml:space="preserve">zskatīja </w:t>
      </w:r>
      <w:r w:rsidR="009D5E43" w:rsidRPr="0079698D">
        <w:rPr>
          <w:rFonts w:cs="Times New Roman"/>
          <w:szCs w:val="24"/>
        </w:rPr>
        <w:t>rakstveida procesā</w:t>
      </w:r>
      <w:r w:rsidR="00966195" w:rsidRPr="0079698D">
        <w:rPr>
          <w:rFonts w:cs="Times New Roman"/>
          <w:szCs w:val="24"/>
        </w:rPr>
        <w:t xml:space="preserve"> </w:t>
      </w:r>
      <w:r w:rsidR="00AF623E" w:rsidRPr="0079698D">
        <w:rPr>
          <w:rFonts w:cs="Times New Roman"/>
          <w:szCs w:val="24"/>
        </w:rPr>
        <w:t>[pers. A]</w:t>
      </w:r>
      <w:r w:rsidR="009D5E43" w:rsidRPr="0079698D">
        <w:rPr>
          <w:rFonts w:cs="Times New Roman"/>
          <w:szCs w:val="24"/>
        </w:rPr>
        <w:t xml:space="preserve"> blakus sūdzību par</w:t>
      </w:r>
      <w:r w:rsidR="00966195" w:rsidRPr="0079698D">
        <w:rPr>
          <w:rFonts w:cs="Times New Roman"/>
          <w:szCs w:val="24"/>
        </w:rPr>
        <w:t xml:space="preserve"> Rīgas apgabaltiesas Civillietu tiesas kolēģijas 2022. gada 10. jūnija lēmumu</w:t>
      </w:r>
      <w:r w:rsidR="009D5E43" w:rsidRPr="0079698D">
        <w:rPr>
          <w:rFonts w:cs="Times New Roman"/>
          <w:szCs w:val="24"/>
        </w:rPr>
        <w:t>.</w:t>
      </w:r>
    </w:p>
    <w:p w14:paraId="34E9D82C" w14:textId="6A2EA0D4" w:rsidR="009D5E43" w:rsidRPr="0079698D" w:rsidRDefault="009D5E43" w:rsidP="00A73DFB">
      <w:pPr>
        <w:spacing w:after="0" w:line="276" w:lineRule="auto"/>
        <w:rPr>
          <w:rFonts w:eastAsia="Times New Roman" w:cs="Times New Roman"/>
          <w:color w:val="000000"/>
          <w:szCs w:val="24"/>
          <w:lang w:eastAsia="lv-LV"/>
        </w:rPr>
      </w:pPr>
    </w:p>
    <w:p w14:paraId="0A16E3FC" w14:textId="77777777" w:rsidR="009D5E43" w:rsidRPr="0079698D" w:rsidRDefault="009D5E43" w:rsidP="00A73DFB">
      <w:pPr>
        <w:spacing w:after="0" w:line="276" w:lineRule="auto"/>
        <w:jc w:val="center"/>
        <w:rPr>
          <w:rFonts w:eastAsia="Times New Roman" w:cs="Times New Roman"/>
          <w:color w:val="000000"/>
          <w:szCs w:val="24"/>
          <w:lang w:eastAsia="lv-LV"/>
        </w:rPr>
      </w:pPr>
      <w:r w:rsidRPr="0079698D">
        <w:rPr>
          <w:rFonts w:eastAsia="Times New Roman" w:cs="Times New Roman"/>
          <w:b/>
          <w:bCs/>
          <w:color w:val="000000"/>
          <w:szCs w:val="24"/>
          <w:lang w:eastAsia="lv-LV"/>
        </w:rPr>
        <w:t>Aprakstošā daļa</w:t>
      </w:r>
    </w:p>
    <w:p w14:paraId="052694E3" w14:textId="77777777" w:rsidR="00EB0B4C" w:rsidRPr="0079698D" w:rsidRDefault="00EB0B4C" w:rsidP="00A73DFB">
      <w:pPr>
        <w:pStyle w:val="NormalWeb"/>
        <w:spacing w:before="0" w:beforeAutospacing="0" w:after="0" w:afterAutospacing="0" w:line="276" w:lineRule="auto"/>
        <w:ind w:firstLine="720"/>
        <w:jc w:val="both"/>
        <w:rPr>
          <w:color w:val="000000"/>
        </w:rPr>
      </w:pPr>
    </w:p>
    <w:p w14:paraId="24D09534" w14:textId="262958E3" w:rsidR="001113D9" w:rsidRPr="0079698D" w:rsidRDefault="00EB0B4C" w:rsidP="001113D9">
      <w:pPr>
        <w:pStyle w:val="NormalWeb"/>
        <w:spacing w:before="0" w:beforeAutospacing="0" w:after="0" w:afterAutospacing="0" w:line="276" w:lineRule="auto"/>
        <w:ind w:firstLine="720"/>
        <w:jc w:val="both"/>
        <w:rPr>
          <w:color w:val="000000"/>
        </w:rPr>
      </w:pPr>
      <w:r w:rsidRPr="0079698D">
        <w:rPr>
          <w:color w:val="000000"/>
        </w:rPr>
        <w:t>[1]</w:t>
      </w:r>
      <w:r w:rsidR="001113D9" w:rsidRPr="0079698D">
        <w:rPr>
          <w:color w:val="000000"/>
        </w:rPr>
        <w:t xml:space="preserve"> Starp </w:t>
      </w:r>
      <w:r w:rsidR="00AF623E" w:rsidRPr="0079698D">
        <w:rPr>
          <w:color w:val="000000"/>
        </w:rPr>
        <w:t>[pers. A]</w:t>
      </w:r>
      <w:r w:rsidR="00BD7FE4" w:rsidRPr="0079698D">
        <w:rPr>
          <w:color w:val="000000"/>
        </w:rPr>
        <w:t xml:space="preserve"> kā pasūtītāju</w:t>
      </w:r>
      <w:r w:rsidR="001113D9" w:rsidRPr="0079698D">
        <w:rPr>
          <w:color w:val="000000"/>
        </w:rPr>
        <w:t xml:space="preserve"> un SIA</w:t>
      </w:r>
      <w:r w:rsidR="00AF623E" w:rsidRPr="0079698D">
        <w:rPr>
          <w:color w:val="000000"/>
        </w:rPr>
        <w:t> </w:t>
      </w:r>
      <w:r w:rsidR="001113D9" w:rsidRPr="0079698D">
        <w:rPr>
          <w:color w:val="000000"/>
        </w:rPr>
        <w:t>,,BūvLat grupa”</w:t>
      </w:r>
      <w:r w:rsidR="00BD7FE4" w:rsidRPr="0079698D">
        <w:rPr>
          <w:color w:val="000000"/>
        </w:rPr>
        <w:t xml:space="preserve"> kā uzņēmēju</w:t>
      </w:r>
      <w:r w:rsidR="001113D9" w:rsidRPr="0079698D">
        <w:rPr>
          <w:color w:val="000000"/>
        </w:rPr>
        <w:t xml:space="preserve"> 2013. gada 28. decembrī noslēgts būvuzņēmuma līgums par būvdarbu veikšanu </w:t>
      </w:r>
      <w:r w:rsidR="00AF623E" w:rsidRPr="0079698D">
        <w:rPr>
          <w:color w:val="000000"/>
        </w:rPr>
        <w:t>[pers. A]</w:t>
      </w:r>
      <w:r w:rsidR="001113D9" w:rsidRPr="0079698D">
        <w:rPr>
          <w:color w:val="000000"/>
        </w:rPr>
        <w:t xml:space="preserve"> piederošajā nekustamajā īpašumā </w:t>
      </w:r>
      <w:r w:rsidR="00AF623E" w:rsidRPr="0079698D">
        <w:rPr>
          <w:color w:val="000000"/>
        </w:rPr>
        <w:t>[adrese]</w:t>
      </w:r>
      <w:r w:rsidR="001113D9" w:rsidRPr="0079698D">
        <w:rPr>
          <w:color w:val="000000"/>
        </w:rPr>
        <w:t xml:space="preserve">. </w:t>
      </w:r>
    </w:p>
    <w:p w14:paraId="79EA7E1F" w14:textId="2FEB8C8F" w:rsidR="001113D9" w:rsidRPr="0079698D" w:rsidRDefault="00BD7FE4" w:rsidP="00BD7FE4">
      <w:pPr>
        <w:pStyle w:val="NormalWeb"/>
        <w:spacing w:before="0" w:beforeAutospacing="0" w:after="0" w:afterAutospacing="0" w:line="276" w:lineRule="auto"/>
        <w:ind w:firstLine="720"/>
        <w:jc w:val="both"/>
        <w:rPr>
          <w:color w:val="000000"/>
        </w:rPr>
      </w:pPr>
      <w:r w:rsidRPr="0079698D">
        <w:rPr>
          <w:color w:val="000000"/>
        </w:rPr>
        <w:t xml:space="preserve">Ar </w:t>
      </w:r>
      <w:r w:rsidR="001113D9" w:rsidRPr="0079698D">
        <w:rPr>
          <w:color w:val="000000"/>
        </w:rPr>
        <w:t>2016. gada 29. februār</w:t>
      </w:r>
      <w:r w:rsidRPr="0079698D">
        <w:rPr>
          <w:color w:val="000000"/>
        </w:rPr>
        <w:t>a</w:t>
      </w:r>
      <w:r w:rsidR="001113D9" w:rsidRPr="0079698D">
        <w:rPr>
          <w:color w:val="000000"/>
        </w:rPr>
        <w:t xml:space="preserve"> cesijas līgum</w:t>
      </w:r>
      <w:r w:rsidRPr="0079698D">
        <w:rPr>
          <w:color w:val="000000"/>
        </w:rPr>
        <w:t xml:space="preserve">u </w:t>
      </w:r>
      <w:r w:rsidR="001113D9" w:rsidRPr="0079698D">
        <w:rPr>
          <w:color w:val="000000"/>
        </w:rPr>
        <w:t>SIA</w:t>
      </w:r>
      <w:r w:rsidR="00AF623E" w:rsidRPr="0079698D">
        <w:rPr>
          <w:color w:val="000000"/>
        </w:rPr>
        <w:t> </w:t>
      </w:r>
      <w:r w:rsidR="001113D9" w:rsidRPr="0079698D">
        <w:rPr>
          <w:color w:val="000000"/>
        </w:rPr>
        <w:t xml:space="preserve">,,BūvLat grupa” savas prasījuma tiesības pret </w:t>
      </w:r>
      <w:r w:rsidR="00AF623E" w:rsidRPr="0079698D">
        <w:rPr>
          <w:color w:val="000000"/>
        </w:rPr>
        <w:t>[pers. A]</w:t>
      </w:r>
      <w:r w:rsidR="001113D9" w:rsidRPr="0079698D">
        <w:rPr>
          <w:color w:val="000000"/>
        </w:rPr>
        <w:t>, kuras izriet no 2013. gada 28. decembrī noslēgtā būvuzņēmuma līguma</w:t>
      </w:r>
      <w:r w:rsidRPr="0079698D">
        <w:rPr>
          <w:color w:val="000000"/>
        </w:rPr>
        <w:t xml:space="preserve">, cedējusi </w:t>
      </w:r>
      <w:r w:rsidR="00AF623E" w:rsidRPr="0079698D">
        <w:rPr>
          <w:color w:val="000000"/>
        </w:rPr>
        <w:t>[pers. B]</w:t>
      </w:r>
      <w:r w:rsidRPr="0079698D">
        <w:rPr>
          <w:color w:val="000000"/>
        </w:rPr>
        <w:t>.</w:t>
      </w:r>
    </w:p>
    <w:p w14:paraId="0CAB2874" w14:textId="77777777" w:rsidR="00BD7FE4" w:rsidRPr="0079698D" w:rsidRDefault="00BD7FE4" w:rsidP="001113D9">
      <w:pPr>
        <w:pStyle w:val="NormalWeb"/>
        <w:spacing w:before="0" w:beforeAutospacing="0" w:after="0" w:afterAutospacing="0" w:line="276" w:lineRule="auto"/>
        <w:ind w:firstLine="720"/>
        <w:jc w:val="both"/>
        <w:rPr>
          <w:color w:val="000000"/>
        </w:rPr>
      </w:pPr>
    </w:p>
    <w:p w14:paraId="1148DD06" w14:textId="0675F992" w:rsidR="00BD7FE4" w:rsidRPr="0079698D" w:rsidRDefault="00BD7FE4" w:rsidP="001113D9">
      <w:pPr>
        <w:pStyle w:val="NormalWeb"/>
        <w:spacing w:before="0" w:beforeAutospacing="0" w:after="0" w:afterAutospacing="0" w:line="276" w:lineRule="auto"/>
        <w:ind w:firstLine="720"/>
        <w:jc w:val="both"/>
        <w:rPr>
          <w:color w:val="000000"/>
        </w:rPr>
      </w:pPr>
      <w:r w:rsidRPr="0079698D">
        <w:rPr>
          <w:color w:val="000000"/>
        </w:rPr>
        <w:t xml:space="preserve">[2] </w:t>
      </w:r>
      <w:r w:rsidR="00AF623E" w:rsidRPr="0079698D">
        <w:rPr>
          <w:color w:val="000000"/>
        </w:rPr>
        <w:t>[Pers. B]</w:t>
      </w:r>
      <w:r w:rsidRPr="0079698D">
        <w:rPr>
          <w:color w:val="000000"/>
        </w:rPr>
        <w:t xml:space="preserve"> 2019. gada 24. janvārī </w:t>
      </w:r>
      <w:r w:rsidR="00F80A93" w:rsidRPr="0079698D">
        <w:rPr>
          <w:color w:val="000000"/>
        </w:rPr>
        <w:t xml:space="preserve">Rīgas pilsētas Vidzemes priekšpilsētas tiesā cēlis prasību pret </w:t>
      </w:r>
      <w:r w:rsidR="00AF623E" w:rsidRPr="0079698D">
        <w:rPr>
          <w:color w:val="000000"/>
        </w:rPr>
        <w:t>[pers. A]</w:t>
      </w:r>
      <w:r w:rsidR="00F80A93" w:rsidRPr="0079698D">
        <w:rPr>
          <w:color w:val="000000"/>
        </w:rPr>
        <w:t xml:space="preserve">, lūdzot piedzīt no </w:t>
      </w:r>
      <w:r w:rsidR="00AF623E" w:rsidRPr="0079698D">
        <w:rPr>
          <w:color w:val="000000"/>
        </w:rPr>
        <w:t>[pers. A]</w:t>
      </w:r>
      <w:r w:rsidR="00F80A93" w:rsidRPr="0079698D">
        <w:rPr>
          <w:color w:val="000000"/>
        </w:rPr>
        <w:t xml:space="preserve"> par labu </w:t>
      </w:r>
      <w:r w:rsidR="00AF623E" w:rsidRPr="0079698D">
        <w:rPr>
          <w:color w:val="000000"/>
        </w:rPr>
        <w:t xml:space="preserve">[pers. B] </w:t>
      </w:r>
      <w:r w:rsidR="00F80A93" w:rsidRPr="0079698D">
        <w:rPr>
          <w:color w:val="000000"/>
        </w:rPr>
        <w:t>parādu 138 199,99</w:t>
      </w:r>
      <w:r w:rsidR="0022785A">
        <w:rPr>
          <w:color w:val="000000"/>
        </w:rPr>
        <w:t> </w:t>
      </w:r>
      <w:r w:rsidR="00F80A93" w:rsidRPr="0079698D">
        <w:rPr>
          <w:color w:val="000000"/>
        </w:rPr>
        <w:t xml:space="preserve">EUR. </w:t>
      </w:r>
    </w:p>
    <w:p w14:paraId="37EB970D" w14:textId="77777777" w:rsidR="00F80A93" w:rsidRPr="0079698D" w:rsidRDefault="00F80A93" w:rsidP="001113D9">
      <w:pPr>
        <w:pStyle w:val="NormalWeb"/>
        <w:spacing w:before="0" w:beforeAutospacing="0" w:after="0" w:afterAutospacing="0" w:line="276" w:lineRule="auto"/>
        <w:ind w:firstLine="720"/>
        <w:jc w:val="both"/>
        <w:rPr>
          <w:color w:val="000000"/>
        </w:rPr>
      </w:pPr>
    </w:p>
    <w:p w14:paraId="1E0BD5D8" w14:textId="147C7E36" w:rsidR="00F80A93" w:rsidRPr="0079698D" w:rsidRDefault="00F80A93" w:rsidP="00F80A93">
      <w:pPr>
        <w:pStyle w:val="NormalWeb"/>
        <w:spacing w:before="0" w:beforeAutospacing="0" w:after="0" w:afterAutospacing="0" w:line="276" w:lineRule="auto"/>
        <w:ind w:firstLine="720"/>
        <w:jc w:val="both"/>
        <w:rPr>
          <w:color w:val="000000"/>
        </w:rPr>
      </w:pPr>
      <w:r w:rsidRPr="0079698D">
        <w:rPr>
          <w:color w:val="000000"/>
        </w:rPr>
        <w:t xml:space="preserve">[3] </w:t>
      </w:r>
      <w:r w:rsidR="00AF623E" w:rsidRPr="0079698D">
        <w:rPr>
          <w:color w:val="000000"/>
        </w:rPr>
        <w:t xml:space="preserve">[Pers. B] </w:t>
      </w:r>
      <w:r w:rsidRPr="0079698D">
        <w:rPr>
          <w:color w:val="000000"/>
        </w:rPr>
        <w:t xml:space="preserve">un </w:t>
      </w:r>
      <w:r w:rsidR="00AF623E" w:rsidRPr="0079698D">
        <w:rPr>
          <w:color w:val="000000"/>
        </w:rPr>
        <w:t>[pers. C]</w:t>
      </w:r>
      <w:r w:rsidRPr="0079698D">
        <w:rPr>
          <w:color w:val="000000"/>
        </w:rPr>
        <w:t xml:space="preserve"> 2019. gada 21. novembrī Rīgas pilsētas Vidzemes priekšpilsētas tiesā iesnieguši pieteikumu par puses procesuālo tiesību pārņemšanu, lūdzot aizstāt prasītāju </w:t>
      </w:r>
      <w:r w:rsidR="00AF623E" w:rsidRPr="0079698D">
        <w:rPr>
          <w:color w:val="000000"/>
        </w:rPr>
        <w:t xml:space="preserve">[pers. B] </w:t>
      </w:r>
      <w:r w:rsidRPr="0079698D">
        <w:rPr>
          <w:color w:val="000000"/>
        </w:rPr>
        <w:t xml:space="preserve">ar </w:t>
      </w:r>
      <w:r w:rsidR="00AF623E" w:rsidRPr="0079698D">
        <w:rPr>
          <w:color w:val="000000"/>
        </w:rPr>
        <w:t>[pers. C]</w:t>
      </w:r>
      <w:r w:rsidRPr="0079698D">
        <w:rPr>
          <w:color w:val="000000"/>
        </w:rPr>
        <w:t xml:space="preserve">. </w:t>
      </w:r>
    </w:p>
    <w:p w14:paraId="0D85F058" w14:textId="089096E1" w:rsidR="00F80A93" w:rsidRPr="0079698D" w:rsidRDefault="00F80A93" w:rsidP="00F80A93">
      <w:pPr>
        <w:pStyle w:val="NormalWeb"/>
        <w:spacing w:before="0" w:beforeAutospacing="0" w:after="0" w:afterAutospacing="0" w:line="276" w:lineRule="auto"/>
        <w:jc w:val="both"/>
        <w:rPr>
          <w:color w:val="000000"/>
        </w:rPr>
      </w:pPr>
      <w:r w:rsidRPr="0079698D">
        <w:rPr>
          <w:color w:val="000000"/>
        </w:rPr>
        <w:tab/>
        <w:t xml:space="preserve">Ar Rīgas pilsētas Vidzemes priekšpilsētas tiesas 2019. gada 23. decembra lēmumu prasītājs </w:t>
      </w:r>
      <w:r w:rsidR="00AF623E" w:rsidRPr="0079698D">
        <w:rPr>
          <w:color w:val="000000"/>
        </w:rPr>
        <w:t xml:space="preserve">[pers. B] </w:t>
      </w:r>
      <w:r w:rsidRPr="0079698D">
        <w:rPr>
          <w:color w:val="000000"/>
        </w:rPr>
        <w:t xml:space="preserve">aizstāts ar tiesību pārņēmēju </w:t>
      </w:r>
      <w:r w:rsidR="00AF623E" w:rsidRPr="0079698D">
        <w:rPr>
          <w:color w:val="000000"/>
        </w:rPr>
        <w:t>[pers. C]</w:t>
      </w:r>
      <w:r w:rsidRPr="0079698D">
        <w:rPr>
          <w:color w:val="000000"/>
        </w:rPr>
        <w:t xml:space="preserve">. </w:t>
      </w:r>
    </w:p>
    <w:p w14:paraId="28279099" w14:textId="77777777" w:rsidR="00131359" w:rsidRPr="0079698D" w:rsidRDefault="00131359" w:rsidP="00F80A93">
      <w:pPr>
        <w:pStyle w:val="NormalWeb"/>
        <w:spacing w:before="0" w:beforeAutospacing="0" w:after="0" w:afterAutospacing="0" w:line="276" w:lineRule="auto"/>
        <w:jc w:val="both"/>
        <w:rPr>
          <w:color w:val="000000"/>
        </w:rPr>
      </w:pPr>
    </w:p>
    <w:p w14:paraId="69D96359" w14:textId="42DBEC96" w:rsidR="00515090" w:rsidRPr="0079698D" w:rsidRDefault="00131359" w:rsidP="00515090">
      <w:pPr>
        <w:pStyle w:val="NormalWeb"/>
        <w:spacing w:before="0" w:beforeAutospacing="0" w:after="0" w:afterAutospacing="0" w:line="276" w:lineRule="auto"/>
        <w:jc w:val="both"/>
        <w:rPr>
          <w:color w:val="000000"/>
        </w:rPr>
      </w:pPr>
      <w:r w:rsidRPr="0079698D">
        <w:rPr>
          <w:color w:val="000000"/>
        </w:rPr>
        <w:tab/>
        <w:t xml:space="preserve">[4] Ar Rīgas pilsētas Vidzemes priekšpilsētas tiesas 2021. gada 9. jūlija spriedumu un Rīgas apgabaltiesas Civillietu tiesas kolēģijas 2022. gada 6. maija spriedumu </w:t>
      </w:r>
      <w:r w:rsidR="00FB3B0E" w:rsidRPr="0079698D">
        <w:rPr>
          <w:color w:val="000000"/>
        </w:rPr>
        <w:t xml:space="preserve">[pers. C] </w:t>
      </w:r>
      <w:r w:rsidRPr="0079698D">
        <w:rPr>
          <w:color w:val="000000"/>
        </w:rPr>
        <w:t xml:space="preserve">prasība pret </w:t>
      </w:r>
      <w:r w:rsidR="00AF623E" w:rsidRPr="0079698D">
        <w:rPr>
          <w:color w:val="000000"/>
        </w:rPr>
        <w:t>[pers. A]</w:t>
      </w:r>
      <w:r w:rsidR="00515090" w:rsidRPr="0079698D">
        <w:rPr>
          <w:color w:val="000000"/>
        </w:rPr>
        <w:t xml:space="preserve"> par parāda piedziņu</w:t>
      </w:r>
      <w:r w:rsidRPr="0079698D">
        <w:rPr>
          <w:color w:val="000000"/>
        </w:rPr>
        <w:t xml:space="preserve"> noraidīta.</w:t>
      </w:r>
    </w:p>
    <w:p w14:paraId="2088F609" w14:textId="7D30A082" w:rsidR="00515090" w:rsidRPr="0079698D" w:rsidRDefault="00515090" w:rsidP="00515090">
      <w:pPr>
        <w:pStyle w:val="NormalWeb"/>
        <w:spacing w:before="0" w:beforeAutospacing="0" w:after="0" w:afterAutospacing="0" w:line="276" w:lineRule="auto"/>
        <w:jc w:val="both"/>
        <w:rPr>
          <w:color w:val="000000"/>
        </w:rPr>
      </w:pPr>
      <w:r w:rsidRPr="0079698D">
        <w:rPr>
          <w:color w:val="000000"/>
        </w:rPr>
        <w:tab/>
        <w:t xml:space="preserve">Rīgas apgabaltiesas Civillietu tiesas kolēģija piedzinusi no </w:t>
      </w:r>
      <w:r w:rsidR="00FB3B0E" w:rsidRPr="0079698D">
        <w:rPr>
          <w:color w:val="000000"/>
        </w:rPr>
        <w:t xml:space="preserve">[pers. C] </w:t>
      </w:r>
      <w:r w:rsidR="00AF623E" w:rsidRPr="0079698D">
        <w:rPr>
          <w:color w:val="000000"/>
        </w:rPr>
        <w:t>[pers. A]</w:t>
      </w:r>
      <w:r w:rsidRPr="0079698D">
        <w:rPr>
          <w:color w:val="000000"/>
        </w:rPr>
        <w:t xml:space="preserve"> labā izdevumus advokāta palīdzības samaksai 6909,99</w:t>
      </w:r>
      <w:r w:rsidR="00FB3B0E" w:rsidRPr="0079698D">
        <w:rPr>
          <w:color w:val="000000"/>
        </w:rPr>
        <w:t> </w:t>
      </w:r>
      <w:r w:rsidRPr="0079698D">
        <w:rPr>
          <w:color w:val="000000"/>
        </w:rPr>
        <w:t>EUR</w:t>
      </w:r>
      <w:r w:rsidR="00B64EEB" w:rsidRPr="0079698D">
        <w:rPr>
          <w:color w:val="000000"/>
        </w:rPr>
        <w:t>, bet valsts ienākumos – ar lietas izskatīšanu saistītos izdevumus 7,87</w:t>
      </w:r>
      <w:r w:rsidR="00FB3B0E" w:rsidRPr="0079698D">
        <w:rPr>
          <w:color w:val="000000"/>
        </w:rPr>
        <w:t> </w:t>
      </w:r>
      <w:r w:rsidR="00B64EEB" w:rsidRPr="0079698D">
        <w:rPr>
          <w:color w:val="000000"/>
        </w:rPr>
        <w:t>EUR.</w:t>
      </w:r>
    </w:p>
    <w:p w14:paraId="064A04C0" w14:textId="7B55BC07" w:rsidR="00131359" w:rsidRPr="0079698D" w:rsidRDefault="00131359" w:rsidP="00F80A93">
      <w:pPr>
        <w:pStyle w:val="NormalWeb"/>
        <w:spacing w:before="0" w:beforeAutospacing="0" w:after="0" w:afterAutospacing="0" w:line="276" w:lineRule="auto"/>
        <w:jc w:val="both"/>
        <w:rPr>
          <w:color w:val="000000"/>
        </w:rPr>
      </w:pPr>
      <w:r w:rsidRPr="0079698D">
        <w:rPr>
          <w:color w:val="000000"/>
        </w:rPr>
        <w:lastRenderedPageBreak/>
        <w:tab/>
        <w:t xml:space="preserve">Par Rīgas apgabaltiesas Civillietu tiesas kolēģijas 2022. gada 6. maija spriedumu </w:t>
      </w:r>
      <w:r w:rsidR="00FB3B0E" w:rsidRPr="0079698D">
        <w:rPr>
          <w:color w:val="000000"/>
        </w:rPr>
        <w:t xml:space="preserve">[pers. C] </w:t>
      </w:r>
      <w:r w:rsidRPr="0079698D">
        <w:rPr>
          <w:color w:val="000000"/>
        </w:rPr>
        <w:t xml:space="preserve">iesniedzis kasācijas sūdzību. </w:t>
      </w:r>
    </w:p>
    <w:p w14:paraId="76D4D1D6" w14:textId="77777777" w:rsidR="00131359" w:rsidRPr="0079698D" w:rsidRDefault="00131359" w:rsidP="00F80A93">
      <w:pPr>
        <w:pStyle w:val="NormalWeb"/>
        <w:spacing w:before="0" w:beforeAutospacing="0" w:after="0" w:afterAutospacing="0" w:line="276" w:lineRule="auto"/>
        <w:jc w:val="both"/>
        <w:rPr>
          <w:color w:val="000000"/>
        </w:rPr>
      </w:pPr>
    </w:p>
    <w:p w14:paraId="2A607825" w14:textId="3468B4C4" w:rsidR="00131359" w:rsidRPr="0079698D" w:rsidRDefault="00131359" w:rsidP="00131359">
      <w:pPr>
        <w:pStyle w:val="NormalWeb"/>
        <w:spacing w:before="0" w:beforeAutospacing="0" w:after="0" w:afterAutospacing="0" w:line="276" w:lineRule="auto"/>
        <w:jc w:val="both"/>
        <w:rPr>
          <w:color w:val="000000"/>
        </w:rPr>
      </w:pPr>
      <w:r w:rsidRPr="0079698D">
        <w:rPr>
          <w:color w:val="000000"/>
        </w:rPr>
        <w:tab/>
        <w:t xml:space="preserve">[5] </w:t>
      </w:r>
      <w:r w:rsidR="00FB3B0E" w:rsidRPr="0079698D">
        <w:rPr>
          <w:color w:val="000000"/>
        </w:rPr>
        <w:t xml:space="preserve">Pers. C] </w:t>
      </w:r>
      <w:r w:rsidRPr="0079698D">
        <w:rPr>
          <w:color w:val="000000"/>
        </w:rPr>
        <w:t>un SIA</w:t>
      </w:r>
      <w:r w:rsidR="0022785A">
        <w:rPr>
          <w:color w:val="000000"/>
        </w:rPr>
        <w:t> </w:t>
      </w:r>
      <w:r w:rsidRPr="0079698D">
        <w:rPr>
          <w:color w:val="000000"/>
        </w:rPr>
        <w:t xml:space="preserve">,,Alpha Trade” 2022. gada 13. maijā Rīgas apgabaltiesas Civillietu tiesas kolēģijā iesnieguši pieteikumu par puses procesuālo tiesību pārņemšanu, lūdzot aizstāt prasītāju </w:t>
      </w:r>
      <w:r w:rsidR="00FB3B0E" w:rsidRPr="0079698D">
        <w:rPr>
          <w:color w:val="000000"/>
        </w:rPr>
        <w:t xml:space="preserve">[pers. C] </w:t>
      </w:r>
      <w:r w:rsidRPr="0079698D">
        <w:rPr>
          <w:color w:val="000000"/>
        </w:rPr>
        <w:t>ar SIA</w:t>
      </w:r>
      <w:r w:rsidR="0022785A">
        <w:rPr>
          <w:color w:val="000000"/>
        </w:rPr>
        <w:t> </w:t>
      </w:r>
      <w:r w:rsidRPr="0079698D">
        <w:rPr>
          <w:color w:val="000000"/>
        </w:rPr>
        <w:t>,,Alpha Trade”.</w:t>
      </w:r>
    </w:p>
    <w:p w14:paraId="563B5F88" w14:textId="0A305233" w:rsidR="00CC2279" w:rsidRPr="0079698D" w:rsidRDefault="00CC2279" w:rsidP="00131359">
      <w:pPr>
        <w:pStyle w:val="NormalWeb"/>
        <w:spacing w:before="0" w:beforeAutospacing="0" w:after="0" w:afterAutospacing="0" w:line="276" w:lineRule="auto"/>
        <w:jc w:val="both"/>
        <w:rPr>
          <w:color w:val="000000"/>
        </w:rPr>
      </w:pPr>
    </w:p>
    <w:p w14:paraId="50962461" w14:textId="2170A2BE" w:rsidR="007306E3" w:rsidRPr="0079698D" w:rsidRDefault="00CC2279" w:rsidP="007306E3">
      <w:pPr>
        <w:pStyle w:val="NormalWeb"/>
        <w:spacing w:before="0" w:beforeAutospacing="0" w:after="0" w:afterAutospacing="0" w:line="276" w:lineRule="auto"/>
        <w:jc w:val="both"/>
        <w:rPr>
          <w:color w:val="000000"/>
        </w:rPr>
      </w:pPr>
      <w:r w:rsidRPr="0079698D">
        <w:rPr>
          <w:color w:val="000000"/>
        </w:rPr>
        <w:tab/>
        <w:t xml:space="preserve">[6] Ar Rīgas apgabaltiesas Civillietu tiesas kolēģijas 2022. gada 10. jūnija lēmumu </w:t>
      </w:r>
      <w:r w:rsidR="00FB3B0E" w:rsidRPr="0079698D">
        <w:rPr>
          <w:color w:val="000000"/>
        </w:rPr>
        <w:t xml:space="preserve">[pers. C] </w:t>
      </w:r>
      <w:r w:rsidR="007306E3" w:rsidRPr="0079698D">
        <w:rPr>
          <w:color w:val="000000"/>
        </w:rPr>
        <w:t>un SIA</w:t>
      </w:r>
      <w:r w:rsidR="0022785A">
        <w:rPr>
          <w:color w:val="000000"/>
        </w:rPr>
        <w:t> </w:t>
      </w:r>
      <w:r w:rsidR="007306E3" w:rsidRPr="0079698D">
        <w:rPr>
          <w:color w:val="000000"/>
        </w:rPr>
        <w:t xml:space="preserve">,,Alpha Trade” pieteikums apmierināts. Tiesa aizstājusi prasītāju </w:t>
      </w:r>
      <w:r w:rsidR="00FB3B0E" w:rsidRPr="0079698D">
        <w:rPr>
          <w:color w:val="000000"/>
        </w:rPr>
        <w:t xml:space="preserve">[pers. C] </w:t>
      </w:r>
      <w:r w:rsidR="007306E3" w:rsidRPr="0079698D">
        <w:rPr>
          <w:color w:val="000000"/>
        </w:rPr>
        <w:t>ar tiesību pārņēmēju SIA</w:t>
      </w:r>
      <w:proofErr w:type="gramStart"/>
      <w:r w:rsidR="007306E3" w:rsidRPr="0079698D">
        <w:rPr>
          <w:color w:val="000000"/>
        </w:rPr>
        <w:t xml:space="preserve"> </w:t>
      </w:r>
      <w:r w:rsidR="0022785A">
        <w:rPr>
          <w:color w:val="000000"/>
        </w:rPr>
        <w:t> </w:t>
      </w:r>
      <w:r w:rsidR="007306E3" w:rsidRPr="0079698D">
        <w:rPr>
          <w:color w:val="000000"/>
        </w:rPr>
        <w:t>,A</w:t>
      </w:r>
      <w:proofErr w:type="gramEnd"/>
      <w:r w:rsidR="007306E3" w:rsidRPr="0079698D">
        <w:rPr>
          <w:color w:val="000000"/>
        </w:rPr>
        <w:t xml:space="preserve">lpha Trade”. </w:t>
      </w:r>
    </w:p>
    <w:p w14:paraId="0A31AB4B" w14:textId="4434C62E" w:rsidR="000D3B48" w:rsidRPr="0079698D" w:rsidRDefault="007306E3" w:rsidP="004645EC">
      <w:pPr>
        <w:pStyle w:val="NormalWeb"/>
        <w:spacing w:before="0" w:beforeAutospacing="0" w:after="0" w:afterAutospacing="0" w:line="276" w:lineRule="auto"/>
        <w:jc w:val="both"/>
        <w:rPr>
          <w:color w:val="000000"/>
        </w:rPr>
      </w:pPr>
      <w:r w:rsidRPr="0079698D">
        <w:rPr>
          <w:color w:val="000000"/>
        </w:rPr>
        <w:tab/>
      </w:r>
      <w:r w:rsidR="000D3B48" w:rsidRPr="0079698D">
        <w:rPr>
          <w:color w:val="000000"/>
        </w:rPr>
        <w:t>Lēmum</w:t>
      </w:r>
      <w:r w:rsidR="004645EC" w:rsidRPr="0079698D">
        <w:rPr>
          <w:color w:val="000000"/>
        </w:rPr>
        <w:t xml:space="preserve">ā norādīts, ka ar 2022. gada 13. maija cesijas līgumu </w:t>
      </w:r>
      <w:r w:rsidR="00FB3B0E" w:rsidRPr="0079698D">
        <w:rPr>
          <w:color w:val="000000"/>
        </w:rPr>
        <w:t xml:space="preserve">[pers. C] </w:t>
      </w:r>
      <w:r w:rsidR="004645EC" w:rsidRPr="0079698D">
        <w:rPr>
          <w:color w:val="000000"/>
        </w:rPr>
        <w:t>nodevis SIA</w:t>
      </w:r>
      <w:proofErr w:type="gramStart"/>
      <w:r w:rsidR="004645EC" w:rsidRPr="0079698D">
        <w:rPr>
          <w:color w:val="000000"/>
        </w:rPr>
        <w:t xml:space="preserve"> </w:t>
      </w:r>
      <w:r w:rsidR="0022785A">
        <w:rPr>
          <w:color w:val="000000"/>
        </w:rPr>
        <w:t> </w:t>
      </w:r>
      <w:r w:rsidR="004645EC" w:rsidRPr="0079698D">
        <w:rPr>
          <w:color w:val="000000"/>
        </w:rPr>
        <w:t>,A</w:t>
      </w:r>
      <w:proofErr w:type="gramEnd"/>
      <w:r w:rsidR="004645EC" w:rsidRPr="0079698D">
        <w:rPr>
          <w:color w:val="000000"/>
        </w:rPr>
        <w:t xml:space="preserve">lpha Trade” prasījuma tiesības pret parādnieku </w:t>
      </w:r>
      <w:r w:rsidR="00AF623E" w:rsidRPr="0079698D">
        <w:rPr>
          <w:color w:val="000000"/>
        </w:rPr>
        <w:t>[pers. A]</w:t>
      </w:r>
      <w:r w:rsidR="004645EC" w:rsidRPr="0079698D">
        <w:rPr>
          <w:color w:val="000000"/>
        </w:rPr>
        <w:t>. SIA</w:t>
      </w:r>
      <w:r w:rsidR="008D521C" w:rsidRPr="0079698D">
        <w:rPr>
          <w:color w:val="000000"/>
        </w:rPr>
        <w:t> </w:t>
      </w:r>
      <w:r w:rsidR="004645EC" w:rsidRPr="0079698D">
        <w:rPr>
          <w:color w:val="000000"/>
        </w:rPr>
        <w:t>,,Alpha Trade”</w:t>
      </w:r>
      <w:r w:rsidR="00BB7CE2" w:rsidRPr="0079698D">
        <w:rPr>
          <w:color w:val="000000"/>
        </w:rPr>
        <w:t xml:space="preserve"> </w:t>
      </w:r>
      <w:r w:rsidR="004645EC" w:rsidRPr="0079698D">
        <w:rPr>
          <w:color w:val="000000"/>
        </w:rPr>
        <w:t xml:space="preserve">2022. gada 13. maija vēstule apstiprina, ka </w:t>
      </w:r>
      <w:r w:rsidR="00AF623E" w:rsidRPr="0079698D">
        <w:rPr>
          <w:color w:val="000000"/>
        </w:rPr>
        <w:t>[pers. A]</w:t>
      </w:r>
      <w:r w:rsidR="004645EC" w:rsidRPr="0079698D">
        <w:rPr>
          <w:color w:val="000000"/>
        </w:rPr>
        <w:t xml:space="preserve"> paziņots par prasījuma tiesību cesiju. </w:t>
      </w:r>
    </w:p>
    <w:p w14:paraId="084B0963" w14:textId="1FEB8098" w:rsidR="004645EC" w:rsidRPr="0079698D" w:rsidRDefault="004645EC" w:rsidP="004645EC">
      <w:pPr>
        <w:pStyle w:val="NormalWeb"/>
        <w:spacing w:before="0" w:beforeAutospacing="0" w:after="0" w:afterAutospacing="0" w:line="276" w:lineRule="auto"/>
        <w:jc w:val="both"/>
        <w:rPr>
          <w:color w:val="000000"/>
        </w:rPr>
      </w:pPr>
      <w:r w:rsidRPr="0079698D">
        <w:rPr>
          <w:color w:val="000000"/>
        </w:rPr>
        <w:tab/>
      </w:r>
      <w:r w:rsidR="00AF623E" w:rsidRPr="0079698D">
        <w:rPr>
          <w:color w:val="000000"/>
        </w:rPr>
        <w:t>[</w:t>
      </w:r>
      <w:r w:rsidR="00FB3B0E" w:rsidRPr="0079698D">
        <w:rPr>
          <w:color w:val="000000"/>
        </w:rPr>
        <w:t>P</w:t>
      </w:r>
      <w:r w:rsidR="00AF623E" w:rsidRPr="0079698D">
        <w:rPr>
          <w:color w:val="000000"/>
        </w:rPr>
        <w:t>ers. A]</w:t>
      </w:r>
      <w:r w:rsidRPr="0079698D">
        <w:rPr>
          <w:color w:val="000000"/>
        </w:rPr>
        <w:t xml:space="preserve"> iebildumi, ka prasītāja aizstāšana var nelabvēlīgi ietekmēt sprieduma izpildi, jo patiesais </w:t>
      </w:r>
      <w:r w:rsidR="00BB7CE2" w:rsidRPr="0079698D">
        <w:rPr>
          <w:color w:val="000000"/>
        </w:rPr>
        <w:t>prasījuma</w:t>
      </w:r>
      <w:r w:rsidR="0009582D" w:rsidRPr="0079698D">
        <w:rPr>
          <w:color w:val="000000"/>
        </w:rPr>
        <w:t xml:space="preserve"> tiesību</w:t>
      </w:r>
      <w:r w:rsidR="00BB7CE2" w:rsidRPr="0079698D">
        <w:rPr>
          <w:color w:val="000000"/>
        </w:rPr>
        <w:t xml:space="preserve"> cesijas mērķis ir atsvabināties no ar lietas vešanu saistīto izdevumu par labu atbildētājam un ar lietas izskatīšanu saistīto izdevumu </w:t>
      </w:r>
      <w:r w:rsidR="00B64EEB" w:rsidRPr="0079698D">
        <w:rPr>
          <w:color w:val="000000"/>
        </w:rPr>
        <w:t xml:space="preserve">valsts labā </w:t>
      </w:r>
      <w:r w:rsidR="00BB7CE2" w:rsidRPr="0079698D">
        <w:rPr>
          <w:color w:val="000000"/>
        </w:rPr>
        <w:t xml:space="preserve">samaksas, ir viņa subjektīvs viedoklis. Tas nedod pamatu pieteikuma par puses procesuālo tiesību pārņemšanu noraidīšanai. </w:t>
      </w:r>
    </w:p>
    <w:p w14:paraId="0B1D433E" w14:textId="22741868" w:rsidR="00BB7CE2" w:rsidRPr="0079698D" w:rsidRDefault="00BB7CE2" w:rsidP="004645EC">
      <w:pPr>
        <w:pStyle w:val="NormalWeb"/>
        <w:spacing w:before="0" w:beforeAutospacing="0" w:after="0" w:afterAutospacing="0" w:line="276" w:lineRule="auto"/>
        <w:jc w:val="both"/>
        <w:rPr>
          <w:color w:val="000000"/>
        </w:rPr>
      </w:pPr>
      <w:r w:rsidRPr="0079698D">
        <w:rPr>
          <w:color w:val="000000"/>
        </w:rPr>
        <w:tab/>
        <w:t xml:space="preserve">Nav pamata atzīt, ka prasītāja aizstāšana kavēs sprieduma izpildi. Uz tiesību pārņēmēju no iestāšanās brīža pāries visas prasītāja procesuālās tiesības un pienākumi. </w:t>
      </w:r>
    </w:p>
    <w:p w14:paraId="51FB13AF" w14:textId="77777777" w:rsidR="00BB7CE2" w:rsidRPr="0079698D" w:rsidRDefault="00BB7CE2" w:rsidP="004645EC">
      <w:pPr>
        <w:pStyle w:val="NormalWeb"/>
        <w:spacing w:before="0" w:beforeAutospacing="0" w:after="0" w:afterAutospacing="0" w:line="276" w:lineRule="auto"/>
        <w:jc w:val="both"/>
        <w:rPr>
          <w:color w:val="000000"/>
        </w:rPr>
      </w:pPr>
    </w:p>
    <w:p w14:paraId="2C695045" w14:textId="22D9911D" w:rsidR="00BB7CE2" w:rsidRPr="0079698D" w:rsidRDefault="00BB7CE2" w:rsidP="004645EC">
      <w:pPr>
        <w:pStyle w:val="NormalWeb"/>
        <w:spacing w:before="0" w:beforeAutospacing="0" w:after="0" w:afterAutospacing="0" w:line="276" w:lineRule="auto"/>
        <w:jc w:val="both"/>
        <w:rPr>
          <w:color w:val="000000"/>
        </w:rPr>
      </w:pPr>
      <w:r w:rsidRPr="0079698D">
        <w:rPr>
          <w:color w:val="000000"/>
        </w:rPr>
        <w:tab/>
        <w:t xml:space="preserve">[7] Blakus sūdzību par minēto lēmumu iesniedzis </w:t>
      </w:r>
      <w:r w:rsidR="00AF623E" w:rsidRPr="0079698D">
        <w:rPr>
          <w:color w:val="000000"/>
        </w:rPr>
        <w:t>[pers. A]</w:t>
      </w:r>
      <w:r w:rsidRPr="0079698D">
        <w:rPr>
          <w:color w:val="000000"/>
        </w:rPr>
        <w:t xml:space="preserve">, </w:t>
      </w:r>
      <w:proofErr w:type="gramStart"/>
      <w:r w:rsidRPr="0079698D">
        <w:rPr>
          <w:color w:val="000000"/>
        </w:rPr>
        <w:t>lūdzot to atcelt</w:t>
      </w:r>
      <w:proofErr w:type="gramEnd"/>
      <w:r w:rsidRPr="0079698D">
        <w:rPr>
          <w:color w:val="000000"/>
        </w:rPr>
        <w:t xml:space="preserve"> un izlemt jautājumu pēc būtības. </w:t>
      </w:r>
    </w:p>
    <w:p w14:paraId="15F800BA" w14:textId="395AE8B0" w:rsidR="00BB7CE2" w:rsidRPr="0079698D" w:rsidRDefault="00BB7CE2" w:rsidP="005F5118">
      <w:pPr>
        <w:pStyle w:val="NormalWeb"/>
        <w:spacing w:before="0" w:beforeAutospacing="0" w:after="0" w:afterAutospacing="0" w:line="276" w:lineRule="auto"/>
        <w:jc w:val="both"/>
        <w:rPr>
          <w:color w:val="000000"/>
        </w:rPr>
      </w:pPr>
      <w:r w:rsidRPr="0079698D">
        <w:rPr>
          <w:color w:val="000000"/>
        </w:rPr>
        <w:tab/>
        <w:t>Blakus sūdzībā norādīt</w:t>
      </w:r>
      <w:r w:rsidR="00515090" w:rsidRPr="0079698D">
        <w:rPr>
          <w:color w:val="000000"/>
        </w:rPr>
        <w:t xml:space="preserve">s, ka </w:t>
      </w:r>
      <w:r w:rsidR="005F5118" w:rsidRPr="0079698D">
        <w:rPr>
          <w:color w:val="000000"/>
        </w:rPr>
        <w:t xml:space="preserve">tiesa pārkāpusi Civilprocesa likuma 77. pantu. No Civilprocesa likuma 77. panta neizriet, ka tiesai būtu beznosacījuma pienākums piekrist aizstāt kādu no pusēm ar tās tiesību pārņēmēju. </w:t>
      </w:r>
    </w:p>
    <w:p w14:paraId="163C36E8" w14:textId="12061500" w:rsidR="00DE0DB9" w:rsidRPr="0079698D" w:rsidRDefault="005F5118" w:rsidP="00DE0DB9">
      <w:pPr>
        <w:pStyle w:val="NormalWeb"/>
        <w:spacing w:before="0" w:beforeAutospacing="0" w:after="0" w:afterAutospacing="0" w:line="276" w:lineRule="auto"/>
        <w:jc w:val="both"/>
        <w:rPr>
          <w:color w:val="000000"/>
        </w:rPr>
      </w:pPr>
      <w:r w:rsidRPr="0079698D">
        <w:rPr>
          <w:color w:val="000000"/>
        </w:rPr>
        <w:tab/>
        <w:t xml:space="preserve">Konkrētajā gadījumā </w:t>
      </w:r>
      <w:proofErr w:type="gramStart"/>
      <w:r w:rsidRPr="0079698D">
        <w:rPr>
          <w:color w:val="000000"/>
        </w:rPr>
        <w:t xml:space="preserve">Rīgas apgabaltiesā iesniegtais pieteikums par </w:t>
      </w:r>
      <w:r w:rsidR="00B64EEB" w:rsidRPr="0079698D">
        <w:rPr>
          <w:color w:val="000000"/>
        </w:rPr>
        <w:t xml:space="preserve">puses </w:t>
      </w:r>
      <w:r w:rsidRPr="0079698D">
        <w:rPr>
          <w:color w:val="000000"/>
        </w:rPr>
        <w:t>procesuālo tiesību pārņemšanu,</w:t>
      </w:r>
      <w:proofErr w:type="gramEnd"/>
      <w:r w:rsidRPr="0079698D">
        <w:rPr>
          <w:color w:val="000000"/>
        </w:rPr>
        <w:t xml:space="preserve"> liecina par prasītāja vēlmi atbrīvoties no ar lietas vešanu saistīto izdevumu </w:t>
      </w:r>
      <w:r w:rsidR="00DE0DB9" w:rsidRPr="0079698D">
        <w:rPr>
          <w:color w:val="000000"/>
        </w:rPr>
        <w:t>atlīdzināšanu</w:t>
      </w:r>
      <w:r w:rsidRPr="0079698D">
        <w:rPr>
          <w:color w:val="000000"/>
        </w:rPr>
        <w:t xml:space="preserve"> atbildētājam. </w:t>
      </w:r>
      <w:r w:rsidR="00DE0DB9" w:rsidRPr="0079698D">
        <w:rPr>
          <w:color w:val="000000"/>
        </w:rPr>
        <w:t>Cesionāre SIA</w:t>
      </w:r>
      <w:r w:rsidR="0022785A">
        <w:rPr>
          <w:color w:val="000000"/>
        </w:rPr>
        <w:t> </w:t>
      </w:r>
      <w:r w:rsidR="00DE0DB9" w:rsidRPr="0079698D">
        <w:rPr>
          <w:color w:val="000000"/>
        </w:rPr>
        <w:t>,,Alpha Trade” ir izslēgta no VID Pievienotās vērtības nodokļu maksātāj</w:t>
      </w:r>
      <w:r w:rsidR="009E7E20" w:rsidRPr="0079698D">
        <w:rPr>
          <w:color w:val="000000"/>
        </w:rPr>
        <w:t>u</w:t>
      </w:r>
      <w:r w:rsidR="00DE0DB9" w:rsidRPr="0079698D">
        <w:rPr>
          <w:color w:val="000000"/>
        </w:rPr>
        <w:t xml:space="preserve"> reģistra, 2021.</w:t>
      </w:r>
      <w:r w:rsidR="00D642E7" w:rsidRPr="0079698D">
        <w:rPr>
          <w:color w:val="000000"/>
        </w:rPr>
        <w:t xml:space="preserve"> gadā</w:t>
      </w:r>
      <w:r w:rsidR="00FB3B0E" w:rsidRPr="0079698D">
        <w:rPr>
          <w:color w:val="000000"/>
        </w:rPr>
        <w:t xml:space="preserve"> </w:t>
      </w:r>
      <w:r w:rsidR="00DE0DB9" w:rsidRPr="0079698D">
        <w:rPr>
          <w:color w:val="000000"/>
        </w:rPr>
        <w:t xml:space="preserve">un iepriekšējos gados uzņēmuma apgrozījums bijis </w:t>
      </w:r>
      <w:r w:rsidR="009D34DD" w:rsidRPr="0079698D">
        <w:rPr>
          <w:color w:val="000000"/>
        </w:rPr>
        <w:t>0</w:t>
      </w:r>
      <w:r w:rsidR="00BB7CEE">
        <w:rPr>
          <w:color w:val="000000"/>
        </w:rPr>
        <w:t> </w:t>
      </w:r>
      <w:r w:rsidR="009D34DD" w:rsidRPr="0079698D">
        <w:rPr>
          <w:color w:val="000000"/>
        </w:rPr>
        <w:t>EUR, dalībnieku skaits – 0, kā arī peļņa pēc nodokļu</w:t>
      </w:r>
      <w:proofErr w:type="gramStart"/>
      <w:r w:rsidR="009D34DD" w:rsidRPr="0079698D">
        <w:rPr>
          <w:color w:val="000000"/>
        </w:rPr>
        <w:t xml:space="preserve">  </w:t>
      </w:r>
      <w:proofErr w:type="gramEnd"/>
      <w:r w:rsidR="009D34DD" w:rsidRPr="0079698D">
        <w:rPr>
          <w:color w:val="000000"/>
        </w:rPr>
        <w:t>nomaksas   –   negatīva. No minētā secināms, ka SIA</w:t>
      </w:r>
      <w:r w:rsidR="0022785A">
        <w:rPr>
          <w:color w:val="000000"/>
        </w:rPr>
        <w:t> </w:t>
      </w:r>
      <w:r w:rsidR="009D34DD" w:rsidRPr="0079698D">
        <w:rPr>
          <w:color w:val="000000"/>
        </w:rPr>
        <w:t>,,Alpha Trade” neveic nekādu saimniecisko darbību. Līdz ar to nav ekonomiska pamatojuma</w:t>
      </w:r>
      <w:r w:rsidR="00B64EEB" w:rsidRPr="0079698D">
        <w:rPr>
          <w:color w:val="000000"/>
        </w:rPr>
        <w:t xml:space="preserve"> tam</w:t>
      </w:r>
      <w:r w:rsidR="009D34DD" w:rsidRPr="0079698D">
        <w:rPr>
          <w:color w:val="000000"/>
        </w:rPr>
        <w:t xml:space="preserve">, kādēļ šāda komercsabiedrība vēlētos uzņemties papildu saistības. </w:t>
      </w:r>
    </w:p>
    <w:p w14:paraId="1A2CB725" w14:textId="035702EE" w:rsidR="009A5750" w:rsidRPr="0079698D" w:rsidRDefault="009D34DD" w:rsidP="00F86166">
      <w:pPr>
        <w:pStyle w:val="NormalWeb"/>
        <w:spacing w:before="0" w:beforeAutospacing="0" w:after="0" w:afterAutospacing="0" w:line="276" w:lineRule="auto"/>
        <w:jc w:val="both"/>
        <w:rPr>
          <w:color w:val="000000"/>
        </w:rPr>
      </w:pPr>
      <w:r w:rsidRPr="0079698D">
        <w:rPr>
          <w:color w:val="000000"/>
        </w:rPr>
        <w:tab/>
      </w:r>
      <w:r w:rsidR="000E4ADD" w:rsidRPr="0079698D">
        <w:rPr>
          <w:color w:val="000000"/>
        </w:rPr>
        <w:t xml:space="preserve">Ir pamats uzskatīt, ka </w:t>
      </w:r>
      <w:r w:rsidR="009A5750" w:rsidRPr="0079698D">
        <w:rPr>
          <w:color w:val="000000"/>
        </w:rPr>
        <w:t>attiecīgā</w:t>
      </w:r>
      <w:r w:rsidR="000E4ADD" w:rsidRPr="0079698D">
        <w:rPr>
          <w:color w:val="000000"/>
        </w:rPr>
        <w:t xml:space="preserve"> situācijā prasītājs ar procesuālo tiesību nelabticīgu izlietošanu cenšas panākt, </w:t>
      </w:r>
      <w:r w:rsidR="00B64EEB" w:rsidRPr="0079698D">
        <w:rPr>
          <w:color w:val="000000"/>
        </w:rPr>
        <w:t>lai</w:t>
      </w:r>
      <w:r w:rsidR="000E4ADD" w:rsidRPr="0079698D">
        <w:rPr>
          <w:color w:val="000000"/>
        </w:rPr>
        <w:t xml:space="preserve"> sprieduma izpilde kļū</w:t>
      </w:r>
      <w:r w:rsidR="00B64EEB" w:rsidRPr="0079698D">
        <w:rPr>
          <w:color w:val="000000"/>
        </w:rPr>
        <w:t>tu</w:t>
      </w:r>
      <w:r w:rsidR="000E4ADD" w:rsidRPr="0079698D">
        <w:rPr>
          <w:color w:val="000000"/>
        </w:rPr>
        <w:t xml:space="preserve"> neiespējama. </w:t>
      </w:r>
    </w:p>
    <w:p w14:paraId="43BECA0E" w14:textId="095A4D70" w:rsidR="009A5750" w:rsidRPr="0079698D" w:rsidRDefault="009A5750" w:rsidP="00131359">
      <w:pPr>
        <w:pStyle w:val="NormalWeb"/>
        <w:spacing w:before="0" w:beforeAutospacing="0" w:after="0" w:afterAutospacing="0" w:line="276" w:lineRule="auto"/>
        <w:jc w:val="both"/>
        <w:rPr>
          <w:color w:val="000000"/>
        </w:rPr>
      </w:pPr>
      <w:r w:rsidRPr="0079698D">
        <w:rPr>
          <w:color w:val="000000"/>
        </w:rPr>
        <w:tab/>
      </w:r>
    </w:p>
    <w:p w14:paraId="23997032" w14:textId="77777777" w:rsidR="009A5750" w:rsidRPr="0079698D" w:rsidRDefault="009A5750" w:rsidP="009A5750">
      <w:pPr>
        <w:pStyle w:val="NormalWeb"/>
        <w:shd w:val="clear" w:color="auto" w:fill="FFFFFF"/>
        <w:spacing w:before="0" w:beforeAutospacing="0" w:after="0" w:afterAutospacing="0" w:line="276" w:lineRule="auto"/>
        <w:ind w:firstLine="720"/>
        <w:jc w:val="center"/>
        <w:rPr>
          <w:b/>
          <w:bCs/>
          <w:color w:val="000000"/>
        </w:rPr>
      </w:pPr>
      <w:r w:rsidRPr="0079698D">
        <w:rPr>
          <w:b/>
          <w:bCs/>
          <w:color w:val="000000"/>
        </w:rPr>
        <w:t>Motīvu daļa</w:t>
      </w:r>
    </w:p>
    <w:p w14:paraId="0DD0A2AF" w14:textId="77777777" w:rsidR="009A5750" w:rsidRPr="0079698D" w:rsidRDefault="009A5750" w:rsidP="009A5750">
      <w:pPr>
        <w:pStyle w:val="NormalWeb"/>
        <w:shd w:val="clear" w:color="auto" w:fill="FFFFFF"/>
        <w:spacing w:before="0" w:beforeAutospacing="0" w:after="0" w:afterAutospacing="0" w:line="276" w:lineRule="auto"/>
        <w:ind w:firstLine="720"/>
        <w:jc w:val="center"/>
        <w:rPr>
          <w:b/>
          <w:bCs/>
          <w:color w:val="000000"/>
        </w:rPr>
      </w:pPr>
    </w:p>
    <w:p w14:paraId="7D59F46F" w14:textId="79A2D9B9" w:rsidR="009A5750" w:rsidRPr="0079698D" w:rsidRDefault="009A5750" w:rsidP="009A5750">
      <w:pPr>
        <w:pStyle w:val="NormalWeb"/>
        <w:shd w:val="clear" w:color="auto" w:fill="FFFFFF"/>
        <w:spacing w:before="0" w:beforeAutospacing="0" w:after="0" w:afterAutospacing="0" w:line="276" w:lineRule="auto"/>
        <w:ind w:firstLine="720"/>
        <w:jc w:val="both"/>
        <w:rPr>
          <w:color w:val="000000"/>
        </w:rPr>
      </w:pPr>
      <w:r w:rsidRPr="0079698D">
        <w:rPr>
          <w:color w:val="000000"/>
        </w:rPr>
        <w:t xml:space="preserve">[8] Iepazinies ar lietas materiāliem un blakus sūdzības argumentiem, Senāts uzskata, ka Rīgas apgabaltiesas Civillietu tiesas kolēģijas 2022. gada 10. jūnija lēmums atceļams, un jautājums par puses procesuālo tiesību pārņemšanu izlemjams pēc būtības. </w:t>
      </w:r>
    </w:p>
    <w:p w14:paraId="266F23E5" w14:textId="77777777" w:rsidR="009A5750" w:rsidRPr="0079698D" w:rsidRDefault="009A5750" w:rsidP="009A5750">
      <w:pPr>
        <w:pStyle w:val="NormalWeb"/>
        <w:shd w:val="clear" w:color="auto" w:fill="FFFFFF"/>
        <w:spacing w:before="0" w:beforeAutospacing="0" w:after="0" w:afterAutospacing="0" w:line="276" w:lineRule="auto"/>
        <w:ind w:firstLine="720"/>
        <w:jc w:val="both"/>
        <w:rPr>
          <w:color w:val="000000"/>
        </w:rPr>
      </w:pPr>
    </w:p>
    <w:p w14:paraId="053584B9" w14:textId="37B9C203" w:rsidR="00DD659D" w:rsidRPr="0079698D" w:rsidRDefault="009A5750" w:rsidP="00DD659D">
      <w:pPr>
        <w:pStyle w:val="NormalWeb"/>
        <w:shd w:val="clear" w:color="auto" w:fill="FFFFFF"/>
        <w:spacing w:before="0" w:beforeAutospacing="0" w:after="0" w:afterAutospacing="0" w:line="276" w:lineRule="auto"/>
        <w:ind w:firstLine="720"/>
        <w:jc w:val="both"/>
        <w:rPr>
          <w:color w:val="000000"/>
        </w:rPr>
      </w:pPr>
      <w:r w:rsidRPr="0079698D">
        <w:rPr>
          <w:color w:val="000000"/>
        </w:rPr>
        <w:lastRenderedPageBreak/>
        <w:t xml:space="preserve">[9] </w:t>
      </w:r>
      <w:r w:rsidR="00DD659D" w:rsidRPr="0079698D">
        <w:rPr>
          <w:color w:val="000000"/>
        </w:rPr>
        <w:t>Lēmumam par piedzinēja procesuālo tiesību pārņemšanu, tāpat kā ikvienam tiesas nolēmumam, ir jābūt balstītam uz vispusīgi pārbaudītiem faktiskiem apstākļiem un lietas dalībnieku iesniegto pierādījumu izvērtējumu.</w:t>
      </w:r>
    </w:p>
    <w:p w14:paraId="1806B990" w14:textId="60A29706" w:rsidR="00DD659D" w:rsidRPr="0079698D" w:rsidRDefault="00DD659D" w:rsidP="00DD659D">
      <w:pPr>
        <w:pStyle w:val="NormalWeb"/>
        <w:shd w:val="clear" w:color="auto" w:fill="FFFFFF"/>
        <w:spacing w:before="0" w:beforeAutospacing="0" w:after="0" w:afterAutospacing="0" w:line="276" w:lineRule="auto"/>
        <w:ind w:firstLine="720"/>
        <w:jc w:val="both"/>
        <w:rPr>
          <w:color w:val="000000"/>
        </w:rPr>
      </w:pPr>
      <w:r w:rsidRPr="0079698D">
        <w:rPr>
          <w:color w:val="000000"/>
        </w:rPr>
        <w:t xml:space="preserve">[9.1] Civilprocesa likuma 77. pants reglamentē puses procesuālo tiesību pārņemšanu jebkurā procesa stadijā. Prasījuma cesija, ar kuru konkrētajā gadījumā pamatota piedzinēja tiesību pārņemšana, ir viens no Civilprocesa likuma 77. pantā minētajiem gadījumiem, kad viena no pusēm lietā izstājas, un tiesa pieļauj aizstāt šo pusi tās tiesību pārņēmējam. </w:t>
      </w:r>
    </w:p>
    <w:p w14:paraId="5A489114" w14:textId="0763F80C" w:rsidR="00DD659D" w:rsidRPr="0079698D" w:rsidRDefault="00DD659D" w:rsidP="00DD659D">
      <w:pPr>
        <w:pStyle w:val="NormalWeb"/>
        <w:shd w:val="clear" w:color="auto" w:fill="FFFFFF"/>
        <w:spacing w:before="0" w:beforeAutospacing="0" w:after="0" w:afterAutospacing="0" w:line="276" w:lineRule="auto"/>
        <w:ind w:firstLine="720"/>
        <w:jc w:val="both"/>
      </w:pPr>
      <w:r w:rsidRPr="0079698D">
        <w:rPr>
          <w:color w:val="000000"/>
        </w:rPr>
        <w:t xml:space="preserve">Šāda pieteikuma izskatīšanas gaitā tiesai (tiesnesim) jāapsver, pirmkārt, vai konkrētā tiesiskā attiecība vispār pieļauj tiesību pārņemšanu, otrkārt, vai lietā esošie pierādījumi apliecina prasījuma cesijas (parāda pārvedes) tiesiskumu </w:t>
      </w:r>
      <w:proofErr w:type="gramStart"/>
      <w:r w:rsidRPr="0079698D">
        <w:rPr>
          <w:color w:val="000000"/>
        </w:rPr>
        <w:t>(</w:t>
      </w:r>
      <w:proofErr w:type="gramEnd"/>
      <w:r w:rsidRPr="0079698D">
        <w:rPr>
          <w:color w:val="000000"/>
        </w:rPr>
        <w:t>sk.</w:t>
      </w:r>
      <w:r w:rsidR="00BA1894" w:rsidRPr="0079698D">
        <w:rPr>
          <w:color w:val="000000"/>
        </w:rPr>
        <w:t xml:space="preserve"> </w:t>
      </w:r>
      <w:r w:rsidR="00BA1894" w:rsidRPr="0079698D">
        <w:rPr>
          <w:i/>
          <w:iCs/>
          <w:color w:val="000000"/>
        </w:rPr>
        <w:t>Senāta 2019.</w:t>
      </w:r>
      <w:r w:rsidR="00BA1894" w:rsidRPr="0079698D">
        <w:rPr>
          <w:i/>
          <w:iCs/>
        </w:rPr>
        <w:t> </w:t>
      </w:r>
      <w:r w:rsidR="00BA1894" w:rsidRPr="0079698D">
        <w:rPr>
          <w:i/>
          <w:iCs/>
          <w:color w:val="000000"/>
        </w:rPr>
        <w:t>gada 24. janvāra lēmuma lietā Nr.</w:t>
      </w:r>
      <w:r w:rsidR="0022785A">
        <w:rPr>
          <w:i/>
          <w:iCs/>
          <w:color w:val="000000"/>
        </w:rPr>
        <w:t> </w:t>
      </w:r>
      <w:r w:rsidR="00BA1894" w:rsidRPr="0079698D">
        <w:rPr>
          <w:i/>
          <w:iCs/>
          <w:color w:val="000000"/>
        </w:rPr>
        <w:t xml:space="preserve">SPC-8/2019, </w:t>
      </w:r>
      <w:hyperlink r:id="rId8" w:history="1">
        <w:r w:rsidR="00BA1894" w:rsidRPr="0079698D">
          <w:rPr>
            <w:rStyle w:val="Hyperlink"/>
            <w:i/>
            <w:iCs/>
            <w:color w:val="auto"/>
            <w:shd w:val="clear" w:color="auto" w:fill="FFFFFF"/>
          </w:rPr>
          <w:t>ECLI:LV:AT:2019:0124.SPC000819.2.L</w:t>
        </w:r>
      </w:hyperlink>
      <w:r w:rsidR="00BA1894" w:rsidRPr="0079698D">
        <w:rPr>
          <w:i/>
          <w:iCs/>
        </w:rPr>
        <w:t xml:space="preserve">, </w:t>
      </w:r>
      <w:r w:rsidR="008B2348" w:rsidRPr="0079698D">
        <w:rPr>
          <w:i/>
          <w:iCs/>
        </w:rPr>
        <w:t>10.1. punktu</w:t>
      </w:r>
      <w:r w:rsidR="008B2348" w:rsidRPr="0079698D">
        <w:t xml:space="preserve">). </w:t>
      </w:r>
    </w:p>
    <w:p w14:paraId="61EC941E" w14:textId="212F9CA2" w:rsidR="0040325A" w:rsidRPr="0079698D" w:rsidRDefault="0003415D" w:rsidP="0003415D">
      <w:pPr>
        <w:pStyle w:val="NormalWeb"/>
        <w:shd w:val="clear" w:color="auto" w:fill="FFFFFF"/>
        <w:spacing w:before="0" w:beforeAutospacing="0" w:after="0" w:afterAutospacing="0" w:line="276" w:lineRule="auto"/>
        <w:ind w:firstLine="720"/>
        <w:jc w:val="both"/>
        <w:rPr>
          <w:color w:val="000000"/>
        </w:rPr>
      </w:pPr>
      <w:r w:rsidRPr="0079698D">
        <w:rPr>
          <w:color w:val="000000"/>
        </w:rPr>
        <w:t>Konkrētajā gadījumā cesijas līgums, kā to konstatējusi tiesa, ir noslēgts</w:t>
      </w:r>
      <w:r w:rsidR="000B5353" w:rsidRPr="0079698D">
        <w:rPr>
          <w:color w:val="000000"/>
        </w:rPr>
        <w:t>. Līdz ar to formāli</w:t>
      </w:r>
      <w:r w:rsidRPr="0079698D">
        <w:rPr>
          <w:color w:val="000000"/>
        </w:rPr>
        <w:t xml:space="preserve"> pastāv Civil</w:t>
      </w:r>
      <w:r w:rsidR="00667A6D" w:rsidRPr="0079698D">
        <w:rPr>
          <w:color w:val="000000"/>
        </w:rPr>
        <w:t>procesa likuma</w:t>
      </w:r>
      <w:r w:rsidRPr="0079698D">
        <w:rPr>
          <w:color w:val="000000"/>
        </w:rPr>
        <w:t xml:space="preserve"> 77. panta pirmajā daļā minētais priekšnoteikums prasītāja procesuālo tiesību pārņemšanai. </w:t>
      </w:r>
    </w:p>
    <w:p w14:paraId="05561809" w14:textId="1132355E" w:rsidR="007D4012" w:rsidRPr="0079698D" w:rsidRDefault="00902817" w:rsidP="00902817">
      <w:pPr>
        <w:pStyle w:val="NormalWeb"/>
        <w:shd w:val="clear" w:color="auto" w:fill="FFFFFF"/>
        <w:spacing w:before="0" w:beforeAutospacing="0" w:after="0" w:afterAutospacing="0" w:line="276" w:lineRule="auto"/>
        <w:ind w:firstLine="720"/>
        <w:jc w:val="both"/>
        <w:rPr>
          <w:color w:val="000000"/>
        </w:rPr>
      </w:pPr>
      <w:r w:rsidRPr="0079698D">
        <w:rPr>
          <w:color w:val="000000"/>
        </w:rPr>
        <w:t xml:space="preserve">[9.2] </w:t>
      </w:r>
      <w:r w:rsidR="000B5353" w:rsidRPr="0079698D">
        <w:rPr>
          <w:color w:val="000000"/>
        </w:rPr>
        <w:t>N</w:t>
      </w:r>
      <w:r w:rsidRPr="0079698D">
        <w:rPr>
          <w:color w:val="000000"/>
        </w:rPr>
        <w:t>o lietas materiāliem redzams, ka p</w:t>
      </w:r>
      <w:r w:rsidR="0003415D" w:rsidRPr="0079698D">
        <w:rPr>
          <w:color w:val="000000"/>
        </w:rPr>
        <w:t xml:space="preserve">rasītāja </w:t>
      </w:r>
      <w:r w:rsidRPr="0079698D">
        <w:rPr>
          <w:color w:val="000000"/>
        </w:rPr>
        <w:t>tiesīb</w:t>
      </w:r>
      <w:r w:rsidR="0094234D" w:rsidRPr="0079698D">
        <w:rPr>
          <w:color w:val="000000"/>
        </w:rPr>
        <w:t>as</w:t>
      </w:r>
      <w:r w:rsidRPr="0079698D">
        <w:rPr>
          <w:color w:val="000000"/>
        </w:rPr>
        <w:t xml:space="preserve"> </w:t>
      </w:r>
      <w:r w:rsidR="000B5353" w:rsidRPr="0079698D">
        <w:rPr>
          <w:color w:val="000000"/>
        </w:rPr>
        <w:t xml:space="preserve">procesa gaitā </w:t>
      </w:r>
      <w:r w:rsidR="0094234D" w:rsidRPr="0079698D">
        <w:rPr>
          <w:color w:val="000000"/>
        </w:rPr>
        <w:t>ir pārņemtas</w:t>
      </w:r>
      <w:r w:rsidRPr="0079698D">
        <w:rPr>
          <w:color w:val="000000"/>
        </w:rPr>
        <w:t xml:space="preserve"> vairākkārt. </w:t>
      </w:r>
      <w:r w:rsidR="0094234D" w:rsidRPr="0079698D">
        <w:rPr>
          <w:color w:val="000000"/>
        </w:rPr>
        <w:t>Prasītāja aizstāšana</w:t>
      </w:r>
      <w:r w:rsidR="0003415D" w:rsidRPr="0079698D">
        <w:rPr>
          <w:color w:val="000000"/>
        </w:rPr>
        <w:t xml:space="preserve"> notikusi jau</w:t>
      </w:r>
      <w:r w:rsidRPr="0079698D">
        <w:rPr>
          <w:color w:val="000000"/>
        </w:rPr>
        <w:t xml:space="preserve"> sākotnēji, ceļot prasību tiesā, kā arī pēc apelācijas instances tiesas sprieduma taisīšanas. </w:t>
      </w:r>
    </w:p>
    <w:p w14:paraId="0AFABAC2" w14:textId="759364E9" w:rsidR="003D41AA" w:rsidRPr="0079698D" w:rsidRDefault="00902817" w:rsidP="003D41AA">
      <w:pPr>
        <w:pStyle w:val="NormalWeb"/>
        <w:shd w:val="clear" w:color="auto" w:fill="FFFFFF"/>
        <w:spacing w:before="0" w:beforeAutospacing="0" w:after="0" w:afterAutospacing="0" w:line="276" w:lineRule="auto"/>
        <w:ind w:firstLine="720"/>
        <w:jc w:val="both"/>
        <w:rPr>
          <w:color w:val="000000"/>
        </w:rPr>
      </w:pPr>
      <w:r w:rsidRPr="0079698D">
        <w:rPr>
          <w:color w:val="000000"/>
        </w:rPr>
        <w:t xml:space="preserve">Iesniedzot pieteikumu par </w:t>
      </w:r>
      <w:r w:rsidR="003D41AA" w:rsidRPr="0079698D">
        <w:rPr>
          <w:color w:val="000000"/>
        </w:rPr>
        <w:t xml:space="preserve">procesuālo tiesību pārņemšanu pēc prasītājam nelabvēlīga apelācijas instances tiesas sprieduma, </w:t>
      </w:r>
      <w:r w:rsidR="00FB3B0E" w:rsidRPr="0079698D">
        <w:rPr>
          <w:color w:val="000000"/>
        </w:rPr>
        <w:t xml:space="preserve">[pers. C] </w:t>
      </w:r>
      <w:r w:rsidR="003D41AA" w:rsidRPr="0079698D">
        <w:rPr>
          <w:color w:val="000000"/>
        </w:rPr>
        <w:t>lūdzis aizstāt viņu ar tiesību pārņēmēju SIA</w:t>
      </w:r>
      <w:proofErr w:type="gramStart"/>
      <w:r w:rsidR="003D41AA" w:rsidRPr="0079698D">
        <w:rPr>
          <w:color w:val="000000"/>
        </w:rPr>
        <w:t xml:space="preserve"> </w:t>
      </w:r>
      <w:r w:rsidR="0022785A">
        <w:rPr>
          <w:color w:val="000000"/>
        </w:rPr>
        <w:t> </w:t>
      </w:r>
      <w:r w:rsidR="003D41AA" w:rsidRPr="0079698D">
        <w:rPr>
          <w:color w:val="000000"/>
        </w:rPr>
        <w:t>,A</w:t>
      </w:r>
      <w:proofErr w:type="gramEnd"/>
      <w:r w:rsidR="003D41AA" w:rsidRPr="0079698D">
        <w:rPr>
          <w:color w:val="000000"/>
        </w:rPr>
        <w:t xml:space="preserve">lpha Trade”. </w:t>
      </w:r>
    </w:p>
    <w:p w14:paraId="6488152D" w14:textId="3E46A877" w:rsidR="006325EB" w:rsidRPr="0079698D" w:rsidRDefault="00D642E7" w:rsidP="006325EB">
      <w:pPr>
        <w:pStyle w:val="NormalWeb"/>
        <w:shd w:val="clear" w:color="auto" w:fill="FFFFFF"/>
        <w:spacing w:before="0" w:beforeAutospacing="0" w:after="0" w:afterAutospacing="0" w:line="276" w:lineRule="auto"/>
        <w:ind w:firstLine="720"/>
        <w:jc w:val="both"/>
        <w:rPr>
          <w:color w:val="000000"/>
        </w:rPr>
      </w:pPr>
      <w:r w:rsidRPr="0079698D">
        <w:rPr>
          <w:color w:val="000000"/>
        </w:rPr>
        <w:t>No lietā esošajiem</w:t>
      </w:r>
      <w:r w:rsidR="006325EB" w:rsidRPr="0079698D">
        <w:rPr>
          <w:color w:val="000000"/>
        </w:rPr>
        <w:t xml:space="preserve"> SIA</w:t>
      </w:r>
      <w:r w:rsidR="0022785A">
        <w:rPr>
          <w:color w:val="000000"/>
        </w:rPr>
        <w:t> </w:t>
      </w:r>
      <w:r w:rsidR="006325EB" w:rsidRPr="0079698D">
        <w:rPr>
          <w:color w:val="000000"/>
        </w:rPr>
        <w:t>,,Alpha Trade” gada pārskatiem par 2019., 2020. un 2021. gadu</w:t>
      </w:r>
      <w:r w:rsidRPr="0079698D">
        <w:rPr>
          <w:color w:val="000000"/>
        </w:rPr>
        <w:t xml:space="preserve"> redzams</w:t>
      </w:r>
      <w:r w:rsidR="006325EB" w:rsidRPr="0079698D">
        <w:rPr>
          <w:color w:val="000000"/>
        </w:rPr>
        <w:t>, ka uzņēmum</w:t>
      </w:r>
      <w:r w:rsidRPr="0079698D">
        <w:rPr>
          <w:color w:val="000000"/>
        </w:rPr>
        <w:t>s darbojies tikai</w:t>
      </w:r>
      <w:r w:rsidR="006325EB" w:rsidRPr="0079698D">
        <w:rPr>
          <w:color w:val="000000"/>
        </w:rPr>
        <w:t xml:space="preserve"> </w:t>
      </w:r>
      <w:r w:rsidRPr="0079698D">
        <w:rPr>
          <w:color w:val="000000"/>
        </w:rPr>
        <w:t xml:space="preserve">ar </w:t>
      </w:r>
      <w:r w:rsidR="006325EB" w:rsidRPr="0079698D">
        <w:rPr>
          <w:color w:val="000000"/>
        </w:rPr>
        <w:t>zaudējumi</w:t>
      </w:r>
      <w:r w:rsidRPr="0079698D">
        <w:rPr>
          <w:color w:val="000000"/>
        </w:rPr>
        <w:t>em</w:t>
      </w:r>
      <w:r w:rsidR="006325EB" w:rsidRPr="0079698D">
        <w:rPr>
          <w:color w:val="000000"/>
        </w:rPr>
        <w:t>. Šādos apstākļos ir pamats apšaubīt</w:t>
      </w:r>
      <w:r w:rsidR="009E7E20" w:rsidRPr="0079698D">
        <w:rPr>
          <w:color w:val="000000"/>
        </w:rPr>
        <w:t>,</w:t>
      </w:r>
      <w:r w:rsidR="006325EB" w:rsidRPr="0079698D">
        <w:rPr>
          <w:color w:val="000000"/>
        </w:rPr>
        <w:t xml:space="preserve"> vai </w:t>
      </w:r>
      <w:r w:rsidR="00FB3B0E" w:rsidRPr="0079698D">
        <w:rPr>
          <w:color w:val="000000"/>
        </w:rPr>
        <w:t xml:space="preserve">[pers. C] </w:t>
      </w:r>
      <w:r w:rsidR="006325EB" w:rsidRPr="0079698D">
        <w:rPr>
          <w:color w:val="000000"/>
        </w:rPr>
        <w:t>rīkojies godprātīgi</w:t>
      </w:r>
      <w:r w:rsidR="0094234D" w:rsidRPr="0079698D">
        <w:rPr>
          <w:color w:val="000000"/>
        </w:rPr>
        <w:t>,</w:t>
      </w:r>
      <w:r w:rsidR="006325EB" w:rsidRPr="0079698D">
        <w:rPr>
          <w:color w:val="000000"/>
        </w:rPr>
        <w:t xml:space="preserve"> savas prasījuma tiesības pret </w:t>
      </w:r>
      <w:r w:rsidR="00AF623E" w:rsidRPr="0079698D">
        <w:rPr>
          <w:color w:val="000000"/>
        </w:rPr>
        <w:t>[pers. A]</w:t>
      </w:r>
      <w:r w:rsidR="006325EB" w:rsidRPr="0079698D">
        <w:rPr>
          <w:color w:val="000000"/>
        </w:rPr>
        <w:t xml:space="preserve"> nododot SIA</w:t>
      </w:r>
      <w:r w:rsidR="0022785A">
        <w:rPr>
          <w:color w:val="000000"/>
        </w:rPr>
        <w:t> </w:t>
      </w:r>
      <w:r w:rsidR="006325EB" w:rsidRPr="0079698D">
        <w:rPr>
          <w:color w:val="000000"/>
        </w:rPr>
        <w:t>,,Alpha Trade” pēc tam, kad ir taisīts prasītājam nelabvēlīgs apelācijas instances tiesas spriedums</w:t>
      </w:r>
      <w:r w:rsidR="009E7E20" w:rsidRPr="0079698D">
        <w:rPr>
          <w:color w:val="000000"/>
        </w:rPr>
        <w:t xml:space="preserve">, piedzenot no prasītāja </w:t>
      </w:r>
      <w:r w:rsidR="006325EB" w:rsidRPr="0079698D">
        <w:rPr>
          <w:color w:val="000000"/>
        </w:rPr>
        <w:t>ar lietas vešanu un ar lietas izskatīšanu saistīt</w:t>
      </w:r>
      <w:r w:rsidR="009E7E20" w:rsidRPr="0079698D">
        <w:rPr>
          <w:color w:val="000000"/>
        </w:rPr>
        <w:t>os</w:t>
      </w:r>
      <w:r w:rsidR="006325EB" w:rsidRPr="0079698D">
        <w:rPr>
          <w:color w:val="000000"/>
        </w:rPr>
        <w:t xml:space="preserve"> izdevum</w:t>
      </w:r>
      <w:r w:rsidR="009E7E20" w:rsidRPr="0079698D">
        <w:rPr>
          <w:color w:val="000000"/>
        </w:rPr>
        <w:t>us</w:t>
      </w:r>
      <w:r w:rsidR="006325EB" w:rsidRPr="0079698D">
        <w:rPr>
          <w:color w:val="000000"/>
        </w:rPr>
        <w:t xml:space="preserve">. </w:t>
      </w:r>
    </w:p>
    <w:p w14:paraId="3B6CE335" w14:textId="0E8ED366" w:rsidR="006325EB" w:rsidRPr="0079698D" w:rsidRDefault="006325EB" w:rsidP="006325EB">
      <w:pPr>
        <w:pStyle w:val="NormalWeb"/>
        <w:shd w:val="clear" w:color="auto" w:fill="FFFFFF"/>
        <w:spacing w:before="0" w:beforeAutospacing="0" w:after="0" w:afterAutospacing="0" w:line="276" w:lineRule="auto"/>
        <w:ind w:firstLine="720"/>
        <w:jc w:val="both"/>
        <w:rPr>
          <w:color w:val="000000"/>
        </w:rPr>
      </w:pPr>
      <w:r w:rsidRPr="0079698D">
        <w:rPr>
          <w:color w:val="000000"/>
        </w:rPr>
        <w:t xml:space="preserve">Civilprocesa likuma 74. panta </w:t>
      </w:r>
      <w:r w:rsidR="0094234D" w:rsidRPr="0079698D">
        <w:rPr>
          <w:color w:val="000000"/>
        </w:rPr>
        <w:t>sestā</w:t>
      </w:r>
      <w:r w:rsidRPr="0079698D">
        <w:rPr>
          <w:color w:val="000000"/>
        </w:rPr>
        <w:t xml:space="preserve"> daļa no</w:t>
      </w:r>
      <w:r w:rsidR="0094234D" w:rsidRPr="0079698D">
        <w:rPr>
          <w:color w:val="000000"/>
        </w:rPr>
        <w:t>teic</w:t>
      </w:r>
      <w:r w:rsidRPr="0079698D">
        <w:rPr>
          <w:color w:val="000000"/>
        </w:rPr>
        <w:t xml:space="preserve">, ka pusēm savas tiesības un pienākumi jāizpilda godprātīgi. Šajā normā nostiprināts fundamentāls princips, ka personas savas tiesības drīkst izmantot atbilstoši to būtībai, kas nozīmē arī tiesību godprātīgu izmantošanu, tādējādi respektējot citu personu ar likumu aizsargātās tiesības un intereses </w:t>
      </w:r>
      <w:proofErr w:type="gramStart"/>
      <w:r w:rsidRPr="0079698D">
        <w:rPr>
          <w:color w:val="000000"/>
        </w:rPr>
        <w:t>(</w:t>
      </w:r>
      <w:proofErr w:type="gramEnd"/>
      <w:r w:rsidRPr="0079698D">
        <w:rPr>
          <w:color w:val="000000"/>
        </w:rPr>
        <w:t xml:space="preserve">sk. </w:t>
      </w:r>
      <w:r w:rsidR="008B2348" w:rsidRPr="0079698D">
        <w:rPr>
          <w:i/>
          <w:iCs/>
          <w:color w:val="000000"/>
        </w:rPr>
        <w:t xml:space="preserve">Senāta rīcības sēdes 2020. gada 25. augusta lēmumu lietā Nr. SKC-  1304/2020, </w:t>
      </w:r>
      <w:hyperlink r:id="rId9" w:history="1">
        <w:r w:rsidR="008B2348" w:rsidRPr="0079698D">
          <w:rPr>
            <w:rStyle w:val="Hyperlink"/>
            <w:i/>
            <w:iCs/>
            <w:color w:val="auto"/>
            <w:shd w:val="clear" w:color="auto" w:fill="FFFFFF"/>
          </w:rPr>
          <w:t>ECLI:LV:AT:2020:0825.C29589916.27.L</w:t>
        </w:r>
      </w:hyperlink>
      <w:r w:rsidR="008B2348" w:rsidRPr="0079698D">
        <w:rPr>
          <w:color w:val="000000"/>
        </w:rPr>
        <w:t xml:space="preserve">). </w:t>
      </w:r>
    </w:p>
    <w:p w14:paraId="613B7D55" w14:textId="5C425CEA" w:rsidR="00252766" w:rsidRPr="0079698D" w:rsidRDefault="00B220FE" w:rsidP="00365743">
      <w:pPr>
        <w:pStyle w:val="NormalWeb"/>
        <w:shd w:val="clear" w:color="auto" w:fill="FFFFFF"/>
        <w:spacing w:before="0" w:beforeAutospacing="0" w:after="0" w:afterAutospacing="0" w:line="276" w:lineRule="auto"/>
        <w:ind w:firstLine="720"/>
        <w:jc w:val="both"/>
        <w:rPr>
          <w:color w:val="000000"/>
        </w:rPr>
      </w:pPr>
      <w:r w:rsidRPr="0079698D">
        <w:rPr>
          <w:color w:val="000000"/>
        </w:rPr>
        <w:t xml:space="preserve">Senāts piekrīt civilprocesa tiesību doktrīnā paustajai atziņai, ka Civilprocesa likuma 74. panta sestajā daļā noteiktais pienākums tiesības izmantot un pienākumus pildīt godprātīgi ir labas ticības principa izpausme civilprocesā un gadījumā, kad </w:t>
      </w:r>
      <w:r w:rsidR="006325EB" w:rsidRPr="0079698D">
        <w:rPr>
          <w:color w:val="000000"/>
        </w:rPr>
        <w:t xml:space="preserve">persona savas tiesības izmanto </w:t>
      </w:r>
      <w:r w:rsidR="0083330D" w:rsidRPr="0079698D">
        <w:rPr>
          <w:color w:val="000000"/>
        </w:rPr>
        <w:t>neattaisnojamā veidā vai neattaisnojamu mērķu sasniegšanai</w:t>
      </w:r>
      <w:r w:rsidRPr="0079698D">
        <w:rPr>
          <w:color w:val="000000"/>
        </w:rPr>
        <w:t xml:space="preserve">, šīs </w:t>
      </w:r>
      <w:r w:rsidR="0083330D" w:rsidRPr="0079698D">
        <w:rPr>
          <w:color w:val="000000"/>
        </w:rPr>
        <w:t xml:space="preserve">subjektīvās tiesības </w:t>
      </w:r>
      <w:r w:rsidRPr="0079698D">
        <w:rPr>
          <w:color w:val="000000"/>
        </w:rPr>
        <w:t>personai</w:t>
      </w:r>
      <w:r w:rsidR="0040325A" w:rsidRPr="0079698D">
        <w:rPr>
          <w:color w:val="000000"/>
        </w:rPr>
        <w:t xml:space="preserve"> </w:t>
      </w:r>
      <w:r w:rsidR="0083330D" w:rsidRPr="0079698D">
        <w:rPr>
          <w:color w:val="000000"/>
        </w:rPr>
        <w:t>var tikt liegt</w:t>
      </w:r>
      <w:r w:rsidR="0040325A" w:rsidRPr="0079698D">
        <w:rPr>
          <w:color w:val="000000"/>
        </w:rPr>
        <w:t>as</w:t>
      </w:r>
      <w:r w:rsidR="0083330D" w:rsidRPr="0079698D">
        <w:rPr>
          <w:color w:val="000000"/>
        </w:rPr>
        <w:t xml:space="preserve"> </w:t>
      </w:r>
      <w:proofErr w:type="gramStart"/>
      <w:r w:rsidR="0083330D" w:rsidRPr="0079698D">
        <w:rPr>
          <w:color w:val="000000"/>
        </w:rPr>
        <w:t>(</w:t>
      </w:r>
      <w:proofErr w:type="gramEnd"/>
      <w:r w:rsidR="0083330D" w:rsidRPr="0079698D">
        <w:rPr>
          <w:color w:val="000000"/>
        </w:rPr>
        <w:t xml:space="preserve">sk. </w:t>
      </w:r>
      <w:r w:rsidR="00076E5A" w:rsidRPr="0079698D">
        <w:rPr>
          <w:i/>
          <w:iCs/>
          <w:color w:val="000000"/>
        </w:rPr>
        <w:t>Ose D. Negodprātīga</w:t>
      </w:r>
      <w:r w:rsidR="001970AB" w:rsidRPr="0079698D">
        <w:rPr>
          <w:i/>
          <w:iCs/>
          <w:color w:val="000000"/>
        </w:rPr>
        <w:t>s tiesību un pienākumu izmantošanas un ļaunprātīgas rīcības izpratne civilprocesā, Jurista Vārds, 18.12.2018., Nr. 51/52</w:t>
      </w:r>
      <w:r w:rsidR="001970AB" w:rsidRPr="0079698D">
        <w:rPr>
          <w:color w:val="000000"/>
        </w:rPr>
        <w:t xml:space="preserve">). </w:t>
      </w:r>
      <w:r w:rsidR="003071A3" w:rsidRPr="0079698D">
        <w:rPr>
          <w:color w:val="000000"/>
        </w:rPr>
        <w:t>Savukārt profesors Dr. jur. Vladimirs Bukovskis norādījis uz iespēju, ka prasītājs, vēlēdamies izvairīties no tiesas un lietas vešanas izdevumu piespriešanas viņam, nodod savu prasību citai personai, kas faktiski ir maksātnespējīga (sk. </w:t>
      </w:r>
      <w:r w:rsidR="003071A3" w:rsidRPr="0079698D">
        <w:rPr>
          <w:i/>
          <w:iCs/>
          <w:color w:val="000000"/>
        </w:rPr>
        <w:t>Bukovskis V. Civīlprocesa mācības grāmata. Rīga: Autora izdevums, 1933, 265. lpp.</w:t>
      </w:r>
      <w:r w:rsidR="003071A3" w:rsidRPr="0079698D">
        <w:rPr>
          <w:color w:val="000000"/>
        </w:rPr>
        <w:t xml:space="preserve">). </w:t>
      </w:r>
    </w:p>
    <w:p w14:paraId="2B6537C7" w14:textId="32539337" w:rsidR="003D41AA" w:rsidRPr="0079698D" w:rsidRDefault="0094234D" w:rsidP="00365743">
      <w:pPr>
        <w:pStyle w:val="NormalWeb"/>
        <w:shd w:val="clear" w:color="auto" w:fill="FFFFFF"/>
        <w:spacing w:before="0" w:beforeAutospacing="0" w:after="0" w:afterAutospacing="0" w:line="276" w:lineRule="auto"/>
        <w:ind w:firstLine="720"/>
        <w:jc w:val="both"/>
        <w:rPr>
          <w:color w:val="000000"/>
        </w:rPr>
      </w:pPr>
      <w:r w:rsidRPr="0079698D">
        <w:rPr>
          <w:color w:val="000000"/>
        </w:rPr>
        <w:lastRenderedPageBreak/>
        <w:t>Var</w:t>
      </w:r>
      <w:r w:rsidR="00365743" w:rsidRPr="0079698D">
        <w:rPr>
          <w:color w:val="000000"/>
        </w:rPr>
        <w:t xml:space="preserve"> piekr</w:t>
      </w:r>
      <w:r w:rsidRPr="0079698D">
        <w:rPr>
          <w:color w:val="000000"/>
        </w:rPr>
        <w:t>ist</w:t>
      </w:r>
      <w:r w:rsidR="00365743" w:rsidRPr="0079698D">
        <w:rPr>
          <w:color w:val="000000"/>
        </w:rPr>
        <w:t xml:space="preserve"> </w:t>
      </w:r>
      <w:r w:rsidR="00AF623E" w:rsidRPr="0079698D">
        <w:rPr>
          <w:color w:val="000000"/>
        </w:rPr>
        <w:t>[pers. A]</w:t>
      </w:r>
      <w:r w:rsidR="00365743" w:rsidRPr="0079698D">
        <w:rPr>
          <w:color w:val="000000"/>
        </w:rPr>
        <w:t xml:space="preserve"> blakus sūdzībā minētajam, ka k</w:t>
      </w:r>
      <w:r w:rsidR="0083330D" w:rsidRPr="0079698D">
        <w:rPr>
          <w:color w:val="000000"/>
        </w:rPr>
        <w:t xml:space="preserve">onkrētajā gadījumā </w:t>
      </w:r>
      <w:r w:rsidR="00FB3B0E" w:rsidRPr="0079698D">
        <w:rPr>
          <w:color w:val="000000"/>
        </w:rPr>
        <w:t>[pers. C]</w:t>
      </w:r>
      <w:r w:rsidR="0083330D" w:rsidRPr="0079698D">
        <w:rPr>
          <w:color w:val="000000"/>
        </w:rPr>
        <w:t xml:space="preserve"> mērķis</w:t>
      </w:r>
      <w:r w:rsidR="00365743" w:rsidRPr="0079698D">
        <w:rPr>
          <w:color w:val="000000"/>
        </w:rPr>
        <w:t xml:space="preserve">, </w:t>
      </w:r>
      <w:r w:rsidR="0083330D" w:rsidRPr="0079698D">
        <w:rPr>
          <w:color w:val="000000"/>
        </w:rPr>
        <w:t>nododot SIA</w:t>
      </w:r>
      <w:r w:rsidR="0022785A">
        <w:rPr>
          <w:color w:val="000000"/>
        </w:rPr>
        <w:t> </w:t>
      </w:r>
      <w:r w:rsidR="0083330D" w:rsidRPr="0079698D">
        <w:rPr>
          <w:color w:val="000000"/>
        </w:rPr>
        <w:t>,,Alpha Trade”</w:t>
      </w:r>
      <w:r w:rsidR="00365743" w:rsidRPr="0079698D">
        <w:rPr>
          <w:color w:val="000000"/>
        </w:rPr>
        <w:t xml:space="preserve"> savas prasījuma tiesības, bij</w:t>
      </w:r>
      <w:r w:rsidRPr="0079698D">
        <w:rPr>
          <w:color w:val="000000"/>
        </w:rPr>
        <w:t>is</w:t>
      </w:r>
      <w:r w:rsidR="00365743" w:rsidRPr="0079698D">
        <w:rPr>
          <w:color w:val="000000"/>
        </w:rPr>
        <w:t xml:space="preserve"> </w:t>
      </w:r>
      <w:r w:rsidR="0083330D" w:rsidRPr="0079698D">
        <w:rPr>
          <w:color w:val="000000"/>
        </w:rPr>
        <w:t>panākt situācij</w:t>
      </w:r>
      <w:r w:rsidR="00365743" w:rsidRPr="0079698D">
        <w:rPr>
          <w:color w:val="000000"/>
        </w:rPr>
        <w:t>u</w:t>
      </w:r>
      <w:r w:rsidR="0083330D" w:rsidRPr="0079698D">
        <w:rPr>
          <w:color w:val="000000"/>
        </w:rPr>
        <w:t xml:space="preserve">, kurā sprieduma izpilde kļūst neiespējama. </w:t>
      </w:r>
      <w:r w:rsidR="00076E5A" w:rsidRPr="0079698D">
        <w:rPr>
          <w:color w:val="000000"/>
        </w:rPr>
        <w:t>SIA</w:t>
      </w:r>
      <w:r w:rsidR="0022785A">
        <w:rPr>
          <w:color w:val="000000"/>
        </w:rPr>
        <w:t> </w:t>
      </w:r>
      <w:r w:rsidR="00076E5A" w:rsidRPr="0079698D">
        <w:rPr>
          <w:color w:val="000000"/>
        </w:rPr>
        <w:t>,,Alpha Trade” neveic saimniecisko darbību</w:t>
      </w:r>
      <w:r w:rsidR="00B220FE" w:rsidRPr="0079698D">
        <w:rPr>
          <w:color w:val="000000"/>
        </w:rPr>
        <w:t xml:space="preserve"> un tai nav aktīvu.</w:t>
      </w:r>
      <w:r w:rsidR="00076E5A" w:rsidRPr="0079698D">
        <w:rPr>
          <w:color w:val="000000"/>
        </w:rPr>
        <w:t xml:space="preserve"> Līdz ar to</w:t>
      </w:r>
      <w:r w:rsidR="0040325A" w:rsidRPr="0079698D">
        <w:rPr>
          <w:color w:val="000000"/>
        </w:rPr>
        <w:t xml:space="preserve"> var piekrist</w:t>
      </w:r>
      <w:r w:rsidR="003071A3" w:rsidRPr="0079698D">
        <w:rPr>
          <w:color w:val="000000"/>
        </w:rPr>
        <w:t xml:space="preserve"> </w:t>
      </w:r>
      <w:r w:rsidR="0040325A" w:rsidRPr="0079698D">
        <w:rPr>
          <w:color w:val="000000"/>
        </w:rPr>
        <w:t>blakus sūdzības iesniedzēja norādītajam, ka</w:t>
      </w:r>
      <w:r w:rsidR="003071A3" w:rsidRPr="0079698D">
        <w:rPr>
          <w:color w:val="000000"/>
        </w:rPr>
        <w:t xml:space="preserve">, gadījumā, ja </w:t>
      </w:r>
      <w:r w:rsidR="0040325A" w:rsidRPr="0079698D">
        <w:rPr>
          <w:color w:val="000000"/>
        </w:rPr>
        <w:t>stā</w:t>
      </w:r>
      <w:r w:rsidR="003071A3" w:rsidRPr="0079698D">
        <w:rPr>
          <w:color w:val="000000"/>
        </w:rPr>
        <w:t>sies</w:t>
      </w:r>
      <w:r w:rsidR="0040325A" w:rsidRPr="0079698D">
        <w:rPr>
          <w:color w:val="000000"/>
        </w:rPr>
        <w:t xml:space="preserve"> </w:t>
      </w:r>
      <w:r w:rsidR="003071A3" w:rsidRPr="0079698D">
        <w:rPr>
          <w:color w:val="000000"/>
        </w:rPr>
        <w:t xml:space="preserve">spēkā </w:t>
      </w:r>
      <w:r w:rsidR="001970AB" w:rsidRPr="0079698D">
        <w:rPr>
          <w:color w:val="000000"/>
        </w:rPr>
        <w:t>apelācijas instances tiesas spriedum</w:t>
      </w:r>
      <w:r w:rsidR="003071A3" w:rsidRPr="0079698D">
        <w:rPr>
          <w:color w:val="000000"/>
        </w:rPr>
        <w:t>s</w:t>
      </w:r>
      <w:r w:rsidR="001970AB" w:rsidRPr="0079698D">
        <w:rPr>
          <w:color w:val="000000"/>
        </w:rPr>
        <w:t>,</w:t>
      </w:r>
      <w:r w:rsidR="00076E5A" w:rsidRPr="0079698D">
        <w:rPr>
          <w:color w:val="000000"/>
        </w:rPr>
        <w:t xml:space="preserve"> </w:t>
      </w:r>
      <w:r w:rsidR="00FE6510" w:rsidRPr="0079698D">
        <w:rPr>
          <w:color w:val="000000"/>
        </w:rPr>
        <w:t>tiesāšanās izdevumu piedziņa</w:t>
      </w:r>
      <w:r w:rsidR="0040325A" w:rsidRPr="0079698D">
        <w:rPr>
          <w:color w:val="000000"/>
        </w:rPr>
        <w:t xml:space="preserve"> no</w:t>
      </w:r>
      <w:r w:rsidR="00076E5A" w:rsidRPr="0079698D">
        <w:rPr>
          <w:color w:val="000000"/>
        </w:rPr>
        <w:t xml:space="preserve"> </w:t>
      </w:r>
      <w:r w:rsidR="00925820" w:rsidRPr="0079698D">
        <w:rPr>
          <w:color w:val="000000"/>
        </w:rPr>
        <w:t>SIA</w:t>
      </w:r>
      <w:r w:rsidR="0022785A">
        <w:rPr>
          <w:color w:val="000000"/>
        </w:rPr>
        <w:t> </w:t>
      </w:r>
      <w:r w:rsidR="00076E5A" w:rsidRPr="0079698D">
        <w:rPr>
          <w:color w:val="000000"/>
        </w:rPr>
        <w:t xml:space="preserve">,,Alpha Trade” </w:t>
      </w:r>
      <w:r w:rsidR="0040325A" w:rsidRPr="0079698D">
        <w:rPr>
          <w:color w:val="000000"/>
        </w:rPr>
        <w:t>varētu būt neiespējama</w:t>
      </w:r>
      <w:r w:rsidR="00076E5A" w:rsidRPr="0079698D">
        <w:rPr>
          <w:color w:val="000000"/>
        </w:rPr>
        <w:t xml:space="preserve">. </w:t>
      </w:r>
    </w:p>
    <w:p w14:paraId="0368B8DE" w14:textId="35D1578F" w:rsidR="00365743" w:rsidRPr="0079698D" w:rsidRDefault="0094234D" w:rsidP="001970AB">
      <w:pPr>
        <w:pStyle w:val="NormalWeb"/>
        <w:shd w:val="clear" w:color="auto" w:fill="FFFFFF"/>
        <w:spacing w:before="0" w:beforeAutospacing="0" w:after="0" w:afterAutospacing="0" w:line="276" w:lineRule="auto"/>
        <w:ind w:firstLine="720"/>
        <w:jc w:val="both"/>
        <w:rPr>
          <w:color w:val="000000"/>
        </w:rPr>
      </w:pPr>
      <w:r w:rsidRPr="0079698D">
        <w:rPr>
          <w:color w:val="000000"/>
        </w:rPr>
        <w:t>Var secināt</w:t>
      </w:r>
      <w:r w:rsidR="001A4BE8" w:rsidRPr="0079698D">
        <w:rPr>
          <w:color w:val="000000"/>
        </w:rPr>
        <w:t xml:space="preserve">, ka </w:t>
      </w:r>
      <w:r w:rsidR="00FB3B0E" w:rsidRPr="0079698D">
        <w:rPr>
          <w:color w:val="000000"/>
        </w:rPr>
        <w:t>[pers. C]</w:t>
      </w:r>
      <w:r w:rsidRPr="0079698D">
        <w:rPr>
          <w:color w:val="000000"/>
        </w:rPr>
        <w:t>, lūdzot sevi aizstāt ar cesionār</w:t>
      </w:r>
      <w:r w:rsidR="00653778" w:rsidRPr="0079698D">
        <w:rPr>
          <w:color w:val="000000"/>
        </w:rPr>
        <w:t>i</w:t>
      </w:r>
      <w:r w:rsidRPr="0079698D">
        <w:rPr>
          <w:color w:val="000000"/>
        </w:rPr>
        <w:t>,</w:t>
      </w:r>
      <w:r w:rsidR="00365743" w:rsidRPr="0079698D">
        <w:rPr>
          <w:color w:val="000000"/>
        </w:rPr>
        <w:t xml:space="preserve"> savas procesuālās tiesības izmantoj</w:t>
      </w:r>
      <w:r w:rsidR="001A4BE8" w:rsidRPr="0079698D">
        <w:rPr>
          <w:color w:val="000000"/>
        </w:rPr>
        <w:t>is</w:t>
      </w:r>
      <w:r w:rsidR="00B220FE" w:rsidRPr="0079698D">
        <w:rPr>
          <w:color w:val="000000"/>
        </w:rPr>
        <w:t xml:space="preserve"> negodprātīgi, proti,</w:t>
      </w:r>
      <w:r w:rsidR="00365743" w:rsidRPr="0079698D">
        <w:rPr>
          <w:color w:val="000000"/>
        </w:rPr>
        <w:t xml:space="preserve"> </w:t>
      </w:r>
      <w:r w:rsidR="00410141" w:rsidRPr="0079698D">
        <w:rPr>
          <w:color w:val="000000"/>
        </w:rPr>
        <w:t>neattaisnojama mērķa sasniegšanai</w:t>
      </w:r>
      <w:r w:rsidRPr="0079698D">
        <w:rPr>
          <w:color w:val="000000"/>
        </w:rPr>
        <w:t>. Tādēļ</w:t>
      </w:r>
      <w:r w:rsidR="00410141" w:rsidRPr="0079698D">
        <w:rPr>
          <w:color w:val="000000"/>
        </w:rPr>
        <w:t xml:space="preserve"> nav pamata viņa pieteikuma par procesuālo tiesību pārņemšanu apmierināšanai. </w:t>
      </w:r>
    </w:p>
    <w:p w14:paraId="59A9FA92" w14:textId="77777777" w:rsidR="00410141" w:rsidRPr="0079698D" w:rsidRDefault="00410141" w:rsidP="00365743">
      <w:pPr>
        <w:pStyle w:val="NormalWeb"/>
        <w:shd w:val="clear" w:color="auto" w:fill="FFFFFF"/>
        <w:spacing w:before="0" w:beforeAutospacing="0" w:after="0" w:afterAutospacing="0" w:line="276" w:lineRule="auto"/>
        <w:ind w:firstLine="720"/>
        <w:jc w:val="both"/>
        <w:rPr>
          <w:color w:val="000000"/>
        </w:rPr>
      </w:pPr>
    </w:p>
    <w:p w14:paraId="056804A7" w14:textId="720218C4" w:rsidR="00885A5B" w:rsidRPr="0079698D" w:rsidRDefault="00410141" w:rsidP="008B2348">
      <w:pPr>
        <w:pStyle w:val="NormalWeb"/>
        <w:shd w:val="clear" w:color="auto" w:fill="FFFFFF"/>
        <w:spacing w:before="0" w:beforeAutospacing="0" w:after="0" w:afterAutospacing="0" w:line="276" w:lineRule="auto"/>
        <w:ind w:firstLine="720"/>
        <w:jc w:val="both"/>
        <w:rPr>
          <w:color w:val="000000"/>
        </w:rPr>
      </w:pPr>
      <w:r w:rsidRPr="0079698D">
        <w:rPr>
          <w:color w:val="000000"/>
        </w:rPr>
        <w:t xml:space="preserve">[10] No lietas materiāliem redzams, ka </w:t>
      </w:r>
      <w:r w:rsidR="00AF623E" w:rsidRPr="0079698D">
        <w:rPr>
          <w:color w:val="000000"/>
        </w:rPr>
        <w:t>[pers. A]</w:t>
      </w:r>
      <w:r w:rsidRPr="0079698D">
        <w:rPr>
          <w:color w:val="000000"/>
        </w:rPr>
        <w:t xml:space="preserve"> par blakus sūdzību iemaksājis drošības naudu 70</w:t>
      </w:r>
      <w:r w:rsidR="00FB3B0E" w:rsidRPr="0079698D">
        <w:rPr>
          <w:color w:val="000000"/>
        </w:rPr>
        <w:t> </w:t>
      </w:r>
      <w:r w:rsidRPr="0079698D">
        <w:rPr>
          <w:color w:val="000000"/>
        </w:rPr>
        <w:t>EUR. Ņemot vērā, ka atbilstoši Civilprocesa likuma 444.</w:t>
      </w:r>
      <w:r w:rsidRPr="0079698D">
        <w:rPr>
          <w:color w:val="000000"/>
          <w:vertAlign w:val="superscript"/>
        </w:rPr>
        <w:t>1 </w:t>
      </w:r>
      <w:r w:rsidRPr="0079698D">
        <w:rPr>
          <w:color w:val="000000"/>
        </w:rPr>
        <w:t xml:space="preserve">panta </w:t>
      </w:r>
      <w:r w:rsidR="00885A5B" w:rsidRPr="0079698D">
        <w:rPr>
          <w:color w:val="000000"/>
        </w:rPr>
        <w:t>otrajai</w:t>
      </w:r>
      <w:r w:rsidRPr="0079698D">
        <w:rPr>
          <w:color w:val="000000"/>
        </w:rPr>
        <w:t xml:space="preserve"> daļai </w:t>
      </w:r>
      <w:r w:rsidR="00885A5B" w:rsidRPr="0079698D">
        <w:rPr>
          <w:color w:val="000000"/>
        </w:rPr>
        <w:t xml:space="preserve">Senāts pārsūdzēto lēmumu atceļ, </w:t>
      </w:r>
      <w:r w:rsidR="00AF623E" w:rsidRPr="0079698D">
        <w:rPr>
          <w:color w:val="000000"/>
        </w:rPr>
        <w:t>[pers. A]</w:t>
      </w:r>
      <w:r w:rsidR="00885A5B" w:rsidRPr="0079698D">
        <w:rPr>
          <w:color w:val="000000"/>
        </w:rPr>
        <w:t xml:space="preserve"> atmaksājama drošības nauda. </w:t>
      </w:r>
    </w:p>
    <w:p w14:paraId="149AEECB" w14:textId="77777777" w:rsidR="00885A5B" w:rsidRPr="0079698D" w:rsidRDefault="00885A5B" w:rsidP="00365743">
      <w:pPr>
        <w:pStyle w:val="NormalWeb"/>
        <w:shd w:val="clear" w:color="auto" w:fill="FFFFFF"/>
        <w:spacing w:before="0" w:beforeAutospacing="0" w:after="0" w:afterAutospacing="0" w:line="276" w:lineRule="auto"/>
        <w:ind w:firstLine="720"/>
        <w:jc w:val="both"/>
        <w:rPr>
          <w:color w:val="000000"/>
        </w:rPr>
      </w:pPr>
    </w:p>
    <w:p w14:paraId="4AC5D150" w14:textId="77777777" w:rsidR="00885A5B" w:rsidRPr="0079698D" w:rsidRDefault="00885A5B" w:rsidP="00885A5B">
      <w:pPr>
        <w:spacing w:after="0" w:line="276" w:lineRule="auto"/>
        <w:jc w:val="center"/>
        <w:rPr>
          <w:rFonts w:cs="Times New Roman"/>
          <w:b/>
          <w:bCs/>
          <w:szCs w:val="24"/>
        </w:rPr>
      </w:pPr>
      <w:r w:rsidRPr="0079698D">
        <w:rPr>
          <w:rFonts w:cs="Times New Roman"/>
          <w:b/>
          <w:bCs/>
          <w:szCs w:val="24"/>
        </w:rPr>
        <w:t>Rezolutīvā daļa</w:t>
      </w:r>
    </w:p>
    <w:p w14:paraId="21FBD091" w14:textId="77777777" w:rsidR="00885A5B" w:rsidRPr="0079698D" w:rsidRDefault="00885A5B" w:rsidP="00885A5B">
      <w:pPr>
        <w:spacing w:after="0" w:line="276" w:lineRule="auto"/>
        <w:jc w:val="center"/>
        <w:rPr>
          <w:rFonts w:cs="Times New Roman"/>
          <w:b/>
          <w:bCs/>
          <w:szCs w:val="24"/>
        </w:rPr>
      </w:pPr>
    </w:p>
    <w:p w14:paraId="547D10BC" w14:textId="2BDC8B6E" w:rsidR="00885A5B" w:rsidRPr="0079698D" w:rsidRDefault="00885A5B" w:rsidP="00885A5B">
      <w:pPr>
        <w:spacing w:after="0" w:line="276" w:lineRule="auto"/>
        <w:ind w:firstLine="709"/>
        <w:rPr>
          <w:rFonts w:cs="Times New Roman"/>
          <w:szCs w:val="24"/>
        </w:rPr>
      </w:pPr>
      <w:r w:rsidRPr="0079698D">
        <w:rPr>
          <w:rFonts w:cs="Times New Roman"/>
          <w:szCs w:val="24"/>
        </w:rPr>
        <w:t>Pamatojoties uz Civilprocesa likuma 448. panta pirmās daļas 3. punktu, Senāts</w:t>
      </w:r>
    </w:p>
    <w:p w14:paraId="29EA7962" w14:textId="77777777" w:rsidR="00885A5B" w:rsidRPr="0079698D" w:rsidRDefault="00885A5B" w:rsidP="00885A5B">
      <w:pPr>
        <w:spacing w:after="0" w:line="276" w:lineRule="auto"/>
        <w:rPr>
          <w:rFonts w:cs="Times New Roman"/>
          <w:b/>
          <w:bCs/>
          <w:szCs w:val="24"/>
        </w:rPr>
      </w:pPr>
    </w:p>
    <w:p w14:paraId="233F5CA6" w14:textId="77777777" w:rsidR="00885A5B" w:rsidRPr="0079698D" w:rsidRDefault="00885A5B" w:rsidP="00885A5B">
      <w:pPr>
        <w:spacing w:after="0" w:line="276" w:lineRule="auto"/>
        <w:jc w:val="center"/>
        <w:rPr>
          <w:rFonts w:cs="Times New Roman"/>
          <w:b/>
          <w:bCs/>
          <w:szCs w:val="24"/>
        </w:rPr>
      </w:pPr>
      <w:r w:rsidRPr="0079698D">
        <w:rPr>
          <w:rFonts w:cs="Times New Roman"/>
          <w:b/>
          <w:bCs/>
          <w:szCs w:val="24"/>
        </w:rPr>
        <w:t>nolēma</w:t>
      </w:r>
    </w:p>
    <w:p w14:paraId="50D2210C" w14:textId="77777777" w:rsidR="00885A5B" w:rsidRPr="0079698D" w:rsidRDefault="00885A5B" w:rsidP="00885A5B">
      <w:pPr>
        <w:spacing w:after="0" w:line="276" w:lineRule="auto"/>
        <w:jc w:val="center"/>
        <w:rPr>
          <w:rFonts w:cs="Times New Roman"/>
          <w:b/>
          <w:bCs/>
          <w:szCs w:val="24"/>
        </w:rPr>
      </w:pPr>
    </w:p>
    <w:p w14:paraId="284AB3E9" w14:textId="60040549" w:rsidR="00885A5B" w:rsidRPr="0079698D" w:rsidRDefault="00885A5B" w:rsidP="00885A5B">
      <w:pPr>
        <w:spacing w:after="0" w:line="276" w:lineRule="auto"/>
        <w:ind w:firstLine="709"/>
        <w:jc w:val="both"/>
        <w:rPr>
          <w:rFonts w:cs="Times New Roman"/>
          <w:szCs w:val="24"/>
        </w:rPr>
      </w:pPr>
      <w:r w:rsidRPr="0079698D">
        <w:rPr>
          <w:rFonts w:cs="Times New Roman"/>
          <w:szCs w:val="24"/>
        </w:rPr>
        <w:t xml:space="preserve">atcelt Rīgas apgabaltiesas Civillietu tiesas kolēģijas 2022. gada 10. jūnija lēmumu un </w:t>
      </w:r>
      <w:r w:rsidR="00FB3B0E" w:rsidRPr="0079698D">
        <w:rPr>
          <w:rFonts w:cs="Times New Roman"/>
          <w:color w:val="000000"/>
          <w:szCs w:val="24"/>
        </w:rPr>
        <w:t xml:space="preserve">[pers. C] </w:t>
      </w:r>
      <w:r w:rsidRPr="0079698D">
        <w:rPr>
          <w:rFonts w:cs="Times New Roman"/>
          <w:szCs w:val="24"/>
        </w:rPr>
        <w:t>pieteikumu par procesuālo tiesību pārņemšanu noraidīt;</w:t>
      </w:r>
    </w:p>
    <w:p w14:paraId="69D09CB6" w14:textId="36CA72A3" w:rsidR="00885A5B" w:rsidRPr="0079698D" w:rsidRDefault="00885A5B" w:rsidP="00885A5B">
      <w:pPr>
        <w:spacing w:after="0" w:line="276" w:lineRule="auto"/>
        <w:ind w:firstLine="709"/>
        <w:jc w:val="both"/>
        <w:rPr>
          <w:rFonts w:cs="Times New Roman"/>
          <w:szCs w:val="24"/>
        </w:rPr>
      </w:pPr>
      <w:r w:rsidRPr="0079698D">
        <w:rPr>
          <w:rFonts w:cs="Times New Roman"/>
          <w:szCs w:val="24"/>
        </w:rPr>
        <w:t>atmaksāt</w:t>
      </w:r>
      <w:r w:rsidRPr="0079698D">
        <w:rPr>
          <w:rFonts w:cs="Times New Roman"/>
          <w:noProof/>
          <w:szCs w:val="24"/>
        </w:rPr>
        <w:t xml:space="preserve"> </w:t>
      </w:r>
      <w:r w:rsidR="00AF623E" w:rsidRPr="0079698D">
        <w:rPr>
          <w:rFonts w:cs="Times New Roman"/>
          <w:noProof/>
          <w:szCs w:val="24"/>
        </w:rPr>
        <w:t>[pers. A]</w:t>
      </w:r>
      <w:r w:rsidRPr="0079698D">
        <w:rPr>
          <w:rFonts w:cs="Times New Roman"/>
          <w:noProof/>
          <w:szCs w:val="24"/>
        </w:rPr>
        <w:t xml:space="preserve"> drošības naudu </w:t>
      </w:r>
      <w:r w:rsidRPr="0079698D">
        <w:rPr>
          <w:rFonts w:cs="Times New Roman"/>
          <w:szCs w:val="24"/>
        </w:rPr>
        <w:t>70</w:t>
      </w:r>
      <w:r w:rsidR="00FB3B0E" w:rsidRPr="0079698D">
        <w:rPr>
          <w:rFonts w:cs="Times New Roman"/>
          <w:szCs w:val="24"/>
        </w:rPr>
        <w:t> </w:t>
      </w:r>
      <w:r w:rsidRPr="0079698D">
        <w:rPr>
          <w:rFonts w:cs="Times New Roman"/>
          <w:szCs w:val="24"/>
        </w:rPr>
        <w:t>EUR (</w:t>
      </w:r>
      <w:r w:rsidRPr="0079698D">
        <w:rPr>
          <w:rFonts w:cs="Times New Roman"/>
          <w:i/>
          <w:iCs/>
          <w:szCs w:val="24"/>
        </w:rPr>
        <w:t>septiņdesmit euro</w:t>
      </w:r>
      <w:r w:rsidRPr="0079698D">
        <w:rPr>
          <w:rFonts w:cs="Times New Roman"/>
          <w:szCs w:val="24"/>
        </w:rPr>
        <w:t>).</w:t>
      </w:r>
    </w:p>
    <w:p w14:paraId="644E9488" w14:textId="77777777" w:rsidR="00885A5B" w:rsidRPr="0079698D" w:rsidRDefault="00885A5B" w:rsidP="00885A5B">
      <w:pPr>
        <w:spacing w:after="0" w:line="276" w:lineRule="auto"/>
        <w:ind w:firstLine="709"/>
        <w:rPr>
          <w:rFonts w:cs="Times New Roman"/>
          <w:szCs w:val="24"/>
        </w:rPr>
      </w:pPr>
      <w:r w:rsidRPr="0079698D">
        <w:rPr>
          <w:rFonts w:cs="Times New Roman"/>
          <w:szCs w:val="24"/>
        </w:rPr>
        <w:t>Lēmums nav pārsūdzams.</w:t>
      </w:r>
    </w:p>
    <w:sectPr w:rsidR="00885A5B" w:rsidRPr="0079698D" w:rsidSect="00104980">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6E544" w14:textId="77777777" w:rsidR="008F2C3F" w:rsidRDefault="008F2C3F" w:rsidP="008F2C3F">
      <w:pPr>
        <w:spacing w:after="0" w:line="240" w:lineRule="auto"/>
      </w:pPr>
      <w:r>
        <w:separator/>
      </w:r>
    </w:p>
  </w:endnote>
  <w:endnote w:type="continuationSeparator" w:id="0">
    <w:p w14:paraId="1D23337E" w14:textId="77777777" w:rsidR="008F2C3F" w:rsidRDefault="008F2C3F" w:rsidP="008F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904C" w14:textId="77777777" w:rsidR="00036522" w:rsidRDefault="003D3FA1" w:rsidP="00036522">
    <w:pPr>
      <w:pStyle w:val="Footer"/>
      <w:jc w:val="center"/>
    </w:pPr>
    <w:sdt>
      <w:sdtPr>
        <w:id w:val="1728636285"/>
        <w:docPartObj>
          <w:docPartGallery w:val="Page Numbers (Top of Page)"/>
          <w:docPartUnique/>
        </w:docPartObj>
      </w:sdtPr>
      <w:sdtEndPr/>
      <w:sdtContent>
        <w:r w:rsidR="00036522" w:rsidRPr="00D14E99">
          <w:rPr>
            <w:szCs w:val="24"/>
          </w:rPr>
          <w:fldChar w:fldCharType="begin"/>
        </w:r>
        <w:r w:rsidR="00036522" w:rsidRPr="00D14E99">
          <w:instrText xml:space="preserve"> PAGE </w:instrText>
        </w:r>
        <w:r w:rsidR="00036522" w:rsidRPr="00D14E99">
          <w:rPr>
            <w:szCs w:val="24"/>
          </w:rPr>
          <w:fldChar w:fldCharType="separate"/>
        </w:r>
        <w:r w:rsidR="00036522">
          <w:rPr>
            <w:szCs w:val="24"/>
          </w:rPr>
          <w:t>3</w:t>
        </w:r>
        <w:r w:rsidR="00036522" w:rsidRPr="00D14E99">
          <w:rPr>
            <w:szCs w:val="24"/>
          </w:rPr>
          <w:fldChar w:fldCharType="end"/>
        </w:r>
        <w:r w:rsidR="00036522" w:rsidRPr="00D14E99">
          <w:t xml:space="preserve"> no </w:t>
        </w:r>
        <w:fldSimple w:instr=" NUMPAGES  ">
          <w:r w:rsidR="00036522">
            <w:t>4</w:t>
          </w:r>
        </w:fldSimple>
      </w:sdtContent>
    </w:sdt>
  </w:p>
  <w:p w14:paraId="492A6B93" w14:textId="77777777" w:rsidR="00036522" w:rsidRDefault="00036522" w:rsidP="000365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6F08" w14:textId="77777777" w:rsidR="008F2C3F" w:rsidRDefault="008F2C3F" w:rsidP="008F2C3F">
      <w:pPr>
        <w:spacing w:after="0" w:line="240" w:lineRule="auto"/>
      </w:pPr>
      <w:r>
        <w:separator/>
      </w:r>
    </w:p>
  </w:footnote>
  <w:footnote w:type="continuationSeparator" w:id="0">
    <w:p w14:paraId="7ED915E7" w14:textId="77777777" w:rsidR="008F2C3F" w:rsidRDefault="008F2C3F" w:rsidP="008F2C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E43"/>
    <w:rsid w:val="00002523"/>
    <w:rsid w:val="000214EC"/>
    <w:rsid w:val="00026B9F"/>
    <w:rsid w:val="00032FC3"/>
    <w:rsid w:val="0003415D"/>
    <w:rsid w:val="00036522"/>
    <w:rsid w:val="00046EC2"/>
    <w:rsid w:val="0005520D"/>
    <w:rsid w:val="000552DE"/>
    <w:rsid w:val="00064946"/>
    <w:rsid w:val="00071369"/>
    <w:rsid w:val="000727F8"/>
    <w:rsid w:val="0007585C"/>
    <w:rsid w:val="00076E5A"/>
    <w:rsid w:val="00093D12"/>
    <w:rsid w:val="0009582D"/>
    <w:rsid w:val="000A5A99"/>
    <w:rsid w:val="000B2866"/>
    <w:rsid w:val="000B5353"/>
    <w:rsid w:val="000B6E9C"/>
    <w:rsid w:val="000C0830"/>
    <w:rsid w:val="000C0E53"/>
    <w:rsid w:val="000D3B48"/>
    <w:rsid w:val="000E4ADD"/>
    <w:rsid w:val="000F4DAA"/>
    <w:rsid w:val="00103D15"/>
    <w:rsid w:val="00104980"/>
    <w:rsid w:val="0011091D"/>
    <w:rsid w:val="001113D9"/>
    <w:rsid w:val="001135D1"/>
    <w:rsid w:val="00122D72"/>
    <w:rsid w:val="00130C08"/>
    <w:rsid w:val="00131359"/>
    <w:rsid w:val="00136B1D"/>
    <w:rsid w:val="00140BD0"/>
    <w:rsid w:val="001463FB"/>
    <w:rsid w:val="00147754"/>
    <w:rsid w:val="00190D6F"/>
    <w:rsid w:val="001938DF"/>
    <w:rsid w:val="001963B9"/>
    <w:rsid w:val="001970AB"/>
    <w:rsid w:val="001A4BE8"/>
    <w:rsid w:val="001A6B5E"/>
    <w:rsid w:val="001B4BA1"/>
    <w:rsid w:val="001C03D2"/>
    <w:rsid w:val="001C3D4E"/>
    <w:rsid w:val="001C783F"/>
    <w:rsid w:val="001E58E1"/>
    <w:rsid w:val="00210FD4"/>
    <w:rsid w:val="0022785A"/>
    <w:rsid w:val="00234B5D"/>
    <w:rsid w:val="00234FE1"/>
    <w:rsid w:val="00245FE7"/>
    <w:rsid w:val="002470D6"/>
    <w:rsid w:val="00252766"/>
    <w:rsid w:val="0025297F"/>
    <w:rsid w:val="00252D8B"/>
    <w:rsid w:val="0025480C"/>
    <w:rsid w:val="00257EE6"/>
    <w:rsid w:val="0027267A"/>
    <w:rsid w:val="002A0B81"/>
    <w:rsid w:val="002A1373"/>
    <w:rsid w:val="002A36AD"/>
    <w:rsid w:val="002A4899"/>
    <w:rsid w:val="002D196C"/>
    <w:rsid w:val="002D4C94"/>
    <w:rsid w:val="002D5FCD"/>
    <w:rsid w:val="003009CE"/>
    <w:rsid w:val="003071A3"/>
    <w:rsid w:val="00307CE8"/>
    <w:rsid w:val="00330BF1"/>
    <w:rsid w:val="00340C14"/>
    <w:rsid w:val="00365743"/>
    <w:rsid w:val="00366A93"/>
    <w:rsid w:val="00372D90"/>
    <w:rsid w:val="0038083D"/>
    <w:rsid w:val="003A0F63"/>
    <w:rsid w:val="003A3DC2"/>
    <w:rsid w:val="003B1893"/>
    <w:rsid w:val="003B3A1D"/>
    <w:rsid w:val="003D2722"/>
    <w:rsid w:val="003D3FA1"/>
    <w:rsid w:val="003D41AA"/>
    <w:rsid w:val="003D664B"/>
    <w:rsid w:val="003E7DF2"/>
    <w:rsid w:val="003F1A49"/>
    <w:rsid w:val="003F5CDA"/>
    <w:rsid w:val="00400F86"/>
    <w:rsid w:val="0040199B"/>
    <w:rsid w:val="0040325A"/>
    <w:rsid w:val="00410141"/>
    <w:rsid w:val="00414ED7"/>
    <w:rsid w:val="00424236"/>
    <w:rsid w:val="00424875"/>
    <w:rsid w:val="00445F73"/>
    <w:rsid w:val="004546FC"/>
    <w:rsid w:val="00454A8D"/>
    <w:rsid w:val="004645EC"/>
    <w:rsid w:val="00465505"/>
    <w:rsid w:val="00466AEC"/>
    <w:rsid w:val="00474E0C"/>
    <w:rsid w:val="00482346"/>
    <w:rsid w:val="00483483"/>
    <w:rsid w:val="00484D58"/>
    <w:rsid w:val="00491691"/>
    <w:rsid w:val="00493478"/>
    <w:rsid w:val="004966A0"/>
    <w:rsid w:val="004C597E"/>
    <w:rsid w:val="004D6941"/>
    <w:rsid w:val="004F1E07"/>
    <w:rsid w:val="00515090"/>
    <w:rsid w:val="00520F94"/>
    <w:rsid w:val="00524623"/>
    <w:rsid w:val="00527CD4"/>
    <w:rsid w:val="00545F42"/>
    <w:rsid w:val="00550B04"/>
    <w:rsid w:val="005535C9"/>
    <w:rsid w:val="005571CF"/>
    <w:rsid w:val="00574990"/>
    <w:rsid w:val="005955D5"/>
    <w:rsid w:val="005B337D"/>
    <w:rsid w:val="005B3955"/>
    <w:rsid w:val="005D1065"/>
    <w:rsid w:val="005D5010"/>
    <w:rsid w:val="005E1C9E"/>
    <w:rsid w:val="005E3B61"/>
    <w:rsid w:val="005E68FC"/>
    <w:rsid w:val="005F5118"/>
    <w:rsid w:val="00605067"/>
    <w:rsid w:val="00614E95"/>
    <w:rsid w:val="00616C70"/>
    <w:rsid w:val="00623BB2"/>
    <w:rsid w:val="00627E94"/>
    <w:rsid w:val="006325EB"/>
    <w:rsid w:val="00634F18"/>
    <w:rsid w:val="006469F2"/>
    <w:rsid w:val="00646E95"/>
    <w:rsid w:val="00653778"/>
    <w:rsid w:val="00661A12"/>
    <w:rsid w:val="00662F49"/>
    <w:rsid w:val="00667A6D"/>
    <w:rsid w:val="00676C90"/>
    <w:rsid w:val="0067773D"/>
    <w:rsid w:val="00677D91"/>
    <w:rsid w:val="00690988"/>
    <w:rsid w:val="00693E2B"/>
    <w:rsid w:val="00695FEC"/>
    <w:rsid w:val="006A174E"/>
    <w:rsid w:val="006A58A8"/>
    <w:rsid w:val="006B476D"/>
    <w:rsid w:val="006B6E05"/>
    <w:rsid w:val="006B75E1"/>
    <w:rsid w:val="006C6FD6"/>
    <w:rsid w:val="006D4090"/>
    <w:rsid w:val="006E185E"/>
    <w:rsid w:val="006E22FB"/>
    <w:rsid w:val="006F2EC9"/>
    <w:rsid w:val="006F3634"/>
    <w:rsid w:val="007009B6"/>
    <w:rsid w:val="00702711"/>
    <w:rsid w:val="00705355"/>
    <w:rsid w:val="00706C73"/>
    <w:rsid w:val="007242DF"/>
    <w:rsid w:val="00727D35"/>
    <w:rsid w:val="007306E3"/>
    <w:rsid w:val="00740CA4"/>
    <w:rsid w:val="00751E6F"/>
    <w:rsid w:val="007571CB"/>
    <w:rsid w:val="00761F75"/>
    <w:rsid w:val="007642D9"/>
    <w:rsid w:val="0077124D"/>
    <w:rsid w:val="00780667"/>
    <w:rsid w:val="00784C96"/>
    <w:rsid w:val="00785230"/>
    <w:rsid w:val="00787BFC"/>
    <w:rsid w:val="00793ADE"/>
    <w:rsid w:val="0079698D"/>
    <w:rsid w:val="00797231"/>
    <w:rsid w:val="007A2862"/>
    <w:rsid w:val="007B2030"/>
    <w:rsid w:val="007B4391"/>
    <w:rsid w:val="007B52B3"/>
    <w:rsid w:val="007B7098"/>
    <w:rsid w:val="007C55A8"/>
    <w:rsid w:val="007D1293"/>
    <w:rsid w:val="007D4012"/>
    <w:rsid w:val="007E5B26"/>
    <w:rsid w:val="008045B5"/>
    <w:rsid w:val="008065CE"/>
    <w:rsid w:val="008279CA"/>
    <w:rsid w:val="00832CC6"/>
    <w:rsid w:val="0083330D"/>
    <w:rsid w:val="00842D44"/>
    <w:rsid w:val="0084428A"/>
    <w:rsid w:val="008461BD"/>
    <w:rsid w:val="0085279F"/>
    <w:rsid w:val="00857BC3"/>
    <w:rsid w:val="0087021F"/>
    <w:rsid w:val="008706D1"/>
    <w:rsid w:val="008736C8"/>
    <w:rsid w:val="00877512"/>
    <w:rsid w:val="00885A5B"/>
    <w:rsid w:val="00892951"/>
    <w:rsid w:val="008958D0"/>
    <w:rsid w:val="008A6C62"/>
    <w:rsid w:val="008B2348"/>
    <w:rsid w:val="008B3B4C"/>
    <w:rsid w:val="008B5264"/>
    <w:rsid w:val="008B540D"/>
    <w:rsid w:val="008C5B1C"/>
    <w:rsid w:val="008C6583"/>
    <w:rsid w:val="008D1B89"/>
    <w:rsid w:val="008D468D"/>
    <w:rsid w:val="008D521C"/>
    <w:rsid w:val="008D707A"/>
    <w:rsid w:val="008E006B"/>
    <w:rsid w:val="008F2C3F"/>
    <w:rsid w:val="008F6FE7"/>
    <w:rsid w:val="00902817"/>
    <w:rsid w:val="0090448B"/>
    <w:rsid w:val="0090611C"/>
    <w:rsid w:val="00924CE6"/>
    <w:rsid w:val="00925820"/>
    <w:rsid w:val="00926499"/>
    <w:rsid w:val="00937B94"/>
    <w:rsid w:val="0094234D"/>
    <w:rsid w:val="009425C0"/>
    <w:rsid w:val="0094372C"/>
    <w:rsid w:val="00943CD8"/>
    <w:rsid w:val="00951C29"/>
    <w:rsid w:val="00963766"/>
    <w:rsid w:val="00964F28"/>
    <w:rsid w:val="00966195"/>
    <w:rsid w:val="00974760"/>
    <w:rsid w:val="00975AB9"/>
    <w:rsid w:val="00976FDA"/>
    <w:rsid w:val="0098438D"/>
    <w:rsid w:val="0098738A"/>
    <w:rsid w:val="00994129"/>
    <w:rsid w:val="009A3A45"/>
    <w:rsid w:val="009A5750"/>
    <w:rsid w:val="009A63DC"/>
    <w:rsid w:val="009A677C"/>
    <w:rsid w:val="009B5287"/>
    <w:rsid w:val="009C5CFD"/>
    <w:rsid w:val="009D34DD"/>
    <w:rsid w:val="009D379C"/>
    <w:rsid w:val="009D5E43"/>
    <w:rsid w:val="009E2AEA"/>
    <w:rsid w:val="009E3A80"/>
    <w:rsid w:val="009E7E20"/>
    <w:rsid w:val="009F22FA"/>
    <w:rsid w:val="009F28BA"/>
    <w:rsid w:val="00A03F8E"/>
    <w:rsid w:val="00A1165D"/>
    <w:rsid w:val="00A22792"/>
    <w:rsid w:val="00A46BC4"/>
    <w:rsid w:val="00A52D3B"/>
    <w:rsid w:val="00A5506F"/>
    <w:rsid w:val="00A5572C"/>
    <w:rsid w:val="00A6638F"/>
    <w:rsid w:val="00A73DFB"/>
    <w:rsid w:val="00A802C8"/>
    <w:rsid w:val="00A8655E"/>
    <w:rsid w:val="00A871B1"/>
    <w:rsid w:val="00AA2308"/>
    <w:rsid w:val="00AA4D48"/>
    <w:rsid w:val="00AC59B8"/>
    <w:rsid w:val="00AC7F92"/>
    <w:rsid w:val="00AD2800"/>
    <w:rsid w:val="00AD7A86"/>
    <w:rsid w:val="00AE10BF"/>
    <w:rsid w:val="00AF623E"/>
    <w:rsid w:val="00AF70DF"/>
    <w:rsid w:val="00B024D1"/>
    <w:rsid w:val="00B03C79"/>
    <w:rsid w:val="00B06ACC"/>
    <w:rsid w:val="00B0729A"/>
    <w:rsid w:val="00B220FE"/>
    <w:rsid w:val="00B25E58"/>
    <w:rsid w:val="00B3421B"/>
    <w:rsid w:val="00B41A39"/>
    <w:rsid w:val="00B46F7B"/>
    <w:rsid w:val="00B61FB6"/>
    <w:rsid w:val="00B64EEB"/>
    <w:rsid w:val="00B672AB"/>
    <w:rsid w:val="00B7517B"/>
    <w:rsid w:val="00B80844"/>
    <w:rsid w:val="00B84655"/>
    <w:rsid w:val="00B9577C"/>
    <w:rsid w:val="00B9766C"/>
    <w:rsid w:val="00BA1894"/>
    <w:rsid w:val="00BA4617"/>
    <w:rsid w:val="00BB066E"/>
    <w:rsid w:val="00BB07C2"/>
    <w:rsid w:val="00BB0859"/>
    <w:rsid w:val="00BB7CE2"/>
    <w:rsid w:val="00BB7CEE"/>
    <w:rsid w:val="00BC34CE"/>
    <w:rsid w:val="00BC4EC2"/>
    <w:rsid w:val="00BD7FE4"/>
    <w:rsid w:val="00BF1F5E"/>
    <w:rsid w:val="00C006A4"/>
    <w:rsid w:val="00C033E0"/>
    <w:rsid w:val="00C037DE"/>
    <w:rsid w:val="00C1380F"/>
    <w:rsid w:val="00C15B63"/>
    <w:rsid w:val="00C16304"/>
    <w:rsid w:val="00C22399"/>
    <w:rsid w:val="00C25A63"/>
    <w:rsid w:val="00C35A96"/>
    <w:rsid w:val="00C369CC"/>
    <w:rsid w:val="00C37884"/>
    <w:rsid w:val="00C5050C"/>
    <w:rsid w:val="00C51C8A"/>
    <w:rsid w:val="00C5746A"/>
    <w:rsid w:val="00C701CF"/>
    <w:rsid w:val="00C73FD8"/>
    <w:rsid w:val="00C7515C"/>
    <w:rsid w:val="00C75BB9"/>
    <w:rsid w:val="00C828D0"/>
    <w:rsid w:val="00C870EB"/>
    <w:rsid w:val="00C958CD"/>
    <w:rsid w:val="00CA4524"/>
    <w:rsid w:val="00CA5847"/>
    <w:rsid w:val="00CC2279"/>
    <w:rsid w:val="00CD6314"/>
    <w:rsid w:val="00CE3ADA"/>
    <w:rsid w:val="00CE6626"/>
    <w:rsid w:val="00CE77E9"/>
    <w:rsid w:val="00CF2C4F"/>
    <w:rsid w:val="00D045CC"/>
    <w:rsid w:val="00D07570"/>
    <w:rsid w:val="00D10546"/>
    <w:rsid w:val="00D14E99"/>
    <w:rsid w:val="00D167A6"/>
    <w:rsid w:val="00D23FF1"/>
    <w:rsid w:val="00D336FA"/>
    <w:rsid w:val="00D37C79"/>
    <w:rsid w:val="00D45B1B"/>
    <w:rsid w:val="00D47D41"/>
    <w:rsid w:val="00D50BCE"/>
    <w:rsid w:val="00D5450B"/>
    <w:rsid w:val="00D61DA4"/>
    <w:rsid w:val="00D642E7"/>
    <w:rsid w:val="00D64878"/>
    <w:rsid w:val="00D73255"/>
    <w:rsid w:val="00D734C5"/>
    <w:rsid w:val="00D821B6"/>
    <w:rsid w:val="00D82ED7"/>
    <w:rsid w:val="00D83A60"/>
    <w:rsid w:val="00D85A62"/>
    <w:rsid w:val="00D93F0D"/>
    <w:rsid w:val="00D94C12"/>
    <w:rsid w:val="00D97BC5"/>
    <w:rsid w:val="00DA4677"/>
    <w:rsid w:val="00DB1A47"/>
    <w:rsid w:val="00DC59D3"/>
    <w:rsid w:val="00DC694F"/>
    <w:rsid w:val="00DC7063"/>
    <w:rsid w:val="00DD0328"/>
    <w:rsid w:val="00DD659D"/>
    <w:rsid w:val="00DE0DB9"/>
    <w:rsid w:val="00DE204B"/>
    <w:rsid w:val="00DE7D75"/>
    <w:rsid w:val="00DF46E8"/>
    <w:rsid w:val="00E1089F"/>
    <w:rsid w:val="00E12897"/>
    <w:rsid w:val="00E14BAF"/>
    <w:rsid w:val="00E25F51"/>
    <w:rsid w:val="00E327EF"/>
    <w:rsid w:val="00E4315C"/>
    <w:rsid w:val="00E4567E"/>
    <w:rsid w:val="00E559CC"/>
    <w:rsid w:val="00E70148"/>
    <w:rsid w:val="00E77293"/>
    <w:rsid w:val="00E82CEB"/>
    <w:rsid w:val="00E86D43"/>
    <w:rsid w:val="00E91AC6"/>
    <w:rsid w:val="00E94891"/>
    <w:rsid w:val="00EA496E"/>
    <w:rsid w:val="00EB0B4C"/>
    <w:rsid w:val="00EB3377"/>
    <w:rsid w:val="00EB5D27"/>
    <w:rsid w:val="00EC0070"/>
    <w:rsid w:val="00EC017E"/>
    <w:rsid w:val="00EC5A31"/>
    <w:rsid w:val="00ED1AA7"/>
    <w:rsid w:val="00EE08B5"/>
    <w:rsid w:val="00EE1942"/>
    <w:rsid w:val="00EF18A6"/>
    <w:rsid w:val="00EF765D"/>
    <w:rsid w:val="00F11B31"/>
    <w:rsid w:val="00F2583E"/>
    <w:rsid w:val="00F31A4A"/>
    <w:rsid w:val="00F33F07"/>
    <w:rsid w:val="00F45BA0"/>
    <w:rsid w:val="00F57760"/>
    <w:rsid w:val="00F62D50"/>
    <w:rsid w:val="00F71E34"/>
    <w:rsid w:val="00F74ADD"/>
    <w:rsid w:val="00F80A93"/>
    <w:rsid w:val="00F85A85"/>
    <w:rsid w:val="00F86166"/>
    <w:rsid w:val="00FA094F"/>
    <w:rsid w:val="00FA3AD8"/>
    <w:rsid w:val="00FA7C67"/>
    <w:rsid w:val="00FB3B0E"/>
    <w:rsid w:val="00FB7CAE"/>
    <w:rsid w:val="00FC4B31"/>
    <w:rsid w:val="00FC56D9"/>
    <w:rsid w:val="00FC7862"/>
    <w:rsid w:val="00FE0DBC"/>
    <w:rsid w:val="00FE6510"/>
    <w:rsid w:val="00FE7187"/>
    <w:rsid w:val="00FF38C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6B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B4C"/>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B0B4C"/>
    <w:rPr>
      <w:i/>
      <w:iCs/>
    </w:rPr>
  </w:style>
  <w:style w:type="character" w:styleId="Strong">
    <w:name w:val="Strong"/>
    <w:basedOn w:val="DefaultParagraphFont"/>
    <w:uiPriority w:val="22"/>
    <w:qFormat/>
    <w:rsid w:val="00EB0B4C"/>
    <w:rPr>
      <w:b/>
      <w:bCs/>
    </w:rPr>
  </w:style>
  <w:style w:type="paragraph" w:styleId="Header">
    <w:name w:val="header"/>
    <w:basedOn w:val="Normal"/>
    <w:link w:val="HeaderChar"/>
    <w:uiPriority w:val="99"/>
    <w:unhideWhenUsed/>
    <w:rsid w:val="008F2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C3F"/>
  </w:style>
  <w:style w:type="paragraph" w:styleId="Footer">
    <w:name w:val="footer"/>
    <w:basedOn w:val="Normal"/>
    <w:link w:val="FooterChar"/>
    <w:uiPriority w:val="99"/>
    <w:unhideWhenUsed/>
    <w:rsid w:val="008F2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C3F"/>
  </w:style>
  <w:style w:type="paragraph" w:customStyle="1" w:styleId="tv213">
    <w:name w:val="tv213"/>
    <w:basedOn w:val="Normal"/>
    <w:rsid w:val="00524623"/>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104980"/>
    <w:rPr>
      <w:color w:val="0000FF"/>
      <w:u w:val="single"/>
    </w:rPr>
  </w:style>
  <w:style w:type="character" w:styleId="CommentReference">
    <w:name w:val="annotation reference"/>
    <w:basedOn w:val="DefaultParagraphFont"/>
    <w:uiPriority w:val="99"/>
    <w:semiHidden/>
    <w:unhideWhenUsed/>
    <w:rsid w:val="00032FC3"/>
    <w:rPr>
      <w:sz w:val="16"/>
      <w:szCs w:val="16"/>
    </w:rPr>
  </w:style>
  <w:style w:type="paragraph" w:styleId="CommentText">
    <w:name w:val="annotation text"/>
    <w:basedOn w:val="Normal"/>
    <w:link w:val="CommentTextChar"/>
    <w:uiPriority w:val="99"/>
    <w:semiHidden/>
    <w:unhideWhenUsed/>
    <w:rsid w:val="00032FC3"/>
    <w:pPr>
      <w:spacing w:line="240" w:lineRule="auto"/>
    </w:pPr>
    <w:rPr>
      <w:sz w:val="20"/>
      <w:szCs w:val="20"/>
    </w:rPr>
  </w:style>
  <w:style w:type="character" w:customStyle="1" w:styleId="CommentTextChar">
    <w:name w:val="Comment Text Char"/>
    <w:basedOn w:val="DefaultParagraphFont"/>
    <w:link w:val="CommentText"/>
    <w:uiPriority w:val="99"/>
    <w:semiHidden/>
    <w:rsid w:val="00032FC3"/>
    <w:rPr>
      <w:sz w:val="20"/>
      <w:szCs w:val="20"/>
    </w:rPr>
  </w:style>
  <w:style w:type="paragraph" w:styleId="CommentSubject">
    <w:name w:val="annotation subject"/>
    <w:basedOn w:val="CommentText"/>
    <w:next w:val="CommentText"/>
    <w:link w:val="CommentSubjectChar"/>
    <w:uiPriority w:val="99"/>
    <w:semiHidden/>
    <w:unhideWhenUsed/>
    <w:rsid w:val="00032FC3"/>
    <w:rPr>
      <w:b/>
      <w:bCs/>
    </w:rPr>
  </w:style>
  <w:style w:type="character" w:customStyle="1" w:styleId="CommentSubjectChar">
    <w:name w:val="Comment Subject Char"/>
    <w:basedOn w:val="CommentTextChar"/>
    <w:link w:val="CommentSubject"/>
    <w:uiPriority w:val="99"/>
    <w:semiHidden/>
    <w:rsid w:val="00032FC3"/>
    <w:rPr>
      <w:b/>
      <w:bCs/>
      <w:sz w:val="20"/>
      <w:szCs w:val="20"/>
    </w:rPr>
  </w:style>
  <w:style w:type="paragraph" w:styleId="Revision">
    <w:name w:val="Revision"/>
    <w:hidden/>
    <w:uiPriority w:val="99"/>
    <w:semiHidden/>
    <w:rsid w:val="003009CE"/>
    <w:pPr>
      <w:spacing w:after="0" w:line="240" w:lineRule="auto"/>
    </w:pPr>
  </w:style>
  <w:style w:type="character" w:styleId="UnresolvedMention">
    <w:name w:val="Unresolved Mention"/>
    <w:basedOn w:val="DefaultParagraphFont"/>
    <w:uiPriority w:val="99"/>
    <w:semiHidden/>
    <w:unhideWhenUsed/>
    <w:rsid w:val="00AF6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751">
      <w:bodyDiv w:val="1"/>
      <w:marLeft w:val="0"/>
      <w:marRight w:val="0"/>
      <w:marTop w:val="0"/>
      <w:marBottom w:val="0"/>
      <w:divBdr>
        <w:top w:val="none" w:sz="0" w:space="0" w:color="auto"/>
        <w:left w:val="none" w:sz="0" w:space="0" w:color="auto"/>
        <w:bottom w:val="none" w:sz="0" w:space="0" w:color="auto"/>
        <w:right w:val="none" w:sz="0" w:space="0" w:color="auto"/>
      </w:divBdr>
    </w:div>
    <w:div w:id="242642184">
      <w:bodyDiv w:val="1"/>
      <w:marLeft w:val="0"/>
      <w:marRight w:val="0"/>
      <w:marTop w:val="0"/>
      <w:marBottom w:val="0"/>
      <w:divBdr>
        <w:top w:val="none" w:sz="0" w:space="0" w:color="auto"/>
        <w:left w:val="none" w:sz="0" w:space="0" w:color="auto"/>
        <w:bottom w:val="none" w:sz="0" w:space="0" w:color="auto"/>
        <w:right w:val="none" w:sz="0" w:space="0" w:color="auto"/>
      </w:divBdr>
    </w:div>
    <w:div w:id="20070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3248073&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9%26procnum%3D008%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nolemumi/pdf/51714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is.ta.gov.lv/tisreal?Form=STAT_PROC_ENTER&amp;task=edit&amp;procid=78539495&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0%26procnum%3D1304%26sort%3D1%26liststep%3D10%26%3DPar%25C4%2581d%25C4%25ABt%26plparam1%3Dlist%26pljmimetype%3D1%26%3DIzdruk%25C4%2581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5FB18-CBF6-48D5-97E4-FDD8065F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6767</Words>
  <Characters>3858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2023-12-11T14:02:00Z</dcterms:created>
  <dcterms:modified xsi:type="dcterms:W3CDTF">2023-12-13T10:16:00Z</dcterms:modified>
</cp:coreProperties>
</file>