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7C642" w14:textId="655C48AE" w:rsidR="00C630F3" w:rsidRPr="000603D3" w:rsidRDefault="00E6000C" w:rsidP="00E6000C">
      <w:pPr>
        <w:spacing w:line="276" w:lineRule="auto"/>
        <w:jc w:val="both"/>
        <w:rPr>
          <w:rFonts w:eastAsia="Calibri"/>
          <w:b/>
          <w:bCs/>
          <w:sz w:val="24"/>
          <w:szCs w:val="24"/>
        </w:rPr>
      </w:pPr>
      <w:r w:rsidRPr="000603D3">
        <w:rPr>
          <w:rFonts w:eastAsia="Calibri"/>
          <w:b/>
          <w:bCs/>
          <w:sz w:val="24"/>
          <w:szCs w:val="24"/>
        </w:rPr>
        <w:t>Brīdinājuma par saistību piespiedu izpildīšanu brīdinājuma kārtībā izsniegšana, ja parādnieka rīcībspēja ir</w:t>
      </w:r>
      <w:r w:rsidRPr="000603D3">
        <w:rPr>
          <w:rFonts w:eastAsia="Calibri"/>
          <w:b/>
          <w:bCs/>
          <w:sz w:val="24"/>
          <w:szCs w:val="24"/>
        </w:rPr>
        <w:t xml:space="preserve"> ierobežota</w:t>
      </w:r>
    </w:p>
    <w:p w14:paraId="2E312311" w14:textId="1DAC1317" w:rsidR="00E6000C" w:rsidRPr="000603D3" w:rsidRDefault="00E6000C" w:rsidP="00E6000C">
      <w:pPr>
        <w:spacing w:line="276" w:lineRule="auto"/>
        <w:jc w:val="both"/>
        <w:rPr>
          <w:rFonts w:eastAsia="Calibri"/>
          <w:sz w:val="24"/>
          <w:szCs w:val="24"/>
        </w:rPr>
      </w:pPr>
      <w:r w:rsidRPr="000603D3">
        <w:rPr>
          <w:rFonts w:eastAsia="Calibri"/>
          <w:sz w:val="24"/>
          <w:szCs w:val="24"/>
        </w:rPr>
        <w:t>Civilprocesa likuma 406.</w:t>
      </w:r>
      <w:r w:rsidRPr="000603D3">
        <w:rPr>
          <w:rFonts w:eastAsia="Calibri"/>
          <w:sz w:val="24"/>
          <w:szCs w:val="24"/>
          <w:vertAlign w:val="superscript"/>
        </w:rPr>
        <w:t>6 </w:t>
      </w:r>
      <w:r w:rsidRPr="000603D3">
        <w:rPr>
          <w:rFonts w:eastAsia="Calibri"/>
          <w:sz w:val="24"/>
          <w:szCs w:val="24"/>
        </w:rPr>
        <w:t>panta pirmās daļas tiesību normas sastāva pazīme – brīdinājumu izsniedz parādniekam – nav konstatējama, ja procesuālie dokumenti izsniegti personai, kuras rīcībspēja darījumu slēgšanā un saziņā ar tiesu ir ierobežota ar spēkā stājušos tiesas nolēmumu. Šāda parādnieka rīcībspējas īstenošana civilprocesā tiek nodrošināta ar aizgādņa starpniecību.</w:t>
      </w:r>
    </w:p>
    <w:p w14:paraId="0D186C9E" w14:textId="77777777" w:rsidR="008C5528" w:rsidRPr="000603D3" w:rsidRDefault="008C5528" w:rsidP="00E6000C">
      <w:pPr>
        <w:spacing w:line="276" w:lineRule="auto"/>
        <w:jc w:val="right"/>
        <w:rPr>
          <w:sz w:val="24"/>
          <w:szCs w:val="24"/>
        </w:rPr>
      </w:pPr>
    </w:p>
    <w:p w14:paraId="35BDE7EC" w14:textId="59EA275F" w:rsidR="00C630F3" w:rsidRPr="000603D3" w:rsidRDefault="00700469" w:rsidP="00E6000C">
      <w:pPr>
        <w:spacing w:line="276" w:lineRule="auto"/>
        <w:jc w:val="center"/>
        <w:rPr>
          <w:b/>
          <w:sz w:val="24"/>
          <w:szCs w:val="24"/>
        </w:rPr>
      </w:pPr>
      <w:r w:rsidRPr="000603D3">
        <w:rPr>
          <w:b/>
          <w:sz w:val="24"/>
          <w:szCs w:val="24"/>
        </w:rPr>
        <w:t>Latvijas Republikas Senāt</w:t>
      </w:r>
      <w:r w:rsidR="00697376" w:rsidRPr="000603D3">
        <w:rPr>
          <w:b/>
          <w:sz w:val="24"/>
          <w:szCs w:val="24"/>
        </w:rPr>
        <w:t>a</w:t>
      </w:r>
    </w:p>
    <w:p w14:paraId="094C11B5" w14:textId="043810AA" w:rsidR="00697376" w:rsidRPr="000603D3" w:rsidRDefault="00697376" w:rsidP="00E6000C">
      <w:pPr>
        <w:spacing w:line="276" w:lineRule="auto"/>
        <w:jc w:val="center"/>
        <w:rPr>
          <w:b/>
          <w:sz w:val="24"/>
          <w:szCs w:val="24"/>
        </w:rPr>
      </w:pPr>
      <w:r w:rsidRPr="000603D3">
        <w:rPr>
          <w:b/>
          <w:sz w:val="24"/>
          <w:szCs w:val="24"/>
        </w:rPr>
        <w:t>Civillietu departamenta</w:t>
      </w:r>
    </w:p>
    <w:p w14:paraId="456E445E" w14:textId="349D5429" w:rsidR="00697376" w:rsidRPr="000603D3" w:rsidRDefault="00697376" w:rsidP="00E6000C">
      <w:pPr>
        <w:spacing w:line="276" w:lineRule="auto"/>
        <w:jc w:val="center"/>
        <w:rPr>
          <w:rStyle w:val="SubtleEmphasis"/>
          <w:b/>
          <w:bCs/>
          <w:i w:val="0"/>
          <w:sz w:val="24"/>
          <w:szCs w:val="24"/>
        </w:rPr>
      </w:pPr>
      <w:r w:rsidRPr="000603D3">
        <w:rPr>
          <w:b/>
          <w:bCs/>
          <w:sz w:val="24"/>
          <w:szCs w:val="24"/>
        </w:rPr>
        <w:t>2023. gada 4. decembra</w:t>
      </w:r>
    </w:p>
    <w:p w14:paraId="595EFE12" w14:textId="033F7D7D" w:rsidR="00700469" w:rsidRPr="000603D3" w:rsidRDefault="00700469" w:rsidP="00E6000C">
      <w:pPr>
        <w:spacing w:line="276" w:lineRule="auto"/>
        <w:jc w:val="center"/>
        <w:rPr>
          <w:b/>
          <w:color w:val="000000"/>
          <w:sz w:val="24"/>
          <w:szCs w:val="24"/>
        </w:rPr>
      </w:pPr>
      <w:r w:rsidRPr="000603D3">
        <w:rPr>
          <w:b/>
          <w:color w:val="000000"/>
          <w:sz w:val="24"/>
          <w:szCs w:val="24"/>
        </w:rPr>
        <w:t>LĒMUMS</w:t>
      </w:r>
    </w:p>
    <w:p w14:paraId="6300F27B" w14:textId="5B7D2B2A" w:rsidR="00697376" w:rsidRPr="000603D3" w:rsidRDefault="00697376" w:rsidP="00E6000C">
      <w:pPr>
        <w:spacing w:line="276" w:lineRule="auto"/>
        <w:jc w:val="center"/>
        <w:rPr>
          <w:b/>
          <w:bCs/>
          <w:sz w:val="24"/>
          <w:szCs w:val="24"/>
        </w:rPr>
      </w:pPr>
      <w:r w:rsidRPr="000603D3">
        <w:rPr>
          <w:b/>
          <w:color w:val="000000"/>
          <w:sz w:val="24"/>
          <w:szCs w:val="24"/>
        </w:rPr>
        <w:t>Liet Nr. </w:t>
      </w:r>
      <w:r w:rsidRPr="000603D3">
        <w:rPr>
          <w:b/>
          <w:bCs/>
          <w:sz w:val="24"/>
          <w:szCs w:val="24"/>
        </w:rPr>
        <w:t>SPC-13/2023</w:t>
      </w:r>
    </w:p>
    <w:p w14:paraId="1FE132B5" w14:textId="495EB1B4" w:rsidR="00697376" w:rsidRPr="000603D3" w:rsidRDefault="000603D3" w:rsidP="00E6000C">
      <w:pPr>
        <w:spacing w:line="276" w:lineRule="auto"/>
        <w:jc w:val="center"/>
        <w:rPr>
          <w:b/>
          <w:color w:val="404040"/>
          <w:sz w:val="24"/>
          <w:szCs w:val="24"/>
        </w:rPr>
      </w:pPr>
      <w:hyperlink r:id="rId7" w:history="1">
        <w:r w:rsidR="00697376" w:rsidRPr="000603D3">
          <w:rPr>
            <w:rStyle w:val="Hyperlink"/>
            <w:rFonts w:eastAsiaTheme="minorHAnsi"/>
            <w:sz w:val="24"/>
            <w:szCs w:val="24"/>
            <w14:ligatures w14:val="standardContextual"/>
          </w:rPr>
          <w:t>ECLI:LV:AT:2023:1204.SPC001323.3.L</w:t>
        </w:r>
      </w:hyperlink>
    </w:p>
    <w:p w14:paraId="044566EE" w14:textId="77777777" w:rsidR="00697376" w:rsidRPr="000603D3" w:rsidRDefault="00697376" w:rsidP="00E6000C">
      <w:pPr>
        <w:spacing w:line="276" w:lineRule="auto"/>
        <w:jc w:val="center"/>
        <w:rPr>
          <w:sz w:val="24"/>
          <w:szCs w:val="24"/>
        </w:rPr>
      </w:pPr>
    </w:p>
    <w:p w14:paraId="378A1B89" w14:textId="2D59FDBD" w:rsidR="00700469" w:rsidRPr="000603D3" w:rsidRDefault="00EC2E54" w:rsidP="00E6000C">
      <w:pPr>
        <w:spacing w:line="276" w:lineRule="auto"/>
        <w:ind w:firstLine="720"/>
        <w:jc w:val="both"/>
        <w:rPr>
          <w:sz w:val="24"/>
          <w:szCs w:val="24"/>
        </w:rPr>
      </w:pPr>
      <w:r w:rsidRPr="000603D3">
        <w:rPr>
          <w:sz w:val="24"/>
          <w:szCs w:val="24"/>
        </w:rPr>
        <w:t>Senāts</w:t>
      </w:r>
      <w:r w:rsidR="00700469" w:rsidRPr="000603D3">
        <w:rPr>
          <w:sz w:val="24"/>
          <w:szCs w:val="24"/>
        </w:rPr>
        <w:t xml:space="preserve"> šādā sastāvā: senators </w:t>
      </w:r>
      <w:r w:rsidR="00C630F3" w:rsidRPr="000603D3">
        <w:rPr>
          <w:sz w:val="24"/>
          <w:szCs w:val="24"/>
        </w:rPr>
        <w:t xml:space="preserve">referents Intars Bisters, senatori Ļubova Kušnire un Normunds Salenieks </w:t>
      </w:r>
    </w:p>
    <w:p w14:paraId="484F1902" w14:textId="77777777" w:rsidR="00284641" w:rsidRPr="000603D3" w:rsidRDefault="00284641" w:rsidP="00E6000C">
      <w:pPr>
        <w:widowControl/>
        <w:spacing w:line="276" w:lineRule="auto"/>
        <w:ind w:firstLine="720"/>
        <w:jc w:val="both"/>
        <w:rPr>
          <w:sz w:val="24"/>
          <w:szCs w:val="24"/>
        </w:rPr>
      </w:pPr>
    </w:p>
    <w:p w14:paraId="0AA459DD" w14:textId="22D3F78F" w:rsidR="00BF566A" w:rsidRPr="000603D3" w:rsidRDefault="00700469" w:rsidP="00E6000C">
      <w:pPr>
        <w:widowControl/>
        <w:spacing w:line="276" w:lineRule="auto"/>
        <w:ind w:firstLine="720"/>
        <w:jc w:val="both"/>
        <w:rPr>
          <w:sz w:val="24"/>
          <w:szCs w:val="24"/>
        </w:rPr>
      </w:pPr>
      <w:r w:rsidRPr="000603D3">
        <w:rPr>
          <w:sz w:val="24"/>
          <w:szCs w:val="24"/>
        </w:rPr>
        <w:t xml:space="preserve">izskatīja rakstveida procesā ģenerālprokurora protestu par </w:t>
      </w:r>
      <w:r w:rsidR="00C630F3" w:rsidRPr="000603D3">
        <w:rPr>
          <w:sz w:val="24"/>
          <w:szCs w:val="24"/>
        </w:rPr>
        <w:t>Zemgales</w:t>
      </w:r>
      <w:r w:rsidR="002532A4" w:rsidRPr="000603D3">
        <w:rPr>
          <w:sz w:val="24"/>
          <w:szCs w:val="24"/>
        </w:rPr>
        <w:t xml:space="preserve"> rajona tiesas </w:t>
      </w:r>
      <w:r w:rsidR="00EC2E54" w:rsidRPr="000603D3">
        <w:rPr>
          <w:sz w:val="24"/>
          <w:szCs w:val="24"/>
        </w:rPr>
        <w:t>tiesne</w:t>
      </w:r>
      <w:r w:rsidR="00651FA9" w:rsidRPr="000603D3">
        <w:rPr>
          <w:sz w:val="24"/>
          <w:szCs w:val="24"/>
        </w:rPr>
        <w:t>ša</w:t>
      </w:r>
      <w:r w:rsidR="00EC2E54" w:rsidRPr="000603D3">
        <w:rPr>
          <w:sz w:val="24"/>
          <w:szCs w:val="24"/>
        </w:rPr>
        <w:t xml:space="preserve"> </w:t>
      </w:r>
      <w:r w:rsidR="002532A4" w:rsidRPr="000603D3">
        <w:rPr>
          <w:sz w:val="24"/>
          <w:szCs w:val="24"/>
        </w:rPr>
        <w:t>20</w:t>
      </w:r>
      <w:r w:rsidR="00C630F3" w:rsidRPr="000603D3">
        <w:rPr>
          <w:sz w:val="24"/>
          <w:szCs w:val="24"/>
        </w:rPr>
        <w:t>19</w:t>
      </w:r>
      <w:r w:rsidR="002532A4" w:rsidRPr="000603D3">
        <w:rPr>
          <w:sz w:val="24"/>
          <w:szCs w:val="24"/>
        </w:rPr>
        <w:t xml:space="preserve">. gada </w:t>
      </w:r>
      <w:r w:rsidR="00C630F3" w:rsidRPr="000603D3">
        <w:rPr>
          <w:sz w:val="24"/>
          <w:szCs w:val="24"/>
        </w:rPr>
        <w:t>19. novembra</w:t>
      </w:r>
      <w:r w:rsidR="002532A4" w:rsidRPr="000603D3">
        <w:rPr>
          <w:sz w:val="24"/>
          <w:szCs w:val="24"/>
        </w:rPr>
        <w:t xml:space="preserve"> lēmumu</w:t>
      </w:r>
      <w:r w:rsidR="00FB09AD" w:rsidRPr="000603D3">
        <w:rPr>
          <w:sz w:val="24"/>
          <w:szCs w:val="24"/>
        </w:rPr>
        <w:t>, ar kuru apmierināts SIA „</w:t>
      </w:r>
      <w:proofErr w:type="spellStart"/>
      <w:r w:rsidR="00FB09AD" w:rsidRPr="000603D3">
        <w:rPr>
          <w:sz w:val="24"/>
          <w:szCs w:val="24"/>
        </w:rPr>
        <w:t>Komunālserviss</w:t>
      </w:r>
      <w:proofErr w:type="spellEnd"/>
      <w:r w:rsidR="00FB09AD" w:rsidRPr="000603D3">
        <w:rPr>
          <w:sz w:val="24"/>
          <w:szCs w:val="24"/>
        </w:rPr>
        <w:t xml:space="preserve"> </w:t>
      </w:r>
      <w:proofErr w:type="spellStart"/>
      <w:r w:rsidR="00FB09AD" w:rsidRPr="000603D3">
        <w:rPr>
          <w:sz w:val="24"/>
          <w:szCs w:val="24"/>
        </w:rPr>
        <w:t>TILDe</w:t>
      </w:r>
      <w:proofErr w:type="spellEnd"/>
      <w:r w:rsidR="00FB09AD" w:rsidRPr="000603D3">
        <w:rPr>
          <w:sz w:val="24"/>
          <w:szCs w:val="24"/>
        </w:rPr>
        <w:t xml:space="preserve">” pieteikums pret </w:t>
      </w:r>
      <w:r w:rsidR="00697376" w:rsidRPr="000603D3">
        <w:rPr>
          <w:sz w:val="24"/>
          <w:szCs w:val="24"/>
        </w:rPr>
        <w:t>[pers. A]</w:t>
      </w:r>
      <w:r w:rsidR="00FB09AD" w:rsidRPr="000603D3">
        <w:rPr>
          <w:sz w:val="24"/>
          <w:szCs w:val="24"/>
        </w:rPr>
        <w:t xml:space="preserve"> par saistības piespiedu izpildīšanu brīdinājuma kārtībā. </w:t>
      </w:r>
      <w:r w:rsidR="002532A4" w:rsidRPr="000603D3">
        <w:rPr>
          <w:sz w:val="24"/>
          <w:szCs w:val="24"/>
        </w:rPr>
        <w:t xml:space="preserve"> </w:t>
      </w:r>
    </w:p>
    <w:p w14:paraId="2933709D" w14:textId="77777777" w:rsidR="00697376" w:rsidRPr="000603D3" w:rsidRDefault="00697376" w:rsidP="00E6000C">
      <w:pPr>
        <w:spacing w:line="276" w:lineRule="auto"/>
        <w:jc w:val="center"/>
        <w:rPr>
          <w:b/>
          <w:sz w:val="24"/>
          <w:szCs w:val="24"/>
        </w:rPr>
      </w:pPr>
    </w:p>
    <w:p w14:paraId="6F605EC6" w14:textId="38CCF082" w:rsidR="00700469" w:rsidRPr="000603D3" w:rsidRDefault="00700469" w:rsidP="00E6000C">
      <w:pPr>
        <w:spacing w:line="276" w:lineRule="auto"/>
        <w:jc w:val="center"/>
        <w:rPr>
          <w:b/>
          <w:sz w:val="24"/>
          <w:szCs w:val="24"/>
        </w:rPr>
      </w:pPr>
      <w:r w:rsidRPr="000603D3">
        <w:rPr>
          <w:b/>
          <w:sz w:val="24"/>
          <w:szCs w:val="24"/>
        </w:rPr>
        <w:t xml:space="preserve">Aprakstošā daļa </w:t>
      </w:r>
    </w:p>
    <w:p w14:paraId="5F20C0D2" w14:textId="77777777" w:rsidR="009477C0" w:rsidRPr="000603D3" w:rsidRDefault="009477C0" w:rsidP="00E6000C">
      <w:pPr>
        <w:pStyle w:val="NormalWeb"/>
        <w:shd w:val="clear" w:color="auto" w:fill="FFFFFF"/>
        <w:spacing w:before="0" w:beforeAutospacing="0" w:after="0" w:afterAutospacing="0" w:line="276" w:lineRule="auto"/>
        <w:ind w:firstLine="567"/>
        <w:jc w:val="both"/>
      </w:pPr>
    </w:p>
    <w:p w14:paraId="6E20D7BB" w14:textId="0A402F44" w:rsidR="00651FA9" w:rsidRPr="000603D3" w:rsidRDefault="007949B9" w:rsidP="00E6000C">
      <w:pPr>
        <w:pStyle w:val="NormalWeb"/>
        <w:shd w:val="clear" w:color="auto" w:fill="FFFFFF"/>
        <w:spacing w:before="0" w:beforeAutospacing="0" w:after="0" w:afterAutospacing="0" w:line="276" w:lineRule="auto"/>
        <w:ind w:firstLine="720"/>
        <w:jc w:val="both"/>
      </w:pPr>
      <w:r w:rsidRPr="000603D3">
        <w:t>[1]</w:t>
      </w:r>
      <w:r w:rsidR="003E375A" w:rsidRPr="000603D3">
        <w:t> </w:t>
      </w:r>
      <w:r w:rsidR="00651FA9" w:rsidRPr="000603D3">
        <w:t>Ar Zemgales rajona tiesas tiesneša 2019.</w:t>
      </w:r>
      <w:r w:rsidR="00697376" w:rsidRPr="000603D3">
        <w:t> </w:t>
      </w:r>
      <w:r w:rsidR="00651FA9" w:rsidRPr="000603D3">
        <w:t>gada 19.</w:t>
      </w:r>
      <w:r w:rsidR="00697376" w:rsidRPr="000603D3">
        <w:t> </w:t>
      </w:r>
      <w:r w:rsidR="00651FA9" w:rsidRPr="000603D3">
        <w:t>novembra lēmumu piespiedu izpildīšanai saskaņā ar Civilprocesa likuma 406.</w:t>
      </w:r>
      <w:r w:rsidR="00651FA9" w:rsidRPr="000603D3">
        <w:rPr>
          <w:vertAlign w:val="superscript"/>
        </w:rPr>
        <w:t>9</w:t>
      </w:r>
      <w:r w:rsidR="00651FA9" w:rsidRPr="000603D3">
        <w:t xml:space="preserve"> pantu nodota </w:t>
      </w:r>
      <w:r w:rsidR="00697376" w:rsidRPr="000603D3">
        <w:t>[pers. A]</w:t>
      </w:r>
      <w:r w:rsidR="00651FA9" w:rsidRPr="000603D3">
        <w:t xml:space="preserve"> saistība pret SIA</w:t>
      </w:r>
      <w:r w:rsidR="00A1464D" w:rsidRPr="000603D3">
        <w:t> </w:t>
      </w:r>
      <w:r w:rsidR="00651FA9" w:rsidRPr="000603D3">
        <w:t>„</w:t>
      </w:r>
      <w:proofErr w:type="spellStart"/>
      <w:r w:rsidR="00651FA9" w:rsidRPr="000603D3">
        <w:t>Komunālserviss</w:t>
      </w:r>
      <w:proofErr w:type="spellEnd"/>
      <w:r w:rsidR="00651FA9" w:rsidRPr="000603D3">
        <w:t xml:space="preserve"> </w:t>
      </w:r>
      <w:proofErr w:type="spellStart"/>
      <w:r w:rsidR="00651FA9" w:rsidRPr="000603D3">
        <w:t>TILDe</w:t>
      </w:r>
      <w:proofErr w:type="spellEnd"/>
      <w:r w:rsidR="00651FA9" w:rsidRPr="000603D3">
        <w:t>”, kopumā piedzenot 1477,28 </w:t>
      </w:r>
      <w:proofErr w:type="spellStart"/>
      <w:r w:rsidR="00651FA9" w:rsidRPr="000603D3">
        <w:rPr>
          <w:i/>
          <w:iCs/>
        </w:rPr>
        <w:t>euro</w:t>
      </w:r>
      <w:proofErr w:type="spellEnd"/>
      <w:r w:rsidR="00651FA9" w:rsidRPr="000603D3">
        <w:t>.</w:t>
      </w:r>
    </w:p>
    <w:p w14:paraId="030A0A0D" w14:textId="43ABB668" w:rsidR="00651FA9" w:rsidRPr="000603D3" w:rsidRDefault="00651FA9" w:rsidP="00E6000C">
      <w:pPr>
        <w:pStyle w:val="NormalWeb"/>
        <w:shd w:val="clear" w:color="auto" w:fill="FFFFFF"/>
        <w:spacing w:before="0" w:beforeAutospacing="0" w:after="0" w:afterAutospacing="0" w:line="276" w:lineRule="auto"/>
        <w:ind w:firstLine="720"/>
        <w:jc w:val="both"/>
      </w:pPr>
      <w:r w:rsidRPr="000603D3">
        <w:t xml:space="preserve">Tiesnesis konstatējis, ka brīdinājums </w:t>
      </w:r>
      <w:r w:rsidR="004A4C9D" w:rsidRPr="000603D3">
        <w:t xml:space="preserve">par maksājuma saistības piespiedu izpildīšanu </w:t>
      </w:r>
      <w:r w:rsidRPr="000603D3">
        <w:t>2019.</w:t>
      </w:r>
      <w:r w:rsidR="00BF1A5A" w:rsidRPr="000603D3">
        <w:t> </w:t>
      </w:r>
      <w:r w:rsidRPr="000603D3">
        <w:t>gada 28.</w:t>
      </w:r>
      <w:r w:rsidR="00BF1A5A" w:rsidRPr="000603D3">
        <w:t> </w:t>
      </w:r>
      <w:r w:rsidRPr="000603D3">
        <w:t>oktobrī izsniegts parādniecei</w:t>
      </w:r>
      <w:r w:rsidR="004A4C9D" w:rsidRPr="000603D3">
        <w:t>,</w:t>
      </w:r>
      <w:r w:rsidRPr="000603D3">
        <w:t xml:space="preserve"> un Civilprocesa likuma 406.</w:t>
      </w:r>
      <w:r w:rsidRPr="000603D3">
        <w:rPr>
          <w:vertAlign w:val="superscript"/>
        </w:rPr>
        <w:t>5</w:t>
      </w:r>
      <w:r w:rsidR="004A4C9D" w:rsidRPr="000603D3">
        <w:t> </w:t>
      </w:r>
      <w:r w:rsidRPr="000603D3">
        <w:t xml:space="preserve">pantā noteiktajā </w:t>
      </w:r>
      <w:r w:rsidR="00A1464D" w:rsidRPr="000603D3">
        <w:t xml:space="preserve">kārtībā un </w:t>
      </w:r>
      <w:r w:rsidRPr="000603D3">
        <w:t xml:space="preserve">termiņā parādniece </w:t>
      </w:r>
      <w:r w:rsidR="00A1464D" w:rsidRPr="000603D3">
        <w:t xml:space="preserve">par saistību </w:t>
      </w:r>
      <w:r w:rsidRPr="000603D3">
        <w:t xml:space="preserve">nav </w:t>
      </w:r>
      <w:r w:rsidR="00A1464D" w:rsidRPr="000603D3">
        <w:t>cēlusi</w:t>
      </w:r>
      <w:r w:rsidRPr="000603D3">
        <w:t xml:space="preserve"> tiesā iebildumus, kā arī nav paziņojusi tiesai par parāda samaksu pieteicējai.</w:t>
      </w:r>
    </w:p>
    <w:p w14:paraId="62493CC4" w14:textId="77777777" w:rsidR="00651FA9" w:rsidRPr="000603D3" w:rsidRDefault="00651FA9" w:rsidP="00E6000C">
      <w:pPr>
        <w:pStyle w:val="NormalWeb"/>
        <w:shd w:val="clear" w:color="auto" w:fill="FFFFFF"/>
        <w:spacing w:before="0" w:beforeAutospacing="0" w:after="0" w:afterAutospacing="0" w:line="276" w:lineRule="auto"/>
        <w:ind w:firstLine="720"/>
        <w:jc w:val="both"/>
      </w:pPr>
    </w:p>
    <w:p w14:paraId="44026AFB" w14:textId="631E18AE" w:rsidR="00651FA9" w:rsidRPr="000603D3" w:rsidRDefault="004A4C9D" w:rsidP="00E6000C">
      <w:pPr>
        <w:pStyle w:val="NormalWeb"/>
        <w:shd w:val="clear" w:color="auto" w:fill="FFFFFF"/>
        <w:spacing w:before="0" w:beforeAutospacing="0" w:after="0" w:afterAutospacing="0" w:line="276" w:lineRule="auto"/>
        <w:ind w:firstLine="720"/>
        <w:jc w:val="both"/>
      </w:pPr>
      <w:r w:rsidRPr="000603D3">
        <w:t>[2] Par minēto lēmumu ģenerālprokurors Civilprocesa likuma 60.</w:t>
      </w:r>
      <w:r w:rsidR="00697376" w:rsidRPr="000603D3">
        <w:t> </w:t>
      </w:r>
      <w:r w:rsidRPr="000603D3">
        <w:t>nodaļas kārtībā iesniedzis protestu, lūdzot to atcelt būtisku procesuālo tiesību normu pārkāpumu dēļ.</w:t>
      </w:r>
    </w:p>
    <w:p w14:paraId="0C9F1FE6" w14:textId="19A24705" w:rsidR="00BB6DCB" w:rsidRPr="000603D3" w:rsidRDefault="00BB6DCB" w:rsidP="00E6000C">
      <w:pPr>
        <w:pStyle w:val="NormalWeb"/>
        <w:shd w:val="clear" w:color="auto" w:fill="FFFFFF"/>
        <w:spacing w:before="0" w:beforeAutospacing="0" w:after="0" w:afterAutospacing="0" w:line="276" w:lineRule="auto"/>
        <w:ind w:firstLine="720"/>
        <w:jc w:val="both"/>
      </w:pPr>
      <w:bookmarkStart w:id="0" w:name="_Hlk150158079"/>
      <w:r w:rsidRPr="000603D3">
        <w:t>Protestā norādīti šādi argumenti.</w:t>
      </w:r>
    </w:p>
    <w:bookmarkEnd w:id="0"/>
    <w:p w14:paraId="42425E90" w14:textId="6C3C9515" w:rsidR="00651FA9" w:rsidRPr="000603D3" w:rsidRDefault="004A4C9D" w:rsidP="00E6000C">
      <w:pPr>
        <w:pStyle w:val="NormalWeb"/>
        <w:shd w:val="clear" w:color="auto" w:fill="FFFFFF"/>
        <w:spacing w:before="0" w:beforeAutospacing="0" w:after="0" w:afterAutospacing="0" w:line="276" w:lineRule="auto"/>
        <w:ind w:firstLine="720"/>
        <w:jc w:val="both"/>
      </w:pPr>
      <w:r w:rsidRPr="000603D3">
        <w:t xml:space="preserve">Ar </w:t>
      </w:r>
      <w:r w:rsidR="00697376" w:rsidRPr="000603D3">
        <w:t>[..]</w:t>
      </w:r>
      <w:r w:rsidRPr="000603D3">
        <w:t xml:space="preserve"> rajona tiesas 2019. gada </w:t>
      </w:r>
      <w:r w:rsidR="00697376" w:rsidRPr="000603D3">
        <w:t>[..]</w:t>
      </w:r>
      <w:r w:rsidRPr="000603D3">
        <w:t xml:space="preserve"> spriedumu lietā Nr. </w:t>
      </w:r>
      <w:r w:rsidR="00697376" w:rsidRPr="000603D3">
        <w:t>[..]</w:t>
      </w:r>
      <w:r w:rsidRPr="000603D3">
        <w:t xml:space="preserve"> ierobežota </w:t>
      </w:r>
      <w:r w:rsidR="00697376" w:rsidRPr="000603D3">
        <w:t xml:space="preserve">[pers. A] </w:t>
      </w:r>
      <w:r w:rsidRPr="000603D3">
        <w:t xml:space="preserve">rīcībspēja darījumu slēgšanā virs 20 </w:t>
      </w:r>
      <w:r w:rsidRPr="000603D3">
        <w:rPr>
          <w:i/>
          <w:iCs/>
        </w:rPr>
        <w:t>euro</w:t>
      </w:r>
      <w:r w:rsidRPr="000603D3">
        <w:t xml:space="preserve">, </w:t>
      </w:r>
      <w:r w:rsidR="0040779E" w:rsidRPr="000603D3">
        <w:t>visu veida maksājumu</w:t>
      </w:r>
      <w:r w:rsidR="00036196" w:rsidRPr="000603D3">
        <w:t xml:space="preserve"> (tajā skaitā pensiju, pabalstu, kompensāciju) kārtošanā (tajā skaitā rīcībā ar bankas kontiem), </w:t>
      </w:r>
      <w:r w:rsidR="0040779E" w:rsidRPr="000603D3">
        <w:t xml:space="preserve">saņemšanā un </w:t>
      </w:r>
      <w:r w:rsidR="0040722D" w:rsidRPr="000603D3">
        <w:t>veikšanā</w:t>
      </w:r>
      <w:r w:rsidR="0040779E" w:rsidRPr="000603D3">
        <w:t xml:space="preserve"> virs 20 </w:t>
      </w:r>
      <w:r w:rsidR="0040779E" w:rsidRPr="000603D3">
        <w:rPr>
          <w:i/>
          <w:iCs/>
        </w:rPr>
        <w:t>euro</w:t>
      </w:r>
      <w:r w:rsidR="0040779E" w:rsidRPr="000603D3">
        <w:t xml:space="preserve">, </w:t>
      </w:r>
      <w:r w:rsidRPr="000603D3">
        <w:t xml:space="preserve">rīcībā ar mantu un tās pārvaldībā (tajā skaitā ar nekustamo īpašumu), kā arī pārstāvībai </w:t>
      </w:r>
      <w:r w:rsidR="0040779E" w:rsidRPr="000603D3">
        <w:t>valsts un pašvaldības iestādēs</w:t>
      </w:r>
      <w:r w:rsidR="00765936" w:rsidRPr="000603D3">
        <w:t>, tiesās, bankās, apdrošināšanas sabiedrībās, citās finanšu institūcijās, medicīnas un ārstniecības iestādēs.</w:t>
      </w:r>
    </w:p>
    <w:p w14:paraId="54772286" w14:textId="3E8EE316" w:rsidR="00036196" w:rsidRPr="000603D3" w:rsidRDefault="004A4C9D" w:rsidP="00E6000C">
      <w:pPr>
        <w:pStyle w:val="NormalWeb"/>
        <w:shd w:val="clear" w:color="auto" w:fill="FFFFFF"/>
        <w:spacing w:before="0" w:beforeAutospacing="0" w:after="0" w:afterAutospacing="0" w:line="276" w:lineRule="auto"/>
        <w:ind w:firstLine="720"/>
        <w:jc w:val="both"/>
      </w:pPr>
      <w:r w:rsidRPr="000603D3">
        <w:t xml:space="preserve">Nepārliecinoties Fizisko personu reģistrā par </w:t>
      </w:r>
      <w:r w:rsidR="00697376" w:rsidRPr="000603D3">
        <w:t>[pers. A]</w:t>
      </w:r>
      <w:r w:rsidRPr="000603D3">
        <w:t xml:space="preserve"> rīcībspēju, neievērojot Civillikuma 264. un 356. panta nosacījumus un nepiemērojot Civilprocesa likuma 72. panta otro daļu, tiesnesis nav nodrošinājis personas ar ierobežotu rīcībspēju </w:t>
      </w:r>
      <w:r w:rsidRPr="000603D3">
        <w:lastRenderedPageBreak/>
        <w:t>procesuālo tiesību ievērošanu, kas novedis pie nepamatotas Civilprocesa likuma 406.</w:t>
      </w:r>
      <w:r w:rsidRPr="000603D3">
        <w:rPr>
          <w:vertAlign w:val="superscript"/>
        </w:rPr>
        <w:t>9</w:t>
      </w:r>
      <w:r w:rsidRPr="000603D3">
        <w:t> panta piemērošanas.</w:t>
      </w:r>
    </w:p>
    <w:p w14:paraId="62C1B7FE" w14:textId="77777777" w:rsidR="00697376" w:rsidRPr="000603D3" w:rsidRDefault="00697376" w:rsidP="00E6000C">
      <w:pPr>
        <w:pStyle w:val="NormalWeb"/>
        <w:shd w:val="clear" w:color="auto" w:fill="FFFFFF"/>
        <w:spacing w:before="0" w:beforeAutospacing="0" w:after="0" w:afterAutospacing="0" w:line="276" w:lineRule="auto"/>
        <w:ind w:firstLine="720"/>
        <w:jc w:val="both"/>
      </w:pPr>
    </w:p>
    <w:p w14:paraId="14819DF4" w14:textId="77777777" w:rsidR="009E1FEB" w:rsidRPr="000603D3" w:rsidRDefault="009E1FEB" w:rsidP="00E6000C">
      <w:pPr>
        <w:shd w:val="clear" w:color="auto" w:fill="FFFFFF"/>
        <w:spacing w:line="276" w:lineRule="auto"/>
        <w:jc w:val="center"/>
        <w:rPr>
          <w:rFonts w:eastAsiaTheme="minorHAnsi"/>
          <w:b/>
          <w:bCs/>
          <w:sz w:val="24"/>
          <w:szCs w:val="24"/>
          <w:lang w:eastAsia="en-US"/>
        </w:rPr>
      </w:pPr>
      <w:r w:rsidRPr="000603D3">
        <w:rPr>
          <w:rFonts w:eastAsiaTheme="minorHAnsi"/>
          <w:b/>
          <w:bCs/>
          <w:sz w:val="24"/>
          <w:szCs w:val="24"/>
          <w:lang w:eastAsia="en-US"/>
        </w:rPr>
        <w:t>Motīvu daļa</w:t>
      </w:r>
    </w:p>
    <w:p w14:paraId="4B95653E" w14:textId="77777777" w:rsidR="009E1FEB" w:rsidRPr="000603D3" w:rsidRDefault="009E1FEB" w:rsidP="00E6000C">
      <w:pPr>
        <w:shd w:val="clear" w:color="auto" w:fill="FFFFFF"/>
        <w:spacing w:line="276" w:lineRule="auto"/>
        <w:ind w:firstLine="691"/>
        <w:jc w:val="both"/>
        <w:rPr>
          <w:sz w:val="24"/>
          <w:szCs w:val="24"/>
        </w:rPr>
      </w:pPr>
    </w:p>
    <w:p w14:paraId="3D59DFEE" w14:textId="4E6C27C2" w:rsidR="009E1FEB" w:rsidRPr="000603D3" w:rsidRDefault="009E1FEB" w:rsidP="00E6000C">
      <w:pPr>
        <w:shd w:val="clear" w:color="auto" w:fill="FFFFFF"/>
        <w:spacing w:line="276" w:lineRule="auto"/>
        <w:ind w:firstLine="691"/>
        <w:jc w:val="both"/>
        <w:rPr>
          <w:sz w:val="24"/>
          <w:szCs w:val="24"/>
        </w:rPr>
      </w:pPr>
      <w:r w:rsidRPr="000603D3">
        <w:rPr>
          <w:sz w:val="24"/>
          <w:szCs w:val="24"/>
        </w:rPr>
        <w:t>[</w:t>
      </w:r>
      <w:r w:rsidR="003D6F37" w:rsidRPr="000603D3">
        <w:rPr>
          <w:sz w:val="24"/>
          <w:szCs w:val="24"/>
        </w:rPr>
        <w:t>3</w:t>
      </w:r>
      <w:r w:rsidRPr="000603D3">
        <w:rPr>
          <w:sz w:val="24"/>
          <w:szCs w:val="24"/>
        </w:rPr>
        <w:t xml:space="preserve">] Pārbaudījis lietas materiālus un apsvēris protestā norādītos argumentus, Senāts atzīst, ka </w:t>
      </w:r>
      <w:r w:rsidR="0040779E" w:rsidRPr="000603D3">
        <w:rPr>
          <w:color w:val="000000"/>
          <w:sz w:val="24"/>
          <w:szCs w:val="24"/>
        </w:rPr>
        <w:t>Zemgales rajona tiesas tiesneša 2019.</w:t>
      </w:r>
      <w:r w:rsidR="00697376" w:rsidRPr="000603D3">
        <w:rPr>
          <w:color w:val="000000"/>
          <w:sz w:val="24"/>
          <w:szCs w:val="24"/>
        </w:rPr>
        <w:t> </w:t>
      </w:r>
      <w:r w:rsidR="0040779E" w:rsidRPr="000603D3">
        <w:rPr>
          <w:color w:val="000000"/>
          <w:sz w:val="24"/>
          <w:szCs w:val="24"/>
        </w:rPr>
        <w:t>gada 19. novembra</w:t>
      </w:r>
      <w:r w:rsidR="005D5E3A" w:rsidRPr="000603D3">
        <w:rPr>
          <w:color w:val="000000"/>
          <w:sz w:val="24"/>
          <w:szCs w:val="24"/>
        </w:rPr>
        <w:t xml:space="preserve"> lēmums</w:t>
      </w:r>
      <w:r w:rsidR="0040779E" w:rsidRPr="000603D3">
        <w:rPr>
          <w:color w:val="000000"/>
          <w:sz w:val="24"/>
          <w:szCs w:val="24"/>
        </w:rPr>
        <w:t xml:space="preserve"> </w:t>
      </w:r>
      <w:r w:rsidRPr="000603D3">
        <w:rPr>
          <w:sz w:val="24"/>
          <w:szCs w:val="24"/>
        </w:rPr>
        <w:t>atceļams.</w:t>
      </w:r>
    </w:p>
    <w:p w14:paraId="69742093" w14:textId="77777777" w:rsidR="0040779E" w:rsidRPr="000603D3" w:rsidRDefault="0040779E" w:rsidP="00E6000C">
      <w:pPr>
        <w:shd w:val="clear" w:color="auto" w:fill="FFFFFF"/>
        <w:spacing w:line="276" w:lineRule="auto"/>
        <w:ind w:firstLine="691"/>
        <w:jc w:val="both"/>
        <w:rPr>
          <w:sz w:val="24"/>
          <w:szCs w:val="24"/>
        </w:rPr>
      </w:pPr>
    </w:p>
    <w:p w14:paraId="6A9373E5" w14:textId="3254A3B7" w:rsidR="00A25314" w:rsidRPr="000603D3" w:rsidRDefault="0040779E" w:rsidP="00E6000C">
      <w:pPr>
        <w:shd w:val="clear" w:color="auto" w:fill="FFFFFF"/>
        <w:spacing w:line="276" w:lineRule="auto"/>
        <w:ind w:firstLine="691"/>
        <w:jc w:val="both"/>
        <w:rPr>
          <w:sz w:val="24"/>
          <w:szCs w:val="24"/>
        </w:rPr>
      </w:pPr>
      <w:r w:rsidRPr="000603D3">
        <w:rPr>
          <w:sz w:val="24"/>
          <w:szCs w:val="24"/>
        </w:rPr>
        <w:t>[</w:t>
      </w:r>
      <w:r w:rsidR="003D6F37" w:rsidRPr="000603D3">
        <w:rPr>
          <w:sz w:val="24"/>
          <w:szCs w:val="24"/>
        </w:rPr>
        <w:t>4</w:t>
      </w:r>
      <w:r w:rsidR="00036196" w:rsidRPr="000603D3">
        <w:rPr>
          <w:sz w:val="24"/>
          <w:szCs w:val="24"/>
        </w:rPr>
        <w:t>]</w:t>
      </w:r>
      <w:r w:rsidR="00BB69D9" w:rsidRPr="000603D3">
        <w:rPr>
          <w:sz w:val="24"/>
          <w:szCs w:val="24"/>
        </w:rPr>
        <w:t> </w:t>
      </w:r>
      <w:r w:rsidR="00A25314" w:rsidRPr="000603D3">
        <w:rPr>
          <w:sz w:val="24"/>
          <w:szCs w:val="24"/>
        </w:rPr>
        <w:t xml:space="preserve">Civilprocesa likuma 73. panta otrā daļa noteic, ka lietas dalībnieks var būt persona, kurai ir gan civilprocesuālā tiesībspēja, gan rīcībspēja. </w:t>
      </w:r>
    </w:p>
    <w:p w14:paraId="35D20690" w14:textId="4A55244A" w:rsidR="00A25314" w:rsidRPr="000603D3" w:rsidRDefault="00A25314" w:rsidP="00E6000C">
      <w:pPr>
        <w:shd w:val="clear" w:color="auto" w:fill="FFFFFF"/>
        <w:spacing w:line="276" w:lineRule="auto"/>
        <w:ind w:firstLine="691"/>
        <w:jc w:val="both"/>
        <w:rPr>
          <w:sz w:val="24"/>
          <w:szCs w:val="24"/>
        </w:rPr>
      </w:pPr>
      <w:r w:rsidRPr="000603D3">
        <w:rPr>
          <w:sz w:val="24"/>
          <w:szCs w:val="24"/>
        </w:rPr>
        <w:t>Savukārt atbilstoši Civilprocesa likuma 72. panta otrās daļas otrajam teikumam pilngadīg</w:t>
      </w:r>
      <w:r w:rsidR="00A1464D" w:rsidRPr="000603D3">
        <w:rPr>
          <w:sz w:val="24"/>
          <w:szCs w:val="24"/>
        </w:rPr>
        <w:t>ām</w:t>
      </w:r>
      <w:r w:rsidRPr="000603D3">
        <w:rPr>
          <w:sz w:val="24"/>
          <w:szCs w:val="24"/>
        </w:rPr>
        <w:t xml:space="preserve"> fizisk</w:t>
      </w:r>
      <w:r w:rsidR="00A1464D" w:rsidRPr="000603D3">
        <w:rPr>
          <w:sz w:val="24"/>
          <w:szCs w:val="24"/>
        </w:rPr>
        <w:t>ām</w:t>
      </w:r>
      <w:r w:rsidRPr="000603D3">
        <w:rPr>
          <w:sz w:val="24"/>
          <w:szCs w:val="24"/>
        </w:rPr>
        <w:t xml:space="preserve"> person</w:t>
      </w:r>
      <w:r w:rsidR="00A1464D" w:rsidRPr="000603D3">
        <w:rPr>
          <w:sz w:val="24"/>
          <w:szCs w:val="24"/>
        </w:rPr>
        <w:t>ām</w:t>
      </w:r>
      <w:r w:rsidRPr="000603D3">
        <w:rPr>
          <w:sz w:val="24"/>
          <w:szCs w:val="24"/>
        </w:rPr>
        <w:t>, kur</w:t>
      </w:r>
      <w:r w:rsidR="00A1464D" w:rsidRPr="000603D3">
        <w:rPr>
          <w:sz w:val="24"/>
          <w:szCs w:val="24"/>
        </w:rPr>
        <w:t>u</w:t>
      </w:r>
      <w:r w:rsidRPr="000603D3">
        <w:rPr>
          <w:sz w:val="24"/>
          <w:szCs w:val="24"/>
        </w:rPr>
        <w:t xml:space="preserve"> rīcībspēju ierobežojusi tiesa, civilprocesuālo rīcībspēju īsteno pārstāvis, kurš lietas ved tiesā</w:t>
      </w:r>
      <w:r w:rsidR="00196C7B" w:rsidRPr="000603D3">
        <w:rPr>
          <w:sz w:val="24"/>
          <w:szCs w:val="24"/>
        </w:rPr>
        <w:t>,</w:t>
      </w:r>
      <w:r w:rsidRPr="000603D3">
        <w:rPr>
          <w:sz w:val="24"/>
          <w:szCs w:val="24"/>
        </w:rPr>
        <w:t xml:space="preserve"> vai nu patstāvīgi vai likumā noteiktajos gadījumos – kopā ar šīm personām. </w:t>
      </w:r>
    </w:p>
    <w:p w14:paraId="2FFCB2A7" w14:textId="74919C3C" w:rsidR="00BB69D9" w:rsidRPr="000603D3" w:rsidRDefault="00A25314" w:rsidP="00E6000C">
      <w:pPr>
        <w:shd w:val="clear" w:color="auto" w:fill="FFFFFF"/>
        <w:spacing w:line="276" w:lineRule="auto"/>
        <w:ind w:firstLine="691"/>
        <w:jc w:val="both"/>
        <w:rPr>
          <w:sz w:val="24"/>
          <w:szCs w:val="24"/>
        </w:rPr>
      </w:pPr>
      <w:r w:rsidRPr="000603D3">
        <w:rPr>
          <w:sz w:val="24"/>
          <w:szCs w:val="24"/>
        </w:rPr>
        <w:t>Ņemot vērā minēto</w:t>
      </w:r>
      <w:r w:rsidR="00F7357B" w:rsidRPr="000603D3">
        <w:rPr>
          <w:sz w:val="24"/>
          <w:szCs w:val="24"/>
        </w:rPr>
        <w:t>,</w:t>
      </w:r>
      <w:r w:rsidRPr="000603D3">
        <w:rPr>
          <w:sz w:val="24"/>
          <w:szCs w:val="24"/>
        </w:rPr>
        <w:t xml:space="preserve"> kopsakarā ar Civillikuma 264. un 356. pantu, secināms, ka parādnieks, kuram ir ierobežota rīcībspēja, nevar īstenot Civilprocesa likuma 406.</w:t>
      </w:r>
      <w:r w:rsidRPr="000603D3">
        <w:rPr>
          <w:sz w:val="24"/>
          <w:szCs w:val="24"/>
          <w:vertAlign w:val="superscript"/>
        </w:rPr>
        <w:t>7</w:t>
      </w:r>
      <w:r w:rsidRPr="000603D3">
        <w:rPr>
          <w:sz w:val="24"/>
          <w:szCs w:val="24"/>
        </w:rPr>
        <w:t xml:space="preserve"> un 406.</w:t>
      </w:r>
      <w:r w:rsidRPr="000603D3">
        <w:rPr>
          <w:sz w:val="24"/>
          <w:szCs w:val="24"/>
          <w:vertAlign w:val="superscript"/>
        </w:rPr>
        <w:t>9</w:t>
      </w:r>
      <w:r w:rsidRPr="000603D3">
        <w:rPr>
          <w:sz w:val="24"/>
          <w:szCs w:val="24"/>
        </w:rPr>
        <w:t xml:space="preserve"> pantā paredzētās procesuālās </w:t>
      </w:r>
      <w:r w:rsidR="00AD5D35" w:rsidRPr="000603D3">
        <w:rPr>
          <w:sz w:val="24"/>
          <w:szCs w:val="24"/>
        </w:rPr>
        <w:t>darbības</w:t>
      </w:r>
      <w:r w:rsidRPr="000603D3">
        <w:rPr>
          <w:sz w:val="24"/>
          <w:szCs w:val="24"/>
        </w:rPr>
        <w:t xml:space="preserve">, proti, nevar </w:t>
      </w:r>
      <w:r w:rsidR="00A127D9" w:rsidRPr="000603D3">
        <w:rPr>
          <w:sz w:val="24"/>
          <w:szCs w:val="24"/>
        </w:rPr>
        <w:t>ne atzīt, ne celt iebildumus par pieteiktās</w:t>
      </w:r>
      <w:r w:rsidRPr="000603D3">
        <w:rPr>
          <w:sz w:val="24"/>
          <w:szCs w:val="24"/>
        </w:rPr>
        <w:t xml:space="preserve"> saistīb</w:t>
      </w:r>
      <w:r w:rsidR="00A127D9" w:rsidRPr="000603D3">
        <w:rPr>
          <w:sz w:val="24"/>
          <w:szCs w:val="24"/>
        </w:rPr>
        <w:t>as</w:t>
      </w:r>
      <w:r w:rsidRPr="000603D3">
        <w:rPr>
          <w:sz w:val="24"/>
          <w:szCs w:val="24"/>
        </w:rPr>
        <w:t xml:space="preserve"> esību. </w:t>
      </w:r>
    </w:p>
    <w:p w14:paraId="44AF58DB" w14:textId="22348C31" w:rsidR="00E300B1" w:rsidRPr="000603D3" w:rsidRDefault="00A127D9" w:rsidP="00E6000C">
      <w:pPr>
        <w:shd w:val="clear" w:color="auto" w:fill="FFFFFF"/>
        <w:spacing w:line="276" w:lineRule="auto"/>
        <w:ind w:firstLine="691"/>
        <w:jc w:val="both"/>
        <w:rPr>
          <w:sz w:val="24"/>
          <w:szCs w:val="24"/>
        </w:rPr>
      </w:pPr>
      <w:r w:rsidRPr="000603D3">
        <w:rPr>
          <w:sz w:val="24"/>
          <w:szCs w:val="24"/>
        </w:rPr>
        <w:t>A</w:t>
      </w:r>
      <w:r w:rsidR="00AD5D35" w:rsidRPr="000603D3">
        <w:rPr>
          <w:sz w:val="24"/>
          <w:szCs w:val="24"/>
        </w:rPr>
        <w:t xml:space="preserve">tbilstoši </w:t>
      </w:r>
      <w:r w:rsidR="00856ECF" w:rsidRPr="000603D3">
        <w:rPr>
          <w:sz w:val="24"/>
          <w:szCs w:val="24"/>
        </w:rPr>
        <w:t>Civilprocesa likuma 406.</w:t>
      </w:r>
      <w:r w:rsidR="00856ECF" w:rsidRPr="000603D3">
        <w:rPr>
          <w:sz w:val="24"/>
          <w:szCs w:val="24"/>
          <w:vertAlign w:val="superscript"/>
        </w:rPr>
        <w:t>6</w:t>
      </w:r>
      <w:r w:rsidR="00856ECF" w:rsidRPr="000603D3">
        <w:rPr>
          <w:sz w:val="24"/>
          <w:szCs w:val="24"/>
        </w:rPr>
        <w:t xml:space="preserve"> panta pirmās daļas </w:t>
      </w:r>
      <w:r w:rsidR="00AD5D35" w:rsidRPr="000603D3">
        <w:rPr>
          <w:sz w:val="24"/>
          <w:szCs w:val="24"/>
        </w:rPr>
        <w:t xml:space="preserve">gramatiskajam tvērumam </w:t>
      </w:r>
      <w:r w:rsidR="00856ECF" w:rsidRPr="000603D3">
        <w:rPr>
          <w:sz w:val="24"/>
          <w:szCs w:val="24"/>
        </w:rPr>
        <w:t>brīdinājums ir izsniedzams</w:t>
      </w:r>
      <w:r w:rsidR="00AD5D35" w:rsidRPr="000603D3">
        <w:rPr>
          <w:sz w:val="24"/>
          <w:szCs w:val="24"/>
        </w:rPr>
        <w:t xml:space="preserve"> pašam</w:t>
      </w:r>
      <w:r w:rsidR="00A25314" w:rsidRPr="000603D3">
        <w:rPr>
          <w:sz w:val="24"/>
          <w:szCs w:val="24"/>
        </w:rPr>
        <w:t xml:space="preserve"> parādniekam, </w:t>
      </w:r>
      <w:r w:rsidRPr="000603D3">
        <w:rPr>
          <w:sz w:val="24"/>
          <w:szCs w:val="24"/>
        </w:rPr>
        <w:t xml:space="preserve">tomēr </w:t>
      </w:r>
      <w:r w:rsidR="00AD5D35" w:rsidRPr="000603D3">
        <w:rPr>
          <w:sz w:val="24"/>
          <w:szCs w:val="24"/>
        </w:rPr>
        <w:t xml:space="preserve">šī tiesību norma ir vērtējama sistēmiski </w:t>
      </w:r>
      <w:r w:rsidRPr="000603D3">
        <w:rPr>
          <w:sz w:val="24"/>
          <w:szCs w:val="24"/>
        </w:rPr>
        <w:t xml:space="preserve">un kopsakarā </w:t>
      </w:r>
      <w:r w:rsidR="00AD5D35" w:rsidRPr="000603D3">
        <w:rPr>
          <w:sz w:val="24"/>
          <w:szCs w:val="24"/>
        </w:rPr>
        <w:t xml:space="preserve">ar </w:t>
      </w:r>
      <w:r w:rsidR="00856ECF" w:rsidRPr="000603D3">
        <w:rPr>
          <w:sz w:val="24"/>
          <w:szCs w:val="24"/>
        </w:rPr>
        <w:t xml:space="preserve">vispārējo tiesisko regulējumu jautājumā par civilprocesuālo rīcībspēju. </w:t>
      </w:r>
      <w:r w:rsidR="00C52786" w:rsidRPr="000603D3">
        <w:rPr>
          <w:sz w:val="24"/>
          <w:szCs w:val="24"/>
        </w:rPr>
        <w:t xml:space="preserve">Tādējādi </w:t>
      </w:r>
      <w:r w:rsidR="00BF1A5A" w:rsidRPr="000603D3">
        <w:rPr>
          <w:sz w:val="24"/>
          <w:szCs w:val="24"/>
        </w:rPr>
        <w:t xml:space="preserve">šīs tiesību normas </w:t>
      </w:r>
      <w:r w:rsidR="00113211" w:rsidRPr="000603D3">
        <w:rPr>
          <w:sz w:val="24"/>
          <w:szCs w:val="24"/>
        </w:rPr>
        <w:t xml:space="preserve">sastāva pazīme – brīdinājumu izsniedz parādniekam – neizpildās, ja procesuālie dokumenti izsniegti </w:t>
      </w:r>
      <w:r w:rsidR="00C22602" w:rsidRPr="000603D3">
        <w:rPr>
          <w:sz w:val="24"/>
          <w:szCs w:val="24"/>
        </w:rPr>
        <w:t>personai, kuras rīcībspēj</w:t>
      </w:r>
      <w:r w:rsidR="0057213C" w:rsidRPr="000603D3">
        <w:rPr>
          <w:sz w:val="24"/>
          <w:szCs w:val="24"/>
        </w:rPr>
        <w:t>a darījumu slēgšanā un saziņā ar tiesu ir</w:t>
      </w:r>
      <w:r w:rsidR="00C22602" w:rsidRPr="000603D3">
        <w:rPr>
          <w:sz w:val="24"/>
          <w:szCs w:val="24"/>
        </w:rPr>
        <w:t xml:space="preserve"> ierobežo</w:t>
      </w:r>
      <w:r w:rsidR="0057213C" w:rsidRPr="000603D3">
        <w:rPr>
          <w:sz w:val="24"/>
          <w:szCs w:val="24"/>
        </w:rPr>
        <w:t>ta ar spēkā nākušu</w:t>
      </w:r>
      <w:r w:rsidR="00C22602" w:rsidRPr="000603D3">
        <w:rPr>
          <w:sz w:val="24"/>
          <w:szCs w:val="24"/>
        </w:rPr>
        <w:t xml:space="preserve"> tiesa</w:t>
      </w:r>
      <w:r w:rsidR="0057213C" w:rsidRPr="000603D3">
        <w:rPr>
          <w:sz w:val="24"/>
          <w:szCs w:val="24"/>
        </w:rPr>
        <w:t>s nolēmumu. Š</w:t>
      </w:r>
      <w:r w:rsidR="00E300B1" w:rsidRPr="000603D3">
        <w:rPr>
          <w:sz w:val="24"/>
          <w:szCs w:val="24"/>
        </w:rPr>
        <w:t>āda parādnieka rīcībspēja</w:t>
      </w:r>
      <w:r w:rsidR="0057213C" w:rsidRPr="000603D3">
        <w:rPr>
          <w:sz w:val="24"/>
          <w:szCs w:val="24"/>
        </w:rPr>
        <w:t>s īstenošana</w:t>
      </w:r>
      <w:r w:rsidR="00E300B1" w:rsidRPr="000603D3">
        <w:rPr>
          <w:sz w:val="24"/>
          <w:szCs w:val="24"/>
        </w:rPr>
        <w:t xml:space="preserve"> </w:t>
      </w:r>
      <w:r w:rsidR="0057213C" w:rsidRPr="000603D3">
        <w:rPr>
          <w:sz w:val="24"/>
          <w:szCs w:val="24"/>
        </w:rPr>
        <w:t xml:space="preserve">civilprocesā </w:t>
      </w:r>
      <w:r w:rsidR="00E300B1" w:rsidRPr="000603D3">
        <w:rPr>
          <w:sz w:val="24"/>
          <w:szCs w:val="24"/>
        </w:rPr>
        <w:t xml:space="preserve">tiek </w:t>
      </w:r>
      <w:r w:rsidR="0057213C" w:rsidRPr="000603D3">
        <w:rPr>
          <w:sz w:val="24"/>
          <w:szCs w:val="24"/>
        </w:rPr>
        <w:t>nodrošināta</w:t>
      </w:r>
      <w:r w:rsidR="00E300B1" w:rsidRPr="000603D3">
        <w:rPr>
          <w:sz w:val="24"/>
          <w:szCs w:val="24"/>
        </w:rPr>
        <w:t xml:space="preserve"> ar aizgādņa starpniecību.</w:t>
      </w:r>
    </w:p>
    <w:p w14:paraId="399215EF" w14:textId="77777777" w:rsidR="00A26295" w:rsidRPr="000603D3" w:rsidRDefault="00A26295" w:rsidP="00E6000C">
      <w:pPr>
        <w:shd w:val="clear" w:color="auto" w:fill="FFFFFF"/>
        <w:spacing w:line="276" w:lineRule="auto"/>
        <w:jc w:val="both"/>
        <w:rPr>
          <w:sz w:val="24"/>
          <w:szCs w:val="24"/>
        </w:rPr>
      </w:pPr>
    </w:p>
    <w:p w14:paraId="7B43DAA1" w14:textId="76DB713E" w:rsidR="008B4253" w:rsidRPr="000603D3" w:rsidRDefault="00BB69D9" w:rsidP="00E6000C">
      <w:pPr>
        <w:shd w:val="clear" w:color="auto" w:fill="FFFFFF"/>
        <w:spacing w:line="276" w:lineRule="auto"/>
        <w:ind w:firstLine="691"/>
        <w:jc w:val="both"/>
        <w:rPr>
          <w:sz w:val="24"/>
          <w:szCs w:val="24"/>
        </w:rPr>
      </w:pPr>
      <w:r w:rsidRPr="000603D3">
        <w:rPr>
          <w:sz w:val="24"/>
          <w:szCs w:val="24"/>
        </w:rPr>
        <w:t>[5]</w:t>
      </w:r>
      <w:r w:rsidR="00A26295" w:rsidRPr="000603D3">
        <w:rPr>
          <w:sz w:val="24"/>
          <w:szCs w:val="24"/>
        </w:rPr>
        <w:t> </w:t>
      </w:r>
      <w:r w:rsidR="008B4253" w:rsidRPr="000603D3">
        <w:rPr>
          <w:sz w:val="24"/>
          <w:szCs w:val="24"/>
        </w:rPr>
        <w:t xml:space="preserve">No tiesai pieejamajām ziņām publiskajos reģistros Senāts gūst apstiprinājumu protestā norādītajam, ka ar spēkā </w:t>
      </w:r>
      <w:r w:rsidR="00F7357B" w:rsidRPr="000603D3">
        <w:rPr>
          <w:sz w:val="24"/>
          <w:szCs w:val="24"/>
        </w:rPr>
        <w:t>stājušos</w:t>
      </w:r>
      <w:r w:rsidR="008B4253" w:rsidRPr="000603D3">
        <w:rPr>
          <w:sz w:val="24"/>
          <w:szCs w:val="24"/>
        </w:rPr>
        <w:t xml:space="preserve"> spriedumu ierobežota </w:t>
      </w:r>
      <w:r w:rsidR="00697376" w:rsidRPr="000603D3">
        <w:rPr>
          <w:sz w:val="24"/>
          <w:szCs w:val="24"/>
        </w:rPr>
        <w:t>[pers. A]</w:t>
      </w:r>
      <w:r w:rsidR="008B4253" w:rsidRPr="000603D3">
        <w:rPr>
          <w:sz w:val="24"/>
          <w:szCs w:val="24"/>
        </w:rPr>
        <w:t xml:space="preserve"> rīcībspēja apjomā, kas atspoguļots lēmuma 2. punktā. </w:t>
      </w:r>
    </w:p>
    <w:p w14:paraId="65B710A5" w14:textId="13A91B5F" w:rsidR="00196C7B" w:rsidRPr="000603D3" w:rsidRDefault="00025A55" w:rsidP="00E6000C">
      <w:pPr>
        <w:shd w:val="clear" w:color="auto" w:fill="FFFFFF"/>
        <w:spacing w:line="276" w:lineRule="auto"/>
        <w:ind w:firstLine="691"/>
        <w:jc w:val="both"/>
        <w:rPr>
          <w:sz w:val="24"/>
          <w:szCs w:val="24"/>
        </w:rPr>
      </w:pPr>
      <w:r w:rsidRPr="000603D3">
        <w:rPr>
          <w:sz w:val="24"/>
          <w:szCs w:val="24"/>
        </w:rPr>
        <w:t xml:space="preserve">Par </w:t>
      </w:r>
      <w:r w:rsidR="00A26295" w:rsidRPr="000603D3">
        <w:rPr>
          <w:sz w:val="24"/>
          <w:szCs w:val="24"/>
        </w:rPr>
        <w:t>Civilprocesa likuma 452. panta trešās daļas 2. punkt</w:t>
      </w:r>
      <w:r w:rsidRPr="000603D3">
        <w:rPr>
          <w:sz w:val="24"/>
          <w:szCs w:val="24"/>
        </w:rPr>
        <w:t>ā paredzēto</w:t>
      </w:r>
      <w:r w:rsidR="00A26295" w:rsidRPr="000603D3">
        <w:rPr>
          <w:sz w:val="24"/>
          <w:szCs w:val="24"/>
        </w:rPr>
        <w:t xml:space="preserve"> procesuālo tiesību normu</w:t>
      </w:r>
      <w:r w:rsidRPr="000603D3">
        <w:rPr>
          <w:sz w:val="24"/>
          <w:szCs w:val="24"/>
        </w:rPr>
        <w:t xml:space="preserve"> būtisku</w:t>
      </w:r>
      <w:r w:rsidR="00621A9F" w:rsidRPr="000603D3">
        <w:rPr>
          <w:sz w:val="24"/>
          <w:szCs w:val="24"/>
        </w:rPr>
        <w:t xml:space="preserve"> </w:t>
      </w:r>
      <w:r w:rsidR="00A26295" w:rsidRPr="000603D3">
        <w:rPr>
          <w:sz w:val="24"/>
          <w:szCs w:val="24"/>
        </w:rPr>
        <w:t xml:space="preserve">pārkāpumu ir uzskatāms tas, ka </w:t>
      </w:r>
      <w:r w:rsidR="00A35AC8" w:rsidRPr="000603D3">
        <w:rPr>
          <w:sz w:val="24"/>
          <w:szCs w:val="24"/>
        </w:rPr>
        <w:t>par uzsākto saistības piespiedu izpildes procesu brīdinājuma kārtībā nav paziņots personai, kura īsteno parādniekam aizgādību, tādā veidā pārkāpjot personas,</w:t>
      </w:r>
      <w:r w:rsidR="00196C7B" w:rsidRPr="000603D3">
        <w:rPr>
          <w:sz w:val="24"/>
          <w:szCs w:val="24"/>
        </w:rPr>
        <w:t xml:space="preserve"> kuras rīcībspēja ir ierobežota, tiesības uz taisnīgu tiesu.</w:t>
      </w:r>
    </w:p>
    <w:p w14:paraId="7A71E8EE" w14:textId="0AFCB3CB" w:rsidR="00196C7B" w:rsidRPr="000603D3" w:rsidRDefault="008B4253" w:rsidP="00E6000C">
      <w:pPr>
        <w:shd w:val="clear" w:color="auto" w:fill="FFFFFF"/>
        <w:spacing w:line="276" w:lineRule="auto"/>
        <w:ind w:firstLine="691"/>
        <w:jc w:val="both"/>
        <w:rPr>
          <w:sz w:val="24"/>
          <w:szCs w:val="24"/>
        </w:rPr>
      </w:pPr>
      <w:r w:rsidRPr="000603D3">
        <w:rPr>
          <w:sz w:val="24"/>
          <w:szCs w:val="24"/>
        </w:rPr>
        <w:t>Tā kā pārbaudāmajā lēmumā nodibināts, ka brīdinājums</w:t>
      </w:r>
      <w:r w:rsidR="00290628" w:rsidRPr="000603D3">
        <w:rPr>
          <w:sz w:val="24"/>
          <w:szCs w:val="24"/>
        </w:rPr>
        <w:t xml:space="preserve"> nosūtīts un izsniegts tikai parādniecei, tas</w:t>
      </w:r>
      <w:r w:rsidR="00196C7B" w:rsidRPr="000603D3">
        <w:rPr>
          <w:sz w:val="24"/>
          <w:szCs w:val="24"/>
        </w:rPr>
        <w:t xml:space="preserve"> nevar tikt atzīts pa</w:t>
      </w:r>
      <w:r w:rsidR="00F7357B" w:rsidRPr="000603D3">
        <w:rPr>
          <w:sz w:val="24"/>
          <w:szCs w:val="24"/>
        </w:rPr>
        <w:t>r</w:t>
      </w:r>
      <w:r w:rsidR="00196C7B" w:rsidRPr="000603D3">
        <w:rPr>
          <w:sz w:val="24"/>
          <w:szCs w:val="24"/>
        </w:rPr>
        <w:t xml:space="preserve"> tiesisku, tāpēc protests </w:t>
      </w:r>
      <w:r w:rsidR="00290628" w:rsidRPr="000603D3">
        <w:rPr>
          <w:sz w:val="24"/>
          <w:szCs w:val="24"/>
        </w:rPr>
        <w:t xml:space="preserve">ir </w:t>
      </w:r>
      <w:r w:rsidR="00196C7B" w:rsidRPr="000603D3">
        <w:rPr>
          <w:sz w:val="24"/>
          <w:szCs w:val="24"/>
        </w:rPr>
        <w:t>apmierināms.</w:t>
      </w:r>
    </w:p>
    <w:p w14:paraId="769D8AF4" w14:textId="77777777" w:rsidR="00621A9F" w:rsidRPr="000603D3" w:rsidRDefault="00621A9F" w:rsidP="00E6000C">
      <w:pPr>
        <w:shd w:val="clear" w:color="auto" w:fill="FFFFFF"/>
        <w:spacing w:line="276" w:lineRule="auto"/>
        <w:ind w:firstLine="691"/>
        <w:jc w:val="both"/>
        <w:rPr>
          <w:sz w:val="24"/>
          <w:szCs w:val="24"/>
        </w:rPr>
      </w:pPr>
    </w:p>
    <w:p w14:paraId="1FA55952" w14:textId="77777777" w:rsidR="002567A7" w:rsidRPr="000603D3" w:rsidRDefault="002567A7" w:rsidP="00E6000C">
      <w:pPr>
        <w:widowControl/>
        <w:shd w:val="clear" w:color="auto" w:fill="FFFFFF"/>
        <w:autoSpaceDE/>
        <w:autoSpaceDN/>
        <w:adjustRightInd/>
        <w:spacing w:line="276" w:lineRule="auto"/>
        <w:jc w:val="center"/>
        <w:rPr>
          <w:b/>
          <w:bCs/>
          <w:color w:val="000000"/>
          <w:sz w:val="24"/>
          <w:szCs w:val="24"/>
        </w:rPr>
      </w:pPr>
      <w:r w:rsidRPr="000603D3">
        <w:rPr>
          <w:b/>
          <w:bCs/>
          <w:color w:val="000000"/>
          <w:sz w:val="24"/>
          <w:szCs w:val="24"/>
        </w:rPr>
        <w:t>Rezolutīvā daļa</w:t>
      </w:r>
    </w:p>
    <w:p w14:paraId="25606393" w14:textId="77777777" w:rsidR="002567A7" w:rsidRPr="000603D3" w:rsidRDefault="002567A7" w:rsidP="00E6000C">
      <w:pPr>
        <w:widowControl/>
        <w:shd w:val="clear" w:color="auto" w:fill="FFFFFF"/>
        <w:autoSpaceDE/>
        <w:autoSpaceDN/>
        <w:adjustRightInd/>
        <w:spacing w:line="276" w:lineRule="auto"/>
        <w:jc w:val="center"/>
        <w:rPr>
          <w:color w:val="000000"/>
          <w:sz w:val="24"/>
          <w:szCs w:val="24"/>
        </w:rPr>
      </w:pPr>
    </w:p>
    <w:p w14:paraId="7DD8CE7F" w14:textId="76CBDC85" w:rsidR="002567A7" w:rsidRPr="000603D3" w:rsidRDefault="002567A7" w:rsidP="00E6000C">
      <w:pPr>
        <w:widowControl/>
        <w:shd w:val="clear" w:color="auto" w:fill="FFFFFF"/>
        <w:autoSpaceDE/>
        <w:autoSpaceDN/>
        <w:adjustRightInd/>
        <w:spacing w:line="276" w:lineRule="auto"/>
        <w:ind w:firstLine="720"/>
        <w:jc w:val="both"/>
        <w:rPr>
          <w:color w:val="000000"/>
          <w:sz w:val="24"/>
          <w:szCs w:val="24"/>
        </w:rPr>
      </w:pPr>
      <w:r w:rsidRPr="000603D3">
        <w:rPr>
          <w:color w:val="000000"/>
          <w:sz w:val="24"/>
          <w:szCs w:val="24"/>
        </w:rPr>
        <w:t>Pamatojoties uz Civilprocesa likuma 474.</w:t>
      </w:r>
      <w:r w:rsidR="005D5E3A" w:rsidRPr="000603D3">
        <w:rPr>
          <w:color w:val="000000"/>
          <w:sz w:val="24"/>
          <w:szCs w:val="24"/>
        </w:rPr>
        <w:t> </w:t>
      </w:r>
      <w:r w:rsidRPr="000603D3">
        <w:rPr>
          <w:color w:val="000000"/>
          <w:sz w:val="24"/>
          <w:szCs w:val="24"/>
        </w:rPr>
        <w:t xml:space="preserve">panta </w:t>
      </w:r>
      <w:r w:rsidR="00621A9F" w:rsidRPr="000603D3">
        <w:rPr>
          <w:color w:val="000000"/>
          <w:sz w:val="24"/>
          <w:szCs w:val="24"/>
        </w:rPr>
        <w:t>2</w:t>
      </w:r>
      <w:r w:rsidRPr="000603D3">
        <w:rPr>
          <w:color w:val="000000"/>
          <w:sz w:val="24"/>
          <w:szCs w:val="24"/>
        </w:rPr>
        <w:t>.</w:t>
      </w:r>
      <w:r w:rsidR="005D5E3A" w:rsidRPr="000603D3">
        <w:rPr>
          <w:color w:val="000000"/>
          <w:sz w:val="24"/>
          <w:szCs w:val="24"/>
        </w:rPr>
        <w:t> </w:t>
      </w:r>
      <w:r w:rsidRPr="000603D3">
        <w:rPr>
          <w:color w:val="000000"/>
          <w:sz w:val="24"/>
          <w:szCs w:val="24"/>
        </w:rPr>
        <w:t>punktu un 485.</w:t>
      </w:r>
      <w:r w:rsidR="005D5E3A" w:rsidRPr="000603D3">
        <w:rPr>
          <w:color w:val="000000"/>
          <w:sz w:val="24"/>
          <w:szCs w:val="24"/>
        </w:rPr>
        <w:t> </w:t>
      </w:r>
      <w:r w:rsidRPr="000603D3">
        <w:rPr>
          <w:color w:val="000000"/>
          <w:sz w:val="24"/>
          <w:szCs w:val="24"/>
        </w:rPr>
        <w:t>pantu, Senāts</w:t>
      </w:r>
    </w:p>
    <w:p w14:paraId="0176E503" w14:textId="77777777" w:rsidR="002567A7" w:rsidRPr="000603D3" w:rsidRDefault="002567A7" w:rsidP="00E6000C">
      <w:pPr>
        <w:widowControl/>
        <w:shd w:val="clear" w:color="auto" w:fill="FFFFFF"/>
        <w:autoSpaceDE/>
        <w:autoSpaceDN/>
        <w:adjustRightInd/>
        <w:spacing w:line="276" w:lineRule="auto"/>
        <w:jc w:val="center"/>
        <w:rPr>
          <w:b/>
          <w:bCs/>
          <w:color w:val="000000"/>
          <w:sz w:val="24"/>
          <w:szCs w:val="24"/>
        </w:rPr>
      </w:pPr>
    </w:p>
    <w:p w14:paraId="493C55C4" w14:textId="77777777" w:rsidR="002567A7" w:rsidRPr="000603D3" w:rsidRDefault="002567A7" w:rsidP="00E6000C">
      <w:pPr>
        <w:widowControl/>
        <w:shd w:val="clear" w:color="auto" w:fill="FFFFFF"/>
        <w:autoSpaceDE/>
        <w:autoSpaceDN/>
        <w:adjustRightInd/>
        <w:spacing w:line="276" w:lineRule="auto"/>
        <w:jc w:val="center"/>
        <w:rPr>
          <w:b/>
          <w:bCs/>
          <w:color w:val="000000"/>
          <w:sz w:val="24"/>
          <w:szCs w:val="24"/>
        </w:rPr>
      </w:pPr>
      <w:r w:rsidRPr="000603D3">
        <w:rPr>
          <w:b/>
          <w:bCs/>
          <w:color w:val="000000"/>
          <w:sz w:val="24"/>
          <w:szCs w:val="24"/>
        </w:rPr>
        <w:t>nolēma</w:t>
      </w:r>
    </w:p>
    <w:p w14:paraId="2AB32A74" w14:textId="77777777" w:rsidR="002567A7" w:rsidRPr="000603D3" w:rsidRDefault="002567A7" w:rsidP="00E6000C">
      <w:pPr>
        <w:widowControl/>
        <w:shd w:val="clear" w:color="auto" w:fill="FFFFFF"/>
        <w:autoSpaceDE/>
        <w:autoSpaceDN/>
        <w:adjustRightInd/>
        <w:spacing w:line="276" w:lineRule="auto"/>
        <w:jc w:val="center"/>
        <w:rPr>
          <w:color w:val="000000"/>
          <w:sz w:val="24"/>
          <w:szCs w:val="24"/>
        </w:rPr>
      </w:pPr>
    </w:p>
    <w:p w14:paraId="367078CF" w14:textId="5D5E174D" w:rsidR="002567A7" w:rsidRPr="000603D3" w:rsidRDefault="002567A7" w:rsidP="00E6000C">
      <w:pPr>
        <w:widowControl/>
        <w:shd w:val="clear" w:color="auto" w:fill="FFFFFF"/>
        <w:autoSpaceDE/>
        <w:autoSpaceDN/>
        <w:adjustRightInd/>
        <w:spacing w:line="276" w:lineRule="auto"/>
        <w:ind w:firstLine="720"/>
        <w:jc w:val="both"/>
        <w:rPr>
          <w:color w:val="000000"/>
          <w:sz w:val="24"/>
          <w:szCs w:val="24"/>
        </w:rPr>
      </w:pPr>
      <w:r w:rsidRPr="000603D3">
        <w:rPr>
          <w:sz w:val="24"/>
          <w:szCs w:val="24"/>
        </w:rPr>
        <w:lastRenderedPageBreak/>
        <w:t xml:space="preserve">atcelt </w:t>
      </w:r>
      <w:r w:rsidR="005D5E3A" w:rsidRPr="000603D3">
        <w:rPr>
          <w:color w:val="000000"/>
          <w:sz w:val="24"/>
          <w:szCs w:val="24"/>
        </w:rPr>
        <w:t>Zemgales rajona tiesas tiesneša 2019.</w:t>
      </w:r>
      <w:r w:rsidR="00697376" w:rsidRPr="000603D3">
        <w:rPr>
          <w:color w:val="000000"/>
          <w:sz w:val="24"/>
          <w:szCs w:val="24"/>
        </w:rPr>
        <w:t> </w:t>
      </w:r>
      <w:r w:rsidR="005D5E3A" w:rsidRPr="000603D3">
        <w:rPr>
          <w:color w:val="000000"/>
          <w:sz w:val="24"/>
          <w:szCs w:val="24"/>
        </w:rPr>
        <w:t>gada 19.</w:t>
      </w:r>
      <w:r w:rsidR="00697376" w:rsidRPr="000603D3">
        <w:rPr>
          <w:color w:val="000000"/>
          <w:sz w:val="24"/>
          <w:szCs w:val="24"/>
        </w:rPr>
        <w:t> </w:t>
      </w:r>
      <w:r w:rsidR="005D5E3A" w:rsidRPr="000603D3">
        <w:rPr>
          <w:color w:val="000000"/>
          <w:sz w:val="24"/>
          <w:szCs w:val="24"/>
        </w:rPr>
        <w:t xml:space="preserve">novembra </w:t>
      </w:r>
      <w:r w:rsidR="005D5E3A" w:rsidRPr="000603D3">
        <w:rPr>
          <w:sz w:val="24"/>
          <w:szCs w:val="24"/>
        </w:rPr>
        <w:t>lēmumu</w:t>
      </w:r>
      <w:r w:rsidRPr="000603D3">
        <w:rPr>
          <w:sz w:val="24"/>
          <w:szCs w:val="24"/>
        </w:rPr>
        <w:t xml:space="preserve"> un</w:t>
      </w:r>
      <w:r w:rsidR="005D5E3A" w:rsidRPr="000603D3">
        <w:rPr>
          <w:sz w:val="24"/>
          <w:szCs w:val="24"/>
        </w:rPr>
        <w:t xml:space="preserve"> </w:t>
      </w:r>
      <w:r w:rsidR="000B1FD7" w:rsidRPr="000603D3">
        <w:rPr>
          <w:color w:val="000000"/>
          <w:sz w:val="24"/>
          <w:szCs w:val="24"/>
        </w:rPr>
        <w:t xml:space="preserve">pieteikumu par saistības piespiedu izpildīšanu </w:t>
      </w:r>
      <w:r w:rsidR="00196C7B" w:rsidRPr="000603D3">
        <w:rPr>
          <w:color w:val="000000"/>
          <w:sz w:val="24"/>
          <w:szCs w:val="24"/>
        </w:rPr>
        <w:t>brīdinājuma kārtībā</w:t>
      </w:r>
      <w:r w:rsidR="000B1FD7" w:rsidRPr="000603D3">
        <w:rPr>
          <w:color w:val="000000"/>
          <w:sz w:val="24"/>
          <w:szCs w:val="24"/>
        </w:rPr>
        <w:t xml:space="preserve"> </w:t>
      </w:r>
      <w:r w:rsidR="00621A9F" w:rsidRPr="000603D3">
        <w:rPr>
          <w:color w:val="000000"/>
          <w:sz w:val="24"/>
          <w:szCs w:val="24"/>
        </w:rPr>
        <w:t>nodot jaunai izskatīšanai Zemgales rajona tiesai</w:t>
      </w:r>
      <w:r w:rsidRPr="000603D3">
        <w:rPr>
          <w:color w:val="000000"/>
          <w:sz w:val="24"/>
          <w:szCs w:val="24"/>
        </w:rPr>
        <w:t>.</w:t>
      </w:r>
    </w:p>
    <w:p w14:paraId="13D780C8" w14:textId="77777777" w:rsidR="002567A7" w:rsidRPr="000603D3" w:rsidRDefault="002567A7" w:rsidP="00E6000C">
      <w:pPr>
        <w:widowControl/>
        <w:shd w:val="clear" w:color="auto" w:fill="FFFFFF"/>
        <w:autoSpaceDE/>
        <w:autoSpaceDN/>
        <w:adjustRightInd/>
        <w:spacing w:line="276" w:lineRule="auto"/>
        <w:ind w:firstLine="720"/>
        <w:jc w:val="both"/>
        <w:rPr>
          <w:color w:val="000000"/>
          <w:position w:val="6"/>
          <w:sz w:val="24"/>
          <w:szCs w:val="24"/>
        </w:rPr>
      </w:pPr>
    </w:p>
    <w:p w14:paraId="4D743B7E" w14:textId="77777777" w:rsidR="002567A7" w:rsidRPr="000603D3" w:rsidRDefault="002567A7" w:rsidP="00E6000C">
      <w:pPr>
        <w:widowControl/>
        <w:shd w:val="clear" w:color="auto" w:fill="FFFFFF"/>
        <w:autoSpaceDE/>
        <w:autoSpaceDN/>
        <w:adjustRightInd/>
        <w:spacing w:line="276" w:lineRule="auto"/>
        <w:ind w:firstLine="720"/>
        <w:jc w:val="both"/>
        <w:rPr>
          <w:color w:val="000000"/>
          <w:position w:val="6"/>
          <w:sz w:val="24"/>
          <w:szCs w:val="24"/>
        </w:rPr>
      </w:pPr>
      <w:r w:rsidRPr="000603D3">
        <w:rPr>
          <w:color w:val="000000"/>
          <w:position w:val="6"/>
          <w:sz w:val="24"/>
          <w:szCs w:val="24"/>
        </w:rPr>
        <w:t>Lēmums nav pārsūdzams.</w:t>
      </w:r>
    </w:p>
    <w:sectPr w:rsidR="002567A7" w:rsidRPr="000603D3" w:rsidSect="00E6000C">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BC7B1" w14:textId="77777777" w:rsidR="00BB60BA" w:rsidRDefault="00BB60BA" w:rsidP="00EC4ABA">
      <w:r>
        <w:separator/>
      </w:r>
    </w:p>
  </w:endnote>
  <w:endnote w:type="continuationSeparator" w:id="0">
    <w:p w14:paraId="46401FE5" w14:textId="77777777" w:rsidR="00BB60BA" w:rsidRDefault="00BB60BA" w:rsidP="00EC4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970B" w14:textId="77777777" w:rsidR="00A614DA" w:rsidRDefault="000603D3" w:rsidP="00A614DA">
    <w:pPr>
      <w:pStyle w:val="Footer"/>
      <w:jc w:val="center"/>
    </w:pPr>
    <w:sdt>
      <w:sdtPr>
        <w:id w:val="1728636285"/>
        <w:docPartObj>
          <w:docPartGallery w:val="Page Numbers (Top of Page)"/>
          <w:docPartUnique/>
        </w:docPartObj>
      </w:sdtPr>
      <w:sdtEndPr/>
      <w:sdtContent>
        <w:r w:rsidR="00A614DA" w:rsidRPr="007C7F98">
          <w:rPr>
            <w:sz w:val="24"/>
            <w:szCs w:val="24"/>
          </w:rPr>
          <w:fldChar w:fldCharType="begin"/>
        </w:r>
        <w:r w:rsidR="00A614DA" w:rsidRPr="007C7F98">
          <w:rPr>
            <w:sz w:val="24"/>
            <w:szCs w:val="24"/>
          </w:rPr>
          <w:instrText xml:space="preserve"> PAGE </w:instrText>
        </w:r>
        <w:r w:rsidR="00A614DA" w:rsidRPr="007C7F98">
          <w:rPr>
            <w:sz w:val="24"/>
            <w:szCs w:val="24"/>
          </w:rPr>
          <w:fldChar w:fldCharType="separate"/>
        </w:r>
        <w:r w:rsidR="00A614DA">
          <w:rPr>
            <w:sz w:val="24"/>
            <w:szCs w:val="24"/>
          </w:rPr>
          <w:t>1</w:t>
        </w:r>
        <w:r w:rsidR="00A614DA" w:rsidRPr="007C7F98">
          <w:rPr>
            <w:sz w:val="24"/>
            <w:szCs w:val="24"/>
          </w:rPr>
          <w:fldChar w:fldCharType="end"/>
        </w:r>
        <w:r w:rsidR="00A614DA" w:rsidRPr="007C7F98">
          <w:rPr>
            <w:sz w:val="24"/>
            <w:szCs w:val="24"/>
          </w:rPr>
          <w:t xml:space="preserve"> no </w:t>
        </w:r>
        <w:r w:rsidR="00A614DA" w:rsidRPr="007C7F98">
          <w:rPr>
            <w:sz w:val="24"/>
            <w:szCs w:val="24"/>
          </w:rPr>
          <w:fldChar w:fldCharType="begin"/>
        </w:r>
        <w:r w:rsidR="00A614DA" w:rsidRPr="007C7F98">
          <w:rPr>
            <w:sz w:val="24"/>
            <w:szCs w:val="24"/>
          </w:rPr>
          <w:instrText xml:space="preserve"> NUMPAGES  </w:instrText>
        </w:r>
        <w:r w:rsidR="00A614DA" w:rsidRPr="007C7F98">
          <w:rPr>
            <w:sz w:val="24"/>
            <w:szCs w:val="24"/>
          </w:rPr>
          <w:fldChar w:fldCharType="separate"/>
        </w:r>
        <w:r w:rsidR="00A614DA">
          <w:rPr>
            <w:sz w:val="24"/>
            <w:szCs w:val="24"/>
          </w:rPr>
          <w:t>2</w:t>
        </w:r>
        <w:r w:rsidR="00A614DA" w:rsidRPr="007C7F98">
          <w:rPr>
            <w:sz w:val="24"/>
            <w:szCs w:val="24"/>
          </w:rPr>
          <w:fldChar w:fldCharType="end"/>
        </w:r>
      </w:sdtContent>
    </w:sdt>
  </w:p>
  <w:p w14:paraId="321838B6" w14:textId="77777777" w:rsidR="00A614DA" w:rsidRDefault="00A614DA" w:rsidP="00A614D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EFE2" w14:textId="77777777" w:rsidR="00BB60BA" w:rsidRDefault="00BB60BA" w:rsidP="00EC4ABA">
      <w:r>
        <w:separator/>
      </w:r>
    </w:p>
  </w:footnote>
  <w:footnote w:type="continuationSeparator" w:id="0">
    <w:p w14:paraId="671C826D" w14:textId="77777777" w:rsidR="00BB60BA" w:rsidRDefault="00BB60BA" w:rsidP="00EC4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69"/>
    <w:rsid w:val="00020A30"/>
    <w:rsid w:val="0002441B"/>
    <w:rsid w:val="00025A55"/>
    <w:rsid w:val="00036196"/>
    <w:rsid w:val="00057584"/>
    <w:rsid w:val="000603D3"/>
    <w:rsid w:val="000B1FD7"/>
    <w:rsid w:val="000C09C7"/>
    <w:rsid w:val="000E31FF"/>
    <w:rsid w:val="00113211"/>
    <w:rsid w:val="00117FAC"/>
    <w:rsid w:val="001344F3"/>
    <w:rsid w:val="00156E51"/>
    <w:rsid w:val="00157B8A"/>
    <w:rsid w:val="00164AB8"/>
    <w:rsid w:val="00196C7B"/>
    <w:rsid w:val="001C2EE4"/>
    <w:rsid w:val="001C37CD"/>
    <w:rsid w:val="001D3A35"/>
    <w:rsid w:val="001E032E"/>
    <w:rsid w:val="001E3F2E"/>
    <w:rsid w:val="00201200"/>
    <w:rsid w:val="00214A57"/>
    <w:rsid w:val="002338F9"/>
    <w:rsid w:val="002532A4"/>
    <w:rsid w:val="002567A7"/>
    <w:rsid w:val="002664FD"/>
    <w:rsid w:val="00284641"/>
    <w:rsid w:val="00284D8B"/>
    <w:rsid w:val="00290628"/>
    <w:rsid w:val="0029599B"/>
    <w:rsid w:val="002A30AE"/>
    <w:rsid w:val="002F333E"/>
    <w:rsid w:val="002F4819"/>
    <w:rsid w:val="00312758"/>
    <w:rsid w:val="00327BCF"/>
    <w:rsid w:val="003405BB"/>
    <w:rsid w:val="00350C4B"/>
    <w:rsid w:val="003600BF"/>
    <w:rsid w:val="003854C9"/>
    <w:rsid w:val="003914C0"/>
    <w:rsid w:val="00394A55"/>
    <w:rsid w:val="00394E2C"/>
    <w:rsid w:val="00394F7A"/>
    <w:rsid w:val="003973E1"/>
    <w:rsid w:val="003B1368"/>
    <w:rsid w:val="003B3246"/>
    <w:rsid w:val="003B36F2"/>
    <w:rsid w:val="003D5F1F"/>
    <w:rsid w:val="003D6F37"/>
    <w:rsid w:val="003E2343"/>
    <w:rsid w:val="003E375A"/>
    <w:rsid w:val="003F6BE9"/>
    <w:rsid w:val="00400724"/>
    <w:rsid w:val="0040722D"/>
    <w:rsid w:val="0040779E"/>
    <w:rsid w:val="00407AFA"/>
    <w:rsid w:val="0043646B"/>
    <w:rsid w:val="00445803"/>
    <w:rsid w:val="004772BF"/>
    <w:rsid w:val="004933D3"/>
    <w:rsid w:val="00493CAA"/>
    <w:rsid w:val="004A4C9D"/>
    <w:rsid w:val="004C55B4"/>
    <w:rsid w:val="004D6162"/>
    <w:rsid w:val="004E493F"/>
    <w:rsid w:val="004F0C2B"/>
    <w:rsid w:val="004F1A6E"/>
    <w:rsid w:val="004F4F3C"/>
    <w:rsid w:val="00507488"/>
    <w:rsid w:val="005156CE"/>
    <w:rsid w:val="00523F4C"/>
    <w:rsid w:val="0053715F"/>
    <w:rsid w:val="00562EC3"/>
    <w:rsid w:val="0057213C"/>
    <w:rsid w:val="005748A0"/>
    <w:rsid w:val="005811BE"/>
    <w:rsid w:val="00583C5B"/>
    <w:rsid w:val="005C1446"/>
    <w:rsid w:val="005C2822"/>
    <w:rsid w:val="005C4637"/>
    <w:rsid w:val="005D5E3A"/>
    <w:rsid w:val="005E4E93"/>
    <w:rsid w:val="0062061D"/>
    <w:rsid w:val="00621A9F"/>
    <w:rsid w:val="00627F6E"/>
    <w:rsid w:val="00627FAE"/>
    <w:rsid w:val="00651FA9"/>
    <w:rsid w:val="00690A83"/>
    <w:rsid w:val="006960E7"/>
    <w:rsid w:val="00697376"/>
    <w:rsid w:val="006A11FF"/>
    <w:rsid w:val="006A6C21"/>
    <w:rsid w:val="006C5CC5"/>
    <w:rsid w:val="006F7E6C"/>
    <w:rsid w:val="00700469"/>
    <w:rsid w:val="00722443"/>
    <w:rsid w:val="00757051"/>
    <w:rsid w:val="00765936"/>
    <w:rsid w:val="00783EA7"/>
    <w:rsid w:val="0078577D"/>
    <w:rsid w:val="00786C22"/>
    <w:rsid w:val="007949B9"/>
    <w:rsid w:val="007B6604"/>
    <w:rsid w:val="007C7F98"/>
    <w:rsid w:val="007F1E5B"/>
    <w:rsid w:val="00803393"/>
    <w:rsid w:val="00807D48"/>
    <w:rsid w:val="00814F94"/>
    <w:rsid w:val="008252BF"/>
    <w:rsid w:val="00825E19"/>
    <w:rsid w:val="00856ECF"/>
    <w:rsid w:val="00873B87"/>
    <w:rsid w:val="0087534E"/>
    <w:rsid w:val="00885692"/>
    <w:rsid w:val="00896B0E"/>
    <w:rsid w:val="008A1402"/>
    <w:rsid w:val="008B4253"/>
    <w:rsid w:val="008C5528"/>
    <w:rsid w:val="008C7DB1"/>
    <w:rsid w:val="008D07FC"/>
    <w:rsid w:val="008D26D3"/>
    <w:rsid w:val="008D5333"/>
    <w:rsid w:val="008E1149"/>
    <w:rsid w:val="008E5F25"/>
    <w:rsid w:val="008E7C0F"/>
    <w:rsid w:val="009003E3"/>
    <w:rsid w:val="00903F29"/>
    <w:rsid w:val="009059B1"/>
    <w:rsid w:val="0090618E"/>
    <w:rsid w:val="0091294E"/>
    <w:rsid w:val="0091465F"/>
    <w:rsid w:val="0092008B"/>
    <w:rsid w:val="00927CEF"/>
    <w:rsid w:val="00940A7E"/>
    <w:rsid w:val="009411DC"/>
    <w:rsid w:val="0094668C"/>
    <w:rsid w:val="009477C0"/>
    <w:rsid w:val="009562C3"/>
    <w:rsid w:val="00957DEF"/>
    <w:rsid w:val="009642BF"/>
    <w:rsid w:val="009747B5"/>
    <w:rsid w:val="00976D33"/>
    <w:rsid w:val="00983793"/>
    <w:rsid w:val="00985F57"/>
    <w:rsid w:val="00987FD4"/>
    <w:rsid w:val="00992B20"/>
    <w:rsid w:val="009D639F"/>
    <w:rsid w:val="009D6FE9"/>
    <w:rsid w:val="009E1FEB"/>
    <w:rsid w:val="009F6234"/>
    <w:rsid w:val="00A07680"/>
    <w:rsid w:val="00A11203"/>
    <w:rsid w:val="00A11ABC"/>
    <w:rsid w:val="00A127D9"/>
    <w:rsid w:val="00A1464D"/>
    <w:rsid w:val="00A1761D"/>
    <w:rsid w:val="00A25314"/>
    <w:rsid w:val="00A26295"/>
    <w:rsid w:val="00A35A20"/>
    <w:rsid w:val="00A35AC8"/>
    <w:rsid w:val="00A45C36"/>
    <w:rsid w:val="00A512F9"/>
    <w:rsid w:val="00A614DA"/>
    <w:rsid w:val="00A719C6"/>
    <w:rsid w:val="00AA06A3"/>
    <w:rsid w:val="00AA3937"/>
    <w:rsid w:val="00AD1BC1"/>
    <w:rsid w:val="00AD3D1B"/>
    <w:rsid w:val="00AD5D35"/>
    <w:rsid w:val="00AE6E1C"/>
    <w:rsid w:val="00AF5B37"/>
    <w:rsid w:val="00AF6E9E"/>
    <w:rsid w:val="00B24E8D"/>
    <w:rsid w:val="00B458B3"/>
    <w:rsid w:val="00B52CC6"/>
    <w:rsid w:val="00B57E5F"/>
    <w:rsid w:val="00B66D7B"/>
    <w:rsid w:val="00B968FB"/>
    <w:rsid w:val="00BA4D73"/>
    <w:rsid w:val="00BA636B"/>
    <w:rsid w:val="00BB1902"/>
    <w:rsid w:val="00BB60BA"/>
    <w:rsid w:val="00BB69D9"/>
    <w:rsid w:val="00BB6DCB"/>
    <w:rsid w:val="00BE088F"/>
    <w:rsid w:val="00BE394D"/>
    <w:rsid w:val="00BF1A5A"/>
    <w:rsid w:val="00BF566A"/>
    <w:rsid w:val="00C01750"/>
    <w:rsid w:val="00C05915"/>
    <w:rsid w:val="00C215CB"/>
    <w:rsid w:val="00C22602"/>
    <w:rsid w:val="00C24051"/>
    <w:rsid w:val="00C31B01"/>
    <w:rsid w:val="00C47EDC"/>
    <w:rsid w:val="00C52786"/>
    <w:rsid w:val="00C62782"/>
    <w:rsid w:val="00C630F3"/>
    <w:rsid w:val="00C636AF"/>
    <w:rsid w:val="00C64951"/>
    <w:rsid w:val="00C71F25"/>
    <w:rsid w:val="00C8457B"/>
    <w:rsid w:val="00C863A6"/>
    <w:rsid w:val="00CA530E"/>
    <w:rsid w:val="00CA6548"/>
    <w:rsid w:val="00D02350"/>
    <w:rsid w:val="00D12FE0"/>
    <w:rsid w:val="00D41504"/>
    <w:rsid w:val="00D4618C"/>
    <w:rsid w:val="00D5381D"/>
    <w:rsid w:val="00D6515F"/>
    <w:rsid w:val="00D70351"/>
    <w:rsid w:val="00D8093B"/>
    <w:rsid w:val="00D816C3"/>
    <w:rsid w:val="00D8597F"/>
    <w:rsid w:val="00D874A9"/>
    <w:rsid w:val="00D90BEF"/>
    <w:rsid w:val="00DF0DAF"/>
    <w:rsid w:val="00DF1E6C"/>
    <w:rsid w:val="00E0335B"/>
    <w:rsid w:val="00E26602"/>
    <w:rsid w:val="00E300B1"/>
    <w:rsid w:val="00E4436E"/>
    <w:rsid w:val="00E6000C"/>
    <w:rsid w:val="00E63E24"/>
    <w:rsid w:val="00E7148C"/>
    <w:rsid w:val="00E745C9"/>
    <w:rsid w:val="00E840DE"/>
    <w:rsid w:val="00E87F02"/>
    <w:rsid w:val="00EC2E54"/>
    <w:rsid w:val="00EC4ABA"/>
    <w:rsid w:val="00ED42C1"/>
    <w:rsid w:val="00EE4A53"/>
    <w:rsid w:val="00EE5763"/>
    <w:rsid w:val="00EF3961"/>
    <w:rsid w:val="00F1473B"/>
    <w:rsid w:val="00F36986"/>
    <w:rsid w:val="00F373B4"/>
    <w:rsid w:val="00F47EE6"/>
    <w:rsid w:val="00F55F4C"/>
    <w:rsid w:val="00F66742"/>
    <w:rsid w:val="00F7357B"/>
    <w:rsid w:val="00FB09AD"/>
    <w:rsid w:val="00FB2E33"/>
    <w:rsid w:val="00FC09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BD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469"/>
    <w:pPr>
      <w:widowControl w:val="0"/>
      <w:autoSpaceDE w:val="0"/>
      <w:autoSpaceDN w:val="0"/>
      <w:adjustRightInd w:val="0"/>
      <w:spacing w:after="0" w:line="240" w:lineRule="auto"/>
    </w:pPr>
    <w:rPr>
      <w:rFonts w:eastAsia="Times New Roman" w:cs="Times New Roman"/>
      <w:kern w:val="0"/>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469"/>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700469"/>
    <w:rPr>
      <w:rFonts w:ascii="Times New Roman" w:hAnsi="Times New Roman" w:cs="Times New Roman" w:hint="default"/>
      <w:i/>
      <w:iCs w:val="0"/>
      <w:color w:val="404040"/>
    </w:rPr>
  </w:style>
  <w:style w:type="paragraph" w:customStyle="1" w:styleId="Style3">
    <w:name w:val="Style3"/>
    <w:basedOn w:val="Normal"/>
    <w:link w:val="Style3Char"/>
    <w:rsid w:val="002532A4"/>
    <w:pPr>
      <w:widowControl/>
      <w:autoSpaceDE/>
      <w:autoSpaceDN/>
      <w:adjustRightInd/>
      <w:jc w:val="both"/>
    </w:pPr>
    <w:rPr>
      <w:sz w:val="24"/>
      <w:szCs w:val="24"/>
      <w:lang w:eastAsia="en-US"/>
    </w:rPr>
  </w:style>
  <w:style w:type="character" w:customStyle="1" w:styleId="Style3Char">
    <w:name w:val="Style3 Char"/>
    <w:basedOn w:val="DefaultParagraphFont"/>
    <w:link w:val="Style3"/>
    <w:rsid w:val="002532A4"/>
    <w:rPr>
      <w:rFonts w:eastAsia="Times New Roman" w:cs="Times New Roman"/>
      <w:kern w:val="0"/>
      <w:szCs w:val="24"/>
      <w14:ligatures w14:val="none"/>
    </w:rPr>
  </w:style>
  <w:style w:type="paragraph" w:styleId="NormalWeb">
    <w:name w:val="Normal (Web)"/>
    <w:basedOn w:val="Normal"/>
    <w:uiPriority w:val="99"/>
    <w:unhideWhenUsed/>
    <w:rsid w:val="009477C0"/>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EC4ABA"/>
    <w:pPr>
      <w:tabs>
        <w:tab w:val="center" w:pos="4513"/>
        <w:tab w:val="right" w:pos="9026"/>
      </w:tabs>
    </w:pPr>
  </w:style>
  <w:style w:type="character" w:customStyle="1" w:styleId="HeaderChar">
    <w:name w:val="Header Char"/>
    <w:basedOn w:val="DefaultParagraphFont"/>
    <w:link w:val="Header"/>
    <w:uiPriority w:val="99"/>
    <w:rsid w:val="00EC4ABA"/>
    <w:rPr>
      <w:rFonts w:eastAsia="Times New Roman" w:cs="Times New Roman"/>
      <w:kern w:val="0"/>
      <w:sz w:val="20"/>
      <w:szCs w:val="20"/>
      <w:lang w:eastAsia="lv-LV"/>
      <w14:ligatures w14:val="none"/>
    </w:rPr>
  </w:style>
  <w:style w:type="paragraph" w:styleId="Footer">
    <w:name w:val="footer"/>
    <w:basedOn w:val="Normal"/>
    <w:link w:val="FooterChar"/>
    <w:uiPriority w:val="99"/>
    <w:unhideWhenUsed/>
    <w:rsid w:val="00EC4ABA"/>
    <w:pPr>
      <w:tabs>
        <w:tab w:val="center" w:pos="4513"/>
        <w:tab w:val="right" w:pos="9026"/>
      </w:tabs>
    </w:pPr>
  </w:style>
  <w:style w:type="character" w:customStyle="1" w:styleId="FooterChar">
    <w:name w:val="Footer Char"/>
    <w:basedOn w:val="DefaultParagraphFont"/>
    <w:link w:val="Footer"/>
    <w:uiPriority w:val="99"/>
    <w:rsid w:val="00EC4ABA"/>
    <w:rPr>
      <w:rFonts w:eastAsia="Times New Roman" w:cs="Times New Roman"/>
      <w:kern w:val="0"/>
      <w:sz w:val="20"/>
      <w:szCs w:val="20"/>
      <w:lang w:eastAsia="lv-LV"/>
      <w14:ligatures w14:val="none"/>
    </w:rPr>
  </w:style>
  <w:style w:type="paragraph" w:styleId="Revision">
    <w:name w:val="Revision"/>
    <w:hidden/>
    <w:uiPriority w:val="99"/>
    <w:semiHidden/>
    <w:rsid w:val="00400724"/>
    <w:pPr>
      <w:spacing w:after="0" w:line="240" w:lineRule="auto"/>
    </w:pPr>
    <w:rPr>
      <w:rFonts w:eastAsia="Times New Roman" w:cs="Times New Roman"/>
      <w:kern w:val="0"/>
      <w:sz w:val="20"/>
      <w:szCs w:val="20"/>
      <w:lang w:eastAsia="lv-LV"/>
      <w14:ligatures w14:val="none"/>
    </w:rPr>
  </w:style>
  <w:style w:type="paragraph" w:styleId="BodyText">
    <w:name w:val="Body Text"/>
    <w:basedOn w:val="Normal"/>
    <w:link w:val="BodyTextChar"/>
    <w:uiPriority w:val="1"/>
    <w:semiHidden/>
    <w:unhideWhenUsed/>
    <w:qFormat/>
    <w:rsid w:val="00E87F02"/>
    <w:pPr>
      <w:spacing w:before="17"/>
      <w:ind w:left="108" w:firstLine="720"/>
    </w:pPr>
    <w:rPr>
      <w:rFonts w:eastAsiaTheme="minorEastAsia"/>
      <w:sz w:val="24"/>
      <w:szCs w:val="24"/>
    </w:rPr>
  </w:style>
  <w:style w:type="character" w:customStyle="1" w:styleId="BodyTextChar">
    <w:name w:val="Body Text Char"/>
    <w:basedOn w:val="DefaultParagraphFont"/>
    <w:link w:val="BodyText"/>
    <w:uiPriority w:val="1"/>
    <w:semiHidden/>
    <w:rsid w:val="00E87F02"/>
    <w:rPr>
      <w:rFonts w:eastAsiaTheme="minorEastAsia" w:cs="Times New Roman"/>
      <w:kern w:val="0"/>
      <w:szCs w:val="24"/>
      <w:lang w:eastAsia="lv-LV"/>
      <w14:ligatures w14:val="none"/>
    </w:rPr>
  </w:style>
  <w:style w:type="paragraph" w:customStyle="1" w:styleId="Char">
    <w:name w:val="Char"/>
    <w:basedOn w:val="Normal"/>
    <w:rsid w:val="004772BF"/>
    <w:pPr>
      <w:widowControl/>
      <w:autoSpaceDE/>
      <w:autoSpaceDN/>
      <w:adjustRightInd/>
      <w:spacing w:after="160" w:line="240" w:lineRule="exact"/>
    </w:pPr>
    <w:rPr>
      <w:rFonts w:ascii="Tahoma" w:hAnsi="Tahoma"/>
      <w:lang w:val="en-US" w:eastAsia="en-US"/>
    </w:rPr>
  </w:style>
  <w:style w:type="character" w:styleId="Hyperlink">
    <w:name w:val="Hyperlink"/>
    <w:basedOn w:val="DefaultParagraphFont"/>
    <w:uiPriority w:val="99"/>
    <w:unhideWhenUsed/>
    <w:rsid w:val="009003E3"/>
    <w:rPr>
      <w:color w:val="0563C1"/>
      <w:u w:val="single"/>
    </w:rPr>
  </w:style>
  <w:style w:type="character" w:styleId="CommentReference">
    <w:name w:val="annotation reference"/>
    <w:basedOn w:val="DefaultParagraphFont"/>
    <w:uiPriority w:val="99"/>
    <w:semiHidden/>
    <w:unhideWhenUsed/>
    <w:rsid w:val="00F7357B"/>
    <w:rPr>
      <w:sz w:val="16"/>
      <w:szCs w:val="16"/>
    </w:rPr>
  </w:style>
  <w:style w:type="paragraph" w:styleId="CommentText">
    <w:name w:val="annotation text"/>
    <w:basedOn w:val="Normal"/>
    <w:link w:val="CommentTextChar"/>
    <w:uiPriority w:val="99"/>
    <w:unhideWhenUsed/>
    <w:rsid w:val="00F7357B"/>
  </w:style>
  <w:style w:type="character" w:customStyle="1" w:styleId="CommentTextChar">
    <w:name w:val="Comment Text Char"/>
    <w:basedOn w:val="DefaultParagraphFont"/>
    <w:link w:val="CommentText"/>
    <w:uiPriority w:val="99"/>
    <w:rsid w:val="00F7357B"/>
    <w:rPr>
      <w:rFonts w:eastAsia="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F7357B"/>
    <w:rPr>
      <w:b/>
      <w:bCs/>
    </w:rPr>
  </w:style>
  <w:style w:type="character" w:customStyle="1" w:styleId="CommentSubjectChar">
    <w:name w:val="Comment Subject Char"/>
    <w:basedOn w:val="CommentTextChar"/>
    <w:link w:val="CommentSubject"/>
    <w:uiPriority w:val="99"/>
    <w:semiHidden/>
    <w:rsid w:val="00F7357B"/>
    <w:rPr>
      <w:rFonts w:eastAsia="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2775">
      <w:bodyDiv w:val="1"/>
      <w:marLeft w:val="0"/>
      <w:marRight w:val="0"/>
      <w:marTop w:val="0"/>
      <w:marBottom w:val="0"/>
      <w:divBdr>
        <w:top w:val="none" w:sz="0" w:space="0" w:color="auto"/>
        <w:left w:val="none" w:sz="0" w:space="0" w:color="auto"/>
        <w:bottom w:val="none" w:sz="0" w:space="0" w:color="auto"/>
        <w:right w:val="none" w:sz="0" w:space="0" w:color="auto"/>
      </w:divBdr>
    </w:div>
    <w:div w:id="220212477">
      <w:bodyDiv w:val="1"/>
      <w:marLeft w:val="0"/>
      <w:marRight w:val="0"/>
      <w:marTop w:val="0"/>
      <w:marBottom w:val="0"/>
      <w:divBdr>
        <w:top w:val="none" w:sz="0" w:space="0" w:color="auto"/>
        <w:left w:val="none" w:sz="0" w:space="0" w:color="auto"/>
        <w:bottom w:val="none" w:sz="0" w:space="0" w:color="auto"/>
        <w:right w:val="none" w:sz="0" w:space="0" w:color="auto"/>
      </w:divBdr>
    </w:div>
    <w:div w:id="444006850">
      <w:bodyDiv w:val="1"/>
      <w:marLeft w:val="0"/>
      <w:marRight w:val="0"/>
      <w:marTop w:val="0"/>
      <w:marBottom w:val="0"/>
      <w:divBdr>
        <w:top w:val="none" w:sz="0" w:space="0" w:color="auto"/>
        <w:left w:val="none" w:sz="0" w:space="0" w:color="auto"/>
        <w:bottom w:val="none" w:sz="0" w:space="0" w:color="auto"/>
        <w:right w:val="none" w:sz="0" w:space="0" w:color="auto"/>
      </w:divBdr>
    </w:div>
    <w:div w:id="458382695">
      <w:bodyDiv w:val="1"/>
      <w:marLeft w:val="0"/>
      <w:marRight w:val="0"/>
      <w:marTop w:val="0"/>
      <w:marBottom w:val="0"/>
      <w:divBdr>
        <w:top w:val="none" w:sz="0" w:space="0" w:color="auto"/>
        <w:left w:val="none" w:sz="0" w:space="0" w:color="auto"/>
        <w:bottom w:val="none" w:sz="0" w:space="0" w:color="auto"/>
        <w:right w:val="none" w:sz="0" w:space="0" w:color="auto"/>
      </w:divBdr>
    </w:div>
    <w:div w:id="791443623">
      <w:bodyDiv w:val="1"/>
      <w:marLeft w:val="0"/>
      <w:marRight w:val="0"/>
      <w:marTop w:val="0"/>
      <w:marBottom w:val="0"/>
      <w:divBdr>
        <w:top w:val="none" w:sz="0" w:space="0" w:color="auto"/>
        <w:left w:val="none" w:sz="0" w:space="0" w:color="auto"/>
        <w:bottom w:val="none" w:sz="0" w:space="0" w:color="auto"/>
        <w:right w:val="none" w:sz="0" w:space="0" w:color="auto"/>
      </w:divBdr>
    </w:div>
    <w:div w:id="1091193957">
      <w:bodyDiv w:val="1"/>
      <w:marLeft w:val="0"/>
      <w:marRight w:val="0"/>
      <w:marTop w:val="0"/>
      <w:marBottom w:val="0"/>
      <w:divBdr>
        <w:top w:val="none" w:sz="0" w:space="0" w:color="auto"/>
        <w:left w:val="none" w:sz="0" w:space="0" w:color="auto"/>
        <w:bottom w:val="none" w:sz="0" w:space="0" w:color="auto"/>
        <w:right w:val="none" w:sz="0" w:space="0" w:color="auto"/>
      </w:divBdr>
    </w:div>
    <w:div w:id="1136944974">
      <w:bodyDiv w:val="1"/>
      <w:marLeft w:val="0"/>
      <w:marRight w:val="0"/>
      <w:marTop w:val="0"/>
      <w:marBottom w:val="0"/>
      <w:divBdr>
        <w:top w:val="none" w:sz="0" w:space="0" w:color="auto"/>
        <w:left w:val="none" w:sz="0" w:space="0" w:color="auto"/>
        <w:bottom w:val="none" w:sz="0" w:space="0" w:color="auto"/>
        <w:right w:val="none" w:sz="0" w:space="0" w:color="auto"/>
      </w:divBdr>
    </w:div>
    <w:div w:id="1213686902">
      <w:bodyDiv w:val="1"/>
      <w:marLeft w:val="0"/>
      <w:marRight w:val="0"/>
      <w:marTop w:val="0"/>
      <w:marBottom w:val="0"/>
      <w:divBdr>
        <w:top w:val="none" w:sz="0" w:space="0" w:color="auto"/>
        <w:left w:val="none" w:sz="0" w:space="0" w:color="auto"/>
        <w:bottom w:val="none" w:sz="0" w:space="0" w:color="auto"/>
        <w:right w:val="none" w:sz="0" w:space="0" w:color="auto"/>
      </w:divBdr>
    </w:div>
    <w:div w:id="1766874459">
      <w:bodyDiv w:val="1"/>
      <w:marLeft w:val="0"/>
      <w:marRight w:val="0"/>
      <w:marTop w:val="0"/>
      <w:marBottom w:val="0"/>
      <w:divBdr>
        <w:top w:val="none" w:sz="0" w:space="0" w:color="auto"/>
        <w:left w:val="none" w:sz="0" w:space="0" w:color="auto"/>
        <w:bottom w:val="none" w:sz="0" w:space="0" w:color="auto"/>
        <w:right w:val="none" w:sz="0" w:space="0" w:color="auto"/>
      </w:divBdr>
    </w:div>
    <w:div w:id="1844314294">
      <w:bodyDiv w:val="1"/>
      <w:marLeft w:val="0"/>
      <w:marRight w:val="0"/>
      <w:marTop w:val="0"/>
      <w:marBottom w:val="0"/>
      <w:divBdr>
        <w:top w:val="none" w:sz="0" w:space="0" w:color="auto"/>
        <w:left w:val="none" w:sz="0" w:space="0" w:color="auto"/>
        <w:bottom w:val="none" w:sz="0" w:space="0" w:color="auto"/>
        <w:right w:val="none" w:sz="0" w:space="0" w:color="auto"/>
      </w:divBdr>
    </w:div>
    <w:div w:id="19550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998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2637-4874-447F-91E2-C0B190C5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3320</Words>
  <Characters>1893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2023-12-11T14:47:00Z</dcterms:created>
  <dcterms:modified xsi:type="dcterms:W3CDTF">2023-12-20T08:44:00Z</dcterms:modified>
</cp:coreProperties>
</file>