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70AD4" w14:textId="6B0945AC" w:rsidR="00A73D10" w:rsidRPr="00AC5695" w:rsidRDefault="00654197" w:rsidP="00751BD2">
      <w:pPr>
        <w:widowControl w:val="0"/>
        <w:spacing w:line="276" w:lineRule="auto"/>
        <w:jc w:val="both"/>
        <w:rPr>
          <w:lang w:eastAsia="lv-LV"/>
        </w:rPr>
      </w:pPr>
      <w:r>
        <w:rPr>
          <w:b/>
          <w:bCs/>
          <w:color w:val="000000"/>
          <w:shd w:val="clear" w:color="auto" w:fill="FFFFFF"/>
        </w:rPr>
        <w:t>Personas alkohola ietekmē sniegtu liecību izmantošana pierādīšanā un to ticamības izvērtēšana</w:t>
      </w:r>
    </w:p>
    <w:p w14:paraId="6EB963AC" w14:textId="7346CC5B" w:rsidR="00A73D10" w:rsidRPr="00AC5695" w:rsidRDefault="00A73D10" w:rsidP="00654197">
      <w:pPr>
        <w:widowControl w:val="0"/>
        <w:spacing w:line="276" w:lineRule="auto"/>
        <w:rPr>
          <w:lang w:eastAsia="lv-LV"/>
        </w:rPr>
      </w:pPr>
    </w:p>
    <w:p w14:paraId="2BE131E2" w14:textId="77777777" w:rsidR="00654197" w:rsidRPr="00654197" w:rsidRDefault="00447EE6" w:rsidP="00654197">
      <w:pPr>
        <w:widowControl w:val="0"/>
        <w:spacing w:line="276" w:lineRule="auto"/>
        <w:jc w:val="center"/>
        <w:rPr>
          <w:b/>
          <w:lang w:eastAsia="lv-LV"/>
        </w:rPr>
      </w:pPr>
      <w:r w:rsidRPr="00654197">
        <w:rPr>
          <w:b/>
        </w:rPr>
        <w:t>Latvijas Republikas Senāt</w:t>
      </w:r>
      <w:r w:rsidR="00654197" w:rsidRPr="00654197">
        <w:rPr>
          <w:b/>
        </w:rPr>
        <w:t>a</w:t>
      </w:r>
      <w:r w:rsidR="00654197" w:rsidRPr="00654197">
        <w:rPr>
          <w:b/>
          <w:lang w:eastAsia="lv-LV"/>
        </w:rPr>
        <w:t xml:space="preserve"> </w:t>
      </w:r>
    </w:p>
    <w:p w14:paraId="70C9EB13" w14:textId="77777777" w:rsidR="00654197" w:rsidRPr="00654197" w:rsidRDefault="00654197" w:rsidP="00654197">
      <w:pPr>
        <w:widowControl w:val="0"/>
        <w:spacing w:line="276" w:lineRule="auto"/>
        <w:jc w:val="center"/>
        <w:rPr>
          <w:b/>
          <w:lang w:eastAsia="lv-LV"/>
        </w:rPr>
      </w:pPr>
      <w:r w:rsidRPr="00654197">
        <w:rPr>
          <w:b/>
          <w:lang w:eastAsia="lv-LV"/>
        </w:rPr>
        <w:t>Krimināllietu departamenta</w:t>
      </w:r>
    </w:p>
    <w:p w14:paraId="30EF74F0" w14:textId="41A1A1D3" w:rsidR="00447EE6" w:rsidRPr="00654197" w:rsidRDefault="00654197" w:rsidP="00654197">
      <w:pPr>
        <w:widowControl w:val="0"/>
        <w:spacing w:line="276" w:lineRule="auto"/>
        <w:jc w:val="center"/>
        <w:rPr>
          <w:b/>
          <w:lang w:eastAsia="lv-LV"/>
        </w:rPr>
      </w:pPr>
      <w:r w:rsidRPr="00654197">
        <w:rPr>
          <w:b/>
        </w:rPr>
        <w:t>2023. gada 14. novembra</w:t>
      </w:r>
    </w:p>
    <w:p w14:paraId="6D65DEB2" w14:textId="2E329B87" w:rsidR="00447EE6" w:rsidRPr="00654197" w:rsidRDefault="00490710" w:rsidP="00654197">
      <w:pPr>
        <w:widowControl w:val="0"/>
        <w:spacing w:line="276" w:lineRule="auto"/>
        <w:jc w:val="center"/>
        <w:rPr>
          <w:b/>
        </w:rPr>
      </w:pPr>
      <w:r w:rsidRPr="00654197">
        <w:rPr>
          <w:b/>
        </w:rPr>
        <w:t>LĒMUMS</w:t>
      </w:r>
    </w:p>
    <w:p w14:paraId="781D45C0" w14:textId="438386D5" w:rsidR="00447EE6" w:rsidRPr="00654197" w:rsidRDefault="00654197" w:rsidP="00654197">
      <w:pPr>
        <w:widowControl w:val="0"/>
        <w:spacing w:line="276" w:lineRule="auto"/>
        <w:jc w:val="center"/>
      </w:pPr>
      <w:r w:rsidRPr="00654197">
        <w:rPr>
          <w:b/>
          <w:lang w:eastAsia="lv-LV"/>
        </w:rPr>
        <w:t>Lieta Nr.</w:t>
      </w:r>
      <w:r w:rsidRPr="00654197">
        <w:rPr>
          <w:b/>
        </w:rPr>
        <w:t> </w:t>
      </w:r>
      <w:r w:rsidRPr="00654197">
        <w:rPr>
          <w:b/>
          <w:lang w:eastAsia="lv-LV"/>
        </w:rPr>
        <w:t xml:space="preserve">11320050717, </w:t>
      </w:r>
      <w:r w:rsidRPr="00654197">
        <w:rPr>
          <w:b/>
        </w:rPr>
        <w:t>SKK</w:t>
      </w:r>
      <w:r w:rsidRPr="00654197">
        <w:rPr>
          <w:b/>
        </w:rPr>
        <w:noBreakHyphen/>
        <w:t>128/2023</w:t>
      </w:r>
    </w:p>
    <w:p w14:paraId="10E5C943" w14:textId="4F79687B" w:rsidR="00654197" w:rsidRPr="00654197" w:rsidRDefault="00751BD2" w:rsidP="00654197">
      <w:pPr>
        <w:widowControl w:val="0"/>
        <w:spacing w:line="276" w:lineRule="auto"/>
        <w:jc w:val="center"/>
      </w:pPr>
      <w:hyperlink r:id="rId8" w:history="1">
        <w:r w:rsidR="00654197" w:rsidRPr="00654197">
          <w:rPr>
            <w:rStyle w:val="Hyperlink"/>
            <w:shd w:val="clear" w:color="auto" w:fill="FFFFFF"/>
          </w:rPr>
          <w:t>ECLI:LV:AT:2023:1114.11320050717.1</w:t>
        </w:r>
        <w:r w:rsidR="00654197" w:rsidRPr="00654197">
          <w:rPr>
            <w:rStyle w:val="Hyperlink"/>
            <w:shd w:val="clear" w:color="auto" w:fill="FFFFFF"/>
          </w:rPr>
          <w:t>2</w:t>
        </w:r>
        <w:r w:rsidR="00654197" w:rsidRPr="00654197">
          <w:rPr>
            <w:rStyle w:val="Hyperlink"/>
            <w:shd w:val="clear" w:color="auto" w:fill="FFFFFF"/>
          </w:rPr>
          <w:t>.L</w:t>
        </w:r>
      </w:hyperlink>
    </w:p>
    <w:p w14:paraId="275542B2" w14:textId="77777777" w:rsidR="008E6216" w:rsidRPr="00AC5695" w:rsidRDefault="008E6216" w:rsidP="00654197">
      <w:pPr>
        <w:widowControl w:val="0"/>
        <w:spacing w:line="276" w:lineRule="auto"/>
        <w:ind w:firstLine="720"/>
        <w:jc w:val="both"/>
      </w:pPr>
    </w:p>
    <w:p w14:paraId="1609D6F5" w14:textId="35C2DE3A" w:rsidR="00447EE6" w:rsidRPr="00AC5695" w:rsidRDefault="00447EE6" w:rsidP="00654197">
      <w:pPr>
        <w:widowControl w:val="0"/>
        <w:spacing w:line="276" w:lineRule="auto"/>
        <w:ind w:firstLine="720"/>
        <w:jc w:val="both"/>
      </w:pPr>
      <w:r w:rsidRPr="00AC5695">
        <w:t>Senāts šādā sastāvā:</w:t>
      </w:r>
      <w:r w:rsidR="00350A0B" w:rsidRPr="00AC5695">
        <w:t xml:space="preserve"> senatore referente Aija Branta, senatori Ivars Bičkovičs un Irīna Jansone</w:t>
      </w:r>
    </w:p>
    <w:p w14:paraId="0FD41FC1" w14:textId="77777777" w:rsidR="00350A0B" w:rsidRPr="00AC5695" w:rsidRDefault="00350A0B" w:rsidP="00455A63">
      <w:pPr>
        <w:widowControl w:val="0"/>
        <w:spacing w:line="276" w:lineRule="auto"/>
        <w:ind w:firstLine="720"/>
        <w:jc w:val="both"/>
      </w:pPr>
    </w:p>
    <w:p w14:paraId="67FD546B" w14:textId="7FD681EF" w:rsidR="00350A0B" w:rsidRPr="00AC5695" w:rsidRDefault="00350A0B" w:rsidP="0011719E">
      <w:pPr>
        <w:widowControl w:val="0"/>
        <w:spacing w:line="276" w:lineRule="auto"/>
        <w:ind w:firstLine="720"/>
        <w:contextualSpacing/>
        <w:jc w:val="both"/>
      </w:pPr>
      <w:r w:rsidRPr="00AC5695">
        <w:t xml:space="preserve">rakstveida procesā izskatīja krimināllietu sakarā ar apsūdzētā </w:t>
      </w:r>
      <w:r w:rsidR="00654197">
        <w:t>[pers. A]</w:t>
      </w:r>
      <w:r w:rsidRPr="00AC5695">
        <w:t xml:space="preserve"> un viņa aizstāvja zvērināta advokāta </w:t>
      </w:r>
      <w:r w:rsidR="004B4E6A">
        <w:t>Vjačeslava</w:t>
      </w:r>
      <w:r w:rsidRPr="00AC5695">
        <w:t xml:space="preserve"> </w:t>
      </w:r>
      <w:proofErr w:type="spellStart"/>
      <w:r w:rsidR="004B4E6A">
        <w:t>Platpir</w:t>
      </w:r>
      <w:r w:rsidRPr="00AC5695">
        <w:t>a</w:t>
      </w:r>
      <w:proofErr w:type="spellEnd"/>
      <w:r w:rsidRPr="00AC5695">
        <w:t xml:space="preserve"> kasācijas sūdzībām par </w:t>
      </w:r>
      <w:r w:rsidR="004B4E6A">
        <w:t>Latgales</w:t>
      </w:r>
      <w:r w:rsidRPr="00AC5695">
        <w:t xml:space="preserve"> apgabaltiesas 2022. gada </w:t>
      </w:r>
      <w:r w:rsidR="004B4E6A">
        <w:t>30</w:t>
      </w:r>
      <w:r w:rsidRPr="00AC5695">
        <w:t>. </w:t>
      </w:r>
      <w:r w:rsidR="004B4E6A">
        <w:t>jūnij</w:t>
      </w:r>
      <w:r w:rsidRPr="00AC5695">
        <w:t xml:space="preserve">a </w:t>
      </w:r>
      <w:r w:rsidR="004B4E6A">
        <w:t>spried</w:t>
      </w:r>
      <w:r w:rsidRPr="00AC5695">
        <w:t>umu.</w:t>
      </w:r>
    </w:p>
    <w:p w14:paraId="57D2E9EE" w14:textId="77777777" w:rsidR="00350A0B" w:rsidRPr="00AC5695" w:rsidRDefault="00350A0B" w:rsidP="00455A63">
      <w:pPr>
        <w:widowControl w:val="0"/>
        <w:spacing w:line="276" w:lineRule="auto"/>
        <w:ind w:firstLine="720"/>
        <w:jc w:val="both"/>
        <w:rPr>
          <w:lang w:eastAsia="lv-LV"/>
        </w:rPr>
      </w:pPr>
    </w:p>
    <w:p w14:paraId="12882064" w14:textId="77777777" w:rsidR="00447EE6" w:rsidRPr="00AC5695" w:rsidRDefault="00447EE6" w:rsidP="0011719E">
      <w:pPr>
        <w:widowControl w:val="0"/>
        <w:spacing w:line="276" w:lineRule="auto"/>
        <w:jc w:val="center"/>
        <w:rPr>
          <w:b/>
          <w:shd w:val="clear" w:color="auto" w:fill="FFFFFF"/>
        </w:rPr>
      </w:pPr>
      <w:r w:rsidRPr="00AC5695">
        <w:rPr>
          <w:b/>
          <w:shd w:val="clear" w:color="auto" w:fill="FFFFFF"/>
        </w:rPr>
        <w:t>Aprakstošā daļa</w:t>
      </w:r>
    </w:p>
    <w:p w14:paraId="7311F334" w14:textId="77777777" w:rsidR="008E6216" w:rsidRPr="00AC5695" w:rsidRDefault="008E6216" w:rsidP="0011719E">
      <w:pPr>
        <w:widowControl w:val="0"/>
        <w:spacing w:line="276" w:lineRule="auto"/>
        <w:ind w:firstLine="720"/>
        <w:jc w:val="both"/>
        <w:rPr>
          <w:shd w:val="clear" w:color="auto" w:fill="FFFFFF"/>
        </w:rPr>
      </w:pPr>
    </w:p>
    <w:p w14:paraId="16F28D37" w14:textId="2463485B" w:rsidR="008E6216" w:rsidRPr="00AC5695" w:rsidRDefault="008E6216" w:rsidP="00455A63">
      <w:pPr>
        <w:widowControl w:val="0"/>
        <w:spacing w:line="276" w:lineRule="auto"/>
        <w:ind w:firstLine="720"/>
        <w:jc w:val="both"/>
      </w:pPr>
      <w:r w:rsidRPr="00AC5695">
        <w:t xml:space="preserve">[1] Ar </w:t>
      </w:r>
      <w:r w:rsidR="004B4E6A">
        <w:t>Daugavpils</w:t>
      </w:r>
      <w:r w:rsidRPr="00AC5695">
        <w:t xml:space="preserve"> tiesas 20</w:t>
      </w:r>
      <w:r w:rsidR="004B4E6A">
        <w:t>19</w:t>
      </w:r>
      <w:r w:rsidRPr="00AC5695">
        <w:t>. gada 1</w:t>
      </w:r>
      <w:r w:rsidR="004B4E6A">
        <w:t>3</w:t>
      </w:r>
      <w:r w:rsidRPr="00AC5695">
        <w:t>. </w:t>
      </w:r>
      <w:r w:rsidR="004B4E6A">
        <w:t>decembr</w:t>
      </w:r>
      <w:r w:rsidRPr="00AC5695">
        <w:t>a spriedumu</w:t>
      </w:r>
    </w:p>
    <w:p w14:paraId="72202DC0" w14:textId="3DFF4037" w:rsidR="008E6216" w:rsidRPr="00AC5695" w:rsidRDefault="00654197" w:rsidP="00455A63">
      <w:pPr>
        <w:widowControl w:val="0"/>
        <w:spacing w:line="276" w:lineRule="auto"/>
        <w:ind w:firstLine="720"/>
        <w:jc w:val="both"/>
      </w:pPr>
      <w:r>
        <w:t>[pers. A]</w:t>
      </w:r>
      <w:r w:rsidR="00AC5695">
        <w:t xml:space="preserve">, personas kods </w:t>
      </w:r>
      <w:r>
        <w:t>[..]</w:t>
      </w:r>
      <w:r w:rsidR="008E6216" w:rsidRPr="00AC5695">
        <w:t>,</w:t>
      </w:r>
    </w:p>
    <w:p w14:paraId="5788167C" w14:textId="70F374BA" w:rsidR="008E6216" w:rsidRPr="00AC5695" w:rsidRDefault="008E6216" w:rsidP="00455A63">
      <w:pPr>
        <w:widowControl w:val="0"/>
        <w:spacing w:line="276" w:lineRule="auto"/>
        <w:ind w:firstLine="720"/>
        <w:jc w:val="both"/>
      </w:pPr>
      <w:r w:rsidRPr="00AC5695">
        <w:t xml:space="preserve">atzīts par vainīgu Krimināllikuma </w:t>
      </w:r>
      <w:r w:rsidR="004B4E6A">
        <w:t>116. </w:t>
      </w:r>
      <w:r w:rsidRPr="00AC5695">
        <w:t>pant</w:t>
      </w:r>
      <w:r w:rsidR="004B4E6A">
        <w:t>ā</w:t>
      </w:r>
      <w:r w:rsidRPr="00AC5695">
        <w:t xml:space="preserve"> pare</w:t>
      </w:r>
      <w:r w:rsidR="00C02B8B" w:rsidRPr="00AC5695">
        <w:t xml:space="preserve">dzētajā noziedzīgajā nodarījumā </w:t>
      </w:r>
      <w:r w:rsidRPr="00AC5695">
        <w:t>un so</w:t>
      </w:r>
      <w:r w:rsidR="00E75663" w:rsidRPr="00AC5695">
        <w:t xml:space="preserve">dīts ar brīvības atņemšanu uz </w:t>
      </w:r>
      <w:r w:rsidR="004B4E6A">
        <w:t>12</w:t>
      </w:r>
      <w:r w:rsidR="004F455F">
        <w:t xml:space="preserve"> </w:t>
      </w:r>
      <w:r w:rsidRPr="00AC5695">
        <w:t>gadiem</w:t>
      </w:r>
      <w:r w:rsidR="00A94948" w:rsidRPr="00AC5695">
        <w:t xml:space="preserve"> un</w:t>
      </w:r>
      <w:r w:rsidR="00E75663" w:rsidRPr="00AC5695">
        <w:t xml:space="preserve"> probācijas uzraudzību uz </w:t>
      </w:r>
      <w:r w:rsidR="004B4E6A">
        <w:t>2</w:t>
      </w:r>
      <w:r w:rsidR="00E75663" w:rsidRPr="00AC5695">
        <w:t> </w:t>
      </w:r>
      <w:r w:rsidRPr="00AC5695">
        <w:t>gad</w:t>
      </w:r>
      <w:r w:rsidR="004B4E6A">
        <w:t>iem.</w:t>
      </w:r>
    </w:p>
    <w:p w14:paraId="0B4F5653" w14:textId="18EAAA65" w:rsidR="00447EE6" w:rsidRDefault="004B4E6A" w:rsidP="00455A63">
      <w:pPr>
        <w:pStyle w:val="NormalWeb"/>
        <w:widowControl w:val="0"/>
        <w:shd w:val="clear" w:color="auto" w:fill="FFFFFF"/>
        <w:spacing w:before="0" w:beforeAutospacing="0" w:after="0" w:afterAutospacing="0" w:line="276" w:lineRule="auto"/>
        <w:ind w:firstLine="720"/>
        <w:jc w:val="both"/>
      </w:pPr>
      <w:r>
        <w:t xml:space="preserve">No </w:t>
      </w:r>
      <w:r w:rsidR="00654197">
        <w:t>[pers. A]</w:t>
      </w:r>
      <w:r>
        <w:t xml:space="preserve"> valsts labā piedzīti 2150,01</w:t>
      </w:r>
      <w:r w:rsidR="004F455F">
        <w:t> </w:t>
      </w:r>
      <w:proofErr w:type="spellStart"/>
      <w:r w:rsidRPr="004B4E6A">
        <w:rPr>
          <w:i/>
          <w:iCs/>
        </w:rPr>
        <w:t>euro</w:t>
      </w:r>
      <w:proofErr w:type="spellEnd"/>
      <w:r>
        <w:t>.</w:t>
      </w:r>
    </w:p>
    <w:p w14:paraId="5CE18F03" w14:textId="77777777" w:rsidR="004B4E6A" w:rsidRPr="00AC5695" w:rsidRDefault="004B4E6A" w:rsidP="00455A63">
      <w:pPr>
        <w:pStyle w:val="NormalWeb"/>
        <w:widowControl w:val="0"/>
        <w:shd w:val="clear" w:color="auto" w:fill="FFFFFF"/>
        <w:spacing w:before="0" w:beforeAutospacing="0" w:after="0" w:afterAutospacing="0" w:line="276" w:lineRule="auto"/>
        <w:ind w:firstLine="720"/>
        <w:jc w:val="both"/>
      </w:pPr>
    </w:p>
    <w:p w14:paraId="78BBC64F" w14:textId="2103DCFD" w:rsidR="008E6216" w:rsidRPr="00AC5695" w:rsidRDefault="008D7F00" w:rsidP="00455A63">
      <w:pPr>
        <w:widowControl w:val="0"/>
        <w:spacing w:line="276" w:lineRule="auto"/>
        <w:ind w:firstLine="720"/>
        <w:jc w:val="both"/>
      </w:pPr>
      <w:r w:rsidRPr="00AC5695">
        <w:t>[2] </w:t>
      </w:r>
      <w:r w:rsidR="008E6216" w:rsidRPr="00AC5695">
        <w:t xml:space="preserve">Ar pirmās instances tiesas spriedumu </w:t>
      </w:r>
      <w:r w:rsidR="00654197">
        <w:t>[pers. A]</w:t>
      </w:r>
      <w:r w:rsidR="008E6216" w:rsidRPr="00AC5695">
        <w:t xml:space="preserve"> atzīts par vainīgu un sodīts</w:t>
      </w:r>
      <w:r w:rsidR="00532650" w:rsidRPr="00AC5695">
        <w:t xml:space="preserve"> par</w:t>
      </w:r>
      <w:r w:rsidR="004B4E6A">
        <w:t xml:space="preserve"> citas personas tīšu prettiesisku nonāvēšanu.</w:t>
      </w:r>
    </w:p>
    <w:p w14:paraId="6828F7DC" w14:textId="77777777" w:rsidR="008D7F00" w:rsidRPr="00AC5695" w:rsidRDefault="008D7F00" w:rsidP="00455A63">
      <w:pPr>
        <w:widowControl w:val="0"/>
        <w:spacing w:line="276" w:lineRule="auto"/>
        <w:ind w:firstLine="720"/>
        <w:jc w:val="both"/>
      </w:pPr>
    </w:p>
    <w:p w14:paraId="06B993E2" w14:textId="2040CDBE" w:rsidR="008D7F00" w:rsidRDefault="008D7F00" w:rsidP="00455A63">
      <w:pPr>
        <w:widowControl w:val="0"/>
        <w:spacing w:line="276" w:lineRule="auto"/>
        <w:ind w:firstLine="720"/>
        <w:jc w:val="both"/>
      </w:pPr>
      <w:r w:rsidRPr="00AC5695">
        <w:t>[3] </w:t>
      </w:r>
      <w:r w:rsidR="00D218E8" w:rsidRPr="00AC5695">
        <w:t xml:space="preserve">Ar </w:t>
      </w:r>
      <w:r w:rsidR="004B4E6A">
        <w:t>Latgales</w:t>
      </w:r>
      <w:r w:rsidR="00D218E8" w:rsidRPr="00AC5695">
        <w:t xml:space="preserve"> apgabaltiesas 2022. gada </w:t>
      </w:r>
      <w:r w:rsidR="00652B7A">
        <w:t>30</w:t>
      </w:r>
      <w:r w:rsidR="00D218E8" w:rsidRPr="00AC5695">
        <w:t>. </w:t>
      </w:r>
      <w:r w:rsidR="00652B7A">
        <w:t>jūnij</w:t>
      </w:r>
      <w:r w:rsidR="00D218E8" w:rsidRPr="00AC5695">
        <w:t xml:space="preserve">a </w:t>
      </w:r>
      <w:r w:rsidR="00652B7A">
        <w:t>spried</w:t>
      </w:r>
      <w:r w:rsidR="00D218E8" w:rsidRPr="00AC5695">
        <w:t xml:space="preserve">umu, iztiesājot lietu sakarā ar apsūdzētā </w:t>
      </w:r>
      <w:r w:rsidR="00654197">
        <w:t>[pers. A]</w:t>
      </w:r>
      <w:r w:rsidR="00D21572" w:rsidRPr="00AC5695">
        <w:t xml:space="preserve"> apelācijas sūdzīb</w:t>
      </w:r>
      <w:r w:rsidR="00652B7A">
        <w:t>u</w:t>
      </w:r>
      <w:r w:rsidR="00D21572" w:rsidRPr="00AC5695">
        <w:t xml:space="preserve">, </w:t>
      </w:r>
      <w:r w:rsidR="00652B7A">
        <w:t>Daugavpils</w:t>
      </w:r>
      <w:r w:rsidR="00D21572" w:rsidRPr="00AC5695">
        <w:t xml:space="preserve"> tiesas 20</w:t>
      </w:r>
      <w:r w:rsidR="00652B7A">
        <w:t>19</w:t>
      </w:r>
      <w:r w:rsidR="00D21572" w:rsidRPr="00AC5695">
        <w:t>. gada 1</w:t>
      </w:r>
      <w:r w:rsidR="00652B7A">
        <w:t>3</w:t>
      </w:r>
      <w:r w:rsidR="00D21572" w:rsidRPr="00AC5695">
        <w:t>. </w:t>
      </w:r>
      <w:r w:rsidR="00652B7A">
        <w:t>decembr</w:t>
      </w:r>
      <w:r w:rsidR="00D21572" w:rsidRPr="00AC5695">
        <w:t>a spriedums at</w:t>
      </w:r>
      <w:r w:rsidR="00652B7A">
        <w:t xml:space="preserve">celts daļā par apsūdzētā </w:t>
      </w:r>
      <w:r w:rsidR="00654197">
        <w:t>[pers. A]</w:t>
      </w:r>
      <w:r w:rsidR="00652B7A">
        <w:t xml:space="preserve"> atzīšanu par vainīgu </w:t>
      </w:r>
      <w:r w:rsidR="00F224C6">
        <w:t xml:space="preserve">un sodīšanu pēc </w:t>
      </w:r>
      <w:r w:rsidR="00652B7A">
        <w:t>Krimināllikuma 116. pant</w:t>
      </w:r>
      <w:r w:rsidR="00F224C6">
        <w:t>a</w:t>
      </w:r>
      <w:r w:rsidR="00D21572" w:rsidRPr="00AC5695">
        <w:t>.</w:t>
      </w:r>
    </w:p>
    <w:p w14:paraId="62CE9F1B" w14:textId="61032C3B" w:rsidR="00F224C6" w:rsidRDefault="00F224C6" w:rsidP="00455A63">
      <w:pPr>
        <w:widowControl w:val="0"/>
        <w:spacing w:line="276" w:lineRule="auto"/>
        <w:ind w:firstLine="720"/>
        <w:jc w:val="both"/>
      </w:pPr>
      <w:r>
        <w:t xml:space="preserve">Apsūdzētais </w:t>
      </w:r>
      <w:r w:rsidR="00654197">
        <w:t>[pers. A]</w:t>
      </w:r>
      <w:r>
        <w:t xml:space="preserve"> atzīts par vainīgu Krimināllikuma 116. pantā paredzētajā noziedzīgajā nodarījumā un, piemērojot </w:t>
      </w:r>
      <w:proofErr w:type="gramStart"/>
      <w:r>
        <w:t>Krimināllikuma 49.</w:t>
      </w:r>
      <w:r>
        <w:rPr>
          <w:vertAlign w:val="superscript"/>
        </w:rPr>
        <w:t>1</w:t>
      </w:r>
      <w:r w:rsidRPr="00C365CD">
        <w:t> </w:t>
      </w:r>
      <w:r>
        <w:t>panta pirmās daļas 1. punktu,</w:t>
      </w:r>
      <w:proofErr w:type="gramEnd"/>
      <w:r>
        <w:t xml:space="preserve"> sodīts ar brīvības atņemšanu uz 11 gadiem 6 mēnešiem un probācijas uzraudzību uz 2 gadiem.</w:t>
      </w:r>
    </w:p>
    <w:p w14:paraId="31633ED1" w14:textId="04B15B48" w:rsidR="00F224C6" w:rsidRPr="00AC5695" w:rsidRDefault="00F224C6" w:rsidP="00455A63">
      <w:pPr>
        <w:widowControl w:val="0"/>
        <w:spacing w:line="276" w:lineRule="auto"/>
        <w:ind w:firstLine="720"/>
        <w:jc w:val="both"/>
      </w:pPr>
      <w:r>
        <w:t>Pārējā daļā Daugavpils tiesas 2019. gada 13. decembra spriedums atstāts negrozīts.</w:t>
      </w:r>
    </w:p>
    <w:p w14:paraId="6BE62F91" w14:textId="77777777" w:rsidR="008E6216" w:rsidRPr="00AC5695" w:rsidRDefault="008E6216" w:rsidP="00455A63">
      <w:pPr>
        <w:pStyle w:val="NormalWeb"/>
        <w:widowControl w:val="0"/>
        <w:shd w:val="clear" w:color="auto" w:fill="FFFFFF"/>
        <w:spacing w:before="0" w:beforeAutospacing="0" w:after="0" w:afterAutospacing="0" w:line="276" w:lineRule="auto"/>
        <w:ind w:firstLine="720"/>
        <w:jc w:val="both"/>
      </w:pPr>
    </w:p>
    <w:p w14:paraId="4603089B" w14:textId="71777830" w:rsidR="00203B2A" w:rsidRPr="00AC5695" w:rsidRDefault="00203B2A" w:rsidP="00455A63">
      <w:pPr>
        <w:pStyle w:val="NormalWeb"/>
        <w:widowControl w:val="0"/>
        <w:shd w:val="clear" w:color="auto" w:fill="FFFFFF"/>
        <w:spacing w:before="0" w:beforeAutospacing="0" w:after="0" w:afterAutospacing="0" w:line="276" w:lineRule="auto"/>
        <w:ind w:firstLine="720"/>
        <w:jc w:val="both"/>
      </w:pPr>
      <w:r w:rsidRPr="00AC5695">
        <w:t xml:space="preserve">[4] Par apelācijas instances tiesas </w:t>
      </w:r>
      <w:r w:rsidR="00652B7A">
        <w:t>spried</w:t>
      </w:r>
      <w:r w:rsidR="0056470C" w:rsidRPr="00AC5695">
        <w:t xml:space="preserve">umu </w:t>
      </w:r>
      <w:r w:rsidR="00B459E2">
        <w:t xml:space="preserve">apsūdzētais </w:t>
      </w:r>
      <w:r w:rsidR="00654197">
        <w:t>[pers. A]</w:t>
      </w:r>
      <w:r w:rsidR="00B459E2">
        <w:t xml:space="preserve"> iesniedzis kasācijas sūdzību, kurā lūdz pilnībā atcelt apelācijas instances tiesas spriedumu un nosūtīt lietu jaunai izskatīšanai.</w:t>
      </w:r>
    </w:p>
    <w:p w14:paraId="70B0F1D4" w14:textId="69CC4738" w:rsidR="00204F50" w:rsidRPr="00AC5695" w:rsidRDefault="00204F50" w:rsidP="00455A63">
      <w:pPr>
        <w:widowControl w:val="0"/>
        <w:spacing w:line="276" w:lineRule="auto"/>
        <w:ind w:firstLine="720"/>
        <w:jc w:val="both"/>
      </w:pPr>
      <w:r w:rsidRPr="00AC5695">
        <w:t>Kasācijas sūdzīb</w:t>
      </w:r>
      <w:r w:rsidR="004D6C3D">
        <w:t>a pamatota</w:t>
      </w:r>
      <w:r w:rsidRPr="00AC5695">
        <w:t xml:space="preserve"> ar turpmāk norādītajiem argumentiem.</w:t>
      </w:r>
    </w:p>
    <w:p w14:paraId="75E23102" w14:textId="5FC9AF83" w:rsidR="006D20FB" w:rsidRDefault="009D3C94" w:rsidP="00455A63">
      <w:pPr>
        <w:pStyle w:val="NormalWeb"/>
        <w:widowControl w:val="0"/>
        <w:shd w:val="clear" w:color="auto" w:fill="FFFFFF"/>
        <w:spacing w:before="0" w:beforeAutospacing="0" w:after="0" w:afterAutospacing="0" w:line="276" w:lineRule="auto"/>
        <w:ind w:firstLine="720"/>
        <w:jc w:val="both"/>
      </w:pPr>
      <w:r w:rsidRPr="00AC5695">
        <w:lastRenderedPageBreak/>
        <w:t>[4.1]</w:t>
      </w:r>
      <w:r w:rsidR="0045353E">
        <w:t xml:space="preserve"> Apelācijas instances tiesa nepamatoti atzinusi </w:t>
      </w:r>
      <w:r w:rsidR="00C0161D">
        <w:t xml:space="preserve">viņu </w:t>
      </w:r>
      <w:r w:rsidR="0045353E">
        <w:t xml:space="preserve">par vainīgu </w:t>
      </w:r>
      <w:r w:rsidR="00654197">
        <w:t>[pers. B]</w:t>
      </w:r>
      <w:r w:rsidR="0045353E">
        <w:t xml:space="preserve"> tīšā slepkavībā.</w:t>
      </w:r>
    </w:p>
    <w:p w14:paraId="354BB1E4" w14:textId="0F0ADE69" w:rsidR="00B73ADF" w:rsidRDefault="00C0161D" w:rsidP="00455A63">
      <w:pPr>
        <w:pStyle w:val="NormalWeb"/>
        <w:widowControl w:val="0"/>
        <w:shd w:val="clear" w:color="auto" w:fill="FFFFFF"/>
        <w:spacing w:before="0" w:beforeAutospacing="0" w:after="0" w:afterAutospacing="0" w:line="276" w:lineRule="auto"/>
        <w:ind w:firstLine="720"/>
        <w:jc w:val="both"/>
      </w:pPr>
      <w:r>
        <w:t xml:space="preserve">Apsūdzētajam </w:t>
      </w:r>
      <w:r w:rsidR="00654197">
        <w:t>[pers. A]</w:t>
      </w:r>
      <w:r>
        <w:t xml:space="preserve"> </w:t>
      </w:r>
      <w:r w:rsidR="006D20FB">
        <w:t xml:space="preserve">inkriminēta </w:t>
      </w:r>
      <w:r w:rsidR="00654197">
        <w:t>[pers. B]</w:t>
      </w:r>
      <w:r w:rsidR="006D20FB">
        <w:t xml:space="preserve"> noslepkavošana ar</w:t>
      </w:r>
      <w:r w:rsidR="00B73ADF">
        <w:t xml:space="preserve"> nazi, uz kura </w:t>
      </w:r>
      <w:r w:rsidR="006D20FB">
        <w:t>ekspertīzē nav konstatēti viņa pirkstu nospiedumi, lai gan</w:t>
      </w:r>
      <w:r w:rsidR="004F455F">
        <w:t>,</w:t>
      </w:r>
      <w:r w:rsidR="006D20FB">
        <w:t xml:space="preserve"> kā apgalvoja liecinieki </w:t>
      </w:r>
      <w:r w:rsidR="00221839">
        <w:t>[pers. C]</w:t>
      </w:r>
      <w:r w:rsidR="006D20FB">
        <w:t xml:space="preserve"> un </w:t>
      </w:r>
      <w:r w:rsidR="00221839">
        <w:t>[pers. D]</w:t>
      </w:r>
      <w:r w:rsidR="006D20FB">
        <w:t xml:space="preserve">, </w:t>
      </w:r>
      <w:r w:rsidR="006420E9">
        <w:t xml:space="preserve">pēc </w:t>
      </w:r>
      <w:r w:rsidR="00221839">
        <w:t>[pers. B]</w:t>
      </w:r>
      <w:r w:rsidR="006420E9">
        <w:t xml:space="preserve"> saduršanas </w:t>
      </w:r>
      <w:r w:rsidR="00B73ADF">
        <w:t>neviens cits nazi nav aizticis. Kaut ekspert</w:t>
      </w:r>
      <w:r>
        <w:t>u atzinumā</w:t>
      </w:r>
      <w:r w:rsidR="00B73ADF">
        <w:t xml:space="preserve"> </w:t>
      </w:r>
      <w:r w:rsidR="006420E9">
        <w:t xml:space="preserve">secināts, ka uz naža roktura </w:t>
      </w:r>
      <w:r w:rsidR="009931B6">
        <w:t xml:space="preserve">konstatēts </w:t>
      </w:r>
      <w:r w:rsidR="00221839">
        <w:t>[pers. B]</w:t>
      </w:r>
      <w:r w:rsidR="009931B6">
        <w:t>,</w:t>
      </w:r>
      <w:r w:rsidR="006420E9">
        <w:t xml:space="preserve"> </w:t>
      </w:r>
      <w:r w:rsidR="00221839">
        <w:t>[pers. C]</w:t>
      </w:r>
      <w:r w:rsidR="006420E9">
        <w:t xml:space="preserve"> un </w:t>
      </w:r>
      <w:r w:rsidR="00221839">
        <w:t>[pers. D]</w:t>
      </w:r>
      <w:r w:rsidR="006420E9">
        <w:t xml:space="preserve"> bioloģiskais materiāls, viņi atzīti par lieciniekiem</w:t>
      </w:r>
      <w:r w:rsidR="00055724">
        <w:t xml:space="preserve">. </w:t>
      </w:r>
      <w:r w:rsidR="00117111">
        <w:t xml:space="preserve">Savukārt </w:t>
      </w:r>
      <w:r w:rsidR="00221839">
        <w:t>[pers. A]</w:t>
      </w:r>
      <w:r>
        <w:t xml:space="preserve"> </w:t>
      </w:r>
      <w:r w:rsidR="00117111">
        <w:t xml:space="preserve">atzīts par apsūdzēto, lai </w:t>
      </w:r>
      <w:r>
        <w:t>arī</w:t>
      </w:r>
      <w:r w:rsidR="006420E9">
        <w:t xml:space="preserve"> viņa bioloģiskais materiāls salīdzinošai izpētei </w:t>
      </w:r>
      <w:r w:rsidR="00317EF7">
        <w:t>ekspertiem</w:t>
      </w:r>
      <w:r w:rsidR="000A2D86">
        <w:t xml:space="preserve"> </w:t>
      </w:r>
      <w:r w:rsidR="006420E9">
        <w:t>netika iesniegts.</w:t>
      </w:r>
      <w:r w:rsidR="00055724">
        <w:t xml:space="preserve"> </w:t>
      </w:r>
      <w:r w:rsidR="000A2D86">
        <w:t>N</w:t>
      </w:r>
      <w:r w:rsidR="00055724">
        <w:t>enosakot papildu ekspertīzi,</w:t>
      </w:r>
      <w:r w:rsidR="006420E9">
        <w:t xml:space="preserve"> </w:t>
      </w:r>
      <w:r w:rsidR="000A2D86">
        <w:t xml:space="preserve">apelācijas instances tiesa </w:t>
      </w:r>
      <w:r w:rsidR="006420E9">
        <w:t>nav pārbaudī</w:t>
      </w:r>
      <w:r>
        <w:t>jusi</w:t>
      </w:r>
      <w:r w:rsidR="006420E9">
        <w:t xml:space="preserve"> </w:t>
      </w:r>
      <w:r>
        <w:t xml:space="preserve">apsūdzētā </w:t>
      </w:r>
      <w:r w:rsidR="00221839">
        <w:t>[pers. A]</w:t>
      </w:r>
      <w:r>
        <w:t xml:space="preserve"> </w:t>
      </w:r>
      <w:r w:rsidR="006420E9">
        <w:t>bioloģisk</w:t>
      </w:r>
      <w:r>
        <w:t>ā materiāla</w:t>
      </w:r>
      <w:r w:rsidR="006420E9">
        <w:t xml:space="preserve"> iespējamo esību uz izņemtā naža.</w:t>
      </w:r>
    </w:p>
    <w:p w14:paraId="21D08C5E" w14:textId="67D889C4" w:rsidR="006420E9" w:rsidRDefault="00C40870" w:rsidP="00455A63">
      <w:pPr>
        <w:pStyle w:val="NormalWeb"/>
        <w:widowControl w:val="0"/>
        <w:shd w:val="clear" w:color="auto" w:fill="FFFFFF"/>
        <w:spacing w:before="0" w:beforeAutospacing="0" w:after="0" w:afterAutospacing="0" w:line="276" w:lineRule="auto"/>
        <w:ind w:firstLine="720"/>
        <w:jc w:val="both"/>
      </w:pPr>
      <w:r>
        <w:t>Apelācijas instances tiesa a</w:t>
      </w:r>
      <w:r w:rsidR="00C0161D">
        <w:t xml:space="preserve">psūdzētā </w:t>
      </w:r>
      <w:r w:rsidR="006420E9">
        <w:t xml:space="preserve">vainīguma pierādīšanā izmantojusi lietas iznākumā ieinteresētas personas </w:t>
      </w:r>
      <w:r>
        <w:t xml:space="preserve">– liecinieces </w:t>
      </w:r>
      <w:r w:rsidR="00221839">
        <w:t>[pers. E]</w:t>
      </w:r>
      <w:r>
        <w:t xml:space="preserve"> –</w:t>
      </w:r>
      <w:r w:rsidR="006420E9">
        <w:t xml:space="preserve"> liecīb</w:t>
      </w:r>
      <w:r w:rsidR="00055724">
        <w:t>as, kaut arī tajās</w:t>
      </w:r>
      <w:r w:rsidR="006420E9">
        <w:t xml:space="preserve"> ietvertās ziņas par faktiem lieciniece uzzinājusi no savas meitas </w:t>
      </w:r>
      <w:r w:rsidR="00221839">
        <w:t>[pers. C]</w:t>
      </w:r>
      <w:r w:rsidR="006420E9">
        <w:t xml:space="preserve"> </w:t>
      </w:r>
      <w:r w:rsidR="006420E9" w:rsidRPr="00040B3F">
        <w:t xml:space="preserve">stāstītā. Vienlaikus tiesa nav ņēmusi vērā liecinieces </w:t>
      </w:r>
      <w:r w:rsidR="00221839">
        <w:t>[pers. F]</w:t>
      </w:r>
      <w:r w:rsidR="006420E9" w:rsidRPr="00040B3F">
        <w:t xml:space="preserve"> liecībās ietvertās ziņas par faktiem.</w:t>
      </w:r>
    </w:p>
    <w:p w14:paraId="3C4B6F15" w14:textId="27223B77" w:rsidR="00023DF3" w:rsidRDefault="00C40870" w:rsidP="00455A63">
      <w:pPr>
        <w:pStyle w:val="NormalWeb"/>
        <w:widowControl w:val="0"/>
        <w:shd w:val="clear" w:color="auto" w:fill="FFFFFF"/>
        <w:spacing w:before="0" w:beforeAutospacing="0" w:after="0" w:afterAutospacing="0" w:line="276" w:lineRule="auto"/>
        <w:ind w:firstLine="720"/>
        <w:jc w:val="both"/>
      </w:pPr>
      <w:r>
        <w:t>Tāpat a</w:t>
      </w:r>
      <w:r w:rsidR="00AC7CED">
        <w:t xml:space="preserve">pelācijas instances tiesa nav </w:t>
      </w:r>
      <w:r>
        <w:t>izvērtējusi</w:t>
      </w:r>
      <w:r w:rsidR="00AC7CED">
        <w:t xml:space="preserve"> </w:t>
      </w:r>
      <w:r>
        <w:t xml:space="preserve">apsūdzētā </w:t>
      </w:r>
      <w:r w:rsidR="00AC7CED">
        <w:t>izvirzītos argumentus</w:t>
      </w:r>
      <w:r>
        <w:t xml:space="preserve"> </w:t>
      </w:r>
      <w:r w:rsidR="008044F1">
        <w:t>par to</w:t>
      </w:r>
      <w:r>
        <w:t xml:space="preserve">, ka </w:t>
      </w:r>
      <w:r w:rsidR="00221839">
        <w:t>[pers. B]</w:t>
      </w:r>
      <w:r>
        <w:t xml:space="preserve"> noslepkavojusi cita persona</w:t>
      </w:r>
      <w:r w:rsidR="00AC7CED">
        <w:t>.</w:t>
      </w:r>
      <w:r w:rsidR="000A2D86">
        <w:t xml:space="preserve"> </w:t>
      </w:r>
      <w:r w:rsidR="00AC7CED">
        <w:t xml:space="preserve">Tiesa nav </w:t>
      </w:r>
      <w:r>
        <w:t xml:space="preserve">ņēmusi vērā </w:t>
      </w:r>
      <w:r w:rsidR="00AC7CED">
        <w:t xml:space="preserve">faktu, ka uz notikuma vietu </w:t>
      </w:r>
      <w:r>
        <w:t xml:space="preserve">netika </w:t>
      </w:r>
      <w:r w:rsidR="00AC7CED">
        <w:t>izsaukt</w:t>
      </w:r>
      <w:r>
        <w:t>s</w:t>
      </w:r>
      <w:r w:rsidR="00AC7CED">
        <w:t xml:space="preserve"> </w:t>
      </w:r>
      <w:r>
        <w:t xml:space="preserve">neatliekamās </w:t>
      </w:r>
      <w:r w:rsidR="00AC7CED">
        <w:t>medicīniskā</w:t>
      </w:r>
      <w:r>
        <w:t>s</w:t>
      </w:r>
      <w:r w:rsidR="00AC7CED">
        <w:t xml:space="preserve"> palīdzība</w:t>
      </w:r>
      <w:r>
        <w:t>s dienests</w:t>
      </w:r>
      <w:r w:rsidR="00AC7CED">
        <w:t xml:space="preserve">, bet policijas darbinieki – </w:t>
      </w:r>
      <w:r>
        <w:t xml:space="preserve">izsaukti </w:t>
      </w:r>
      <w:r w:rsidR="00AC7CED">
        <w:t>tikai pēc nepilnas stundas. Šajā laikā, iespējams, tika slēptas nozieguma pēdas</w:t>
      </w:r>
      <w:r w:rsidR="00117111">
        <w:t>, par ko lie</w:t>
      </w:r>
      <w:r w:rsidR="000A2D86">
        <w:t>cina</w:t>
      </w:r>
      <w:r w:rsidR="00117111">
        <w:t xml:space="preserve"> </w:t>
      </w:r>
      <w:r w:rsidR="00221839">
        <w:t>[pers. G]</w:t>
      </w:r>
      <w:r w:rsidR="000A2D86">
        <w:t xml:space="preserve"> stāstītais</w:t>
      </w:r>
      <w:r w:rsidR="00117111">
        <w:t>.</w:t>
      </w:r>
      <w:r w:rsidR="000A2D86">
        <w:t xml:space="preserve"> </w:t>
      </w:r>
      <w:r>
        <w:t xml:space="preserve">Vienlaikus apelācijas instances tiesa nav izvērtējusi </w:t>
      </w:r>
      <w:r w:rsidR="000A2D86">
        <w:t xml:space="preserve">pretrunas liecinieku </w:t>
      </w:r>
      <w:r w:rsidR="00221839">
        <w:t>[pers. C]</w:t>
      </w:r>
      <w:r w:rsidR="000A2D86">
        <w:t xml:space="preserve"> un </w:t>
      </w:r>
      <w:r w:rsidR="00221839">
        <w:t>[pers. D]</w:t>
      </w:r>
      <w:r w:rsidR="000A2D86">
        <w:t xml:space="preserve"> liecībās.</w:t>
      </w:r>
    </w:p>
    <w:p w14:paraId="2B06E828" w14:textId="40006BA9" w:rsidR="00117111" w:rsidRDefault="000A2D86" w:rsidP="00455A63">
      <w:pPr>
        <w:pStyle w:val="NormalWeb"/>
        <w:widowControl w:val="0"/>
        <w:shd w:val="clear" w:color="auto" w:fill="FFFFFF"/>
        <w:spacing w:before="0" w:beforeAutospacing="0" w:after="0" w:afterAutospacing="0" w:line="276" w:lineRule="auto"/>
        <w:ind w:firstLine="720"/>
        <w:jc w:val="both"/>
      </w:pPr>
      <w:r>
        <w:t>Apelācijas instances tiesa</w:t>
      </w:r>
      <w:r w:rsidR="00117111">
        <w:t xml:space="preserve"> k</w:t>
      </w:r>
      <w:r w:rsidR="00F95588">
        <w:t xml:space="preserve">ā pierādījumu izmantojusi </w:t>
      </w:r>
      <w:r w:rsidR="00C62A81">
        <w:t xml:space="preserve">apsūdzētā </w:t>
      </w:r>
      <w:r w:rsidR="00221839">
        <w:t>[pers. A]</w:t>
      </w:r>
      <w:r w:rsidR="00C62A81">
        <w:t xml:space="preserve"> </w:t>
      </w:r>
      <w:r w:rsidR="00F95588">
        <w:t xml:space="preserve">2017. gada 17. decembrī sniegtās liecības, </w:t>
      </w:r>
      <w:r w:rsidR="00117111">
        <w:t>k</w:t>
      </w:r>
      <w:r w:rsidR="00C62A81">
        <w:t>uras</w:t>
      </w:r>
      <w:r w:rsidR="00117111">
        <w:t xml:space="preserve"> iegūtas, pārkāpjot Kriminālprocesa likuma 130. pantā noteikto</w:t>
      </w:r>
      <w:r w:rsidR="00317EF7">
        <w:t>, proti,</w:t>
      </w:r>
      <w:r w:rsidR="00117111">
        <w:t xml:space="preserve"> </w:t>
      </w:r>
      <w:r w:rsidR="00C62A81">
        <w:t xml:space="preserve">apsūdzētā </w:t>
      </w:r>
      <w:r w:rsidR="00117111">
        <w:t xml:space="preserve">nopratināšanā </w:t>
      </w:r>
      <w:r w:rsidR="00F95588">
        <w:t xml:space="preserve">piedalījušies vairāki policijas darbinieki, radot viņam psiholoģisku spiedienu. Turklāt pārkāptas </w:t>
      </w:r>
      <w:r w:rsidR="00C62A81">
        <w:t xml:space="preserve">apsūdzētā </w:t>
      </w:r>
      <w:r w:rsidR="00F95588">
        <w:t>tiesības pilnvērtīgi īstenot aizstāvību, jo pēc nopratināšanas viņš nav iepazīstināts ar protokola saturu.</w:t>
      </w:r>
    </w:p>
    <w:p w14:paraId="72CA80E0" w14:textId="55ABEF8A" w:rsidR="00CE782D" w:rsidRDefault="00317EF7" w:rsidP="00455A63">
      <w:pPr>
        <w:pStyle w:val="NormalWeb"/>
        <w:widowControl w:val="0"/>
        <w:shd w:val="clear" w:color="auto" w:fill="FFFFFF"/>
        <w:spacing w:before="0" w:beforeAutospacing="0" w:after="0" w:afterAutospacing="0" w:line="276" w:lineRule="auto"/>
        <w:ind w:firstLine="720"/>
        <w:jc w:val="both"/>
      </w:pPr>
      <w:r>
        <w:t xml:space="preserve">Tiesa nav ņēmusi vērā </w:t>
      </w:r>
      <w:r w:rsidR="00C62A81">
        <w:t>to</w:t>
      </w:r>
      <w:r>
        <w:t xml:space="preserve">, ka </w:t>
      </w:r>
      <w:r w:rsidR="00C62A81">
        <w:t xml:space="preserve">lieciniece </w:t>
      </w:r>
      <w:r w:rsidR="00221839">
        <w:t>[pers. C]</w:t>
      </w:r>
      <w:r>
        <w:t xml:space="preserve"> atteicās no poligrāfa ekspertīzes. Savukārt liecinieka </w:t>
      </w:r>
      <w:r w:rsidR="00221839">
        <w:t>[pers. D]</w:t>
      </w:r>
      <w:r>
        <w:t xml:space="preserve"> liecības netika pārbaudītas, lai gan viņš piekrita poligrāfa ekspertīzei. </w:t>
      </w:r>
      <w:r w:rsidR="00C62A81">
        <w:t>Turklāt t</w:t>
      </w:r>
      <w:r w:rsidR="00B04A40">
        <w:t xml:space="preserve">iesa </w:t>
      </w:r>
      <w:r w:rsidR="008653F8">
        <w:t>noraidīj</w:t>
      </w:r>
      <w:r w:rsidR="00B04A40">
        <w:t>usi</w:t>
      </w:r>
      <w:r w:rsidR="008653F8">
        <w:t xml:space="preserve"> </w:t>
      </w:r>
      <w:r w:rsidR="00C62A81">
        <w:t xml:space="preserve">aizstāvības </w:t>
      </w:r>
      <w:r w:rsidR="008653F8">
        <w:t xml:space="preserve">lūgumu pieprasīt un pievienot lietas materiāliem </w:t>
      </w:r>
      <w:r w:rsidR="00C62A81">
        <w:t xml:space="preserve">pierādījumus, kas satur </w:t>
      </w:r>
      <w:r w:rsidR="00221839">
        <w:t>[pers. C]</w:t>
      </w:r>
      <w:r w:rsidR="008653F8">
        <w:t xml:space="preserve"> raksturojoš</w:t>
      </w:r>
      <w:r w:rsidR="00C62A81">
        <w:t>as</w:t>
      </w:r>
      <w:r w:rsidR="008653F8">
        <w:t xml:space="preserve"> </w:t>
      </w:r>
      <w:r w:rsidR="00C62A81">
        <w:t xml:space="preserve">ziņas </w:t>
      </w:r>
      <w:r w:rsidR="008653F8">
        <w:t xml:space="preserve">– </w:t>
      </w:r>
      <w:r w:rsidR="00C62A81">
        <w:t xml:space="preserve">tiesas </w:t>
      </w:r>
      <w:r w:rsidR="008653F8">
        <w:t xml:space="preserve">spriedumu, ar kuru </w:t>
      </w:r>
      <w:r w:rsidR="00221839">
        <w:t>[pers. C]</w:t>
      </w:r>
      <w:r w:rsidR="00C62A81">
        <w:t xml:space="preserve"> </w:t>
      </w:r>
      <w:r w:rsidR="008653F8">
        <w:t>atzīta par vainīgu un sodīta par vīra</w:t>
      </w:r>
      <w:r w:rsidR="00F95588">
        <w:t xml:space="preserve"> </w:t>
      </w:r>
      <w:r w:rsidR="008653F8">
        <w:t>slepkavību.</w:t>
      </w:r>
    </w:p>
    <w:p w14:paraId="69768C6F" w14:textId="679F6561" w:rsidR="004D6C3D" w:rsidRDefault="003363F9" w:rsidP="00455A63">
      <w:pPr>
        <w:pStyle w:val="NormalWeb"/>
        <w:widowControl w:val="0"/>
        <w:shd w:val="clear" w:color="auto" w:fill="FFFFFF"/>
        <w:spacing w:before="0" w:beforeAutospacing="0" w:after="0" w:afterAutospacing="0" w:line="276" w:lineRule="auto"/>
        <w:ind w:firstLine="720"/>
        <w:jc w:val="both"/>
      </w:pPr>
      <w:r>
        <w:t xml:space="preserve">[4.2] Apelācijas instances tiesa, nosakot </w:t>
      </w:r>
      <w:r w:rsidR="00C62A81">
        <w:t xml:space="preserve">apsūdzētajam </w:t>
      </w:r>
      <w:r w:rsidR="00221839">
        <w:t>[pers. A]</w:t>
      </w:r>
      <w:r w:rsidR="00C62A81">
        <w:t xml:space="preserve"> </w:t>
      </w:r>
      <w:r>
        <w:t xml:space="preserve">sodu, nav ievērojusi Krimināllikuma 46. pantā </w:t>
      </w:r>
      <w:r w:rsidR="001D415A">
        <w:t>reglamentētos</w:t>
      </w:r>
      <w:r>
        <w:t xml:space="preserve"> sod</w:t>
      </w:r>
      <w:r w:rsidR="00C62A81">
        <w:t>a</w:t>
      </w:r>
      <w:r>
        <w:t xml:space="preserve"> noteikšanas vispārīgos principus. </w:t>
      </w:r>
      <w:r w:rsidR="00163DD0">
        <w:t>Tiesa</w:t>
      </w:r>
      <w:r>
        <w:t xml:space="preserve"> </w:t>
      </w:r>
      <w:r w:rsidR="00F844AE">
        <w:t>pretēji</w:t>
      </w:r>
      <w:r w:rsidR="001D415A">
        <w:t xml:space="preserve"> Krimināllikuma 47. panta pirmās daļas 5. punkt</w:t>
      </w:r>
      <w:r w:rsidR="00F844AE">
        <w:t>am</w:t>
      </w:r>
      <w:r w:rsidR="001D415A">
        <w:t xml:space="preserve"> nepamatoti </w:t>
      </w:r>
      <w:r>
        <w:t xml:space="preserve">nav </w:t>
      </w:r>
      <w:r w:rsidR="00F844AE">
        <w:t>konstatējusi apsūdzētā</w:t>
      </w:r>
      <w:r>
        <w:t xml:space="preserve"> atbildību mīkstinošo apstākli </w:t>
      </w:r>
      <w:r w:rsidR="00F844AE">
        <w:t xml:space="preserve">– mirušā </w:t>
      </w:r>
      <w:r w:rsidR="00221839">
        <w:t>[pers. B]</w:t>
      </w:r>
      <w:r w:rsidR="00001B8A">
        <w:t xml:space="preserve"> uzvedību</w:t>
      </w:r>
      <w:r w:rsidR="00163DD0">
        <w:t>,</w:t>
      </w:r>
      <w:r w:rsidR="00001B8A">
        <w:t xml:space="preserve"> nievājoši izsakoties par </w:t>
      </w:r>
      <w:r w:rsidR="00F844AE">
        <w:t xml:space="preserve">apsūdzētā </w:t>
      </w:r>
      <w:r w:rsidR="00001B8A">
        <w:t>tautību.</w:t>
      </w:r>
    </w:p>
    <w:p w14:paraId="335254BD" w14:textId="07358E39" w:rsidR="00F224C6" w:rsidRDefault="00001B8A" w:rsidP="00455A63">
      <w:pPr>
        <w:pStyle w:val="NormalWeb"/>
        <w:widowControl w:val="0"/>
        <w:shd w:val="clear" w:color="auto" w:fill="FFFFFF"/>
        <w:spacing w:before="0" w:beforeAutospacing="0" w:after="0" w:afterAutospacing="0" w:line="276" w:lineRule="auto"/>
        <w:ind w:firstLine="720"/>
        <w:jc w:val="both"/>
      </w:pPr>
      <w:r>
        <w:t>[4.3] </w:t>
      </w:r>
      <w:r w:rsidR="005C60AD">
        <w:t>Spriedumā</w:t>
      </w:r>
      <w:r w:rsidR="004F6753">
        <w:t xml:space="preserve"> atsaucoties uz Kriminālprocesa likuma 321.</w:t>
      </w:r>
      <w:r w:rsidR="004F6753">
        <w:rPr>
          <w:vertAlign w:val="superscript"/>
        </w:rPr>
        <w:t>1</w:t>
      </w:r>
      <w:r w:rsidR="004F6753" w:rsidRPr="00C365CD">
        <w:t> </w:t>
      </w:r>
      <w:r w:rsidR="004F6753">
        <w:t>panta piekto daļu,</w:t>
      </w:r>
      <w:r w:rsidR="005C60AD">
        <w:t xml:space="preserve"> </w:t>
      </w:r>
      <w:r w:rsidR="004F6753">
        <w:t xml:space="preserve">tiesa </w:t>
      </w:r>
      <w:r w:rsidR="005C60AD">
        <w:t>kļūdaini norādī</w:t>
      </w:r>
      <w:r w:rsidR="004F6753">
        <w:t>jusi</w:t>
      </w:r>
      <w:r w:rsidR="005C60AD">
        <w:t xml:space="preserve">, ka apsūdzētais, kurš atrodas apcietinājumā, </w:t>
      </w:r>
      <w:r w:rsidR="004F6753">
        <w:t xml:space="preserve">tiesas nolēmumu </w:t>
      </w:r>
      <w:r w:rsidR="005C60AD">
        <w:t xml:space="preserve">var pārsūdzēt 10 dienu laikā no tā saņemšanas </w:t>
      </w:r>
      <w:r w:rsidR="004F6753">
        <w:t>dienas.</w:t>
      </w:r>
    </w:p>
    <w:p w14:paraId="54314110" w14:textId="77777777" w:rsidR="00B47F7B" w:rsidRPr="00AC5695" w:rsidRDefault="00B47F7B" w:rsidP="00455A63">
      <w:pPr>
        <w:pStyle w:val="NormalWeb"/>
        <w:widowControl w:val="0"/>
        <w:shd w:val="clear" w:color="auto" w:fill="FFFFFF"/>
        <w:spacing w:before="0" w:beforeAutospacing="0" w:after="0" w:afterAutospacing="0" w:line="276" w:lineRule="auto"/>
        <w:ind w:firstLine="720"/>
        <w:jc w:val="both"/>
      </w:pPr>
    </w:p>
    <w:p w14:paraId="286B1316" w14:textId="28D4F6FA" w:rsidR="00B47F7B" w:rsidRPr="00AC5695" w:rsidRDefault="00B47F7B" w:rsidP="00455A63">
      <w:pPr>
        <w:pStyle w:val="NormalWeb"/>
        <w:widowControl w:val="0"/>
        <w:shd w:val="clear" w:color="auto" w:fill="FFFFFF"/>
        <w:spacing w:before="0" w:beforeAutospacing="0" w:after="0" w:afterAutospacing="0" w:line="276" w:lineRule="auto"/>
        <w:ind w:firstLine="720"/>
        <w:jc w:val="both"/>
      </w:pPr>
      <w:r w:rsidRPr="00AC5695">
        <w:t>[5] Apsūdzēt</w:t>
      </w:r>
      <w:r w:rsidR="006E231E">
        <w:t>ā</w:t>
      </w:r>
      <w:r w:rsidRPr="00AC5695">
        <w:t xml:space="preserve"> </w:t>
      </w:r>
      <w:r w:rsidR="00221839">
        <w:t>[pers. A]</w:t>
      </w:r>
      <w:r w:rsidR="006E231E">
        <w:t xml:space="preserve"> aizstāvis V. </w:t>
      </w:r>
      <w:proofErr w:type="spellStart"/>
      <w:r w:rsidR="006E231E">
        <w:t>Platpirs</w:t>
      </w:r>
      <w:proofErr w:type="spellEnd"/>
      <w:r w:rsidRPr="00AC5695">
        <w:t xml:space="preserve"> kasācijas sūdzībā lūdzis atcelt</w:t>
      </w:r>
      <w:r w:rsidR="007F18D5">
        <w:t xml:space="preserve"> </w:t>
      </w:r>
      <w:r w:rsidRPr="00AC5695">
        <w:t xml:space="preserve">apelācijas instances tiesas </w:t>
      </w:r>
      <w:r w:rsidR="006E231E">
        <w:t>spried</w:t>
      </w:r>
      <w:r w:rsidRPr="00AC5695">
        <w:t>umu</w:t>
      </w:r>
      <w:proofErr w:type="gramStart"/>
      <w:r w:rsidR="004F6753">
        <w:t xml:space="preserve"> </w:t>
      </w:r>
      <w:r w:rsidR="006E231E">
        <w:t>un</w:t>
      </w:r>
      <w:proofErr w:type="gramEnd"/>
      <w:r w:rsidR="006E231E">
        <w:t xml:space="preserve"> nosūtīt lietu jaunai izskatīšanai</w:t>
      </w:r>
      <w:r w:rsidR="00F76A2F">
        <w:t xml:space="preserve"> </w:t>
      </w:r>
      <w:r w:rsidR="00E25FDB">
        <w:t xml:space="preserve">apelācijas instances </w:t>
      </w:r>
      <w:r w:rsidR="00E25FDB">
        <w:lastRenderedPageBreak/>
        <w:t xml:space="preserve">tiesā </w:t>
      </w:r>
      <w:r w:rsidR="00F76A2F">
        <w:t xml:space="preserve">sakarā ar </w:t>
      </w:r>
      <w:r w:rsidR="004D6C3D">
        <w:t xml:space="preserve">tiesas </w:t>
      </w:r>
      <w:r w:rsidR="00F76A2F">
        <w:t>pieļautajiem Kriminālprocesa likuma 5</w:t>
      </w:r>
      <w:r w:rsidR="00CC3433">
        <w:t>11.,</w:t>
      </w:r>
      <w:r w:rsidR="00F76A2F">
        <w:t xml:space="preserve"> 512.</w:t>
      </w:r>
      <w:r w:rsidR="004D6C3D">
        <w:t> panta</w:t>
      </w:r>
      <w:r w:rsidR="00F76A2F">
        <w:t xml:space="preserve"> un 564. panta ceturtās daļas pārkāpumiem, kas atzīstami par Kriminālprocesa likuma būtisk</w:t>
      </w:r>
      <w:r w:rsidR="001D415A">
        <w:t>iem</w:t>
      </w:r>
      <w:r w:rsidR="00F76A2F">
        <w:t xml:space="preserve"> pārkāpum</w:t>
      </w:r>
      <w:r w:rsidR="001D415A">
        <w:t>iem</w:t>
      </w:r>
      <w:r w:rsidR="00F76A2F">
        <w:t xml:space="preserve"> šā likuma 575. panta trešās daļas izpratnē</w:t>
      </w:r>
      <w:r w:rsidR="00ED0BD1" w:rsidRPr="00AC5695">
        <w:t>.</w:t>
      </w:r>
    </w:p>
    <w:p w14:paraId="3AE627E0" w14:textId="088B6419" w:rsidR="00163DD0" w:rsidRDefault="00163DD0" w:rsidP="00455A63">
      <w:pPr>
        <w:widowControl w:val="0"/>
        <w:spacing w:line="276" w:lineRule="auto"/>
        <w:ind w:firstLine="720"/>
        <w:jc w:val="both"/>
      </w:pPr>
      <w:r w:rsidRPr="00AC5695">
        <w:t>Kasācijas sūdzīb</w:t>
      </w:r>
      <w:r w:rsidR="004D6C3D">
        <w:t>a</w:t>
      </w:r>
      <w:r w:rsidRPr="00AC5695">
        <w:t xml:space="preserve"> pamato</w:t>
      </w:r>
      <w:r w:rsidR="004D6C3D">
        <w:t>ta</w:t>
      </w:r>
      <w:r w:rsidRPr="00AC5695">
        <w:t xml:space="preserve"> ar turpmāk norādītajiem argumentiem.</w:t>
      </w:r>
    </w:p>
    <w:p w14:paraId="45D67A24" w14:textId="6DA05FE6" w:rsidR="00163DD0" w:rsidRDefault="00163DD0" w:rsidP="00455A63">
      <w:pPr>
        <w:widowControl w:val="0"/>
        <w:spacing w:line="276" w:lineRule="auto"/>
        <w:ind w:firstLine="720"/>
        <w:jc w:val="both"/>
      </w:pPr>
      <w:r>
        <w:t>[5.1] </w:t>
      </w:r>
      <w:r w:rsidR="00F600AA">
        <w:t xml:space="preserve">Apsūdzētais </w:t>
      </w:r>
      <w:r w:rsidR="00221839">
        <w:t>[pers. A]</w:t>
      </w:r>
      <w:r w:rsidR="00F600AA">
        <w:t xml:space="preserve"> nepamatoti atzīts par vainīgu viņam inkriminēt</w:t>
      </w:r>
      <w:r w:rsidR="00D065BF">
        <w:t>ajā</w:t>
      </w:r>
      <w:r w:rsidR="00F600AA">
        <w:t xml:space="preserve"> noziedzīg</w:t>
      </w:r>
      <w:r w:rsidR="00D065BF">
        <w:t>ajā</w:t>
      </w:r>
      <w:r w:rsidR="00F600AA">
        <w:t xml:space="preserve"> nodarījumā.</w:t>
      </w:r>
    </w:p>
    <w:p w14:paraId="18FE9306" w14:textId="3343024F" w:rsidR="00471ED2" w:rsidRDefault="0027510C" w:rsidP="00455A63">
      <w:pPr>
        <w:widowControl w:val="0"/>
        <w:spacing w:line="276" w:lineRule="auto"/>
        <w:ind w:firstLine="720"/>
        <w:jc w:val="both"/>
      </w:pPr>
      <w:r>
        <w:t xml:space="preserve">Apelācijas instances tiesa pamatojusi spriedumu </w:t>
      </w:r>
      <w:r w:rsidR="00B9284A">
        <w:t xml:space="preserve">vienīgi ar apsūdzību apstiprinošām </w:t>
      </w:r>
      <w:r>
        <w:t>liecinieku</w:t>
      </w:r>
      <w:r w:rsidR="00833531">
        <w:t xml:space="preserve">, tajā skaitā liecinieka </w:t>
      </w:r>
      <w:r w:rsidR="00221839">
        <w:t>[pers. D]</w:t>
      </w:r>
      <w:r w:rsidR="00833531">
        <w:t xml:space="preserve"> alkohola reibumā sniegtajām</w:t>
      </w:r>
      <w:r w:rsidR="00833531" w:rsidRPr="0002710F">
        <w:t>,</w:t>
      </w:r>
      <w:r>
        <w:t xml:space="preserve"> liecībām, neizvērtējot </w:t>
      </w:r>
      <w:r w:rsidR="008044F1">
        <w:t xml:space="preserve">visus lietā iegūtos pierādījumus </w:t>
      </w:r>
      <w:r>
        <w:t>atbilstoši Kriminālprocesa likuma 128. panta otrajā daļā noteiktajam</w:t>
      </w:r>
      <w:r w:rsidR="00833531">
        <w:t xml:space="preserve">. </w:t>
      </w:r>
      <w:r w:rsidR="004D6C3D">
        <w:t>A</w:t>
      </w:r>
      <w:r w:rsidR="00211836">
        <w:t xml:space="preserve">pelācijas instances tiesa </w:t>
      </w:r>
      <w:r w:rsidR="00791D46">
        <w:t xml:space="preserve">nepamatoti </w:t>
      </w:r>
      <w:r w:rsidR="00211836">
        <w:t xml:space="preserve">noraidījusi aizstāvības lūgumu pārbaudīt liecinieka </w:t>
      </w:r>
      <w:r w:rsidR="00221839">
        <w:t>[pers. D]</w:t>
      </w:r>
      <w:r w:rsidR="00211836">
        <w:t xml:space="preserve"> liecību ticamību, nosakot viņam poligrāfa ekspertīzi, </w:t>
      </w:r>
      <w:r w:rsidR="00C31604">
        <w:t>pret kuru</w:t>
      </w:r>
      <w:r w:rsidR="0002710F">
        <w:t xml:space="preserve"> </w:t>
      </w:r>
      <w:r w:rsidR="00791D46">
        <w:t xml:space="preserve">liecinieks </w:t>
      </w:r>
      <w:r w:rsidR="00C31604">
        <w:t xml:space="preserve">nav </w:t>
      </w:r>
      <w:r w:rsidR="00791D46">
        <w:t>neiebild</w:t>
      </w:r>
      <w:r w:rsidR="00C31604">
        <w:t>is</w:t>
      </w:r>
      <w:r w:rsidR="00791D46">
        <w:t xml:space="preserve">, </w:t>
      </w:r>
      <w:r w:rsidR="00211836">
        <w:t xml:space="preserve">kā arī </w:t>
      </w:r>
      <w:r w:rsidR="00791D46">
        <w:t xml:space="preserve">nepamatoti noraidījusi lūgumu </w:t>
      </w:r>
      <w:r w:rsidR="00211836">
        <w:t>pieprasī</w:t>
      </w:r>
      <w:r w:rsidR="00791D46">
        <w:t>t un iepazīties ar</w:t>
      </w:r>
      <w:r w:rsidR="00211836">
        <w:t xml:space="preserve"> lieciniec</w:t>
      </w:r>
      <w:r w:rsidR="00C31604">
        <w:t>i</w:t>
      </w:r>
      <w:r w:rsidR="00211836">
        <w:t xml:space="preserve"> </w:t>
      </w:r>
      <w:r w:rsidR="00221839">
        <w:t>[pers. C]</w:t>
      </w:r>
      <w:r w:rsidR="00211836">
        <w:t xml:space="preserve"> notiesājošo spriedumu</w:t>
      </w:r>
      <w:r w:rsidR="00117A51">
        <w:t xml:space="preserve">. Savukārt </w:t>
      </w:r>
      <w:r w:rsidR="00221839">
        <w:t>[pers. G]</w:t>
      </w:r>
      <w:r w:rsidR="00231A1C">
        <w:t>,</w:t>
      </w:r>
      <w:r w:rsidR="00CC3433">
        <w:t xml:space="preserve"> </w:t>
      </w:r>
      <w:r w:rsidR="00231A1C">
        <w:t>k</w:t>
      </w:r>
      <w:r w:rsidR="00735237">
        <w:t>uram</w:t>
      </w:r>
      <w:r w:rsidR="00231A1C">
        <w:t xml:space="preserve"> nav pamata melot par savas mātes </w:t>
      </w:r>
      <w:r w:rsidR="00221839">
        <w:t>[pers.</w:t>
      </w:r>
      <w:r w:rsidR="00D5362E">
        <w:t> </w:t>
      </w:r>
      <w:r w:rsidR="00221839">
        <w:t>C]</w:t>
      </w:r>
      <w:r w:rsidR="0045480A">
        <w:t xml:space="preserve"> </w:t>
      </w:r>
      <w:r w:rsidR="00231A1C">
        <w:t>darbībām</w:t>
      </w:r>
      <w:r w:rsidR="00735237">
        <w:t xml:space="preserve">, </w:t>
      </w:r>
      <w:r w:rsidR="00833531">
        <w:t>sniegtās ziņas par faktiem</w:t>
      </w:r>
      <w:r w:rsidR="00C31604">
        <w:t xml:space="preserve"> </w:t>
      </w:r>
      <w:r w:rsidR="00735237">
        <w:t>tiesa vispār nav ņēmusi vērā.</w:t>
      </w:r>
      <w:r w:rsidR="00CC2DFE">
        <w:t xml:space="preserve"> </w:t>
      </w:r>
      <w:r w:rsidR="00735237">
        <w:t xml:space="preserve">Apelācijas instances tiesa </w:t>
      </w:r>
      <w:r w:rsidR="00D978A3">
        <w:t>savu atzinumu par apsūdzētā vainīgumu pamat</w:t>
      </w:r>
      <w:r w:rsidR="00735237">
        <w:t xml:space="preserve">ojusi </w:t>
      </w:r>
      <w:r w:rsidR="00D978A3">
        <w:t xml:space="preserve">ar </w:t>
      </w:r>
      <w:r w:rsidR="00735237">
        <w:t xml:space="preserve">liecinieces </w:t>
      </w:r>
      <w:r w:rsidR="00221839">
        <w:t>[pers. E]</w:t>
      </w:r>
      <w:r w:rsidR="00735237">
        <w:t xml:space="preserve"> liecīb</w:t>
      </w:r>
      <w:r w:rsidR="00D978A3">
        <w:t>ām</w:t>
      </w:r>
      <w:r w:rsidR="00735237">
        <w:t xml:space="preserve">, </w:t>
      </w:r>
      <w:r w:rsidR="00D978A3">
        <w:t>kura</w:t>
      </w:r>
      <w:proofErr w:type="gramStart"/>
      <w:r w:rsidR="00D978A3">
        <w:t xml:space="preserve"> </w:t>
      </w:r>
      <w:r w:rsidR="00735237">
        <w:t>par notikušo uzzinājusi</w:t>
      </w:r>
      <w:proofErr w:type="gramEnd"/>
      <w:r w:rsidR="00735237">
        <w:t xml:space="preserve"> pastarpināti no šajā krimināllietā ieinteresētās personas – </w:t>
      </w:r>
      <w:r w:rsidR="008653F8">
        <w:t xml:space="preserve">meitas </w:t>
      </w:r>
      <w:r w:rsidR="00221839">
        <w:t>[pers. C]</w:t>
      </w:r>
      <w:r w:rsidR="00735237">
        <w:t xml:space="preserve">. </w:t>
      </w:r>
      <w:r w:rsidR="00D978A3">
        <w:t>P</w:t>
      </w:r>
      <w:r w:rsidR="00CC2DFE">
        <w:t xml:space="preserve">retēji Kriminālprocesa likuma 128. panta trešajā daļā noteiktajam </w:t>
      </w:r>
      <w:r w:rsidR="00735237">
        <w:t xml:space="preserve">apelācijas instances </w:t>
      </w:r>
      <w:r w:rsidR="004E0B2F">
        <w:t xml:space="preserve">tiesa piešķīrusi </w:t>
      </w:r>
      <w:r w:rsidR="00CC2DFE">
        <w:t>augstāku ticamīb</w:t>
      </w:r>
      <w:r w:rsidR="00D978A3">
        <w:t>u</w:t>
      </w:r>
      <w:r w:rsidR="00735237">
        <w:t xml:space="preserve"> </w:t>
      </w:r>
      <w:r w:rsidR="00F76A2F">
        <w:t xml:space="preserve">apsūdzētā </w:t>
      </w:r>
      <w:r w:rsidR="00221839">
        <w:t>[pers. A]</w:t>
      </w:r>
      <w:r w:rsidR="00F76A2F">
        <w:t xml:space="preserve"> </w:t>
      </w:r>
      <w:r w:rsidR="009E31D8">
        <w:t>poligrāfa ekspertīzes eksperta atzinumā secinātajam</w:t>
      </w:r>
      <w:r w:rsidR="00735237">
        <w:t xml:space="preserve">, </w:t>
      </w:r>
      <w:proofErr w:type="gramStart"/>
      <w:r w:rsidR="00735237">
        <w:t xml:space="preserve">neizvērtējot šo pierādījumu </w:t>
      </w:r>
      <w:r w:rsidR="00D978A3">
        <w:t xml:space="preserve">kopumā un </w:t>
      </w:r>
      <w:r w:rsidR="00735237">
        <w:t xml:space="preserve">savstarpējā sakarībā ar citiem lietā iegūtajiem pierādījumiem, </w:t>
      </w:r>
      <w:r w:rsidR="00D978A3">
        <w:t>kā arī ignorējot</w:t>
      </w:r>
      <w:r w:rsidR="00735237">
        <w:t xml:space="preserve"> </w:t>
      </w:r>
      <w:r w:rsidR="00D978A3">
        <w:t xml:space="preserve">poligrāfa </w:t>
      </w:r>
      <w:r w:rsidR="00735237">
        <w:t>ekspertīzes laikā</w:t>
      </w:r>
      <w:proofErr w:type="gramEnd"/>
      <w:r w:rsidR="00735237">
        <w:t xml:space="preserve"> pieļautos pārkāpumus</w:t>
      </w:r>
      <w:r w:rsidR="00CC2DFE">
        <w:t>.</w:t>
      </w:r>
      <w:r w:rsidR="004201BF">
        <w:t xml:space="preserve"> </w:t>
      </w:r>
      <w:proofErr w:type="gramStart"/>
      <w:r w:rsidR="00D978A3">
        <w:t>Turklāt a</w:t>
      </w:r>
      <w:r w:rsidR="004201BF">
        <w:t xml:space="preserve">pelācijas instances tiesa nav </w:t>
      </w:r>
      <w:r w:rsidR="00211836">
        <w:t>sniegusi</w:t>
      </w:r>
      <w:proofErr w:type="gramEnd"/>
      <w:r w:rsidR="00211836">
        <w:t xml:space="preserve"> vērtējumu </w:t>
      </w:r>
      <w:r w:rsidR="00CC3433">
        <w:t xml:space="preserve">par </w:t>
      </w:r>
      <w:r w:rsidR="00211836">
        <w:t>pirmās instances tiesas pieļaut</w:t>
      </w:r>
      <w:r w:rsidR="00CC3433">
        <w:t>o</w:t>
      </w:r>
      <w:r w:rsidR="00211836">
        <w:t xml:space="preserve"> Kriminālprocesa likuma 501. panta pirmās daļas 1. un 2. punkta pārkāpum</w:t>
      </w:r>
      <w:r w:rsidR="00CC3433">
        <w:t>u</w:t>
      </w:r>
      <w:r w:rsidR="00211836">
        <w:t xml:space="preserve">, </w:t>
      </w:r>
      <w:r w:rsidR="004D6C3D">
        <w:t xml:space="preserve">bez pamatojuma </w:t>
      </w:r>
      <w:r w:rsidR="00211836">
        <w:t xml:space="preserve">nolasot </w:t>
      </w:r>
      <w:r w:rsidR="00E25FDB">
        <w:t xml:space="preserve">apsūdzētā </w:t>
      </w:r>
      <w:r w:rsidR="00221839">
        <w:t>[pers. A]</w:t>
      </w:r>
      <w:r w:rsidR="00E25FDB">
        <w:t xml:space="preserve"> </w:t>
      </w:r>
      <w:r w:rsidR="00211836">
        <w:t>pirmstiesas kriminālprocesā</w:t>
      </w:r>
      <w:r w:rsidR="00E25FDB">
        <w:t xml:space="preserve"> sniegtās</w:t>
      </w:r>
      <w:r w:rsidR="00211836">
        <w:t xml:space="preserve"> liecības</w:t>
      </w:r>
      <w:r w:rsidR="008653F8">
        <w:t xml:space="preserve">. </w:t>
      </w:r>
      <w:r w:rsidR="00A7534C">
        <w:t xml:space="preserve">Tiesa nav </w:t>
      </w:r>
      <w:r w:rsidR="00D978A3">
        <w:t>izvērtējusi</w:t>
      </w:r>
      <w:r w:rsidR="00A7534C">
        <w:t xml:space="preserve"> arī</w:t>
      </w:r>
      <w:r w:rsidR="00211836">
        <w:t xml:space="preserve"> liecinieces </w:t>
      </w:r>
      <w:r w:rsidR="00221839">
        <w:t>[pers. H]</w:t>
      </w:r>
      <w:r w:rsidR="00211836">
        <w:t xml:space="preserve"> liecībās ietvertā</w:t>
      </w:r>
      <w:r w:rsidR="00D978A3">
        <w:t>s</w:t>
      </w:r>
      <w:r w:rsidR="00211836">
        <w:t xml:space="preserve"> ziņ</w:t>
      </w:r>
      <w:r w:rsidR="00D978A3">
        <w:t>as</w:t>
      </w:r>
      <w:r w:rsidR="00211836">
        <w:t xml:space="preserve"> par faktiem, </w:t>
      </w:r>
      <w:r w:rsidR="00D978A3">
        <w:t>ar kur</w:t>
      </w:r>
      <w:r w:rsidR="00C80130">
        <w:t>ā</w:t>
      </w:r>
      <w:r w:rsidR="00D978A3">
        <w:t xml:space="preserve">m </w:t>
      </w:r>
      <w:r w:rsidR="0045480A">
        <w:t xml:space="preserve">tika </w:t>
      </w:r>
      <w:r w:rsidR="00211836">
        <w:t>pamatot</w:t>
      </w:r>
      <w:r w:rsidR="00D978A3">
        <w:t>a</w:t>
      </w:r>
      <w:r w:rsidR="00211836">
        <w:t xml:space="preserve"> </w:t>
      </w:r>
      <w:r w:rsidR="00A7534C">
        <w:t>speciāl</w:t>
      </w:r>
      <w:r w:rsidR="004D6C3D">
        <w:t>ās</w:t>
      </w:r>
      <w:r w:rsidR="00A7534C">
        <w:t xml:space="preserve"> izmeklēšanas darbības</w:t>
      </w:r>
      <w:r w:rsidR="00211836">
        <w:t xml:space="preserve"> </w:t>
      </w:r>
      <w:r w:rsidR="0045480A">
        <w:t xml:space="preserve">veikšana </w:t>
      </w:r>
      <w:r w:rsidR="00211836">
        <w:t xml:space="preserve">– </w:t>
      </w:r>
      <w:r w:rsidR="00C80130">
        <w:t xml:space="preserve">liecinieku </w:t>
      </w:r>
      <w:r w:rsidR="00221839">
        <w:t>[pers. C]</w:t>
      </w:r>
      <w:r w:rsidR="00A7534C">
        <w:t xml:space="preserve"> un </w:t>
      </w:r>
      <w:r w:rsidR="00221839">
        <w:t>[pers. D]</w:t>
      </w:r>
      <w:r w:rsidR="00A7534C">
        <w:t xml:space="preserve"> </w:t>
      </w:r>
      <w:r w:rsidR="00211836">
        <w:t>telefonsarunu noklausīšan</w:t>
      </w:r>
      <w:r w:rsidR="00C80130">
        <w:t>ā</w:t>
      </w:r>
      <w:r w:rsidR="00211836">
        <w:t>s</w:t>
      </w:r>
      <w:r w:rsidR="00A7534C">
        <w:t>.</w:t>
      </w:r>
    </w:p>
    <w:p w14:paraId="0252C702" w14:textId="63BBAFFC" w:rsidR="00163DD0" w:rsidRPr="00AC5695" w:rsidRDefault="00F76A2F" w:rsidP="00455A63">
      <w:pPr>
        <w:widowControl w:val="0"/>
        <w:spacing w:line="276" w:lineRule="auto"/>
        <w:ind w:firstLine="720"/>
        <w:jc w:val="both"/>
      </w:pPr>
      <w:r>
        <w:t>[5.2] </w:t>
      </w:r>
      <w:r w:rsidR="00117A51">
        <w:t>Apelācijas instances tiesa ir pieļāvusi Krimināllikuma 46. panta otrās daļas pārkāpumu, jo, n</w:t>
      </w:r>
      <w:r>
        <w:t xml:space="preserve">osakot </w:t>
      </w:r>
      <w:r w:rsidR="00221839">
        <w:t>[pers. A]</w:t>
      </w:r>
      <w:r>
        <w:t xml:space="preserve"> sodu, </w:t>
      </w:r>
      <w:r w:rsidR="00117A51">
        <w:t xml:space="preserve">nav izvērtējusi </w:t>
      </w:r>
      <w:r>
        <w:t>visas viņa personību raksturojošās ziņas.</w:t>
      </w:r>
    </w:p>
    <w:p w14:paraId="7DE85F42" w14:textId="77777777" w:rsidR="00B24539" w:rsidRPr="00AC5695" w:rsidRDefault="00B24539" w:rsidP="00455A63">
      <w:pPr>
        <w:pStyle w:val="NormalWeb"/>
        <w:widowControl w:val="0"/>
        <w:shd w:val="clear" w:color="auto" w:fill="FFFFFF"/>
        <w:spacing w:before="0" w:beforeAutospacing="0" w:after="0" w:afterAutospacing="0" w:line="276" w:lineRule="auto"/>
        <w:ind w:firstLine="720"/>
        <w:jc w:val="both"/>
      </w:pPr>
    </w:p>
    <w:p w14:paraId="7DAF7841" w14:textId="77777777" w:rsidR="00447EE6" w:rsidRPr="00AC5695" w:rsidRDefault="00447EE6" w:rsidP="0011719E">
      <w:pPr>
        <w:widowControl w:val="0"/>
        <w:shd w:val="clear" w:color="auto" w:fill="FFFFFF"/>
        <w:spacing w:line="276" w:lineRule="auto"/>
        <w:jc w:val="center"/>
        <w:rPr>
          <w:b/>
        </w:rPr>
      </w:pPr>
      <w:r w:rsidRPr="00AC5695">
        <w:rPr>
          <w:b/>
        </w:rPr>
        <w:t>Motīvu daļa</w:t>
      </w:r>
    </w:p>
    <w:p w14:paraId="79319439" w14:textId="77777777" w:rsidR="00B47F7B" w:rsidRPr="00AC5695" w:rsidRDefault="00B47F7B" w:rsidP="0011719E">
      <w:pPr>
        <w:widowControl w:val="0"/>
        <w:shd w:val="clear" w:color="auto" w:fill="FFFFFF"/>
        <w:spacing w:line="276" w:lineRule="auto"/>
        <w:ind w:firstLine="720"/>
        <w:jc w:val="both"/>
        <w:rPr>
          <w:b/>
        </w:rPr>
      </w:pPr>
    </w:p>
    <w:p w14:paraId="495592AC" w14:textId="5D983667" w:rsidR="00BB2B40" w:rsidRPr="00AC5695" w:rsidRDefault="00BB2B40" w:rsidP="00455A63">
      <w:pPr>
        <w:widowControl w:val="0"/>
        <w:spacing w:line="276" w:lineRule="auto"/>
        <w:ind w:firstLine="720"/>
        <w:jc w:val="both"/>
      </w:pPr>
      <w:r w:rsidRPr="00AC5695">
        <w:t>[</w:t>
      </w:r>
      <w:r w:rsidR="00426634" w:rsidRPr="00AC5695">
        <w:t>6</w:t>
      </w:r>
      <w:r w:rsidRPr="00AC5695">
        <w:t xml:space="preserve">] Senāts atzīst, ka </w:t>
      </w:r>
      <w:r w:rsidR="007E79BC">
        <w:t xml:space="preserve">atbilstoši </w:t>
      </w:r>
      <w:r w:rsidRPr="00AC5695">
        <w:t>Kriminālprocesa likum</w:t>
      </w:r>
      <w:r w:rsidR="007E79BC">
        <w:t>ā noteiktajai kasācijas instances tiesas kompetencei,</w:t>
      </w:r>
      <w:r w:rsidRPr="00AC5695">
        <w:t xml:space="preserve"> </w:t>
      </w:r>
      <w:r w:rsidR="00301525">
        <w:t xml:space="preserve">izskatāmajā lietā </w:t>
      </w:r>
      <w:r w:rsidRPr="00AC5695">
        <w:t>ir sniedzama atbilde</w:t>
      </w:r>
      <w:r w:rsidR="004D6C3D">
        <w:t>,</w:t>
      </w:r>
      <w:r w:rsidR="00C80130">
        <w:t xml:space="preserve"> </w:t>
      </w:r>
      <w:r w:rsidR="00976731" w:rsidRPr="00AC5695">
        <w:t>vai</w:t>
      </w:r>
      <w:r w:rsidR="009C366E">
        <w:t xml:space="preserve"> atzinumus par apsūdzētā </w:t>
      </w:r>
      <w:r w:rsidR="00221839">
        <w:t>[pers. A]</w:t>
      </w:r>
      <w:r w:rsidR="009C366E">
        <w:t xml:space="preserve"> vainīgumu viņam inkriminētajā noziedzīgajā nodarījumā </w:t>
      </w:r>
      <w:r w:rsidR="004D6C3D">
        <w:t xml:space="preserve">apelācijas instances tiesa </w:t>
      </w:r>
      <w:r w:rsidR="009C366E">
        <w:t xml:space="preserve">ir pamatojusi ar pierādījumiem, kas izvērtēti atbilstoši Kriminālprocesa likumā noteiktajām prasībām, un vai apelācijas instances tiesas </w:t>
      </w:r>
      <w:r w:rsidR="00C80130">
        <w:t xml:space="preserve">atzinumi </w:t>
      </w:r>
      <w:r w:rsidR="0075435F">
        <w:t>atbilst Kriminālprocesa likuma 564. panta ceturtā</w:t>
      </w:r>
      <w:r w:rsidR="00C80130">
        <w:t>s</w:t>
      </w:r>
      <w:r w:rsidR="0075435F">
        <w:t xml:space="preserve"> daļ</w:t>
      </w:r>
      <w:r w:rsidR="00C80130">
        <w:t>as</w:t>
      </w:r>
      <w:r w:rsidR="0075435F">
        <w:t xml:space="preserve"> prasībām.</w:t>
      </w:r>
    </w:p>
    <w:p w14:paraId="51A99F14" w14:textId="6B37E470" w:rsidR="006E4879" w:rsidRDefault="001C00CA" w:rsidP="00455A63">
      <w:pPr>
        <w:widowControl w:val="0"/>
        <w:shd w:val="clear" w:color="auto" w:fill="FFFFFF"/>
        <w:spacing w:line="276" w:lineRule="auto"/>
        <w:ind w:firstLine="720"/>
        <w:jc w:val="both"/>
      </w:pPr>
      <w:r>
        <w:t>[6.1] </w:t>
      </w:r>
      <w:r w:rsidR="006E4879" w:rsidRPr="004C50BE">
        <w:t>Kriminālprocesa likuma 511. panta otrā daļa noteic, ka spriedumam jābūt tiesiskam un pamatotam. Spriedums ir tiesisks un pamatots, ja tas atbilst Kriminālprocesa likuma 512. panta nosacījumiem.</w:t>
      </w:r>
      <w:r w:rsidR="006E4879">
        <w:t xml:space="preserve"> </w:t>
      </w:r>
      <w:r w:rsidR="006E4879" w:rsidRPr="004C50BE">
        <w:t xml:space="preserve">Savukārt </w:t>
      </w:r>
      <w:r w:rsidR="00CF2E1C">
        <w:t>p</w:t>
      </w:r>
      <w:r w:rsidR="00CF2E1C" w:rsidRPr="004C50BE">
        <w:t>rasība par sprieduma pamatotību izriet no Kriminālprocesa likuma 564. panta ceturt</w:t>
      </w:r>
      <w:r w:rsidR="00CF2E1C">
        <w:t>ajā daļā noteiktā, proti, ka</w:t>
      </w:r>
      <w:r w:rsidR="006E4879" w:rsidRPr="004C50BE">
        <w:t xml:space="preserve">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551C825B" w14:textId="3978DCCE" w:rsidR="00DC0648" w:rsidRDefault="007A6C99" w:rsidP="00455A63">
      <w:pPr>
        <w:widowControl w:val="0"/>
        <w:spacing w:line="276" w:lineRule="auto"/>
        <w:ind w:firstLine="720"/>
        <w:jc w:val="both"/>
      </w:pPr>
      <w:r>
        <w:t>Kriminālprocesa likuma 564. panta ceturtajā daļā noteiktais</w:t>
      </w:r>
      <w:r w:rsidR="00A7534C">
        <w:t xml:space="preserve"> nozīmē, ka a</w:t>
      </w:r>
      <w:r w:rsidR="00DC0648">
        <w:t xml:space="preserve">pelācijas instances tiesai apelācijas sūdzībā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w:t>
      </w:r>
      <w:r w:rsidR="00C80130">
        <w:t>noregulējumam</w:t>
      </w:r>
      <w:r w:rsidR="00DC0648">
        <w:t>, jāizvērtē un atzinums jāpamato ar likumu, pārbaudītajiem</w:t>
      </w:r>
      <w:r w:rsidR="00A7534C">
        <w:t xml:space="preserve"> un</w:t>
      </w:r>
      <w:r w:rsidR="00DC0648">
        <w:t xml:space="preserve"> novērtētajiem pierādījumiem (</w:t>
      </w:r>
      <w:r w:rsidR="00C80130">
        <w:t xml:space="preserve">sk. </w:t>
      </w:r>
      <w:r w:rsidR="00DC0648">
        <w:rPr>
          <w:i/>
          <w:iCs/>
        </w:rPr>
        <w:t xml:space="preserve">Senāta 2017. gada 10. oktobra lēmums lietā Nr. SKK-532/2017, </w:t>
      </w:r>
      <w:hyperlink r:id="rId9" w:history="1">
        <w:r w:rsidR="00DC0648" w:rsidRPr="00C80130">
          <w:rPr>
            <w:rStyle w:val="Hyperlink"/>
            <w:i/>
            <w:iCs/>
          </w:rPr>
          <w:t>ECLI:LV:AT:2017:1010.15830406610.1.L</w:t>
        </w:r>
      </w:hyperlink>
      <w:r w:rsidR="00DC0648">
        <w:rPr>
          <w:i/>
          <w:iCs/>
        </w:rPr>
        <w:t>, 9.2. punkts</w:t>
      </w:r>
      <w:r w:rsidR="00DC0648">
        <w:t>).</w:t>
      </w:r>
    </w:p>
    <w:p w14:paraId="088B96BD" w14:textId="66514376" w:rsidR="00844116" w:rsidRDefault="00844116" w:rsidP="00455A63">
      <w:pPr>
        <w:widowControl w:val="0"/>
        <w:spacing w:line="276" w:lineRule="auto"/>
        <w:ind w:firstLine="720"/>
        <w:jc w:val="both"/>
        <w:rPr>
          <w:rFonts w:asciiTheme="majorBidi" w:eastAsia="TimesNewRomanPSMT" w:hAnsiTheme="majorBidi" w:cstheme="majorBidi"/>
          <w:color w:val="000000" w:themeColor="text1"/>
          <w:lang w:eastAsia="en-US"/>
        </w:rPr>
      </w:pPr>
      <w:r>
        <w:rPr>
          <w:rFonts w:asciiTheme="majorBidi" w:eastAsia="TimesNewRomanPSMT" w:hAnsiTheme="majorBidi" w:cstheme="majorBidi"/>
          <w:color w:val="000000" w:themeColor="text1"/>
        </w:rPr>
        <w:t>S</w:t>
      </w:r>
      <w:r w:rsidR="007A6C99">
        <w:rPr>
          <w:rFonts w:asciiTheme="majorBidi" w:eastAsia="TimesNewRomanPSMT" w:hAnsiTheme="majorBidi" w:cstheme="majorBidi"/>
          <w:color w:val="000000" w:themeColor="text1"/>
        </w:rPr>
        <w:t>avukārt s</w:t>
      </w:r>
      <w:r>
        <w:rPr>
          <w:rFonts w:asciiTheme="majorBidi" w:eastAsia="TimesNewRomanPSMT" w:hAnsiTheme="majorBidi" w:cstheme="majorBidi"/>
          <w:color w:val="000000" w:themeColor="text1"/>
        </w:rPr>
        <w:t>prieduma pamatotība nozīmē, ka lieta pareizi izspriesta pēc būtības un reizē ar to spriedumā izteiktie tiesas atzinumi un nolēmumi ir pietiekami motivēti, atbilst lietas faktiskajiem apstākļiem, aptver visus lietā izspriežamos jautājumus un ir pamatoti ar pārbaudītiem un spriedumā novērtētiem attiecināmiem, pieļaujamiem un ticamiem pierādījumiem.</w:t>
      </w:r>
    </w:p>
    <w:p w14:paraId="6E228449" w14:textId="13818D38" w:rsidR="00844116" w:rsidRDefault="00844116" w:rsidP="00455A63">
      <w:pPr>
        <w:widowControl w:val="0"/>
        <w:spacing w:line="276" w:lineRule="auto"/>
        <w:ind w:firstLine="720"/>
        <w:jc w:val="both"/>
        <w:rPr>
          <w:rFonts w:asciiTheme="majorBidi" w:eastAsia="Calibri" w:hAnsiTheme="majorBidi" w:cstheme="majorBidi"/>
          <w:i/>
          <w:iCs/>
          <w:color w:val="000000" w:themeColor="text1"/>
        </w:rPr>
      </w:pPr>
      <w:r>
        <w:rPr>
          <w:rFonts w:asciiTheme="majorBidi" w:eastAsia="TimesNewRomanPSMT" w:hAnsiTheme="majorBidi" w:cstheme="majorBidi"/>
          <w:color w:val="000000" w:themeColor="text1"/>
        </w:rPr>
        <w:t>Arī Satversmes tiesa ir atzinusi, ka taisnīga tiesa kā pienācīgs, tiesiskai valstij atbilstošs tiesas process ietver arī tiesības uz motivētu tiesas nolēmumu (</w:t>
      </w:r>
      <w:r>
        <w:rPr>
          <w:rFonts w:asciiTheme="majorBidi" w:hAnsiTheme="majorBidi" w:cstheme="majorBidi"/>
          <w:i/>
          <w:iCs/>
          <w:color w:val="000000" w:themeColor="text1"/>
        </w:rPr>
        <w:t>Satversmes tiesas 2010. gada 17. maija sprieduma lietā Nr. </w:t>
      </w:r>
      <w:hyperlink r:id="rId10" w:anchor="search=" w:history="1">
        <w:r w:rsidRPr="00430802">
          <w:rPr>
            <w:rStyle w:val="Hyperlink"/>
            <w:rFonts w:asciiTheme="majorBidi" w:hAnsiTheme="majorBidi" w:cstheme="majorBidi"/>
            <w:i/>
            <w:iCs/>
          </w:rPr>
          <w:t>2009</w:t>
        </w:r>
        <w:r w:rsidR="00534525">
          <w:rPr>
            <w:rStyle w:val="Hyperlink"/>
            <w:rFonts w:asciiTheme="majorBidi" w:hAnsiTheme="majorBidi" w:cstheme="majorBidi"/>
            <w:i/>
            <w:iCs/>
          </w:rPr>
          <w:noBreakHyphen/>
        </w:r>
        <w:r w:rsidRPr="00430802">
          <w:rPr>
            <w:rStyle w:val="Hyperlink"/>
            <w:rFonts w:asciiTheme="majorBidi" w:hAnsiTheme="majorBidi" w:cstheme="majorBidi"/>
            <w:i/>
            <w:iCs/>
          </w:rPr>
          <w:t>93</w:t>
        </w:r>
        <w:r w:rsidR="00534525">
          <w:rPr>
            <w:rStyle w:val="Hyperlink"/>
            <w:rFonts w:asciiTheme="majorBidi" w:hAnsiTheme="majorBidi" w:cstheme="majorBidi"/>
            <w:i/>
            <w:iCs/>
          </w:rPr>
          <w:noBreakHyphen/>
        </w:r>
        <w:r w:rsidRPr="00430802">
          <w:rPr>
            <w:rStyle w:val="Hyperlink"/>
            <w:rFonts w:asciiTheme="majorBidi" w:hAnsiTheme="majorBidi" w:cstheme="majorBidi"/>
            <w:i/>
            <w:iCs/>
          </w:rPr>
          <w:t>01</w:t>
        </w:r>
      </w:hyperlink>
      <w:r>
        <w:rPr>
          <w:rFonts w:asciiTheme="majorBidi" w:hAnsiTheme="majorBidi" w:cstheme="majorBidi"/>
          <w:i/>
          <w:iCs/>
          <w:color w:val="000000" w:themeColor="text1"/>
        </w:rPr>
        <w:t xml:space="preserve"> 8.3.</w:t>
      </w:r>
      <w:r w:rsidR="0002710F">
        <w:rPr>
          <w:rFonts w:asciiTheme="majorBidi" w:hAnsiTheme="majorBidi" w:cstheme="majorBidi"/>
          <w:i/>
          <w:iCs/>
          <w:color w:val="000000" w:themeColor="text1"/>
        </w:rPr>
        <w:t> </w:t>
      </w:r>
      <w:r>
        <w:rPr>
          <w:rFonts w:asciiTheme="majorBidi" w:hAnsiTheme="majorBidi" w:cstheme="majorBidi"/>
          <w:i/>
          <w:iCs/>
          <w:color w:val="000000" w:themeColor="text1"/>
        </w:rPr>
        <w:t>punkts</w:t>
      </w:r>
      <w:r>
        <w:rPr>
          <w:rFonts w:asciiTheme="majorBidi" w:eastAsia="TimesNewRomanPSMT" w:hAnsiTheme="majorBidi" w:cstheme="majorBidi"/>
          <w:color w:val="000000" w:themeColor="text1"/>
        </w:rPr>
        <w:t>). Motivēta nolēmuma mērķis ir nodrošināt, lai gan lietas dalībnieki, gan sabiedrība varētu saprast, kā tiesa nonākusi pie tieši tāda un ne citāda lietas iznākuma, tādējādi izslēdzot tiesas patvaļas iespējamību (</w:t>
      </w:r>
      <w:r>
        <w:rPr>
          <w:rFonts w:asciiTheme="majorBidi" w:hAnsiTheme="majorBidi" w:cstheme="majorBidi"/>
          <w:i/>
          <w:iCs/>
          <w:color w:val="000000" w:themeColor="text1"/>
        </w:rPr>
        <w:t>Eiropas Cilvēktiesību tiesas 2011. gada 22. februāra sprieduma lietā</w:t>
      </w:r>
      <w:proofErr w:type="gramStart"/>
      <w:r>
        <w:rPr>
          <w:rFonts w:asciiTheme="majorBidi" w:hAnsiTheme="majorBidi" w:cstheme="majorBidi"/>
          <w:i/>
          <w:iCs/>
          <w:color w:val="000000" w:themeColor="text1"/>
        </w:rPr>
        <w:t xml:space="preserve"> ,,</w:t>
      </w:r>
      <w:proofErr w:type="spellStart"/>
      <w:proofErr w:type="gramEnd"/>
      <w:r>
        <w:rPr>
          <w:rFonts w:asciiTheme="majorBidi" w:hAnsiTheme="majorBidi" w:cstheme="majorBidi"/>
          <w:i/>
          <w:iCs/>
          <w:color w:val="000000" w:themeColor="text1"/>
        </w:rPr>
        <w:t>Lalmahomed</w:t>
      </w:r>
      <w:proofErr w:type="spellEnd"/>
      <w:r>
        <w:rPr>
          <w:rFonts w:asciiTheme="majorBidi" w:hAnsiTheme="majorBidi" w:cstheme="majorBidi"/>
          <w:i/>
          <w:iCs/>
          <w:color w:val="000000" w:themeColor="text1"/>
        </w:rPr>
        <w:t xml:space="preserve"> v. </w:t>
      </w:r>
      <w:proofErr w:type="spellStart"/>
      <w:r>
        <w:rPr>
          <w:rFonts w:asciiTheme="majorBidi" w:hAnsiTheme="majorBidi" w:cstheme="majorBidi"/>
          <w:i/>
          <w:iCs/>
          <w:color w:val="000000" w:themeColor="text1"/>
        </w:rPr>
        <w:t>the</w:t>
      </w:r>
      <w:proofErr w:type="spellEnd"/>
      <w:r>
        <w:rPr>
          <w:rFonts w:asciiTheme="majorBidi" w:hAnsiTheme="majorBidi" w:cstheme="majorBidi"/>
          <w:i/>
          <w:iCs/>
          <w:color w:val="000000" w:themeColor="text1"/>
        </w:rPr>
        <w:t xml:space="preserve"> </w:t>
      </w:r>
      <w:proofErr w:type="spellStart"/>
      <w:r>
        <w:rPr>
          <w:rFonts w:asciiTheme="majorBidi" w:hAnsiTheme="majorBidi" w:cstheme="majorBidi"/>
          <w:i/>
          <w:iCs/>
          <w:color w:val="000000" w:themeColor="text1"/>
        </w:rPr>
        <w:t>Netherlands</w:t>
      </w:r>
      <w:proofErr w:type="spellEnd"/>
      <w:r>
        <w:rPr>
          <w:rFonts w:asciiTheme="majorBidi" w:hAnsiTheme="majorBidi" w:cstheme="majorBidi"/>
          <w:i/>
          <w:iCs/>
          <w:color w:val="000000" w:themeColor="text1"/>
        </w:rPr>
        <w:t xml:space="preserve">”, pieteikuma Nr. </w:t>
      </w:r>
      <w:hyperlink r:id="rId11" w:history="1">
        <w:r w:rsidRPr="00430802">
          <w:rPr>
            <w:rStyle w:val="Hyperlink"/>
            <w:rFonts w:asciiTheme="majorBidi" w:hAnsiTheme="majorBidi" w:cstheme="majorBidi"/>
            <w:i/>
            <w:iCs/>
          </w:rPr>
          <w:t>26036/08</w:t>
        </w:r>
      </w:hyperlink>
      <w:r>
        <w:rPr>
          <w:rFonts w:asciiTheme="majorBidi" w:hAnsiTheme="majorBidi" w:cstheme="majorBidi"/>
          <w:i/>
          <w:iCs/>
          <w:color w:val="000000" w:themeColor="text1"/>
        </w:rPr>
        <w:t>, 43.</w:t>
      </w:r>
      <w:r w:rsidR="0002710F">
        <w:rPr>
          <w:rFonts w:asciiTheme="majorBidi" w:hAnsiTheme="majorBidi" w:cstheme="majorBidi"/>
          <w:i/>
          <w:iCs/>
          <w:color w:val="000000" w:themeColor="text1"/>
        </w:rPr>
        <w:t> </w:t>
      </w:r>
      <w:r>
        <w:rPr>
          <w:rFonts w:asciiTheme="majorBidi" w:hAnsiTheme="majorBidi" w:cstheme="majorBidi"/>
          <w:i/>
          <w:iCs/>
          <w:color w:val="000000" w:themeColor="text1"/>
        </w:rPr>
        <w:t>punkts</w:t>
      </w:r>
      <w:r>
        <w:rPr>
          <w:rFonts w:asciiTheme="majorBidi" w:eastAsia="TimesNewRomanPSMT" w:hAnsiTheme="majorBidi" w:cstheme="majorBidi"/>
          <w:color w:val="000000" w:themeColor="text1"/>
        </w:rPr>
        <w:t>)</w:t>
      </w:r>
      <w:r>
        <w:rPr>
          <w:rFonts w:asciiTheme="majorBidi" w:hAnsiTheme="majorBidi" w:cstheme="majorBidi"/>
          <w:i/>
          <w:iCs/>
          <w:color w:val="000000" w:themeColor="text1"/>
        </w:rPr>
        <w:t>.</w:t>
      </w:r>
    </w:p>
    <w:p w14:paraId="1D004CAC" w14:textId="2BFDF050" w:rsidR="00C0128B" w:rsidRDefault="007E79BC" w:rsidP="00455A63">
      <w:pPr>
        <w:widowControl w:val="0"/>
        <w:spacing w:line="276" w:lineRule="auto"/>
        <w:ind w:firstLine="720"/>
        <w:jc w:val="both"/>
      </w:pPr>
      <w:r>
        <w:t xml:space="preserve">Senāts atzīst, ka </w:t>
      </w:r>
      <w:r w:rsidR="00430802">
        <w:t>apelācijas instances</w:t>
      </w:r>
      <w:r>
        <w:t xml:space="preserve"> tiesa</w:t>
      </w:r>
      <w:r w:rsidR="00844116">
        <w:t xml:space="preserve"> nav ievērojusi nedz</w:t>
      </w:r>
      <w:r>
        <w:t xml:space="preserve"> minēt</w:t>
      </w:r>
      <w:r w:rsidR="00844116">
        <w:t>ajās</w:t>
      </w:r>
      <w:r>
        <w:t xml:space="preserve"> procesuālo tiesību norm</w:t>
      </w:r>
      <w:r w:rsidR="00844116">
        <w:t>ās noteikto, nedz</w:t>
      </w:r>
      <w:r>
        <w:t xml:space="preserve"> </w:t>
      </w:r>
      <w:r w:rsidR="007A6C99">
        <w:t xml:space="preserve">Satversmes tiesas, </w:t>
      </w:r>
      <w:r w:rsidR="00844116">
        <w:t>Senāta judikatūrā un Eiropas Cilvēkti</w:t>
      </w:r>
      <w:r w:rsidR="001C00CA">
        <w:t>esību tiesas</w:t>
      </w:r>
      <w:r w:rsidR="00844116">
        <w:t xml:space="preserve"> praksē </w:t>
      </w:r>
      <w:r w:rsidR="001C00CA">
        <w:t>izteiktās atziņas par nolēmum</w:t>
      </w:r>
      <w:r w:rsidR="00A7534C">
        <w:t>a</w:t>
      </w:r>
      <w:r w:rsidR="001C00CA">
        <w:t xml:space="preserve"> motivēšan</w:t>
      </w:r>
      <w:r w:rsidR="00A7534C">
        <w:t>u</w:t>
      </w:r>
      <w:r w:rsidR="001C00CA">
        <w:t xml:space="preserve">. Minēto iemeslu dēļ apelācijas instances tiesas spriedums </w:t>
      </w:r>
      <w:r w:rsidR="007A6C99">
        <w:t xml:space="preserve">ir </w:t>
      </w:r>
      <w:r w:rsidR="001C00CA">
        <w:t>atceļams un lieta nosūtāma jaunai izskatīšanai</w:t>
      </w:r>
      <w:r w:rsidR="00816B76" w:rsidRPr="004C50BE">
        <w:t>.</w:t>
      </w:r>
    </w:p>
    <w:p w14:paraId="11AFC8E7" w14:textId="3A707758" w:rsidR="00EE163A" w:rsidRDefault="001C00CA" w:rsidP="00455A63">
      <w:pPr>
        <w:widowControl w:val="0"/>
        <w:spacing w:line="276" w:lineRule="auto"/>
        <w:ind w:firstLine="720"/>
        <w:jc w:val="both"/>
      </w:pPr>
      <w:r w:rsidRPr="001C00CA">
        <w:t>[6.2] </w:t>
      </w:r>
      <w:r w:rsidR="00EE163A" w:rsidRPr="001C00CA">
        <w:t>Apelācijas</w:t>
      </w:r>
      <w:r w:rsidR="00EE163A">
        <w:t xml:space="preserve"> instances tiesa spriedumā atzinusi, ka apsūdzētā </w:t>
      </w:r>
      <w:r w:rsidR="00221839">
        <w:t>[pers. A]</w:t>
      </w:r>
      <w:r w:rsidR="00EE163A">
        <w:t xml:space="preserve"> vainīgums </w:t>
      </w:r>
      <w:r w:rsidR="00221839">
        <w:t>[pers. B]</w:t>
      </w:r>
      <w:r w:rsidR="00EE163A">
        <w:t xml:space="preserve"> slepkavībā ir pierādīts ar lietā iegūtajiem pierādījumiem.</w:t>
      </w:r>
    </w:p>
    <w:p w14:paraId="18AF53CF" w14:textId="7FAEB42B" w:rsidR="00492800" w:rsidRDefault="00492800" w:rsidP="00455A63">
      <w:pPr>
        <w:widowControl w:val="0"/>
        <w:spacing w:line="276" w:lineRule="auto"/>
        <w:ind w:firstLine="720"/>
        <w:jc w:val="both"/>
      </w:pPr>
      <w:r>
        <w:t>Pierādījumu izvērtēšanas prasības ir noteiktas Kriminālprocesa likuma 127.</w:t>
      </w:r>
      <w:r w:rsidR="00430802">
        <w:t>–</w:t>
      </w:r>
      <w:r>
        <w:t>130. pantā.</w:t>
      </w:r>
    </w:p>
    <w:p w14:paraId="192EE79F" w14:textId="74FD7499" w:rsidR="00492800" w:rsidRDefault="00492800" w:rsidP="00455A63">
      <w:pPr>
        <w:widowControl w:val="0"/>
        <w:spacing w:line="276" w:lineRule="auto"/>
        <w:ind w:firstLine="720"/>
        <w:jc w:val="both"/>
      </w:pPr>
      <w:r>
        <w:t xml:space="preserve">Jebkuru izmeklēšanas darbību rezultātā iegūto ziņu ticamība pārbaudāma </w:t>
      </w:r>
      <w:r w:rsidR="00430802">
        <w:t xml:space="preserve">atbilstoši </w:t>
      </w:r>
      <w:r>
        <w:t xml:space="preserve">Kriminālprocesa likuma 128. panta otrās daļas prasībām – to kopumā un savstarpējā sakarībā ar citiem lietā iegūtajiem pierādījumiem </w:t>
      </w:r>
      <w:proofErr w:type="gramStart"/>
      <w:r>
        <w:t>(</w:t>
      </w:r>
      <w:proofErr w:type="gramEnd"/>
      <w:r w:rsidR="002E20EE">
        <w:t xml:space="preserve">sk. </w:t>
      </w:r>
      <w:r>
        <w:rPr>
          <w:i/>
          <w:iCs/>
        </w:rPr>
        <w:t>Senāta 2019. gada 29. marta lēmuma lietā Nr. SKK</w:t>
      </w:r>
      <w:r w:rsidR="00534525">
        <w:rPr>
          <w:i/>
          <w:iCs/>
        </w:rPr>
        <w:noBreakHyphen/>
      </w:r>
      <w:r>
        <w:rPr>
          <w:i/>
          <w:iCs/>
        </w:rPr>
        <w:t xml:space="preserve">10/2019, </w:t>
      </w:r>
      <w:hyperlink r:id="rId12" w:history="1">
        <w:r w:rsidRPr="00430802">
          <w:rPr>
            <w:rStyle w:val="Hyperlink"/>
            <w:i/>
            <w:iCs/>
          </w:rPr>
          <w:t>ECLI:LV:AT:2019:0329.11100027216.4.L</w:t>
        </w:r>
      </w:hyperlink>
      <w:r>
        <w:rPr>
          <w:i/>
          <w:iCs/>
        </w:rPr>
        <w:t xml:space="preserve">, 5.2.3. punkts, 2021. gada 9. decembra lēmums lietā Nr. SKK-561/2021, </w:t>
      </w:r>
      <w:hyperlink r:id="rId13" w:history="1">
        <w:r w:rsidRPr="00430802">
          <w:rPr>
            <w:rStyle w:val="Hyperlink"/>
            <w:i/>
            <w:iCs/>
          </w:rPr>
          <w:t>ECLI:LV:AT:1209.11354031113.9.L</w:t>
        </w:r>
      </w:hyperlink>
      <w:r>
        <w:rPr>
          <w:i/>
          <w:iCs/>
        </w:rPr>
        <w:t>, 8.3. punkts</w:t>
      </w:r>
      <w:r>
        <w:t>).</w:t>
      </w:r>
    </w:p>
    <w:p w14:paraId="3284EEDD" w14:textId="6D2C44C3" w:rsidR="00896E1E" w:rsidRDefault="00A7534C" w:rsidP="00455A63">
      <w:pPr>
        <w:widowControl w:val="0"/>
        <w:spacing w:line="276" w:lineRule="auto"/>
        <w:ind w:firstLine="720"/>
        <w:jc w:val="both"/>
      </w:pPr>
      <w:r>
        <w:t>Z</w:t>
      </w:r>
      <w:r w:rsidR="00896E1E">
        <w:rPr>
          <w:rFonts w:cs="Minion Pro"/>
          <w:color w:val="000000"/>
        </w:rPr>
        <w:t>iņu izvērtēšana kopsakarā</w:t>
      </w:r>
      <w:r w:rsidR="00896E1E">
        <w:rPr>
          <w:rFonts w:cs="Minion Pro"/>
          <w:b/>
          <w:bCs/>
          <w:color w:val="000000"/>
        </w:rPr>
        <w:t xml:space="preserve"> </w:t>
      </w:r>
      <w:r w:rsidR="00896E1E">
        <w:rPr>
          <w:rFonts w:cs="Minion Pro"/>
          <w:color w:val="000000"/>
        </w:rPr>
        <w:t>nozīmē, ka, lai arī ticamība ir katram individuālam pierādījumam piemītoša pazīme, tomēr to noteikt var tikai</w:t>
      </w:r>
      <w:r w:rsidR="0002710F">
        <w:rPr>
          <w:rFonts w:cs="Minion Pro"/>
          <w:color w:val="000000"/>
        </w:rPr>
        <w:t>,</w:t>
      </w:r>
      <w:r w:rsidR="00896E1E">
        <w:rPr>
          <w:rFonts w:cs="Minion Pro"/>
          <w:color w:val="000000"/>
        </w:rPr>
        <w:t xml:space="preserve"> skatot attiecīgo pierādījumu vienotā </w:t>
      </w:r>
      <w:r w:rsidR="00896E1E">
        <w:rPr>
          <w:rFonts w:cs="Minion Pro"/>
        </w:rPr>
        <w:t xml:space="preserve">sistēmā ar citiem pierādījumiem un vērtējot, kā veidojas to savstarpējās sakarības </w:t>
      </w:r>
      <w:proofErr w:type="gramStart"/>
      <w:r w:rsidR="00896E1E">
        <w:t>(</w:t>
      </w:r>
      <w:proofErr w:type="gramEnd"/>
      <w:r w:rsidR="00896E1E">
        <w:rPr>
          <w:i/>
          <w:iCs/>
        </w:rPr>
        <w:t>Kriminālprocesa likuma komentāri</w:t>
      </w:r>
      <w:r w:rsidR="002E20EE">
        <w:rPr>
          <w:i/>
          <w:iCs/>
        </w:rPr>
        <w:t>.</w:t>
      </w:r>
      <w:r w:rsidR="00896E1E">
        <w:rPr>
          <w:i/>
          <w:iCs/>
        </w:rPr>
        <w:t xml:space="preserve"> A</w:t>
      </w:r>
      <w:r w:rsidR="002E20EE">
        <w:rPr>
          <w:i/>
          <w:iCs/>
        </w:rPr>
        <w:t> </w:t>
      </w:r>
      <w:r w:rsidR="00896E1E">
        <w:rPr>
          <w:i/>
          <w:iCs/>
        </w:rPr>
        <w:t xml:space="preserve">daļa. Zinātniska monogrāfija prof. Kristīnes </w:t>
      </w:r>
      <w:proofErr w:type="spellStart"/>
      <w:r w:rsidR="00896E1E">
        <w:rPr>
          <w:i/>
          <w:iCs/>
        </w:rPr>
        <w:t>Stradas</w:t>
      </w:r>
      <w:proofErr w:type="spellEnd"/>
      <w:r w:rsidR="002E20EE">
        <w:rPr>
          <w:i/>
          <w:iCs/>
        </w:rPr>
        <w:noBreakHyphen/>
      </w:r>
      <w:r w:rsidR="00896E1E">
        <w:rPr>
          <w:i/>
          <w:iCs/>
        </w:rPr>
        <w:t>Rozenbergas zinātniskā redakcijā. Rīga: Latvijas Vēstnesis, 2019, 436.</w:t>
      </w:r>
      <w:r w:rsidR="002E20EE">
        <w:rPr>
          <w:i/>
          <w:iCs/>
        </w:rPr>
        <w:t> </w:t>
      </w:r>
      <w:r w:rsidR="00896E1E">
        <w:rPr>
          <w:i/>
          <w:iCs/>
        </w:rPr>
        <w:t>lpp.</w:t>
      </w:r>
      <w:r w:rsidR="00896E1E">
        <w:t>).</w:t>
      </w:r>
    </w:p>
    <w:p w14:paraId="31F7F237" w14:textId="7C88EDA6" w:rsidR="00B44FD2" w:rsidRPr="00896E1E" w:rsidRDefault="00B44FD2" w:rsidP="00455A63">
      <w:pPr>
        <w:widowControl w:val="0"/>
        <w:spacing w:line="276" w:lineRule="auto"/>
        <w:ind w:firstLine="720"/>
        <w:jc w:val="both"/>
        <w:rPr>
          <w:szCs w:val="22"/>
        </w:rPr>
      </w:pPr>
      <w:r>
        <w:t>Eiropas Cilvēktiesību tiesa ir atzinusi, ka</w:t>
      </w:r>
      <w:r w:rsidR="002E20EE">
        <w:t>,</w:t>
      </w:r>
      <w:r>
        <w:t xml:space="preserve"> ņemot vērā nevainīguma prezumpcijas principu un apsūdzētā tiesības apstrīdēt visus pret viņu vērstos pierādījumus, tiesai ir pilnībā jāpārbauda, vai pierādījumi, kas attiecas uz apsūdzētā vainīgumu, ir attiecināmi un ticami </w:t>
      </w:r>
      <w:proofErr w:type="gramStart"/>
      <w:r>
        <w:t>(</w:t>
      </w:r>
      <w:proofErr w:type="gramEnd"/>
      <w:r>
        <w:rPr>
          <w:i/>
          <w:iCs/>
        </w:rPr>
        <w:t xml:space="preserve">Eiropas Cilvēktiesību tiesas 2019. gada 26. novembra spriedums lietā </w:t>
      </w:r>
      <w:r w:rsidRPr="00B44FD2">
        <w:rPr>
          <w:i/>
          <w:iCs/>
        </w:rPr>
        <w:t>„</w:t>
      </w:r>
      <w:proofErr w:type="spellStart"/>
      <w:r>
        <w:rPr>
          <w:i/>
          <w:iCs/>
        </w:rPr>
        <w:t>Belugin</w:t>
      </w:r>
      <w:proofErr w:type="spellEnd"/>
      <w:r>
        <w:rPr>
          <w:i/>
          <w:iCs/>
        </w:rPr>
        <w:t xml:space="preserve"> v. </w:t>
      </w:r>
      <w:proofErr w:type="spellStart"/>
      <w:r>
        <w:rPr>
          <w:i/>
          <w:iCs/>
        </w:rPr>
        <w:t>Russia</w:t>
      </w:r>
      <w:proofErr w:type="spellEnd"/>
      <w:r>
        <w:rPr>
          <w:i/>
          <w:iCs/>
        </w:rPr>
        <w:t>”, iesnieguma Nr. </w:t>
      </w:r>
      <w:hyperlink r:id="rId14" w:history="1">
        <w:r w:rsidRPr="002E20EE">
          <w:rPr>
            <w:rStyle w:val="Hyperlink"/>
            <w:i/>
            <w:iCs/>
          </w:rPr>
          <w:t>2991/06</w:t>
        </w:r>
      </w:hyperlink>
      <w:r>
        <w:rPr>
          <w:i/>
          <w:iCs/>
        </w:rPr>
        <w:t>, 71. punkts</w:t>
      </w:r>
      <w:r>
        <w:t>).</w:t>
      </w:r>
    </w:p>
    <w:p w14:paraId="2B6AF4C4" w14:textId="02D62154" w:rsidR="00492800" w:rsidRPr="00A7534C" w:rsidRDefault="00492800" w:rsidP="00455A63">
      <w:pPr>
        <w:widowControl w:val="0"/>
        <w:spacing w:line="276" w:lineRule="auto"/>
        <w:ind w:firstLine="720"/>
        <w:jc w:val="both"/>
      </w:pPr>
      <w:r>
        <w:t>S</w:t>
      </w:r>
      <w:r w:rsidR="00A7534C">
        <w:t>avukārt S</w:t>
      </w:r>
      <w:r>
        <w:t xml:space="preserve">enāta judikatūrā ir atzīts – ja starp pierādījumiem ir pretrunas, tiesai spriedumā jāanalizē šo pretrunu iemesli un jānorāda, kādus tiesas sēdē pārbaudītos pierādījumus tā atzinusi par apšaubāmiem un kādu iemeslu dēļ. Gadījumā, ja apsūdzētais sevis aizstāvībai izvirzījis versiju, tiesai spriedumā šī versija rūpīgi jāanalizē un savi secinājumi par tās pamatotību vai nepamatotību jāmotivē. Turklāt visiem tiesas atzinumiem par noziedzīgā nodarījuma apstākļiem, kurus tiesa ietvērusi pierādītā noziedzīgā nodarījuma aprakstā, jābūt pamatotiem ar lietā iegūtajiem pierādījumiem atbilstoši Kriminālprocesa likuma 124. panta piektajā daļā norādītajam pierādīšanas standartam – „saprātīgu šaubu izslēgšana” </w:t>
      </w:r>
      <w:proofErr w:type="gramStart"/>
      <w:r>
        <w:t>(</w:t>
      </w:r>
      <w:proofErr w:type="gramEnd"/>
      <w:r w:rsidRPr="00A00DCE">
        <w:rPr>
          <w:i/>
          <w:iCs/>
        </w:rPr>
        <w:t>S</w:t>
      </w:r>
      <w:r>
        <w:rPr>
          <w:i/>
          <w:iCs/>
        </w:rPr>
        <w:t xml:space="preserve">enāta </w:t>
      </w:r>
      <w:r w:rsidRPr="00753AEB">
        <w:rPr>
          <w:i/>
          <w:iCs/>
        </w:rPr>
        <w:t>2021. gada 26. februāra lēmum</w:t>
      </w:r>
      <w:r>
        <w:rPr>
          <w:i/>
          <w:iCs/>
        </w:rPr>
        <w:t>a</w:t>
      </w:r>
      <w:r w:rsidRPr="00753AEB">
        <w:rPr>
          <w:i/>
          <w:iCs/>
        </w:rPr>
        <w:t xml:space="preserve"> lietā Nr. SKK</w:t>
      </w:r>
      <w:r w:rsidR="00534525">
        <w:rPr>
          <w:i/>
          <w:iCs/>
        </w:rPr>
        <w:noBreakHyphen/>
      </w:r>
      <w:r w:rsidRPr="00753AEB">
        <w:rPr>
          <w:i/>
          <w:iCs/>
        </w:rPr>
        <w:t>4/2021</w:t>
      </w:r>
      <w:r>
        <w:rPr>
          <w:i/>
          <w:iCs/>
        </w:rPr>
        <w:t xml:space="preserve">, </w:t>
      </w:r>
      <w:hyperlink r:id="rId15" w:history="1">
        <w:r w:rsidRPr="002E20EE">
          <w:rPr>
            <w:rStyle w:val="Hyperlink"/>
            <w:i/>
            <w:iCs/>
          </w:rPr>
          <w:t>ECLI:LV:AT:2021:0226.15830014213.11.L</w:t>
        </w:r>
      </w:hyperlink>
      <w:r w:rsidRPr="00A7534C">
        <w:rPr>
          <w:i/>
          <w:iCs/>
        </w:rPr>
        <w:t>, 9.1 punkts</w:t>
      </w:r>
      <w:r w:rsidRPr="00A7534C">
        <w:t>).</w:t>
      </w:r>
    </w:p>
    <w:p w14:paraId="3F204F93" w14:textId="77777777" w:rsidR="00605123" w:rsidRDefault="00605123" w:rsidP="00455A63">
      <w:pPr>
        <w:widowControl w:val="0"/>
        <w:spacing w:line="276" w:lineRule="auto"/>
        <w:ind w:firstLine="720"/>
        <w:jc w:val="both"/>
      </w:pPr>
    </w:p>
    <w:p w14:paraId="0A5213F2" w14:textId="2DB24197" w:rsidR="005144A0" w:rsidRDefault="00754272" w:rsidP="00455A63">
      <w:pPr>
        <w:widowControl w:val="0"/>
        <w:spacing w:line="276" w:lineRule="auto"/>
        <w:ind w:firstLine="720"/>
        <w:jc w:val="both"/>
      </w:pPr>
      <w:r>
        <w:t>[</w:t>
      </w:r>
      <w:r w:rsidR="00605123">
        <w:t>7</w:t>
      </w:r>
      <w:r>
        <w:t>] </w:t>
      </w:r>
      <w:r w:rsidR="00C678CC">
        <w:t>Senāts konstatē, ka apelācijas instances</w:t>
      </w:r>
      <w:r w:rsidR="00C92AD8">
        <w:t xml:space="preserve"> tiesa atcēlusi pirmās instances tiesas spriedumu par apsūdzētā </w:t>
      </w:r>
      <w:r w:rsidR="00221839">
        <w:t>[pers. A]</w:t>
      </w:r>
      <w:r w:rsidR="00C92AD8">
        <w:t xml:space="preserve"> atzīšanu par vainīgu un sodīšanu pēc Krimināllikuma 116. panta sakarā ar</w:t>
      </w:r>
      <w:r w:rsidR="007A6C99">
        <w:t xml:space="preserve"> Kriminālprocesa likuma 131. panta pirmās daļas</w:t>
      </w:r>
      <w:r w:rsidR="00C92AD8">
        <w:t xml:space="preserve"> pārkāpum</w:t>
      </w:r>
      <w:r w:rsidR="007A6C99">
        <w:t>u</w:t>
      </w:r>
      <w:r w:rsidR="00A7534C">
        <w:t xml:space="preserve">, </w:t>
      </w:r>
      <w:r w:rsidR="007A6C99">
        <w:t>kas izpaudies tādējādi, ka</w:t>
      </w:r>
      <w:r w:rsidR="00A7534C">
        <w:t xml:space="preserve"> </w:t>
      </w:r>
      <w:r w:rsidR="00B44FD2">
        <w:t xml:space="preserve">pirmās instances tiesā </w:t>
      </w:r>
      <w:r w:rsidR="00A7534C">
        <w:t xml:space="preserve">apsūdzētā </w:t>
      </w:r>
      <w:r w:rsidR="00221839">
        <w:t>[pers. A]</w:t>
      </w:r>
      <w:r w:rsidR="00A7534C">
        <w:t xml:space="preserve"> iesniegum</w:t>
      </w:r>
      <w:r w:rsidR="00D723FE">
        <w:t>i</w:t>
      </w:r>
      <w:r w:rsidR="003F18E6">
        <w:t xml:space="preserve"> un policijas inspektoru </w:t>
      </w:r>
      <w:r w:rsidR="00221839">
        <w:t>[pers. I]</w:t>
      </w:r>
      <w:r w:rsidR="003F18E6">
        <w:t xml:space="preserve"> un </w:t>
      </w:r>
      <w:r w:rsidR="00221839">
        <w:t>[pers. H]</w:t>
      </w:r>
      <w:r w:rsidR="003F18E6">
        <w:t xml:space="preserve"> ziņojumi pārbaudīti kā rakstveida pierādījumi. Izslēdzot minētos pierādījumus no krimināllietā iegūto pierādījumu kopuma, a</w:t>
      </w:r>
      <w:r w:rsidR="00166F08">
        <w:t>pelācijas instances tiesa vienlaikus atz</w:t>
      </w:r>
      <w:r w:rsidR="003F18E6">
        <w:t>inusi</w:t>
      </w:r>
      <w:r w:rsidR="00166F08">
        <w:t xml:space="preserve">, ka </w:t>
      </w:r>
      <w:r w:rsidR="003F18E6">
        <w:t>pārējo pierādījumu kopums ir pietiekams</w:t>
      </w:r>
      <w:r w:rsidR="00B44FD2">
        <w:t>, lai</w:t>
      </w:r>
      <w:r w:rsidR="003F18E6">
        <w:t xml:space="preserve"> apsūdzēt</w:t>
      </w:r>
      <w:r w:rsidR="00B44FD2">
        <w:t>o</w:t>
      </w:r>
      <w:r w:rsidR="003F18E6">
        <w:t xml:space="preserve"> </w:t>
      </w:r>
      <w:r w:rsidR="00221839">
        <w:t>[pers. A]</w:t>
      </w:r>
      <w:r w:rsidR="003F18E6">
        <w:t xml:space="preserve"> atzī</w:t>
      </w:r>
      <w:r w:rsidR="00B44FD2">
        <w:t>tu</w:t>
      </w:r>
      <w:r w:rsidR="003F18E6">
        <w:t xml:space="preserve"> par vainīgu </w:t>
      </w:r>
      <w:r w:rsidR="00166F08">
        <w:t>Krimināllikuma 116. pantā paredzētajā noziedzīg</w:t>
      </w:r>
      <w:r w:rsidR="00B44FD2">
        <w:t>ajā nodarījumā</w:t>
      </w:r>
      <w:r w:rsidR="00D723FE">
        <w:t xml:space="preserve">. </w:t>
      </w:r>
      <w:r w:rsidR="00925EB4">
        <w:t>Apelācijas instances t</w:t>
      </w:r>
      <w:r w:rsidR="00D723FE">
        <w:t>iesa atzinusi, ka</w:t>
      </w:r>
      <w:r w:rsidR="003F18E6">
        <w:t xml:space="preserve"> </w:t>
      </w:r>
      <w:r w:rsidR="00201898">
        <w:t>„</w:t>
      </w:r>
      <w:r w:rsidR="003F18E6">
        <w:t>apsūdzētā</w:t>
      </w:r>
      <w:r w:rsidR="00D723FE">
        <w:t xml:space="preserve"> </w:t>
      </w:r>
      <w:r w:rsidR="00221839">
        <w:t>[pers. A]</w:t>
      </w:r>
      <w:r w:rsidR="003F18E6">
        <w:t xml:space="preserve"> darbībās</w:t>
      </w:r>
      <w:r w:rsidR="00166F08">
        <w:t xml:space="preserve"> konstatējamas </w:t>
      </w:r>
      <w:r w:rsidR="00D723FE">
        <w:t xml:space="preserve">visas </w:t>
      </w:r>
      <w:r w:rsidR="00166F08">
        <w:t xml:space="preserve">Krimināllikuma 116. pantā paredzētā noziedzīgā nodarījuma sastāva pazīmes, </w:t>
      </w:r>
      <w:r w:rsidR="00201898">
        <w:t xml:space="preserve">tostarp viss objektīvo un subjektīvo pazīmju kopums un </w:t>
      </w:r>
      <w:r w:rsidR="00166F08" w:rsidRPr="00D723FE">
        <w:t>kvalificējošās pazīmes</w:t>
      </w:r>
      <w:r w:rsidR="00201898">
        <w:t>”</w:t>
      </w:r>
      <w:r w:rsidR="00166F08" w:rsidRPr="00D723FE">
        <w:t>.</w:t>
      </w:r>
    </w:p>
    <w:p w14:paraId="67DFD800" w14:textId="1E59E3B0" w:rsidR="00C83B66" w:rsidRDefault="00402F45" w:rsidP="00455A63">
      <w:pPr>
        <w:widowControl w:val="0"/>
        <w:spacing w:line="276" w:lineRule="auto"/>
        <w:ind w:firstLine="720"/>
        <w:jc w:val="both"/>
      </w:pPr>
      <w:r>
        <w:t>Senāts norāda, ka k</w:t>
      </w:r>
      <w:r w:rsidR="00EF1223">
        <w:t>rimināltiesību teorijā</w:t>
      </w:r>
      <w:r w:rsidR="00C83B66">
        <w:t xml:space="preserve"> atkarībā no noziedzīgā nodarījuma kaitīguma smaguma pakāpes izšķir trīs noziedzīgo nodarījumu sastāvu veidus: pamatsastāvu (vienkāršu sastāvu), sastāvu ar nodarījumu pastiprinošiem apstākļiem (kvalificēts, īpaši kvalificēts sastāvs) un sastāvu ar nodarījumu mīkstinošiem apstākļiem (</w:t>
      </w:r>
      <w:r w:rsidR="00EF1223">
        <w:t xml:space="preserve">priviliģēts sastāvs). Pamatsastāvs izsaka konkrēta noziedzīgā nodarījuma būtību, un pamatsastāvu raksturojošie apstākļi ir vienmēr, kad izdarīts attiecīgais noziedzīgais nodarījums </w:t>
      </w:r>
      <w:proofErr w:type="gramStart"/>
      <w:r w:rsidR="00EF1223">
        <w:t>(</w:t>
      </w:r>
      <w:proofErr w:type="gramEnd"/>
      <w:r w:rsidR="00EF1223">
        <w:rPr>
          <w:i/>
          <w:iCs/>
        </w:rPr>
        <w:t>Krastiņš</w:t>
      </w:r>
      <w:r w:rsidR="00210D85">
        <w:rPr>
          <w:i/>
          <w:iCs/>
        </w:rPr>
        <w:t> </w:t>
      </w:r>
      <w:r w:rsidR="00EF1223">
        <w:rPr>
          <w:i/>
          <w:iCs/>
        </w:rPr>
        <w:t>U. Noziedzīgs nodarījums. Rīga: Tiesu namu aģentūra, 2001, 21. lpp.</w:t>
      </w:r>
      <w:r w:rsidR="00EF1223">
        <w:t>).</w:t>
      </w:r>
    </w:p>
    <w:p w14:paraId="06615DEB" w14:textId="7AC0C976" w:rsidR="00EF1223" w:rsidRDefault="00EF1223" w:rsidP="00455A63">
      <w:pPr>
        <w:widowControl w:val="0"/>
        <w:spacing w:line="276" w:lineRule="auto"/>
        <w:ind w:firstLine="720"/>
        <w:jc w:val="both"/>
      </w:pPr>
      <w:r>
        <w:t>Krimināllikuma 116. pantā ir paredzēta atbildība par slepkavību bez pastiprinošiem vai mīkstinošiem apstākļiem, proti, slepkavības pamatsastāvs. Savukārt Krimināllikuma 117. panta un 118. pantā – slepkavības kvalificēts un īpaši kvalificēts sastāvs, Krimināllikuma 119., 120., 121. un 122. pantā – priviliģēti sastāvi.</w:t>
      </w:r>
    </w:p>
    <w:p w14:paraId="2DA3BAEC" w14:textId="47F91715" w:rsidR="002F422A" w:rsidRDefault="002F422A" w:rsidP="00455A63">
      <w:pPr>
        <w:widowControl w:val="0"/>
        <w:spacing w:line="276" w:lineRule="auto"/>
        <w:ind w:firstLine="720"/>
        <w:jc w:val="both"/>
      </w:pPr>
      <w:r>
        <w:t>Tādējādi apelācijas instances tiesa</w:t>
      </w:r>
      <w:r w:rsidR="00402F45">
        <w:t>s spriedumā pausti pretrunīgi secinājumi</w:t>
      </w:r>
      <w:r>
        <w:t xml:space="preserve"> par apsūdzētajam </w:t>
      </w:r>
      <w:r w:rsidR="00221839">
        <w:t>[pers. A]</w:t>
      </w:r>
      <w:r>
        <w:t xml:space="preserve"> inkriminētā noziedzīgā nodarījuma kvalifikāciju.</w:t>
      </w:r>
    </w:p>
    <w:p w14:paraId="62C1BAB7" w14:textId="77777777" w:rsidR="005D1C5C" w:rsidRDefault="005D1C5C" w:rsidP="00455A63">
      <w:pPr>
        <w:widowControl w:val="0"/>
        <w:spacing w:line="276" w:lineRule="auto"/>
        <w:ind w:firstLine="720"/>
        <w:jc w:val="both"/>
      </w:pPr>
    </w:p>
    <w:p w14:paraId="0D7835B2" w14:textId="4E4DC962" w:rsidR="00B31102" w:rsidRDefault="00E22318" w:rsidP="00455A63">
      <w:pPr>
        <w:widowControl w:val="0"/>
        <w:spacing w:line="276" w:lineRule="auto"/>
        <w:ind w:firstLine="720"/>
        <w:jc w:val="both"/>
      </w:pPr>
      <w:r w:rsidRPr="00166F08">
        <w:t>[</w:t>
      </w:r>
      <w:r w:rsidR="00605123">
        <w:t>8</w:t>
      </w:r>
      <w:r w:rsidRPr="00166F08">
        <w:t>]</w:t>
      </w:r>
      <w:r w:rsidR="004B768F">
        <w:t> </w:t>
      </w:r>
      <w:r w:rsidR="00B31102">
        <w:t xml:space="preserve">Senāts atzīst par pamatotu </w:t>
      </w:r>
      <w:r w:rsidR="004B768F">
        <w:t xml:space="preserve">apsūdzētā un viņa aizstāvja </w:t>
      </w:r>
      <w:r w:rsidR="00B31102">
        <w:t xml:space="preserve">kasācijas sūdzībās norādīto, ka apelācijas instances tiesa nav izvērtējusi visus lietā iegūtos pierādījumus, tajā skaitā tos, uz kuriem apelācijas sūdzībā norādījis apsūdzētais </w:t>
      </w:r>
      <w:r w:rsidR="00221839">
        <w:t>[pers. A]</w:t>
      </w:r>
      <w:r w:rsidR="003F0FDF">
        <w:t xml:space="preserve"> un kuros</w:t>
      </w:r>
      <w:r w:rsidR="00B31102">
        <w:t xml:space="preserve"> ietvert</w:t>
      </w:r>
      <w:r w:rsidR="003F0FDF">
        <w:t>a</w:t>
      </w:r>
      <w:r w:rsidR="00B31102">
        <w:t>s ziņas par faktiem, kuriem ir nozīme lietas taisnīgā izspriešanā.</w:t>
      </w:r>
    </w:p>
    <w:p w14:paraId="501CEF36" w14:textId="4978A0FD" w:rsidR="009928BF" w:rsidRDefault="00A52597" w:rsidP="00455A63">
      <w:pPr>
        <w:widowControl w:val="0"/>
        <w:spacing w:line="276" w:lineRule="auto"/>
        <w:ind w:firstLine="720"/>
        <w:jc w:val="both"/>
      </w:pPr>
      <w:r>
        <w:t xml:space="preserve">[8.1] Apelācijas instances tiesa atzinusi, ka apsūdzētā </w:t>
      </w:r>
      <w:r w:rsidR="00221839">
        <w:t>[pers. A]</w:t>
      </w:r>
      <w:r w:rsidR="00B31102">
        <w:t xml:space="preserve"> </w:t>
      </w:r>
      <w:r>
        <w:t xml:space="preserve">vainīgums </w:t>
      </w:r>
      <w:r w:rsidR="00725F81">
        <w:t xml:space="preserve">ir </w:t>
      </w:r>
      <w:r>
        <w:t>pierādīts ar līķa tiesu medicīniskās ekspertīzes</w:t>
      </w:r>
      <w:r w:rsidR="00C72175">
        <w:t xml:space="preserve"> eksperta 201</w:t>
      </w:r>
      <w:r w:rsidR="0052079D">
        <w:t>8</w:t>
      </w:r>
      <w:r w:rsidR="00C72175">
        <w:t>. </w:t>
      </w:r>
      <w:r w:rsidR="00C72175" w:rsidRPr="009931B6">
        <w:t>gada</w:t>
      </w:r>
      <w:r w:rsidR="00C72175">
        <w:t xml:space="preserve"> </w:t>
      </w:r>
      <w:r w:rsidR="0052079D">
        <w:t>6</w:t>
      </w:r>
      <w:r w:rsidR="009931B6">
        <w:t>. </w:t>
      </w:r>
      <w:r w:rsidR="0052079D">
        <w:t xml:space="preserve">februāra </w:t>
      </w:r>
      <w:r>
        <w:t>atzinumā</w:t>
      </w:r>
      <w:r w:rsidR="00C72175">
        <w:t xml:space="preserve"> Nr. 120</w:t>
      </w:r>
      <w:r>
        <w:t xml:space="preserve"> secināto, ka </w:t>
      </w:r>
      <w:r w:rsidR="00221839">
        <w:t>[pers. B]</w:t>
      </w:r>
      <w:r>
        <w:t xml:space="preserve"> nāve varēja iestāties 2017. gada 16. decembrī </w:t>
      </w:r>
      <w:r w:rsidR="00C72175">
        <w:t xml:space="preserve">no </w:t>
      </w:r>
      <w:r>
        <w:t>iekšējo orgānu akūtas mazasinības, kas attīstījās pēc durti</w:t>
      </w:r>
      <w:r w:rsidR="003F0FDF">
        <w:t>–</w:t>
      </w:r>
      <w:r>
        <w:t>grieztas brūces nodarīšanas kakla priekšējā</w:t>
      </w:r>
      <w:r w:rsidR="00C72175">
        <w:t>s</w:t>
      </w:r>
      <w:r>
        <w:t xml:space="preserve"> sānu virsm</w:t>
      </w:r>
      <w:r w:rsidR="00C72175">
        <w:t>as</w:t>
      </w:r>
      <w:r>
        <w:t xml:space="preserve"> kreisajā pusē ar lielo asinsvadu bojājumiem.</w:t>
      </w:r>
      <w:r w:rsidR="00640BAE">
        <w:t xml:space="preserve"> </w:t>
      </w:r>
      <w:r w:rsidR="00925EB4">
        <w:t>P</w:t>
      </w:r>
      <w:r w:rsidR="00640BAE">
        <w:t xml:space="preserve">irmās instances tiesā eksperts </w:t>
      </w:r>
      <w:r w:rsidR="00A56B02">
        <w:t>[pers. J]</w:t>
      </w:r>
      <w:r w:rsidR="00925EB4">
        <w:t xml:space="preserve"> uzturēj</w:t>
      </w:r>
      <w:r w:rsidR="00D42A2E">
        <w:t>is šajā</w:t>
      </w:r>
      <w:r w:rsidR="00925EB4">
        <w:t xml:space="preserve"> atzinumā secināto</w:t>
      </w:r>
      <w:r w:rsidR="00640BAE">
        <w:t>.</w:t>
      </w:r>
    </w:p>
    <w:p w14:paraId="3D5E07F4" w14:textId="6060A5AE" w:rsidR="00776C7C" w:rsidRDefault="00925EB4" w:rsidP="00455A63">
      <w:pPr>
        <w:widowControl w:val="0"/>
        <w:spacing w:line="276" w:lineRule="auto"/>
        <w:ind w:firstLine="720"/>
        <w:jc w:val="both"/>
      </w:pPr>
      <w:r>
        <w:t>Senāts konstatē, ka p</w:t>
      </w:r>
      <w:r w:rsidR="009928BF">
        <w:t xml:space="preserve">retēji spriedumā norādītajam </w:t>
      </w:r>
      <w:r w:rsidR="00C61952">
        <w:t>apsūdzēt</w:t>
      </w:r>
      <w:r w:rsidR="00215F84">
        <w:t>ais</w:t>
      </w:r>
      <w:r w:rsidR="00C61952">
        <w:t xml:space="preserve"> </w:t>
      </w:r>
      <w:r w:rsidR="00A56B02">
        <w:t>[pers. A]</w:t>
      </w:r>
      <w:r w:rsidR="00C61952">
        <w:t xml:space="preserve"> </w:t>
      </w:r>
      <w:r w:rsidR="009928BF">
        <w:t xml:space="preserve">apelācijas sūdzībā </w:t>
      </w:r>
      <w:r w:rsidR="00215F84">
        <w:t>ne</w:t>
      </w:r>
      <w:r w:rsidR="009928BF">
        <w:t>apstrīdē</w:t>
      </w:r>
      <w:r w:rsidR="00215F84">
        <w:t>ja</w:t>
      </w:r>
      <w:r w:rsidR="009928BF">
        <w:t xml:space="preserve"> </w:t>
      </w:r>
      <w:r w:rsidR="00C250EA">
        <w:t xml:space="preserve">ekspertu </w:t>
      </w:r>
      <w:r w:rsidR="009928BF">
        <w:t>atzinumā secināt</w:t>
      </w:r>
      <w:r w:rsidR="00215F84">
        <w:t>o</w:t>
      </w:r>
      <w:r w:rsidR="009928BF">
        <w:t xml:space="preserve"> par </w:t>
      </w:r>
      <w:r w:rsidR="00A56B02">
        <w:t>[pers. B]</w:t>
      </w:r>
      <w:r w:rsidR="00C250EA">
        <w:t xml:space="preserve"> nodarīto smago miesas bojājumu cēloņsakarību ar </w:t>
      </w:r>
      <w:r w:rsidR="00A56B02">
        <w:t>[pers. B]</w:t>
      </w:r>
      <w:r w:rsidR="00B31102">
        <w:t xml:space="preserve"> </w:t>
      </w:r>
      <w:r w:rsidR="009928BF">
        <w:t xml:space="preserve">nāves </w:t>
      </w:r>
      <w:r w:rsidR="00C250EA">
        <w:t>iestāšanos</w:t>
      </w:r>
      <w:r w:rsidR="003741DC">
        <w:t xml:space="preserve">, bet </w:t>
      </w:r>
      <w:r w:rsidR="00C61952">
        <w:t xml:space="preserve">izvirzīja versiju par </w:t>
      </w:r>
      <w:r w:rsidR="001E6FCD">
        <w:t xml:space="preserve">ekspertīzē konstatētā maznozīmīgā miesas bojājuma uz </w:t>
      </w:r>
      <w:r w:rsidR="00A56B02">
        <w:t>[pers. B]</w:t>
      </w:r>
      <w:r w:rsidR="001E6FCD">
        <w:t xml:space="preserve"> labās rokas iespējam</w:t>
      </w:r>
      <w:r w:rsidR="00FE7207">
        <w:t>o</w:t>
      </w:r>
      <w:r w:rsidR="001E6FCD">
        <w:t xml:space="preserve"> rašan</w:t>
      </w:r>
      <w:r w:rsidR="00FE7207">
        <w:t>os</w:t>
      </w:r>
      <w:r w:rsidR="001E6FCD">
        <w:t xml:space="preserve"> </w:t>
      </w:r>
      <w:proofErr w:type="gramStart"/>
      <w:r w:rsidR="00A56B02">
        <w:t>[</w:t>
      </w:r>
      <w:proofErr w:type="gramEnd"/>
      <w:r w:rsidR="00A56B02">
        <w:t>pers. B]</w:t>
      </w:r>
      <w:r w:rsidR="001E6FCD">
        <w:t xml:space="preserve"> un </w:t>
      </w:r>
      <w:r w:rsidR="00A56B02">
        <w:t>[pers. C]</w:t>
      </w:r>
      <w:r w:rsidR="001E6FCD">
        <w:t xml:space="preserve"> strīda laikā</w:t>
      </w:r>
      <w:r w:rsidR="00FE7207">
        <w:t>, norādot uz nepieciešamību izvērtēt šos apstākļus</w:t>
      </w:r>
      <w:r w:rsidR="001E6FCD">
        <w:t>.</w:t>
      </w:r>
      <w:r w:rsidR="00215F84">
        <w:t xml:space="preserve"> Apelācijas instances tiesa šos apsūdzētā </w:t>
      </w:r>
      <w:r w:rsidR="00A56B02">
        <w:t>[pers. A]</w:t>
      </w:r>
      <w:r w:rsidR="00215F84">
        <w:t xml:space="preserve"> apelācijas sūdzību argumentus nav izvērtējusi.</w:t>
      </w:r>
    </w:p>
    <w:p w14:paraId="3195A77E" w14:textId="189F0A27" w:rsidR="00640BAE" w:rsidRDefault="00215F84" w:rsidP="00455A63">
      <w:pPr>
        <w:widowControl w:val="0"/>
        <w:spacing w:line="276" w:lineRule="auto"/>
        <w:ind w:firstLine="720"/>
        <w:jc w:val="both"/>
      </w:pPr>
      <w:r>
        <w:t>Tāpat a</w:t>
      </w:r>
      <w:r w:rsidR="00776C7C">
        <w:t xml:space="preserve">pelācijas instances tiesa nav </w:t>
      </w:r>
      <w:r w:rsidR="00D62C95">
        <w:t>iz</w:t>
      </w:r>
      <w:r w:rsidR="00776C7C">
        <w:t xml:space="preserve">vērtējusi un sniegusi atzinumu par </w:t>
      </w:r>
      <w:r w:rsidR="00BD74F4">
        <w:t xml:space="preserve">komisijas bioloģiskās </w:t>
      </w:r>
      <w:r w:rsidR="003741DC">
        <w:t>(</w:t>
      </w:r>
      <w:r w:rsidR="00BD74F4">
        <w:t>DNS</w:t>
      </w:r>
      <w:r w:rsidR="003741DC">
        <w:t>)</w:t>
      </w:r>
      <w:r w:rsidR="00BD74F4">
        <w:t xml:space="preserve"> </w:t>
      </w:r>
      <w:bookmarkStart w:id="0" w:name="_Hlk150834317"/>
      <w:r w:rsidR="002F7595">
        <w:t xml:space="preserve">ekspertīzes </w:t>
      </w:r>
      <w:r w:rsidR="00BD74F4">
        <w:t>ekspertu 2018. gada 9. aprīļa atzinumā Nr. 1800526</w:t>
      </w:r>
      <w:r w:rsidR="00776C7C">
        <w:t xml:space="preserve"> secināto, ka uz </w:t>
      </w:r>
      <w:r w:rsidR="00A56B02">
        <w:t>[pers. B]</w:t>
      </w:r>
      <w:r w:rsidR="00776C7C">
        <w:t xml:space="preserve"> labās rokas konstatētajā bioloģiskā materiāla sajaukum</w:t>
      </w:r>
      <w:r w:rsidR="005E0ADD">
        <w:t>ā</w:t>
      </w:r>
      <w:r w:rsidR="00776C7C">
        <w:t xml:space="preserve"> nevar izslēgt </w:t>
      </w:r>
      <w:r w:rsidR="00A56B02">
        <w:t>[pers. C]</w:t>
      </w:r>
      <w:r w:rsidR="00776C7C">
        <w:t xml:space="preserve"> bioloģisko materiālu</w:t>
      </w:r>
      <w:bookmarkEnd w:id="0"/>
      <w:r w:rsidR="00D62C95">
        <w:t>,</w:t>
      </w:r>
      <w:r w:rsidR="00725F81">
        <w:t xml:space="preserve"> </w:t>
      </w:r>
      <w:r w:rsidR="00494B82">
        <w:t>kopsakarā</w:t>
      </w:r>
      <w:r w:rsidR="00725F81">
        <w:t xml:space="preserve"> ar ekspertīzē konstatēto maznozīmīgo miesas bojājumu</w:t>
      </w:r>
      <w:r w:rsidR="00776C7C">
        <w:t xml:space="preserve">. </w:t>
      </w:r>
      <w:r w:rsidR="00816DBB">
        <w:t>A</w:t>
      </w:r>
      <w:r w:rsidR="00776C7C">
        <w:t xml:space="preserve">pelācijas instances tiesa </w:t>
      </w:r>
      <w:r w:rsidR="00816DBB">
        <w:t xml:space="preserve">arī </w:t>
      </w:r>
      <w:r w:rsidR="00776C7C">
        <w:t xml:space="preserve">nav izvērtējusi un sniegusi atzinumu </w:t>
      </w:r>
      <w:r w:rsidR="003741DC">
        <w:t xml:space="preserve">saistībā ar </w:t>
      </w:r>
      <w:r w:rsidR="00776C7C">
        <w:t xml:space="preserve">papildus komisijas bioloģiskās (DNS) </w:t>
      </w:r>
      <w:r w:rsidR="003741DC">
        <w:t xml:space="preserve">ekspertīzes </w:t>
      </w:r>
      <w:r w:rsidR="00776C7C">
        <w:t>ekspertu 2018. gada 28. maija atzinumā Nr.</w:t>
      </w:r>
      <w:r w:rsidR="00BD74F4">
        <w:t> </w:t>
      </w:r>
      <w:r w:rsidR="00776C7C">
        <w:t xml:space="preserve">1803621 secināto, ka </w:t>
      </w:r>
      <w:r w:rsidR="00A56B02">
        <w:t>[pers. B]</w:t>
      </w:r>
      <w:r w:rsidR="00776C7C">
        <w:t xml:space="preserve"> līķa labās rokas nomazgājumos konstatētā bioloģiskā materiāla sajaukumā neietilpst apsūdzētā </w:t>
      </w:r>
      <w:r w:rsidR="00A56B02">
        <w:t>[pers. A]</w:t>
      </w:r>
      <w:r w:rsidR="00776C7C">
        <w:t xml:space="preserve"> bioloģiskais materiāls.</w:t>
      </w:r>
    </w:p>
    <w:p w14:paraId="532DD6B7" w14:textId="7A0BA9B7" w:rsidR="002F7595" w:rsidRDefault="00CD55CC" w:rsidP="00455A63">
      <w:pPr>
        <w:widowControl w:val="0"/>
        <w:spacing w:line="276" w:lineRule="auto"/>
        <w:ind w:firstLine="720"/>
        <w:jc w:val="both"/>
      </w:pPr>
      <w:r>
        <w:t xml:space="preserve">Vienlaikus apelācijas </w:t>
      </w:r>
      <w:r w:rsidR="008653E4">
        <w:t>instances tiesa</w:t>
      </w:r>
      <w:r>
        <w:t>,</w:t>
      </w:r>
      <w:r w:rsidR="008653E4">
        <w:t xml:space="preserve"> at</w:t>
      </w:r>
      <w:r w:rsidR="00ED2792">
        <w:t>z</w:t>
      </w:r>
      <w:r w:rsidR="002F7595">
        <w:t>īstot</w:t>
      </w:r>
      <w:r w:rsidR="008653E4">
        <w:t>, ka</w:t>
      </w:r>
      <w:r w:rsidR="009928BF">
        <w:t xml:space="preserve"> apsūdzētā</w:t>
      </w:r>
      <w:r w:rsidR="00640BAE">
        <w:t xml:space="preserve"> </w:t>
      </w:r>
      <w:r w:rsidR="00A56B02">
        <w:t>[pers. A]</w:t>
      </w:r>
      <w:r w:rsidR="009928BF">
        <w:t xml:space="preserve"> vainīgum</w:t>
      </w:r>
      <w:r w:rsidR="00640BAE">
        <w:t>s</w:t>
      </w:r>
      <w:r w:rsidR="00EA3A27">
        <w:t xml:space="preserve"> pierādīts</w:t>
      </w:r>
      <w:r w:rsidR="008653E4">
        <w:t xml:space="preserve"> </w:t>
      </w:r>
      <w:r w:rsidR="00640BAE">
        <w:t>ar</w:t>
      </w:r>
      <w:r w:rsidR="009928BF">
        <w:t xml:space="preserve"> </w:t>
      </w:r>
      <w:r w:rsidR="00640BAE">
        <w:t>ko</w:t>
      </w:r>
      <w:r w:rsidR="009119C2">
        <w:t>misijas bioloģiskās</w:t>
      </w:r>
      <w:r w:rsidR="00BD74F4">
        <w:t xml:space="preserve"> (</w:t>
      </w:r>
      <w:r w:rsidR="009119C2">
        <w:t>DNS</w:t>
      </w:r>
      <w:r w:rsidR="00BD74F4">
        <w:t>)</w:t>
      </w:r>
      <w:r w:rsidR="009119C2">
        <w:t xml:space="preserve"> ekspertīzes ekspertu </w:t>
      </w:r>
      <w:r w:rsidR="00640BAE">
        <w:t>20</w:t>
      </w:r>
      <w:r w:rsidR="009119C2">
        <w:t>18</w:t>
      </w:r>
      <w:r w:rsidR="00640BAE">
        <w:t xml:space="preserve">. gada </w:t>
      </w:r>
      <w:r w:rsidR="009119C2">
        <w:t>9. aprīļa</w:t>
      </w:r>
      <w:r w:rsidR="00640BAE">
        <w:t xml:space="preserve"> atzinumā Nr.</w:t>
      </w:r>
      <w:r w:rsidR="009119C2">
        <w:t> 18</w:t>
      </w:r>
      <w:r w:rsidR="00EA3A27">
        <w:t>00526</w:t>
      </w:r>
      <w:r>
        <w:t xml:space="preserve"> </w:t>
      </w:r>
      <w:r w:rsidR="00EA3A27">
        <w:t xml:space="preserve">secināto, ka uz naža </w:t>
      </w:r>
      <w:proofErr w:type="spellStart"/>
      <w:r w:rsidR="00EA3A27">
        <w:t>šķeltņa</w:t>
      </w:r>
      <w:proofErr w:type="spellEnd"/>
      <w:r w:rsidR="00EA3A27">
        <w:t xml:space="preserve"> konstatētas </w:t>
      </w:r>
      <w:r w:rsidR="00A56B02">
        <w:t>[pers. B]</w:t>
      </w:r>
      <w:r w:rsidR="00EA3A27">
        <w:t xml:space="preserve"> asinis, </w:t>
      </w:r>
      <w:r w:rsidR="002F7595">
        <w:t>nav norādījusi, k</w:t>
      </w:r>
      <w:r>
        <w:t>ā</w:t>
      </w:r>
      <w:r w:rsidR="002F7595">
        <w:t xml:space="preserve"> </w:t>
      </w:r>
      <w:r>
        <w:t>šis secinājums</w:t>
      </w:r>
      <w:r w:rsidR="002F7595">
        <w:t xml:space="preserve"> apstiprina apsūdzētā </w:t>
      </w:r>
      <w:proofErr w:type="gramStart"/>
      <w:r w:rsidR="00A56B02">
        <w:t>[</w:t>
      </w:r>
      <w:proofErr w:type="gramEnd"/>
      <w:r w:rsidR="00A56B02">
        <w:t>pers. A]</w:t>
      </w:r>
      <w:r w:rsidR="002F7595">
        <w:t xml:space="preserve"> vainīgumu.</w:t>
      </w:r>
    </w:p>
    <w:p w14:paraId="30D8D1B8" w14:textId="1965EAF3" w:rsidR="007C7F4F" w:rsidRPr="00BD74F4" w:rsidRDefault="00452F64" w:rsidP="00455A63">
      <w:pPr>
        <w:widowControl w:val="0"/>
        <w:spacing w:line="276" w:lineRule="auto"/>
        <w:ind w:firstLine="720"/>
        <w:jc w:val="both"/>
      </w:pPr>
      <w:r>
        <w:t>Savukārt</w:t>
      </w:r>
      <w:r w:rsidRPr="00776C7C">
        <w:t xml:space="preserve"> </w:t>
      </w:r>
      <w:r>
        <w:t>savu atzinumu</w:t>
      </w:r>
      <w:r w:rsidRPr="00776C7C">
        <w:t xml:space="preserve">, ka lietā iegūtie pierādījumi atspēko apsūdzētā </w:t>
      </w:r>
      <w:r w:rsidR="00A56B02">
        <w:t>[pers. A]</w:t>
      </w:r>
      <w:r w:rsidRPr="00776C7C">
        <w:t xml:space="preserve"> apgalvojum</w:t>
      </w:r>
      <w:r>
        <w:t>u</w:t>
      </w:r>
      <w:r w:rsidRPr="00776C7C">
        <w:t xml:space="preserve">, ka uz viņa apģērba nav konstatētas </w:t>
      </w:r>
      <w:r w:rsidR="00A56B02">
        <w:t>[pers. B]</w:t>
      </w:r>
      <w:r w:rsidRPr="00776C7C">
        <w:t xml:space="preserve"> asins </w:t>
      </w:r>
      <w:r>
        <w:t xml:space="preserve">pēdas </w:t>
      </w:r>
      <w:r w:rsidRPr="00776C7C">
        <w:t xml:space="preserve">šļakatu veidā, </w:t>
      </w:r>
      <w:r>
        <w:t>apelācijas instances tiesa nav pamatojusi ar norād</w:t>
      </w:r>
      <w:r w:rsidR="00494B82">
        <w:t>i</w:t>
      </w:r>
      <w:r>
        <w:t xml:space="preserve"> uz konkrētiem lietā iegūtajiem pierādījumiem.</w:t>
      </w:r>
    </w:p>
    <w:p w14:paraId="3B4A71F6" w14:textId="77777777" w:rsidR="00D978A3" w:rsidRPr="001234CA" w:rsidRDefault="00D978A3" w:rsidP="00455A63">
      <w:pPr>
        <w:widowControl w:val="0"/>
        <w:spacing w:line="276" w:lineRule="auto"/>
        <w:ind w:firstLine="720"/>
        <w:jc w:val="both"/>
        <w:rPr>
          <w:rFonts w:asciiTheme="majorBidi" w:hAnsiTheme="majorBidi" w:cstheme="majorBidi"/>
        </w:rPr>
      </w:pPr>
      <w:r w:rsidRPr="001234CA">
        <w:rPr>
          <w:rFonts w:asciiTheme="majorBidi" w:hAnsiTheme="majorBidi" w:cstheme="majorBidi"/>
        </w:rPr>
        <w:t>[8.2] Kriminālprocesa likuma 128. panta pirmajā daļā noteikts, ka pierādījumu ticamība ir kādas ziņas patiesuma konstatēšanas pakāpe. Savukārt šā panta otrā daļa noteic, ka to, cik ticamas ir pierādīšanā izmantojamās ziņas par faktiem, izvērtē, aplūkojot visus kriminālprocesa laikā iegūtos faktus vai ziņas par faktiem kopumā un savstarpējā sakarībā.</w:t>
      </w:r>
    </w:p>
    <w:p w14:paraId="3202BF1D" w14:textId="5E3C382A" w:rsidR="00D978A3" w:rsidRPr="001234CA" w:rsidRDefault="00D978A3" w:rsidP="00455A63">
      <w:pPr>
        <w:widowControl w:val="0"/>
        <w:spacing w:line="276" w:lineRule="auto"/>
        <w:ind w:firstLine="720"/>
        <w:jc w:val="both"/>
        <w:rPr>
          <w:rFonts w:asciiTheme="majorBidi" w:hAnsiTheme="majorBidi" w:cstheme="majorBidi"/>
        </w:rPr>
      </w:pPr>
      <w:r w:rsidRPr="001234CA">
        <w:rPr>
          <w:rFonts w:asciiTheme="majorBidi" w:hAnsiTheme="majorBidi" w:cstheme="majorBidi"/>
        </w:rPr>
        <w:t>Tiesību teorijā atzīts, ka, izvērtējot liecības</w:t>
      </w:r>
      <w:r w:rsidR="00973CFC">
        <w:rPr>
          <w:rFonts w:asciiTheme="majorBidi" w:hAnsiTheme="majorBidi" w:cstheme="majorBidi"/>
        </w:rPr>
        <w:t>,</w:t>
      </w:r>
      <w:r w:rsidRPr="001234CA">
        <w:rPr>
          <w:rFonts w:asciiTheme="majorBidi" w:hAnsiTheme="majorBidi" w:cstheme="majorBidi"/>
        </w:rPr>
        <w:t xml:space="preserve"> citu vispārīgo izvērtēšanas aspektu vidū, jāņem vērā arī liecinošo personu iezīmes (spēju uztvert, reproducēt notikušo u.</w:t>
      </w:r>
      <w:r w:rsidR="00973CFC">
        <w:rPr>
          <w:rFonts w:asciiTheme="majorBidi" w:hAnsiTheme="majorBidi" w:cstheme="majorBidi"/>
        </w:rPr>
        <w:t> </w:t>
      </w:r>
      <w:r w:rsidRPr="001234CA">
        <w:rPr>
          <w:rFonts w:asciiTheme="majorBidi" w:hAnsiTheme="majorBidi" w:cstheme="majorBidi"/>
        </w:rPr>
        <w:t xml:space="preserve">tml.), iespējamo ieinteresētību lietas iznākumā, citus apstākļus, kas var ietekmēt liecības atbilstību faktiski notikušajam </w:t>
      </w:r>
      <w:proofErr w:type="gramStart"/>
      <w:r w:rsidRPr="001234CA">
        <w:rPr>
          <w:rFonts w:asciiTheme="majorBidi" w:hAnsiTheme="majorBidi" w:cstheme="majorBidi"/>
        </w:rPr>
        <w:t>(</w:t>
      </w:r>
      <w:proofErr w:type="gramEnd"/>
      <w:r w:rsidRPr="001234CA">
        <w:rPr>
          <w:rFonts w:asciiTheme="majorBidi" w:hAnsiTheme="majorBidi" w:cstheme="majorBidi"/>
          <w:i/>
          <w:iCs/>
        </w:rPr>
        <w:t>Liede</w:t>
      </w:r>
      <w:r w:rsidR="00973CFC">
        <w:rPr>
          <w:rFonts w:asciiTheme="majorBidi" w:hAnsiTheme="majorBidi" w:cstheme="majorBidi"/>
          <w:i/>
          <w:iCs/>
        </w:rPr>
        <w:t> </w:t>
      </w:r>
      <w:r w:rsidRPr="001234CA">
        <w:rPr>
          <w:rFonts w:asciiTheme="majorBidi" w:hAnsiTheme="majorBidi" w:cstheme="majorBidi"/>
          <w:i/>
          <w:iCs/>
        </w:rPr>
        <w:t>A. Latvijas PSR Kriminālprocess (vispārīgā daļa) un tiesu pierādījumi. Rīga: Izdevniecība Zvaigzne. 1970. 320.</w:t>
      </w:r>
      <w:r w:rsidR="00973CFC">
        <w:rPr>
          <w:rFonts w:asciiTheme="majorBidi" w:hAnsiTheme="majorBidi" w:cstheme="majorBidi"/>
          <w:i/>
          <w:iCs/>
        </w:rPr>
        <w:t>–</w:t>
      </w:r>
      <w:r w:rsidRPr="001234CA">
        <w:rPr>
          <w:rFonts w:asciiTheme="majorBidi" w:hAnsiTheme="majorBidi" w:cstheme="majorBidi"/>
          <w:i/>
          <w:iCs/>
        </w:rPr>
        <w:t>342, 353.</w:t>
      </w:r>
      <w:r w:rsidR="00973CFC">
        <w:rPr>
          <w:rFonts w:asciiTheme="majorBidi" w:hAnsiTheme="majorBidi" w:cstheme="majorBidi"/>
          <w:i/>
          <w:iCs/>
        </w:rPr>
        <w:t>–</w:t>
      </w:r>
      <w:r w:rsidRPr="001234CA">
        <w:rPr>
          <w:rFonts w:asciiTheme="majorBidi" w:hAnsiTheme="majorBidi" w:cstheme="majorBidi"/>
          <w:i/>
          <w:iCs/>
        </w:rPr>
        <w:t>353., 360.</w:t>
      </w:r>
      <w:r w:rsidR="00973CFC">
        <w:rPr>
          <w:rFonts w:asciiTheme="majorBidi" w:hAnsiTheme="majorBidi" w:cstheme="majorBidi"/>
          <w:i/>
          <w:iCs/>
        </w:rPr>
        <w:t>–</w:t>
      </w:r>
      <w:r w:rsidRPr="001234CA">
        <w:rPr>
          <w:rFonts w:asciiTheme="majorBidi" w:hAnsiTheme="majorBidi" w:cstheme="majorBidi"/>
          <w:i/>
          <w:iCs/>
        </w:rPr>
        <w:t>370. lpp.</w:t>
      </w:r>
      <w:r w:rsidRPr="001234CA">
        <w:rPr>
          <w:rFonts w:asciiTheme="majorBidi" w:hAnsiTheme="majorBidi" w:cstheme="majorBidi"/>
        </w:rPr>
        <w:t>).</w:t>
      </w:r>
    </w:p>
    <w:p w14:paraId="436C9B0E" w14:textId="3AAFB892" w:rsidR="00B660CA" w:rsidRDefault="00D978A3" w:rsidP="00455A63">
      <w:pPr>
        <w:widowControl w:val="0"/>
        <w:autoSpaceDE w:val="0"/>
        <w:autoSpaceDN w:val="0"/>
        <w:adjustRightInd w:val="0"/>
        <w:spacing w:line="276" w:lineRule="auto"/>
        <w:ind w:firstLine="720"/>
        <w:jc w:val="both"/>
        <w:rPr>
          <w:rFonts w:asciiTheme="majorBidi" w:hAnsiTheme="majorBidi" w:cstheme="majorBidi"/>
        </w:rPr>
      </w:pPr>
      <w:r w:rsidRPr="001234CA">
        <w:rPr>
          <w:rFonts w:asciiTheme="majorBidi" w:hAnsiTheme="majorBidi" w:cstheme="majorBidi"/>
        </w:rPr>
        <w:t xml:space="preserve">Apelācijas instances tiesa, norādot, ka tai nav pamata neticēt liecinieku </w:t>
      </w:r>
      <w:r w:rsidR="00A56B02">
        <w:rPr>
          <w:rFonts w:asciiTheme="majorBidi" w:hAnsiTheme="majorBidi" w:cstheme="majorBidi"/>
        </w:rPr>
        <w:t>[pers. D]</w:t>
      </w:r>
      <w:r w:rsidRPr="001234CA">
        <w:rPr>
          <w:rFonts w:asciiTheme="majorBidi" w:hAnsiTheme="majorBidi" w:cstheme="majorBidi"/>
        </w:rPr>
        <w:t xml:space="preserve"> un </w:t>
      </w:r>
      <w:r w:rsidR="00A56B02">
        <w:rPr>
          <w:rFonts w:asciiTheme="majorBidi" w:hAnsiTheme="majorBidi" w:cstheme="majorBidi"/>
        </w:rPr>
        <w:t>[pers. C]</w:t>
      </w:r>
      <w:r w:rsidRPr="001234CA">
        <w:rPr>
          <w:rFonts w:asciiTheme="majorBidi" w:hAnsiTheme="majorBidi" w:cstheme="majorBidi"/>
        </w:rPr>
        <w:t xml:space="preserve"> liecībām par notikušā apstākļiem, savu atzinumu nav pamatojusi ar tiesību teorijā liecinieku liecību izvērtēšanai noteiktajiem aspektiem.</w:t>
      </w:r>
      <w:r w:rsidR="00816DBB">
        <w:rPr>
          <w:rFonts w:asciiTheme="majorBidi" w:hAnsiTheme="majorBidi" w:cstheme="majorBidi"/>
        </w:rPr>
        <w:t xml:space="preserve"> </w:t>
      </w:r>
    </w:p>
    <w:p w14:paraId="46B29AEC" w14:textId="6032564D" w:rsidR="00D978A3" w:rsidRPr="001234CA" w:rsidRDefault="00D978A3" w:rsidP="00455A63">
      <w:pPr>
        <w:widowControl w:val="0"/>
        <w:autoSpaceDE w:val="0"/>
        <w:autoSpaceDN w:val="0"/>
        <w:adjustRightInd w:val="0"/>
        <w:spacing w:line="276" w:lineRule="auto"/>
        <w:ind w:firstLine="720"/>
        <w:jc w:val="both"/>
        <w:rPr>
          <w:rFonts w:asciiTheme="majorBidi" w:hAnsiTheme="majorBidi" w:cstheme="majorBidi"/>
        </w:rPr>
      </w:pPr>
      <w:r w:rsidRPr="001234CA">
        <w:rPr>
          <w:rFonts w:asciiTheme="majorBidi" w:hAnsiTheme="majorBidi" w:cstheme="majorBidi"/>
        </w:rPr>
        <w:t xml:space="preserve">Savukārt liecinieces </w:t>
      </w:r>
      <w:r w:rsidR="00A56B02">
        <w:rPr>
          <w:rFonts w:asciiTheme="majorBidi" w:hAnsiTheme="majorBidi" w:cstheme="majorBidi"/>
        </w:rPr>
        <w:t>[pers. H]</w:t>
      </w:r>
      <w:r w:rsidRPr="001234CA">
        <w:rPr>
          <w:rFonts w:asciiTheme="majorBidi" w:hAnsiTheme="majorBidi" w:cstheme="majorBidi"/>
        </w:rPr>
        <w:t xml:space="preserve"> </w:t>
      </w:r>
      <w:r w:rsidR="001216B6">
        <w:rPr>
          <w:rFonts w:asciiTheme="majorBidi" w:hAnsiTheme="majorBidi" w:cstheme="majorBidi"/>
        </w:rPr>
        <w:t xml:space="preserve">norādītais </w:t>
      </w:r>
      <w:r w:rsidR="00734973">
        <w:rPr>
          <w:rFonts w:asciiTheme="majorBidi" w:hAnsiTheme="majorBidi" w:cstheme="majorBidi"/>
        </w:rPr>
        <w:t xml:space="preserve">par </w:t>
      </w:r>
      <w:r w:rsidRPr="001234CA">
        <w:rPr>
          <w:rFonts w:asciiTheme="majorBidi" w:hAnsiTheme="majorBidi" w:cstheme="majorBidi"/>
        </w:rPr>
        <w:t xml:space="preserve">liecinieka </w:t>
      </w:r>
      <w:r w:rsidR="00A56B02">
        <w:rPr>
          <w:rFonts w:asciiTheme="majorBidi" w:hAnsiTheme="majorBidi" w:cstheme="majorBidi"/>
        </w:rPr>
        <w:t>[pers. D]</w:t>
      </w:r>
      <w:r w:rsidRPr="001234CA">
        <w:rPr>
          <w:rFonts w:asciiTheme="majorBidi" w:hAnsiTheme="majorBidi" w:cstheme="majorBidi"/>
        </w:rPr>
        <w:t xml:space="preserve"> </w:t>
      </w:r>
      <w:r w:rsidR="00B660CA">
        <w:rPr>
          <w:rFonts w:asciiTheme="majorBidi" w:hAnsiTheme="majorBidi" w:cstheme="majorBidi"/>
        </w:rPr>
        <w:t>„</w:t>
      </w:r>
      <w:r w:rsidRPr="001234CA">
        <w:rPr>
          <w:rFonts w:asciiTheme="majorBidi" w:hAnsiTheme="majorBidi" w:cstheme="majorBidi"/>
        </w:rPr>
        <w:t>pārliecinoš</w:t>
      </w:r>
      <w:r w:rsidR="00734973">
        <w:rPr>
          <w:rFonts w:asciiTheme="majorBidi" w:hAnsiTheme="majorBidi" w:cstheme="majorBidi"/>
        </w:rPr>
        <w:t>o</w:t>
      </w:r>
      <w:r w:rsidRPr="001234CA">
        <w:rPr>
          <w:rFonts w:asciiTheme="majorBidi" w:hAnsiTheme="majorBidi" w:cstheme="majorBidi"/>
        </w:rPr>
        <w:t xml:space="preserve"> stāstījum</w:t>
      </w:r>
      <w:r w:rsidR="00734973">
        <w:rPr>
          <w:rFonts w:asciiTheme="majorBidi" w:hAnsiTheme="majorBidi" w:cstheme="majorBidi"/>
        </w:rPr>
        <w:t>u</w:t>
      </w:r>
      <w:r w:rsidR="00B660CA">
        <w:rPr>
          <w:rFonts w:asciiTheme="majorBidi" w:hAnsiTheme="majorBidi" w:cstheme="majorBidi"/>
        </w:rPr>
        <w:t>”</w:t>
      </w:r>
      <w:r w:rsidRPr="001234CA">
        <w:rPr>
          <w:rFonts w:asciiTheme="majorBidi" w:hAnsiTheme="majorBidi" w:cstheme="majorBidi"/>
        </w:rPr>
        <w:t xml:space="preserve"> neietilpst to izvērtēšanas aspektu </w:t>
      </w:r>
      <w:r w:rsidR="00734973">
        <w:rPr>
          <w:rFonts w:asciiTheme="majorBidi" w:hAnsiTheme="majorBidi" w:cstheme="majorBidi"/>
        </w:rPr>
        <w:t>lokā</w:t>
      </w:r>
      <w:r w:rsidRPr="001234CA">
        <w:rPr>
          <w:rFonts w:asciiTheme="majorBidi" w:hAnsiTheme="majorBidi" w:cstheme="majorBidi"/>
        </w:rPr>
        <w:t xml:space="preserve">, kas varētu </w:t>
      </w:r>
      <w:r w:rsidR="00CC49D7">
        <w:rPr>
          <w:rFonts w:asciiTheme="majorBidi" w:hAnsiTheme="majorBidi" w:cstheme="majorBidi"/>
        </w:rPr>
        <w:t>apstiprināt</w:t>
      </w:r>
      <w:r w:rsidRPr="001234CA">
        <w:rPr>
          <w:rFonts w:asciiTheme="majorBidi" w:hAnsiTheme="majorBidi" w:cstheme="majorBidi"/>
        </w:rPr>
        <w:t xml:space="preserve"> liecību patiesumu.</w:t>
      </w:r>
    </w:p>
    <w:p w14:paraId="4CEE2AD9" w14:textId="48D26922" w:rsidR="00D978A3" w:rsidRPr="001234CA" w:rsidRDefault="00D978A3" w:rsidP="00455A63">
      <w:pPr>
        <w:widowControl w:val="0"/>
        <w:autoSpaceDE w:val="0"/>
        <w:autoSpaceDN w:val="0"/>
        <w:adjustRightInd w:val="0"/>
        <w:spacing w:line="276" w:lineRule="auto"/>
        <w:ind w:firstLine="720"/>
        <w:jc w:val="both"/>
        <w:rPr>
          <w:rFonts w:asciiTheme="majorBidi" w:hAnsiTheme="majorBidi" w:cstheme="majorBidi"/>
        </w:rPr>
      </w:pPr>
      <w:r w:rsidRPr="001234CA">
        <w:rPr>
          <w:rFonts w:asciiTheme="majorBidi" w:hAnsiTheme="majorBidi" w:cstheme="majorBidi"/>
        </w:rPr>
        <w:t xml:space="preserve">Turklāt atzīstot par ticamām liecinieka </w:t>
      </w:r>
      <w:r w:rsidR="00A56B02">
        <w:rPr>
          <w:rFonts w:asciiTheme="majorBidi" w:hAnsiTheme="majorBidi" w:cstheme="majorBidi"/>
        </w:rPr>
        <w:t>[pers. D]</w:t>
      </w:r>
      <w:r w:rsidRPr="001234CA">
        <w:rPr>
          <w:rFonts w:asciiTheme="majorBidi" w:hAnsiTheme="majorBidi" w:cstheme="majorBidi"/>
        </w:rPr>
        <w:t xml:space="preserve"> liecības, apelācijas instances tiesa nav ņēmusi vērā apstākli, ka liecinieks nopratināts, būdams alkohola </w:t>
      </w:r>
      <w:r w:rsidR="00816DBB">
        <w:rPr>
          <w:rFonts w:asciiTheme="majorBidi" w:hAnsiTheme="majorBidi" w:cstheme="majorBidi"/>
        </w:rPr>
        <w:t>ietekmē</w:t>
      </w:r>
      <w:r w:rsidRPr="001234CA">
        <w:rPr>
          <w:rFonts w:asciiTheme="majorBidi" w:hAnsiTheme="majorBidi" w:cstheme="majorBidi"/>
        </w:rPr>
        <w:t>.</w:t>
      </w:r>
    </w:p>
    <w:p w14:paraId="67EE9BE0" w14:textId="2F808A55" w:rsidR="00D978A3" w:rsidRPr="001234CA" w:rsidRDefault="00D978A3" w:rsidP="00455A63">
      <w:pPr>
        <w:widowControl w:val="0"/>
        <w:autoSpaceDE w:val="0"/>
        <w:autoSpaceDN w:val="0"/>
        <w:adjustRightInd w:val="0"/>
        <w:spacing w:line="276" w:lineRule="auto"/>
        <w:ind w:firstLine="720"/>
        <w:jc w:val="both"/>
        <w:rPr>
          <w:rFonts w:asciiTheme="majorBidi" w:hAnsiTheme="majorBidi" w:cstheme="majorBidi"/>
        </w:rPr>
      </w:pPr>
      <w:r w:rsidRPr="001234CA">
        <w:rPr>
          <w:rFonts w:asciiTheme="majorBidi" w:hAnsiTheme="majorBidi" w:cstheme="majorBidi"/>
        </w:rPr>
        <w:t xml:space="preserve">Senāts norāda, ka </w:t>
      </w:r>
      <w:r w:rsidR="007A2AAF">
        <w:rPr>
          <w:rFonts w:asciiTheme="majorBidi" w:hAnsiTheme="majorBidi" w:cstheme="majorBidi"/>
        </w:rPr>
        <w:t xml:space="preserve">liecinošās </w:t>
      </w:r>
      <w:r w:rsidRPr="001234CA">
        <w:rPr>
          <w:rFonts w:asciiTheme="majorBidi" w:hAnsiTheme="majorBidi" w:cstheme="majorBidi"/>
        </w:rPr>
        <w:t xml:space="preserve">personas atrašanās alkohola ietekmē </w:t>
      </w:r>
      <w:r w:rsidR="007A2AAF">
        <w:rPr>
          <w:rFonts w:asciiTheme="majorBidi" w:hAnsiTheme="majorBidi" w:cstheme="majorBidi"/>
        </w:rPr>
        <w:t xml:space="preserve">pati par sevi </w:t>
      </w:r>
      <w:r w:rsidRPr="001234CA">
        <w:rPr>
          <w:rFonts w:asciiTheme="majorBidi" w:hAnsiTheme="majorBidi" w:cstheme="majorBidi"/>
        </w:rPr>
        <w:t xml:space="preserve">nav tāds apstāklis, kas liedz izmantot šīs personas </w:t>
      </w:r>
      <w:r w:rsidR="00CE24BA">
        <w:rPr>
          <w:rFonts w:asciiTheme="majorBidi" w:hAnsiTheme="majorBidi" w:cstheme="majorBidi"/>
        </w:rPr>
        <w:t xml:space="preserve">reibuma stāvoklī sniegtās </w:t>
      </w:r>
      <w:r w:rsidR="007A2AAF">
        <w:rPr>
          <w:rFonts w:asciiTheme="majorBidi" w:hAnsiTheme="majorBidi" w:cstheme="majorBidi"/>
        </w:rPr>
        <w:t>liecības</w:t>
      </w:r>
      <w:r w:rsidR="007A2AAF" w:rsidRPr="001234CA">
        <w:rPr>
          <w:rFonts w:asciiTheme="majorBidi" w:hAnsiTheme="majorBidi" w:cstheme="majorBidi"/>
        </w:rPr>
        <w:t xml:space="preserve"> </w:t>
      </w:r>
      <w:r w:rsidRPr="001234CA">
        <w:rPr>
          <w:rFonts w:asciiTheme="majorBidi" w:hAnsiTheme="majorBidi" w:cstheme="majorBidi"/>
        </w:rPr>
        <w:t xml:space="preserve">kā pierādījumu, </w:t>
      </w:r>
      <w:r w:rsidR="007A2AAF">
        <w:rPr>
          <w:rFonts w:asciiTheme="majorBidi" w:hAnsiTheme="majorBidi" w:cstheme="majorBidi"/>
        </w:rPr>
        <w:t xml:space="preserve">tomēr tiesai, kas izskata lietu pēc būtības, vērtējot </w:t>
      </w:r>
      <w:r w:rsidR="00CE24BA">
        <w:rPr>
          <w:rFonts w:asciiTheme="majorBidi" w:hAnsiTheme="majorBidi" w:cstheme="majorBidi"/>
        </w:rPr>
        <w:t>šādu</w:t>
      </w:r>
      <w:r w:rsidR="007A2AAF">
        <w:rPr>
          <w:rFonts w:asciiTheme="majorBidi" w:hAnsiTheme="majorBidi" w:cstheme="majorBidi"/>
        </w:rPr>
        <w:t xml:space="preserve"> liecību ticamību</w:t>
      </w:r>
      <w:r w:rsidR="00CE24BA">
        <w:rPr>
          <w:rFonts w:asciiTheme="majorBidi" w:hAnsiTheme="majorBidi" w:cstheme="majorBidi"/>
        </w:rPr>
        <w:t>,</w:t>
      </w:r>
      <w:r w:rsidR="007A2AAF">
        <w:rPr>
          <w:rFonts w:asciiTheme="majorBidi" w:hAnsiTheme="majorBidi" w:cstheme="majorBidi"/>
        </w:rPr>
        <w:t xml:space="preserve"> ir rūpīgi jāizvērtē</w:t>
      </w:r>
      <w:r w:rsidR="00CE24BA">
        <w:rPr>
          <w:rFonts w:asciiTheme="majorBidi" w:hAnsiTheme="majorBidi" w:cstheme="majorBidi"/>
        </w:rPr>
        <w:t xml:space="preserve"> arī tas, vai, sniedzot liecības, persona</w:t>
      </w:r>
      <w:r w:rsidR="00494B82">
        <w:rPr>
          <w:rFonts w:asciiTheme="majorBidi" w:hAnsiTheme="majorBidi" w:cstheme="majorBidi"/>
        </w:rPr>
        <w:t xml:space="preserve"> </w:t>
      </w:r>
      <w:r w:rsidRPr="001234CA">
        <w:rPr>
          <w:rFonts w:asciiTheme="majorBidi" w:hAnsiTheme="majorBidi" w:cstheme="majorBidi"/>
        </w:rPr>
        <w:t>spēju</w:t>
      </w:r>
      <w:r w:rsidR="00CE24BA">
        <w:rPr>
          <w:rFonts w:asciiTheme="majorBidi" w:hAnsiTheme="majorBidi" w:cstheme="majorBidi"/>
        </w:rPr>
        <w:t>si</w:t>
      </w:r>
      <w:r w:rsidRPr="001234CA">
        <w:rPr>
          <w:rFonts w:asciiTheme="majorBidi" w:hAnsiTheme="majorBidi" w:cstheme="majorBidi"/>
        </w:rPr>
        <w:t xml:space="preserve"> pareizi saprast un uztvert ar viņu veiktās procesuālās darbības saturu un nozīmi.</w:t>
      </w:r>
    </w:p>
    <w:p w14:paraId="47DEC06F" w14:textId="129AC01A" w:rsidR="00D978A3" w:rsidRPr="001234CA" w:rsidRDefault="00D978A3" w:rsidP="00455A63">
      <w:pPr>
        <w:widowControl w:val="0"/>
        <w:autoSpaceDE w:val="0"/>
        <w:autoSpaceDN w:val="0"/>
        <w:adjustRightInd w:val="0"/>
        <w:spacing w:line="276" w:lineRule="auto"/>
        <w:ind w:firstLine="720"/>
        <w:jc w:val="both"/>
        <w:rPr>
          <w:rFonts w:asciiTheme="majorBidi" w:hAnsiTheme="majorBidi" w:cstheme="majorBidi"/>
        </w:rPr>
      </w:pPr>
      <w:r w:rsidRPr="001234CA">
        <w:rPr>
          <w:rFonts w:asciiTheme="majorBidi" w:hAnsiTheme="majorBidi" w:cstheme="majorBidi"/>
        </w:rPr>
        <w:t xml:space="preserve">Senāts konstatē, ka apelācijas instances tiesa nav </w:t>
      </w:r>
      <w:r w:rsidR="00CE24BA">
        <w:rPr>
          <w:rFonts w:asciiTheme="majorBidi" w:hAnsiTheme="majorBidi" w:cstheme="majorBidi"/>
        </w:rPr>
        <w:t>izvērtējusi</w:t>
      </w:r>
      <w:r w:rsidRPr="001234CA">
        <w:rPr>
          <w:rFonts w:asciiTheme="majorBidi" w:hAnsiTheme="majorBidi" w:cstheme="majorBidi"/>
        </w:rPr>
        <w:t xml:space="preserve">, vai liecinieka </w:t>
      </w:r>
      <w:r w:rsidR="00A56B02">
        <w:rPr>
          <w:rFonts w:asciiTheme="majorBidi" w:hAnsiTheme="majorBidi" w:cstheme="majorBidi"/>
        </w:rPr>
        <w:t>[pers. D]</w:t>
      </w:r>
      <w:r w:rsidRPr="001234CA">
        <w:rPr>
          <w:rFonts w:asciiTheme="majorBidi" w:hAnsiTheme="majorBidi" w:cstheme="majorBidi"/>
        </w:rPr>
        <w:t xml:space="preserve"> atrašanās alkohola </w:t>
      </w:r>
      <w:r w:rsidR="00494B82">
        <w:rPr>
          <w:rFonts w:asciiTheme="majorBidi" w:hAnsiTheme="majorBidi" w:cstheme="majorBidi"/>
        </w:rPr>
        <w:t>ietekmē</w:t>
      </w:r>
      <w:r w:rsidR="00CE24BA">
        <w:rPr>
          <w:rFonts w:asciiTheme="majorBidi" w:hAnsiTheme="majorBidi" w:cstheme="majorBidi"/>
        </w:rPr>
        <w:t>, sniedzot liecības,</w:t>
      </w:r>
      <w:r w:rsidRPr="001234CA">
        <w:rPr>
          <w:rFonts w:asciiTheme="majorBidi" w:hAnsiTheme="majorBidi" w:cstheme="majorBidi"/>
        </w:rPr>
        <w:t xml:space="preserve"> ir ietekmējusi viņa spēju saprast ar viņu veikto procesuālo darbību saturu un nozīmi, kā arī </w:t>
      </w:r>
      <w:r w:rsidR="00CE24BA">
        <w:rPr>
          <w:rFonts w:asciiTheme="majorBidi" w:hAnsiTheme="majorBidi" w:cstheme="majorBidi"/>
        </w:rPr>
        <w:t xml:space="preserve">spēju </w:t>
      </w:r>
      <w:r w:rsidRPr="001234CA">
        <w:rPr>
          <w:rFonts w:asciiTheme="majorBidi" w:hAnsiTheme="majorBidi" w:cstheme="majorBidi"/>
        </w:rPr>
        <w:t>liecināt par lietas taisnīgai izspriešanai nozīmīgiem apstākļiem.</w:t>
      </w:r>
    </w:p>
    <w:p w14:paraId="478936EB" w14:textId="679B5270" w:rsidR="00D978A3" w:rsidRPr="001234CA" w:rsidRDefault="00CE24BA" w:rsidP="00455A63">
      <w:pPr>
        <w:widowControl w:val="0"/>
        <w:spacing w:line="276" w:lineRule="auto"/>
        <w:ind w:firstLine="720"/>
        <w:jc w:val="both"/>
        <w:rPr>
          <w:rFonts w:asciiTheme="majorBidi" w:hAnsiTheme="majorBidi" w:cstheme="majorBidi"/>
        </w:rPr>
      </w:pPr>
      <w:r>
        <w:rPr>
          <w:rFonts w:asciiTheme="majorBidi" w:hAnsiTheme="majorBidi" w:cstheme="majorBidi"/>
        </w:rPr>
        <w:t xml:space="preserve">Apelācijas instances tiesa atzinusi, ka </w:t>
      </w:r>
      <w:r w:rsidR="00D978A3" w:rsidRPr="001234CA">
        <w:rPr>
          <w:rFonts w:asciiTheme="majorBidi" w:hAnsiTheme="majorBidi" w:cstheme="majorBidi"/>
        </w:rPr>
        <w:t xml:space="preserve">liecinieka </w:t>
      </w:r>
      <w:r w:rsidR="00A56B02">
        <w:rPr>
          <w:rFonts w:asciiTheme="majorBidi" w:hAnsiTheme="majorBidi" w:cstheme="majorBidi"/>
        </w:rPr>
        <w:t>[pers. D]</w:t>
      </w:r>
      <w:r w:rsidR="00D978A3" w:rsidRPr="001234CA">
        <w:rPr>
          <w:rFonts w:asciiTheme="majorBidi" w:hAnsiTheme="majorBidi" w:cstheme="majorBidi"/>
        </w:rPr>
        <w:t xml:space="preserve"> liecības apstiprin</w:t>
      </w:r>
      <w:r>
        <w:rPr>
          <w:rFonts w:asciiTheme="majorBidi" w:hAnsiTheme="majorBidi" w:cstheme="majorBidi"/>
        </w:rPr>
        <w:t>a</w:t>
      </w:r>
      <w:r w:rsidR="00D978A3" w:rsidRPr="001234CA">
        <w:rPr>
          <w:rFonts w:asciiTheme="majorBidi" w:hAnsiTheme="majorBidi" w:cstheme="majorBidi"/>
        </w:rPr>
        <w:t xml:space="preserve"> citi lietā iegūtie pierādījumi</w:t>
      </w:r>
      <w:r>
        <w:rPr>
          <w:rFonts w:asciiTheme="majorBidi" w:hAnsiTheme="majorBidi" w:cstheme="majorBidi"/>
        </w:rPr>
        <w:t xml:space="preserve"> – policijas darbinieku </w:t>
      </w:r>
      <w:r w:rsidR="00A56B02">
        <w:rPr>
          <w:rFonts w:asciiTheme="majorBidi" w:hAnsiTheme="majorBidi" w:cstheme="majorBidi"/>
        </w:rPr>
        <w:t>[pers. K]</w:t>
      </w:r>
      <w:r w:rsidR="00D978A3" w:rsidRPr="001234CA">
        <w:rPr>
          <w:rFonts w:asciiTheme="majorBidi" w:hAnsiTheme="majorBidi" w:cstheme="majorBidi"/>
        </w:rPr>
        <w:t xml:space="preserve">, </w:t>
      </w:r>
      <w:r w:rsidR="00A56B02">
        <w:rPr>
          <w:rFonts w:asciiTheme="majorBidi" w:hAnsiTheme="majorBidi" w:cstheme="majorBidi"/>
        </w:rPr>
        <w:t>[pers. L]</w:t>
      </w:r>
      <w:r w:rsidR="00D978A3" w:rsidRPr="001234CA">
        <w:rPr>
          <w:rFonts w:asciiTheme="majorBidi" w:hAnsiTheme="majorBidi" w:cstheme="majorBidi"/>
        </w:rPr>
        <w:t xml:space="preserve">, </w:t>
      </w:r>
      <w:r w:rsidR="00A56B02">
        <w:rPr>
          <w:rFonts w:asciiTheme="majorBidi" w:hAnsiTheme="majorBidi" w:cstheme="majorBidi"/>
        </w:rPr>
        <w:t>[pers. M]</w:t>
      </w:r>
      <w:r w:rsidR="00D978A3" w:rsidRPr="001234CA">
        <w:rPr>
          <w:rFonts w:asciiTheme="majorBidi" w:hAnsiTheme="majorBidi" w:cstheme="majorBidi"/>
        </w:rPr>
        <w:t xml:space="preserve"> un </w:t>
      </w:r>
      <w:r w:rsidR="00A56B02">
        <w:rPr>
          <w:rFonts w:asciiTheme="majorBidi" w:hAnsiTheme="majorBidi" w:cstheme="majorBidi"/>
        </w:rPr>
        <w:t>[pers. </w:t>
      </w:r>
      <w:r w:rsidR="00A56B02">
        <w:t>H]</w:t>
      </w:r>
      <w:r w:rsidR="00D978A3" w:rsidRPr="001234CA">
        <w:rPr>
          <w:rFonts w:asciiTheme="majorBidi" w:hAnsiTheme="majorBidi" w:cstheme="majorBidi"/>
        </w:rPr>
        <w:t xml:space="preserve"> liecībās ietvertā</w:t>
      </w:r>
      <w:r>
        <w:rPr>
          <w:rFonts w:asciiTheme="majorBidi" w:hAnsiTheme="majorBidi" w:cstheme="majorBidi"/>
        </w:rPr>
        <w:t>s</w:t>
      </w:r>
      <w:r w:rsidR="00D978A3" w:rsidRPr="001234CA">
        <w:rPr>
          <w:rFonts w:asciiTheme="majorBidi" w:hAnsiTheme="majorBidi" w:cstheme="majorBidi"/>
        </w:rPr>
        <w:t xml:space="preserve"> </w:t>
      </w:r>
      <w:r w:rsidRPr="001234CA">
        <w:rPr>
          <w:rFonts w:asciiTheme="majorBidi" w:hAnsiTheme="majorBidi" w:cstheme="majorBidi"/>
        </w:rPr>
        <w:t>ziņ</w:t>
      </w:r>
      <w:r>
        <w:rPr>
          <w:rFonts w:asciiTheme="majorBidi" w:hAnsiTheme="majorBidi" w:cstheme="majorBidi"/>
        </w:rPr>
        <w:t>as</w:t>
      </w:r>
      <w:r w:rsidR="00D978A3" w:rsidRPr="001234CA">
        <w:rPr>
          <w:rFonts w:asciiTheme="majorBidi" w:hAnsiTheme="majorBidi" w:cstheme="majorBidi"/>
        </w:rPr>
        <w:t xml:space="preserve">. Vienlaikus no </w:t>
      </w:r>
      <w:r>
        <w:rPr>
          <w:rFonts w:asciiTheme="majorBidi" w:hAnsiTheme="majorBidi" w:cstheme="majorBidi"/>
        </w:rPr>
        <w:t>šo</w:t>
      </w:r>
      <w:r w:rsidRPr="001234CA">
        <w:rPr>
          <w:rFonts w:asciiTheme="majorBidi" w:hAnsiTheme="majorBidi" w:cstheme="majorBidi"/>
        </w:rPr>
        <w:t xml:space="preserve"> </w:t>
      </w:r>
      <w:r w:rsidR="00D978A3" w:rsidRPr="001234CA">
        <w:rPr>
          <w:rFonts w:asciiTheme="majorBidi" w:hAnsiTheme="majorBidi" w:cstheme="majorBidi"/>
        </w:rPr>
        <w:t xml:space="preserve">liecinieku liecību izklāsta spriedumā </w:t>
      </w:r>
      <w:r>
        <w:rPr>
          <w:rFonts w:asciiTheme="majorBidi" w:hAnsiTheme="majorBidi" w:cstheme="majorBidi"/>
        </w:rPr>
        <w:t>izriet</w:t>
      </w:r>
      <w:r w:rsidR="00D978A3" w:rsidRPr="001234CA">
        <w:rPr>
          <w:rFonts w:asciiTheme="majorBidi" w:hAnsiTheme="majorBidi" w:cstheme="majorBidi"/>
        </w:rPr>
        <w:t xml:space="preserve">, ka par notikuma apstākļiem viņiem kļuvis zināms </w:t>
      </w:r>
      <w:r>
        <w:rPr>
          <w:rFonts w:asciiTheme="majorBidi" w:hAnsiTheme="majorBidi" w:cstheme="majorBidi"/>
        </w:rPr>
        <w:t xml:space="preserve">vienīgi </w:t>
      </w:r>
      <w:r w:rsidR="00D978A3" w:rsidRPr="001234CA">
        <w:rPr>
          <w:rFonts w:asciiTheme="majorBidi" w:hAnsiTheme="majorBidi" w:cstheme="majorBidi"/>
        </w:rPr>
        <w:t xml:space="preserve">no liecinieka </w:t>
      </w:r>
      <w:r w:rsidR="00A56B02">
        <w:rPr>
          <w:rFonts w:asciiTheme="majorBidi" w:hAnsiTheme="majorBidi" w:cstheme="majorBidi"/>
        </w:rPr>
        <w:t>[pers. D]</w:t>
      </w:r>
      <w:r>
        <w:rPr>
          <w:rFonts w:asciiTheme="majorBidi" w:hAnsiTheme="majorBidi" w:cstheme="majorBidi"/>
        </w:rPr>
        <w:t xml:space="preserve"> sniegtajām liecībām</w:t>
      </w:r>
      <w:r w:rsidR="00D978A3" w:rsidRPr="001234CA">
        <w:rPr>
          <w:rFonts w:asciiTheme="majorBidi" w:hAnsiTheme="majorBidi" w:cstheme="majorBidi"/>
        </w:rPr>
        <w:t>.</w:t>
      </w:r>
    </w:p>
    <w:p w14:paraId="7CB9B73F" w14:textId="55BABC7A" w:rsidR="00EB2A15" w:rsidRDefault="00D978A3" w:rsidP="00455A63">
      <w:pPr>
        <w:widowControl w:val="0"/>
        <w:autoSpaceDE w:val="0"/>
        <w:autoSpaceDN w:val="0"/>
        <w:adjustRightInd w:val="0"/>
        <w:spacing w:line="276" w:lineRule="auto"/>
        <w:ind w:firstLine="720"/>
        <w:jc w:val="both"/>
        <w:rPr>
          <w:rFonts w:ascii="TimesNewRomanPSMT" w:eastAsiaTheme="minorHAnsi" w:hAnsi="TimesNewRomanPSMT" w:cs="TimesNewRomanPSMT"/>
          <w:lang w:eastAsia="en-US"/>
        </w:rPr>
      </w:pPr>
      <w:r w:rsidRPr="001234CA">
        <w:rPr>
          <w:rFonts w:asciiTheme="majorBidi" w:hAnsiTheme="majorBidi" w:cstheme="majorBidi"/>
        </w:rPr>
        <w:t>Savukārt</w:t>
      </w:r>
      <w:r w:rsidR="00CE24BA">
        <w:rPr>
          <w:rFonts w:asciiTheme="majorBidi" w:hAnsiTheme="majorBidi" w:cstheme="majorBidi"/>
        </w:rPr>
        <w:t>,</w:t>
      </w:r>
      <w:r w:rsidRPr="001234CA">
        <w:rPr>
          <w:rFonts w:asciiTheme="majorBidi" w:hAnsiTheme="majorBidi" w:cstheme="majorBidi"/>
        </w:rPr>
        <w:t xml:space="preserve"> atzīstot par ticamām liecinieka </w:t>
      </w:r>
      <w:r w:rsidR="00A56B02">
        <w:rPr>
          <w:rFonts w:asciiTheme="majorBidi" w:hAnsiTheme="majorBidi" w:cstheme="majorBidi"/>
        </w:rPr>
        <w:t>[pers. </w:t>
      </w:r>
      <w:r w:rsidR="00A56B02">
        <w:t>D]</w:t>
      </w:r>
      <w:r w:rsidRPr="001234CA">
        <w:rPr>
          <w:rFonts w:asciiTheme="majorBidi" w:hAnsiTheme="majorBidi" w:cstheme="majorBidi"/>
        </w:rPr>
        <w:t xml:space="preserve"> liecības, ka pēc </w:t>
      </w:r>
      <w:r w:rsidR="00A56B02">
        <w:rPr>
          <w:rFonts w:asciiTheme="majorBidi" w:hAnsiTheme="majorBidi" w:cstheme="majorBidi"/>
        </w:rPr>
        <w:t>[pers. B]</w:t>
      </w:r>
      <w:r w:rsidRPr="001234CA">
        <w:rPr>
          <w:rFonts w:asciiTheme="majorBidi" w:hAnsiTheme="majorBidi" w:cstheme="majorBidi"/>
        </w:rPr>
        <w:t xml:space="preserve"> slepkavības apsūdzētais </w:t>
      </w:r>
      <w:r w:rsidR="00A56B02">
        <w:rPr>
          <w:rFonts w:asciiTheme="majorBidi" w:hAnsiTheme="majorBidi" w:cstheme="majorBidi"/>
        </w:rPr>
        <w:t>[pers. A]</w:t>
      </w:r>
      <w:r w:rsidR="006B2C87">
        <w:rPr>
          <w:rFonts w:asciiTheme="majorBidi" w:hAnsiTheme="majorBidi" w:cstheme="majorBidi"/>
        </w:rPr>
        <w:t xml:space="preserve"> </w:t>
      </w:r>
      <w:r w:rsidRPr="001234CA">
        <w:rPr>
          <w:rFonts w:asciiTheme="majorBidi" w:hAnsiTheme="majorBidi" w:cstheme="majorBidi"/>
        </w:rPr>
        <w:t xml:space="preserve">nometis zemē nazi, kuru neviens </w:t>
      </w:r>
      <w:r w:rsidR="006B2C87">
        <w:rPr>
          <w:rFonts w:asciiTheme="majorBidi" w:hAnsiTheme="majorBidi" w:cstheme="majorBidi"/>
        </w:rPr>
        <w:t>vairs</w:t>
      </w:r>
      <w:r w:rsidRPr="001234CA">
        <w:rPr>
          <w:rFonts w:asciiTheme="majorBidi" w:hAnsiTheme="majorBidi" w:cstheme="majorBidi"/>
        </w:rPr>
        <w:t xml:space="preserve"> nav aizticis, apelācijas instances tiesa šajās liecībās ietvertās ziņas nav izvērtējusi kopsakarā ar kompleksās </w:t>
      </w:r>
      <w:proofErr w:type="gramStart"/>
      <w:r w:rsidRPr="001234CA">
        <w:rPr>
          <w:rFonts w:asciiTheme="majorBidi" w:hAnsiTheme="majorBidi" w:cstheme="majorBidi"/>
        </w:rPr>
        <w:t>(</w:t>
      </w:r>
      <w:proofErr w:type="gramEnd"/>
      <w:r w:rsidRPr="001234CA">
        <w:rPr>
          <w:rFonts w:asciiTheme="majorBidi" w:hAnsiTheme="majorBidi" w:cstheme="majorBidi"/>
        </w:rPr>
        <w:t xml:space="preserve">bioloģiskās (DNS) un daktiloskopiskās) ekspertīzes ekspertu 2018. gada 26. februāra atzinumā Nr. 1800527/1800528 secināto, ka uz notikuma vietā izņemtā naža roktura nav atrastas roku </w:t>
      </w:r>
      <w:proofErr w:type="spellStart"/>
      <w:r w:rsidRPr="001234CA">
        <w:rPr>
          <w:rFonts w:asciiTheme="majorBidi" w:hAnsiTheme="majorBidi" w:cstheme="majorBidi"/>
        </w:rPr>
        <w:t>papillārlīniju</w:t>
      </w:r>
      <w:proofErr w:type="spellEnd"/>
      <w:r w:rsidRPr="001234CA">
        <w:rPr>
          <w:rFonts w:asciiTheme="majorBidi" w:hAnsiTheme="majorBidi" w:cstheme="majorBidi"/>
        </w:rPr>
        <w:t xml:space="preserve"> pēdas.</w:t>
      </w:r>
    </w:p>
    <w:p w14:paraId="5A1FF799" w14:textId="134B65C3" w:rsidR="002A260B" w:rsidRDefault="002A260B" w:rsidP="00455A63">
      <w:pPr>
        <w:widowControl w:val="0"/>
        <w:spacing w:line="276" w:lineRule="auto"/>
        <w:ind w:firstLine="720"/>
        <w:jc w:val="both"/>
      </w:pPr>
      <w:r>
        <w:rPr>
          <w:rFonts w:ascii="TimesNewRomanPSMT" w:eastAsiaTheme="minorHAnsi" w:hAnsi="TimesNewRomanPSMT" w:cs="TimesNewRomanPSMT"/>
          <w:lang w:eastAsia="en-US"/>
        </w:rPr>
        <w:t>[8.3]</w:t>
      </w:r>
      <w:r>
        <w:t xml:space="preserve"> Senāts konstatē, ka </w:t>
      </w:r>
      <w:r w:rsidR="00DB670F">
        <w:t xml:space="preserve">apelācijas instances tiesas spriedumā ir izklāstītas </w:t>
      </w:r>
      <w:r w:rsidR="00C37DED">
        <w:t>lieciniece</w:t>
      </w:r>
      <w:r w:rsidR="00DB670F">
        <w:t>s</w:t>
      </w:r>
      <w:r w:rsidR="00C37DED">
        <w:t xml:space="preserve"> </w:t>
      </w:r>
      <w:r w:rsidR="00A56B02">
        <w:t>[pers. N]</w:t>
      </w:r>
      <w:r w:rsidR="00DB670F">
        <w:t xml:space="preserve"> pirmās instances tiesā</w:t>
      </w:r>
      <w:r w:rsidR="00C37DED">
        <w:t xml:space="preserve"> </w:t>
      </w:r>
      <w:r w:rsidR="00DB670F">
        <w:t>sniegtās</w:t>
      </w:r>
      <w:r w:rsidR="00C37DED">
        <w:t xml:space="preserve"> liecības p</w:t>
      </w:r>
      <w:r>
        <w:t xml:space="preserve">ar </w:t>
      </w:r>
      <w:r w:rsidR="00DB670F">
        <w:t xml:space="preserve">mazgadīgajam </w:t>
      </w:r>
      <w:r w:rsidR="00A56B02">
        <w:t>[pers. G]</w:t>
      </w:r>
      <w:r w:rsidR="00DB670F">
        <w:t xml:space="preserve"> veiktajā</w:t>
      </w:r>
      <w:r>
        <w:t xml:space="preserve"> psiholoģisk</w:t>
      </w:r>
      <w:r w:rsidR="00DB670F">
        <w:t>ajā</w:t>
      </w:r>
      <w:r>
        <w:t xml:space="preserve"> izpētē izmantotajām metodēm, tās </w:t>
      </w:r>
      <w:r w:rsidR="00DB670F">
        <w:t xml:space="preserve">norises </w:t>
      </w:r>
      <w:r>
        <w:t xml:space="preserve">gaitu un </w:t>
      </w:r>
      <w:r w:rsidR="00A56B02">
        <w:t>[pers. G]</w:t>
      </w:r>
      <w:r>
        <w:t xml:space="preserve"> stāstīto, sniedzot atbildes uz procesa virzītāja lēmumā </w:t>
      </w:r>
      <w:r w:rsidR="00DB670F">
        <w:t xml:space="preserve">par psiholoģiskās izpētes </w:t>
      </w:r>
      <w:r w:rsidR="00A56B02">
        <w:t>[pers. G]</w:t>
      </w:r>
      <w:r w:rsidR="00DB670F">
        <w:t xml:space="preserve"> noteikšanu </w:t>
      </w:r>
      <w:r>
        <w:t>ietvertajiem jautājumiem.</w:t>
      </w:r>
    </w:p>
    <w:p w14:paraId="4E0F4B02" w14:textId="49142E36" w:rsidR="009B555F" w:rsidRDefault="002A260B" w:rsidP="00455A63">
      <w:pPr>
        <w:widowControl w:val="0"/>
        <w:spacing w:line="276" w:lineRule="auto"/>
        <w:ind w:firstLine="720"/>
        <w:jc w:val="both"/>
      </w:pPr>
      <w:r>
        <w:t>Apelācijas instances tiesa nav apstrīdējusi psiholoģes profesionalitāti, izpētē izmantotās metodes un atzinuma tiesiskumu. Vienlaikus apelācijas instances tiesa</w:t>
      </w:r>
      <w:r w:rsidR="00EB2A15">
        <w:t>, to nemotivējot,</w:t>
      </w:r>
      <w:r>
        <w:t xml:space="preserve"> atzinusi, ka </w:t>
      </w:r>
      <w:r w:rsidR="00EB2A15">
        <w:t>tajā</w:t>
      </w:r>
      <w:r>
        <w:t xml:space="preserve"> sniegts vienīgi vispārējs ieskats par samērā biežu alkohola lietošanu </w:t>
      </w:r>
      <w:r w:rsidR="00A56B02">
        <w:t>[pers. G]</w:t>
      </w:r>
      <w:r>
        <w:t xml:space="preserve"> mājās.</w:t>
      </w:r>
      <w:r w:rsidR="00816DBB">
        <w:t xml:space="preserve"> </w:t>
      </w:r>
    </w:p>
    <w:p w14:paraId="703EEB2F" w14:textId="500611E5" w:rsidR="002A260B" w:rsidRDefault="002A260B" w:rsidP="00455A63">
      <w:pPr>
        <w:widowControl w:val="0"/>
        <w:spacing w:line="276" w:lineRule="auto"/>
        <w:ind w:firstLine="720"/>
        <w:jc w:val="both"/>
      </w:pPr>
      <w:r>
        <w:t xml:space="preserve">Savukārt </w:t>
      </w:r>
      <w:r w:rsidR="00A56B02">
        <w:t>[pers. G]</w:t>
      </w:r>
      <w:r>
        <w:t xml:space="preserve"> stāstīto psihologam</w:t>
      </w:r>
      <w:r w:rsidR="00DB670F">
        <w:t xml:space="preserve"> par to</w:t>
      </w:r>
      <w:r>
        <w:t xml:space="preserve">, ka caur durvju atvērumu redzējis vīrieti, kuram no kakla plūdušas asinis, </w:t>
      </w:r>
      <w:proofErr w:type="gramStart"/>
      <w:r>
        <w:t xml:space="preserve">un ka </w:t>
      </w:r>
      <w:r w:rsidR="00DB670F">
        <w:t xml:space="preserve">šim </w:t>
      </w:r>
      <w:r>
        <w:t>vīrietim pretim ar asiņainu nazi rokās stāvējusi viņa māte, apelācijas instances</w:t>
      </w:r>
      <w:proofErr w:type="gramEnd"/>
      <w:r>
        <w:t xml:space="preserve"> tiesa, to nemotivējot, atzinusi par uz izskatāmo kriminālprocesu neattiecināmu pierādījumu.</w:t>
      </w:r>
    </w:p>
    <w:p w14:paraId="1BBCC8E3" w14:textId="6C706158" w:rsidR="001F574A" w:rsidRPr="00E43BB2" w:rsidRDefault="001F574A" w:rsidP="00455A63">
      <w:pPr>
        <w:widowControl w:val="0"/>
        <w:spacing w:line="276" w:lineRule="auto"/>
        <w:ind w:firstLine="720"/>
        <w:jc w:val="both"/>
      </w:pPr>
      <w:r>
        <w:rPr>
          <w:rFonts w:ascii="TimesNewRomanPSMT" w:eastAsiaTheme="minorHAnsi" w:hAnsi="TimesNewRomanPSMT" w:cs="TimesNewRomanPSMT"/>
          <w:lang w:eastAsia="en-US"/>
        </w:rPr>
        <w:t>[8.</w:t>
      </w:r>
      <w:r w:rsidR="00615897">
        <w:rPr>
          <w:rFonts w:ascii="TimesNewRomanPSMT" w:eastAsiaTheme="minorHAnsi" w:hAnsi="TimesNewRomanPSMT" w:cs="TimesNewRomanPSMT"/>
          <w:lang w:eastAsia="en-US"/>
        </w:rPr>
        <w:t>4</w:t>
      </w:r>
      <w:r>
        <w:rPr>
          <w:rFonts w:ascii="TimesNewRomanPSMT" w:eastAsiaTheme="minorHAnsi" w:hAnsi="TimesNewRomanPSMT" w:cs="TimesNewRomanPSMT"/>
          <w:lang w:eastAsia="en-US"/>
        </w:rPr>
        <w:t>] </w:t>
      </w:r>
      <w:r w:rsidRPr="00E43BB2">
        <w:t>Senāts norāda, ka atbilstoši Kriminālprocesa likuma 132. panta pirmaj</w:t>
      </w:r>
      <w:r>
        <w:t>ai daļai</w:t>
      </w:r>
      <w:r w:rsidRPr="00E43BB2">
        <w:t xml:space="preserve"> eksperta atzinums ir viens no pierādījumu veidiem. Līdz ar to arī eksperta atzinuma ticamība pārbaudāma saskaņā ar Kriminālprocesa likuma 128. panta otrās daļas prasībām – to kopumā un savstarpējā sakarībā ar citiem lietā iegūtajiem pierādījumiem.</w:t>
      </w:r>
    </w:p>
    <w:p w14:paraId="34736ABB" w14:textId="58D7E663" w:rsidR="001F574A" w:rsidRPr="00E43BB2" w:rsidRDefault="001F574A" w:rsidP="00455A63">
      <w:pPr>
        <w:widowControl w:val="0"/>
        <w:spacing w:line="276" w:lineRule="auto"/>
        <w:ind w:firstLine="720"/>
        <w:jc w:val="both"/>
      </w:pPr>
      <w:r>
        <w:t xml:space="preserve">Savukārt </w:t>
      </w:r>
      <w:r w:rsidRPr="00E43BB2">
        <w:t xml:space="preserve">Senāta judikatūrā iepriekš pausta atziņa, ka nevar izdarīt lietas apstākļu juridiskai izšķiršanai nozīmīgus secinājumus tikai uz </w:t>
      </w:r>
      <w:r w:rsidRPr="001F574A">
        <w:t>vainīgā poligrāfa</w:t>
      </w:r>
      <w:r w:rsidRPr="00AC26CF">
        <w:t xml:space="preserve"> </w:t>
      </w:r>
      <w:r w:rsidRPr="00E43BB2">
        <w:t>pārbaudes rezultātiem, bet jāizvērtē visi lietā noskaidrotie apstākļi (</w:t>
      </w:r>
      <w:r w:rsidRPr="00E43BB2">
        <w:rPr>
          <w:i/>
          <w:iCs/>
        </w:rPr>
        <w:t>Senāta 2015. gada 2. jūlija lēmums lietā Nr. SKK-</w:t>
      </w:r>
      <w:hyperlink r:id="rId16" w:history="1">
        <w:r w:rsidRPr="00533470">
          <w:rPr>
            <w:rStyle w:val="Hyperlink"/>
            <w:i/>
            <w:iCs/>
          </w:rPr>
          <w:t>320/2015</w:t>
        </w:r>
      </w:hyperlink>
      <w:r w:rsidR="00533470">
        <w:rPr>
          <w:i/>
          <w:iCs/>
        </w:rPr>
        <w:t xml:space="preserve">, </w:t>
      </w:r>
      <w:r w:rsidRPr="00E43BB2">
        <w:rPr>
          <w:i/>
          <w:iCs/>
        </w:rPr>
        <w:t>11390027413</w:t>
      </w:r>
      <w:r w:rsidRPr="00E43BB2">
        <w:t>).</w:t>
      </w:r>
    </w:p>
    <w:p w14:paraId="23FC8D74" w14:textId="17243B91" w:rsidR="00E012A4" w:rsidRDefault="001F574A" w:rsidP="00455A63">
      <w:pPr>
        <w:widowControl w:val="0"/>
        <w:spacing w:line="276" w:lineRule="auto"/>
        <w:ind w:firstLine="720"/>
        <w:jc w:val="both"/>
      </w:pPr>
      <w:r w:rsidRPr="00E43BB2">
        <w:t xml:space="preserve">Apelācijas instances tiesa, spriedumā </w:t>
      </w:r>
      <w:r w:rsidR="007C62E3">
        <w:t>piekrītot</w:t>
      </w:r>
      <w:r w:rsidRPr="00E43BB2">
        <w:t xml:space="preserve"> poligrāfa ekspertīzes eksperta 2018. gada atzinumā Nr. 591-1-18/835 secināt</w:t>
      </w:r>
      <w:r w:rsidR="007C62E3">
        <w:t>ajam</w:t>
      </w:r>
      <w:r w:rsidRPr="00E43BB2">
        <w:t>, tajā skaitā</w:t>
      </w:r>
      <w:r w:rsidR="00533470">
        <w:t xml:space="preserve"> tam</w:t>
      </w:r>
      <w:r w:rsidRPr="00E43BB2">
        <w:t xml:space="preserve">, ka </w:t>
      </w:r>
      <w:r w:rsidR="00A56B02">
        <w:t>[pers. A]</w:t>
      </w:r>
      <w:r w:rsidRPr="00E43BB2">
        <w:t xml:space="preserve"> melo, teikdams, ka nenodūra </w:t>
      </w:r>
      <w:r w:rsidR="00A56B02">
        <w:t>[pers. B]</w:t>
      </w:r>
      <w:r w:rsidRPr="00E43BB2">
        <w:t xml:space="preserve">, bet ar asinīm nosmērējās, mēģinot </w:t>
      </w:r>
      <w:r>
        <w:t xml:space="preserve">piecelt </w:t>
      </w:r>
      <w:r w:rsidR="00A56B02">
        <w:t>[pers. B]</w:t>
      </w:r>
      <w:r w:rsidRPr="00E43BB2">
        <w:t>, savu atzinumu nav pamatojusi ar citiem lietā iegūtajiem pierādījumiem atbilstoši Kriminālprocesa likum</w:t>
      </w:r>
      <w:r>
        <w:t xml:space="preserve">a 128. panta </w:t>
      </w:r>
      <w:r w:rsidR="00533470">
        <w:t xml:space="preserve">otrajā </w:t>
      </w:r>
      <w:r>
        <w:t>daļā noteiktajam.</w:t>
      </w:r>
      <w:r w:rsidRPr="00E43BB2">
        <w:t xml:space="preserve"> Turklāt tiesa nav izvērtējusi un sniegusi atzinumu par apsūdzētā </w:t>
      </w:r>
      <w:r w:rsidR="00A56B02">
        <w:t>[pers. A]</w:t>
      </w:r>
      <w:r w:rsidRPr="00E43BB2">
        <w:t xml:space="preserve"> izteiktajiem iebildumiem par viņa ieskatā ekspertīzes gaitā pieļautajiem pārkāpumiem.</w:t>
      </w:r>
    </w:p>
    <w:p w14:paraId="3D475A07" w14:textId="01073D3B" w:rsidR="00291A52" w:rsidRPr="004E2E61" w:rsidRDefault="004E2E61" w:rsidP="00455A63">
      <w:pPr>
        <w:widowControl w:val="0"/>
        <w:spacing w:line="276" w:lineRule="auto"/>
        <w:ind w:firstLine="720"/>
        <w:jc w:val="both"/>
      </w:pPr>
      <w:r>
        <w:t>[8.5] </w:t>
      </w:r>
      <w:r w:rsidRPr="00A31688">
        <w:t>Kriminālprocesa likuma 129. pants noteic, ka pierādījumi ir attiecināmi uz konkrēto kriminālprocesu, ja ziņas par faktiem tieši vai netieši apstiprina kriminālprocesā pierādāmo apstākļu esamību vai neesamību, kā arī citu pierādījumu ticamību vai neticamību, izmantošanas iespējamību vai neiespējamību.</w:t>
      </w:r>
    </w:p>
    <w:p w14:paraId="00DA7F32" w14:textId="7EDCE3C2" w:rsidR="00FE07FF" w:rsidRPr="00E012A4" w:rsidRDefault="00FE07FF" w:rsidP="00455A63">
      <w:pPr>
        <w:widowControl w:val="0"/>
        <w:spacing w:line="276" w:lineRule="auto"/>
        <w:ind w:firstLine="720"/>
        <w:jc w:val="both"/>
      </w:pPr>
      <w:r w:rsidRPr="00E012A4">
        <w:t xml:space="preserve">Apelācijas instances tiesa spriedumā, atzīstot apsūdzēto </w:t>
      </w:r>
      <w:r w:rsidR="00A56B02">
        <w:t>[pers. A]</w:t>
      </w:r>
      <w:r w:rsidRPr="00E012A4">
        <w:t xml:space="preserve"> par vainīgu Krimināllikuma 116. pantā paredzētajā noziedzīgajā nodarījumā, </w:t>
      </w:r>
      <w:r w:rsidR="003B2803">
        <w:t xml:space="preserve">norādījusi, ka </w:t>
      </w:r>
      <w:r w:rsidRPr="00E012A4">
        <w:t xml:space="preserve">vērā ņemams kriminālprocesā noskaidrotais, ka apsūdzētais strādājis lopkautuvē, proti, agrāk ir nogalinājis dzīvniekus </w:t>
      </w:r>
      <w:r>
        <w:t>„</w:t>
      </w:r>
      <w:r w:rsidRPr="00E012A4">
        <w:t>tieši durot tiem ar aukstajiem ieročiem kaklā, kas var</w:t>
      </w:r>
      <w:r w:rsidR="003B2803">
        <w:t>ētu</w:t>
      </w:r>
      <w:r w:rsidRPr="00E012A4">
        <w:t xml:space="preserve"> liecināt par viņa </w:t>
      </w:r>
      <w:r w:rsidR="003B2803">
        <w:t xml:space="preserve">praktiskajām </w:t>
      </w:r>
      <w:r w:rsidRPr="00E012A4">
        <w:t>prasmēm</w:t>
      </w:r>
      <w:r w:rsidR="003B2803">
        <w:t xml:space="preserve"> un</w:t>
      </w:r>
      <w:r w:rsidRPr="00E012A4">
        <w:t xml:space="preserve"> zināšanām</w:t>
      </w:r>
      <w:r w:rsidR="003B2803">
        <w:t>, kas saistītas ar</w:t>
      </w:r>
      <w:r w:rsidRPr="00E012A4">
        <w:t xml:space="preserve"> </w:t>
      </w:r>
      <w:r w:rsidR="003B2803">
        <w:t>gan</w:t>
      </w:r>
      <w:r w:rsidR="003B2803" w:rsidRPr="00E012A4">
        <w:t xml:space="preserve"> </w:t>
      </w:r>
      <w:r w:rsidRPr="00E012A4">
        <w:t>cilvēku</w:t>
      </w:r>
      <w:r w:rsidR="003B2803">
        <w:t xml:space="preserve">, gan </w:t>
      </w:r>
      <w:r w:rsidRPr="00E012A4">
        <w:t xml:space="preserve"> dzīvnieku </w:t>
      </w:r>
      <w:r w:rsidR="003B2803">
        <w:t xml:space="preserve">dzīvību </w:t>
      </w:r>
      <w:r w:rsidRPr="00E012A4">
        <w:t>svarīgiem orgāniem un to īpatnībām (anatomiju)”.</w:t>
      </w:r>
    </w:p>
    <w:p w14:paraId="1795738A" w14:textId="6C747699" w:rsidR="00434243" w:rsidRDefault="00FE07FF" w:rsidP="00455A63">
      <w:pPr>
        <w:widowControl w:val="0"/>
        <w:spacing w:line="276" w:lineRule="auto"/>
        <w:ind w:firstLine="720"/>
        <w:jc w:val="both"/>
      </w:pPr>
      <w:r>
        <w:t xml:space="preserve">Tādējādi apelācijas instances tiesa spriedumu pamatojusi ar pierādījumu, kas nav attiecināms uz izskatāmo lietu, proti, </w:t>
      </w:r>
      <w:r w:rsidR="003B2803">
        <w:t>inkriminēto darbību</w:t>
      </w:r>
      <w:r>
        <w:t xml:space="preserve"> līdzību ar apsūdzētā </w:t>
      </w:r>
      <w:r w:rsidR="0052079D">
        <w:t xml:space="preserve">iepriekš </w:t>
      </w:r>
      <w:r>
        <w:t xml:space="preserve">iespējami veiktajām darbībām, </w:t>
      </w:r>
      <w:r w:rsidR="0052079D">
        <w:t>esot</w:t>
      </w:r>
      <w:r>
        <w:t xml:space="preserve"> nodarbināt</w:t>
      </w:r>
      <w:r w:rsidR="0052079D">
        <w:t>am</w:t>
      </w:r>
      <w:r>
        <w:t xml:space="preserve"> lopkautuvē. Turklāt norādot, ka minētais fakts ir vērā ņemams, apelācijas instances tiesa šim pierādījumam piešķīrusi nozīmi.</w:t>
      </w:r>
    </w:p>
    <w:p w14:paraId="39AE977C" w14:textId="7AF5636F" w:rsidR="00C365CD" w:rsidRDefault="00C365CD" w:rsidP="00455A63">
      <w:pPr>
        <w:widowControl w:val="0"/>
        <w:spacing w:line="276" w:lineRule="auto"/>
        <w:ind w:firstLine="720"/>
        <w:jc w:val="both"/>
      </w:pPr>
      <w:r>
        <w:t xml:space="preserve">[8.6] No lietas materiāliem </w:t>
      </w:r>
      <w:r w:rsidR="009F7B59">
        <w:t>konstatējams</w:t>
      </w:r>
      <w:r>
        <w:t xml:space="preserve">, ka 2017. gada 17. decembrī </w:t>
      </w:r>
      <w:r w:rsidR="00A56B02">
        <w:t>[pers. A]</w:t>
      </w:r>
      <w:r>
        <w:t xml:space="preserve"> nopratināts īslaicīgās aizturēšanas vietā, par ko sastādīts protokols, kuru parakstījusi vienīgi procesa virzītāja, kaut arī nopratināšanā piedalījušies arī citi policijas darbinieki. </w:t>
      </w:r>
      <w:r w:rsidR="009F7B59">
        <w:t>Vienlaikus</w:t>
      </w:r>
      <w:r w:rsidR="00F67415">
        <w:t xml:space="preserve"> a</w:t>
      </w:r>
      <w:r>
        <w:t xml:space="preserve">pelācijas instances tiesa </w:t>
      </w:r>
      <w:r w:rsidR="00015417">
        <w:t>spriedumā nav analizējusi</w:t>
      </w:r>
      <w:r w:rsidR="00F67415">
        <w:t xml:space="preserve"> to</w:t>
      </w:r>
      <w:r>
        <w:t>, vai apsūdzētā nopratināšana vairāku policijas darbinieku klātbūtnē, kas veikuši aktīvu iz</w:t>
      </w:r>
      <w:r w:rsidR="00F67415">
        <w:t>t</w:t>
      </w:r>
      <w:r>
        <w:t>au</w:t>
      </w:r>
      <w:r w:rsidR="00F67415">
        <w:t>j</w:t>
      </w:r>
      <w:r>
        <w:t>āšanu, ir vai nav radījuši Kriminālprocesa likuma 130. panta pirmās daļas 1. punktā norādītos apstākļus,</w:t>
      </w:r>
      <w:r w:rsidR="00015417">
        <w:t xml:space="preserve"> tādējādi apelācijas instances tiesa savu atzinumu par to, ka pirmstiesas kriminālprocesā, pratinot apsūdzēto </w:t>
      </w:r>
      <w:r w:rsidR="00A56B02">
        <w:t>[pers. A]</w:t>
      </w:r>
      <w:r w:rsidR="00015417">
        <w:t>, nav pieļauts Kriminālprocesa likuma 130. panta pārkāpums, nav pamatojusi atbilstoši Kriminālprocesa likuma prasībām</w:t>
      </w:r>
      <w:r w:rsidRPr="008C4E9F">
        <w:t>.</w:t>
      </w:r>
    </w:p>
    <w:p w14:paraId="79F63341" w14:textId="77777777" w:rsidR="00C365CD" w:rsidRPr="008C4E9F" w:rsidRDefault="00C365CD" w:rsidP="00455A63">
      <w:pPr>
        <w:widowControl w:val="0"/>
        <w:spacing w:line="276" w:lineRule="auto"/>
        <w:ind w:firstLine="720"/>
        <w:jc w:val="both"/>
      </w:pPr>
    </w:p>
    <w:p w14:paraId="3B5B8B46" w14:textId="13A89924" w:rsidR="00015417" w:rsidRDefault="00C365CD" w:rsidP="00455A63">
      <w:pPr>
        <w:widowControl w:val="0"/>
        <w:spacing w:line="276" w:lineRule="auto"/>
        <w:ind w:firstLine="720"/>
        <w:jc w:val="both"/>
      </w:pPr>
      <w:r w:rsidRPr="008C4E9F">
        <w:t>[9]</w:t>
      </w:r>
      <w:r>
        <w:t> </w:t>
      </w:r>
      <w:r w:rsidRPr="008C4E9F">
        <w:t>Iepriekš minēto</w:t>
      </w:r>
      <w:r w:rsidR="00015417">
        <w:t>s</w:t>
      </w:r>
      <w:r w:rsidRPr="008C4E9F">
        <w:t xml:space="preserve"> Kriminālprocesa likuma pārkāpumus Senāts atzīst par būtiskiem </w:t>
      </w:r>
      <w:r w:rsidR="00015417">
        <w:t xml:space="preserve">pārkāpumiem </w:t>
      </w:r>
      <w:r w:rsidRPr="008C4E9F">
        <w:t xml:space="preserve">Kriminālprocesa likuma 575. panta trešās daļas izpratnē, </w:t>
      </w:r>
      <w:r w:rsidR="00015417">
        <w:t xml:space="preserve">kas tādējādi ir </w:t>
      </w:r>
      <w:r w:rsidR="00015417" w:rsidRPr="00B0503C">
        <w:rPr>
          <w:rFonts w:asciiTheme="majorBidi" w:hAnsiTheme="majorBidi" w:cstheme="majorBidi"/>
        </w:rPr>
        <w:t>noveduši pie nelikumīga nolēmuma</w:t>
      </w:r>
      <w:r w:rsidR="00015417">
        <w:rPr>
          <w:rFonts w:asciiTheme="majorBidi" w:hAnsiTheme="majorBidi" w:cstheme="majorBidi"/>
        </w:rPr>
        <w:t>, līdz ar to</w:t>
      </w:r>
      <w:r w:rsidRPr="008C4E9F">
        <w:t xml:space="preserve"> apelācijas instances tiesas spriedum</w:t>
      </w:r>
      <w:r w:rsidR="00015417">
        <w:t>s ir</w:t>
      </w:r>
      <w:r w:rsidRPr="008C4E9F">
        <w:t xml:space="preserve"> atceļams un lieta nosūtāma jaunai izskatīšanai apelācijas instances tiesā.</w:t>
      </w:r>
    </w:p>
    <w:p w14:paraId="650D3C1F" w14:textId="77777777" w:rsidR="00C365CD" w:rsidRDefault="00C365CD" w:rsidP="00455A63">
      <w:pPr>
        <w:widowControl w:val="0"/>
        <w:spacing w:line="276" w:lineRule="auto"/>
        <w:ind w:firstLine="720"/>
        <w:jc w:val="both"/>
      </w:pPr>
    </w:p>
    <w:p w14:paraId="47C867E0" w14:textId="7E686EF1" w:rsidR="00C365CD" w:rsidRDefault="00C365CD" w:rsidP="00455A63">
      <w:pPr>
        <w:widowControl w:val="0"/>
        <w:spacing w:line="276" w:lineRule="auto"/>
        <w:ind w:firstLine="720"/>
        <w:jc w:val="both"/>
      </w:pPr>
      <w:r>
        <w:t xml:space="preserve">[10] Senāts atzīst, ka apsūdzētajam </w:t>
      </w:r>
      <w:r w:rsidR="00A56B02">
        <w:t>[pers. A]</w:t>
      </w:r>
      <w:r>
        <w:t xml:space="preserve"> turpināms piemērotais drošības līdzeklis – apcietinājums.</w:t>
      </w:r>
      <w:r w:rsidR="00E90A56">
        <w:t xml:space="preserve"> </w:t>
      </w:r>
      <w:r w:rsidR="00E90A56" w:rsidRPr="004E32C8">
        <w:rPr>
          <w:rFonts w:asciiTheme="majorBidi" w:hAnsiTheme="majorBidi" w:cstheme="majorBidi"/>
        </w:rPr>
        <w:t>Piemērot</w:t>
      </w:r>
      <w:r w:rsidR="00E90A56">
        <w:rPr>
          <w:rFonts w:asciiTheme="majorBidi" w:hAnsiTheme="majorBidi" w:cstheme="majorBidi"/>
        </w:rPr>
        <w:t>ais</w:t>
      </w:r>
      <w:r w:rsidR="00E90A56" w:rsidRPr="004E32C8">
        <w:rPr>
          <w:rFonts w:asciiTheme="majorBidi" w:hAnsiTheme="majorBidi" w:cstheme="majorBidi"/>
        </w:rPr>
        <w:t xml:space="preserve"> drošības līdzek</w:t>
      </w:r>
      <w:r w:rsidR="00E90A56">
        <w:rPr>
          <w:rFonts w:asciiTheme="majorBidi" w:hAnsiTheme="majorBidi" w:cstheme="majorBidi"/>
        </w:rPr>
        <w:t>lis</w:t>
      </w:r>
      <w:r w:rsidR="00E90A56" w:rsidRPr="004E32C8">
        <w:rPr>
          <w:rFonts w:asciiTheme="majorBidi" w:hAnsiTheme="majorBidi" w:cstheme="majorBidi"/>
        </w:rPr>
        <w:t xml:space="preserve"> izskatāmajā lietā atzīstam</w:t>
      </w:r>
      <w:r w:rsidR="00E90A56">
        <w:rPr>
          <w:rFonts w:asciiTheme="majorBidi" w:hAnsiTheme="majorBidi" w:cstheme="majorBidi"/>
        </w:rPr>
        <w:t>s</w:t>
      </w:r>
      <w:r w:rsidR="00E90A56" w:rsidRPr="004E32C8">
        <w:rPr>
          <w:rFonts w:asciiTheme="majorBidi" w:hAnsiTheme="majorBidi" w:cstheme="majorBidi"/>
        </w:rPr>
        <w:t xml:space="preserve"> par samērīg</w:t>
      </w:r>
      <w:r w:rsidR="00E90A56">
        <w:rPr>
          <w:rFonts w:asciiTheme="majorBidi" w:hAnsiTheme="majorBidi" w:cstheme="majorBidi"/>
        </w:rPr>
        <w:t>u</w:t>
      </w:r>
      <w:r w:rsidR="00E90A56" w:rsidRPr="004E32C8">
        <w:rPr>
          <w:rFonts w:asciiTheme="majorBidi" w:hAnsiTheme="majorBidi" w:cstheme="majorBidi"/>
        </w:rPr>
        <w:t>.</w:t>
      </w:r>
    </w:p>
    <w:p w14:paraId="6E45C474" w14:textId="77777777" w:rsidR="00C365CD" w:rsidRDefault="00C365CD" w:rsidP="00455A63">
      <w:pPr>
        <w:widowControl w:val="0"/>
        <w:spacing w:line="276" w:lineRule="auto"/>
        <w:ind w:firstLine="720"/>
        <w:jc w:val="both"/>
      </w:pPr>
      <w:r>
        <w:t>Kriminālprocesa likuma 272. panta ceturtā daļa noteic, ka pamats apcietinājumam var būt tiesas spriedums par smaga vai sevišķi smaga nozieguma izdarīšanu, par kuru piespriests brīvības atņemšanas sods.</w:t>
      </w:r>
    </w:p>
    <w:p w14:paraId="058E8C4E" w14:textId="4505278C" w:rsidR="00C365CD" w:rsidRDefault="00C365CD" w:rsidP="00455A63">
      <w:pPr>
        <w:widowControl w:val="0"/>
        <w:spacing w:line="276" w:lineRule="auto"/>
        <w:ind w:firstLine="720"/>
        <w:jc w:val="both"/>
      </w:pPr>
      <w:r>
        <w:t xml:space="preserve">Ar Daugavpils tiesas 2021. gada 30. jūnija spriedumu apsūdzētais </w:t>
      </w:r>
      <w:r w:rsidR="00A56B02">
        <w:t>[pers. A]</w:t>
      </w:r>
      <w:r>
        <w:t xml:space="preserve"> atzīts par vainīgu Krimināllikuma 116. pantā paredzētā nozieguma izdarīšanā un sodīts ar brīvības atņemšanas sodu. Krimināllikuma 116. pantā paredzētais noziedzīgais nodarījums saskaņā ar Krimināllikuma 7. panta piekto daļu atzīstams par sevišķi smagu noziegumu.</w:t>
      </w:r>
    </w:p>
    <w:p w14:paraId="48A9510C" w14:textId="77777777" w:rsidR="00C365CD" w:rsidRPr="008C4E9F" w:rsidRDefault="00C365CD" w:rsidP="00455A63">
      <w:pPr>
        <w:widowControl w:val="0"/>
        <w:spacing w:line="276" w:lineRule="auto"/>
        <w:ind w:firstLine="720"/>
        <w:jc w:val="both"/>
      </w:pPr>
      <w:r>
        <w:t xml:space="preserve"> </w:t>
      </w:r>
    </w:p>
    <w:p w14:paraId="2297027E" w14:textId="77777777" w:rsidR="00C365CD" w:rsidRPr="00A01499" w:rsidRDefault="00C365CD" w:rsidP="00455A63">
      <w:pPr>
        <w:widowControl w:val="0"/>
        <w:spacing w:line="276" w:lineRule="auto"/>
        <w:jc w:val="center"/>
        <w:rPr>
          <w:b/>
          <w:bCs/>
        </w:rPr>
      </w:pPr>
      <w:r w:rsidRPr="00A01499">
        <w:rPr>
          <w:b/>
          <w:bCs/>
        </w:rPr>
        <w:t>Rezolutīvā daļa</w:t>
      </w:r>
    </w:p>
    <w:p w14:paraId="16475A0B" w14:textId="77777777" w:rsidR="00C365CD" w:rsidRPr="00CF58D4" w:rsidRDefault="00C365CD" w:rsidP="00455A63">
      <w:pPr>
        <w:widowControl w:val="0"/>
        <w:spacing w:line="276" w:lineRule="auto"/>
        <w:ind w:firstLine="720"/>
        <w:jc w:val="both"/>
        <w:rPr>
          <w:bCs/>
        </w:rPr>
      </w:pPr>
    </w:p>
    <w:p w14:paraId="4A56094C" w14:textId="77777777" w:rsidR="00C365CD" w:rsidRPr="00332BD2" w:rsidRDefault="00C365CD" w:rsidP="00455A63">
      <w:pPr>
        <w:widowControl w:val="0"/>
        <w:spacing w:line="276" w:lineRule="auto"/>
        <w:ind w:firstLine="720"/>
        <w:jc w:val="both"/>
      </w:pPr>
      <w:r w:rsidRPr="00332BD2">
        <w:t>Pamatojoties uz Kriminālprocesa likuma 585.</w:t>
      </w:r>
      <w:r>
        <w:t> </w:t>
      </w:r>
      <w:r w:rsidRPr="00332BD2">
        <w:t>pant</w:t>
      </w:r>
      <w:r>
        <w:t>u</w:t>
      </w:r>
      <w:r w:rsidRPr="00332BD2">
        <w:t xml:space="preserve"> un 587.</w:t>
      </w:r>
      <w:r>
        <w:t> </w:t>
      </w:r>
      <w:r w:rsidRPr="00332BD2">
        <w:t>pant</w:t>
      </w:r>
      <w:r>
        <w:t>a pirmās daļas 2. punktu</w:t>
      </w:r>
      <w:r w:rsidRPr="00332BD2">
        <w:t xml:space="preserve">, </w:t>
      </w:r>
      <w:r>
        <w:t>Senāts</w:t>
      </w:r>
    </w:p>
    <w:p w14:paraId="61AF9661" w14:textId="77777777" w:rsidR="00C365CD" w:rsidRPr="00332BD2" w:rsidRDefault="00C365CD" w:rsidP="00455A63">
      <w:pPr>
        <w:widowControl w:val="0"/>
        <w:spacing w:line="276" w:lineRule="auto"/>
        <w:ind w:firstLine="720"/>
        <w:jc w:val="both"/>
      </w:pPr>
    </w:p>
    <w:p w14:paraId="2828E50D" w14:textId="77777777" w:rsidR="00C365CD" w:rsidRPr="00332BD2" w:rsidRDefault="00C365CD" w:rsidP="00455A63">
      <w:pPr>
        <w:widowControl w:val="0"/>
        <w:tabs>
          <w:tab w:val="left" w:pos="3969"/>
        </w:tabs>
        <w:spacing w:line="276" w:lineRule="auto"/>
        <w:jc w:val="center"/>
        <w:rPr>
          <w:b/>
        </w:rPr>
      </w:pPr>
      <w:r w:rsidRPr="00332BD2">
        <w:rPr>
          <w:b/>
        </w:rPr>
        <w:t>nolēma</w:t>
      </w:r>
    </w:p>
    <w:p w14:paraId="43E7E715" w14:textId="77777777" w:rsidR="00C365CD" w:rsidRPr="00332BD2" w:rsidRDefault="00C365CD" w:rsidP="00455A63">
      <w:pPr>
        <w:widowControl w:val="0"/>
        <w:tabs>
          <w:tab w:val="left" w:pos="3969"/>
        </w:tabs>
        <w:spacing w:line="276" w:lineRule="auto"/>
        <w:ind w:firstLine="720"/>
        <w:jc w:val="both"/>
        <w:rPr>
          <w:b/>
        </w:rPr>
      </w:pPr>
    </w:p>
    <w:p w14:paraId="0E259ED3" w14:textId="3A147965" w:rsidR="00EB7D24" w:rsidRDefault="00C365CD" w:rsidP="00455A63">
      <w:pPr>
        <w:widowControl w:val="0"/>
        <w:spacing w:line="276" w:lineRule="auto"/>
        <w:ind w:firstLine="720"/>
        <w:jc w:val="both"/>
        <w:rPr>
          <w:bCs/>
        </w:rPr>
      </w:pPr>
      <w:r w:rsidRPr="00332BD2">
        <w:t>at</w:t>
      </w:r>
      <w:r>
        <w:t>celt Latgales apgabaltiesas 2022. gada 30. jūnija spriedumu pilnībā</w:t>
      </w:r>
      <w:r w:rsidR="00EB7D24">
        <w:t xml:space="preserve"> un</w:t>
      </w:r>
      <w:r>
        <w:t xml:space="preserve"> lietu nosūtīt jaunai izskatīšanai Latgales apgabaltiesā</w:t>
      </w:r>
      <w:r w:rsidR="00EB7D24">
        <w:rPr>
          <w:bCs/>
        </w:rPr>
        <w:t>;</w:t>
      </w:r>
    </w:p>
    <w:p w14:paraId="3119DBBD" w14:textId="18FE34BB" w:rsidR="00C365CD" w:rsidRPr="000B243B" w:rsidRDefault="00A56B02" w:rsidP="00455A63">
      <w:pPr>
        <w:widowControl w:val="0"/>
        <w:spacing w:line="276" w:lineRule="auto"/>
        <w:ind w:firstLine="720"/>
        <w:jc w:val="both"/>
      </w:pPr>
      <w:r>
        <w:rPr>
          <w:bCs/>
        </w:rPr>
        <w:t>[Pers. </w:t>
      </w:r>
      <w:r>
        <w:t>A]</w:t>
      </w:r>
      <w:r w:rsidR="00EB7D24">
        <w:rPr>
          <w:bCs/>
        </w:rPr>
        <w:t xml:space="preserve"> turpināt piemērot drošības līdzekli – apcietinājumu.</w:t>
      </w:r>
    </w:p>
    <w:p w14:paraId="480FB295" w14:textId="77777777" w:rsidR="00C365CD" w:rsidRDefault="00C365CD" w:rsidP="00455A63">
      <w:pPr>
        <w:widowControl w:val="0"/>
        <w:spacing w:line="276" w:lineRule="auto"/>
        <w:ind w:firstLine="720"/>
        <w:jc w:val="both"/>
      </w:pPr>
    </w:p>
    <w:p w14:paraId="0B457560" w14:textId="1D42DE90" w:rsidR="00C365CD" w:rsidRDefault="00C365CD" w:rsidP="00455A63">
      <w:pPr>
        <w:widowControl w:val="0"/>
        <w:spacing w:line="276" w:lineRule="auto"/>
        <w:ind w:firstLine="720"/>
        <w:jc w:val="both"/>
      </w:pPr>
      <w:r w:rsidRPr="00332BD2">
        <w:t>Lēmums nav pārsūdzams.</w:t>
      </w:r>
    </w:p>
    <w:sectPr w:rsidR="00C365CD" w:rsidSect="00F16A44">
      <w:footerReference w:type="default" r:id="rId17"/>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4F976" w14:textId="77777777" w:rsidR="00F16A44" w:rsidRDefault="00F16A44" w:rsidP="002236D2">
      <w:r>
        <w:separator/>
      </w:r>
    </w:p>
  </w:endnote>
  <w:endnote w:type="continuationSeparator" w:id="0">
    <w:p w14:paraId="713EBA4B" w14:textId="77777777" w:rsidR="00F16A44" w:rsidRDefault="00F16A44" w:rsidP="0022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inion Pro">
    <w:altName w:val="Cambria"/>
    <w:panose1 w:val="00000000000000000000"/>
    <w:charset w:val="EE"/>
    <w:family w:val="roman"/>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FA31" w14:textId="71A74341" w:rsidR="002236D2" w:rsidRDefault="002236D2" w:rsidP="002236D2">
    <w:pPr>
      <w:pStyle w:val="Footer"/>
      <w:jc w:val="center"/>
    </w:pPr>
    <w:r w:rsidRPr="002236D2">
      <w:rPr>
        <w:bCs/>
        <w:sz w:val="20"/>
        <w:szCs w:val="20"/>
      </w:rPr>
      <w:fldChar w:fldCharType="begin"/>
    </w:r>
    <w:r w:rsidRPr="002236D2">
      <w:rPr>
        <w:bCs/>
        <w:sz w:val="20"/>
        <w:szCs w:val="20"/>
      </w:rPr>
      <w:instrText xml:space="preserve"> PAGE </w:instrText>
    </w:r>
    <w:r w:rsidRPr="002236D2">
      <w:rPr>
        <w:bCs/>
        <w:sz w:val="20"/>
        <w:szCs w:val="20"/>
      </w:rPr>
      <w:fldChar w:fldCharType="separate"/>
    </w:r>
    <w:r w:rsidR="00DC3491">
      <w:rPr>
        <w:bCs/>
        <w:noProof/>
        <w:sz w:val="20"/>
        <w:szCs w:val="20"/>
      </w:rPr>
      <w:t>1</w:t>
    </w:r>
    <w:r w:rsidRPr="002236D2">
      <w:rPr>
        <w:bCs/>
        <w:sz w:val="20"/>
        <w:szCs w:val="20"/>
      </w:rPr>
      <w:fldChar w:fldCharType="end"/>
    </w:r>
    <w:r w:rsidRPr="002236D2">
      <w:rPr>
        <w:sz w:val="20"/>
        <w:szCs w:val="20"/>
      </w:rPr>
      <w:t xml:space="preserve"> no </w:t>
    </w:r>
    <w:r w:rsidRPr="002236D2">
      <w:rPr>
        <w:bCs/>
        <w:sz w:val="20"/>
        <w:szCs w:val="20"/>
      </w:rPr>
      <w:fldChar w:fldCharType="begin"/>
    </w:r>
    <w:r w:rsidRPr="002236D2">
      <w:rPr>
        <w:bCs/>
        <w:sz w:val="20"/>
        <w:szCs w:val="20"/>
      </w:rPr>
      <w:instrText xml:space="preserve"> NUMPAGES  </w:instrText>
    </w:r>
    <w:r w:rsidRPr="002236D2">
      <w:rPr>
        <w:bCs/>
        <w:sz w:val="20"/>
        <w:szCs w:val="20"/>
      </w:rPr>
      <w:fldChar w:fldCharType="separate"/>
    </w:r>
    <w:r w:rsidR="00DC3491">
      <w:rPr>
        <w:bCs/>
        <w:noProof/>
        <w:sz w:val="20"/>
        <w:szCs w:val="20"/>
      </w:rPr>
      <w:t>1</w:t>
    </w:r>
    <w:r w:rsidRPr="002236D2">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5A5E2" w14:textId="77777777" w:rsidR="00F16A44" w:rsidRDefault="00F16A44" w:rsidP="002236D2">
      <w:r>
        <w:separator/>
      </w:r>
    </w:p>
  </w:footnote>
  <w:footnote w:type="continuationSeparator" w:id="0">
    <w:p w14:paraId="12F3CEF3" w14:textId="77777777" w:rsidR="00F16A44" w:rsidRDefault="00F16A44" w:rsidP="00223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C489B"/>
    <w:multiLevelType w:val="hybridMultilevel"/>
    <w:tmpl w:val="DA2EA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529E4080"/>
    <w:multiLevelType w:val="hybridMultilevel"/>
    <w:tmpl w:val="F16423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054716"/>
    <w:multiLevelType w:val="hybridMultilevel"/>
    <w:tmpl w:val="DA2EA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DA6CFC"/>
    <w:multiLevelType w:val="hybridMultilevel"/>
    <w:tmpl w:val="49A6B470"/>
    <w:lvl w:ilvl="0" w:tplc="AF0CF03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134908">
    <w:abstractNumId w:val="1"/>
  </w:num>
  <w:num w:numId="2" w16cid:durableId="139156430">
    <w:abstractNumId w:val="2"/>
  </w:num>
  <w:num w:numId="3" w16cid:durableId="235866003">
    <w:abstractNumId w:val="4"/>
  </w:num>
  <w:num w:numId="4" w16cid:durableId="278876408">
    <w:abstractNumId w:val="3"/>
  </w:num>
  <w:num w:numId="5" w16cid:durableId="1609701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1E2"/>
    <w:rsid w:val="00001B8A"/>
    <w:rsid w:val="000039DB"/>
    <w:rsid w:val="00006EBB"/>
    <w:rsid w:val="00007FAF"/>
    <w:rsid w:val="00010550"/>
    <w:rsid w:val="00014552"/>
    <w:rsid w:val="000148D9"/>
    <w:rsid w:val="00015288"/>
    <w:rsid w:val="00015417"/>
    <w:rsid w:val="00015AD8"/>
    <w:rsid w:val="00017CB5"/>
    <w:rsid w:val="00023DF3"/>
    <w:rsid w:val="00024551"/>
    <w:rsid w:val="00024EDB"/>
    <w:rsid w:val="000251FD"/>
    <w:rsid w:val="0002710F"/>
    <w:rsid w:val="00031C6F"/>
    <w:rsid w:val="00032563"/>
    <w:rsid w:val="0003495E"/>
    <w:rsid w:val="000352E6"/>
    <w:rsid w:val="00040B3F"/>
    <w:rsid w:val="00040FB2"/>
    <w:rsid w:val="00041B4A"/>
    <w:rsid w:val="00046834"/>
    <w:rsid w:val="000514EC"/>
    <w:rsid w:val="00055724"/>
    <w:rsid w:val="0006383E"/>
    <w:rsid w:val="000641C0"/>
    <w:rsid w:val="00080AAD"/>
    <w:rsid w:val="000816B0"/>
    <w:rsid w:val="000877EB"/>
    <w:rsid w:val="00091F35"/>
    <w:rsid w:val="00094133"/>
    <w:rsid w:val="000962D8"/>
    <w:rsid w:val="000A1E5F"/>
    <w:rsid w:val="000A23A8"/>
    <w:rsid w:val="000A2D05"/>
    <w:rsid w:val="000A2D86"/>
    <w:rsid w:val="000A4F1E"/>
    <w:rsid w:val="000A756B"/>
    <w:rsid w:val="000B038E"/>
    <w:rsid w:val="000B2BE9"/>
    <w:rsid w:val="000B54D9"/>
    <w:rsid w:val="000C1908"/>
    <w:rsid w:val="000C26E0"/>
    <w:rsid w:val="000C3536"/>
    <w:rsid w:val="000C6E27"/>
    <w:rsid w:val="000C75D4"/>
    <w:rsid w:val="000D0CC2"/>
    <w:rsid w:val="000D2DB3"/>
    <w:rsid w:val="000D2FF1"/>
    <w:rsid w:val="000D4ABD"/>
    <w:rsid w:val="000D6DFA"/>
    <w:rsid w:val="000E01E9"/>
    <w:rsid w:val="000F1DCA"/>
    <w:rsid w:val="000F4172"/>
    <w:rsid w:val="000F42BC"/>
    <w:rsid w:val="0010058F"/>
    <w:rsid w:val="001008B8"/>
    <w:rsid w:val="00101753"/>
    <w:rsid w:val="0010559E"/>
    <w:rsid w:val="00105673"/>
    <w:rsid w:val="001062F4"/>
    <w:rsid w:val="00107312"/>
    <w:rsid w:val="00110703"/>
    <w:rsid w:val="00111C4D"/>
    <w:rsid w:val="00112AD0"/>
    <w:rsid w:val="00113C87"/>
    <w:rsid w:val="00115151"/>
    <w:rsid w:val="00115DBD"/>
    <w:rsid w:val="00117111"/>
    <w:rsid w:val="0011719E"/>
    <w:rsid w:val="00117A51"/>
    <w:rsid w:val="001216B6"/>
    <w:rsid w:val="00121B35"/>
    <w:rsid w:val="0012782C"/>
    <w:rsid w:val="00130F1F"/>
    <w:rsid w:val="0013285F"/>
    <w:rsid w:val="00132F84"/>
    <w:rsid w:val="00132FD7"/>
    <w:rsid w:val="001365F9"/>
    <w:rsid w:val="00136BAB"/>
    <w:rsid w:val="001534A1"/>
    <w:rsid w:val="00154999"/>
    <w:rsid w:val="00156BC2"/>
    <w:rsid w:val="00163DD0"/>
    <w:rsid w:val="0016598D"/>
    <w:rsid w:val="00166C8F"/>
    <w:rsid w:val="00166F08"/>
    <w:rsid w:val="00173CE2"/>
    <w:rsid w:val="00174428"/>
    <w:rsid w:val="00177800"/>
    <w:rsid w:val="00177A7F"/>
    <w:rsid w:val="001873F3"/>
    <w:rsid w:val="00190579"/>
    <w:rsid w:val="00194FE2"/>
    <w:rsid w:val="00195DB9"/>
    <w:rsid w:val="00196347"/>
    <w:rsid w:val="001A14D5"/>
    <w:rsid w:val="001A52F3"/>
    <w:rsid w:val="001B3D96"/>
    <w:rsid w:val="001C00CA"/>
    <w:rsid w:val="001C02E5"/>
    <w:rsid w:val="001C42A4"/>
    <w:rsid w:val="001D1807"/>
    <w:rsid w:val="001D32DE"/>
    <w:rsid w:val="001D415A"/>
    <w:rsid w:val="001D63F0"/>
    <w:rsid w:val="001D681D"/>
    <w:rsid w:val="001E1F0F"/>
    <w:rsid w:val="001E69A7"/>
    <w:rsid w:val="001E6FCD"/>
    <w:rsid w:val="001F3E35"/>
    <w:rsid w:val="001F574A"/>
    <w:rsid w:val="00201898"/>
    <w:rsid w:val="00203B2A"/>
    <w:rsid w:val="00204F50"/>
    <w:rsid w:val="00210D85"/>
    <w:rsid w:val="00211836"/>
    <w:rsid w:val="00212549"/>
    <w:rsid w:val="00213522"/>
    <w:rsid w:val="00215F84"/>
    <w:rsid w:val="0021705F"/>
    <w:rsid w:val="00221839"/>
    <w:rsid w:val="002236D2"/>
    <w:rsid w:val="00231A1C"/>
    <w:rsid w:val="0024176B"/>
    <w:rsid w:val="00243800"/>
    <w:rsid w:val="002544EE"/>
    <w:rsid w:val="002618F0"/>
    <w:rsid w:val="002666C8"/>
    <w:rsid w:val="0027286C"/>
    <w:rsid w:val="0027456C"/>
    <w:rsid w:val="0027510C"/>
    <w:rsid w:val="0027632B"/>
    <w:rsid w:val="00291A52"/>
    <w:rsid w:val="0029490A"/>
    <w:rsid w:val="002A104D"/>
    <w:rsid w:val="002A260B"/>
    <w:rsid w:val="002A45BA"/>
    <w:rsid w:val="002A5CC0"/>
    <w:rsid w:val="002A6854"/>
    <w:rsid w:val="002B3E86"/>
    <w:rsid w:val="002C289B"/>
    <w:rsid w:val="002C66C8"/>
    <w:rsid w:val="002D12CE"/>
    <w:rsid w:val="002D401F"/>
    <w:rsid w:val="002E05B1"/>
    <w:rsid w:val="002E20EE"/>
    <w:rsid w:val="002E53C4"/>
    <w:rsid w:val="002E5833"/>
    <w:rsid w:val="002E5846"/>
    <w:rsid w:val="002E69F3"/>
    <w:rsid w:val="002E78E2"/>
    <w:rsid w:val="002F422A"/>
    <w:rsid w:val="002F6793"/>
    <w:rsid w:val="002F7595"/>
    <w:rsid w:val="00300DEE"/>
    <w:rsid w:val="00301525"/>
    <w:rsid w:val="00304384"/>
    <w:rsid w:val="003058A0"/>
    <w:rsid w:val="00306456"/>
    <w:rsid w:val="003112F7"/>
    <w:rsid w:val="00314843"/>
    <w:rsid w:val="00315B23"/>
    <w:rsid w:val="00317559"/>
    <w:rsid w:val="00317EF7"/>
    <w:rsid w:val="00320103"/>
    <w:rsid w:val="003335EB"/>
    <w:rsid w:val="00333E9C"/>
    <w:rsid w:val="003363F9"/>
    <w:rsid w:val="003370E7"/>
    <w:rsid w:val="0034077D"/>
    <w:rsid w:val="00342A04"/>
    <w:rsid w:val="00342AA3"/>
    <w:rsid w:val="00350A0B"/>
    <w:rsid w:val="00352087"/>
    <w:rsid w:val="003574CE"/>
    <w:rsid w:val="00357E90"/>
    <w:rsid w:val="00363442"/>
    <w:rsid w:val="00363824"/>
    <w:rsid w:val="00363D6C"/>
    <w:rsid w:val="003648E6"/>
    <w:rsid w:val="003651FC"/>
    <w:rsid w:val="003654D0"/>
    <w:rsid w:val="003741DC"/>
    <w:rsid w:val="003831A9"/>
    <w:rsid w:val="003832F5"/>
    <w:rsid w:val="00394688"/>
    <w:rsid w:val="00396EC2"/>
    <w:rsid w:val="003A125B"/>
    <w:rsid w:val="003A167C"/>
    <w:rsid w:val="003A3D5F"/>
    <w:rsid w:val="003B2803"/>
    <w:rsid w:val="003B630B"/>
    <w:rsid w:val="003C2C0F"/>
    <w:rsid w:val="003C486C"/>
    <w:rsid w:val="003C5A72"/>
    <w:rsid w:val="003D3FCB"/>
    <w:rsid w:val="003D5C58"/>
    <w:rsid w:val="003D7C7A"/>
    <w:rsid w:val="003E4CC8"/>
    <w:rsid w:val="003E7605"/>
    <w:rsid w:val="003F0AB8"/>
    <w:rsid w:val="003F0FDF"/>
    <w:rsid w:val="003F18E6"/>
    <w:rsid w:val="003F1D8A"/>
    <w:rsid w:val="003F483F"/>
    <w:rsid w:val="004018DA"/>
    <w:rsid w:val="00402F45"/>
    <w:rsid w:val="00417304"/>
    <w:rsid w:val="00417BF7"/>
    <w:rsid w:val="00417EC9"/>
    <w:rsid w:val="004201BF"/>
    <w:rsid w:val="00421245"/>
    <w:rsid w:val="00426634"/>
    <w:rsid w:val="00426C2F"/>
    <w:rsid w:val="004279E4"/>
    <w:rsid w:val="00430802"/>
    <w:rsid w:val="00434243"/>
    <w:rsid w:val="004363CF"/>
    <w:rsid w:val="0043682F"/>
    <w:rsid w:val="00445B54"/>
    <w:rsid w:val="00446F98"/>
    <w:rsid w:val="00447EE6"/>
    <w:rsid w:val="00452F64"/>
    <w:rsid w:val="0045353E"/>
    <w:rsid w:val="0045480A"/>
    <w:rsid w:val="00455A63"/>
    <w:rsid w:val="0045747A"/>
    <w:rsid w:val="00457EC0"/>
    <w:rsid w:val="0046266A"/>
    <w:rsid w:val="00466530"/>
    <w:rsid w:val="004668DA"/>
    <w:rsid w:val="00471ED2"/>
    <w:rsid w:val="00475993"/>
    <w:rsid w:val="00475C6E"/>
    <w:rsid w:val="00482175"/>
    <w:rsid w:val="00485D08"/>
    <w:rsid w:val="00490710"/>
    <w:rsid w:val="00490ECE"/>
    <w:rsid w:val="00492594"/>
    <w:rsid w:val="00492800"/>
    <w:rsid w:val="00494B82"/>
    <w:rsid w:val="00495A18"/>
    <w:rsid w:val="00497193"/>
    <w:rsid w:val="004A7D9A"/>
    <w:rsid w:val="004B25E0"/>
    <w:rsid w:val="004B2A94"/>
    <w:rsid w:val="004B4E6A"/>
    <w:rsid w:val="004B768F"/>
    <w:rsid w:val="004C35D9"/>
    <w:rsid w:val="004C3DE7"/>
    <w:rsid w:val="004C5F62"/>
    <w:rsid w:val="004D3473"/>
    <w:rsid w:val="004D37E6"/>
    <w:rsid w:val="004D6C3D"/>
    <w:rsid w:val="004E0B2F"/>
    <w:rsid w:val="004E22E1"/>
    <w:rsid w:val="004E2CA1"/>
    <w:rsid w:val="004E2E61"/>
    <w:rsid w:val="004E4587"/>
    <w:rsid w:val="004F03A8"/>
    <w:rsid w:val="004F3112"/>
    <w:rsid w:val="004F455F"/>
    <w:rsid w:val="004F6226"/>
    <w:rsid w:val="004F6753"/>
    <w:rsid w:val="004F7BF0"/>
    <w:rsid w:val="00500135"/>
    <w:rsid w:val="00500AFF"/>
    <w:rsid w:val="00510032"/>
    <w:rsid w:val="005144A0"/>
    <w:rsid w:val="00517D5E"/>
    <w:rsid w:val="0052079D"/>
    <w:rsid w:val="00520E85"/>
    <w:rsid w:val="0052212B"/>
    <w:rsid w:val="00532650"/>
    <w:rsid w:val="00533470"/>
    <w:rsid w:val="00534525"/>
    <w:rsid w:val="005365D1"/>
    <w:rsid w:val="005433C6"/>
    <w:rsid w:val="005434C3"/>
    <w:rsid w:val="00547C02"/>
    <w:rsid w:val="00550091"/>
    <w:rsid w:val="005546F3"/>
    <w:rsid w:val="005551C2"/>
    <w:rsid w:val="0055599D"/>
    <w:rsid w:val="005603B3"/>
    <w:rsid w:val="0056155C"/>
    <w:rsid w:val="005626A2"/>
    <w:rsid w:val="00562A67"/>
    <w:rsid w:val="00563145"/>
    <w:rsid w:val="0056470C"/>
    <w:rsid w:val="00567624"/>
    <w:rsid w:val="00571F14"/>
    <w:rsid w:val="00573401"/>
    <w:rsid w:val="005746A4"/>
    <w:rsid w:val="00575F1A"/>
    <w:rsid w:val="005857AB"/>
    <w:rsid w:val="005871AD"/>
    <w:rsid w:val="005A473A"/>
    <w:rsid w:val="005A4FF2"/>
    <w:rsid w:val="005B045D"/>
    <w:rsid w:val="005B04F1"/>
    <w:rsid w:val="005B34E6"/>
    <w:rsid w:val="005B61D4"/>
    <w:rsid w:val="005C1D2E"/>
    <w:rsid w:val="005C5CF2"/>
    <w:rsid w:val="005C60AD"/>
    <w:rsid w:val="005C663A"/>
    <w:rsid w:val="005D1C5C"/>
    <w:rsid w:val="005D4232"/>
    <w:rsid w:val="005D4319"/>
    <w:rsid w:val="005D441E"/>
    <w:rsid w:val="005D61F5"/>
    <w:rsid w:val="005D6C64"/>
    <w:rsid w:val="005E0ADD"/>
    <w:rsid w:val="005E497B"/>
    <w:rsid w:val="005E603D"/>
    <w:rsid w:val="005E6F5A"/>
    <w:rsid w:val="005F0EAD"/>
    <w:rsid w:val="005F1448"/>
    <w:rsid w:val="005F3412"/>
    <w:rsid w:val="006005FE"/>
    <w:rsid w:val="00601761"/>
    <w:rsid w:val="00605123"/>
    <w:rsid w:val="0061475F"/>
    <w:rsid w:val="00615897"/>
    <w:rsid w:val="006266C1"/>
    <w:rsid w:val="0063190D"/>
    <w:rsid w:val="00637780"/>
    <w:rsid w:val="00640AF0"/>
    <w:rsid w:val="00640BAE"/>
    <w:rsid w:val="006420E9"/>
    <w:rsid w:val="0064624D"/>
    <w:rsid w:val="0064787C"/>
    <w:rsid w:val="00647CEE"/>
    <w:rsid w:val="00652B7A"/>
    <w:rsid w:val="00654197"/>
    <w:rsid w:val="006614B3"/>
    <w:rsid w:val="006619A1"/>
    <w:rsid w:val="00667593"/>
    <w:rsid w:val="0067390A"/>
    <w:rsid w:val="006778AF"/>
    <w:rsid w:val="00681892"/>
    <w:rsid w:val="006840A9"/>
    <w:rsid w:val="006854AD"/>
    <w:rsid w:val="006915CE"/>
    <w:rsid w:val="006A382C"/>
    <w:rsid w:val="006A6880"/>
    <w:rsid w:val="006B115C"/>
    <w:rsid w:val="006B2C87"/>
    <w:rsid w:val="006B77AA"/>
    <w:rsid w:val="006D1B59"/>
    <w:rsid w:val="006D20FB"/>
    <w:rsid w:val="006D3879"/>
    <w:rsid w:val="006D4C53"/>
    <w:rsid w:val="006D6F7A"/>
    <w:rsid w:val="006E0B7B"/>
    <w:rsid w:val="006E231E"/>
    <w:rsid w:val="006E4879"/>
    <w:rsid w:val="006E4E14"/>
    <w:rsid w:val="006E5B90"/>
    <w:rsid w:val="006E5FB5"/>
    <w:rsid w:val="006E625F"/>
    <w:rsid w:val="006E7383"/>
    <w:rsid w:val="006F265B"/>
    <w:rsid w:val="006F2812"/>
    <w:rsid w:val="007007BF"/>
    <w:rsid w:val="00716E60"/>
    <w:rsid w:val="00722980"/>
    <w:rsid w:val="007232E0"/>
    <w:rsid w:val="00724D43"/>
    <w:rsid w:val="0072512D"/>
    <w:rsid w:val="00725F81"/>
    <w:rsid w:val="00727407"/>
    <w:rsid w:val="007327A3"/>
    <w:rsid w:val="007327E9"/>
    <w:rsid w:val="00734973"/>
    <w:rsid w:val="00735237"/>
    <w:rsid w:val="00735642"/>
    <w:rsid w:val="00740CE9"/>
    <w:rsid w:val="0074551D"/>
    <w:rsid w:val="00747C02"/>
    <w:rsid w:val="007519C6"/>
    <w:rsid w:val="00751BD2"/>
    <w:rsid w:val="00752DE0"/>
    <w:rsid w:val="00754272"/>
    <w:rsid w:val="0075435F"/>
    <w:rsid w:val="007561B2"/>
    <w:rsid w:val="00756C0A"/>
    <w:rsid w:val="007633E7"/>
    <w:rsid w:val="007756D7"/>
    <w:rsid w:val="00776C7C"/>
    <w:rsid w:val="00780805"/>
    <w:rsid w:val="007820A1"/>
    <w:rsid w:val="00786956"/>
    <w:rsid w:val="00786D57"/>
    <w:rsid w:val="00790868"/>
    <w:rsid w:val="00791D46"/>
    <w:rsid w:val="00792818"/>
    <w:rsid w:val="00792DC4"/>
    <w:rsid w:val="00795A42"/>
    <w:rsid w:val="007A2AAF"/>
    <w:rsid w:val="007A4F23"/>
    <w:rsid w:val="007A62F8"/>
    <w:rsid w:val="007A6C99"/>
    <w:rsid w:val="007B189A"/>
    <w:rsid w:val="007B630E"/>
    <w:rsid w:val="007B73E7"/>
    <w:rsid w:val="007B7C65"/>
    <w:rsid w:val="007C065B"/>
    <w:rsid w:val="007C1736"/>
    <w:rsid w:val="007C3738"/>
    <w:rsid w:val="007C62E3"/>
    <w:rsid w:val="007C6961"/>
    <w:rsid w:val="007C7F4F"/>
    <w:rsid w:val="007D45C3"/>
    <w:rsid w:val="007D519E"/>
    <w:rsid w:val="007D6687"/>
    <w:rsid w:val="007E42AD"/>
    <w:rsid w:val="007E79BC"/>
    <w:rsid w:val="007F090B"/>
    <w:rsid w:val="007F18D5"/>
    <w:rsid w:val="007F4D76"/>
    <w:rsid w:val="008041DB"/>
    <w:rsid w:val="008044F1"/>
    <w:rsid w:val="0081419B"/>
    <w:rsid w:val="00816B76"/>
    <w:rsid w:val="00816DBB"/>
    <w:rsid w:val="00824A7A"/>
    <w:rsid w:val="00824D3A"/>
    <w:rsid w:val="00833531"/>
    <w:rsid w:val="008349CF"/>
    <w:rsid w:val="00840E6D"/>
    <w:rsid w:val="00844116"/>
    <w:rsid w:val="00845EEE"/>
    <w:rsid w:val="00850D90"/>
    <w:rsid w:val="00852F43"/>
    <w:rsid w:val="00862686"/>
    <w:rsid w:val="008653E4"/>
    <w:rsid w:val="008653F8"/>
    <w:rsid w:val="00874CD1"/>
    <w:rsid w:val="00875D22"/>
    <w:rsid w:val="00880AF5"/>
    <w:rsid w:val="00883FA6"/>
    <w:rsid w:val="00885FC9"/>
    <w:rsid w:val="00886A87"/>
    <w:rsid w:val="00896E1E"/>
    <w:rsid w:val="00897A60"/>
    <w:rsid w:val="008A3077"/>
    <w:rsid w:val="008A6CBC"/>
    <w:rsid w:val="008B6352"/>
    <w:rsid w:val="008C2953"/>
    <w:rsid w:val="008C5DAC"/>
    <w:rsid w:val="008D58CF"/>
    <w:rsid w:val="008D7F00"/>
    <w:rsid w:val="008E0956"/>
    <w:rsid w:val="008E0E25"/>
    <w:rsid w:val="008E1EB1"/>
    <w:rsid w:val="008E300E"/>
    <w:rsid w:val="008E3608"/>
    <w:rsid w:val="008E44E7"/>
    <w:rsid w:val="008E6216"/>
    <w:rsid w:val="008F0317"/>
    <w:rsid w:val="008F0AE3"/>
    <w:rsid w:val="008F3F19"/>
    <w:rsid w:val="00900228"/>
    <w:rsid w:val="009019DA"/>
    <w:rsid w:val="00903A98"/>
    <w:rsid w:val="00903C33"/>
    <w:rsid w:val="0090465E"/>
    <w:rsid w:val="00906293"/>
    <w:rsid w:val="00906E5E"/>
    <w:rsid w:val="009103A8"/>
    <w:rsid w:val="009119C2"/>
    <w:rsid w:val="00913436"/>
    <w:rsid w:val="0091421D"/>
    <w:rsid w:val="00920CD1"/>
    <w:rsid w:val="00925EB4"/>
    <w:rsid w:val="00925F64"/>
    <w:rsid w:val="0093394A"/>
    <w:rsid w:val="00937C73"/>
    <w:rsid w:val="009608A3"/>
    <w:rsid w:val="00963759"/>
    <w:rsid w:val="00964345"/>
    <w:rsid w:val="009708CF"/>
    <w:rsid w:val="00973CFC"/>
    <w:rsid w:val="00976731"/>
    <w:rsid w:val="009800BD"/>
    <w:rsid w:val="009834A1"/>
    <w:rsid w:val="00986F00"/>
    <w:rsid w:val="00991AF2"/>
    <w:rsid w:val="009928BF"/>
    <w:rsid w:val="009931B6"/>
    <w:rsid w:val="00995AAB"/>
    <w:rsid w:val="009960EF"/>
    <w:rsid w:val="009A0717"/>
    <w:rsid w:val="009A1442"/>
    <w:rsid w:val="009A27E1"/>
    <w:rsid w:val="009A4AD5"/>
    <w:rsid w:val="009A65AB"/>
    <w:rsid w:val="009B555F"/>
    <w:rsid w:val="009B7AE6"/>
    <w:rsid w:val="009C2A63"/>
    <w:rsid w:val="009C366E"/>
    <w:rsid w:val="009C773D"/>
    <w:rsid w:val="009D2BEA"/>
    <w:rsid w:val="009D3C94"/>
    <w:rsid w:val="009D3F63"/>
    <w:rsid w:val="009D6EEE"/>
    <w:rsid w:val="009E31D8"/>
    <w:rsid w:val="009F16D0"/>
    <w:rsid w:val="009F2731"/>
    <w:rsid w:val="009F2B56"/>
    <w:rsid w:val="009F7B59"/>
    <w:rsid w:val="009F7E02"/>
    <w:rsid w:val="00A024E1"/>
    <w:rsid w:val="00A037A0"/>
    <w:rsid w:val="00A1246F"/>
    <w:rsid w:val="00A152DC"/>
    <w:rsid w:val="00A224DC"/>
    <w:rsid w:val="00A227B4"/>
    <w:rsid w:val="00A26BA1"/>
    <w:rsid w:val="00A31688"/>
    <w:rsid w:val="00A34366"/>
    <w:rsid w:val="00A363BA"/>
    <w:rsid w:val="00A4695C"/>
    <w:rsid w:val="00A51703"/>
    <w:rsid w:val="00A52597"/>
    <w:rsid w:val="00A53EF2"/>
    <w:rsid w:val="00A56B02"/>
    <w:rsid w:val="00A625E6"/>
    <w:rsid w:val="00A66956"/>
    <w:rsid w:val="00A73BDC"/>
    <w:rsid w:val="00A73D10"/>
    <w:rsid w:val="00A7534C"/>
    <w:rsid w:val="00A834E2"/>
    <w:rsid w:val="00A8525D"/>
    <w:rsid w:val="00A925A6"/>
    <w:rsid w:val="00A94948"/>
    <w:rsid w:val="00A94A52"/>
    <w:rsid w:val="00A96216"/>
    <w:rsid w:val="00AA0FB3"/>
    <w:rsid w:val="00AA204D"/>
    <w:rsid w:val="00AA348D"/>
    <w:rsid w:val="00AA3FD6"/>
    <w:rsid w:val="00AB16BD"/>
    <w:rsid w:val="00AB21E8"/>
    <w:rsid w:val="00AC26CF"/>
    <w:rsid w:val="00AC2AD6"/>
    <w:rsid w:val="00AC5695"/>
    <w:rsid w:val="00AC7CED"/>
    <w:rsid w:val="00AD072D"/>
    <w:rsid w:val="00AD096D"/>
    <w:rsid w:val="00AD3AF7"/>
    <w:rsid w:val="00AE5C28"/>
    <w:rsid w:val="00AF64FB"/>
    <w:rsid w:val="00AF75D5"/>
    <w:rsid w:val="00B01379"/>
    <w:rsid w:val="00B04A40"/>
    <w:rsid w:val="00B07E0F"/>
    <w:rsid w:val="00B17352"/>
    <w:rsid w:val="00B24539"/>
    <w:rsid w:val="00B26103"/>
    <w:rsid w:val="00B31102"/>
    <w:rsid w:val="00B36B27"/>
    <w:rsid w:val="00B37F1C"/>
    <w:rsid w:val="00B417BB"/>
    <w:rsid w:val="00B42EB7"/>
    <w:rsid w:val="00B44FD2"/>
    <w:rsid w:val="00B459E2"/>
    <w:rsid w:val="00B464EF"/>
    <w:rsid w:val="00B47F7B"/>
    <w:rsid w:val="00B52066"/>
    <w:rsid w:val="00B54F4B"/>
    <w:rsid w:val="00B56B82"/>
    <w:rsid w:val="00B60FFC"/>
    <w:rsid w:val="00B660CA"/>
    <w:rsid w:val="00B73ADF"/>
    <w:rsid w:val="00B9284A"/>
    <w:rsid w:val="00B933C0"/>
    <w:rsid w:val="00B961A6"/>
    <w:rsid w:val="00BA24E0"/>
    <w:rsid w:val="00BA4EB3"/>
    <w:rsid w:val="00BA5549"/>
    <w:rsid w:val="00BA56F6"/>
    <w:rsid w:val="00BB2B40"/>
    <w:rsid w:val="00BB5C84"/>
    <w:rsid w:val="00BC29BB"/>
    <w:rsid w:val="00BC5429"/>
    <w:rsid w:val="00BC5FAE"/>
    <w:rsid w:val="00BC722C"/>
    <w:rsid w:val="00BC777D"/>
    <w:rsid w:val="00BD1E36"/>
    <w:rsid w:val="00BD66F4"/>
    <w:rsid w:val="00BD74F4"/>
    <w:rsid w:val="00BD7C05"/>
    <w:rsid w:val="00BE22EA"/>
    <w:rsid w:val="00BE27BA"/>
    <w:rsid w:val="00BE6BEE"/>
    <w:rsid w:val="00BF0C6B"/>
    <w:rsid w:val="00C0128B"/>
    <w:rsid w:val="00C0161D"/>
    <w:rsid w:val="00C02B8B"/>
    <w:rsid w:val="00C02E6A"/>
    <w:rsid w:val="00C07C48"/>
    <w:rsid w:val="00C14C06"/>
    <w:rsid w:val="00C20B3E"/>
    <w:rsid w:val="00C24ED0"/>
    <w:rsid w:val="00C250EA"/>
    <w:rsid w:val="00C26D92"/>
    <w:rsid w:val="00C31604"/>
    <w:rsid w:val="00C365CD"/>
    <w:rsid w:val="00C37DED"/>
    <w:rsid w:val="00C40870"/>
    <w:rsid w:val="00C5023B"/>
    <w:rsid w:val="00C53D0B"/>
    <w:rsid w:val="00C56023"/>
    <w:rsid w:val="00C615C2"/>
    <w:rsid w:val="00C61952"/>
    <w:rsid w:val="00C62A81"/>
    <w:rsid w:val="00C678CC"/>
    <w:rsid w:val="00C70298"/>
    <w:rsid w:val="00C70731"/>
    <w:rsid w:val="00C72175"/>
    <w:rsid w:val="00C80130"/>
    <w:rsid w:val="00C80A5C"/>
    <w:rsid w:val="00C82CCC"/>
    <w:rsid w:val="00C83B66"/>
    <w:rsid w:val="00C86891"/>
    <w:rsid w:val="00C87AC8"/>
    <w:rsid w:val="00C91B81"/>
    <w:rsid w:val="00C92AD8"/>
    <w:rsid w:val="00C93E80"/>
    <w:rsid w:val="00C94494"/>
    <w:rsid w:val="00C94890"/>
    <w:rsid w:val="00C94DB4"/>
    <w:rsid w:val="00C9577F"/>
    <w:rsid w:val="00C957B9"/>
    <w:rsid w:val="00CA5CD0"/>
    <w:rsid w:val="00CB05BD"/>
    <w:rsid w:val="00CB7ABC"/>
    <w:rsid w:val="00CC1917"/>
    <w:rsid w:val="00CC295D"/>
    <w:rsid w:val="00CC2DFE"/>
    <w:rsid w:val="00CC3433"/>
    <w:rsid w:val="00CC49D7"/>
    <w:rsid w:val="00CC4D55"/>
    <w:rsid w:val="00CC674F"/>
    <w:rsid w:val="00CC6EC5"/>
    <w:rsid w:val="00CD349F"/>
    <w:rsid w:val="00CD55CC"/>
    <w:rsid w:val="00CE24BA"/>
    <w:rsid w:val="00CE782D"/>
    <w:rsid w:val="00CF2E1C"/>
    <w:rsid w:val="00CF3E59"/>
    <w:rsid w:val="00CF6CFD"/>
    <w:rsid w:val="00D01BB1"/>
    <w:rsid w:val="00D0325A"/>
    <w:rsid w:val="00D065BF"/>
    <w:rsid w:val="00D10561"/>
    <w:rsid w:val="00D10E76"/>
    <w:rsid w:val="00D12F36"/>
    <w:rsid w:val="00D13747"/>
    <w:rsid w:val="00D165D9"/>
    <w:rsid w:val="00D21572"/>
    <w:rsid w:val="00D218E8"/>
    <w:rsid w:val="00D30351"/>
    <w:rsid w:val="00D311AD"/>
    <w:rsid w:val="00D370EB"/>
    <w:rsid w:val="00D40D55"/>
    <w:rsid w:val="00D42A2E"/>
    <w:rsid w:val="00D43CF5"/>
    <w:rsid w:val="00D51B19"/>
    <w:rsid w:val="00D52BD1"/>
    <w:rsid w:val="00D5362E"/>
    <w:rsid w:val="00D62C95"/>
    <w:rsid w:val="00D62CCD"/>
    <w:rsid w:val="00D62E39"/>
    <w:rsid w:val="00D63CD3"/>
    <w:rsid w:val="00D65F84"/>
    <w:rsid w:val="00D723FE"/>
    <w:rsid w:val="00D72449"/>
    <w:rsid w:val="00D77BFB"/>
    <w:rsid w:val="00D8131D"/>
    <w:rsid w:val="00D83603"/>
    <w:rsid w:val="00D85079"/>
    <w:rsid w:val="00D853AD"/>
    <w:rsid w:val="00D85BC5"/>
    <w:rsid w:val="00D87837"/>
    <w:rsid w:val="00D87EA6"/>
    <w:rsid w:val="00D905AE"/>
    <w:rsid w:val="00D9139E"/>
    <w:rsid w:val="00D978A3"/>
    <w:rsid w:val="00DA3B89"/>
    <w:rsid w:val="00DA3FB1"/>
    <w:rsid w:val="00DA4011"/>
    <w:rsid w:val="00DA4D70"/>
    <w:rsid w:val="00DA62D1"/>
    <w:rsid w:val="00DA7E59"/>
    <w:rsid w:val="00DB204B"/>
    <w:rsid w:val="00DB5EBE"/>
    <w:rsid w:val="00DB670F"/>
    <w:rsid w:val="00DB7211"/>
    <w:rsid w:val="00DC0648"/>
    <w:rsid w:val="00DC3491"/>
    <w:rsid w:val="00DD19FE"/>
    <w:rsid w:val="00DD1CBE"/>
    <w:rsid w:val="00DD3585"/>
    <w:rsid w:val="00DD4821"/>
    <w:rsid w:val="00DE08C6"/>
    <w:rsid w:val="00DE141E"/>
    <w:rsid w:val="00DE2CF9"/>
    <w:rsid w:val="00DE32C6"/>
    <w:rsid w:val="00DE42C1"/>
    <w:rsid w:val="00DE4E8F"/>
    <w:rsid w:val="00E006B3"/>
    <w:rsid w:val="00E00C6C"/>
    <w:rsid w:val="00E012A4"/>
    <w:rsid w:val="00E044C5"/>
    <w:rsid w:val="00E12D6A"/>
    <w:rsid w:val="00E159AE"/>
    <w:rsid w:val="00E15EDC"/>
    <w:rsid w:val="00E20564"/>
    <w:rsid w:val="00E22318"/>
    <w:rsid w:val="00E232F6"/>
    <w:rsid w:val="00E25FDB"/>
    <w:rsid w:val="00E26D68"/>
    <w:rsid w:val="00E26E8E"/>
    <w:rsid w:val="00E27D5E"/>
    <w:rsid w:val="00E31F94"/>
    <w:rsid w:val="00E3249D"/>
    <w:rsid w:val="00E415AA"/>
    <w:rsid w:val="00E4330D"/>
    <w:rsid w:val="00E43BB2"/>
    <w:rsid w:val="00E43CEE"/>
    <w:rsid w:val="00E462F9"/>
    <w:rsid w:val="00E46648"/>
    <w:rsid w:val="00E466D6"/>
    <w:rsid w:val="00E467A4"/>
    <w:rsid w:val="00E650E0"/>
    <w:rsid w:val="00E659DA"/>
    <w:rsid w:val="00E65A14"/>
    <w:rsid w:val="00E65EDD"/>
    <w:rsid w:val="00E677AF"/>
    <w:rsid w:val="00E73C35"/>
    <w:rsid w:val="00E75663"/>
    <w:rsid w:val="00E83E26"/>
    <w:rsid w:val="00E877B8"/>
    <w:rsid w:val="00E87C17"/>
    <w:rsid w:val="00E90A56"/>
    <w:rsid w:val="00EA3A27"/>
    <w:rsid w:val="00EA3ACF"/>
    <w:rsid w:val="00EA47B7"/>
    <w:rsid w:val="00EA4F82"/>
    <w:rsid w:val="00EA5938"/>
    <w:rsid w:val="00EA5B1F"/>
    <w:rsid w:val="00EA5C3D"/>
    <w:rsid w:val="00EA6DE1"/>
    <w:rsid w:val="00EA7179"/>
    <w:rsid w:val="00EB2A15"/>
    <w:rsid w:val="00EB366C"/>
    <w:rsid w:val="00EB3AA5"/>
    <w:rsid w:val="00EB5A31"/>
    <w:rsid w:val="00EB7D24"/>
    <w:rsid w:val="00EC22F4"/>
    <w:rsid w:val="00EC3974"/>
    <w:rsid w:val="00EC6310"/>
    <w:rsid w:val="00ED0BD1"/>
    <w:rsid w:val="00ED2792"/>
    <w:rsid w:val="00ED2E4B"/>
    <w:rsid w:val="00ED48F8"/>
    <w:rsid w:val="00ED5714"/>
    <w:rsid w:val="00EE163A"/>
    <w:rsid w:val="00EE2BB7"/>
    <w:rsid w:val="00EE59A2"/>
    <w:rsid w:val="00EE5FF7"/>
    <w:rsid w:val="00EE6545"/>
    <w:rsid w:val="00EF1223"/>
    <w:rsid w:val="00EF5638"/>
    <w:rsid w:val="00F00992"/>
    <w:rsid w:val="00F00B09"/>
    <w:rsid w:val="00F015A6"/>
    <w:rsid w:val="00F05714"/>
    <w:rsid w:val="00F065E9"/>
    <w:rsid w:val="00F07992"/>
    <w:rsid w:val="00F10240"/>
    <w:rsid w:val="00F12450"/>
    <w:rsid w:val="00F155D8"/>
    <w:rsid w:val="00F16A44"/>
    <w:rsid w:val="00F224C6"/>
    <w:rsid w:val="00F27B40"/>
    <w:rsid w:val="00F32831"/>
    <w:rsid w:val="00F33871"/>
    <w:rsid w:val="00F40248"/>
    <w:rsid w:val="00F44702"/>
    <w:rsid w:val="00F4554A"/>
    <w:rsid w:val="00F51D1E"/>
    <w:rsid w:val="00F5327A"/>
    <w:rsid w:val="00F552A7"/>
    <w:rsid w:val="00F55A0F"/>
    <w:rsid w:val="00F600AA"/>
    <w:rsid w:val="00F6216B"/>
    <w:rsid w:val="00F637A9"/>
    <w:rsid w:val="00F67415"/>
    <w:rsid w:val="00F72495"/>
    <w:rsid w:val="00F750F2"/>
    <w:rsid w:val="00F7591A"/>
    <w:rsid w:val="00F76A2F"/>
    <w:rsid w:val="00F844AE"/>
    <w:rsid w:val="00F8668F"/>
    <w:rsid w:val="00F869E8"/>
    <w:rsid w:val="00F94649"/>
    <w:rsid w:val="00F95588"/>
    <w:rsid w:val="00F95FFB"/>
    <w:rsid w:val="00F97D4C"/>
    <w:rsid w:val="00FB24CB"/>
    <w:rsid w:val="00FB7D45"/>
    <w:rsid w:val="00FD0884"/>
    <w:rsid w:val="00FD1424"/>
    <w:rsid w:val="00FD67A8"/>
    <w:rsid w:val="00FD6802"/>
    <w:rsid w:val="00FD7389"/>
    <w:rsid w:val="00FE07FF"/>
    <w:rsid w:val="00FE1C38"/>
    <w:rsid w:val="00FE311A"/>
    <w:rsid w:val="00FE4F95"/>
    <w:rsid w:val="00FE7207"/>
    <w:rsid w:val="00FF07BD"/>
    <w:rsid w:val="00FF2E3F"/>
    <w:rsid w:val="00FF4973"/>
    <w:rsid w:val="00FF54A9"/>
    <w:rsid w:val="00FF75CB"/>
    <w:rsid w:val="00FF75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customStyle="1" w:styleId="tv213">
    <w:name w:val="tv213"/>
    <w:basedOn w:val="Normal"/>
    <w:rsid w:val="005746A4"/>
    <w:pPr>
      <w:spacing w:before="100" w:beforeAutospacing="1" w:after="100" w:afterAutospacing="1"/>
    </w:pPr>
    <w:rPr>
      <w:lang w:eastAsia="lv-LV"/>
    </w:rPr>
  </w:style>
  <w:style w:type="paragraph" w:styleId="ListParagraph">
    <w:name w:val="List Paragraph"/>
    <w:basedOn w:val="Normal"/>
    <w:uiPriority w:val="34"/>
    <w:qFormat/>
    <w:rsid w:val="009D3C94"/>
    <w:pPr>
      <w:spacing w:after="160" w:line="259" w:lineRule="auto"/>
      <w:ind w:left="720"/>
      <w:contextualSpacing/>
    </w:pPr>
    <w:rPr>
      <w:rFonts w:eastAsiaTheme="minorHAnsi" w:cstheme="minorBidi"/>
      <w:szCs w:val="22"/>
      <w:lang w:val="en-US" w:eastAsia="en-US"/>
    </w:rPr>
  </w:style>
  <w:style w:type="character" w:styleId="Hyperlink">
    <w:name w:val="Hyperlink"/>
    <w:basedOn w:val="DefaultParagraphFont"/>
    <w:uiPriority w:val="99"/>
    <w:unhideWhenUsed/>
    <w:rsid w:val="00845EEE"/>
    <w:rPr>
      <w:color w:val="0000FF"/>
      <w:u w:val="single"/>
    </w:rPr>
  </w:style>
  <w:style w:type="paragraph" w:styleId="NoSpacing">
    <w:name w:val="No Spacing"/>
    <w:uiPriority w:val="1"/>
    <w:qFormat/>
    <w:rsid w:val="00845EEE"/>
    <w:pPr>
      <w:spacing w:after="0" w:line="240" w:lineRule="auto"/>
    </w:pPr>
    <w:rPr>
      <w:lang w:val="lv-LV"/>
    </w:rPr>
  </w:style>
  <w:style w:type="paragraph" w:styleId="BalloonText">
    <w:name w:val="Balloon Text"/>
    <w:basedOn w:val="Normal"/>
    <w:link w:val="BalloonTextChar"/>
    <w:uiPriority w:val="99"/>
    <w:semiHidden/>
    <w:unhideWhenUsed/>
    <w:rsid w:val="000245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551"/>
    <w:rPr>
      <w:rFonts w:ascii="Segoe UI" w:eastAsia="Times New Roman" w:hAnsi="Segoe UI" w:cs="Segoe UI"/>
      <w:sz w:val="18"/>
      <w:szCs w:val="18"/>
      <w:lang w:val="lv-LV" w:eastAsia="ru-RU"/>
    </w:rPr>
  </w:style>
  <w:style w:type="paragraph" w:styleId="Header">
    <w:name w:val="header"/>
    <w:basedOn w:val="Normal"/>
    <w:link w:val="HeaderChar"/>
    <w:uiPriority w:val="99"/>
    <w:unhideWhenUsed/>
    <w:rsid w:val="002236D2"/>
    <w:pPr>
      <w:tabs>
        <w:tab w:val="center" w:pos="4680"/>
        <w:tab w:val="right" w:pos="9360"/>
      </w:tabs>
    </w:pPr>
  </w:style>
  <w:style w:type="character" w:customStyle="1" w:styleId="HeaderChar">
    <w:name w:val="Header Char"/>
    <w:basedOn w:val="DefaultParagraphFont"/>
    <w:link w:val="Header"/>
    <w:uiPriority w:val="99"/>
    <w:rsid w:val="002236D2"/>
    <w:rPr>
      <w:rFonts w:eastAsia="Times New Roman" w:cs="Times New Roman"/>
      <w:szCs w:val="24"/>
      <w:lang w:val="lv-LV" w:eastAsia="ru-RU"/>
    </w:rPr>
  </w:style>
  <w:style w:type="paragraph" w:styleId="Footer">
    <w:name w:val="footer"/>
    <w:basedOn w:val="Normal"/>
    <w:link w:val="FooterChar"/>
    <w:uiPriority w:val="99"/>
    <w:unhideWhenUsed/>
    <w:rsid w:val="002236D2"/>
    <w:pPr>
      <w:tabs>
        <w:tab w:val="center" w:pos="4680"/>
        <w:tab w:val="right" w:pos="9360"/>
      </w:tabs>
    </w:pPr>
  </w:style>
  <w:style w:type="character" w:customStyle="1" w:styleId="FooterChar">
    <w:name w:val="Footer Char"/>
    <w:basedOn w:val="DefaultParagraphFont"/>
    <w:link w:val="Footer"/>
    <w:uiPriority w:val="99"/>
    <w:rsid w:val="002236D2"/>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5C1D2E"/>
    <w:rPr>
      <w:sz w:val="16"/>
      <w:szCs w:val="16"/>
    </w:rPr>
  </w:style>
  <w:style w:type="paragraph" w:styleId="CommentText">
    <w:name w:val="annotation text"/>
    <w:basedOn w:val="Normal"/>
    <w:link w:val="CommentTextChar"/>
    <w:uiPriority w:val="99"/>
    <w:semiHidden/>
    <w:unhideWhenUsed/>
    <w:rsid w:val="005C1D2E"/>
    <w:rPr>
      <w:sz w:val="20"/>
      <w:szCs w:val="20"/>
    </w:rPr>
  </w:style>
  <w:style w:type="character" w:customStyle="1" w:styleId="CommentTextChar">
    <w:name w:val="Comment Text Char"/>
    <w:basedOn w:val="DefaultParagraphFont"/>
    <w:link w:val="CommentText"/>
    <w:uiPriority w:val="99"/>
    <w:semiHidden/>
    <w:rsid w:val="005C1D2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5C1D2E"/>
    <w:rPr>
      <w:b/>
      <w:bCs/>
    </w:rPr>
  </w:style>
  <w:style w:type="character" w:customStyle="1" w:styleId="CommentSubjectChar">
    <w:name w:val="Comment Subject Char"/>
    <w:basedOn w:val="CommentTextChar"/>
    <w:link w:val="CommentSubject"/>
    <w:uiPriority w:val="99"/>
    <w:semiHidden/>
    <w:rsid w:val="005C1D2E"/>
    <w:rPr>
      <w:rFonts w:eastAsia="Times New Roman" w:cs="Times New Roman"/>
      <w:b/>
      <w:bCs/>
      <w:sz w:val="20"/>
      <w:szCs w:val="20"/>
      <w:lang w:val="lv-LV" w:eastAsia="ru-RU"/>
    </w:rPr>
  </w:style>
  <w:style w:type="paragraph" w:styleId="Revision">
    <w:name w:val="Revision"/>
    <w:hidden/>
    <w:uiPriority w:val="99"/>
    <w:semiHidden/>
    <w:rsid w:val="00196347"/>
    <w:pPr>
      <w:spacing w:after="0" w:line="240" w:lineRule="auto"/>
    </w:pPr>
    <w:rPr>
      <w:rFonts w:eastAsia="Times New Roman" w:cs="Times New Roman"/>
      <w:szCs w:val="24"/>
      <w:lang w:val="lv-LV" w:eastAsia="ru-RU"/>
    </w:rPr>
  </w:style>
  <w:style w:type="paragraph" w:customStyle="1" w:styleId="Default">
    <w:name w:val="Default"/>
    <w:rsid w:val="00CF2E1C"/>
    <w:pPr>
      <w:autoSpaceDE w:val="0"/>
      <w:autoSpaceDN w:val="0"/>
      <w:adjustRightInd w:val="0"/>
      <w:spacing w:after="0" w:line="240" w:lineRule="auto"/>
    </w:pPr>
    <w:rPr>
      <w:rFonts w:cs="Times New Roman"/>
      <w:color w:val="000000"/>
      <w:szCs w:val="24"/>
      <w:lang w:val="lv-LV"/>
      <w14:ligatures w14:val="standardContextual"/>
    </w:rPr>
  </w:style>
  <w:style w:type="character" w:styleId="Strong">
    <w:name w:val="Strong"/>
    <w:basedOn w:val="DefaultParagraphFont"/>
    <w:uiPriority w:val="22"/>
    <w:qFormat/>
    <w:rsid w:val="000B038E"/>
    <w:rPr>
      <w:b/>
      <w:bCs/>
    </w:rPr>
  </w:style>
  <w:style w:type="character" w:styleId="UnresolvedMention">
    <w:name w:val="Unresolved Mention"/>
    <w:basedOn w:val="DefaultParagraphFont"/>
    <w:uiPriority w:val="99"/>
    <w:semiHidden/>
    <w:unhideWhenUsed/>
    <w:rsid w:val="00C80130"/>
    <w:rPr>
      <w:color w:val="605E5C"/>
      <w:shd w:val="clear" w:color="auto" w:fill="E1DFDD"/>
    </w:rPr>
  </w:style>
  <w:style w:type="character" w:styleId="FollowedHyperlink">
    <w:name w:val="FollowedHyperlink"/>
    <w:basedOn w:val="DefaultParagraphFont"/>
    <w:uiPriority w:val="99"/>
    <w:semiHidden/>
    <w:unhideWhenUsed/>
    <w:rsid w:val="004308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2809">
      <w:bodyDiv w:val="1"/>
      <w:marLeft w:val="0"/>
      <w:marRight w:val="0"/>
      <w:marTop w:val="0"/>
      <w:marBottom w:val="0"/>
      <w:divBdr>
        <w:top w:val="none" w:sz="0" w:space="0" w:color="auto"/>
        <w:left w:val="none" w:sz="0" w:space="0" w:color="auto"/>
        <w:bottom w:val="none" w:sz="0" w:space="0" w:color="auto"/>
        <w:right w:val="none" w:sz="0" w:space="0" w:color="auto"/>
      </w:divBdr>
    </w:div>
    <w:div w:id="302665062">
      <w:bodyDiv w:val="1"/>
      <w:marLeft w:val="0"/>
      <w:marRight w:val="0"/>
      <w:marTop w:val="0"/>
      <w:marBottom w:val="0"/>
      <w:divBdr>
        <w:top w:val="none" w:sz="0" w:space="0" w:color="auto"/>
        <w:left w:val="none" w:sz="0" w:space="0" w:color="auto"/>
        <w:bottom w:val="none" w:sz="0" w:space="0" w:color="auto"/>
        <w:right w:val="none" w:sz="0" w:space="0" w:color="auto"/>
      </w:divBdr>
    </w:div>
    <w:div w:id="435488506">
      <w:bodyDiv w:val="1"/>
      <w:marLeft w:val="0"/>
      <w:marRight w:val="0"/>
      <w:marTop w:val="0"/>
      <w:marBottom w:val="0"/>
      <w:divBdr>
        <w:top w:val="none" w:sz="0" w:space="0" w:color="auto"/>
        <w:left w:val="none" w:sz="0" w:space="0" w:color="auto"/>
        <w:bottom w:val="none" w:sz="0" w:space="0" w:color="auto"/>
        <w:right w:val="none" w:sz="0" w:space="0" w:color="auto"/>
      </w:divBdr>
    </w:div>
    <w:div w:id="441656576">
      <w:bodyDiv w:val="1"/>
      <w:marLeft w:val="0"/>
      <w:marRight w:val="0"/>
      <w:marTop w:val="0"/>
      <w:marBottom w:val="0"/>
      <w:divBdr>
        <w:top w:val="none" w:sz="0" w:space="0" w:color="auto"/>
        <w:left w:val="none" w:sz="0" w:space="0" w:color="auto"/>
        <w:bottom w:val="none" w:sz="0" w:space="0" w:color="auto"/>
        <w:right w:val="none" w:sz="0" w:space="0" w:color="auto"/>
      </w:divBdr>
    </w:div>
    <w:div w:id="765463699">
      <w:bodyDiv w:val="1"/>
      <w:marLeft w:val="0"/>
      <w:marRight w:val="0"/>
      <w:marTop w:val="0"/>
      <w:marBottom w:val="0"/>
      <w:divBdr>
        <w:top w:val="none" w:sz="0" w:space="0" w:color="auto"/>
        <w:left w:val="none" w:sz="0" w:space="0" w:color="auto"/>
        <w:bottom w:val="none" w:sz="0" w:space="0" w:color="auto"/>
        <w:right w:val="none" w:sz="0" w:space="0" w:color="auto"/>
      </w:divBdr>
    </w:div>
    <w:div w:id="871764116">
      <w:bodyDiv w:val="1"/>
      <w:marLeft w:val="0"/>
      <w:marRight w:val="0"/>
      <w:marTop w:val="0"/>
      <w:marBottom w:val="0"/>
      <w:divBdr>
        <w:top w:val="none" w:sz="0" w:space="0" w:color="auto"/>
        <w:left w:val="none" w:sz="0" w:space="0" w:color="auto"/>
        <w:bottom w:val="none" w:sz="0" w:space="0" w:color="auto"/>
        <w:right w:val="none" w:sz="0" w:space="0" w:color="auto"/>
      </w:divBdr>
    </w:div>
    <w:div w:id="973097761">
      <w:bodyDiv w:val="1"/>
      <w:marLeft w:val="0"/>
      <w:marRight w:val="0"/>
      <w:marTop w:val="0"/>
      <w:marBottom w:val="0"/>
      <w:divBdr>
        <w:top w:val="none" w:sz="0" w:space="0" w:color="auto"/>
        <w:left w:val="none" w:sz="0" w:space="0" w:color="auto"/>
        <w:bottom w:val="none" w:sz="0" w:space="0" w:color="auto"/>
        <w:right w:val="none" w:sz="0" w:space="0" w:color="auto"/>
      </w:divBdr>
    </w:div>
    <w:div w:id="1038896264">
      <w:bodyDiv w:val="1"/>
      <w:marLeft w:val="0"/>
      <w:marRight w:val="0"/>
      <w:marTop w:val="0"/>
      <w:marBottom w:val="0"/>
      <w:divBdr>
        <w:top w:val="none" w:sz="0" w:space="0" w:color="auto"/>
        <w:left w:val="none" w:sz="0" w:space="0" w:color="auto"/>
        <w:bottom w:val="none" w:sz="0" w:space="0" w:color="auto"/>
        <w:right w:val="none" w:sz="0" w:space="0" w:color="auto"/>
      </w:divBdr>
    </w:div>
    <w:div w:id="1065299949">
      <w:bodyDiv w:val="1"/>
      <w:marLeft w:val="0"/>
      <w:marRight w:val="0"/>
      <w:marTop w:val="0"/>
      <w:marBottom w:val="0"/>
      <w:divBdr>
        <w:top w:val="none" w:sz="0" w:space="0" w:color="auto"/>
        <w:left w:val="none" w:sz="0" w:space="0" w:color="auto"/>
        <w:bottom w:val="none" w:sz="0" w:space="0" w:color="auto"/>
        <w:right w:val="none" w:sz="0" w:space="0" w:color="auto"/>
      </w:divBdr>
    </w:div>
    <w:div w:id="1301107185">
      <w:bodyDiv w:val="1"/>
      <w:marLeft w:val="0"/>
      <w:marRight w:val="0"/>
      <w:marTop w:val="0"/>
      <w:marBottom w:val="0"/>
      <w:divBdr>
        <w:top w:val="none" w:sz="0" w:space="0" w:color="auto"/>
        <w:left w:val="none" w:sz="0" w:space="0" w:color="auto"/>
        <w:bottom w:val="none" w:sz="0" w:space="0" w:color="auto"/>
        <w:right w:val="none" w:sz="0" w:space="0" w:color="auto"/>
      </w:divBdr>
    </w:div>
    <w:div w:id="1453743771">
      <w:bodyDiv w:val="1"/>
      <w:marLeft w:val="0"/>
      <w:marRight w:val="0"/>
      <w:marTop w:val="0"/>
      <w:marBottom w:val="0"/>
      <w:divBdr>
        <w:top w:val="none" w:sz="0" w:space="0" w:color="auto"/>
        <w:left w:val="none" w:sz="0" w:space="0" w:color="auto"/>
        <w:bottom w:val="none" w:sz="0" w:space="0" w:color="auto"/>
        <w:right w:val="none" w:sz="0" w:space="0" w:color="auto"/>
      </w:divBdr>
    </w:div>
    <w:div w:id="1515722927">
      <w:bodyDiv w:val="1"/>
      <w:marLeft w:val="0"/>
      <w:marRight w:val="0"/>
      <w:marTop w:val="0"/>
      <w:marBottom w:val="0"/>
      <w:divBdr>
        <w:top w:val="none" w:sz="0" w:space="0" w:color="auto"/>
        <w:left w:val="none" w:sz="0" w:space="0" w:color="auto"/>
        <w:bottom w:val="none" w:sz="0" w:space="0" w:color="auto"/>
        <w:right w:val="none" w:sz="0" w:space="0" w:color="auto"/>
      </w:divBdr>
    </w:div>
    <w:div w:id="1865054687">
      <w:bodyDiv w:val="1"/>
      <w:marLeft w:val="0"/>
      <w:marRight w:val="0"/>
      <w:marTop w:val="0"/>
      <w:marBottom w:val="0"/>
      <w:divBdr>
        <w:top w:val="none" w:sz="0" w:space="0" w:color="auto"/>
        <w:left w:val="none" w:sz="0" w:space="0" w:color="auto"/>
        <w:bottom w:val="none" w:sz="0" w:space="0" w:color="auto"/>
        <w:right w:val="none" w:sz="0" w:space="0" w:color="auto"/>
      </w:divBdr>
    </w:div>
    <w:div w:id="1890454514">
      <w:bodyDiv w:val="1"/>
      <w:marLeft w:val="0"/>
      <w:marRight w:val="0"/>
      <w:marTop w:val="0"/>
      <w:marBottom w:val="0"/>
      <w:divBdr>
        <w:top w:val="none" w:sz="0" w:space="0" w:color="auto"/>
        <w:left w:val="none" w:sz="0" w:space="0" w:color="auto"/>
        <w:bottom w:val="none" w:sz="0" w:space="0" w:color="auto"/>
        <w:right w:val="none" w:sz="0" w:space="0" w:color="auto"/>
      </w:divBdr>
    </w:div>
    <w:div w:id="214561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8176.pdf" TargetMode="External"/><Relationship Id="rId13" Type="http://schemas.openxmlformats.org/officeDocument/2006/relationships/hyperlink" Target="https://manas.tiesas.lv/eTiesasMvc/nolemumi/pdf/465359.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580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t.gov.lv/downloadlawfile/36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i=001-103598" TargetMode="External"/><Relationship Id="rId5" Type="http://schemas.openxmlformats.org/officeDocument/2006/relationships/webSettings" Target="webSettings.xml"/><Relationship Id="rId15" Type="http://schemas.openxmlformats.org/officeDocument/2006/relationships/hyperlink" Target="https://www.at.gov.lv/downloadlawfile/7107" TargetMode="External"/><Relationship Id="rId10" Type="http://schemas.openxmlformats.org/officeDocument/2006/relationships/hyperlink" Target="https://www.satv.tiesa.gov.lv/web/viewer.html?file=/wp-content/uploads/2016/02/2009-93-01_Spriedum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t.gov.lv/downloadlawfile/5288" TargetMode="External"/><Relationship Id="rId14" Type="http://schemas.openxmlformats.org/officeDocument/2006/relationships/hyperlink" Target="https://hudoc.echr.coe.int/?i=001-198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F45C3-71FC-4221-852A-5A9AC37B4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16863</Words>
  <Characters>9612</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2024-01-22T13:55:00Z</dcterms:created>
  <dcterms:modified xsi:type="dcterms:W3CDTF">2024-01-22T13:56:00Z</dcterms:modified>
</cp:coreProperties>
</file>