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8AEB" w14:textId="77777777" w:rsidR="00F636D1" w:rsidRPr="00F636D1" w:rsidRDefault="00F636D1" w:rsidP="00F636D1">
      <w:pPr>
        <w:tabs>
          <w:tab w:val="left" w:pos="3318"/>
        </w:tabs>
        <w:spacing w:line="276" w:lineRule="auto"/>
        <w:jc w:val="both"/>
        <w:rPr>
          <w:rFonts w:cs="Times New Roman"/>
          <w:b/>
          <w:bCs/>
          <w:szCs w:val="24"/>
        </w:rPr>
      </w:pPr>
      <w:r w:rsidRPr="00F636D1">
        <w:rPr>
          <w:rFonts w:cs="Times New Roman"/>
          <w:b/>
          <w:bCs/>
          <w:szCs w:val="24"/>
        </w:rPr>
        <w:t>Cesijas, ar kuru cesionāram nepāriet prasījuma tiesību nodrošinājums, pieļaujamība</w:t>
      </w:r>
    </w:p>
    <w:p w14:paraId="15322885" w14:textId="0C2D1F8B" w:rsidR="00BF61D3" w:rsidRPr="00F636D1" w:rsidRDefault="00F636D1" w:rsidP="00F636D1">
      <w:pPr>
        <w:spacing w:line="276" w:lineRule="auto"/>
        <w:jc w:val="both"/>
        <w:rPr>
          <w:rFonts w:cs="Times New Roman"/>
          <w:szCs w:val="24"/>
        </w:rPr>
      </w:pPr>
      <w:r w:rsidRPr="00F636D1">
        <w:rPr>
          <w:rFonts w:cs="Times New Roman"/>
          <w:szCs w:val="24"/>
        </w:rPr>
        <w:t xml:space="preserve">Saskaņā ar Civillikuma 1806. panta pirmo daļu cedents un cesionārs var vienoties par to, ka cesionāram prasījums pāriet </w:t>
      </w:r>
      <w:proofErr w:type="gramStart"/>
      <w:r w:rsidRPr="00F636D1">
        <w:rPr>
          <w:rFonts w:cs="Times New Roman"/>
          <w:szCs w:val="24"/>
        </w:rPr>
        <w:t>bez tam</w:t>
      </w:r>
      <w:proofErr w:type="gramEnd"/>
      <w:r w:rsidRPr="00F636D1">
        <w:rPr>
          <w:rFonts w:cs="Times New Roman"/>
          <w:szCs w:val="24"/>
        </w:rPr>
        <w:t xml:space="preserve"> piederīgajām cesijas brīdī jau pastāvošajām tiesībām, tostarp bez hipotēkas vai komercķīlas, kas nodrošina cedēto prasījumu. Cesijas līgums, ar kuru cesionāram nepāriet prasījumam piederīgās tiesības, nepasliktina parādnieka tiesisko stāvokli un nav atzīstams par prettiesisku </w:t>
      </w:r>
      <w:proofErr w:type="gramStart"/>
      <w:r w:rsidRPr="00F636D1">
        <w:rPr>
          <w:rFonts w:cs="Times New Roman"/>
          <w:szCs w:val="24"/>
        </w:rPr>
        <w:t>Civillikuma 1415. panta izpratnē,</w:t>
      </w:r>
      <w:proofErr w:type="gramEnd"/>
      <w:r w:rsidRPr="00F636D1">
        <w:rPr>
          <w:rFonts w:cs="Times New Roman"/>
          <w:szCs w:val="24"/>
        </w:rPr>
        <w:t xml:space="preserve"> neraugoties uz to, ka cesionārs parādnieka maksātnespējas pazīmju iestāšanās gadījumā kā nenodrošinātais kreditors varētu iesniegt maksātnespējas pieteikumu.</w:t>
      </w:r>
    </w:p>
    <w:p w14:paraId="58906338" w14:textId="77777777" w:rsidR="003960A5" w:rsidRPr="00F636D1" w:rsidRDefault="003960A5" w:rsidP="00F636D1">
      <w:pPr>
        <w:spacing w:line="276" w:lineRule="auto"/>
        <w:ind w:firstLine="568"/>
        <w:jc w:val="center"/>
        <w:rPr>
          <w:rFonts w:cs="Times New Roman"/>
          <w:szCs w:val="24"/>
        </w:rPr>
      </w:pPr>
    </w:p>
    <w:p w14:paraId="22A11BF9" w14:textId="5CB7D5AF" w:rsidR="004C5417" w:rsidRPr="00F636D1" w:rsidRDefault="004C5417" w:rsidP="00F636D1">
      <w:pPr>
        <w:spacing w:line="276" w:lineRule="auto"/>
        <w:jc w:val="center"/>
        <w:rPr>
          <w:rFonts w:cs="Times New Roman"/>
          <w:b/>
          <w:szCs w:val="24"/>
          <w:lang w:eastAsia="ru-RU"/>
        </w:rPr>
      </w:pPr>
      <w:r w:rsidRPr="00F636D1">
        <w:rPr>
          <w:rFonts w:cs="Times New Roman"/>
          <w:b/>
          <w:szCs w:val="24"/>
          <w:lang w:eastAsia="ru-RU"/>
        </w:rPr>
        <w:t>Latvijas Republikas Senāt</w:t>
      </w:r>
      <w:r w:rsidR="003960A5" w:rsidRPr="00F636D1">
        <w:rPr>
          <w:rFonts w:cs="Times New Roman"/>
          <w:b/>
          <w:szCs w:val="24"/>
          <w:lang w:eastAsia="ru-RU"/>
        </w:rPr>
        <w:t>a</w:t>
      </w:r>
    </w:p>
    <w:p w14:paraId="36EB3ED5" w14:textId="0484F56E" w:rsidR="003960A5" w:rsidRPr="00F636D1" w:rsidRDefault="003960A5" w:rsidP="00F636D1">
      <w:pPr>
        <w:spacing w:line="276" w:lineRule="auto"/>
        <w:jc w:val="center"/>
        <w:rPr>
          <w:rFonts w:cs="Times New Roman"/>
          <w:b/>
          <w:szCs w:val="24"/>
          <w:lang w:eastAsia="ru-RU"/>
        </w:rPr>
      </w:pPr>
      <w:r w:rsidRPr="00F636D1">
        <w:rPr>
          <w:rFonts w:cs="Times New Roman"/>
          <w:b/>
          <w:szCs w:val="24"/>
          <w:lang w:eastAsia="ru-RU"/>
        </w:rPr>
        <w:t>Civillietu departamenta</w:t>
      </w:r>
    </w:p>
    <w:p w14:paraId="7153CC66" w14:textId="2B28C18D" w:rsidR="003960A5" w:rsidRPr="00F636D1" w:rsidRDefault="003960A5" w:rsidP="00F636D1">
      <w:pPr>
        <w:spacing w:line="276" w:lineRule="auto"/>
        <w:ind w:firstLine="568"/>
        <w:jc w:val="center"/>
        <w:rPr>
          <w:rFonts w:cs="Times New Roman"/>
          <w:b/>
          <w:bCs/>
          <w:szCs w:val="24"/>
        </w:rPr>
      </w:pPr>
      <w:r w:rsidRPr="00F636D1">
        <w:rPr>
          <w:rFonts w:cs="Times New Roman"/>
          <w:b/>
          <w:bCs/>
          <w:szCs w:val="24"/>
        </w:rPr>
        <w:t>2023. gada 28. novembra</w:t>
      </w:r>
    </w:p>
    <w:p w14:paraId="19BAE930" w14:textId="7E1508B8" w:rsidR="004C5417" w:rsidRPr="00F636D1" w:rsidRDefault="003960A5" w:rsidP="00F636D1">
      <w:pPr>
        <w:spacing w:line="276" w:lineRule="auto"/>
        <w:jc w:val="center"/>
        <w:rPr>
          <w:rFonts w:eastAsia="Times New Roman" w:cs="Times New Roman"/>
          <w:b/>
          <w:bCs/>
          <w:szCs w:val="24"/>
          <w:lang w:eastAsia="lv-LV"/>
        </w:rPr>
      </w:pPr>
      <w:r w:rsidRPr="00F636D1">
        <w:rPr>
          <w:rFonts w:eastAsia="Times New Roman" w:cs="Times New Roman"/>
          <w:b/>
          <w:bCs/>
          <w:szCs w:val="24"/>
          <w:lang w:eastAsia="lv-LV"/>
        </w:rPr>
        <w:t>S</w:t>
      </w:r>
      <w:r w:rsidR="00EC5732" w:rsidRPr="00F636D1">
        <w:rPr>
          <w:rFonts w:eastAsia="Times New Roman" w:cs="Times New Roman"/>
          <w:b/>
          <w:bCs/>
          <w:szCs w:val="24"/>
          <w:lang w:eastAsia="lv-LV"/>
        </w:rPr>
        <w:t xml:space="preserve">PRIEDUMS </w:t>
      </w:r>
    </w:p>
    <w:p w14:paraId="05A3DB41" w14:textId="7A1EFEAA" w:rsidR="003960A5" w:rsidRPr="00F636D1" w:rsidRDefault="003960A5" w:rsidP="00F636D1">
      <w:pPr>
        <w:spacing w:line="276" w:lineRule="auto"/>
        <w:jc w:val="center"/>
        <w:rPr>
          <w:rFonts w:cs="Times New Roman"/>
          <w:b/>
          <w:bCs/>
          <w:szCs w:val="24"/>
        </w:rPr>
      </w:pPr>
      <w:r w:rsidRPr="00F636D1">
        <w:rPr>
          <w:rFonts w:cs="Times New Roman"/>
          <w:b/>
          <w:bCs/>
          <w:szCs w:val="24"/>
        </w:rPr>
        <w:t>Lieta Nr. C30707219, SKC-48/2023</w:t>
      </w:r>
    </w:p>
    <w:p w14:paraId="702BBE15" w14:textId="3E2C84F1" w:rsidR="003960A5" w:rsidRPr="00F636D1" w:rsidRDefault="00F636D1" w:rsidP="00F636D1">
      <w:pPr>
        <w:spacing w:line="276" w:lineRule="auto"/>
        <w:jc w:val="center"/>
        <w:rPr>
          <w:rFonts w:cs="Times New Roman"/>
          <w:szCs w:val="24"/>
        </w:rPr>
      </w:pPr>
      <w:hyperlink r:id="rId8" w:history="1">
        <w:r w:rsidR="003960A5" w:rsidRPr="00F636D1">
          <w:rPr>
            <w:rStyle w:val="Hyperlink"/>
            <w:rFonts w:cs="Times New Roman"/>
            <w:szCs w:val="24"/>
          </w:rPr>
          <w:t>ECLI:LV:AT:2023:1128.C30707219.17.S</w:t>
        </w:r>
      </w:hyperlink>
    </w:p>
    <w:p w14:paraId="2E241E7E" w14:textId="77777777" w:rsidR="004C5417" w:rsidRPr="00F636D1" w:rsidRDefault="004C5417" w:rsidP="00F636D1">
      <w:pPr>
        <w:pStyle w:val="NoSpacing"/>
        <w:spacing w:line="276" w:lineRule="auto"/>
        <w:rPr>
          <w:rFonts w:ascii="Times New Roman" w:hAnsi="Times New Roman"/>
          <w:szCs w:val="24"/>
        </w:rPr>
      </w:pPr>
    </w:p>
    <w:p w14:paraId="74572A73" w14:textId="2F6CFA89" w:rsidR="004C5417" w:rsidRPr="00F636D1" w:rsidRDefault="004C5417" w:rsidP="00F636D1">
      <w:pPr>
        <w:autoSpaceDE w:val="0"/>
        <w:autoSpaceDN w:val="0"/>
        <w:adjustRightInd w:val="0"/>
        <w:spacing w:line="276" w:lineRule="auto"/>
        <w:ind w:firstLine="568"/>
        <w:rPr>
          <w:rFonts w:cs="Times New Roman"/>
          <w:szCs w:val="24"/>
        </w:rPr>
      </w:pPr>
      <w:r w:rsidRPr="00F636D1">
        <w:rPr>
          <w:rFonts w:cs="Times New Roman"/>
          <w:szCs w:val="24"/>
        </w:rPr>
        <w:t>Senāts šādā sastāvā:</w:t>
      </w:r>
      <w:r w:rsidR="00986678" w:rsidRPr="00F636D1">
        <w:rPr>
          <w:rFonts w:cs="Times New Roman"/>
          <w:szCs w:val="24"/>
        </w:rPr>
        <w:t xml:space="preserve"> </w:t>
      </w:r>
      <w:r w:rsidRPr="00F636D1">
        <w:rPr>
          <w:rFonts w:cs="Times New Roman"/>
          <w:szCs w:val="24"/>
        </w:rPr>
        <w:t>senators referents Kaspars Balodis,</w:t>
      </w:r>
      <w:r w:rsidR="00986678" w:rsidRPr="00F636D1">
        <w:rPr>
          <w:rFonts w:cs="Times New Roman"/>
          <w:szCs w:val="24"/>
        </w:rPr>
        <w:t xml:space="preserve"> </w:t>
      </w:r>
      <w:r w:rsidRPr="00F636D1">
        <w:rPr>
          <w:rFonts w:cs="Times New Roman"/>
          <w:szCs w:val="24"/>
        </w:rPr>
        <w:t>senatore</w:t>
      </w:r>
      <w:r w:rsidR="00986678" w:rsidRPr="00F636D1">
        <w:rPr>
          <w:rFonts w:cs="Times New Roman"/>
          <w:szCs w:val="24"/>
        </w:rPr>
        <w:t>s</w:t>
      </w:r>
      <w:r w:rsidRPr="00F636D1">
        <w:rPr>
          <w:rFonts w:cs="Times New Roman"/>
          <w:szCs w:val="24"/>
        </w:rPr>
        <w:t xml:space="preserve"> </w:t>
      </w:r>
      <w:r w:rsidR="00C26A52" w:rsidRPr="00F636D1">
        <w:rPr>
          <w:rFonts w:cs="Times New Roman"/>
          <w:szCs w:val="24"/>
        </w:rPr>
        <w:t>Anita Čerņavska un Zane Pētersone</w:t>
      </w:r>
    </w:p>
    <w:p w14:paraId="4F0465ED" w14:textId="77777777" w:rsidR="004C5417" w:rsidRPr="00F636D1" w:rsidRDefault="004C5417" w:rsidP="00F636D1">
      <w:pPr>
        <w:spacing w:line="276" w:lineRule="auto"/>
        <w:ind w:firstLine="568"/>
        <w:rPr>
          <w:rFonts w:cs="Times New Roman"/>
          <w:szCs w:val="24"/>
        </w:rPr>
      </w:pPr>
    </w:p>
    <w:p w14:paraId="76C72184" w14:textId="3441BCFD" w:rsidR="004C5417" w:rsidRPr="00F636D1" w:rsidRDefault="004C5417" w:rsidP="00F636D1">
      <w:pPr>
        <w:autoSpaceDE w:val="0"/>
        <w:autoSpaceDN w:val="0"/>
        <w:adjustRightInd w:val="0"/>
        <w:spacing w:line="276" w:lineRule="auto"/>
        <w:jc w:val="both"/>
        <w:rPr>
          <w:rFonts w:cs="Times New Roman"/>
          <w:szCs w:val="24"/>
        </w:rPr>
      </w:pPr>
      <w:r w:rsidRPr="00F636D1">
        <w:rPr>
          <w:rFonts w:cs="Times New Roman"/>
          <w:szCs w:val="24"/>
        </w:rPr>
        <w:t xml:space="preserve">izskatīja rakstveida procesā </w:t>
      </w:r>
      <w:r w:rsidR="00C26A52" w:rsidRPr="00F636D1">
        <w:rPr>
          <w:rFonts w:cs="Times New Roman"/>
          <w:szCs w:val="24"/>
        </w:rPr>
        <w:t>civillietu</w:t>
      </w:r>
      <w:r w:rsidR="008D0C10" w:rsidRPr="00F636D1">
        <w:rPr>
          <w:rFonts w:cs="Times New Roman"/>
          <w:szCs w:val="24"/>
        </w:rPr>
        <w:t xml:space="preserve"> </w:t>
      </w:r>
      <w:r w:rsidR="00C26A52" w:rsidRPr="00F636D1">
        <w:rPr>
          <w:rFonts w:cs="Times New Roman"/>
          <w:szCs w:val="24"/>
        </w:rPr>
        <w:t>SIA</w:t>
      </w:r>
      <w:r w:rsidR="00624B03" w:rsidRPr="00F636D1">
        <w:rPr>
          <w:rFonts w:cs="Times New Roman"/>
          <w:szCs w:val="24"/>
        </w:rPr>
        <w:t> </w:t>
      </w:r>
      <w:r w:rsidR="00C26A52" w:rsidRPr="00F636D1">
        <w:rPr>
          <w:rFonts w:cs="Times New Roman"/>
          <w:szCs w:val="24"/>
        </w:rPr>
        <w:t>,,LAFIKO.LV” un AS</w:t>
      </w:r>
      <w:r w:rsidR="00624B03" w:rsidRPr="00F636D1">
        <w:rPr>
          <w:rFonts w:cs="Times New Roman"/>
          <w:szCs w:val="24"/>
        </w:rPr>
        <w:t> </w:t>
      </w:r>
      <w:r w:rsidR="00C26A52" w:rsidRPr="00F636D1">
        <w:rPr>
          <w:rFonts w:cs="Times New Roman"/>
          <w:szCs w:val="24"/>
        </w:rPr>
        <w:t xml:space="preserve">,,Latgales Finanšu kompānija” </w:t>
      </w:r>
      <w:r w:rsidR="005F1E5C" w:rsidRPr="00F636D1">
        <w:rPr>
          <w:rFonts w:cs="Times New Roman"/>
          <w:szCs w:val="24"/>
        </w:rPr>
        <w:t>prasībā pret SIA</w:t>
      </w:r>
      <w:proofErr w:type="gramStart"/>
      <w:r w:rsidR="005F1E5C" w:rsidRPr="00F636D1">
        <w:rPr>
          <w:rFonts w:cs="Times New Roman"/>
          <w:szCs w:val="24"/>
        </w:rPr>
        <w:t xml:space="preserve"> ,,</w:t>
      </w:r>
      <w:proofErr w:type="spellStart"/>
      <w:proofErr w:type="gramEnd"/>
      <w:r w:rsidR="005F1E5C" w:rsidRPr="00F636D1">
        <w:rPr>
          <w:rFonts w:cs="Times New Roman"/>
          <w:szCs w:val="24"/>
        </w:rPr>
        <w:t>GelvoraSergel</w:t>
      </w:r>
      <w:proofErr w:type="spellEnd"/>
      <w:r w:rsidR="005F1E5C" w:rsidRPr="00F636D1">
        <w:rPr>
          <w:rFonts w:cs="Times New Roman"/>
          <w:szCs w:val="24"/>
        </w:rPr>
        <w:t>” un SIA</w:t>
      </w:r>
      <w:r w:rsidR="00624B03" w:rsidRPr="00F636D1">
        <w:rPr>
          <w:rFonts w:cs="Times New Roman"/>
          <w:szCs w:val="24"/>
        </w:rPr>
        <w:t> [firma]</w:t>
      </w:r>
      <w:r w:rsidR="005F1E5C" w:rsidRPr="00F636D1">
        <w:rPr>
          <w:rFonts w:cs="Times New Roman"/>
          <w:szCs w:val="24"/>
        </w:rPr>
        <w:t xml:space="preserve"> par darījumu atzīšanu par spēkā neesošiem sakarā ar SIA ,,LAFIKO.LV” un AS</w:t>
      </w:r>
      <w:r w:rsidR="00AC677C" w:rsidRPr="00F636D1">
        <w:rPr>
          <w:rFonts w:cs="Times New Roman"/>
          <w:szCs w:val="24"/>
        </w:rPr>
        <w:t> </w:t>
      </w:r>
      <w:r w:rsidR="005F1E5C" w:rsidRPr="00F636D1">
        <w:rPr>
          <w:rFonts w:cs="Times New Roman"/>
          <w:szCs w:val="24"/>
        </w:rPr>
        <w:t xml:space="preserve">,,Latgales Finanšu kompānija” kasācijas sūdzību par Rīgas apgabaltiesas 2021. gada 2. jūnija spriedumu. </w:t>
      </w:r>
    </w:p>
    <w:p w14:paraId="505DBEC9" w14:textId="77777777" w:rsidR="004C5417" w:rsidRPr="00F636D1" w:rsidRDefault="004C5417" w:rsidP="00F636D1">
      <w:pPr>
        <w:autoSpaceDE w:val="0"/>
        <w:autoSpaceDN w:val="0"/>
        <w:adjustRightInd w:val="0"/>
        <w:spacing w:line="276" w:lineRule="auto"/>
        <w:ind w:firstLine="567"/>
        <w:jc w:val="both"/>
        <w:rPr>
          <w:rFonts w:cs="Times New Roman"/>
          <w:szCs w:val="24"/>
        </w:rPr>
      </w:pPr>
    </w:p>
    <w:p w14:paraId="376D0C59" w14:textId="77777777" w:rsidR="004C5417" w:rsidRPr="00F636D1" w:rsidRDefault="004C5417" w:rsidP="00F636D1">
      <w:pPr>
        <w:pStyle w:val="NoSpacing"/>
        <w:spacing w:line="276" w:lineRule="auto"/>
        <w:jc w:val="center"/>
        <w:rPr>
          <w:rFonts w:ascii="Times New Roman" w:hAnsi="Times New Roman"/>
          <w:b/>
          <w:szCs w:val="24"/>
        </w:rPr>
      </w:pPr>
      <w:r w:rsidRPr="00F636D1">
        <w:rPr>
          <w:rFonts w:ascii="Times New Roman" w:hAnsi="Times New Roman"/>
          <w:b/>
          <w:szCs w:val="24"/>
        </w:rPr>
        <w:t>Aprakstošā daļa</w:t>
      </w:r>
    </w:p>
    <w:p w14:paraId="430E78E8" w14:textId="77777777" w:rsidR="00C16CDD" w:rsidRPr="00F636D1" w:rsidRDefault="00C16CDD" w:rsidP="00F636D1">
      <w:pPr>
        <w:pStyle w:val="NormalWeb"/>
        <w:shd w:val="clear" w:color="auto" w:fill="FFFFFF"/>
        <w:spacing w:before="0" w:beforeAutospacing="0" w:after="0" w:afterAutospacing="0" w:line="276" w:lineRule="auto"/>
        <w:ind w:firstLine="720"/>
        <w:jc w:val="both"/>
        <w:rPr>
          <w:color w:val="000000"/>
        </w:rPr>
      </w:pPr>
    </w:p>
    <w:p w14:paraId="347AA621" w14:textId="32D3632B" w:rsidR="00C06686" w:rsidRPr="00F636D1" w:rsidRDefault="00C06686" w:rsidP="00F636D1">
      <w:pPr>
        <w:pStyle w:val="NormalWeb"/>
        <w:shd w:val="clear" w:color="auto" w:fill="FFFFFF"/>
        <w:spacing w:before="0" w:beforeAutospacing="0" w:after="0" w:afterAutospacing="0" w:line="276" w:lineRule="auto"/>
        <w:ind w:firstLine="720"/>
        <w:jc w:val="both"/>
        <w:rPr>
          <w:color w:val="000000"/>
        </w:rPr>
      </w:pPr>
      <w:r w:rsidRPr="00F636D1">
        <w:rPr>
          <w:color w:val="000000"/>
        </w:rPr>
        <w:t>[1] Lietā nodibināti šādi faktiskie apstākļi, par kuriem nav strīda.</w:t>
      </w:r>
    </w:p>
    <w:p w14:paraId="43FAA360" w14:textId="3AFB85F4" w:rsidR="00694CB7" w:rsidRPr="00F636D1" w:rsidRDefault="00C16CDD" w:rsidP="00F636D1">
      <w:pPr>
        <w:pStyle w:val="NormalWeb"/>
        <w:shd w:val="clear" w:color="auto" w:fill="FFFFFF"/>
        <w:spacing w:before="0" w:beforeAutospacing="0" w:after="0" w:afterAutospacing="0" w:line="276" w:lineRule="auto"/>
        <w:ind w:firstLine="720"/>
        <w:jc w:val="both"/>
      </w:pPr>
      <w:r w:rsidRPr="00F636D1">
        <w:rPr>
          <w:color w:val="000000"/>
        </w:rPr>
        <w:t>[</w:t>
      </w:r>
      <w:r w:rsidR="00C06686" w:rsidRPr="00F636D1">
        <w:rPr>
          <w:color w:val="000000"/>
        </w:rPr>
        <w:t>1</w:t>
      </w:r>
      <w:r w:rsidRPr="00F636D1">
        <w:rPr>
          <w:color w:val="000000"/>
        </w:rPr>
        <w:t xml:space="preserve">.1] </w:t>
      </w:r>
      <w:r w:rsidR="001068B3" w:rsidRPr="00F636D1">
        <w:rPr>
          <w:color w:val="000000"/>
        </w:rPr>
        <w:t>Starp AS</w:t>
      </w:r>
      <w:r w:rsidR="00624B03" w:rsidRPr="00F636D1">
        <w:rPr>
          <w:color w:val="000000"/>
        </w:rPr>
        <w:t> </w:t>
      </w:r>
      <w:r w:rsidR="001068B3" w:rsidRPr="00F636D1">
        <w:t>,,</w:t>
      </w:r>
      <w:r w:rsidR="00376965" w:rsidRPr="00F636D1">
        <w:t>Parex banka” (pēc reorganizācijas – AS</w:t>
      </w:r>
      <w:r w:rsidR="00624B03" w:rsidRPr="00F636D1">
        <w:t> </w:t>
      </w:r>
      <w:r w:rsidR="00376965" w:rsidRPr="00F636D1">
        <w:t>,,</w:t>
      </w:r>
      <w:proofErr w:type="spellStart"/>
      <w:r w:rsidR="00376965" w:rsidRPr="00F636D1">
        <w:t>Reverta</w:t>
      </w:r>
      <w:proofErr w:type="spellEnd"/>
      <w:r w:rsidR="00B35CD6" w:rsidRPr="00F636D1">
        <w:t>”</w:t>
      </w:r>
      <w:r w:rsidR="00376965" w:rsidRPr="00F636D1">
        <w:t xml:space="preserve">) </w:t>
      </w:r>
      <w:r w:rsidR="001068B3" w:rsidRPr="00F636D1">
        <w:t>un AS</w:t>
      </w:r>
      <w:r w:rsidR="00A7341E" w:rsidRPr="00F636D1">
        <w:t> </w:t>
      </w:r>
      <w:r w:rsidR="001068B3" w:rsidRPr="00F636D1">
        <w:t>,,Latgales Finanšu kompānija” 2005.</w:t>
      </w:r>
      <w:r w:rsidR="00EC5732" w:rsidRPr="00F636D1">
        <w:t> </w:t>
      </w:r>
      <w:r w:rsidR="001068B3" w:rsidRPr="00F636D1">
        <w:t>gada 28.</w:t>
      </w:r>
      <w:r w:rsidR="00EC5732" w:rsidRPr="00F636D1">
        <w:t> </w:t>
      </w:r>
      <w:r w:rsidR="001068B3" w:rsidRPr="00F636D1">
        <w:t>jūnijā noslēgts aizdevuma līgums, ar kuru AS</w:t>
      </w:r>
      <w:proofErr w:type="gramStart"/>
      <w:r w:rsidR="001068B3" w:rsidRPr="00F636D1">
        <w:t xml:space="preserve"> ,,</w:t>
      </w:r>
      <w:proofErr w:type="gramEnd"/>
      <w:r w:rsidR="001068B3" w:rsidRPr="00F636D1">
        <w:t>Latgales Finanšu kompānija” izsniegts aizdevumus 400 000 L</w:t>
      </w:r>
      <w:r w:rsidR="00EC5732" w:rsidRPr="00F636D1">
        <w:t>VL</w:t>
      </w:r>
      <w:r w:rsidR="001068B3" w:rsidRPr="00F636D1">
        <w:t xml:space="preserve">. </w:t>
      </w:r>
    </w:p>
    <w:p w14:paraId="4D4F873E" w14:textId="44BFAC76" w:rsidR="00E3016A" w:rsidRPr="00F636D1" w:rsidRDefault="00E3016A" w:rsidP="00F636D1">
      <w:pPr>
        <w:pStyle w:val="NormalWeb"/>
        <w:shd w:val="clear" w:color="auto" w:fill="FFFFFF"/>
        <w:spacing w:before="0" w:beforeAutospacing="0" w:after="0" w:afterAutospacing="0" w:line="276" w:lineRule="auto"/>
        <w:ind w:firstLine="720"/>
        <w:jc w:val="both"/>
      </w:pPr>
      <w:r w:rsidRPr="00F636D1">
        <w:rPr>
          <w:color w:val="000000"/>
          <w:shd w:val="clear" w:color="auto" w:fill="FFFFFF"/>
        </w:rPr>
        <w:t>SIA</w:t>
      </w:r>
      <w:r w:rsidR="00624B03" w:rsidRPr="00F636D1">
        <w:rPr>
          <w:color w:val="000000"/>
          <w:shd w:val="clear" w:color="auto" w:fill="FFFFFF"/>
        </w:rPr>
        <w:t> </w:t>
      </w:r>
      <w:r w:rsidRPr="00F636D1">
        <w:t>,,</w:t>
      </w:r>
      <w:proofErr w:type="spellStart"/>
      <w:r w:rsidRPr="00F636D1">
        <w:t>GelvoraSergel</w:t>
      </w:r>
      <w:proofErr w:type="spellEnd"/>
      <w:r w:rsidRPr="00F636D1">
        <w:t>” 2017.</w:t>
      </w:r>
      <w:r w:rsidR="00EC5732" w:rsidRPr="00F636D1">
        <w:t> </w:t>
      </w:r>
      <w:r w:rsidRPr="00F636D1">
        <w:t>gada 24.</w:t>
      </w:r>
      <w:r w:rsidR="00EC5732" w:rsidRPr="00F636D1">
        <w:t> </w:t>
      </w:r>
      <w:r w:rsidRPr="00F636D1">
        <w:t>augustā</w:t>
      </w:r>
      <w:r w:rsidR="00376965" w:rsidRPr="00F636D1">
        <w:t xml:space="preserve"> nosūtījusi AS</w:t>
      </w:r>
      <w:r w:rsidR="00624B03" w:rsidRPr="00F636D1">
        <w:t> </w:t>
      </w:r>
      <w:r w:rsidR="00376965" w:rsidRPr="00F636D1">
        <w:t>,,Latgales Finanšu kompānija” paziņojumu par prasījuma tiesību cesiju, informējot, ka 2017.</w:t>
      </w:r>
      <w:r w:rsidR="00624B03" w:rsidRPr="00F636D1">
        <w:t> </w:t>
      </w:r>
      <w:r w:rsidR="00376965" w:rsidRPr="00F636D1">
        <w:t>gada 22.</w:t>
      </w:r>
      <w:r w:rsidR="00624B03" w:rsidRPr="00F636D1">
        <w:t> </w:t>
      </w:r>
      <w:r w:rsidR="00376965" w:rsidRPr="00F636D1">
        <w:t>jūnijā starp AS</w:t>
      </w:r>
      <w:r w:rsidR="00624B03" w:rsidRPr="00F636D1">
        <w:t> </w:t>
      </w:r>
      <w:r w:rsidR="00376965" w:rsidRPr="00F636D1">
        <w:t xml:space="preserve"> </w:t>
      </w:r>
      <w:r w:rsidR="00B35CD6" w:rsidRPr="00F636D1">
        <w:t>,,</w:t>
      </w:r>
      <w:proofErr w:type="spellStart"/>
      <w:r w:rsidR="00B35CD6" w:rsidRPr="00F636D1">
        <w:t>Reverta</w:t>
      </w:r>
      <w:proofErr w:type="spellEnd"/>
      <w:r w:rsidR="00B35CD6" w:rsidRPr="00F636D1">
        <w:t>” kā cedent</w:t>
      </w:r>
      <w:r w:rsidR="00EC5732" w:rsidRPr="00F636D1">
        <w:t>i</w:t>
      </w:r>
      <w:r w:rsidR="00B35CD6" w:rsidRPr="00F636D1">
        <w:t xml:space="preserve"> un SIA</w:t>
      </w:r>
      <w:r w:rsidR="00624B03" w:rsidRPr="00F636D1">
        <w:t> </w:t>
      </w:r>
      <w:r w:rsidR="00B35CD6" w:rsidRPr="00F636D1">
        <w:t>,,</w:t>
      </w:r>
      <w:proofErr w:type="spellStart"/>
      <w:r w:rsidR="00B35CD6" w:rsidRPr="00F636D1">
        <w:t>GelvoraSergel</w:t>
      </w:r>
      <w:proofErr w:type="spellEnd"/>
      <w:r w:rsidR="00B35CD6" w:rsidRPr="00F636D1">
        <w:t>” kā cesionār</w:t>
      </w:r>
      <w:r w:rsidR="00EC5732" w:rsidRPr="00F636D1">
        <w:t>i</w:t>
      </w:r>
      <w:r w:rsidR="00B35CD6" w:rsidRPr="00F636D1">
        <w:t xml:space="preserve"> noslēgts prasījuma tiesību portfeļa cesijas līgums, ar kuru </w:t>
      </w:r>
      <w:proofErr w:type="spellStart"/>
      <w:r w:rsidR="00B35CD6" w:rsidRPr="00F636D1">
        <w:t>cedent</w:t>
      </w:r>
      <w:r w:rsidR="00EC5732" w:rsidRPr="00F636D1">
        <w:t>e</w:t>
      </w:r>
      <w:proofErr w:type="spellEnd"/>
      <w:r w:rsidR="00B35CD6" w:rsidRPr="00F636D1">
        <w:t xml:space="preserve"> nodev</w:t>
      </w:r>
      <w:r w:rsidR="00EC5732" w:rsidRPr="00F636D1">
        <w:t>usi</w:t>
      </w:r>
      <w:r w:rsidR="00B35CD6" w:rsidRPr="00F636D1">
        <w:t xml:space="preserve"> </w:t>
      </w:r>
      <w:proofErr w:type="spellStart"/>
      <w:r w:rsidR="00B35CD6" w:rsidRPr="00F636D1">
        <w:t>cesionār</w:t>
      </w:r>
      <w:r w:rsidR="00EC5732" w:rsidRPr="00F636D1">
        <w:t>ei</w:t>
      </w:r>
      <w:proofErr w:type="spellEnd"/>
      <w:r w:rsidR="00B35CD6" w:rsidRPr="00F636D1">
        <w:t xml:space="preserve"> visas savas tiesības, esošos un nākotnē iespējamos prasījumus, nodibinātās blakus un ķīlas tiesības, kas izriet no 2005.</w:t>
      </w:r>
      <w:r w:rsidR="00624B03" w:rsidRPr="00F636D1">
        <w:t> </w:t>
      </w:r>
      <w:r w:rsidR="00B35CD6" w:rsidRPr="00F636D1">
        <w:t>gada 28.</w:t>
      </w:r>
      <w:r w:rsidR="00624B03" w:rsidRPr="00F636D1">
        <w:t> </w:t>
      </w:r>
      <w:r w:rsidR="00B35CD6" w:rsidRPr="00F636D1">
        <w:t xml:space="preserve">jūnijā noslēgtā aizdevuma līguma starp </w:t>
      </w:r>
      <w:r w:rsidR="00B35CD6" w:rsidRPr="00F636D1">
        <w:rPr>
          <w:color w:val="000000"/>
        </w:rPr>
        <w:t xml:space="preserve">AS </w:t>
      </w:r>
      <w:r w:rsidR="00624B03" w:rsidRPr="00F636D1">
        <w:t> </w:t>
      </w:r>
      <w:r w:rsidR="00B35CD6" w:rsidRPr="00F636D1">
        <w:t>Parex banka” un AS</w:t>
      </w:r>
      <w:r w:rsidR="00EC5732" w:rsidRPr="00F636D1">
        <w:t> </w:t>
      </w:r>
      <w:r w:rsidR="00B35CD6" w:rsidRPr="00F636D1">
        <w:t xml:space="preserve">,,Latgales Finanšu kompānija”. </w:t>
      </w:r>
    </w:p>
    <w:p w14:paraId="385F79A1" w14:textId="432A3A6E" w:rsidR="00B35CD6" w:rsidRPr="00F636D1" w:rsidRDefault="009901E6" w:rsidP="00F636D1">
      <w:pPr>
        <w:pStyle w:val="NormalWeb"/>
        <w:shd w:val="clear" w:color="auto" w:fill="FFFFFF"/>
        <w:spacing w:before="0" w:beforeAutospacing="0" w:after="0" w:afterAutospacing="0" w:line="276" w:lineRule="auto"/>
        <w:ind w:firstLine="720"/>
        <w:jc w:val="both"/>
      </w:pPr>
      <w:r w:rsidRPr="00F636D1">
        <w:rPr>
          <w:color w:val="000000"/>
          <w:shd w:val="clear" w:color="auto" w:fill="FFFFFF"/>
        </w:rPr>
        <w:t>Savukārt 2019.</w:t>
      </w:r>
      <w:r w:rsidR="00EC5732" w:rsidRPr="00F636D1">
        <w:rPr>
          <w:color w:val="000000"/>
          <w:shd w:val="clear" w:color="auto" w:fill="FFFFFF"/>
        </w:rPr>
        <w:t> </w:t>
      </w:r>
      <w:r w:rsidRPr="00F636D1">
        <w:rPr>
          <w:color w:val="000000"/>
          <w:shd w:val="clear" w:color="auto" w:fill="FFFFFF"/>
        </w:rPr>
        <w:t>gada 11.</w:t>
      </w:r>
      <w:r w:rsidR="00EC5732" w:rsidRPr="00F636D1">
        <w:rPr>
          <w:color w:val="000000"/>
          <w:shd w:val="clear" w:color="auto" w:fill="FFFFFF"/>
        </w:rPr>
        <w:t> </w:t>
      </w:r>
      <w:r w:rsidRPr="00F636D1">
        <w:rPr>
          <w:color w:val="000000"/>
          <w:shd w:val="clear" w:color="auto" w:fill="FFFFFF"/>
        </w:rPr>
        <w:t>jūlijā</w:t>
      </w:r>
      <w:r w:rsidR="00B35CD6" w:rsidRPr="00F636D1">
        <w:rPr>
          <w:color w:val="000000"/>
          <w:shd w:val="clear" w:color="auto" w:fill="FFFFFF"/>
        </w:rPr>
        <w:t xml:space="preserve"> SIA</w:t>
      </w:r>
      <w:r w:rsidR="00624B03" w:rsidRPr="00F636D1">
        <w:rPr>
          <w:color w:val="000000"/>
          <w:shd w:val="clear" w:color="auto" w:fill="FFFFFF"/>
        </w:rPr>
        <w:t> </w:t>
      </w:r>
      <w:r w:rsidR="00B35CD6" w:rsidRPr="00F636D1">
        <w:t>,,</w:t>
      </w:r>
      <w:proofErr w:type="spellStart"/>
      <w:r w:rsidR="00B35CD6" w:rsidRPr="00F636D1">
        <w:t>GelvoraSergel</w:t>
      </w:r>
      <w:proofErr w:type="spellEnd"/>
      <w:r w:rsidR="00B35CD6" w:rsidRPr="00F636D1">
        <w:t>” un SIA</w:t>
      </w:r>
      <w:r w:rsidR="00624B03" w:rsidRPr="00F636D1">
        <w:t xml:space="preserve"> [firma] </w:t>
      </w:r>
      <w:r w:rsidR="00B35CD6" w:rsidRPr="00F636D1">
        <w:t>nosūtījuš</w:t>
      </w:r>
      <w:r w:rsidR="00EC5732" w:rsidRPr="00F636D1">
        <w:t>as</w:t>
      </w:r>
      <w:r w:rsidR="00B35CD6" w:rsidRPr="00F636D1">
        <w:t xml:space="preserve"> AS</w:t>
      </w:r>
      <w:r w:rsidR="00624B03" w:rsidRPr="00F636D1">
        <w:t> </w:t>
      </w:r>
      <w:r w:rsidR="00B35CD6" w:rsidRPr="00F636D1">
        <w:t>,,Latgales Finanšu kompānija” paziņojumu par prasījuma tiesību daļēju cesiju, informējot, ka 2019.</w:t>
      </w:r>
      <w:r w:rsidR="00EC5732" w:rsidRPr="00F636D1">
        <w:t> </w:t>
      </w:r>
      <w:r w:rsidR="00B35CD6" w:rsidRPr="00F636D1">
        <w:t>gada 11.</w:t>
      </w:r>
      <w:r w:rsidR="00EC5732" w:rsidRPr="00F636D1">
        <w:t> </w:t>
      </w:r>
      <w:r w:rsidR="00B35CD6" w:rsidRPr="00F636D1">
        <w:t>jūlijā starp SI</w:t>
      </w:r>
      <w:r w:rsidR="00624B03" w:rsidRPr="00F636D1">
        <w:t> </w:t>
      </w:r>
      <w:r w:rsidR="00B35CD6" w:rsidRPr="00F636D1">
        <w:t xml:space="preserve"> ,,</w:t>
      </w:r>
      <w:proofErr w:type="spellStart"/>
      <w:r w:rsidR="00B35CD6" w:rsidRPr="00F636D1">
        <w:t>GelvoraSergel</w:t>
      </w:r>
      <w:proofErr w:type="spellEnd"/>
      <w:r w:rsidR="00B35CD6" w:rsidRPr="00F636D1">
        <w:t>” cedent</w:t>
      </w:r>
      <w:r w:rsidR="00EC5732" w:rsidRPr="00F636D1">
        <w:t>i</w:t>
      </w:r>
      <w:r w:rsidR="00B35CD6" w:rsidRPr="00F636D1">
        <w:t xml:space="preserve"> un SIA</w:t>
      </w:r>
      <w:r w:rsidR="00624B03" w:rsidRPr="00F636D1">
        <w:t> </w:t>
      </w:r>
      <w:proofErr w:type="gramStart"/>
      <w:r w:rsidR="00624B03" w:rsidRPr="00F636D1">
        <w:t>[</w:t>
      </w:r>
      <w:proofErr w:type="gramEnd"/>
      <w:r w:rsidR="00624B03" w:rsidRPr="00F636D1">
        <w:t>firma]</w:t>
      </w:r>
      <w:r w:rsidR="00B35CD6" w:rsidRPr="00F636D1">
        <w:t xml:space="preserve"> kā cesionār</w:t>
      </w:r>
      <w:r w:rsidR="00EC5732" w:rsidRPr="00F636D1">
        <w:t>i</w:t>
      </w:r>
      <w:r w:rsidR="00B35CD6" w:rsidRPr="00F636D1">
        <w:t xml:space="preserve"> noslēgts cesijas līgums, ar kuru </w:t>
      </w:r>
      <w:proofErr w:type="spellStart"/>
      <w:r w:rsidR="00B35CD6" w:rsidRPr="00F636D1">
        <w:t>cedent</w:t>
      </w:r>
      <w:r w:rsidR="00EC5732" w:rsidRPr="00F636D1">
        <w:t>e</w:t>
      </w:r>
      <w:proofErr w:type="spellEnd"/>
      <w:r w:rsidR="00B35CD6" w:rsidRPr="00F636D1">
        <w:t xml:space="preserve"> nodev</w:t>
      </w:r>
      <w:r w:rsidR="00EC5732" w:rsidRPr="00F636D1">
        <w:t>usi</w:t>
      </w:r>
      <w:r w:rsidR="00B35CD6" w:rsidRPr="00F636D1">
        <w:t xml:space="preserve"> </w:t>
      </w:r>
      <w:proofErr w:type="spellStart"/>
      <w:r w:rsidR="00B35CD6" w:rsidRPr="00F636D1">
        <w:t>cesionār</w:t>
      </w:r>
      <w:r w:rsidR="00EC5732" w:rsidRPr="00F636D1">
        <w:t>ei</w:t>
      </w:r>
      <w:proofErr w:type="spellEnd"/>
      <w:r w:rsidR="00B35CD6" w:rsidRPr="00F636D1">
        <w:t xml:space="preserve"> prasījuma daļu 200</w:t>
      </w:r>
      <w:r w:rsidR="00624B03" w:rsidRPr="00F636D1">
        <w:t> </w:t>
      </w:r>
      <w:r w:rsidR="00B35CD6" w:rsidRPr="00F636D1">
        <w:t>000</w:t>
      </w:r>
      <w:r w:rsidR="00624B03" w:rsidRPr="00F636D1">
        <w:t> </w:t>
      </w:r>
      <w:r w:rsidR="00B35CD6" w:rsidRPr="00F636D1">
        <w:t>EUR apmērā</w:t>
      </w:r>
      <w:r w:rsidR="007B37F3" w:rsidRPr="00F636D1">
        <w:t>, kas izriet no 2005.</w:t>
      </w:r>
      <w:r w:rsidR="00624B03" w:rsidRPr="00F636D1">
        <w:t> </w:t>
      </w:r>
      <w:r w:rsidR="007B37F3" w:rsidRPr="00F636D1">
        <w:t xml:space="preserve">gada 28.  jūnijā noslēgtā aizdevuma līguma. </w:t>
      </w:r>
    </w:p>
    <w:p w14:paraId="27F05075" w14:textId="79763CFC" w:rsidR="007B37F3" w:rsidRPr="00F636D1" w:rsidRDefault="007B37F3" w:rsidP="00F636D1">
      <w:pPr>
        <w:pStyle w:val="NormalWeb"/>
        <w:shd w:val="clear" w:color="auto" w:fill="FFFFFF"/>
        <w:spacing w:before="0" w:beforeAutospacing="0" w:after="0" w:afterAutospacing="0" w:line="276" w:lineRule="auto"/>
        <w:ind w:firstLine="720"/>
        <w:jc w:val="both"/>
      </w:pPr>
      <w:r w:rsidRPr="00F636D1">
        <w:t xml:space="preserve">Paziņojumā norādīts, ka cedētais prasījums sastāv tikai no parāda pamatsummas un uzskatāms par nenodrošinātu prasījumu. </w:t>
      </w:r>
    </w:p>
    <w:p w14:paraId="446FF9E6" w14:textId="75A5863C" w:rsidR="00694CB7" w:rsidRPr="00F636D1" w:rsidRDefault="00EC5732" w:rsidP="00F636D1">
      <w:pPr>
        <w:pStyle w:val="NormalWeb"/>
        <w:shd w:val="clear" w:color="auto" w:fill="FFFFFF"/>
        <w:spacing w:before="0" w:beforeAutospacing="0" w:after="0" w:afterAutospacing="0" w:line="276" w:lineRule="auto"/>
        <w:ind w:firstLine="720"/>
        <w:jc w:val="both"/>
      </w:pPr>
      <w:r w:rsidRPr="00F636D1">
        <w:lastRenderedPageBreak/>
        <w:t>P</w:t>
      </w:r>
      <w:r w:rsidR="00694CB7" w:rsidRPr="00F636D1">
        <w:t>rasības celšanas dien</w:t>
      </w:r>
      <w:r w:rsidRPr="00F636D1">
        <w:t>ā</w:t>
      </w:r>
      <w:r w:rsidR="00694CB7" w:rsidRPr="00F636D1">
        <w:t xml:space="preserve"> atbildētāja</w:t>
      </w:r>
      <w:r w:rsidRPr="00F636D1">
        <w:t>s</w:t>
      </w:r>
      <w:r w:rsidR="00694CB7" w:rsidRPr="00F636D1">
        <w:t xml:space="preserve"> SIA</w:t>
      </w:r>
      <w:r w:rsidR="00624B03" w:rsidRPr="00F636D1">
        <w:t> </w:t>
      </w:r>
      <w:r w:rsidR="00694CB7" w:rsidRPr="00F636D1">
        <w:t>,,</w:t>
      </w:r>
      <w:proofErr w:type="spellStart"/>
      <w:r w:rsidR="00694CB7" w:rsidRPr="00F636D1">
        <w:t>GelvoraSergel</w:t>
      </w:r>
      <w:proofErr w:type="spellEnd"/>
      <w:r w:rsidR="00694CB7" w:rsidRPr="00F636D1">
        <w:t xml:space="preserve">” </w:t>
      </w:r>
      <w:r w:rsidRPr="00F636D1">
        <w:t xml:space="preserve">labā </w:t>
      </w:r>
      <w:r w:rsidR="00694CB7" w:rsidRPr="00F636D1">
        <w:t xml:space="preserve">Uzņēmumu reģistra komercķīlu reģistrā ir </w:t>
      </w:r>
      <w:r w:rsidR="007356B1" w:rsidRPr="00F636D1">
        <w:t>reģistrēta</w:t>
      </w:r>
      <w:r w:rsidR="00694CB7" w:rsidRPr="00F636D1">
        <w:t xml:space="preserve"> komercķīla uz visu </w:t>
      </w:r>
      <w:r w:rsidR="00070582" w:rsidRPr="00F636D1">
        <w:t>AS</w:t>
      </w:r>
      <w:r w:rsidR="00624B03" w:rsidRPr="00F636D1">
        <w:t> </w:t>
      </w:r>
      <w:r w:rsidR="00694CB7" w:rsidRPr="00F636D1">
        <w:t>,,Latgales finanšu kompānija” mantu kā lietu kopību, ietverot arī lietu kopības nākamās sastāvdaļas,</w:t>
      </w:r>
      <w:r w:rsidR="007356B1" w:rsidRPr="00F636D1">
        <w:t xml:space="preserve"> ar nodrošinātā prasījuma maksimālo summu 8 794 601,34</w:t>
      </w:r>
      <w:r w:rsidR="00624B03" w:rsidRPr="00F636D1">
        <w:t> </w:t>
      </w:r>
      <w:r w:rsidR="007356B1" w:rsidRPr="00F636D1">
        <w:t>EUR,</w:t>
      </w:r>
      <w:r w:rsidR="00694CB7" w:rsidRPr="00F636D1">
        <w:t xml:space="preserve"> bet zemesgrāmatā</w:t>
      </w:r>
      <w:r w:rsidR="007356B1" w:rsidRPr="00F636D1">
        <w:t xml:space="preserve"> ierakstītas</w:t>
      </w:r>
      <w:r w:rsidR="00694CB7" w:rsidRPr="00F636D1">
        <w:t xml:space="preserve"> hipotēkas uz minētajai prasītājai piederošiem 23 nekustamā īpašuma objektiem. </w:t>
      </w:r>
    </w:p>
    <w:p w14:paraId="0DA70FB4" w14:textId="5B841206" w:rsidR="007B37F3" w:rsidRPr="00F636D1" w:rsidRDefault="009901E6" w:rsidP="00F636D1">
      <w:pPr>
        <w:pStyle w:val="NormalWeb"/>
        <w:shd w:val="clear" w:color="auto" w:fill="FFFFFF"/>
        <w:spacing w:before="0" w:beforeAutospacing="0" w:after="0" w:afterAutospacing="0" w:line="276" w:lineRule="auto"/>
        <w:jc w:val="both"/>
      </w:pPr>
      <w:r w:rsidRPr="00F636D1">
        <w:tab/>
        <w:t xml:space="preserve">[1.2] Līdzīgi </w:t>
      </w:r>
      <w:r w:rsidR="003F09A1" w:rsidRPr="00F636D1">
        <w:t xml:space="preserve">starp </w:t>
      </w:r>
      <w:r w:rsidR="003F09A1" w:rsidRPr="00F636D1">
        <w:rPr>
          <w:color w:val="000000"/>
        </w:rPr>
        <w:t>AS</w:t>
      </w:r>
      <w:r w:rsidR="00624B03" w:rsidRPr="00F636D1">
        <w:rPr>
          <w:color w:val="000000"/>
        </w:rPr>
        <w:t> </w:t>
      </w:r>
      <w:r w:rsidR="003F09A1" w:rsidRPr="00F636D1">
        <w:t>,,Parex banka” un SIA</w:t>
      </w:r>
      <w:r w:rsidR="00624B03" w:rsidRPr="00F636D1">
        <w:t> </w:t>
      </w:r>
      <w:r w:rsidR="003F09A1" w:rsidRPr="00F636D1">
        <w:t>,,LAFIKO.LV” 2012. gada 16. janvārī noslēgts kredītlīnijas līgums par 2 065 417,19</w:t>
      </w:r>
      <w:r w:rsidR="00624B03" w:rsidRPr="00F636D1">
        <w:t> </w:t>
      </w:r>
      <w:r w:rsidR="003F09A1" w:rsidRPr="00F636D1">
        <w:t xml:space="preserve">EUR kredītlīnijas piešķiršanu. </w:t>
      </w:r>
      <w:r w:rsidR="009E2BA7" w:rsidRPr="00F636D1">
        <w:t xml:space="preserve">Aizdevums nodrošināts ar komercķīlu. </w:t>
      </w:r>
    </w:p>
    <w:p w14:paraId="36C623D2" w14:textId="5D8385A8" w:rsidR="00821673" w:rsidRPr="00F636D1" w:rsidRDefault="003F09A1" w:rsidP="00F636D1">
      <w:pPr>
        <w:pStyle w:val="NormalWeb"/>
        <w:shd w:val="clear" w:color="auto" w:fill="FFFFFF"/>
        <w:spacing w:before="0" w:beforeAutospacing="0" w:after="0" w:afterAutospacing="0" w:line="276" w:lineRule="auto"/>
        <w:jc w:val="both"/>
      </w:pPr>
      <w:r w:rsidRPr="00F636D1">
        <w:tab/>
      </w:r>
      <w:r w:rsidRPr="00F636D1">
        <w:rPr>
          <w:color w:val="000000"/>
          <w:shd w:val="clear" w:color="auto" w:fill="FFFFFF"/>
        </w:rPr>
        <w:t>SIA</w:t>
      </w:r>
      <w:r w:rsidR="00624B03" w:rsidRPr="00F636D1">
        <w:rPr>
          <w:color w:val="000000"/>
          <w:shd w:val="clear" w:color="auto" w:fill="FFFFFF"/>
        </w:rPr>
        <w:t> </w:t>
      </w:r>
      <w:r w:rsidRPr="00F636D1">
        <w:t>,,</w:t>
      </w:r>
      <w:proofErr w:type="spellStart"/>
      <w:r w:rsidRPr="00F636D1">
        <w:t>GelvoraSergel</w:t>
      </w:r>
      <w:proofErr w:type="spellEnd"/>
      <w:r w:rsidRPr="00F636D1">
        <w:t>” 2017.</w:t>
      </w:r>
      <w:r w:rsidR="00EC5732" w:rsidRPr="00F636D1">
        <w:t> </w:t>
      </w:r>
      <w:r w:rsidRPr="00F636D1">
        <w:t>gada 24.</w:t>
      </w:r>
      <w:r w:rsidR="00EC5732" w:rsidRPr="00F636D1">
        <w:t> </w:t>
      </w:r>
      <w:r w:rsidRPr="00F636D1">
        <w:t>augustā nosūtījusi SIA</w:t>
      </w:r>
      <w:r w:rsidR="00624B03" w:rsidRPr="00F636D1">
        <w:t> </w:t>
      </w:r>
      <w:r w:rsidRPr="00F636D1">
        <w:t>,,LAFIKO.LV” paziņojumu par prasījuma tiesību cesiju, i</w:t>
      </w:r>
      <w:r w:rsidR="00821673" w:rsidRPr="00F636D1">
        <w:t>n</w:t>
      </w:r>
      <w:r w:rsidRPr="00F636D1">
        <w:t xml:space="preserve">formējot, ka </w:t>
      </w:r>
      <w:r w:rsidR="00821673" w:rsidRPr="00F636D1">
        <w:t>2017.</w:t>
      </w:r>
      <w:r w:rsidR="00624B03" w:rsidRPr="00F636D1">
        <w:t> </w:t>
      </w:r>
      <w:r w:rsidR="00821673" w:rsidRPr="00F636D1">
        <w:t>gada 22.</w:t>
      </w:r>
      <w:r w:rsidR="00624B03" w:rsidRPr="00F636D1">
        <w:t> </w:t>
      </w:r>
      <w:r w:rsidR="00821673" w:rsidRPr="00F636D1">
        <w:t>jūnijā starp AS</w:t>
      </w:r>
      <w:r w:rsidR="00624B03" w:rsidRPr="00F636D1">
        <w:t> </w:t>
      </w:r>
      <w:r w:rsidR="00821673" w:rsidRPr="00F636D1">
        <w:t>,,</w:t>
      </w:r>
      <w:proofErr w:type="spellStart"/>
      <w:r w:rsidR="00821673" w:rsidRPr="00F636D1">
        <w:t>Reverta</w:t>
      </w:r>
      <w:proofErr w:type="spellEnd"/>
      <w:r w:rsidR="00821673" w:rsidRPr="00F636D1">
        <w:t>” kā cedent</w:t>
      </w:r>
      <w:r w:rsidR="00EC5732" w:rsidRPr="00F636D1">
        <w:t>i</w:t>
      </w:r>
      <w:r w:rsidR="00821673" w:rsidRPr="00F636D1">
        <w:t xml:space="preserve"> un SIA</w:t>
      </w:r>
      <w:r w:rsidR="00624B03" w:rsidRPr="00F636D1">
        <w:t> </w:t>
      </w:r>
      <w:r w:rsidR="00821673" w:rsidRPr="00F636D1">
        <w:t>,,</w:t>
      </w:r>
      <w:proofErr w:type="spellStart"/>
      <w:r w:rsidR="00821673" w:rsidRPr="00F636D1">
        <w:t>GelvoraSergel</w:t>
      </w:r>
      <w:proofErr w:type="spellEnd"/>
      <w:r w:rsidR="00821673" w:rsidRPr="00F636D1">
        <w:t>” kā cesionār</w:t>
      </w:r>
      <w:r w:rsidR="00EC5732" w:rsidRPr="00F636D1">
        <w:t>i</w:t>
      </w:r>
      <w:r w:rsidR="00821673" w:rsidRPr="00F636D1">
        <w:t xml:space="preserve"> noslēgts prasījuma tiesību portfeļa cesijas līgums, ar kuru </w:t>
      </w:r>
      <w:proofErr w:type="spellStart"/>
      <w:r w:rsidR="00821673" w:rsidRPr="00F636D1">
        <w:t>cedent</w:t>
      </w:r>
      <w:r w:rsidR="00EC5732" w:rsidRPr="00F636D1">
        <w:t>e</w:t>
      </w:r>
      <w:proofErr w:type="spellEnd"/>
      <w:r w:rsidR="00821673" w:rsidRPr="00F636D1">
        <w:t xml:space="preserve"> nodev</w:t>
      </w:r>
      <w:r w:rsidR="00EC5732" w:rsidRPr="00F636D1">
        <w:t>usi</w:t>
      </w:r>
      <w:r w:rsidR="00821673" w:rsidRPr="00F636D1">
        <w:t xml:space="preserve"> </w:t>
      </w:r>
      <w:proofErr w:type="spellStart"/>
      <w:r w:rsidR="00821673" w:rsidRPr="00F636D1">
        <w:t>cesionār</w:t>
      </w:r>
      <w:r w:rsidR="00EC5732" w:rsidRPr="00F636D1">
        <w:t>ei</w:t>
      </w:r>
      <w:proofErr w:type="spellEnd"/>
      <w:r w:rsidR="00821673" w:rsidRPr="00F636D1">
        <w:t xml:space="preserve"> visas savas tiesības, esošos un nākotnē iespējamos prasījumus, nodibinātās blakus tiesības, t</w:t>
      </w:r>
      <w:r w:rsidR="00EC5732" w:rsidRPr="00F636D1">
        <w:t>ostarp</w:t>
      </w:r>
      <w:r w:rsidR="00821673" w:rsidRPr="00F636D1">
        <w:t xml:space="preserve"> galvojumus un ķīlas tiesības un jebkādas citas tiesības, kas saistītas ar 2012. gada 16. janvārī noslēgto kredītlīnijas līgumu. </w:t>
      </w:r>
    </w:p>
    <w:p w14:paraId="762FACE4" w14:textId="22AD929D" w:rsidR="00821673" w:rsidRPr="00F636D1" w:rsidRDefault="00821673" w:rsidP="00F636D1">
      <w:pPr>
        <w:pStyle w:val="NormalWeb"/>
        <w:shd w:val="clear" w:color="auto" w:fill="FFFFFF"/>
        <w:spacing w:before="0" w:beforeAutospacing="0" w:after="0" w:afterAutospacing="0" w:line="276" w:lineRule="auto"/>
        <w:jc w:val="both"/>
      </w:pPr>
      <w:r w:rsidRPr="00F636D1">
        <w:tab/>
        <w:t>Savukārt 2019.</w:t>
      </w:r>
      <w:r w:rsidR="00EC5732" w:rsidRPr="00F636D1">
        <w:t> </w:t>
      </w:r>
      <w:r w:rsidRPr="00F636D1">
        <w:t>gada 11.</w:t>
      </w:r>
      <w:r w:rsidR="00EC5732" w:rsidRPr="00F636D1">
        <w:t> </w:t>
      </w:r>
      <w:r w:rsidRPr="00F636D1">
        <w:t xml:space="preserve">jūlijā </w:t>
      </w:r>
      <w:r w:rsidRPr="00F636D1">
        <w:rPr>
          <w:color w:val="000000"/>
          <w:shd w:val="clear" w:color="auto" w:fill="FFFFFF"/>
        </w:rPr>
        <w:t>SIA</w:t>
      </w:r>
      <w:r w:rsidR="00624B03" w:rsidRPr="00F636D1">
        <w:rPr>
          <w:color w:val="000000"/>
          <w:shd w:val="clear" w:color="auto" w:fill="FFFFFF"/>
        </w:rPr>
        <w:t> </w:t>
      </w:r>
      <w:r w:rsidRPr="00F636D1">
        <w:t>,,</w:t>
      </w:r>
      <w:proofErr w:type="spellStart"/>
      <w:r w:rsidRPr="00F636D1">
        <w:t>GelvoraSergel</w:t>
      </w:r>
      <w:proofErr w:type="spellEnd"/>
      <w:r w:rsidRPr="00F636D1">
        <w:t>” un SIA</w:t>
      </w:r>
      <w:r w:rsidR="00624B03" w:rsidRPr="00F636D1">
        <w:t> </w:t>
      </w:r>
      <w:r w:rsidR="00ED0E0C" w:rsidRPr="00F636D1">
        <w:t xml:space="preserve">[firma] </w:t>
      </w:r>
      <w:r w:rsidRPr="00F636D1">
        <w:t>nosūtījuši SIA</w:t>
      </w:r>
      <w:r w:rsidR="00ED0E0C" w:rsidRPr="00F636D1">
        <w:t> </w:t>
      </w:r>
      <w:r w:rsidRPr="00F636D1">
        <w:t>,,LAFIKO.LV” paziņojumu par prasījuma tiesību daļēju cesiju, informējot, ka 2019.</w:t>
      </w:r>
      <w:r w:rsidR="00EC5732" w:rsidRPr="00F636D1">
        <w:t> </w:t>
      </w:r>
      <w:r w:rsidRPr="00F636D1">
        <w:t>gada 11.</w:t>
      </w:r>
      <w:r w:rsidR="00EC5732" w:rsidRPr="00F636D1">
        <w:t> </w:t>
      </w:r>
      <w:r w:rsidRPr="00F636D1">
        <w:t>jūlijā starp SIA</w:t>
      </w:r>
      <w:r w:rsidR="00ED0E0C" w:rsidRPr="00F636D1">
        <w:t> „</w:t>
      </w:r>
      <w:proofErr w:type="spellStart"/>
      <w:r w:rsidRPr="00F636D1">
        <w:t>GelvoraSergel</w:t>
      </w:r>
      <w:proofErr w:type="spellEnd"/>
      <w:r w:rsidRPr="00F636D1">
        <w:t>” cedent</w:t>
      </w:r>
      <w:r w:rsidR="00EC5732" w:rsidRPr="00F636D1">
        <w:t>i</w:t>
      </w:r>
      <w:r w:rsidRPr="00F636D1">
        <w:t xml:space="preserve"> un SIA</w:t>
      </w:r>
      <w:r w:rsidR="00A7341E" w:rsidRPr="00F636D1">
        <w:t> </w:t>
      </w:r>
      <w:r w:rsidR="00ED0E0C" w:rsidRPr="00F636D1">
        <w:t>[firma]</w:t>
      </w:r>
      <w:r w:rsidRPr="00F636D1">
        <w:t xml:space="preserve"> kā cesionār</w:t>
      </w:r>
      <w:r w:rsidR="00EC5732" w:rsidRPr="00F636D1">
        <w:t>i</w:t>
      </w:r>
      <w:r w:rsidRPr="00F636D1">
        <w:t xml:space="preserve"> noslēgts cesijas līgums, ar kuru </w:t>
      </w:r>
      <w:proofErr w:type="spellStart"/>
      <w:r w:rsidRPr="00F636D1">
        <w:t>cedent</w:t>
      </w:r>
      <w:r w:rsidR="00EC5732" w:rsidRPr="00F636D1">
        <w:t>e</w:t>
      </w:r>
      <w:proofErr w:type="spellEnd"/>
      <w:r w:rsidRPr="00F636D1">
        <w:t xml:space="preserve"> nodev</w:t>
      </w:r>
      <w:r w:rsidR="00EC5732" w:rsidRPr="00F636D1">
        <w:t>usi</w:t>
      </w:r>
      <w:r w:rsidRPr="00F636D1">
        <w:t xml:space="preserve"> </w:t>
      </w:r>
      <w:proofErr w:type="spellStart"/>
      <w:r w:rsidRPr="00F636D1">
        <w:t>cesionār</w:t>
      </w:r>
      <w:r w:rsidR="00EC5732" w:rsidRPr="00F636D1">
        <w:t>ei</w:t>
      </w:r>
      <w:proofErr w:type="spellEnd"/>
      <w:r w:rsidRPr="00F636D1">
        <w:t xml:space="preserve"> prasījuma daļu 100</w:t>
      </w:r>
      <w:r w:rsidR="00ED0E0C" w:rsidRPr="00F636D1">
        <w:t> </w:t>
      </w:r>
      <w:r w:rsidRPr="00F636D1">
        <w:t>000</w:t>
      </w:r>
      <w:r w:rsidR="00ED0E0C" w:rsidRPr="00F636D1">
        <w:t> </w:t>
      </w:r>
      <w:r w:rsidRPr="00F636D1">
        <w:t>EUR apmērā, kas izriet no 2012.</w:t>
      </w:r>
      <w:r w:rsidR="007D2CFF" w:rsidRPr="00F636D1">
        <w:t> </w:t>
      </w:r>
      <w:r w:rsidRPr="00F636D1">
        <w:t xml:space="preserve">gada 16. janvārī noslēgtā kredītlīnijas līguma. </w:t>
      </w:r>
    </w:p>
    <w:p w14:paraId="67C1143B" w14:textId="1C69FDD2" w:rsidR="00821673" w:rsidRPr="00F636D1" w:rsidRDefault="00821673" w:rsidP="00F636D1">
      <w:pPr>
        <w:pStyle w:val="NormalWeb"/>
        <w:shd w:val="clear" w:color="auto" w:fill="FFFFFF"/>
        <w:spacing w:before="0" w:beforeAutospacing="0" w:after="0" w:afterAutospacing="0" w:line="276" w:lineRule="auto"/>
        <w:ind w:firstLine="720"/>
        <w:jc w:val="both"/>
      </w:pPr>
      <w:r w:rsidRPr="00F636D1">
        <w:t xml:space="preserve">Paziņojumā arī norādīts, ka cedētais prasījums sastāv tikai no parāda pamatsummas un uzskatāms par nenodrošinātu prasījumu. </w:t>
      </w:r>
    </w:p>
    <w:p w14:paraId="17D2F2F3" w14:textId="0732329B" w:rsidR="00AC677C" w:rsidRPr="00F636D1" w:rsidRDefault="00EC5732" w:rsidP="00F636D1">
      <w:pPr>
        <w:pStyle w:val="NormalWeb"/>
        <w:shd w:val="clear" w:color="auto" w:fill="FFFFFF"/>
        <w:spacing w:before="0" w:beforeAutospacing="0" w:after="0" w:afterAutospacing="0" w:line="276" w:lineRule="auto"/>
        <w:ind w:firstLine="720"/>
        <w:jc w:val="both"/>
      </w:pPr>
      <w:r w:rsidRPr="00F636D1">
        <w:t>P</w:t>
      </w:r>
      <w:r w:rsidR="00AC677C" w:rsidRPr="00F636D1">
        <w:t>rasības celšanas dien</w:t>
      </w:r>
      <w:r w:rsidRPr="00F636D1">
        <w:t>ā</w:t>
      </w:r>
      <w:r w:rsidR="00AC677C" w:rsidRPr="00F636D1">
        <w:t xml:space="preserve"> atbildētāja</w:t>
      </w:r>
      <w:r w:rsidRPr="00F636D1">
        <w:t>s</w:t>
      </w:r>
      <w:r w:rsidR="00AC677C" w:rsidRPr="00F636D1">
        <w:t xml:space="preserve"> SIA</w:t>
      </w:r>
      <w:r w:rsidR="00ED0E0C" w:rsidRPr="00F636D1">
        <w:t> </w:t>
      </w:r>
      <w:r w:rsidR="00AC677C" w:rsidRPr="00F636D1">
        <w:t>,,</w:t>
      </w:r>
      <w:proofErr w:type="spellStart"/>
      <w:r w:rsidR="00AC677C" w:rsidRPr="00F636D1">
        <w:t>GelvoraSergel</w:t>
      </w:r>
      <w:proofErr w:type="spellEnd"/>
      <w:r w:rsidR="00AC677C" w:rsidRPr="00F636D1">
        <w:t xml:space="preserve">” </w:t>
      </w:r>
      <w:r w:rsidRPr="00F636D1">
        <w:t xml:space="preserve">labā </w:t>
      </w:r>
      <w:r w:rsidR="00AC677C" w:rsidRPr="00F636D1">
        <w:t xml:space="preserve">Uzņēmumu reģistra komercķīlu reģistrā ir reģistrēta komercķīla </w:t>
      </w:r>
      <w:r w:rsidR="002270A1" w:rsidRPr="00F636D1">
        <w:t>uz visu SIA</w:t>
      </w:r>
      <w:r w:rsidR="00ED0E0C" w:rsidRPr="00F636D1">
        <w:t> </w:t>
      </w:r>
      <w:r w:rsidR="002270A1" w:rsidRPr="00F636D1">
        <w:t>,,LAFIKO.LV” mantu kā lietu kopību uz ieķīlāšanas brīdi, kā arī lietu kopības nākamajām sastāvdaļām, ar nodrošinātā prasījuma maksimālo summu 5 877 800,92</w:t>
      </w:r>
      <w:r w:rsidR="00ED0E0C" w:rsidRPr="00F636D1">
        <w:t> </w:t>
      </w:r>
      <w:r w:rsidR="002270A1" w:rsidRPr="00F636D1">
        <w:t xml:space="preserve">EUR. </w:t>
      </w:r>
    </w:p>
    <w:p w14:paraId="624E6DDE" w14:textId="77777777" w:rsidR="00340289" w:rsidRPr="00F636D1" w:rsidRDefault="00340289" w:rsidP="00F636D1">
      <w:pPr>
        <w:pStyle w:val="NormalWeb"/>
        <w:shd w:val="clear" w:color="auto" w:fill="FFFFFF"/>
        <w:spacing w:before="0" w:beforeAutospacing="0" w:after="0" w:afterAutospacing="0" w:line="276" w:lineRule="auto"/>
        <w:ind w:firstLine="720"/>
        <w:jc w:val="both"/>
      </w:pPr>
    </w:p>
    <w:p w14:paraId="40CD9521" w14:textId="507F645C" w:rsidR="00340289" w:rsidRPr="00F636D1" w:rsidRDefault="00340289" w:rsidP="00F636D1">
      <w:pPr>
        <w:pStyle w:val="NormalWeb"/>
        <w:shd w:val="clear" w:color="auto" w:fill="FFFFFF"/>
        <w:spacing w:before="0" w:beforeAutospacing="0" w:after="0" w:afterAutospacing="0" w:line="276" w:lineRule="auto"/>
        <w:ind w:firstLine="720"/>
        <w:jc w:val="both"/>
      </w:pPr>
      <w:r w:rsidRPr="00F636D1">
        <w:t>[2] AS</w:t>
      </w:r>
      <w:r w:rsidR="00ED0E0C" w:rsidRPr="00F636D1">
        <w:t> </w:t>
      </w:r>
      <w:r w:rsidRPr="00F636D1">
        <w:t xml:space="preserve">,,Latgales Finanšu kompānija” un </w:t>
      </w:r>
      <w:bookmarkStart w:id="0" w:name="_Hlk148014801"/>
      <w:r w:rsidRPr="00F636D1">
        <w:t>SIA</w:t>
      </w:r>
      <w:r w:rsidR="00ED0E0C" w:rsidRPr="00F636D1">
        <w:t> </w:t>
      </w:r>
      <w:r w:rsidRPr="00F636D1">
        <w:t xml:space="preserve">,,LAFIKO.LV” </w:t>
      </w:r>
      <w:bookmarkEnd w:id="0"/>
      <w:r w:rsidRPr="00F636D1">
        <w:t>cēlušas tiesā prasības pret SIA</w:t>
      </w:r>
      <w:r w:rsidR="00ED0E0C" w:rsidRPr="00F636D1">
        <w:t> </w:t>
      </w:r>
      <w:r w:rsidRPr="00F636D1">
        <w:t>,,</w:t>
      </w:r>
      <w:proofErr w:type="spellStart"/>
      <w:r w:rsidRPr="00F636D1">
        <w:t>GelvoraSergel</w:t>
      </w:r>
      <w:proofErr w:type="spellEnd"/>
      <w:r w:rsidRPr="00F636D1">
        <w:t xml:space="preserve">” un </w:t>
      </w:r>
      <w:bookmarkStart w:id="1" w:name="_Hlk148015840"/>
      <w:r w:rsidRPr="00F636D1">
        <w:t>SIA</w:t>
      </w:r>
      <w:r w:rsidR="00ED0E0C" w:rsidRPr="00F636D1">
        <w:t> </w:t>
      </w:r>
      <w:bookmarkEnd w:id="1"/>
      <w:r w:rsidR="00ED0E0C" w:rsidRPr="00F636D1">
        <w:t>[firma]</w:t>
      </w:r>
      <w:r w:rsidRPr="00F636D1">
        <w:t>, lūdzot atzīt par spēkā neesošiem 2019.</w:t>
      </w:r>
      <w:r w:rsidR="00ED0E0C" w:rsidRPr="00F636D1">
        <w:t> </w:t>
      </w:r>
      <w:r w:rsidRPr="00F636D1">
        <w:t>gada 11.</w:t>
      </w:r>
      <w:r w:rsidR="00ED0E0C" w:rsidRPr="00F636D1">
        <w:t> </w:t>
      </w:r>
      <w:r w:rsidRPr="00F636D1">
        <w:t xml:space="preserve">jūlijā noslēgtos cesijas līgumus. </w:t>
      </w:r>
    </w:p>
    <w:p w14:paraId="6C453920" w14:textId="2D034703" w:rsidR="00667A9E" w:rsidRPr="00F636D1" w:rsidRDefault="00340289" w:rsidP="00F636D1">
      <w:pPr>
        <w:pStyle w:val="NormalWeb"/>
        <w:shd w:val="clear" w:color="auto" w:fill="FFFFFF"/>
        <w:spacing w:before="0" w:beforeAutospacing="0" w:after="0" w:afterAutospacing="0" w:line="276" w:lineRule="auto"/>
        <w:ind w:firstLine="720"/>
        <w:jc w:val="both"/>
      </w:pPr>
      <w:r w:rsidRPr="00F636D1">
        <w:t xml:space="preserve">Ar Rīgas pilsētas Vidzemes priekšpilsētas tiesas tiesneša 2020. gada 14. septembra lēmumu </w:t>
      </w:r>
      <w:r w:rsidR="00667A9E" w:rsidRPr="00F636D1">
        <w:t>civillietas apvienotas vienā tiesvedībā, piešķirot apvienotajai civillietai numuru C30707219.</w:t>
      </w:r>
    </w:p>
    <w:p w14:paraId="1407D0BA" w14:textId="52B6DF12" w:rsidR="005F1E5C" w:rsidRPr="00F636D1" w:rsidRDefault="00667A9E" w:rsidP="00F636D1">
      <w:pPr>
        <w:pStyle w:val="NormalWeb"/>
        <w:shd w:val="clear" w:color="auto" w:fill="FFFFFF"/>
        <w:spacing w:before="0" w:beforeAutospacing="0" w:after="0" w:afterAutospacing="0" w:line="276" w:lineRule="auto"/>
        <w:ind w:firstLine="720"/>
        <w:jc w:val="both"/>
      </w:pPr>
      <w:r w:rsidRPr="00F636D1">
        <w:t>Prasības pieteikumos norādīts, ka</w:t>
      </w:r>
      <w:r w:rsidR="00EC5732" w:rsidRPr="00F636D1">
        <w:t>,</w:t>
      </w:r>
      <w:r w:rsidRPr="00F636D1">
        <w:t xml:space="preserve"> nekavējoties pēc 2019. gada 11. jūlija </w:t>
      </w:r>
      <w:r w:rsidR="00DE59EE" w:rsidRPr="00F636D1">
        <w:rPr>
          <w:color w:val="000000"/>
          <w:shd w:val="clear" w:color="auto" w:fill="FFFFFF"/>
        </w:rPr>
        <w:t>SIA</w:t>
      </w:r>
      <w:r w:rsidR="00AC677C" w:rsidRPr="00F636D1">
        <w:rPr>
          <w:color w:val="000000"/>
          <w:shd w:val="clear" w:color="auto" w:fill="FFFFFF"/>
        </w:rPr>
        <w:t> </w:t>
      </w:r>
      <w:r w:rsidR="00DE59EE" w:rsidRPr="00F636D1">
        <w:t>,,</w:t>
      </w:r>
      <w:proofErr w:type="spellStart"/>
      <w:r w:rsidR="00DE59EE" w:rsidRPr="00F636D1">
        <w:t>GelvoraSergel</w:t>
      </w:r>
      <w:proofErr w:type="spellEnd"/>
      <w:r w:rsidR="00DE59EE" w:rsidRPr="00F636D1">
        <w:t xml:space="preserve">” un SIA </w:t>
      </w:r>
      <w:r w:rsidR="00ED0E0C" w:rsidRPr="00F636D1">
        <w:t xml:space="preserve"> [firma] </w:t>
      </w:r>
      <w:r w:rsidRPr="00F636D1">
        <w:t>paziņojumu nosūtīšanas</w:t>
      </w:r>
      <w:r w:rsidR="00DE59EE" w:rsidRPr="00F636D1">
        <w:t>, AS</w:t>
      </w:r>
      <w:r w:rsidR="00ED0E0C" w:rsidRPr="00F636D1">
        <w:t> </w:t>
      </w:r>
      <w:r w:rsidR="00DE59EE" w:rsidRPr="00F636D1">
        <w:t>,,Latgales Finanšu kompānija” un SIA</w:t>
      </w:r>
      <w:r w:rsidR="00ED0E0C" w:rsidRPr="00F636D1">
        <w:t> </w:t>
      </w:r>
      <w:r w:rsidR="00DE59EE" w:rsidRPr="00F636D1">
        <w:t>,,LAFIKO.LV” saņēmušas brīdinājumus par SIA</w:t>
      </w:r>
      <w:r w:rsidR="00ED0E0C" w:rsidRPr="00F636D1">
        <w:t> [firma]</w:t>
      </w:r>
      <w:r w:rsidR="00DE59EE" w:rsidRPr="00F636D1">
        <w:t xml:space="preserve"> nodomu iesniegt maksātnespējas procesa pieteikumu. </w:t>
      </w:r>
    </w:p>
    <w:p w14:paraId="0F45B75A" w14:textId="50801490" w:rsidR="00DE59EE" w:rsidRPr="00F636D1" w:rsidRDefault="008D1179" w:rsidP="00F636D1">
      <w:pPr>
        <w:pStyle w:val="NormalWeb"/>
        <w:shd w:val="clear" w:color="auto" w:fill="FFFFFF"/>
        <w:spacing w:before="0" w:beforeAutospacing="0" w:after="0" w:afterAutospacing="0" w:line="276" w:lineRule="auto"/>
        <w:ind w:firstLine="720"/>
        <w:jc w:val="both"/>
      </w:pPr>
      <w:r w:rsidRPr="00F636D1">
        <w:t xml:space="preserve">Visi </w:t>
      </w:r>
      <w:r w:rsidRPr="00F636D1">
        <w:rPr>
          <w:color w:val="000000"/>
          <w:shd w:val="clear" w:color="auto" w:fill="FFFFFF"/>
        </w:rPr>
        <w:t>SIA</w:t>
      </w:r>
      <w:r w:rsidR="00ED0E0C" w:rsidRPr="00F636D1">
        <w:rPr>
          <w:color w:val="000000"/>
          <w:shd w:val="clear" w:color="auto" w:fill="FFFFFF"/>
        </w:rPr>
        <w:t> </w:t>
      </w:r>
      <w:r w:rsidRPr="00F636D1">
        <w:t>,,</w:t>
      </w:r>
      <w:proofErr w:type="spellStart"/>
      <w:r w:rsidRPr="00F636D1">
        <w:t>GelvoraSergel</w:t>
      </w:r>
      <w:proofErr w:type="spellEnd"/>
      <w:r w:rsidRPr="00F636D1">
        <w:t>” prasījumi pret AS</w:t>
      </w:r>
      <w:r w:rsidR="00ED0E0C" w:rsidRPr="00F636D1">
        <w:t> </w:t>
      </w:r>
      <w:r w:rsidRPr="00F636D1">
        <w:t>,,Latgales Finanšu kompānija” un SIA</w:t>
      </w:r>
      <w:r w:rsidR="00ED0E0C" w:rsidRPr="00F636D1">
        <w:t> </w:t>
      </w:r>
      <w:r w:rsidRPr="00F636D1">
        <w:t>,,LAFIKO.LV”, kas saistīti ar 2005.</w:t>
      </w:r>
      <w:r w:rsidR="00ED0E0C" w:rsidRPr="00F636D1">
        <w:t> </w:t>
      </w:r>
      <w:r w:rsidRPr="00F636D1">
        <w:t>gada 28.</w:t>
      </w:r>
      <w:r w:rsidR="00ED0E0C" w:rsidRPr="00F636D1">
        <w:t> </w:t>
      </w:r>
      <w:r w:rsidRPr="00F636D1">
        <w:t>jūnijā noslēgto aizdevuma līgumu un 2012.</w:t>
      </w:r>
      <w:r w:rsidR="00EC5732" w:rsidRPr="00F636D1">
        <w:t> </w:t>
      </w:r>
      <w:r w:rsidRPr="00F636D1">
        <w:t>gada 16.</w:t>
      </w:r>
      <w:r w:rsidR="00EC5732" w:rsidRPr="00F636D1">
        <w:t> </w:t>
      </w:r>
      <w:r w:rsidRPr="00F636D1">
        <w:t>janvārī noslēgto kredītlīnijas līgumu, ir nodrošinātie prasījumi. SIA</w:t>
      </w:r>
      <w:r w:rsidR="00C53EFA" w:rsidRPr="00F636D1">
        <w:t> </w:t>
      </w:r>
      <w:r w:rsidRPr="00F636D1">
        <w:t>,,</w:t>
      </w:r>
      <w:proofErr w:type="spellStart"/>
      <w:r w:rsidRPr="00F636D1">
        <w:t>GelvoraSergel</w:t>
      </w:r>
      <w:proofErr w:type="spellEnd"/>
      <w:r w:rsidRPr="00F636D1">
        <w:t>” atzīstama par prasītāj</w:t>
      </w:r>
      <w:r w:rsidR="007E58DB" w:rsidRPr="00F636D1">
        <w:t>u</w:t>
      </w:r>
      <w:r w:rsidR="00EC5732" w:rsidRPr="00F636D1">
        <w:t xml:space="preserve"> nodrošināto</w:t>
      </w:r>
      <w:r w:rsidRPr="00F636D1">
        <w:t xml:space="preserve"> kreditor</w:t>
      </w:r>
      <w:r w:rsidR="00EC5732" w:rsidRPr="00F636D1">
        <w:t>i</w:t>
      </w:r>
      <w:r w:rsidRPr="00F636D1">
        <w:t xml:space="preserve"> Maksātnespējas likuma 7. panta pirmās daļas izpratnē. Tāpat arī SIA</w:t>
      </w:r>
      <w:r w:rsidR="00ED0E0C" w:rsidRPr="00F636D1">
        <w:t> [firma] a</w:t>
      </w:r>
      <w:r w:rsidRPr="00F636D1">
        <w:t>tzīstama par nodrošināto kreditor</w:t>
      </w:r>
      <w:r w:rsidR="00EC5732" w:rsidRPr="00F636D1">
        <w:t>i</w:t>
      </w:r>
      <w:r w:rsidRPr="00F636D1">
        <w:t xml:space="preserve">. Uz abiem atbildētājiem attiecas Maksātnespējas likuma 61. panta pirmajā daļā noteiktais ierobežojums – juridiskās personas maksātnespējas procesa pieteikumu nedrīkst iesniegt nodrošinātais kreditors. </w:t>
      </w:r>
    </w:p>
    <w:p w14:paraId="67117DC3" w14:textId="17FA571B" w:rsidR="00786410" w:rsidRPr="00F636D1" w:rsidRDefault="00053D11" w:rsidP="00F636D1">
      <w:pPr>
        <w:pStyle w:val="NormalWeb"/>
        <w:shd w:val="clear" w:color="auto" w:fill="FFFFFF"/>
        <w:spacing w:before="0" w:beforeAutospacing="0" w:after="0" w:afterAutospacing="0" w:line="276" w:lineRule="auto"/>
        <w:ind w:firstLine="720"/>
        <w:jc w:val="both"/>
      </w:pPr>
      <w:r w:rsidRPr="00F636D1">
        <w:lastRenderedPageBreak/>
        <w:t xml:space="preserve"> </w:t>
      </w:r>
      <w:r w:rsidRPr="00F636D1">
        <w:rPr>
          <w:color w:val="000000"/>
          <w:shd w:val="clear" w:color="auto" w:fill="FFFFFF"/>
        </w:rPr>
        <w:t>SIA</w:t>
      </w:r>
      <w:r w:rsidR="00ED0E0C" w:rsidRPr="00F636D1">
        <w:rPr>
          <w:color w:val="000000"/>
          <w:shd w:val="clear" w:color="auto" w:fill="FFFFFF"/>
        </w:rPr>
        <w:t> </w:t>
      </w:r>
      <w:r w:rsidRPr="00F636D1">
        <w:t>,,</w:t>
      </w:r>
      <w:proofErr w:type="spellStart"/>
      <w:r w:rsidRPr="00F636D1">
        <w:t>GelvoraSergel</w:t>
      </w:r>
      <w:proofErr w:type="spellEnd"/>
      <w:r w:rsidRPr="00F636D1">
        <w:t>” un SIA</w:t>
      </w:r>
      <w:r w:rsidR="00ED0E0C" w:rsidRPr="00F636D1">
        <w:t xml:space="preserve"> [firma] </w:t>
      </w:r>
      <w:r w:rsidRPr="00F636D1">
        <w:t xml:space="preserve">starpā 2019. gada 11. jūlijā noslēgto cesijas līgumu mērķis bijis Maksātnespējas likumā noteikto ierobežojumu </w:t>
      </w:r>
      <w:r w:rsidR="00F7590A" w:rsidRPr="00F636D1">
        <w:t>neievērošana</w:t>
      </w:r>
      <w:r w:rsidRPr="00F636D1">
        <w:t>. Šādi līgumi</w:t>
      </w:r>
      <w:r w:rsidR="00786410" w:rsidRPr="00F636D1">
        <w:t xml:space="preserve"> saskaņā ar Civillikuma 1415. pantu atzīstami par spēkā neesošiem no to noslēgšanas brīža. </w:t>
      </w:r>
    </w:p>
    <w:p w14:paraId="6733A5FD" w14:textId="63125818" w:rsidR="00786410" w:rsidRPr="00F636D1" w:rsidRDefault="00786410" w:rsidP="00F636D1">
      <w:pPr>
        <w:pStyle w:val="NormalWeb"/>
        <w:shd w:val="clear" w:color="auto" w:fill="FFFFFF"/>
        <w:spacing w:before="0" w:beforeAutospacing="0" w:after="0" w:afterAutospacing="0" w:line="276" w:lineRule="auto"/>
        <w:ind w:firstLine="720"/>
        <w:jc w:val="both"/>
      </w:pPr>
      <w:r w:rsidRPr="00F636D1">
        <w:t xml:space="preserve">Prasības pamatotas ar Civillikuma 1413., 1415., 1806., 1807. pantu un Civilprocesa likuma 128. pantu, 130. panta pirmo daļu. </w:t>
      </w:r>
    </w:p>
    <w:p w14:paraId="60E1D987" w14:textId="77777777" w:rsidR="00786410" w:rsidRPr="00F636D1" w:rsidRDefault="00786410" w:rsidP="00F636D1">
      <w:pPr>
        <w:pStyle w:val="NormalWeb"/>
        <w:shd w:val="clear" w:color="auto" w:fill="FFFFFF"/>
        <w:spacing w:before="0" w:beforeAutospacing="0" w:after="0" w:afterAutospacing="0" w:line="276" w:lineRule="auto"/>
        <w:ind w:firstLine="720"/>
        <w:jc w:val="both"/>
      </w:pPr>
    </w:p>
    <w:p w14:paraId="18A72741" w14:textId="67612EBF" w:rsidR="00786410" w:rsidRPr="00F636D1" w:rsidRDefault="00786410" w:rsidP="00F636D1">
      <w:pPr>
        <w:pStyle w:val="NormalWeb"/>
        <w:shd w:val="clear" w:color="auto" w:fill="FFFFFF"/>
        <w:spacing w:before="0" w:beforeAutospacing="0" w:after="0" w:afterAutospacing="0" w:line="276" w:lineRule="auto"/>
        <w:ind w:firstLine="720"/>
        <w:jc w:val="both"/>
      </w:pPr>
      <w:r w:rsidRPr="00F636D1">
        <w:t xml:space="preserve">[3] Ar Rīgas pilsētas Vidzemes priekšpilsētas tiesas 2020. gada 12. oktobra spriedumu prasība noraidīta. </w:t>
      </w:r>
    </w:p>
    <w:p w14:paraId="664E9DB5" w14:textId="1B377C60" w:rsidR="00A6379A" w:rsidRPr="00F636D1" w:rsidRDefault="00786410" w:rsidP="00F636D1">
      <w:pPr>
        <w:pStyle w:val="NormalWeb"/>
        <w:shd w:val="clear" w:color="auto" w:fill="FFFFFF"/>
        <w:spacing w:before="0" w:beforeAutospacing="0" w:after="0" w:afterAutospacing="0" w:line="276" w:lineRule="auto"/>
        <w:ind w:firstLine="720"/>
        <w:jc w:val="both"/>
      </w:pPr>
      <w:r w:rsidRPr="00F636D1">
        <w:t>Spriedumā norādīt</w:t>
      </w:r>
      <w:r w:rsidR="00481C0A" w:rsidRPr="00F636D1">
        <w:t>s, ka a</w:t>
      </w:r>
      <w:r w:rsidR="00A6379A" w:rsidRPr="00F636D1">
        <w:t xml:space="preserve">tbilstoši Civillikuma 1805. pantam </w:t>
      </w:r>
      <w:r w:rsidR="00A6379A" w:rsidRPr="00F636D1">
        <w:rPr>
          <w:color w:val="000000"/>
          <w:shd w:val="clear" w:color="auto" w:fill="FFFFFF"/>
        </w:rPr>
        <w:t>SIA</w:t>
      </w:r>
      <w:r w:rsidR="00ED0E0C" w:rsidRPr="00F636D1">
        <w:rPr>
          <w:color w:val="000000"/>
          <w:shd w:val="clear" w:color="auto" w:fill="FFFFFF"/>
        </w:rPr>
        <w:t> </w:t>
      </w:r>
      <w:r w:rsidR="00A6379A" w:rsidRPr="00F636D1">
        <w:t>,,</w:t>
      </w:r>
      <w:proofErr w:type="spellStart"/>
      <w:r w:rsidR="00A6379A" w:rsidRPr="00F636D1">
        <w:t>GelvoraSergel</w:t>
      </w:r>
      <w:proofErr w:type="spellEnd"/>
      <w:r w:rsidR="00A6379A" w:rsidRPr="00F636D1">
        <w:t>” ir tiesības brīvi rīkoties ar cesijas ceļā no AS</w:t>
      </w:r>
      <w:r w:rsidR="00ED0E0C" w:rsidRPr="00F636D1">
        <w:t> </w:t>
      </w:r>
      <w:r w:rsidR="00A6379A" w:rsidRPr="00F636D1">
        <w:t>,,</w:t>
      </w:r>
      <w:proofErr w:type="spellStart"/>
      <w:r w:rsidR="00A6379A" w:rsidRPr="00F636D1">
        <w:t>Reverta</w:t>
      </w:r>
      <w:proofErr w:type="spellEnd"/>
      <w:r w:rsidR="00A6379A" w:rsidRPr="00F636D1">
        <w:t>” iegūtajām prasījuma tiesībām pret prasītāj</w:t>
      </w:r>
      <w:r w:rsidR="00EC5732" w:rsidRPr="00F636D1">
        <w:t>ā</w:t>
      </w:r>
      <w:r w:rsidR="00A6379A" w:rsidRPr="00F636D1">
        <w:t>m, t</w:t>
      </w:r>
      <w:r w:rsidR="00EC5732" w:rsidRPr="00F636D1">
        <w:t>ostarp</w:t>
      </w:r>
      <w:r w:rsidR="00A6379A" w:rsidRPr="00F636D1">
        <w:t xml:space="preserve"> šo prasījumu pilnībā vai daļā cedēt tālāk. </w:t>
      </w:r>
    </w:p>
    <w:p w14:paraId="75AFDDAD" w14:textId="546B302F" w:rsidR="005974A7" w:rsidRPr="00F636D1" w:rsidRDefault="00A6379A" w:rsidP="00F636D1">
      <w:pPr>
        <w:pStyle w:val="NormalWeb"/>
        <w:shd w:val="clear" w:color="auto" w:fill="FFFFFF"/>
        <w:spacing w:before="0" w:beforeAutospacing="0" w:after="0" w:afterAutospacing="0" w:line="276" w:lineRule="auto"/>
        <w:ind w:firstLine="720"/>
        <w:jc w:val="both"/>
      </w:pPr>
      <w:r w:rsidRPr="00F636D1">
        <w:t>Cesijas darījuma priekšmets, ar kuru cedents nodod cesionāram tikai daļu no sava prasījuma, ir tiesisks</w:t>
      </w:r>
      <w:r w:rsidR="005824A1" w:rsidRPr="00F636D1">
        <w:t>,</w:t>
      </w:r>
      <w:r w:rsidRPr="00F636D1">
        <w:t xml:space="preserve"> </w:t>
      </w:r>
      <w:r w:rsidR="005974A7" w:rsidRPr="00F636D1">
        <w:t>un šādu darījumu pieļauj Civillikuma 1806.</w:t>
      </w:r>
      <w:r w:rsidR="00ED0E0C" w:rsidRPr="00F636D1">
        <w:t> </w:t>
      </w:r>
      <w:r w:rsidR="005974A7" w:rsidRPr="00F636D1">
        <w:t>panta pirmā daļa.</w:t>
      </w:r>
    </w:p>
    <w:p w14:paraId="28D6E96F" w14:textId="1F47CD47" w:rsidR="00DF2310" w:rsidRPr="00F636D1" w:rsidRDefault="00F7590A" w:rsidP="00F636D1">
      <w:pPr>
        <w:pStyle w:val="NormalWeb"/>
        <w:shd w:val="clear" w:color="auto" w:fill="FFFFFF"/>
        <w:spacing w:before="0" w:beforeAutospacing="0" w:after="0" w:afterAutospacing="0" w:line="276" w:lineRule="auto"/>
        <w:ind w:firstLine="720"/>
        <w:jc w:val="both"/>
      </w:pPr>
      <w:r w:rsidRPr="00F636D1">
        <w:t xml:space="preserve">Arī </w:t>
      </w:r>
      <w:r w:rsidR="00DF2310" w:rsidRPr="00F636D1">
        <w:t xml:space="preserve">juridiskajā literatūrā </w:t>
      </w:r>
      <w:r w:rsidRPr="00F636D1">
        <w:t>norādīts</w:t>
      </w:r>
      <w:r w:rsidR="00DF2310" w:rsidRPr="00F636D1">
        <w:t>, ka</w:t>
      </w:r>
      <w:r w:rsidR="006633D3" w:rsidRPr="00F636D1">
        <w:t>,</w:t>
      </w:r>
      <w:r w:rsidR="00DF2310" w:rsidRPr="00F636D1">
        <w:t xml:space="preserve"> tā kā saskaņā ar Civillikuma 1806.</w:t>
      </w:r>
      <w:r w:rsidR="00ED0E0C" w:rsidRPr="00F636D1">
        <w:t> </w:t>
      </w:r>
      <w:r w:rsidR="00DF2310" w:rsidRPr="00F636D1">
        <w:t xml:space="preserve">pantu prasījums pāriet uz cesionāru kopā ar visām pie tā piederīgajām tiesībām, ciktāl par tām nav tieši noteikts izņēmums no šā noteikuma, tad cedents, slēdzot cesijas līgumu, var noteikt dažādus izņēmumus, saskaņa ar kuriem uz cesionāru pāriet tikai daļa vai arī tikai atsevišķas pie prasījuma piederīgās tiesības. </w:t>
      </w:r>
      <w:r w:rsidR="00BA19A5" w:rsidRPr="00F636D1">
        <w:t>J</w:t>
      </w:r>
      <w:r w:rsidR="00DF2310" w:rsidRPr="00F636D1">
        <w:t>a cesijas līgumā nav paredzēti izņēmumi, tad uzskatāms, ka prasījums cedēts ar visām pie tā piederīgajām tiesībām</w:t>
      </w:r>
      <w:r w:rsidR="006633D3" w:rsidRPr="00F636D1">
        <w:t xml:space="preserve"> (sk. </w:t>
      </w:r>
      <w:r w:rsidR="006633D3" w:rsidRPr="00F636D1">
        <w:rPr>
          <w:i/>
          <w:iCs/>
        </w:rPr>
        <w:t>Civillikuma komentāri: Ceturtā daļa. Saistību tiesības. Autoru kolektīvs prof. K. Torgāna vispārīgā zinātniskā redakcijā. Rīga: Mans īpašums, 1998, 305.</w:t>
      </w:r>
      <w:r w:rsidR="00BA19A5" w:rsidRPr="00F636D1">
        <w:rPr>
          <w:i/>
          <w:iCs/>
        </w:rPr>
        <w:t>–</w:t>
      </w:r>
      <w:r w:rsidR="006633D3" w:rsidRPr="00F636D1">
        <w:rPr>
          <w:i/>
          <w:iCs/>
        </w:rPr>
        <w:t>306.lpp.</w:t>
      </w:r>
      <w:r w:rsidR="006633D3" w:rsidRPr="00F636D1">
        <w:t xml:space="preserve">). </w:t>
      </w:r>
    </w:p>
    <w:p w14:paraId="13C7929B" w14:textId="70E3B9D4" w:rsidR="006633D3" w:rsidRPr="00F636D1" w:rsidRDefault="006633D3" w:rsidP="00F636D1">
      <w:pPr>
        <w:pStyle w:val="NormalWeb"/>
        <w:shd w:val="clear" w:color="auto" w:fill="FFFFFF"/>
        <w:spacing w:before="0" w:beforeAutospacing="0" w:after="0" w:afterAutospacing="0" w:line="276" w:lineRule="auto"/>
        <w:ind w:firstLine="720"/>
        <w:jc w:val="both"/>
      </w:pPr>
      <w:r w:rsidRPr="00F636D1">
        <w:t xml:space="preserve">Konkrētajā gadījumā atzīstams, ka </w:t>
      </w:r>
      <w:r w:rsidR="00481C0A" w:rsidRPr="00F636D1">
        <w:t>cesijas līguma slēgšana par daļēju parāda nodošanu nav atzīstama par neatļautu vai nepieklājīgu darbību Civillikuma 1415.</w:t>
      </w:r>
      <w:r w:rsidR="00ED0E0C" w:rsidRPr="00F636D1">
        <w:t> </w:t>
      </w:r>
      <w:r w:rsidR="00481C0A" w:rsidRPr="00F636D1">
        <w:t xml:space="preserve">panta izpratnē, jo šādus darījumus paredz Civillikuma saistību tiesību daļa. </w:t>
      </w:r>
    </w:p>
    <w:p w14:paraId="60FB9F63" w14:textId="5815D531" w:rsidR="00921FE0" w:rsidRPr="00F636D1" w:rsidRDefault="00481C0A" w:rsidP="00F636D1">
      <w:pPr>
        <w:pStyle w:val="NormalWeb"/>
        <w:shd w:val="clear" w:color="auto" w:fill="FFFFFF"/>
        <w:spacing w:before="0" w:beforeAutospacing="0" w:after="0" w:afterAutospacing="0" w:line="276" w:lineRule="auto"/>
        <w:ind w:firstLine="720"/>
        <w:jc w:val="both"/>
      </w:pPr>
      <w:r w:rsidRPr="00F636D1">
        <w:t xml:space="preserve">Tāpat apstāklis, ka </w:t>
      </w:r>
      <w:r w:rsidR="00F7590A" w:rsidRPr="00F636D1">
        <w:t>SIA</w:t>
      </w:r>
      <w:r w:rsidR="00ED0E0C" w:rsidRPr="00F636D1">
        <w:t xml:space="preserve"> [firma] </w:t>
      </w:r>
      <w:r w:rsidRPr="00F636D1">
        <w:t xml:space="preserve">radušās tiesības vērsties tiesā ar maksātnespējas </w:t>
      </w:r>
      <w:r w:rsidR="00F7590A" w:rsidRPr="00F636D1">
        <w:t xml:space="preserve">procesa </w:t>
      </w:r>
      <w:r w:rsidRPr="00F636D1">
        <w:t xml:space="preserve">pieteikumu, nedod pamatu uzskatīt, ka tā ieguvusi vairāk tiesību, nekā bijušas </w:t>
      </w:r>
      <w:proofErr w:type="spellStart"/>
      <w:r w:rsidRPr="00F636D1">
        <w:t>cedentei</w:t>
      </w:r>
      <w:proofErr w:type="spellEnd"/>
      <w:r w:rsidRPr="00F636D1">
        <w:t xml:space="preserve">. </w:t>
      </w:r>
      <w:r w:rsidR="00F7590A" w:rsidRPr="00F636D1">
        <w:t>SIA</w:t>
      </w:r>
      <w:r w:rsidR="00FC7FBD" w:rsidRPr="00F636D1">
        <w:t> </w:t>
      </w:r>
      <w:r w:rsidR="00ED0E0C" w:rsidRPr="00F636D1">
        <w:t xml:space="preserve">[firma] </w:t>
      </w:r>
      <w:r w:rsidRPr="00F636D1">
        <w:t>nav ieguv</w:t>
      </w:r>
      <w:r w:rsidR="00391265" w:rsidRPr="00F636D1">
        <w:t>usi</w:t>
      </w:r>
      <w:r w:rsidRPr="00F636D1">
        <w:t xml:space="preserve"> tiesības saņemt lielāku </w:t>
      </w:r>
      <w:r w:rsidR="00C822C2" w:rsidRPr="00F636D1">
        <w:t>prasījuma summu</w:t>
      </w:r>
      <w:r w:rsidR="005824A1" w:rsidRPr="00F636D1">
        <w:t>,</w:t>
      </w:r>
      <w:r w:rsidR="00C822C2" w:rsidRPr="00F636D1">
        <w:t xml:space="preserve"> </w:t>
      </w:r>
      <w:r w:rsidR="005824A1" w:rsidRPr="00F636D1">
        <w:t>ne</w:t>
      </w:r>
      <w:r w:rsidR="00C822C2" w:rsidRPr="00F636D1">
        <w:t xml:space="preserve">kā tas noteikts cesijas līgumā. </w:t>
      </w:r>
    </w:p>
    <w:p w14:paraId="76ACDA63" w14:textId="77777777" w:rsidR="00980DFD" w:rsidRPr="00F636D1" w:rsidRDefault="00980DFD" w:rsidP="00F636D1">
      <w:pPr>
        <w:pStyle w:val="NormalWeb"/>
        <w:shd w:val="clear" w:color="auto" w:fill="FFFFFF"/>
        <w:spacing w:before="0" w:beforeAutospacing="0" w:after="0" w:afterAutospacing="0" w:line="276" w:lineRule="auto"/>
        <w:ind w:firstLine="720"/>
        <w:jc w:val="both"/>
      </w:pPr>
    </w:p>
    <w:p w14:paraId="1DF00B95" w14:textId="51A5E728" w:rsidR="00C822C2" w:rsidRPr="00F636D1" w:rsidRDefault="00C822C2" w:rsidP="00F636D1">
      <w:pPr>
        <w:pStyle w:val="NormalWeb"/>
        <w:shd w:val="clear" w:color="auto" w:fill="FFFFFF"/>
        <w:spacing w:before="0" w:beforeAutospacing="0" w:after="0" w:afterAutospacing="0" w:line="276" w:lineRule="auto"/>
        <w:ind w:firstLine="720"/>
        <w:jc w:val="both"/>
      </w:pPr>
      <w:r w:rsidRPr="00F636D1">
        <w:t>[4] Rīgas apgabaltiesa</w:t>
      </w:r>
      <w:r w:rsidR="00980DFD" w:rsidRPr="00F636D1">
        <w:t>, izskatot SIA</w:t>
      </w:r>
      <w:r w:rsidR="00FC7FBD" w:rsidRPr="00F636D1">
        <w:t> </w:t>
      </w:r>
      <w:r w:rsidR="00980DFD" w:rsidRPr="00F636D1">
        <w:t>,,LAFIKO.LV” un AS</w:t>
      </w:r>
      <w:r w:rsidR="00FC7FBD" w:rsidRPr="00F636D1">
        <w:t> </w:t>
      </w:r>
      <w:r w:rsidR="00980DFD" w:rsidRPr="00F636D1">
        <w:t xml:space="preserve">,,Latgales Finanšu kompānija” apelācijas sūdzību, ar </w:t>
      </w:r>
      <w:r w:rsidRPr="00F636D1">
        <w:t>2021. gada 2. jūnija spriedumu prasīb</w:t>
      </w:r>
      <w:r w:rsidR="00980DFD" w:rsidRPr="00F636D1">
        <w:t>u</w:t>
      </w:r>
      <w:r w:rsidRPr="00F636D1">
        <w:t xml:space="preserve"> noraidī</w:t>
      </w:r>
      <w:r w:rsidR="00980DFD" w:rsidRPr="00F636D1">
        <w:t>ja</w:t>
      </w:r>
      <w:r w:rsidRPr="00F636D1">
        <w:t xml:space="preserve">. </w:t>
      </w:r>
    </w:p>
    <w:p w14:paraId="0CF3A469" w14:textId="5022853B" w:rsidR="00C822C2" w:rsidRPr="00F636D1" w:rsidRDefault="00C822C2" w:rsidP="00F636D1">
      <w:pPr>
        <w:pStyle w:val="NormalWeb"/>
        <w:shd w:val="clear" w:color="auto" w:fill="FFFFFF"/>
        <w:spacing w:before="0" w:beforeAutospacing="0" w:after="0" w:afterAutospacing="0" w:line="276" w:lineRule="auto"/>
        <w:ind w:firstLine="720"/>
        <w:jc w:val="both"/>
      </w:pPr>
      <w:r w:rsidRPr="00F636D1">
        <w:t xml:space="preserve">Spriedumā norādīti šādi motīvi. </w:t>
      </w:r>
    </w:p>
    <w:p w14:paraId="0687BE28" w14:textId="2FD90244" w:rsidR="00C822C2" w:rsidRPr="00F636D1" w:rsidRDefault="00C822C2" w:rsidP="00F636D1">
      <w:pPr>
        <w:autoSpaceDE w:val="0"/>
        <w:autoSpaceDN w:val="0"/>
        <w:adjustRightInd w:val="0"/>
        <w:spacing w:line="276" w:lineRule="auto"/>
        <w:ind w:firstLine="709"/>
        <w:jc w:val="both"/>
        <w:rPr>
          <w:rFonts w:cs="Times New Roman"/>
          <w:szCs w:val="24"/>
        </w:rPr>
      </w:pPr>
      <w:r w:rsidRPr="00F636D1">
        <w:rPr>
          <w:rFonts w:cs="Times New Roman"/>
          <w:szCs w:val="24"/>
        </w:rPr>
        <w:t>[4.1] Atbilstoši Civilprocesa likuma 432.</w:t>
      </w:r>
      <w:r w:rsidR="00FC7FBD" w:rsidRPr="00F636D1">
        <w:rPr>
          <w:rFonts w:cs="Times New Roman"/>
          <w:szCs w:val="24"/>
        </w:rPr>
        <w:t> </w:t>
      </w:r>
      <w:r w:rsidRPr="00F636D1">
        <w:rPr>
          <w:rFonts w:cs="Times New Roman"/>
          <w:szCs w:val="24"/>
        </w:rPr>
        <w:t xml:space="preserve">panta piektajai daļai apelācijas instances tiesa pievienojas pirmās instances tiesas sprieduma motīviem. </w:t>
      </w:r>
    </w:p>
    <w:p w14:paraId="4DC63AE0" w14:textId="029B5DFF" w:rsidR="00C822C2" w:rsidRPr="00F636D1" w:rsidRDefault="00C822C2" w:rsidP="00F636D1">
      <w:pPr>
        <w:pStyle w:val="NormalWeb"/>
        <w:shd w:val="clear" w:color="auto" w:fill="FFFFFF"/>
        <w:spacing w:before="0" w:beforeAutospacing="0" w:after="0" w:afterAutospacing="0" w:line="276" w:lineRule="auto"/>
        <w:ind w:firstLine="720"/>
        <w:jc w:val="both"/>
      </w:pPr>
      <w:r w:rsidRPr="00F636D1">
        <w:t xml:space="preserve">[4.2] </w:t>
      </w:r>
      <w:r w:rsidR="00E51546" w:rsidRPr="00F636D1">
        <w:t>Pirmās instances tiesa pareizi norādījusi, ka ar apstrīdētajiem cesijas līgumiem</w:t>
      </w:r>
      <w:r w:rsidR="00391265" w:rsidRPr="00F636D1">
        <w:t xml:space="preserve"> SIA</w:t>
      </w:r>
      <w:r w:rsidR="000D78AB" w:rsidRPr="00F636D1">
        <w:t> [firma]</w:t>
      </w:r>
      <w:r w:rsidR="00391265" w:rsidRPr="00F636D1">
        <w:t xml:space="preserve"> </w:t>
      </w:r>
      <w:r w:rsidR="00E51546" w:rsidRPr="00F636D1">
        <w:t xml:space="preserve">nav </w:t>
      </w:r>
      <w:r w:rsidR="00391265" w:rsidRPr="00F636D1">
        <w:t xml:space="preserve">ieguvusi </w:t>
      </w:r>
      <w:r w:rsidR="00E51546" w:rsidRPr="00F636D1">
        <w:t xml:space="preserve">lielākas tiesības, nekā bijušas </w:t>
      </w:r>
      <w:proofErr w:type="spellStart"/>
      <w:r w:rsidR="00E51546" w:rsidRPr="00F636D1">
        <w:t>cedent</w:t>
      </w:r>
      <w:r w:rsidR="00391265" w:rsidRPr="00F636D1">
        <w:t>ei</w:t>
      </w:r>
      <w:proofErr w:type="spellEnd"/>
      <w:r w:rsidR="00E51546" w:rsidRPr="00F636D1">
        <w:t xml:space="preserve">. </w:t>
      </w:r>
    </w:p>
    <w:p w14:paraId="14D8C774" w14:textId="42EB2D66" w:rsidR="00C753A7" w:rsidRPr="00F636D1" w:rsidRDefault="00C753A7" w:rsidP="00F636D1">
      <w:pPr>
        <w:pStyle w:val="NormalWeb"/>
        <w:shd w:val="clear" w:color="auto" w:fill="FFFFFF"/>
        <w:spacing w:before="0" w:beforeAutospacing="0" w:after="0" w:afterAutospacing="0" w:line="276" w:lineRule="auto"/>
        <w:ind w:firstLine="720"/>
        <w:jc w:val="both"/>
      </w:pPr>
      <w:r w:rsidRPr="00F636D1">
        <w:t xml:space="preserve">Arī lietas materiālos esošie lēmumi, ar kuriem apmierināti </w:t>
      </w:r>
      <w:r w:rsidRPr="00F636D1">
        <w:rPr>
          <w:color w:val="000000"/>
          <w:shd w:val="clear" w:color="auto" w:fill="FFFFFF"/>
        </w:rPr>
        <w:t>SIA</w:t>
      </w:r>
      <w:r w:rsidR="000D78AB" w:rsidRPr="00F636D1">
        <w:rPr>
          <w:color w:val="000000"/>
          <w:shd w:val="clear" w:color="auto" w:fill="FFFFFF"/>
        </w:rPr>
        <w:t> </w:t>
      </w:r>
      <w:r w:rsidRPr="00F636D1">
        <w:t>,,</w:t>
      </w:r>
      <w:proofErr w:type="spellStart"/>
      <w:r w:rsidRPr="00F636D1">
        <w:t>GelvoraSergel</w:t>
      </w:r>
      <w:proofErr w:type="spellEnd"/>
      <w:r w:rsidRPr="00F636D1">
        <w:t>” pieteikumi par saistību bezstrīdus piespiedu izpildīšanu, neliecina par to, ka cesijas līgumi noslēgti, neievērojot Civillikuma 1804.</w:t>
      </w:r>
      <w:r w:rsidR="000D78AB" w:rsidRPr="00F636D1">
        <w:t> </w:t>
      </w:r>
      <w:r w:rsidRPr="00F636D1">
        <w:t xml:space="preserve">pantā noteikto. </w:t>
      </w:r>
      <w:r w:rsidR="00F1475D" w:rsidRPr="00F636D1">
        <w:t>Cesijas līgumi nav pasliktinājuši prasītāju kā parādnie</w:t>
      </w:r>
      <w:r w:rsidR="005824A1" w:rsidRPr="00F636D1">
        <w:t>ču</w:t>
      </w:r>
      <w:r w:rsidR="00F1475D" w:rsidRPr="00F636D1">
        <w:t xml:space="preserve"> tiesisko stāvokli, ko nepieļauj Civillikuma 1807.</w:t>
      </w:r>
      <w:r w:rsidR="000D78AB" w:rsidRPr="00F636D1">
        <w:t> </w:t>
      </w:r>
      <w:r w:rsidR="00F1475D" w:rsidRPr="00F636D1">
        <w:t xml:space="preserve">pants. </w:t>
      </w:r>
    </w:p>
    <w:p w14:paraId="3C98852E" w14:textId="5E6CDC35" w:rsidR="00F1475D" w:rsidRPr="00F636D1" w:rsidRDefault="005824A1" w:rsidP="00F636D1">
      <w:pPr>
        <w:pStyle w:val="NormalWeb"/>
        <w:shd w:val="clear" w:color="auto" w:fill="FFFFFF"/>
        <w:spacing w:before="0" w:beforeAutospacing="0" w:after="0" w:afterAutospacing="0" w:line="276" w:lineRule="auto"/>
        <w:ind w:firstLine="720"/>
        <w:jc w:val="both"/>
      </w:pPr>
      <w:r w:rsidRPr="00F636D1">
        <w:t>Prasītājas nav noliegušas p</w:t>
      </w:r>
      <w:r w:rsidR="00F1475D" w:rsidRPr="00F636D1">
        <w:t>arādsaistību esību pret kreditor</w:t>
      </w:r>
      <w:r w:rsidRPr="00F636D1">
        <w:t>i</w:t>
      </w:r>
      <w:r w:rsidR="00F1475D" w:rsidRPr="00F636D1">
        <w:t xml:space="preserve"> AS</w:t>
      </w:r>
      <w:r w:rsidR="000D78AB" w:rsidRPr="00F636D1">
        <w:t> </w:t>
      </w:r>
      <w:r w:rsidR="00F1475D" w:rsidRPr="00F636D1">
        <w:t>,,</w:t>
      </w:r>
      <w:proofErr w:type="spellStart"/>
      <w:r w:rsidR="00F1475D" w:rsidRPr="00F636D1">
        <w:t>Reverta</w:t>
      </w:r>
      <w:proofErr w:type="spellEnd"/>
      <w:r w:rsidR="00F1475D" w:rsidRPr="00F636D1">
        <w:t xml:space="preserve">”. Līdz ar to cedētais prasījums pastāv, bet strīds par to apmēru nevar būt par pamatu darījumu atzīšanai par spēkā neesošiem Civillikuma 1415. panta izpratnē. </w:t>
      </w:r>
    </w:p>
    <w:p w14:paraId="62A81ED9" w14:textId="30FD7EDA" w:rsidR="00B17FD9" w:rsidRPr="00F636D1" w:rsidRDefault="00B17FD9" w:rsidP="00F636D1">
      <w:pPr>
        <w:pStyle w:val="NormalWeb"/>
        <w:shd w:val="clear" w:color="auto" w:fill="FFFFFF"/>
        <w:spacing w:before="0" w:beforeAutospacing="0" w:after="0" w:afterAutospacing="0" w:line="276" w:lineRule="auto"/>
        <w:ind w:firstLine="720"/>
        <w:jc w:val="both"/>
      </w:pPr>
      <w:r w:rsidRPr="00F636D1">
        <w:lastRenderedPageBreak/>
        <w:t>Nekonstatējot Civillikuma 1415.</w:t>
      </w:r>
      <w:r w:rsidR="000D78AB" w:rsidRPr="00F636D1">
        <w:t> </w:t>
      </w:r>
      <w:r w:rsidRPr="00F636D1">
        <w:t xml:space="preserve">pantā norādītās pazīmes darījumu atzīšanai par spēkā neesošiem, nav pamata iejaukties pušu </w:t>
      </w:r>
      <w:proofErr w:type="spellStart"/>
      <w:r w:rsidRPr="00F636D1">
        <w:t>privātautonomijā</w:t>
      </w:r>
      <w:proofErr w:type="spellEnd"/>
      <w:r w:rsidRPr="00F636D1">
        <w:t xml:space="preserve">, vērtējot cedenta izvēlēto līgumpartneri prasījumu cedēšanai, kā arī līgumos noteikto cesijas maksu. </w:t>
      </w:r>
    </w:p>
    <w:p w14:paraId="2C31F05A" w14:textId="7650179D" w:rsidR="00B17FD9" w:rsidRPr="00F636D1" w:rsidRDefault="00B17FD9" w:rsidP="00F636D1">
      <w:pPr>
        <w:pStyle w:val="NormalWeb"/>
        <w:shd w:val="clear" w:color="auto" w:fill="FFFFFF"/>
        <w:spacing w:before="0" w:beforeAutospacing="0" w:after="0" w:afterAutospacing="0" w:line="276" w:lineRule="auto"/>
        <w:ind w:firstLine="720"/>
        <w:jc w:val="both"/>
      </w:pPr>
      <w:r w:rsidRPr="00F636D1">
        <w:t>Vienlaicīgi norādāms, ka cesijas līgumu 3.1.</w:t>
      </w:r>
      <w:r w:rsidR="005824A1" w:rsidRPr="00F636D1">
        <w:t> </w:t>
      </w:r>
      <w:r w:rsidRPr="00F636D1">
        <w:t>punktā puses noteikušas cesijas maksu par cedētajiem prasījumiem – 5</w:t>
      </w:r>
      <w:r w:rsidR="005824A1" w:rsidRPr="00F636D1">
        <w:t xml:space="preserve"> </w:t>
      </w:r>
      <w:r w:rsidRPr="00F636D1">
        <w:t>% apmērā no summas, ko cesionārs faktiski atgūst no parādnieka, atrēķinot cesionāra taisītos izdevumus saskaņā ar līgumu 3.2.</w:t>
      </w:r>
      <w:r w:rsidR="005824A1" w:rsidRPr="00F636D1">
        <w:t> </w:t>
      </w:r>
      <w:r w:rsidRPr="00F636D1">
        <w:t>punktu. Secīgi nav pamatota AS</w:t>
      </w:r>
      <w:r w:rsidR="000D78AB" w:rsidRPr="00F636D1">
        <w:t> </w:t>
      </w:r>
      <w:r w:rsidRPr="00F636D1">
        <w:t>,,Latgales Finanšu kompānija” un SIA</w:t>
      </w:r>
      <w:r w:rsidR="000D78AB" w:rsidRPr="00F636D1">
        <w:t> </w:t>
      </w:r>
      <w:r w:rsidRPr="00F636D1">
        <w:t xml:space="preserve">,,LAFIKO.LV” atsauce uz cesijas līgumiem kā bezatlīdzības darījumiem. </w:t>
      </w:r>
    </w:p>
    <w:p w14:paraId="7245DD06" w14:textId="77777777" w:rsidR="00F1475D" w:rsidRPr="00F636D1" w:rsidRDefault="00F1475D" w:rsidP="00F636D1">
      <w:pPr>
        <w:pStyle w:val="NormalWeb"/>
        <w:shd w:val="clear" w:color="auto" w:fill="FFFFFF"/>
        <w:spacing w:before="0" w:beforeAutospacing="0" w:after="0" w:afterAutospacing="0" w:line="276" w:lineRule="auto"/>
        <w:ind w:firstLine="720"/>
        <w:jc w:val="both"/>
      </w:pPr>
    </w:p>
    <w:p w14:paraId="2F21966B" w14:textId="55D77B29" w:rsidR="00F1475D" w:rsidRPr="00F636D1" w:rsidRDefault="00F1475D" w:rsidP="00F636D1">
      <w:pPr>
        <w:pStyle w:val="NormalWeb"/>
        <w:shd w:val="clear" w:color="auto" w:fill="FFFFFF"/>
        <w:spacing w:before="0" w:beforeAutospacing="0" w:after="0" w:afterAutospacing="0" w:line="276" w:lineRule="auto"/>
        <w:ind w:firstLine="720"/>
        <w:jc w:val="both"/>
      </w:pPr>
      <w:r w:rsidRPr="00F636D1">
        <w:t xml:space="preserve">[5] </w:t>
      </w:r>
      <w:r w:rsidR="00EB2D74" w:rsidRPr="00F636D1">
        <w:t>AS</w:t>
      </w:r>
      <w:r w:rsidR="000D78AB" w:rsidRPr="00F636D1">
        <w:t> </w:t>
      </w:r>
      <w:r w:rsidR="00EB2D74" w:rsidRPr="00F636D1">
        <w:t>,,Latgales Finanšu kompānija” un SIA</w:t>
      </w:r>
      <w:r w:rsidR="000D78AB" w:rsidRPr="00F636D1">
        <w:t> </w:t>
      </w:r>
      <w:r w:rsidR="00EB2D74" w:rsidRPr="00F636D1">
        <w:t xml:space="preserve">,,LAFIKO.LV” iesniegušas kasācijas sūdzību par minēto spriedumu, pārsūdzot to pilnā apjomā un norādot šādus argumentus. </w:t>
      </w:r>
    </w:p>
    <w:p w14:paraId="5D8FEEB3" w14:textId="07316F66" w:rsidR="00EB2D74" w:rsidRPr="00F636D1" w:rsidRDefault="00EB2D74" w:rsidP="00F636D1">
      <w:pPr>
        <w:pStyle w:val="NormalWeb"/>
        <w:shd w:val="clear" w:color="auto" w:fill="FFFFFF"/>
        <w:spacing w:before="0" w:beforeAutospacing="0" w:after="0" w:afterAutospacing="0" w:line="276" w:lineRule="auto"/>
        <w:ind w:firstLine="720"/>
        <w:jc w:val="both"/>
      </w:pPr>
      <w:r w:rsidRPr="00F636D1">
        <w:t xml:space="preserve">[5.1] </w:t>
      </w:r>
      <w:r w:rsidR="00F63C81" w:rsidRPr="00F636D1">
        <w:t>Tiesa nepareizi piemērojusi Civillikuma 1415., 1806.</w:t>
      </w:r>
      <w:r w:rsidR="005824A1" w:rsidRPr="00F636D1">
        <w:t> </w:t>
      </w:r>
      <w:r w:rsidR="00F63C81" w:rsidRPr="00F636D1">
        <w:t>pantu un Maksātnespējas likuma 61.</w:t>
      </w:r>
      <w:r w:rsidR="000D78AB" w:rsidRPr="00F636D1">
        <w:t> </w:t>
      </w:r>
      <w:r w:rsidR="00F63C81" w:rsidRPr="00F636D1">
        <w:t xml:space="preserve">panta pirmo daļu. </w:t>
      </w:r>
    </w:p>
    <w:p w14:paraId="3C34E8C0" w14:textId="2802D56D" w:rsidR="00F63C81" w:rsidRPr="00F636D1" w:rsidRDefault="009E2BA7" w:rsidP="00F636D1">
      <w:pPr>
        <w:pStyle w:val="NormalWeb"/>
        <w:shd w:val="clear" w:color="auto" w:fill="FFFFFF"/>
        <w:spacing w:before="0" w:beforeAutospacing="0" w:after="0" w:afterAutospacing="0" w:line="276" w:lineRule="auto"/>
        <w:ind w:firstLine="720"/>
        <w:jc w:val="both"/>
      </w:pPr>
      <w:r w:rsidRPr="00F636D1">
        <w:t>Lietā nepastāv strīds, ka AS</w:t>
      </w:r>
      <w:r w:rsidR="000D78AB" w:rsidRPr="00F636D1">
        <w:t> </w:t>
      </w:r>
      <w:r w:rsidRPr="00F636D1">
        <w:t>,,</w:t>
      </w:r>
      <w:proofErr w:type="spellStart"/>
      <w:r w:rsidRPr="00F636D1">
        <w:t>Reverta</w:t>
      </w:r>
      <w:proofErr w:type="spellEnd"/>
      <w:r w:rsidRPr="00F636D1">
        <w:t>” bija</w:t>
      </w:r>
      <w:r w:rsidR="005824A1" w:rsidRPr="00F636D1">
        <w:t xml:space="preserve"> prasītāju</w:t>
      </w:r>
      <w:r w:rsidRPr="00F636D1">
        <w:t xml:space="preserve"> nodrošināt</w:t>
      </w:r>
      <w:r w:rsidR="005824A1" w:rsidRPr="00F636D1">
        <w:t>ā</w:t>
      </w:r>
      <w:r w:rsidRPr="00F636D1">
        <w:t xml:space="preserve"> kreditor</w:t>
      </w:r>
      <w:r w:rsidR="005824A1" w:rsidRPr="00F636D1">
        <w:t>e</w:t>
      </w:r>
      <w:r w:rsidRPr="00F636D1">
        <w:t xml:space="preserve">. </w:t>
      </w:r>
      <w:r w:rsidR="00E76CE9" w:rsidRPr="00F636D1">
        <w:rPr>
          <w:color w:val="000000"/>
          <w:shd w:val="clear" w:color="auto" w:fill="FFFFFF"/>
        </w:rPr>
        <w:t>SIA</w:t>
      </w:r>
      <w:r w:rsidR="00F80431" w:rsidRPr="00F636D1">
        <w:rPr>
          <w:color w:val="000000"/>
          <w:shd w:val="clear" w:color="auto" w:fill="FFFFFF"/>
        </w:rPr>
        <w:t> </w:t>
      </w:r>
      <w:r w:rsidR="00E76CE9" w:rsidRPr="00F636D1">
        <w:t>,,</w:t>
      </w:r>
      <w:proofErr w:type="spellStart"/>
      <w:r w:rsidR="00E76CE9" w:rsidRPr="00F636D1">
        <w:t>GelvoraSergel</w:t>
      </w:r>
      <w:proofErr w:type="spellEnd"/>
      <w:r w:rsidR="00E76CE9" w:rsidRPr="00F636D1">
        <w:t>”, pārņemot no AS</w:t>
      </w:r>
      <w:r w:rsidR="000D78AB" w:rsidRPr="00F636D1">
        <w:t> </w:t>
      </w:r>
      <w:r w:rsidR="00E76CE9" w:rsidRPr="00F636D1">
        <w:t>,,</w:t>
      </w:r>
      <w:proofErr w:type="spellStart"/>
      <w:r w:rsidR="00E76CE9" w:rsidRPr="00F636D1">
        <w:t>Reverta</w:t>
      </w:r>
      <w:proofErr w:type="spellEnd"/>
      <w:r w:rsidR="00E76CE9" w:rsidRPr="00F636D1">
        <w:t>” prasījuma tiesības ar visām piederīgajām blakus tiesībām, arī atzīstama par nodrošināto kreditor</w:t>
      </w:r>
      <w:r w:rsidR="005824A1" w:rsidRPr="00F636D1">
        <w:t>i</w:t>
      </w:r>
      <w:r w:rsidR="00E76CE9" w:rsidRPr="00F636D1">
        <w:t xml:space="preserve">. </w:t>
      </w:r>
    </w:p>
    <w:p w14:paraId="751050C9" w14:textId="7C0FB8C8" w:rsidR="00F16686" w:rsidRPr="00F636D1" w:rsidRDefault="00E76CE9" w:rsidP="00F636D1">
      <w:pPr>
        <w:pStyle w:val="NormalWeb"/>
        <w:shd w:val="clear" w:color="auto" w:fill="FFFFFF"/>
        <w:spacing w:before="0" w:beforeAutospacing="0" w:after="0" w:afterAutospacing="0" w:line="276" w:lineRule="auto"/>
        <w:ind w:firstLine="720"/>
        <w:jc w:val="both"/>
      </w:pPr>
      <w:r w:rsidRPr="00F636D1">
        <w:t xml:space="preserve">Lietā ir strīds par to, vai </w:t>
      </w:r>
      <w:r w:rsidRPr="00F636D1">
        <w:rPr>
          <w:color w:val="000000"/>
          <w:shd w:val="clear" w:color="auto" w:fill="FFFFFF"/>
        </w:rPr>
        <w:t>SIA</w:t>
      </w:r>
      <w:r w:rsidR="000D78AB" w:rsidRPr="00F636D1">
        <w:rPr>
          <w:color w:val="000000"/>
          <w:shd w:val="clear" w:color="auto" w:fill="FFFFFF"/>
        </w:rPr>
        <w:t> </w:t>
      </w:r>
      <w:r w:rsidRPr="00F636D1">
        <w:t>,,</w:t>
      </w:r>
      <w:proofErr w:type="spellStart"/>
      <w:r w:rsidRPr="00F636D1">
        <w:t>GelvoraSergel</w:t>
      </w:r>
      <w:proofErr w:type="spellEnd"/>
      <w:r w:rsidRPr="00F636D1">
        <w:t>” bija tiesīga nodot SIA</w:t>
      </w:r>
      <w:r w:rsidR="000D78AB" w:rsidRPr="00F636D1">
        <w:t xml:space="preserve"> [firma] </w:t>
      </w:r>
      <w:r w:rsidRPr="00F636D1">
        <w:t xml:space="preserve">prasījuma daļu, norādot, ka cedētais prasījums uzskatāms par nenodrošinātu prasījumu. </w:t>
      </w:r>
      <w:r w:rsidR="009805DB" w:rsidRPr="00F636D1">
        <w:t>Atbilstoši Civillikuma 1806.</w:t>
      </w:r>
      <w:r w:rsidR="000D78AB" w:rsidRPr="00F636D1">
        <w:t> </w:t>
      </w:r>
      <w:r w:rsidR="009805DB" w:rsidRPr="00F636D1">
        <w:t>pantā nostiprinātajam principam cesionārs nevar iegūt tādas tiesības, kādas nepastāvēja tā priekšgājējam</w:t>
      </w:r>
      <w:r w:rsidR="005824A1" w:rsidRPr="00F636D1">
        <w:t>,</w:t>
      </w:r>
      <w:r w:rsidR="009805DB" w:rsidRPr="00F636D1">
        <w:t xml:space="preserve"> un cesija nedrīkst pasliktināt parādnieka tiesisko stāvokli. </w:t>
      </w:r>
      <w:r w:rsidR="003D2EAA" w:rsidRPr="00F636D1">
        <w:t xml:space="preserve">Tiesību doktrīnas atziņas, uz kurām apelācijas instances tiesa atsaukusies, nav tiešā veidā saistītas ar tiesību jautājumu par to, vai nodrošinātais kreditors ir tiesīgs atdalīt prasījumu no nodrošinājumiem, negrozot </w:t>
      </w:r>
      <w:r w:rsidR="00B221DA" w:rsidRPr="00F636D1">
        <w:t>nodrošinājuma līgumus un reģistrētās ķīlas tiesības</w:t>
      </w:r>
      <w:r w:rsidR="007E6497" w:rsidRPr="00F636D1">
        <w:t>, un cedēt šos prasījumus citai personai ar nolūku apiet likumā cedentam noteiktu aizliegumu</w:t>
      </w:r>
      <w:r w:rsidR="00B221DA" w:rsidRPr="00F636D1">
        <w:t xml:space="preserve">. </w:t>
      </w:r>
    </w:p>
    <w:p w14:paraId="5E9FFEC4" w14:textId="24A426DD" w:rsidR="00F16686" w:rsidRPr="00F636D1" w:rsidRDefault="00F16686" w:rsidP="00F636D1">
      <w:pPr>
        <w:pStyle w:val="NormalWeb"/>
        <w:shd w:val="clear" w:color="auto" w:fill="FFFFFF"/>
        <w:spacing w:before="0" w:beforeAutospacing="0" w:after="0" w:afterAutospacing="0" w:line="276" w:lineRule="auto"/>
        <w:ind w:firstLine="720"/>
        <w:jc w:val="both"/>
      </w:pPr>
      <w:r w:rsidRPr="00F636D1">
        <w:t xml:space="preserve">Cesijas līguma noslēgšanas brīdī </w:t>
      </w:r>
      <w:r w:rsidRPr="00F636D1">
        <w:rPr>
          <w:color w:val="000000"/>
          <w:shd w:val="clear" w:color="auto" w:fill="FFFFFF"/>
        </w:rPr>
        <w:t>SIA</w:t>
      </w:r>
      <w:r w:rsidR="000D78AB" w:rsidRPr="00F636D1">
        <w:rPr>
          <w:color w:val="000000"/>
          <w:shd w:val="clear" w:color="auto" w:fill="FFFFFF"/>
        </w:rPr>
        <w:t> </w:t>
      </w:r>
      <w:r w:rsidRPr="00F636D1">
        <w:t>,,</w:t>
      </w:r>
      <w:proofErr w:type="spellStart"/>
      <w:r w:rsidRPr="00F636D1">
        <w:t>GelvoraSergel</w:t>
      </w:r>
      <w:proofErr w:type="spellEnd"/>
      <w:r w:rsidRPr="00F636D1">
        <w:t>” nepastāvēja nenodrošināta prasījuma daļa, kuru tā varētu cedēt. Tāpat nav šaubu, ka ar cesiju ir pasliktināts parādnieka stāvoklis</w:t>
      </w:r>
      <w:r w:rsidR="00B221DA" w:rsidRPr="00F636D1">
        <w:t>, proti,</w:t>
      </w:r>
      <w:r w:rsidR="00D662D3" w:rsidRPr="00F636D1">
        <w:t xml:space="preserve"> radīta iespēja iesniegt juridiskās personas maksātnespējas procesa pieteikumu</w:t>
      </w:r>
      <w:r w:rsidR="00B221DA" w:rsidRPr="00F636D1">
        <w:t>, nonākot</w:t>
      </w:r>
      <w:r w:rsidR="009805DB" w:rsidRPr="00F636D1">
        <w:t xml:space="preserve"> p</w:t>
      </w:r>
      <w:r w:rsidR="00B221DA" w:rsidRPr="00F636D1">
        <w:t>retrunā ar</w:t>
      </w:r>
      <w:r w:rsidR="009805DB" w:rsidRPr="00F636D1">
        <w:t xml:space="preserve"> Maksātnespējas likuma 61. panta pirmajā daļā </w:t>
      </w:r>
      <w:r w:rsidR="00B221DA" w:rsidRPr="00F636D1">
        <w:t xml:space="preserve">nodrošinātajam kreditoram </w:t>
      </w:r>
      <w:r w:rsidR="009805DB" w:rsidRPr="00F636D1">
        <w:t>noteik</w:t>
      </w:r>
      <w:r w:rsidR="00B221DA" w:rsidRPr="00F636D1">
        <w:t>to</w:t>
      </w:r>
      <w:r w:rsidR="009805DB" w:rsidRPr="00F636D1">
        <w:t xml:space="preserve"> aizliegum</w:t>
      </w:r>
      <w:r w:rsidR="00B221DA" w:rsidRPr="00F636D1">
        <w:t>u iesniegt juridiskās personas maksātnespējas pieteikumu</w:t>
      </w:r>
      <w:r w:rsidR="009805DB" w:rsidRPr="00F636D1">
        <w:t xml:space="preserve">. </w:t>
      </w:r>
    </w:p>
    <w:p w14:paraId="4B1C803B" w14:textId="6C08CE83" w:rsidR="00D662D3" w:rsidRPr="00F636D1" w:rsidRDefault="00D662D3" w:rsidP="00F636D1">
      <w:pPr>
        <w:pStyle w:val="NormalWeb"/>
        <w:shd w:val="clear" w:color="auto" w:fill="FFFFFF"/>
        <w:spacing w:before="0" w:beforeAutospacing="0" w:after="0" w:afterAutospacing="0" w:line="276" w:lineRule="auto"/>
        <w:ind w:firstLine="720"/>
        <w:jc w:val="both"/>
      </w:pPr>
      <w:r w:rsidRPr="00F636D1">
        <w:t>Tiesai bija jāvērtē</w:t>
      </w:r>
      <w:r w:rsidR="005824A1" w:rsidRPr="00F636D1">
        <w:t>,</w:t>
      </w:r>
      <w:r w:rsidRPr="00F636D1">
        <w:t xml:space="preserve"> vai </w:t>
      </w:r>
      <w:r w:rsidRPr="00F636D1">
        <w:rPr>
          <w:color w:val="000000"/>
          <w:shd w:val="clear" w:color="auto" w:fill="FFFFFF"/>
        </w:rPr>
        <w:t>SIA</w:t>
      </w:r>
      <w:r w:rsidR="000D78AB" w:rsidRPr="00F636D1">
        <w:rPr>
          <w:color w:val="000000"/>
          <w:shd w:val="clear" w:color="auto" w:fill="FFFFFF"/>
        </w:rPr>
        <w:t> </w:t>
      </w:r>
      <w:r w:rsidRPr="00F636D1">
        <w:t>,,</w:t>
      </w:r>
      <w:proofErr w:type="spellStart"/>
      <w:r w:rsidRPr="00F636D1">
        <w:t>GelvoraSergel</w:t>
      </w:r>
      <w:proofErr w:type="spellEnd"/>
      <w:r w:rsidRPr="00F636D1">
        <w:t>” un SIA</w:t>
      </w:r>
      <w:r w:rsidR="000D78AB" w:rsidRPr="00F636D1">
        <w:t xml:space="preserve"> [firma] </w:t>
      </w:r>
      <w:r w:rsidRPr="00F636D1">
        <w:t>noslēgtā cesijas līguma priekšmets neliecina, ka ir izvēlēts veids, kā apiet Maksātnespējas likuma 61.</w:t>
      </w:r>
      <w:r w:rsidR="000D78AB" w:rsidRPr="00F636D1">
        <w:t> </w:t>
      </w:r>
      <w:r w:rsidRPr="00F636D1">
        <w:t xml:space="preserve">panta pirmajā daļā noteiktās prasības attiecībā uz nodrošinātā kreditora ierobežojumu iesniegt maksātnespējas procesa pieteikumu. </w:t>
      </w:r>
    </w:p>
    <w:p w14:paraId="3EBD2783" w14:textId="5283FD26" w:rsidR="00D662D3" w:rsidRPr="00F636D1" w:rsidRDefault="00D662D3" w:rsidP="00F636D1">
      <w:pPr>
        <w:pStyle w:val="NormalWeb"/>
        <w:shd w:val="clear" w:color="auto" w:fill="FFFFFF"/>
        <w:spacing w:before="0" w:beforeAutospacing="0" w:after="0" w:afterAutospacing="0" w:line="276" w:lineRule="auto"/>
        <w:ind w:firstLine="720"/>
        <w:jc w:val="both"/>
      </w:pPr>
      <w:r w:rsidRPr="00F636D1">
        <w:t xml:space="preserve">[5.2] </w:t>
      </w:r>
      <w:r w:rsidR="00B17FD9" w:rsidRPr="00F636D1">
        <w:t>Tiesa pārkāpusi Civilprocesa likuma 97.</w:t>
      </w:r>
      <w:r w:rsidR="000D78AB" w:rsidRPr="00F636D1">
        <w:t> </w:t>
      </w:r>
      <w:r w:rsidR="00AF661F" w:rsidRPr="00F636D1">
        <w:t>pantu, turklāt spriedums neatbilst arī Civilprocesa likuma </w:t>
      </w:r>
      <w:r w:rsidR="00684606" w:rsidRPr="00F636D1">
        <w:t>192. un 418. pant</w:t>
      </w:r>
      <w:r w:rsidR="00AF661F" w:rsidRPr="00F636D1">
        <w:t>a prasībām</w:t>
      </w:r>
      <w:r w:rsidR="00684606" w:rsidRPr="00F636D1">
        <w:t>.</w:t>
      </w:r>
      <w:r w:rsidR="00B17FD9" w:rsidRPr="00F636D1">
        <w:t xml:space="preserve"> </w:t>
      </w:r>
    </w:p>
    <w:p w14:paraId="4FF2A1C2" w14:textId="5CB178F5" w:rsidR="00B17FD9" w:rsidRPr="00F636D1" w:rsidRDefault="00097B13" w:rsidP="00F636D1">
      <w:pPr>
        <w:pStyle w:val="NormalWeb"/>
        <w:shd w:val="clear" w:color="auto" w:fill="FFFFFF"/>
        <w:spacing w:before="0" w:beforeAutospacing="0" w:after="0" w:afterAutospacing="0" w:line="276" w:lineRule="auto"/>
        <w:ind w:firstLine="720"/>
        <w:jc w:val="both"/>
      </w:pPr>
      <w:r w:rsidRPr="00F636D1">
        <w:t>Tiesa nav pamatoju</w:t>
      </w:r>
      <w:r w:rsidR="005824A1" w:rsidRPr="00F636D1">
        <w:t>si</w:t>
      </w:r>
      <w:r w:rsidRPr="00F636D1">
        <w:t xml:space="preserve">, kādēļ nepastāv iemesls iejaukties pušu </w:t>
      </w:r>
      <w:proofErr w:type="spellStart"/>
      <w:r w:rsidRPr="00F636D1">
        <w:t>privātautonomijā</w:t>
      </w:r>
      <w:proofErr w:type="spellEnd"/>
      <w:r w:rsidRPr="00F636D1">
        <w:t>, ja norādīts uz virkni apstākļ</w:t>
      </w:r>
      <w:r w:rsidR="00102FD1" w:rsidRPr="00F636D1">
        <w:t>iem</w:t>
      </w:r>
      <w:r w:rsidRPr="00F636D1">
        <w:t xml:space="preserve">, kas liecina par atbildētāju mērķtiecīgām darbībām panākt prasītāju maksātnespējas procesu ierosināšanu. </w:t>
      </w:r>
    </w:p>
    <w:p w14:paraId="1B9FEBDB" w14:textId="7A647465" w:rsidR="00097B13" w:rsidRPr="00F636D1" w:rsidRDefault="00097B13" w:rsidP="00F636D1">
      <w:pPr>
        <w:pStyle w:val="NormalWeb"/>
        <w:shd w:val="clear" w:color="auto" w:fill="FFFFFF"/>
        <w:spacing w:before="0" w:beforeAutospacing="0" w:after="0" w:afterAutospacing="0" w:line="276" w:lineRule="auto"/>
        <w:ind w:firstLine="720"/>
        <w:jc w:val="both"/>
      </w:pPr>
      <w:r w:rsidRPr="00F636D1">
        <w:t>Tāpat tiesa nav vērtējusi</w:t>
      </w:r>
      <w:r w:rsidR="000747EF" w:rsidRPr="00F636D1">
        <w:t>,</w:t>
      </w:r>
      <w:r w:rsidRPr="00F636D1">
        <w:t xml:space="preserve"> vai cesijas maksas apmērs kopsakarā ar pārējiem lietas apstākļiem tomēr neliecina, ka cesijas mērķis ir</w:t>
      </w:r>
      <w:r w:rsidR="000747EF" w:rsidRPr="00F636D1">
        <w:t xml:space="preserve"> Maksātnespējas</w:t>
      </w:r>
      <w:r w:rsidRPr="00F636D1">
        <w:t xml:space="preserve"> liku</w:t>
      </w:r>
      <w:r w:rsidR="000747EF" w:rsidRPr="00F636D1">
        <w:t>mā noteiktā ierobežojuma</w:t>
      </w:r>
      <w:r w:rsidRPr="00F636D1">
        <w:t xml:space="preserve"> apiešana. </w:t>
      </w:r>
      <w:r w:rsidR="0071446F" w:rsidRPr="00F636D1">
        <w:t xml:space="preserve">Tiesai arī bija pienākums atturēties no vispārinātu un ārpus prasības priekšmeta un pamata esošu apgalvojumu norādīšanas. Tādēļ tai nevajadzēja </w:t>
      </w:r>
      <w:r w:rsidR="0071446F" w:rsidRPr="00F636D1">
        <w:lastRenderedPageBreak/>
        <w:t xml:space="preserve">izteikt vērtējumu </w:t>
      </w:r>
      <w:proofErr w:type="gramStart"/>
      <w:r w:rsidR="0071446F" w:rsidRPr="00F636D1">
        <w:t>par aizdevuma līguma un kredītlīnijas</w:t>
      </w:r>
      <w:proofErr w:type="gramEnd"/>
      <w:r w:rsidR="0071446F" w:rsidRPr="00F636D1">
        <w:t xml:space="preserve"> līguma spēkā esību un saistību apmēru.  </w:t>
      </w:r>
    </w:p>
    <w:p w14:paraId="3FF43358" w14:textId="77777777" w:rsidR="008D0C10" w:rsidRPr="00F636D1" w:rsidRDefault="008D0C10" w:rsidP="00F636D1">
      <w:pPr>
        <w:pStyle w:val="NormalWeb"/>
        <w:shd w:val="clear" w:color="auto" w:fill="FFFFFF"/>
        <w:spacing w:before="0" w:beforeAutospacing="0" w:after="0" w:afterAutospacing="0" w:line="276" w:lineRule="auto"/>
        <w:ind w:firstLine="720"/>
        <w:jc w:val="both"/>
      </w:pPr>
    </w:p>
    <w:p w14:paraId="3FC86FC7" w14:textId="2293A87D" w:rsidR="008D0C10" w:rsidRPr="00F636D1" w:rsidRDefault="008D0C10" w:rsidP="00F636D1">
      <w:pPr>
        <w:spacing w:line="276" w:lineRule="auto"/>
        <w:jc w:val="center"/>
        <w:rPr>
          <w:rFonts w:cs="Times New Roman"/>
          <w:b/>
          <w:szCs w:val="24"/>
        </w:rPr>
      </w:pPr>
      <w:r w:rsidRPr="00F636D1">
        <w:rPr>
          <w:rFonts w:cs="Times New Roman"/>
          <w:b/>
          <w:szCs w:val="24"/>
        </w:rPr>
        <w:t>Motīvu daļa</w:t>
      </w:r>
    </w:p>
    <w:p w14:paraId="23E4319C" w14:textId="77777777" w:rsidR="008D0C10" w:rsidRPr="00F636D1" w:rsidRDefault="008D0C10" w:rsidP="00F636D1">
      <w:pPr>
        <w:spacing w:line="276" w:lineRule="auto"/>
        <w:jc w:val="center"/>
        <w:rPr>
          <w:rFonts w:cs="Times New Roman"/>
          <w:b/>
          <w:szCs w:val="24"/>
        </w:rPr>
      </w:pPr>
    </w:p>
    <w:p w14:paraId="79935C9A" w14:textId="6E2205F1" w:rsidR="008D0C10" w:rsidRPr="00F636D1" w:rsidRDefault="008D0C10" w:rsidP="00F636D1">
      <w:pPr>
        <w:spacing w:line="276" w:lineRule="auto"/>
        <w:ind w:firstLine="709"/>
        <w:jc w:val="both"/>
        <w:rPr>
          <w:rFonts w:cs="Times New Roman"/>
          <w:bCs/>
          <w:szCs w:val="24"/>
        </w:rPr>
      </w:pPr>
      <w:r w:rsidRPr="00F636D1">
        <w:rPr>
          <w:rFonts w:cs="Times New Roman"/>
          <w:bCs/>
          <w:szCs w:val="24"/>
        </w:rPr>
        <w:t xml:space="preserve">[6] Pārbaudot apelācijas instances tiesas sprieduma likumību attiecībā uz kasācijas sūdzības argumentiem, Senāts atzīst, ka spriedums ir atstājams negrozīts. </w:t>
      </w:r>
    </w:p>
    <w:p w14:paraId="255484DF" w14:textId="77777777" w:rsidR="008D0C10" w:rsidRPr="00F636D1" w:rsidRDefault="008D0C10" w:rsidP="00F636D1">
      <w:pPr>
        <w:spacing w:line="276" w:lineRule="auto"/>
        <w:ind w:firstLine="720"/>
        <w:jc w:val="both"/>
        <w:rPr>
          <w:rFonts w:cs="Times New Roman"/>
          <w:bCs/>
          <w:szCs w:val="24"/>
        </w:rPr>
      </w:pPr>
    </w:p>
    <w:p w14:paraId="54E16CFB" w14:textId="351359B4" w:rsidR="00BF2D2E" w:rsidRPr="00F636D1" w:rsidRDefault="009F157D" w:rsidP="00F636D1">
      <w:pPr>
        <w:spacing w:line="276" w:lineRule="auto"/>
        <w:ind w:firstLine="720"/>
        <w:jc w:val="both"/>
        <w:rPr>
          <w:rFonts w:cs="Times New Roman"/>
          <w:bCs/>
          <w:szCs w:val="24"/>
        </w:rPr>
      </w:pPr>
      <w:r w:rsidRPr="00F636D1">
        <w:rPr>
          <w:rFonts w:cs="Times New Roman"/>
          <w:bCs/>
          <w:szCs w:val="24"/>
        </w:rPr>
        <w:t xml:space="preserve">[7] </w:t>
      </w:r>
      <w:r w:rsidR="00D6211D" w:rsidRPr="00F636D1">
        <w:rPr>
          <w:rFonts w:cs="Times New Roman"/>
          <w:bCs/>
          <w:szCs w:val="24"/>
        </w:rPr>
        <w:t xml:space="preserve">Kasācijas sūdzības iesniedzēju ieskatā </w:t>
      </w:r>
      <w:r w:rsidR="004977E9" w:rsidRPr="00F636D1">
        <w:rPr>
          <w:rFonts w:cs="Times New Roman"/>
          <w:bCs/>
          <w:szCs w:val="24"/>
        </w:rPr>
        <w:t xml:space="preserve">Civillikuma un Maksātnespējas likuma normas, kuras tiesa piemērojusi nepareizi, </w:t>
      </w:r>
      <w:r w:rsidR="00BF2D2E" w:rsidRPr="00F636D1">
        <w:rPr>
          <w:rFonts w:cs="Times New Roman"/>
          <w:bCs/>
          <w:szCs w:val="24"/>
        </w:rPr>
        <w:t>liedz</w:t>
      </w:r>
      <w:r w:rsidR="004977E9" w:rsidRPr="00F636D1">
        <w:rPr>
          <w:rFonts w:cs="Times New Roman"/>
          <w:bCs/>
          <w:szCs w:val="24"/>
        </w:rPr>
        <w:t xml:space="preserve"> </w:t>
      </w:r>
      <w:r w:rsidR="00FE573D" w:rsidRPr="00F636D1">
        <w:rPr>
          <w:rFonts w:cs="Times New Roman"/>
          <w:bCs/>
          <w:szCs w:val="24"/>
        </w:rPr>
        <w:t>SIA </w:t>
      </w:r>
      <w:r w:rsidR="004977E9" w:rsidRPr="00F636D1">
        <w:rPr>
          <w:rFonts w:cs="Times New Roman"/>
          <w:bCs/>
          <w:szCs w:val="24"/>
        </w:rPr>
        <w:t>,,</w:t>
      </w:r>
      <w:proofErr w:type="spellStart"/>
      <w:r w:rsidR="004977E9" w:rsidRPr="00F636D1">
        <w:rPr>
          <w:rFonts w:cs="Times New Roman"/>
          <w:bCs/>
          <w:szCs w:val="24"/>
        </w:rPr>
        <w:t>GelvoraSergel</w:t>
      </w:r>
      <w:proofErr w:type="spellEnd"/>
      <w:r w:rsidR="004977E9" w:rsidRPr="00F636D1">
        <w:rPr>
          <w:rFonts w:cs="Times New Roman"/>
          <w:bCs/>
          <w:szCs w:val="24"/>
        </w:rPr>
        <w:t>”</w:t>
      </w:r>
      <w:r w:rsidR="00D6211D" w:rsidRPr="00F636D1">
        <w:rPr>
          <w:rFonts w:cs="Times New Roman"/>
          <w:bCs/>
          <w:szCs w:val="24"/>
        </w:rPr>
        <w:t xml:space="preserve"> </w:t>
      </w:r>
      <w:r w:rsidR="00BF2D2E" w:rsidRPr="00F636D1">
        <w:rPr>
          <w:rFonts w:cs="Times New Roman"/>
          <w:bCs/>
          <w:szCs w:val="24"/>
        </w:rPr>
        <w:t>cedēt prasījuma tiesības</w:t>
      </w:r>
      <w:r w:rsidR="00D6211D" w:rsidRPr="00F636D1">
        <w:rPr>
          <w:rFonts w:cs="Times New Roman"/>
          <w:bCs/>
          <w:szCs w:val="24"/>
        </w:rPr>
        <w:t xml:space="preserve"> </w:t>
      </w:r>
      <w:r w:rsidR="00FE573D" w:rsidRPr="00F636D1">
        <w:rPr>
          <w:rFonts w:cs="Times New Roman"/>
          <w:bCs/>
          <w:szCs w:val="24"/>
        </w:rPr>
        <w:t>SIA</w:t>
      </w:r>
      <w:r w:rsidR="002C2504" w:rsidRPr="00F636D1">
        <w:rPr>
          <w:rFonts w:cs="Times New Roman"/>
          <w:bCs/>
          <w:szCs w:val="24"/>
        </w:rPr>
        <w:t> </w:t>
      </w:r>
      <w:r w:rsidR="000D78AB" w:rsidRPr="00F636D1">
        <w:rPr>
          <w:rFonts w:cs="Times New Roman"/>
          <w:szCs w:val="24"/>
        </w:rPr>
        <w:t xml:space="preserve">[firma] </w:t>
      </w:r>
      <w:r w:rsidR="00BF2D2E" w:rsidRPr="00F636D1">
        <w:rPr>
          <w:rFonts w:cs="Times New Roman"/>
          <w:bCs/>
          <w:szCs w:val="24"/>
        </w:rPr>
        <w:t>nenododot prasījumu nodrošinājumus,</w:t>
      </w:r>
      <w:r w:rsidR="00FE573D" w:rsidRPr="00F636D1">
        <w:rPr>
          <w:rFonts w:cs="Times New Roman"/>
          <w:bCs/>
          <w:szCs w:val="24"/>
        </w:rPr>
        <w:t xml:space="preserve"> jo tādā veidā </w:t>
      </w:r>
      <w:r w:rsidR="00DF6E18" w:rsidRPr="00F636D1">
        <w:rPr>
          <w:rFonts w:cs="Times New Roman"/>
          <w:bCs/>
          <w:szCs w:val="24"/>
        </w:rPr>
        <w:t>SIA</w:t>
      </w:r>
      <w:r w:rsidR="002C2504" w:rsidRPr="00F636D1">
        <w:rPr>
          <w:rFonts w:cs="Times New Roman"/>
          <w:bCs/>
          <w:szCs w:val="24"/>
        </w:rPr>
        <w:t> </w:t>
      </w:r>
      <w:r w:rsidR="002C2504" w:rsidRPr="00F636D1">
        <w:rPr>
          <w:rFonts w:cs="Times New Roman"/>
          <w:szCs w:val="24"/>
        </w:rPr>
        <w:t xml:space="preserve">[firma] </w:t>
      </w:r>
      <w:r w:rsidR="00FE573D" w:rsidRPr="00F636D1">
        <w:rPr>
          <w:rFonts w:cs="Times New Roman"/>
          <w:bCs/>
          <w:szCs w:val="24"/>
        </w:rPr>
        <w:t>prettiesiski kļuvusi par nenodrošināto kreditor</w:t>
      </w:r>
      <w:r w:rsidR="005824A1" w:rsidRPr="00F636D1">
        <w:rPr>
          <w:rFonts w:cs="Times New Roman"/>
          <w:bCs/>
          <w:szCs w:val="24"/>
        </w:rPr>
        <w:t>i</w:t>
      </w:r>
      <w:r w:rsidR="00FE573D" w:rsidRPr="00F636D1">
        <w:rPr>
          <w:rFonts w:cs="Times New Roman"/>
          <w:bCs/>
          <w:szCs w:val="24"/>
        </w:rPr>
        <w:t xml:space="preserve">, iegūstot iespēju </w:t>
      </w:r>
      <w:r w:rsidR="00D6211D" w:rsidRPr="00F636D1">
        <w:rPr>
          <w:rFonts w:cs="Times New Roman"/>
          <w:bCs/>
          <w:szCs w:val="24"/>
        </w:rPr>
        <w:t>iesniegt parādnieču SIA</w:t>
      </w:r>
      <w:r w:rsidR="000E03C1" w:rsidRPr="00F636D1">
        <w:rPr>
          <w:rFonts w:cs="Times New Roman"/>
          <w:bCs/>
          <w:szCs w:val="24"/>
        </w:rPr>
        <w:t> </w:t>
      </w:r>
      <w:r w:rsidR="00D6211D" w:rsidRPr="00F636D1">
        <w:rPr>
          <w:rFonts w:cs="Times New Roman"/>
          <w:bCs/>
          <w:szCs w:val="24"/>
        </w:rPr>
        <w:t>,,LAFIKO.LV”</w:t>
      </w:r>
      <w:r w:rsidR="000E03C1" w:rsidRPr="00F636D1">
        <w:rPr>
          <w:rFonts w:cs="Times New Roman"/>
          <w:bCs/>
          <w:szCs w:val="24"/>
        </w:rPr>
        <w:t xml:space="preserve"> un AS</w:t>
      </w:r>
      <w:r w:rsidR="002C2504" w:rsidRPr="00F636D1">
        <w:rPr>
          <w:rFonts w:cs="Times New Roman"/>
          <w:bCs/>
          <w:szCs w:val="24"/>
        </w:rPr>
        <w:t> </w:t>
      </w:r>
      <w:r w:rsidR="000E03C1" w:rsidRPr="00F636D1">
        <w:rPr>
          <w:rFonts w:cs="Times New Roman"/>
          <w:bCs/>
          <w:szCs w:val="24"/>
        </w:rPr>
        <w:t xml:space="preserve">,,Latgales finanšu kompānija” </w:t>
      </w:r>
      <w:r w:rsidR="00D6211D" w:rsidRPr="00F636D1">
        <w:rPr>
          <w:rFonts w:cs="Times New Roman"/>
          <w:bCs/>
          <w:szCs w:val="24"/>
        </w:rPr>
        <w:t>maksātnespējas pieteikumus</w:t>
      </w:r>
      <w:r w:rsidR="00FE573D" w:rsidRPr="00F636D1">
        <w:rPr>
          <w:rFonts w:cs="Times New Roman"/>
          <w:bCs/>
          <w:szCs w:val="24"/>
        </w:rPr>
        <w:t>.</w:t>
      </w:r>
      <w:r w:rsidR="00D6211D" w:rsidRPr="00F636D1">
        <w:rPr>
          <w:rFonts w:cs="Times New Roman"/>
          <w:bCs/>
          <w:szCs w:val="24"/>
        </w:rPr>
        <w:t xml:space="preserve"> Turpmāk minēto iemeslu dēļ Senāts minētos kasācijas sūdzības argumentus uzskata par nepamatotiem</w:t>
      </w:r>
      <w:r w:rsidR="00BF2D2E" w:rsidRPr="00F636D1">
        <w:rPr>
          <w:rFonts w:cs="Times New Roman"/>
          <w:bCs/>
          <w:szCs w:val="24"/>
        </w:rPr>
        <w:t>,</w:t>
      </w:r>
      <w:r w:rsidR="00CA3F5C" w:rsidRPr="00F636D1">
        <w:rPr>
          <w:rFonts w:cs="Times New Roman"/>
          <w:bCs/>
          <w:szCs w:val="24"/>
        </w:rPr>
        <w:t xml:space="preserve"> jo tie</w:t>
      </w:r>
      <w:r w:rsidR="00BF2D2E" w:rsidRPr="00F636D1">
        <w:rPr>
          <w:rFonts w:cs="Times New Roman"/>
          <w:bCs/>
          <w:szCs w:val="24"/>
        </w:rPr>
        <w:t xml:space="preserve"> </w:t>
      </w:r>
      <w:r w:rsidR="00D6211D" w:rsidRPr="00F636D1">
        <w:rPr>
          <w:rFonts w:cs="Times New Roman"/>
          <w:bCs/>
          <w:szCs w:val="24"/>
        </w:rPr>
        <w:t>neatbilst Civillikuma un Maksātnespējas likuma regulējumam</w:t>
      </w:r>
      <w:r w:rsidR="002C2504" w:rsidRPr="00F636D1">
        <w:rPr>
          <w:rFonts w:cs="Times New Roman"/>
          <w:bCs/>
          <w:szCs w:val="24"/>
        </w:rPr>
        <w:t>.</w:t>
      </w:r>
    </w:p>
    <w:p w14:paraId="62817F91" w14:textId="77777777" w:rsidR="004D7847" w:rsidRPr="00F636D1" w:rsidRDefault="004D7847" w:rsidP="00F636D1">
      <w:pPr>
        <w:spacing w:line="276" w:lineRule="auto"/>
        <w:ind w:firstLine="720"/>
        <w:jc w:val="both"/>
        <w:rPr>
          <w:rFonts w:cs="Times New Roman"/>
          <w:bCs/>
          <w:szCs w:val="24"/>
        </w:rPr>
      </w:pPr>
    </w:p>
    <w:p w14:paraId="058880EB" w14:textId="3D5B11CD" w:rsidR="007E6497" w:rsidRPr="00F636D1" w:rsidRDefault="00BF2D2E" w:rsidP="00F636D1">
      <w:pPr>
        <w:spacing w:line="276" w:lineRule="auto"/>
        <w:ind w:firstLine="720"/>
        <w:jc w:val="both"/>
        <w:rPr>
          <w:rFonts w:cs="Times New Roman"/>
          <w:bCs/>
          <w:szCs w:val="24"/>
        </w:rPr>
      </w:pPr>
      <w:r w:rsidRPr="00F636D1">
        <w:rPr>
          <w:rFonts w:cs="Times New Roman"/>
          <w:bCs/>
          <w:szCs w:val="24"/>
        </w:rPr>
        <w:t>[</w:t>
      </w:r>
      <w:r w:rsidR="004D7847" w:rsidRPr="00F636D1">
        <w:rPr>
          <w:rFonts w:cs="Times New Roman"/>
          <w:bCs/>
          <w:szCs w:val="24"/>
        </w:rPr>
        <w:t>8</w:t>
      </w:r>
      <w:r w:rsidRPr="00F636D1">
        <w:rPr>
          <w:rFonts w:cs="Times New Roman"/>
          <w:bCs/>
          <w:szCs w:val="24"/>
        </w:rPr>
        <w:t xml:space="preserve">] </w:t>
      </w:r>
      <w:r w:rsidR="00E524A1" w:rsidRPr="00F636D1">
        <w:rPr>
          <w:rFonts w:cs="Times New Roman"/>
          <w:bCs/>
          <w:szCs w:val="24"/>
        </w:rPr>
        <w:t xml:space="preserve">Cedētā prasījuma un tam piederīgo tiesību pāreju no cedenta cesionāram regulē Civillikuma 1806. pants. Saskaņā ar tā </w:t>
      </w:r>
      <w:r w:rsidRPr="00F636D1">
        <w:rPr>
          <w:rFonts w:cs="Times New Roman"/>
          <w:bCs/>
          <w:szCs w:val="24"/>
        </w:rPr>
        <w:t xml:space="preserve">pirmo daļu </w:t>
      </w:r>
      <w:r w:rsidR="00BB5CA7" w:rsidRPr="00F636D1">
        <w:rPr>
          <w:rFonts w:cs="Times New Roman"/>
          <w:bCs/>
          <w:szCs w:val="24"/>
        </w:rPr>
        <w:t xml:space="preserve">cesionārs gan neiegūst ar cesiju vairāk un lielākas tiesības, nekā bijušas cedentam, bet pats prasījums pāriet uz viņu ar visām pie tā piederīgām un cesijas brīdī jau pastāvošām tiesībām, pat arī tad, ja tās būtu pamatotas uz personīgu labvēlību pret cedentu, ciktāl par tām nav tieši noteikts izņēmums no šā noteikuma. </w:t>
      </w:r>
    </w:p>
    <w:p w14:paraId="785A38E2" w14:textId="2B33E35B" w:rsidR="00CD2239" w:rsidRPr="00F636D1" w:rsidRDefault="007E6497" w:rsidP="00F636D1">
      <w:pPr>
        <w:spacing w:line="276" w:lineRule="auto"/>
        <w:jc w:val="both"/>
        <w:rPr>
          <w:rFonts w:cs="Times New Roman"/>
          <w:bCs/>
          <w:szCs w:val="24"/>
        </w:rPr>
      </w:pPr>
      <w:r w:rsidRPr="00F636D1">
        <w:rPr>
          <w:rFonts w:cs="Times New Roman"/>
          <w:bCs/>
          <w:szCs w:val="24"/>
        </w:rPr>
        <w:tab/>
      </w:r>
      <w:r w:rsidR="00056EDC" w:rsidRPr="00F636D1">
        <w:rPr>
          <w:rFonts w:cs="Times New Roman"/>
          <w:bCs/>
          <w:szCs w:val="24"/>
        </w:rPr>
        <w:t xml:space="preserve">[8.1] </w:t>
      </w:r>
      <w:r w:rsidR="00132AB9" w:rsidRPr="00F636D1">
        <w:rPr>
          <w:rFonts w:cs="Times New Roman"/>
          <w:bCs/>
          <w:szCs w:val="24"/>
        </w:rPr>
        <w:t>C</w:t>
      </w:r>
      <w:r w:rsidRPr="00F636D1">
        <w:rPr>
          <w:rFonts w:cs="Times New Roman"/>
          <w:bCs/>
          <w:szCs w:val="24"/>
        </w:rPr>
        <w:t xml:space="preserve">edētais prasījums, kas bijis nodrošināts, </w:t>
      </w:r>
      <w:r w:rsidR="00E524A1" w:rsidRPr="00F636D1">
        <w:rPr>
          <w:rFonts w:cs="Times New Roman"/>
          <w:bCs/>
          <w:szCs w:val="24"/>
        </w:rPr>
        <w:t>k</w:t>
      </w:r>
      <w:r w:rsidR="00132AB9" w:rsidRPr="00F636D1">
        <w:rPr>
          <w:rFonts w:cs="Times New Roman"/>
          <w:bCs/>
          <w:szCs w:val="24"/>
        </w:rPr>
        <w:t>asācijas sūdzības iesniedzēj</w:t>
      </w:r>
      <w:r w:rsidR="005824A1" w:rsidRPr="00F636D1">
        <w:rPr>
          <w:rFonts w:cs="Times New Roman"/>
          <w:bCs/>
          <w:szCs w:val="24"/>
        </w:rPr>
        <w:t>u</w:t>
      </w:r>
      <w:r w:rsidR="00132AB9" w:rsidRPr="00F636D1">
        <w:rPr>
          <w:rFonts w:cs="Times New Roman"/>
          <w:bCs/>
          <w:szCs w:val="24"/>
        </w:rPr>
        <w:t xml:space="preserve"> ieskatā </w:t>
      </w:r>
      <w:r w:rsidRPr="00F636D1">
        <w:rPr>
          <w:rFonts w:cs="Times New Roman"/>
          <w:bCs/>
          <w:szCs w:val="24"/>
        </w:rPr>
        <w:t>var kļūt par nenodrošinātu prasījumu tikai tad, kad ir veiktas un reģistrētas izmaiņas komercķīlas un hipotēkas līgumos. Šajā sakarā Senāts norāda, ka saskaņā ar</w:t>
      </w:r>
      <w:r w:rsidR="00097A2C" w:rsidRPr="00F636D1">
        <w:rPr>
          <w:rFonts w:cs="Times New Roman"/>
          <w:bCs/>
          <w:szCs w:val="24"/>
        </w:rPr>
        <w:t xml:space="preserve"> jau ilgstoši pastāvošām</w:t>
      </w:r>
      <w:r w:rsidRPr="00F636D1">
        <w:rPr>
          <w:rFonts w:cs="Times New Roman"/>
          <w:bCs/>
          <w:szCs w:val="24"/>
        </w:rPr>
        <w:t xml:space="preserve"> tiesību doktrīnas atziņām Civillikuma 1806. panta pirmās daļas vārd</w:t>
      </w:r>
      <w:r w:rsidR="00097A2C" w:rsidRPr="00F636D1">
        <w:rPr>
          <w:rFonts w:cs="Times New Roman"/>
          <w:bCs/>
          <w:szCs w:val="24"/>
        </w:rPr>
        <w:t>os</w:t>
      </w:r>
      <w:r w:rsidRPr="00F636D1">
        <w:rPr>
          <w:rFonts w:cs="Times New Roman"/>
          <w:bCs/>
          <w:szCs w:val="24"/>
        </w:rPr>
        <w:t xml:space="preserve"> „ciktāl par tām nav tieši noteikts izņēmums </w:t>
      </w:r>
      <w:r w:rsidR="00097A2C" w:rsidRPr="00F636D1">
        <w:rPr>
          <w:rFonts w:cs="Times New Roman"/>
          <w:bCs/>
          <w:szCs w:val="24"/>
        </w:rPr>
        <w:t xml:space="preserve">no šā noteikuma” nostiprināts izņēmums, kas ļauj cedentam un cesionāram vienoties par to, ka </w:t>
      </w:r>
      <w:r w:rsidR="00396ECB" w:rsidRPr="00F636D1">
        <w:rPr>
          <w:rFonts w:cs="Times New Roman"/>
          <w:bCs/>
          <w:szCs w:val="24"/>
        </w:rPr>
        <w:t xml:space="preserve">cesionāram </w:t>
      </w:r>
      <w:r w:rsidR="00097A2C" w:rsidRPr="00F636D1">
        <w:rPr>
          <w:rFonts w:cs="Times New Roman"/>
          <w:bCs/>
          <w:szCs w:val="24"/>
        </w:rPr>
        <w:t xml:space="preserve">prasījums pāriet arī bez tam piederīgām cesijas brīdī jau pastāvošām tiesībām. </w:t>
      </w:r>
    </w:p>
    <w:p w14:paraId="0CED5BD8" w14:textId="7C73D309" w:rsidR="00132AB9" w:rsidRPr="00F636D1" w:rsidRDefault="00097A2C" w:rsidP="00F636D1">
      <w:pPr>
        <w:spacing w:line="276" w:lineRule="auto"/>
        <w:ind w:firstLine="720"/>
        <w:jc w:val="both"/>
        <w:rPr>
          <w:rFonts w:cs="Times New Roman"/>
          <w:bCs/>
          <w:szCs w:val="24"/>
        </w:rPr>
      </w:pPr>
      <w:r w:rsidRPr="00F636D1">
        <w:rPr>
          <w:rFonts w:cs="Times New Roman"/>
          <w:bCs/>
          <w:szCs w:val="24"/>
        </w:rPr>
        <w:t xml:space="preserve">Profesors Karls </w:t>
      </w:r>
      <w:proofErr w:type="spellStart"/>
      <w:r w:rsidRPr="00F636D1">
        <w:rPr>
          <w:rFonts w:cs="Times New Roman"/>
          <w:bCs/>
          <w:szCs w:val="24"/>
        </w:rPr>
        <w:t>Erdmans</w:t>
      </w:r>
      <w:proofErr w:type="spellEnd"/>
      <w:r w:rsidRPr="00F636D1">
        <w:rPr>
          <w:rFonts w:cs="Times New Roman"/>
          <w:bCs/>
          <w:szCs w:val="24"/>
        </w:rPr>
        <w:t>, raksturojot Baltijas Civillikuma 3477. panta regulējumu</w:t>
      </w:r>
      <w:r w:rsidR="00396ECB" w:rsidRPr="00F636D1">
        <w:rPr>
          <w:rFonts w:cs="Times New Roman"/>
          <w:bCs/>
          <w:szCs w:val="24"/>
        </w:rPr>
        <w:t>, kas ir Civillikuma</w:t>
      </w:r>
      <w:r w:rsidR="002C2504" w:rsidRPr="00F636D1">
        <w:rPr>
          <w:rFonts w:cs="Times New Roman"/>
          <w:bCs/>
          <w:szCs w:val="24"/>
        </w:rPr>
        <w:t xml:space="preserve"> </w:t>
      </w:r>
      <w:r w:rsidR="00396ECB" w:rsidRPr="00F636D1">
        <w:rPr>
          <w:rFonts w:cs="Times New Roman"/>
          <w:bCs/>
          <w:szCs w:val="24"/>
        </w:rPr>
        <w:t>1806.</w:t>
      </w:r>
      <w:r w:rsidR="002C2504" w:rsidRPr="00F636D1">
        <w:rPr>
          <w:rFonts w:cs="Times New Roman"/>
          <w:bCs/>
          <w:szCs w:val="24"/>
        </w:rPr>
        <w:t> </w:t>
      </w:r>
      <w:r w:rsidR="00396ECB" w:rsidRPr="00F636D1">
        <w:rPr>
          <w:rFonts w:cs="Times New Roman"/>
          <w:bCs/>
          <w:szCs w:val="24"/>
        </w:rPr>
        <w:t xml:space="preserve">panta pirmās daļas noteikumu pamatā, </w:t>
      </w:r>
      <w:r w:rsidRPr="00F636D1">
        <w:rPr>
          <w:rFonts w:cs="Times New Roman"/>
          <w:bCs/>
          <w:szCs w:val="24"/>
        </w:rPr>
        <w:t xml:space="preserve">ir norādījis uz tiesisku iespēju cesijas līgumā tieši noteikt, ka prasījumam piederīgās tiesības, proti, ķīlas tiesības un galvojumi, kā arī privilēģijas un priekšrocības, </w:t>
      </w:r>
      <w:r w:rsidR="00396ECB" w:rsidRPr="00F636D1">
        <w:rPr>
          <w:rFonts w:cs="Times New Roman"/>
          <w:bCs/>
          <w:szCs w:val="24"/>
        </w:rPr>
        <w:t xml:space="preserve">uz cesionāru nepāriet </w:t>
      </w:r>
      <w:proofErr w:type="gramStart"/>
      <w:r w:rsidR="00396ECB" w:rsidRPr="00F636D1">
        <w:rPr>
          <w:rFonts w:cs="Times New Roman"/>
          <w:bCs/>
          <w:szCs w:val="24"/>
        </w:rPr>
        <w:t>(</w:t>
      </w:r>
      <w:proofErr w:type="gramEnd"/>
      <w:r w:rsidR="00396ECB" w:rsidRPr="00F636D1">
        <w:rPr>
          <w:rFonts w:cs="Times New Roman"/>
          <w:bCs/>
          <w:szCs w:val="24"/>
        </w:rPr>
        <w:t>sk.</w:t>
      </w:r>
      <w:r w:rsidR="00CD2239" w:rsidRPr="00F636D1">
        <w:rPr>
          <w:rFonts w:cs="Times New Roman"/>
          <w:bCs/>
          <w:szCs w:val="24"/>
        </w:rPr>
        <w:t> </w:t>
      </w:r>
      <w:proofErr w:type="spellStart"/>
      <w:r w:rsidR="00396ECB" w:rsidRPr="00F636D1">
        <w:rPr>
          <w:rFonts w:cs="Times New Roman"/>
          <w:bCs/>
          <w:i/>
          <w:iCs/>
          <w:szCs w:val="24"/>
        </w:rPr>
        <w:t>Erdmann</w:t>
      </w:r>
      <w:proofErr w:type="spellEnd"/>
      <w:r w:rsidR="00396ECB" w:rsidRPr="00F636D1">
        <w:rPr>
          <w:rFonts w:cs="Times New Roman"/>
          <w:bCs/>
          <w:i/>
          <w:iCs/>
          <w:szCs w:val="24"/>
        </w:rPr>
        <w:t xml:space="preserve"> C. </w:t>
      </w:r>
      <w:proofErr w:type="spellStart"/>
      <w:r w:rsidR="00396ECB" w:rsidRPr="00F636D1">
        <w:rPr>
          <w:rFonts w:cs="Times New Roman"/>
          <w:bCs/>
          <w:i/>
          <w:iCs/>
          <w:szCs w:val="24"/>
        </w:rPr>
        <w:t>System</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des</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Privatrechts</w:t>
      </w:r>
      <w:proofErr w:type="spellEnd"/>
      <w:r w:rsidR="00396ECB" w:rsidRPr="00F636D1">
        <w:rPr>
          <w:rFonts w:cs="Times New Roman"/>
          <w:bCs/>
          <w:i/>
          <w:iCs/>
          <w:szCs w:val="24"/>
        </w:rPr>
        <w:t xml:space="preserve"> der </w:t>
      </w:r>
      <w:proofErr w:type="spellStart"/>
      <w:r w:rsidR="00396ECB" w:rsidRPr="00F636D1">
        <w:rPr>
          <w:rFonts w:cs="Times New Roman"/>
          <w:bCs/>
          <w:i/>
          <w:iCs/>
          <w:szCs w:val="24"/>
        </w:rPr>
        <w:t>Ostseeprovinzen</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Liv-,</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Est-</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und</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Curland</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Vierter</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Band</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Obligationenrecht</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Riga</w:t>
      </w:r>
      <w:proofErr w:type="spellEnd"/>
      <w:r w:rsidR="00396ECB" w:rsidRPr="00F636D1">
        <w:rPr>
          <w:rFonts w:cs="Times New Roman"/>
          <w:bCs/>
          <w:i/>
          <w:iCs/>
          <w:szCs w:val="24"/>
        </w:rPr>
        <w:t>: A. </w:t>
      </w:r>
      <w:proofErr w:type="spellStart"/>
      <w:r w:rsidR="00396ECB" w:rsidRPr="00F636D1">
        <w:rPr>
          <w:rFonts w:cs="Times New Roman"/>
          <w:bCs/>
          <w:i/>
          <w:iCs/>
          <w:szCs w:val="24"/>
        </w:rPr>
        <w:t>Kymmel’s</w:t>
      </w:r>
      <w:proofErr w:type="spellEnd"/>
      <w:r w:rsidR="00396ECB" w:rsidRPr="00F636D1">
        <w:rPr>
          <w:rFonts w:cs="Times New Roman"/>
          <w:bCs/>
          <w:i/>
          <w:iCs/>
          <w:szCs w:val="24"/>
        </w:rPr>
        <w:t xml:space="preserve"> </w:t>
      </w:r>
      <w:proofErr w:type="spellStart"/>
      <w:r w:rsidR="00396ECB" w:rsidRPr="00F636D1">
        <w:rPr>
          <w:rFonts w:cs="Times New Roman"/>
          <w:bCs/>
          <w:i/>
          <w:iCs/>
          <w:szCs w:val="24"/>
        </w:rPr>
        <w:t>Verlag</w:t>
      </w:r>
      <w:proofErr w:type="spellEnd"/>
      <w:r w:rsidR="00396ECB" w:rsidRPr="00F636D1">
        <w:rPr>
          <w:rFonts w:cs="Times New Roman"/>
          <w:bCs/>
          <w:i/>
          <w:iCs/>
          <w:szCs w:val="24"/>
        </w:rPr>
        <w:t>, 1894, S. 194</w:t>
      </w:r>
      <w:r w:rsidR="00396ECB" w:rsidRPr="00F636D1">
        <w:rPr>
          <w:rFonts w:cs="Times New Roman"/>
          <w:bCs/>
          <w:szCs w:val="24"/>
        </w:rPr>
        <w:t xml:space="preserve">). </w:t>
      </w:r>
      <w:r w:rsidR="00512767" w:rsidRPr="00F636D1">
        <w:rPr>
          <w:rFonts w:cs="Times New Roman"/>
          <w:bCs/>
          <w:szCs w:val="24"/>
        </w:rPr>
        <w:t>Arī Civillikuma saistību tiesību daļas komentāros ir atzīts, ka cesijas līgumā var noteikt dažādus izņēmumus, saskaņā ar kuriem uz cesionāru pāriet tikai daļa vai arī tikai atsevišķas pie prasījuma piederīgas tiesības (sk.</w:t>
      </w:r>
      <w:r w:rsidR="007C4E98" w:rsidRPr="00F636D1">
        <w:rPr>
          <w:rFonts w:cs="Times New Roman"/>
          <w:bCs/>
          <w:szCs w:val="24"/>
        </w:rPr>
        <w:t> </w:t>
      </w:r>
      <w:r w:rsidR="007C4E98" w:rsidRPr="00F636D1">
        <w:rPr>
          <w:rFonts w:cs="Times New Roman"/>
          <w:bCs/>
          <w:i/>
          <w:iCs/>
          <w:szCs w:val="24"/>
        </w:rPr>
        <w:t>Latvijas Republikas Civillikuma komentāri. Ceturtā daļa. Saistību tiesības. Autoru kolektīvs prof. K. Torgāna vispārīgā zinātniskā redakcijā. Rīga: Mans īpašums. Otrais izdevums, 2000, 305. lpp.</w:t>
      </w:r>
      <w:r w:rsidR="007C4E98" w:rsidRPr="00F636D1">
        <w:rPr>
          <w:rFonts w:cs="Times New Roman"/>
          <w:bCs/>
          <w:szCs w:val="24"/>
        </w:rPr>
        <w:t xml:space="preserve">). </w:t>
      </w:r>
    </w:p>
    <w:p w14:paraId="08002E56" w14:textId="3609A1E0" w:rsidR="00097A2C" w:rsidRPr="00F636D1" w:rsidRDefault="00132AB9" w:rsidP="00F636D1">
      <w:pPr>
        <w:spacing w:line="276" w:lineRule="auto"/>
        <w:ind w:firstLine="720"/>
        <w:jc w:val="both"/>
        <w:rPr>
          <w:rFonts w:cs="Times New Roman"/>
          <w:bCs/>
          <w:szCs w:val="24"/>
        </w:rPr>
      </w:pPr>
      <w:r w:rsidRPr="00F636D1">
        <w:rPr>
          <w:rFonts w:cs="Times New Roman"/>
          <w:bCs/>
          <w:szCs w:val="24"/>
        </w:rPr>
        <w:t xml:space="preserve">Uz pēdējo no minētajām atziņām ir pamatoti </w:t>
      </w:r>
      <w:r w:rsidR="00CA3F5C" w:rsidRPr="00F636D1">
        <w:rPr>
          <w:rFonts w:cs="Times New Roman"/>
          <w:bCs/>
          <w:szCs w:val="24"/>
        </w:rPr>
        <w:t>atsaukusies</w:t>
      </w:r>
      <w:r w:rsidRPr="00F636D1">
        <w:rPr>
          <w:rFonts w:cs="Times New Roman"/>
          <w:bCs/>
          <w:szCs w:val="24"/>
        </w:rPr>
        <w:t xml:space="preserve"> apelācijas instances tiesa, Civillikuma</w:t>
      </w:r>
      <w:r w:rsidR="002C2504" w:rsidRPr="00F636D1">
        <w:rPr>
          <w:rFonts w:cs="Times New Roman"/>
          <w:bCs/>
          <w:szCs w:val="24"/>
        </w:rPr>
        <w:t xml:space="preserve"> </w:t>
      </w:r>
      <w:r w:rsidRPr="00F636D1">
        <w:rPr>
          <w:rFonts w:cs="Times New Roman"/>
          <w:bCs/>
          <w:szCs w:val="24"/>
        </w:rPr>
        <w:t xml:space="preserve">1806. panta pirmās daļas interpretācijā pievienodamās pirmās instances tiesas izdarītajiem secinājumiem. </w:t>
      </w:r>
    </w:p>
    <w:p w14:paraId="224DD104" w14:textId="567F6F65" w:rsidR="00DE0449" w:rsidRPr="00F636D1" w:rsidRDefault="00056EDC" w:rsidP="00F636D1">
      <w:pPr>
        <w:spacing w:line="276" w:lineRule="auto"/>
        <w:ind w:firstLine="720"/>
        <w:jc w:val="both"/>
        <w:rPr>
          <w:rFonts w:cs="Times New Roman"/>
          <w:bCs/>
          <w:szCs w:val="24"/>
        </w:rPr>
      </w:pPr>
      <w:r w:rsidRPr="00F636D1">
        <w:rPr>
          <w:rFonts w:cs="Times New Roman"/>
          <w:bCs/>
          <w:szCs w:val="24"/>
        </w:rPr>
        <w:t xml:space="preserve">[8.2] </w:t>
      </w:r>
      <w:r w:rsidR="00E60726" w:rsidRPr="00F636D1">
        <w:rPr>
          <w:rFonts w:cs="Times New Roman"/>
          <w:bCs/>
          <w:szCs w:val="24"/>
        </w:rPr>
        <w:t xml:space="preserve">Nepareizs un neatbilstošs Civillikuma regulējumam ir </w:t>
      </w:r>
      <w:r w:rsidR="00DE0449" w:rsidRPr="00F636D1">
        <w:rPr>
          <w:rFonts w:cs="Times New Roman"/>
          <w:bCs/>
          <w:szCs w:val="24"/>
        </w:rPr>
        <w:t>kasācijas sūdzīb</w:t>
      </w:r>
      <w:r w:rsidR="00D57F2B" w:rsidRPr="00F636D1">
        <w:rPr>
          <w:rFonts w:cs="Times New Roman"/>
          <w:bCs/>
          <w:szCs w:val="24"/>
        </w:rPr>
        <w:t>as arguments</w:t>
      </w:r>
      <w:r w:rsidR="00DE0449" w:rsidRPr="00F636D1">
        <w:rPr>
          <w:rFonts w:cs="Times New Roman"/>
          <w:bCs/>
          <w:szCs w:val="24"/>
        </w:rPr>
        <w:t>, ka cesionārs Civillikuma</w:t>
      </w:r>
      <w:r w:rsidR="002C2504" w:rsidRPr="00F636D1">
        <w:rPr>
          <w:rFonts w:cs="Times New Roman"/>
          <w:bCs/>
          <w:szCs w:val="24"/>
        </w:rPr>
        <w:t xml:space="preserve"> </w:t>
      </w:r>
      <w:r w:rsidR="00DE0449" w:rsidRPr="00F636D1">
        <w:rPr>
          <w:rFonts w:cs="Times New Roman"/>
          <w:bCs/>
          <w:szCs w:val="24"/>
        </w:rPr>
        <w:t xml:space="preserve">1806. panta pirmajā daļā paredzētajā izņēmuma gadījumā </w:t>
      </w:r>
      <w:r w:rsidR="004E1AA7" w:rsidRPr="00F636D1">
        <w:rPr>
          <w:rFonts w:cs="Times New Roman"/>
          <w:bCs/>
          <w:szCs w:val="24"/>
        </w:rPr>
        <w:t>var iegūt</w:t>
      </w:r>
      <w:r w:rsidR="00DE0449" w:rsidRPr="00F636D1">
        <w:rPr>
          <w:rFonts w:cs="Times New Roman"/>
          <w:bCs/>
          <w:szCs w:val="24"/>
        </w:rPr>
        <w:t xml:space="preserve"> nenodrošinātu prasījumu</w:t>
      </w:r>
      <w:r w:rsidR="004E1AA7" w:rsidRPr="00F636D1">
        <w:rPr>
          <w:rFonts w:cs="Times New Roman"/>
          <w:bCs/>
          <w:szCs w:val="24"/>
        </w:rPr>
        <w:t xml:space="preserve"> tikai tad, ja tiek </w:t>
      </w:r>
      <w:r w:rsidR="00DE0449" w:rsidRPr="00F636D1">
        <w:rPr>
          <w:rFonts w:cs="Times New Roman"/>
          <w:bCs/>
          <w:szCs w:val="24"/>
        </w:rPr>
        <w:t>groz</w:t>
      </w:r>
      <w:r w:rsidR="004E1AA7" w:rsidRPr="00F636D1">
        <w:rPr>
          <w:rFonts w:cs="Times New Roman"/>
          <w:bCs/>
          <w:szCs w:val="24"/>
        </w:rPr>
        <w:t>īti</w:t>
      </w:r>
      <w:r w:rsidR="00DE0449" w:rsidRPr="00F636D1">
        <w:rPr>
          <w:rFonts w:cs="Times New Roman"/>
          <w:bCs/>
          <w:szCs w:val="24"/>
        </w:rPr>
        <w:t xml:space="preserve"> nodrošinājuma līgumi </w:t>
      </w:r>
      <w:r w:rsidR="00DE0449" w:rsidRPr="00F636D1">
        <w:rPr>
          <w:rFonts w:cs="Times New Roman"/>
          <w:bCs/>
          <w:szCs w:val="24"/>
        </w:rPr>
        <w:lastRenderedPageBreak/>
        <w:t xml:space="preserve">un attiecīgie ieraksti publiskajos reģistros. </w:t>
      </w:r>
      <w:r w:rsidR="00D57F2B" w:rsidRPr="00F636D1">
        <w:rPr>
          <w:rFonts w:cs="Times New Roman"/>
          <w:bCs/>
          <w:szCs w:val="24"/>
        </w:rPr>
        <w:t>Ja piekristu minētajam kasācijas sūdzības iesniedzēj</w:t>
      </w:r>
      <w:r w:rsidR="00CA383F" w:rsidRPr="00F636D1">
        <w:rPr>
          <w:rFonts w:cs="Times New Roman"/>
          <w:bCs/>
          <w:szCs w:val="24"/>
        </w:rPr>
        <w:t>u</w:t>
      </w:r>
      <w:r w:rsidR="00D57F2B" w:rsidRPr="00F636D1">
        <w:rPr>
          <w:rFonts w:cs="Times New Roman"/>
          <w:bCs/>
          <w:szCs w:val="24"/>
        </w:rPr>
        <w:t xml:space="preserve"> viedoklim, tad</w:t>
      </w:r>
      <w:r w:rsidR="00E60726" w:rsidRPr="00F636D1">
        <w:rPr>
          <w:rFonts w:cs="Times New Roman"/>
          <w:bCs/>
          <w:szCs w:val="24"/>
        </w:rPr>
        <w:t xml:space="preserve"> likumā </w:t>
      </w:r>
      <w:r w:rsidR="00DE0449" w:rsidRPr="00F636D1">
        <w:rPr>
          <w:rFonts w:cs="Times New Roman"/>
          <w:bCs/>
          <w:szCs w:val="24"/>
        </w:rPr>
        <w:t>paredzētā</w:t>
      </w:r>
      <w:r w:rsidR="00E60726" w:rsidRPr="00F636D1">
        <w:rPr>
          <w:rFonts w:cs="Times New Roman"/>
          <w:bCs/>
          <w:szCs w:val="24"/>
        </w:rPr>
        <w:t>s</w:t>
      </w:r>
      <w:r w:rsidR="00DE0449" w:rsidRPr="00F636D1">
        <w:rPr>
          <w:rFonts w:cs="Times New Roman"/>
          <w:bCs/>
          <w:szCs w:val="24"/>
        </w:rPr>
        <w:t xml:space="preserve"> cedenta un cesionāra</w:t>
      </w:r>
      <w:r w:rsidR="00E60726" w:rsidRPr="00F636D1">
        <w:rPr>
          <w:rFonts w:cs="Times New Roman"/>
          <w:bCs/>
          <w:szCs w:val="24"/>
        </w:rPr>
        <w:t xml:space="preserve"> tiesības</w:t>
      </w:r>
      <w:r w:rsidR="00DE0449" w:rsidRPr="00F636D1">
        <w:rPr>
          <w:rFonts w:cs="Times New Roman"/>
          <w:bCs/>
          <w:szCs w:val="24"/>
        </w:rPr>
        <w:t xml:space="preserve"> vienoties, ka prasījums pāriet cesionāram bez prasījumam piederīg</w:t>
      </w:r>
      <w:r w:rsidR="00CA383F" w:rsidRPr="00F636D1">
        <w:rPr>
          <w:rFonts w:cs="Times New Roman"/>
          <w:bCs/>
          <w:szCs w:val="24"/>
        </w:rPr>
        <w:t>ajām</w:t>
      </w:r>
      <w:r w:rsidR="00DE0449" w:rsidRPr="00F636D1">
        <w:rPr>
          <w:rFonts w:cs="Times New Roman"/>
          <w:bCs/>
          <w:szCs w:val="24"/>
        </w:rPr>
        <w:t xml:space="preserve"> tiesībām</w:t>
      </w:r>
      <w:r w:rsidR="00E60726" w:rsidRPr="00F636D1">
        <w:rPr>
          <w:rFonts w:cs="Times New Roman"/>
          <w:bCs/>
          <w:szCs w:val="24"/>
        </w:rPr>
        <w:t>, zaudētu jēgu, jo cedēto tiesību apjoms būtu atkarīgs no parādnieka piekrišanas.</w:t>
      </w:r>
    </w:p>
    <w:p w14:paraId="4ADAB664" w14:textId="50C8C6B4" w:rsidR="004B758B" w:rsidRPr="00F636D1" w:rsidRDefault="00862B14" w:rsidP="00F636D1">
      <w:pPr>
        <w:spacing w:line="276" w:lineRule="auto"/>
        <w:ind w:firstLine="720"/>
        <w:jc w:val="both"/>
        <w:rPr>
          <w:rFonts w:cs="Times New Roman"/>
          <w:bCs/>
          <w:szCs w:val="24"/>
        </w:rPr>
      </w:pPr>
      <w:r w:rsidRPr="00F636D1">
        <w:rPr>
          <w:rFonts w:cs="Times New Roman"/>
          <w:bCs/>
          <w:szCs w:val="24"/>
        </w:rPr>
        <w:t>[8.3] Ja cedents un cesionārs vienojas, ka ķīlas tiesības, tostarp hipotēka un komercķīlas tiesība, kas nodrošina cedēto prasījumu, nepāriet cesionāram, tam ir noteiktas tiesiskās sekas attiecībā uz nodrošinājumu. Proti, ķ</w:t>
      </w:r>
      <w:r w:rsidR="003838FA" w:rsidRPr="00F636D1">
        <w:rPr>
          <w:rFonts w:cs="Times New Roman"/>
          <w:bCs/>
          <w:szCs w:val="24"/>
        </w:rPr>
        <w:t>īlas tiesību turpmākai pastāvēšanai zūd tiesiskais pamats, ja tās</w:t>
      </w:r>
      <w:r w:rsidR="004B758B" w:rsidRPr="00F636D1">
        <w:rPr>
          <w:rFonts w:cs="Times New Roman"/>
          <w:bCs/>
          <w:szCs w:val="24"/>
        </w:rPr>
        <w:t xml:space="preserve"> </w:t>
      </w:r>
      <w:r w:rsidR="003838FA" w:rsidRPr="00F636D1">
        <w:rPr>
          <w:rFonts w:cs="Times New Roman"/>
          <w:bCs/>
          <w:szCs w:val="24"/>
        </w:rPr>
        <w:t xml:space="preserve">kopā ar prasījumu netiek nodotas cesionāram. </w:t>
      </w:r>
      <w:r w:rsidR="004B758B" w:rsidRPr="00F636D1">
        <w:rPr>
          <w:rFonts w:cs="Times New Roman"/>
          <w:bCs/>
          <w:szCs w:val="24"/>
        </w:rPr>
        <w:t>Saskaņā ar Civillikuma 1280. pantu katrā ķīlas tiesībā ir nepieciešams prasījums, par ko ķīla atbild. Savukārt atbilstoši Civillikuma</w:t>
      </w:r>
      <w:r w:rsidR="00BF02A9" w:rsidRPr="00F636D1">
        <w:rPr>
          <w:rFonts w:cs="Times New Roman"/>
          <w:bCs/>
          <w:szCs w:val="24"/>
        </w:rPr>
        <w:t> </w:t>
      </w:r>
      <w:r w:rsidR="004B758B" w:rsidRPr="00F636D1">
        <w:rPr>
          <w:rFonts w:cs="Times New Roman"/>
          <w:bCs/>
          <w:szCs w:val="24"/>
        </w:rPr>
        <w:t xml:space="preserve">1283. panta pirmajam teikumam ķīlas tiesība kā blakus tiesība sava spēka ziņā </w:t>
      </w:r>
      <w:r w:rsidR="00CA383F" w:rsidRPr="00F636D1">
        <w:rPr>
          <w:rFonts w:cs="Times New Roman"/>
          <w:bCs/>
          <w:szCs w:val="24"/>
        </w:rPr>
        <w:t>ir atkarīga</w:t>
      </w:r>
      <w:r w:rsidR="004B758B" w:rsidRPr="00F636D1">
        <w:rPr>
          <w:rFonts w:cs="Times New Roman"/>
          <w:bCs/>
          <w:szCs w:val="24"/>
        </w:rPr>
        <w:t xml:space="preserve"> no prasījuma spēka. Tātad ķīlas tiesības bez prasījuma pastāvēt nevar</w:t>
      </w:r>
      <w:r w:rsidR="002C7F40" w:rsidRPr="00F636D1">
        <w:rPr>
          <w:rFonts w:cs="Times New Roman"/>
          <w:bCs/>
          <w:szCs w:val="24"/>
        </w:rPr>
        <w:t>, k</w:t>
      </w:r>
      <w:r w:rsidR="00DE51DB" w:rsidRPr="00F636D1">
        <w:rPr>
          <w:rFonts w:cs="Times New Roman"/>
          <w:bCs/>
          <w:szCs w:val="24"/>
        </w:rPr>
        <w:t xml:space="preserve">as uzsvērts arī </w:t>
      </w:r>
      <w:r w:rsidR="002C7F40" w:rsidRPr="00F636D1">
        <w:rPr>
          <w:rFonts w:cs="Times New Roman"/>
          <w:bCs/>
          <w:szCs w:val="24"/>
        </w:rPr>
        <w:t>Senāt</w:t>
      </w:r>
      <w:r w:rsidR="00DE51DB" w:rsidRPr="00F636D1">
        <w:rPr>
          <w:rFonts w:cs="Times New Roman"/>
          <w:bCs/>
          <w:szCs w:val="24"/>
        </w:rPr>
        <w:t>a</w:t>
      </w:r>
      <w:r w:rsidR="002C7F40" w:rsidRPr="00F636D1">
        <w:rPr>
          <w:rFonts w:cs="Times New Roman"/>
          <w:bCs/>
          <w:szCs w:val="24"/>
        </w:rPr>
        <w:t xml:space="preserve"> judikatūrā (sk. </w:t>
      </w:r>
      <w:r w:rsidR="002C7F40" w:rsidRPr="00F636D1">
        <w:rPr>
          <w:rFonts w:cs="Times New Roman"/>
          <w:bCs/>
          <w:i/>
          <w:iCs/>
          <w:szCs w:val="24"/>
        </w:rPr>
        <w:t>Senāta 2014. gada 16. aprīļa sprieduma (paplašinātā sastāvā) lietā Nr. SKC-53/2014</w:t>
      </w:r>
      <w:r w:rsidR="00070582" w:rsidRPr="00F636D1">
        <w:rPr>
          <w:rFonts w:cs="Times New Roman"/>
          <w:bCs/>
          <w:i/>
          <w:iCs/>
          <w:szCs w:val="24"/>
        </w:rPr>
        <w:t>, C19052811,</w:t>
      </w:r>
      <w:r w:rsidR="002C7F40" w:rsidRPr="00F636D1">
        <w:rPr>
          <w:rFonts w:cs="Times New Roman"/>
          <w:bCs/>
          <w:i/>
          <w:iCs/>
          <w:szCs w:val="24"/>
        </w:rPr>
        <w:t xml:space="preserve"> 7. punktu</w:t>
      </w:r>
      <w:r w:rsidR="002C7F40" w:rsidRPr="00F636D1">
        <w:rPr>
          <w:rFonts w:cs="Times New Roman"/>
          <w:bCs/>
          <w:szCs w:val="24"/>
        </w:rPr>
        <w:t>).</w:t>
      </w:r>
      <w:r w:rsidR="002C7F40" w:rsidRPr="00F636D1">
        <w:rPr>
          <w:rFonts w:cs="Times New Roman"/>
          <w:b/>
          <w:bCs/>
          <w:szCs w:val="24"/>
        </w:rPr>
        <w:t xml:space="preserve"> </w:t>
      </w:r>
      <w:r w:rsidR="002C7F40" w:rsidRPr="00F636D1">
        <w:rPr>
          <w:rFonts w:cs="Times New Roman"/>
          <w:bCs/>
          <w:szCs w:val="24"/>
        </w:rPr>
        <w:t>Var secināt</w:t>
      </w:r>
      <w:r w:rsidR="00845765" w:rsidRPr="00F636D1">
        <w:rPr>
          <w:rFonts w:cs="Times New Roman"/>
          <w:bCs/>
          <w:szCs w:val="24"/>
        </w:rPr>
        <w:t>, ka</w:t>
      </w:r>
      <w:r w:rsidR="004B758B" w:rsidRPr="00F636D1">
        <w:rPr>
          <w:rFonts w:cs="Times New Roman"/>
          <w:bCs/>
          <w:szCs w:val="24"/>
        </w:rPr>
        <w:t xml:space="preserve"> ķīla kā </w:t>
      </w:r>
      <w:proofErr w:type="spellStart"/>
      <w:r w:rsidR="004B758B" w:rsidRPr="00F636D1">
        <w:rPr>
          <w:rFonts w:cs="Times New Roman"/>
          <w:bCs/>
          <w:szCs w:val="24"/>
        </w:rPr>
        <w:t>akcesora</w:t>
      </w:r>
      <w:proofErr w:type="spellEnd"/>
      <w:r w:rsidR="004B758B" w:rsidRPr="00F636D1">
        <w:rPr>
          <w:rFonts w:cs="Times New Roman"/>
          <w:bCs/>
          <w:szCs w:val="24"/>
        </w:rPr>
        <w:t xml:space="preserve"> jeb blakus tiesība zaudē saikni ar prasījumu arī tad, ja cedents nodod cesionāram prasījumu, ne</w:t>
      </w:r>
      <w:r w:rsidR="00CA383F" w:rsidRPr="00F636D1">
        <w:rPr>
          <w:rFonts w:cs="Times New Roman"/>
          <w:bCs/>
          <w:szCs w:val="24"/>
        </w:rPr>
        <w:t>no</w:t>
      </w:r>
      <w:r w:rsidR="004B758B" w:rsidRPr="00F636D1">
        <w:rPr>
          <w:rFonts w:cs="Times New Roman"/>
          <w:bCs/>
          <w:szCs w:val="24"/>
        </w:rPr>
        <w:t xml:space="preserve">dodot ķīlas tiesības. </w:t>
      </w:r>
    </w:p>
    <w:p w14:paraId="6FCFB8AC" w14:textId="2E55791C" w:rsidR="00BF02A9" w:rsidRPr="00F636D1" w:rsidRDefault="00BF02A9" w:rsidP="00F636D1">
      <w:pPr>
        <w:spacing w:line="276" w:lineRule="auto"/>
        <w:ind w:firstLine="720"/>
        <w:jc w:val="both"/>
        <w:rPr>
          <w:rFonts w:cs="Times New Roman"/>
          <w:bCs/>
          <w:szCs w:val="24"/>
        </w:rPr>
      </w:pPr>
      <w:r w:rsidRPr="00F636D1">
        <w:rPr>
          <w:rFonts w:cs="Times New Roman"/>
          <w:bCs/>
          <w:szCs w:val="24"/>
        </w:rPr>
        <w:t xml:space="preserve">Papildus norādāms, </w:t>
      </w:r>
      <w:r w:rsidR="00862B14" w:rsidRPr="00F636D1">
        <w:rPr>
          <w:rFonts w:cs="Times New Roman"/>
          <w:bCs/>
          <w:szCs w:val="24"/>
        </w:rPr>
        <w:t xml:space="preserve">ka </w:t>
      </w:r>
      <w:r w:rsidR="00EF263D" w:rsidRPr="00F636D1">
        <w:rPr>
          <w:rFonts w:cs="Times New Roman"/>
          <w:bCs/>
          <w:szCs w:val="24"/>
        </w:rPr>
        <w:t xml:space="preserve">hipotēkas </w:t>
      </w:r>
      <w:r w:rsidR="002D3D61" w:rsidRPr="00F636D1">
        <w:rPr>
          <w:rFonts w:cs="Times New Roman"/>
          <w:bCs/>
          <w:szCs w:val="24"/>
        </w:rPr>
        <w:t>un</w:t>
      </w:r>
      <w:r w:rsidR="00EF263D" w:rsidRPr="00F636D1">
        <w:rPr>
          <w:rFonts w:cs="Times New Roman"/>
          <w:bCs/>
          <w:szCs w:val="24"/>
        </w:rPr>
        <w:t xml:space="preserve"> komercķīlas </w:t>
      </w:r>
      <w:r w:rsidR="002D3D61" w:rsidRPr="00F636D1">
        <w:rPr>
          <w:rFonts w:cs="Times New Roman"/>
          <w:bCs/>
          <w:szCs w:val="24"/>
        </w:rPr>
        <w:t>dzēšanai attiecīgajā publiskajā reģistrā vien nepietiek ar to, ka ir iestājies jeb dzēsts minēto tiesību izbeigšanās pamats (</w:t>
      </w:r>
      <w:r w:rsidR="008C61DA" w:rsidRPr="00F636D1">
        <w:rPr>
          <w:rFonts w:cs="Times New Roman"/>
          <w:bCs/>
          <w:szCs w:val="24"/>
        </w:rPr>
        <w:t xml:space="preserve">sk. </w:t>
      </w:r>
      <w:r w:rsidR="002D3D61" w:rsidRPr="00F636D1">
        <w:rPr>
          <w:rFonts w:cs="Times New Roman"/>
          <w:bCs/>
          <w:szCs w:val="24"/>
        </w:rPr>
        <w:t>Civillikuma 1379. pant</w:t>
      </w:r>
      <w:r w:rsidR="008C61DA" w:rsidRPr="00F636D1">
        <w:rPr>
          <w:rFonts w:cs="Times New Roman"/>
          <w:bCs/>
          <w:szCs w:val="24"/>
        </w:rPr>
        <w:t>u</w:t>
      </w:r>
      <w:r w:rsidR="002D3D61" w:rsidRPr="00F636D1">
        <w:rPr>
          <w:rFonts w:cs="Times New Roman"/>
          <w:bCs/>
          <w:szCs w:val="24"/>
        </w:rPr>
        <w:t xml:space="preserve"> un Komercķīlas likuma 48.</w:t>
      </w:r>
      <w:r w:rsidR="002C2504" w:rsidRPr="00F636D1">
        <w:rPr>
          <w:rFonts w:cs="Times New Roman"/>
          <w:bCs/>
          <w:szCs w:val="24"/>
        </w:rPr>
        <w:t> </w:t>
      </w:r>
      <w:r w:rsidR="002D3D61" w:rsidRPr="00F636D1">
        <w:rPr>
          <w:rFonts w:cs="Times New Roman"/>
          <w:bCs/>
          <w:szCs w:val="24"/>
        </w:rPr>
        <w:t>panta otr</w:t>
      </w:r>
      <w:r w:rsidR="008C61DA" w:rsidRPr="00F636D1">
        <w:rPr>
          <w:rFonts w:cs="Times New Roman"/>
          <w:bCs/>
          <w:szCs w:val="24"/>
        </w:rPr>
        <w:t>o</w:t>
      </w:r>
      <w:r w:rsidR="002D3D61" w:rsidRPr="00F636D1">
        <w:rPr>
          <w:rFonts w:cs="Times New Roman"/>
          <w:bCs/>
          <w:szCs w:val="24"/>
        </w:rPr>
        <w:t xml:space="preserve"> daļ</w:t>
      </w:r>
      <w:r w:rsidR="008C61DA" w:rsidRPr="00F636D1">
        <w:rPr>
          <w:rFonts w:cs="Times New Roman"/>
          <w:bCs/>
          <w:szCs w:val="24"/>
        </w:rPr>
        <w:t>u</w:t>
      </w:r>
      <w:r w:rsidR="002D3D61" w:rsidRPr="00F636D1">
        <w:rPr>
          <w:rFonts w:cs="Times New Roman"/>
          <w:bCs/>
          <w:szCs w:val="24"/>
        </w:rPr>
        <w:t xml:space="preserve">), tomēr šis jautājums </w:t>
      </w:r>
      <w:r w:rsidR="00B60F49" w:rsidRPr="00F636D1">
        <w:rPr>
          <w:rFonts w:cs="Times New Roman"/>
          <w:bCs/>
          <w:szCs w:val="24"/>
        </w:rPr>
        <w:t xml:space="preserve">nav </w:t>
      </w:r>
      <w:r w:rsidR="000A3DF5" w:rsidRPr="00F636D1">
        <w:rPr>
          <w:rFonts w:cs="Times New Roman"/>
          <w:bCs/>
          <w:szCs w:val="24"/>
        </w:rPr>
        <w:t>strīda priekšmets izskatāmajā lietā.</w:t>
      </w:r>
    </w:p>
    <w:p w14:paraId="76AC6D60" w14:textId="07B2B9C1" w:rsidR="00BF02A9" w:rsidRPr="00F636D1" w:rsidRDefault="00862B14" w:rsidP="00F636D1">
      <w:pPr>
        <w:spacing w:line="276" w:lineRule="auto"/>
        <w:ind w:firstLine="720"/>
        <w:jc w:val="both"/>
        <w:rPr>
          <w:rFonts w:cs="Times New Roman"/>
          <w:bCs/>
          <w:szCs w:val="24"/>
        </w:rPr>
      </w:pPr>
      <w:r w:rsidRPr="00F636D1">
        <w:rPr>
          <w:rFonts w:cs="Times New Roman"/>
          <w:bCs/>
          <w:szCs w:val="24"/>
        </w:rPr>
        <w:t xml:space="preserve">[8.4] </w:t>
      </w:r>
      <w:r w:rsidR="00BF02A9" w:rsidRPr="00F636D1">
        <w:rPr>
          <w:rFonts w:cs="Times New Roman"/>
          <w:bCs/>
          <w:szCs w:val="24"/>
        </w:rPr>
        <w:t>N</w:t>
      </w:r>
      <w:r w:rsidR="00845765" w:rsidRPr="00F636D1">
        <w:rPr>
          <w:rFonts w:cs="Times New Roman"/>
          <w:bCs/>
          <w:szCs w:val="24"/>
        </w:rPr>
        <w:t>o Civillikuma normām</w:t>
      </w:r>
      <w:r w:rsidR="00BF02A9" w:rsidRPr="00F636D1">
        <w:rPr>
          <w:rFonts w:cs="Times New Roman"/>
          <w:bCs/>
          <w:szCs w:val="24"/>
        </w:rPr>
        <w:t xml:space="preserve"> izrietošais princips, ka prasījumam piederīgo ķīlas tiesību nenodošana cedentam ir minēto tiesību izbeigšanās pamats,</w:t>
      </w:r>
      <w:r w:rsidR="004B758B" w:rsidRPr="00F636D1">
        <w:rPr>
          <w:rFonts w:cs="Times New Roman"/>
          <w:bCs/>
          <w:szCs w:val="24"/>
        </w:rPr>
        <w:t xml:space="preserve"> attiecībā uz komercķīlu </w:t>
      </w:r>
      <w:proofErr w:type="spellStart"/>
      <w:r w:rsidR="004B758B" w:rsidRPr="00F636D1">
        <w:rPr>
          <w:rFonts w:cs="Times New Roman"/>
          <w:bCs/>
          <w:i/>
          <w:iCs/>
          <w:szCs w:val="24"/>
        </w:rPr>
        <w:t>expressis</w:t>
      </w:r>
      <w:proofErr w:type="spellEnd"/>
      <w:r w:rsidR="004B758B" w:rsidRPr="00F636D1">
        <w:rPr>
          <w:rFonts w:cs="Times New Roman"/>
          <w:bCs/>
          <w:i/>
          <w:iCs/>
          <w:szCs w:val="24"/>
        </w:rPr>
        <w:t xml:space="preserve"> </w:t>
      </w:r>
      <w:proofErr w:type="spellStart"/>
      <w:r w:rsidR="004B758B" w:rsidRPr="00F636D1">
        <w:rPr>
          <w:rFonts w:cs="Times New Roman"/>
          <w:bCs/>
          <w:i/>
          <w:iCs/>
          <w:szCs w:val="24"/>
        </w:rPr>
        <w:t>verbis</w:t>
      </w:r>
      <w:proofErr w:type="spellEnd"/>
      <w:r w:rsidR="004B758B" w:rsidRPr="00F636D1">
        <w:rPr>
          <w:rFonts w:cs="Times New Roman"/>
          <w:bCs/>
          <w:szCs w:val="24"/>
        </w:rPr>
        <w:t xml:space="preserve"> ir nostiprināts Komercķīlas likum</w:t>
      </w:r>
      <w:r w:rsidR="00BF02A9" w:rsidRPr="00F636D1">
        <w:rPr>
          <w:rFonts w:cs="Times New Roman"/>
          <w:bCs/>
          <w:szCs w:val="24"/>
        </w:rPr>
        <w:t>ā. Saskaņā ar Komercķīlas likuma</w:t>
      </w:r>
      <w:r w:rsidR="004B758B" w:rsidRPr="00F636D1">
        <w:rPr>
          <w:rFonts w:cs="Times New Roman"/>
          <w:bCs/>
          <w:szCs w:val="24"/>
        </w:rPr>
        <w:t> 48. panta pirmās daļas 4. punk</w:t>
      </w:r>
      <w:r w:rsidR="00BF02A9" w:rsidRPr="00F636D1">
        <w:rPr>
          <w:rFonts w:cs="Times New Roman"/>
          <w:bCs/>
          <w:szCs w:val="24"/>
        </w:rPr>
        <w:t>tu</w:t>
      </w:r>
      <w:r w:rsidR="004B758B" w:rsidRPr="00F636D1">
        <w:rPr>
          <w:rFonts w:cs="Times New Roman"/>
          <w:bCs/>
          <w:szCs w:val="24"/>
        </w:rPr>
        <w:t xml:space="preserve"> komercķīlas tiesība izbeidzas, ja tiek nodots nodrošinātais pras</w:t>
      </w:r>
      <w:r w:rsidR="00845765" w:rsidRPr="00F636D1">
        <w:rPr>
          <w:rFonts w:cs="Times New Roman"/>
          <w:bCs/>
          <w:szCs w:val="24"/>
        </w:rPr>
        <w:t>ījums, vienlaikus nenodo</w:t>
      </w:r>
      <w:r w:rsidR="007D4AB2" w:rsidRPr="00F636D1">
        <w:rPr>
          <w:rFonts w:cs="Times New Roman"/>
          <w:bCs/>
          <w:szCs w:val="24"/>
        </w:rPr>
        <w:t>do</w:t>
      </w:r>
      <w:r w:rsidR="00845765" w:rsidRPr="00F636D1">
        <w:rPr>
          <w:rFonts w:cs="Times New Roman"/>
          <w:bCs/>
          <w:szCs w:val="24"/>
        </w:rPr>
        <w:t>t komercķīlas tiesību.</w:t>
      </w:r>
      <w:r w:rsidR="00937C9A" w:rsidRPr="00F636D1">
        <w:rPr>
          <w:rFonts w:cs="Times New Roman"/>
          <w:bCs/>
          <w:szCs w:val="24"/>
        </w:rPr>
        <w:t xml:space="preserve"> </w:t>
      </w:r>
    </w:p>
    <w:p w14:paraId="641C236A" w14:textId="296E2527" w:rsidR="009315D0" w:rsidRPr="00F636D1" w:rsidRDefault="00845765" w:rsidP="00F636D1">
      <w:pPr>
        <w:spacing w:line="276" w:lineRule="auto"/>
        <w:ind w:firstLine="720"/>
        <w:jc w:val="both"/>
        <w:rPr>
          <w:rFonts w:cs="Times New Roman"/>
          <w:bCs/>
          <w:szCs w:val="24"/>
        </w:rPr>
      </w:pPr>
      <w:r w:rsidRPr="00F636D1">
        <w:rPr>
          <w:rFonts w:cs="Times New Roman"/>
          <w:bCs/>
          <w:szCs w:val="24"/>
        </w:rPr>
        <w:t xml:space="preserve">Komercķīlas likuma 48. panta pirmās daļas 4. punktu tiesa nav piemērojusi. Uz šo Komercķīlas likuma normu, kā redzams no lietas materiāliem, nav </w:t>
      </w:r>
      <w:r w:rsidR="00937C9A" w:rsidRPr="00F636D1">
        <w:rPr>
          <w:rFonts w:cs="Times New Roman"/>
          <w:bCs/>
          <w:szCs w:val="24"/>
        </w:rPr>
        <w:t>norādījušas</w:t>
      </w:r>
      <w:r w:rsidRPr="00F636D1">
        <w:rPr>
          <w:rFonts w:cs="Times New Roman"/>
          <w:bCs/>
          <w:szCs w:val="24"/>
        </w:rPr>
        <w:t xml:space="preserve"> arī puses.</w:t>
      </w:r>
      <w:r w:rsidR="00937C9A" w:rsidRPr="00F636D1">
        <w:rPr>
          <w:rFonts w:cs="Times New Roman"/>
          <w:bCs/>
          <w:szCs w:val="24"/>
        </w:rPr>
        <w:t xml:space="preserve"> Tiesas neatsaukšanās uz Komercķīlas likuma 48. panta pirmās daļas 4. punktu ir trūkums sprieduma argumentācijā, </w:t>
      </w:r>
      <w:r w:rsidR="00BF02A9" w:rsidRPr="00F636D1">
        <w:rPr>
          <w:rFonts w:cs="Times New Roman"/>
          <w:bCs/>
          <w:szCs w:val="24"/>
        </w:rPr>
        <w:t>kas tomēr</w:t>
      </w:r>
      <w:r w:rsidR="00937C9A" w:rsidRPr="00F636D1">
        <w:rPr>
          <w:rFonts w:cs="Times New Roman"/>
          <w:bCs/>
          <w:szCs w:val="24"/>
        </w:rPr>
        <w:t xml:space="preserve"> nevarēja novest pie lietas nepareizas izspriešanas. Minēt</w:t>
      </w:r>
      <w:r w:rsidR="00BF02A9" w:rsidRPr="00F636D1">
        <w:rPr>
          <w:rFonts w:cs="Times New Roman"/>
          <w:bCs/>
          <w:szCs w:val="24"/>
        </w:rPr>
        <w:t>ais</w:t>
      </w:r>
      <w:r w:rsidR="009F3173" w:rsidRPr="00F636D1">
        <w:rPr>
          <w:rFonts w:cs="Times New Roman"/>
          <w:bCs/>
          <w:szCs w:val="24"/>
        </w:rPr>
        <w:t xml:space="preserve"> Komercķīlas likumā noteiktais</w:t>
      </w:r>
      <w:r w:rsidR="00BF02A9" w:rsidRPr="00F636D1">
        <w:rPr>
          <w:rFonts w:cs="Times New Roman"/>
          <w:bCs/>
          <w:szCs w:val="24"/>
        </w:rPr>
        <w:t xml:space="preserve"> komercķīlas tiesības izbeigšanās pamats</w:t>
      </w:r>
      <w:proofErr w:type="gramStart"/>
      <w:r w:rsidR="00BF02A9" w:rsidRPr="00F636D1">
        <w:rPr>
          <w:rFonts w:cs="Times New Roman"/>
          <w:bCs/>
          <w:szCs w:val="24"/>
        </w:rPr>
        <w:t xml:space="preserve"> </w:t>
      </w:r>
      <w:r w:rsidR="00E124FA" w:rsidRPr="00F636D1">
        <w:rPr>
          <w:rFonts w:cs="Times New Roman"/>
          <w:bCs/>
          <w:szCs w:val="24"/>
        </w:rPr>
        <w:t xml:space="preserve">turklāt </w:t>
      </w:r>
      <w:r w:rsidR="00BF02A9" w:rsidRPr="00F636D1">
        <w:rPr>
          <w:rFonts w:cs="Times New Roman"/>
          <w:bCs/>
          <w:szCs w:val="24"/>
        </w:rPr>
        <w:t>ir apliecinājums tam, ka ce</w:t>
      </w:r>
      <w:r w:rsidR="006C3AFA" w:rsidRPr="00F636D1">
        <w:rPr>
          <w:rFonts w:cs="Times New Roman"/>
          <w:bCs/>
          <w:szCs w:val="24"/>
        </w:rPr>
        <w:t>sionārs</w:t>
      </w:r>
      <w:r w:rsidR="00BF02A9" w:rsidRPr="00F636D1">
        <w:rPr>
          <w:rFonts w:cs="Times New Roman"/>
          <w:bCs/>
          <w:szCs w:val="24"/>
        </w:rPr>
        <w:t xml:space="preserve"> var </w:t>
      </w:r>
      <w:r w:rsidR="00E124FA" w:rsidRPr="00F636D1">
        <w:rPr>
          <w:rFonts w:cs="Times New Roman"/>
          <w:bCs/>
          <w:szCs w:val="24"/>
        </w:rPr>
        <w:t>iegūt nenodrošinātu prasījumu, ja nodrošinājums</w:t>
      </w:r>
      <w:r w:rsidR="00CB41E6" w:rsidRPr="00F636D1">
        <w:rPr>
          <w:rFonts w:cs="Times New Roman"/>
          <w:bCs/>
          <w:szCs w:val="24"/>
        </w:rPr>
        <w:t xml:space="preserve"> (komercķīlas tiesība)</w:t>
      </w:r>
      <w:r w:rsidR="00E124FA" w:rsidRPr="00F636D1">
        <w:rPr>
          <w:rFonts w:cs="Times New Roman"/>
          <w:bCs/>
          <w:szCs w:val="24"/>
        </w:rPr>
        <w:t xml:space="preserve"> tam netiek</w:t>
      </w:r>
      <w:proofErr w:type="gramEnd"/>
      <w:r w:rsidR="00E124FA" w:rsidRPr="00F636D1">
        <w:rPr>
          <w:rFonts w:cs="Times New Roman"/>
          <w:bCs/>
          <w:szCs w:val="24"/>
        </w:rPr>
        <w:t xml:space="preserve"> nodots ar cesijas līgumu</w:t>
      </w:r>
      <w:r w:rsidR="00BF02A9" w:rsidRPr="00F636D1">
        <w:rPr>
          <w:rFonts w:cs="Times New Roman"/>
          <w:bCs/>
          <w:szCs w:val="24"/>
        </w:rPr>
        <w:t xml:space="preserve">. </w:t>
      </w:r>
    </w:p>
    <w:p w14:paraId="393B02D0" w14:textId="4458FD24" w:rsidR="009315D0" w:rsidRPr="00F636D1" w:rsidRDefault="00845765" w:rsidP="00F636D1">
      <w:pPr>
        <w:spacing w:line="276" w:lineRule="auto"/>
        <w:ind w:firstLine="720"/>
        <w:jc w:val="both"/>
        <w:rPr>
          <w:rFonts w:cs="Times New Roman"/>
          <w:bCs/>
          <w:szCs w:val="24"/>
        </w:rPr>
      </w:pPr>
      <w:r w:rsidRPr="00F636D1">
        <w:rPr>
          <w:rFonts w:cs="Times New Roman"/>
          <w:bCs/>
          <w:szCs w:val="24"/>
        </w:rPr>
        <w:t>[8.</w:t>
      </w:r>
      <w:r w:rsidR="00862B14" w:rsidRPr="00F636D1">
        <w:rPr>
          <w:rFonts w:cs="Times New Roman"/>
          <w:bCs/>
          <w:szCs w:val="24"/>
        </w:rPr>
        <w:t>5</w:t>
      </w:r>
      <w:r w:rsidRPr="00F636D1">
        <w:rPr>
          <w:rFonts w:cs="Times New Roman"/>
          <w:bCs/>
          <w:szCs w:val="24"/>
        </w:rPr>
        <w:t>] Ievērojot iepriekš minēto, var secināt, ka apelācijas instances tiesa ir pareizi izpratusi Civillikuma 1806. panta pirmajā teikumā pieļautā izņēmuma jēgu un būtību</w:t>
      </w:r>
      <w:r w:rsidR="009315D0" w:rsidRPr="00F636D1">
        <w:rPr>
          <w:rFonts w:cs="Times New Roman"/>
          <w:bCs/>
          <w:szCs w:val="24"/>
        </w:rPr>
        <w:t xml:space="preserve">. </w:t>
      </w:r>
    </w:p>
    <w:p w14:paraId="7FA3EFBA" w14:textId="77777777" w:rsidR="009315D0" w:rsidRPr="00F636D1" w:rsidRDefault="009315D0" w:rsidP="00F636D1">
      <w:pPr>
        <w:spacing w:line="276" w:lineRule="auto"/>
        <w:ind w:firstLine="720"/>
        <w:jc w:val="both"/>
        <w:rPr>
          <w:rFonts w:cs="Times New Roman"/>
          <w:bCs/>
          <w:szCs w:val="24"/>
        </w:rPr>
      </w:pPr>
    </w:p>
    <w:p w14:paraId="5828FE5B" w14:textId="3214EEC4" w:rsidR="007D4AB2" w:rsidRPr="00F636D1" w:rsidRDefault="00C85DED" w:rsidP="00F636D1">
      <w:pPr>
        <w:spacing w:line="276" w:lineRule="auto"/>
        <w:ind w:firstLine="720"/>
        <w:jc w:val="both"/>
        <w:rPr>
          <w:rFonts w:cs="Times New Roman"/>
          <w:bCs/>
          <w:szCs w:val="24"/>
        </w:rPr>
      </w:pPr>
      <w:r w:rsidRPr="00F636D1">
        <w:rPr>
          <w:rFonts w:cs="Times New Roman"/>
          <w:bCs/>
          <w:szCs w:val="24"/>
        </w:rPr>
        <w:t xml:space="preserve">[9] </w:t>
      </w:r>
      <w:r w:rsidR="005F47ED" w:rsidRPr="00F636D1">
        <w:rPr>
          <w:rFonts w:cs="Times New Roman"/>
          <w:bCs/>
          <w:szCs w:val="24"/>
        </w:rPr>
        <w:t>Kasācijas sūdzīb</w:t>
      </w:r>
      <w:r w:rsidR="007D4AB2" w:rsidRPr="00F636D1">
        <w:rPr>
          <w:rFonts w:cs="Times New Roman"/>
          <w:bCs/>
          <w:szCs w:val="24"/>
        </w:rPr>
        <w:t xml:space="preserve">ā norādīts, ka </w:t>
      </w:r>
      <w:r w:rsidR="005F47ED" w:rsidRPr="00F636D1">
        <w:rPr>
          <w:rFonts w:cs="Times New Roman"/>
          <w:bCs/>
          <w:szCs w:val="24"/>
        </w:rPr>
        <w:t xml:space="preserve">tiesa nepareizi piemērojusi </w:t>
      </w:r>
      <w:proofErr w:type="gramStart"/>
      <w:r w:rsidR="005F47ED" w:rsidRPr="00F636D1">
        <w:rPr>
          <w:rFonts w:cs="Times New Roman"/>
          <w:bCs/>
          <w:szCs w:val="24"/>
        </w:rPr>
        <w:t>ne vien Civillikuma</w:t>
      </w:r>
      <w:r w:rsidR="007D4AB2" w:rsidRPr="00F636D1">
        <w:rPr>
          <w:rFonts w:cs="Times New Roman"/>
          <w:bCs/>
          <w:szCs w:val="24"/>
        </w:rPr>
        <w:t xml:space="preserve"> </w:t>
      </w:r>
      <w:r w:rsidR="005F47ED" w:rsidRPr="00F636D1">
        <w:rPr>
          <w:rFonts w:cs="Times New Roman"/>
          <w:bCs/>
          <w:szCs w:val="24"/>
        </w:rPr>
        <w:t>1806. pantu, bet arī Civillikuma</w:t>
      </w:r>
      <w:r w:rsidR="002C2504" w:rsidRPr="00F636D1">
        <w:rPr>
          <w:rFonts w:cs="Times New Roman"/>
          <w:bCs/>
          <w:szCs w:val="24"/>
        </w:rPr>
        <w:t xml:space="preserve"> </w:t>
      </w:r>
      <w:r w:rsidR="005F47ED" w:rsidRPr="00F636D1">
        <w:rPr>
          <w:rFonts w:cs="Times New Roman"/>
          <w:bCs/>
          <w:szCs w:val="24"/>
        </w:rPr>
        <w:t>1</w:t>
      </w:r>
      <w:r w:rsidR="007D4AB2" w:rsidRPr="00F636D1">
        <w:rPr>
          <w:rFonts w:cs="Times New Roman"/>
          <w:bCs/>
          <w:szCs w:val="24"/>
        </w:rPr>
        <w:t>4</w:t>
      </w:r>
      <w:r w:rsidR="005F47ED" w:rsidRPr="00F636D1">
        <w:rPr>
          <w:rFonts w:cs="Times New Roman"/>
          <w:bCs/>
          <w:szCs w:val="24"/>
        </w:rPr>
        <w:t>15</w:t>
      </w:r>
      <w:proofErr w:type="gramEnd"/>
      <w:r w:rsidR="005F47ED" w:rsidRPr="00F636D1">
        <w:rPr>
          <w:rFonts w:cs="Times New Roman"/>
          <w:bCs/>
          <w:szCs w:val="24"/>
        </w:rPr>
        <w:t>.</w:t>
      </w:r>
      <w:r w:rsidR="00A71DB5" w:rsidRPr="00F636D1">
        <w:rPr>
          <w:rFonts w:cs="Times New Roman"/>
          <w:bCs/>
          <w:szCs w:val="24"/>
        </w:rPr>
        <w:t>, 1807. pantu</w:t>
      </w:r>
      <w:r w:rsidR="005F47ED" w:rsidRPr="00F636D1">
        <w:rPr>
          <w:rFonts w:cs="Times New Roman"/>
          <w:bCs/>
          <w:szCs w:val="24"/>
        </w:rPr>
        <w:t xml:space="preserve"> un Maksātnespējas likuma</w:t>
      </w:r>
      <w:r w:rsidR="002C2504" w:rsidRPr="00F636D1">
        <w:rPr>
          <w:rFonts w:cs="Times New Roman"/>
          <w:bCs/>
          <w:szCs w:val="24"/>
        </w:rPr>
        <w:t xml:space="preserve"> </w:t>
      </w:r>
      <w:r w:rsidR="005F47ED" w:rsidRPr="00F636D1">
        <w:rPr>
          <w:rFonts w:cs="Times New Roman"/>
          <w:bCs/>
          <w:szCs w:val="24"/>
        </w:rPr>
        <w:t>61. panta pirmo daļu</w:t>
      </w:r>
      <w:r w:rsidR="007D4AB2" w:rsidRPr="00F636D1">
        <w:rPr>
          <w:rFonts w:cs="Times New Roman"/>
          <w:bCs/>
          <w:szCs w:val="24"/>
        </w:rPr>
        <w:t>. Kasācijas sūdzības iesniedzējas uzskata, ka cesijas līgum</w:t>
      </w:r>
      <w:r w:rsidR="006F2F34" w:rsidRPr="00F636D1">
        <w:rPr>
          <w:rFonts w:cs="Times New Roman"/>
          <w:bCs/>
          <w:szCs w:val="24"/>
        </w:rPr>
        <w:t>i, atdalot nodrošinājumus no cedētajiem prasījumiem, noslēgti, lai apietu Maksātnespējas likuma 61. pantā nodrošinātajam kreditoram noteikto</w:t>
      </w:r>
      <w:r w:rsidR="00E27CF8" w:rsidRPr="00F636D1">
        <w:rPr>
          <w:rFonts w:cs="Times New Roman"/>
          <w:bCs/>
          <w:szCs w:val="24"/>
        </w:rPr>
        <w:t xml:space="preserve"> aizliegumu</w:t>
      </w:r>
      <w:r w:rsidR="006F2F34" w:rsidRPr="00F636D1">
        <w:rPr>
          <w:rFonts w:cs="Times New Roman"/>
          <w:bCs/>
          <w:szCs w:val="24"/>
        </w:rPr>
        <w:t xml:space="preserve"> iesniegt maksātnespējas pieteikumu, un </w:t>
      </w:r>
      <w:r w:rsidR="00A52B6A" w:rsidRPr="00F636D1">
        <w:rPr>
          <w:rFonts w:cs="Times New Roman"/>
          <w:bCs/>
          <w:szCs w:val="24"/>
        </w:rPr>
        <w:t xml:space="preserve">tādēļ </w:t>
      </w:r>
      <w:r w:rsidR="00A87EDE" w:rsidRPr="00F636D1">
        <w:rPr>
          <w:rFonts w:cs="Times New Roman"/>
          <w:bCs/>
          <w:szCs w:val="24"/>
        </w:rPr>
        <w:t xml:space="preserve">atzīstami par spēkā </w:t>
      </w:r>
      <w:r w:rsidR="00A52B6A" w:rsidRPr="00F636D1">
        <w:rPr>
          <w:rFonts w:cs="Times New Roman"/>
          <w:bCs/>
          <w:szCs w:val="24"/>
        </w:rPr>
        <w:t>neesoši</w:t>
      </w:r>
      <w:r w:rsidR="00A87EDE" w:rsidRPr="00F636D1">
        <w:rPr>
          <w:rFonts w:cs="Times New Roman"/>
          <w:bCs/>
          <w:szCs w:val="24"/>
        </w:rPr>
        <w:t>em</w:t>
      </w:r>
      <w:r w:rsidR="00A52B6A" w:rsidRPr="00F636D1">
        <w:rPr>
          <w:rFonts w:cs="Times New Roman"/>
          <w:bCs/>
          <w:szCs w:val="24"/>
        </w:rPr>
        <w:t xml:space="preserve"> Civillikuma</w:t>
      </w:r>
      <w:r w:rsidR="002C2504" w:rsidRPr="00F636D1">
        <w:rPr>
          <w:rFonts w:cs="Times New Roman"/>
          <w:bCs/>
          <w:szCs w:val="24"/>
        </w:rPr>
        <w:t xml:space="preserve"> </w:t>
      </w:r>
      <w:r w:rsidR="00A52B6A" w:rsidRPr="00F636D1">
        <w:rPr>
          <w:rFonts w:cs="Times New Roman"/>
          <w:bCs/>
          <w:szCs w:val="24"/>
        </w:rPr>
        <w:t>1415. panta izpratnē</w:t>
      </w:r>
      <w:r w:rsidR="006F2F34" w:rsidRPr="00F636D1">
        <w:rPr>
          <w:rFonts w:cs="Times New Roman"/>
          <w:bCs/>
          <w:szCs w:val="24"/>
        </w:rPr>
        <w:t>.</w:t>
      </w:r>
      <w:r w:rsidR="00A71DB5" w:rsidRPr="00F636D1">
        <w:rPr>
          <w:rFonts w:cs="Times New Roman"/>
          <w:bCs/>
          <w:szCs w:val="24"/>
        </w:rPr>
        <w:t xml:space="preserve"> Līdz ar to esot pasliktinājies </w:t>
      </w:r>
      <w:r w:rsidR="00111753" w:rsidRPr="00F636D1">
        <w:rPr>
          <w:rFonts w:cs="Times New Roman"/>
          <w:bCs/>
          <w:szCs w:val="24"/>
        </w:rPr>
        <w:t>parādnieču</w:t>
      </w:r>
      <w:r w:rsidR="00A71DB5" w:rsidRPr="00F636D1">
        <w:rPr>
          <w:rFonts w:cs="Times New Roman"/>
          <w:bCs/>
          <w:szCs w:val="24"/>
        </w:rPr>
        <w:t xml:space="preserve"> tiesiskais stāvoklis Civillikuma</w:t>
      </w:r>
      <w:r w:rsidR="002C2504" w:rsidRPr="00F636D1">
        <w:rPr>
          <w:rFonts w:cs="Times New Roman"/>
          <w:bCs/>
          <w:szCs w:val="24"/>
        </w:rPr>
        <w:t xml:space="preserve"> </w:t>
      </w:r>
      <w:r w:rsidR="00A71DB5" w:rsidRPr="00F636D1">
        <w:rPr>
          <w:rFonts w:cs="Times New Roman"/>
          <w:bCs/>
          <w:szCs w:val="24"/>
        </w:rPr>
        <w:t>1807. panta izpratnē.</w:t>
      </w:r>
      <w:r w:rsidR="00502F82" w:rsidRPr="00F636D1">
        <w:rPr>
          <w:rFonts w:cs="Times New Roman"/>
          <w:bCs/>
          <w:szCs w:val="24"/>
        </w:rPr>
        <w:t xml:space="preserve"> </w:t>
      </w:r>
    </w:p>
    <w:p w14:paraId="52C39C37" w14:textId="11D2BAC8" w:rsidR="005F47ED" w:rsidRPr="00F636D1" w:rsidRDefault="005F47ED" w:rsidP="00F636D1">
      <w:pPr>
        <w:spacing w:line="276" w:lineRule="auto"/>
        <w:ind w:firstLine="720"/>
        <w:jc w:val="both"/>
        <w:rPr>
          <w:rFonts w:cs="Times New Roman"/>
          <w:bCs/>
          <w:szCs w:val="24"/>
        </w:rPr>
      </w:pPr>
      <w:r w:rsidRPr="00F636D1">
        <w:rPr>
          <w:rFonts w:cs="Times New Roman"/>
          <w:bCs/>
          <w:szCs w:val="24"/>
        </w:rPr>
        <w:t xml:space="preserve">[9.1] </w:t>
      </w:r>
      <w:r w:rsidR="00431DC2" w:rsidRPr="00F636D1">
        <w:rPr>
          <w:rFonts w:cs="Times New Roman"/>
          <w:bCs/>
          <w:szCs w:val="24"/>
        </w:rPr>
        <w:t>Civillikuma</w:t>
      </w:r>
      <w:r w:rsidR="002C2504" w:rsidRPr="00F636D1">
        <w:rPr>
          <w:rFonts w:cs="Times New Roman"/>
          <w:bCs/>
          <w:szCs w:val="24"/>
        </w:rPr>
        <w:t xml:space="preserve"> </w:t>
      </w:r>
      <w:r w:rsidR="00431DC2" w:rsidRPr="00F636D1">
        <w:rPr>
          <w:rFonts w:cs="Times New Roman"/>
          <w:bCs/>
          <w:szCs w:val="24"/>
        </w:rPr>
        <w:t>1415. pantā</w:t>
      </w:r>
      <w:r w:rsidR="00D94E4A" w:rsidRPr="00F636D1">
        <w:rPr>
          <w:rFonts w:cs="Times New Roman"/>
          <w:bCs/>
          <w:szCs w:val="24"/>
        </w:rPr>
        <w:t xml:space="preserve"> noteikts</w:t>
      </w:r>
      <w:r w:rsidR="00431DC2" w:rsidRPr="00F636D1">
        <w:rPr>
          <w:rFonts w:cs="Times New Roman"/>
          <w:bCs/>
          <w:szCs w:val="24"/>
        </w:rPr>
        <w:t>,</w:t>
      </w:r>
      <w:r w:rsidR="00D94E4A" w:rsidRPr="00F636D1">
        <w:rPr>
          <w:rFonts w:cs="Times New Roman"/>
          <w:bCs/>
          <w:szCs w:val="24"/>
        </w:rPr>
        <w:t xml:space="preserve"> ka</w:t>
      </w:r>
      <w:r w:rsidR="00431DC2" w:rsidRPr="00F636D1">
        <w:rPr>
          <w:rFonts w:cs="Times New Roman"/>
          <w:bCs/>
          <w:szCs w:val="24"/>
        </w:rPr>
        <w:t xml:space="preserve"> neatļauta un nepieklājīga darbība, kuras mērķis ir pretējs reliģijai, likumiem vai labiem tikumiem, vai kura vērsta uz to, lai apietu likumu, nevar būt par tiesiska darījuma priekšmetu; tāds darījums nav spēkā. </w:t>
      </w:r>
    </w:p>
    <w:p w14:paraId="5F566A26" w14:textId="021A156D" w:rsidR="004E5F14" w:rsidRPr="00F636D1" w:rsidRDefault="004E5F14" w:rsidP="00F636D1">
      <w:pPr>
        <w:spacing w:line="276" w:lineRule="auto"/>
        <w:ind w:firstLine="720"/>
        <w:jc w:val="both"/>
        <w:rPr>
          <w:rFonts w:cs="Times New Roman"/>
          <w:bCs/>
          <w:szCs w:val="24"/>
        </w:rPr>
      </w:pPr>
      <w:r w:rsidRPr="00F636D1">
        <w:rPr>
          <w:rFonts w:cs="Times New Roman"/>
          <w:bCs/>
          <w:szCs w:val="24"/>
        </w:rPr>
        <w:lastRenderedPageBreak/>
        <w:t xml:space="preserve">Senāts ir norādījis, ka ar līgumu nodibinātas saistību tiesiskās attiecības parasti saista tikai pašus līdzējus, neskarot trešo personu tiesības un intereses. Tādēļ jāatzīst, ka līguma satura izvēles brīvība – it īpaši starp līdztiesīgiem līgumpartneriem – ir visai plaša. Lai iejauktos </w:t>
      </w:r>
      <w:proofErr w:type="spellStart"/>
      <w:r w:rsidRPr="00F636D1">
        <w:rPr>
          <w:rFonts w:cs="Times New Roman"/>
          <w:bCs/>
          <w:szCs w:val="24"/>
        </w:rPr>
        <w:t>privātautonomijā</w:t>
      </w:r>
      <w:proofErr w:type="spellEnd"/>
      <w:r w:rsidRPr="00F636D1">
        <w:rPr>
          <w:rFonts w:cs="Times New Roman"/>
          <w:bCs/>
          <w:szCs w:val="24"/>
        </w:rPr>
        <w:t>, kuru Civillikuma normas nevis ierobežo, bet gan maksimāli veicina, tādējādi vairojot sabiedrības uzticēšanos tiesīgi noslēgtu līgumu stabilitātei un saistošajam spēkam, jābūt nopietniem iemesliem. Šāda iejaukšanās jāveic situācijās, kad, balstoties uz risināmā strīda apstākļu izvērtējumu, tiek konstatēts, ka darījuma priekšmets ir Civillikuma</w:t>
      </w:r>
      <w:r w:rsidR="002C2504" w:rsidRPr="00F636D1">
        <w:rPr>
          <w:rFonts w:cs="Times New Roman"/>
          <w:bCs/>
          <w:szCs w:val="24"/>
        </w:rPr>
        <w:t xml:space="preserve"> </w:t>
      </w:r>
      <w:r w:rsidRPr="00F636D1">
        <w:rPr>
          <w:rFonts w:cs="Times New Roman"/>
          <w:bCs/>
          <w:szCs w:val="24"/>
        </w:rPr>
        <w:t>1415. pantā norādītajām pazīmēm pretēja rīcība, kura kā satura, tā arī mērķa ziņā nav savienojama ar likuma pra</w:t>
      </w:r>
      <w:r w:rsidR="00F40F0F" w:rsidRPr="00F636D1">
        <w:rPr>
          <w:rFonts w:cs="Times New Roman"/>
          <w:bCs/>
          <w:szCs w:val="24"/>
        </w:rPr>
        <w:t>s</w:t>
      </w:r>
      <w:r w:rsidRPr="00F636D1">
        <w:rPr>
          <w:rFonts w:cs="Times New Roman"/>
          <w:bCs/>
          <w:szCs w:val="24"/>
        </w:rPr>
        <w:t>ībām vai sabiedrībā valdošiem (vispārpieņemtiem) uzskatiem par godprātīgu rīcību, taisnīgumu, morāles vērtībām. Turklāt, lai darījumu atzītu par spēkā neesošu Civillikuma 1415.</w:t>
      </w:r>
      <w:r w:rsidR="002C2504" w:rsidRPr="00F636D1">
        <w:rPr>
          <w:rFonts w:cs="Times New Roman"/>
          <w:bCs/>
          <w:szCs w:val="24"/>
        </w:rPr>
        <w:t> </w:t>
      </w:r>
      <w:r w:rsidR="0050404D" w:rsidRPr="00F636D1">
        <w:rPr>
          <w:rFonts w:cs="Times New Roman"/>
          <w:bCs/>
          <w:szCs w:val="24"/>
        </w:rPr>
        <w:t>panta izp</w:t>
      </w:r>
      <w:r w:rsidR="0003661D" w:rsidRPr="00F636D1">
        <w:rPr>
          <w:rFonts w:cs="Times New Roman"/>
          <w:bCs/>
          <w:szCs w:val="24"/>
        </w:rPr>
        <w:t>r</w:t>
      </w:r>
      <w:r w:rsidR="0050404D" w:rsidRPr="00F636D1">
        <w:rPr>
          <w:rFonts w:cs="Times New Roman"/>
          <w:bCs/>
          <w:szCs w:val="24"/>
        </w:rPr>
        <w:t>atnē, juridiska nozīme piešķirama objektīviem kritērijiem, nevis kāda līdzēja subjektīviem priekšstatiem par darījuma saturu un mērķi (sk</w:t>
      </w:r>
      <w:r w:rsidR="0050404D" w:rsidRPr="00F636D1">
        <w:rPr>
          <w:rFonts w:cs="Times New Roman"/>
          <w:bCs/>
          <w:i/>
          <w:iCs/>
          <w:szCs w:val="24"/>
        </w:rPr>
        <w:t>. Senāta 2017. gada 24. augusta sprieduma lietā Nr. SKC-211/2017</w:t>
      </w:r>
      <w:r w:rsidR="00070582" w:rsidRPr="00F636D1">
        <w:rPr>
          <w:rFonts w:cs="Times New Roman"/>
          <w:bCs/>
          <w:i/>
          <w:iCs/>
          <w:szCs w:val="24"/>
        </w:rPr>
        <w:t>,C28461011,</w:t>
      </w:r>
      <w:r w:rsidR="0050404D" w:rsidRPr="00F636D1">
        <w:rPr>
          <w:rFonts w:cs="Times New Roman"/>
          <w:bCs/>
          <w:i/>
          <w:iCs/>
          <w:szCs w:val="24"/>
        </w:rPr>
        <w:t xml:space="preserve"> 9.3. punktu</w:t>
      </w:r>
      <w:r w:rsidR="0050404D" w:rsidRPr="00F636D1">
        <w:rPr>
          <w:rFonts w:cs="Times New Roman"/>
          <w:bCs/>
          <w:szCs w:val="24"/>
        </w:rPr>
        <w:t xml:space="preserve">). </w:t>
      </w:r>
    </w:p>
    <w:p w14:paraId="10D3ED9F" w14:textId="5F0B2E9A" w:rsidR="0050404D" w:rsidRPr="00F636D1" w:rsidRDefault="00FF180E" w:rsidP="00F636D1">
      <w:pPr>
        <w:spacing w:line="276" w:lineRule="auto"/>
        <w:ind w:firstLine="720"/>
        <w:jc w:val="both"/>
        <w:rPr>
          <w:rFonts w:cs="Times New Roman"/>
          <w:b/>
          <w:bCs/>
          <w:color w:val="000000"/>
          <w:szCs w:val="24"/>
        </w:rPr>
      </w:pPr>
      <w:r w:rsidRPr="00F636D1">
        <w:rPr>
          <w:rFonts w:cs="Times New Roman"/>
          <w:bCs/>
          <w:szCs w:val="24"/>
        </w:rPr>
        <w:t>Darījumi, kas vērsti uz to, lai apietu likumu, ir viena no Civillikuma</w:t>
      </w:r>
      <w:r w:rsidR="002C2504" w:rsidRPr="00F636D1">
        <w:rPr>
          <w:rFonts w:cs="Times New Roman"/>
          <w:bCs/>
          <w:szCs w:val="24"/>
        </w:rPr>
        <w:t xml:space="preserve"> </w:t>
      </w:r>
      <w:r w:rsidRPr="00F636D1">
        <w:rPr>
          <w:rFonts w:cs="Times New Roman"/>
          <w:bCs/>
          <w:szCs w:val="24"/>
        </w:rPr>
        <w:t>1415. pantā minētajām prettiesisku darījumu grupām. Kā atzinis Senāts, tad uz likuma apiešanu vērsti darījumi ir tādi darījumi, kas nav tiešā pretrunā ar likumā noteiktajiem aizliegumiem, bet ir vērsti uz likuma prasībām n</w:t>
      </w:r>
      <w:r w:rsidR="00AB5C78" w:rsidRPr="00F636D1">
        <w:rPr>
          <w:rFonts w:cs="Times New Roman"/>
          <w:bCs/>
          <w:szCs w:val="24"/>
        </w:rPr>
        <w:t xml:space="preserve">eatbilstoša rezultāta sasniegšanu ārēji likumīgā ceļā </w:t>
      </w:r>
      <w:proofErr w:type="gramStart"/>
      <w:r w:rsidR="00AB5C78" w:rsidRPr="00F636D1">
        <w:rPr>
          <w:rFonts w:cs="Times New Roman"/>
          <w:bCs/>
          <w:szCs w:val="24"/>
        </w:rPr>
        <w:t>(</w:t>
      </w:r>
      <w:proofErr w:type="gramEnd"/>
      <w:r w:rsidR="00AB5C78" w:rsidRPr="00F636D1">
        <w:rPr>
          <w:rFonts w:cs="Times New Roman"/>
          <w:bCs/>
          <w:szCs w:val="24"/>
        </w:rPr>
        <w:t>sk. </w:t>
      </w:r>
      <w:r w:rsidR="00AB5C78" w:rsidRPr="00F636D1">
        <w:rPr>
          <w:rFonts w:cs="Times New Roman"/>
          <w:bCs/>
          <w:i/>
          <w:iCs/>
          <w:szCs w:val="24"/>
        </w:rPr>
        <w:t>Senāta 2018. gada 28. septembra sprieduma lietā Nr.</w:t>
      </w:r>
      <w:r w:rsidR="002C2504" w:rsidRPr="00F636D1">
        <w:rPr>
          <w:rFonts w:cs="Times New Roman"/>
          <w:bCs/>
          <w:i/>
          <w:iCs/>
          <w:szCs w:val="24"/>
        </w:rPr>
        <w:t> </w:t>
      </w:r>
      <w:r w:rsidR="00AB5C78" w:rsidRPr="00F636D1">
        <w:rPr>
          <w:rFonts w:cs="Times New Roman"/>
          <w:bCs/>
          <w:i/>
          <w:iCs/>
          <w:szCs w:val="24"/>
        </w:rPr>
        <w:t>SKC-207/2018</w:t>
      </w:r>
      <w:r w:rsidR="00070582" w:rsidRPr="00F636D1">
        <w:rPr>
          <w:rFonts w:cs="Times New Roman"/>
          <w:bCs/>
          <w:i/>
          <w:iCs/>
          <w:szCs w:val="24"/>
        </w:rPr>
        <w:t xml:space="preserve">, </w:t>
      </w:r>
      <w:hyperlink r:id="rId9" w:history="1">
        <w:r w:rsidR="00070582" w:rsidRPr="00F636D1">
          <w:rPr>
            <w:rStyle w:val="Hyperlink"/>
            <w:rFonts w:cs="Times New Roman"/>
            <w:i/>
            <w:iCs/>
            <w:color w:val="auto"/>
            <w:szCs w:val="24"/>
            <w:u w:val="none"/>
          </w:rPr>
          <w:t>ECLI:LV:AT:2018:0928.C27207010.1.S</w:t>
        </w:r>
      </w:hyperlink>
      <w:r w:rsidR="00070582" w:rsidRPr="00F636D1">
        <w:rPr>
          <w:rFonts w:cs="Times New Roman"/>
          <w:b/>
          <w:bCs/>
          <w:color w:val="000000"/>
          <w:szCs w:val="24"/>
        </w:rPr>
        <w:t xml:space="preserve">, </w:t>
      </w:r>
      <w:r w:rsidR="00AB5C78" w:rsidRPr="00F636D1">
        <w:rPr>
          <w:rFonts w:cs="Times New Roman"/>
          <w:bCs/>
          <w:i/>
          <w:iCs/>
          <w:szCs w:val="24"/>
        </w:rPr>
        <w:t>11.5. punktu</w:t>
      </w:r>
      <w:r w:rsidR="00AB5C78" w:rsidRPr="00F636D1">
        <w:rPr>
          <w:rFonts w:cs="Times New Roman"/>
          <w:bCs/>
          <w:szCs w:val="24"/>
        </w:rPr>
        <w:t xml:space="preserve">). </w:t>
      </w:r>
    </w:p>
    <w:p w14:paraId="2F5C60DA" w14:textId="4B07C550" w:rsidR="00AB5C78" w:rsidRPr="00F636D1" w:rsidRDefault="00AB5C78" w:rsidP="00F636D1">
      <w:pPr>
        <w:spacing w:line="276" w:lineRule="auto"/>
        <w:ind w:firstLine="720"/>
        <w:jc w:val="both"/>
        <w:rPr>
          <w:rFonts w:cs="Times New Roman"/>
          <w:bCs/>
          <w:szCs w:val="24"/>
        </w:rPr>
      </w:pPr>
      <w:r w:rsidRPr="00F636D1">
        <w:rPr>
          <w:rFonts w:cs="Times New Roman"/>
          <w:bCs/>
          <w:szCs w:val="24"/>
        </w:rPr>
        <w:t>Tātad izskatāmajā lietā ir nozīme tam, vai apelācijas instances tiesa</w:t>
      </w:r>
      <w:r w:rsidR="0003661D" w:rsidRPr="00F636D1">
        <w:rPr>
          <w:rFonts w:cs="Times New Roman"/>
          <w:bCs/>
          <w:szCs w:val="24"/>
        </w:rPr>
        <w:t xml:space="preserve">, </w:t>
      </w:r>
      <w:r w:rsidR="004121A8" w:rsidRPr="00F636D1">
        <w:rPr>
          <w:rFonts w:cs="Times New Roman"/>
          <w:bCs/>
          <w:szCs w:val="24"/>
        </w:rPr>
        <w:t>no</w:t>
      </w:r>
      <w:r w:rsidR="0003661D" w:rsidRPr="00F636D1">
        <w:rPr>
          <w:rFonts w:cs="Times New Roman"/>
          <w:bCs/>
          <w:szCs w:val="24"/>
        </w:rPr>
        <w:t>vērtējot konkrētās lietas faktiskos apstākļus,</w:t>
      </w:r>
      <w:r w:rsidRPr="00F636D1">
        <w:rPr>
          <w:rFonts w:cs="Times New Roman"/>
          <w:bCs/>
          <w:szCs w:val="24"/>
        </w:rPr>
        <w:t xml:space="preserve"> ir pareizi piemērojusi Civillikuma 1415. pant</w:t>
      </w:r>
      <w:r w:rsidR="00CE381C" w:rsidRPr="00F636D1">
        <w:rPr>
          <w:rFonts w:cs="Times New Roman"/>
          <w:bCs/>
          <w:szCs w:val="24"/>
        </w:rPr>
        <w:t>a</w:t>
      </w:r>
      <w:r w:rsidRPr="00F636D1">
        <w:rPr>
          <w:rFonts w:cs="Times New Roman"/>
          <w:bCs/>
          <w:szCs w:val="24"/>
        </w:rPr>
        <w:t xml:space="preserve"> </w:t>
      </w:r>
      <w:r w:rsidR="0003661D" w:rsidRPr="00F636D1">
        <w:rPr>
          <w:rFonts w:cs="Times New Roman"/>
          <w:bCs/>
          <w:szCs w:val="24"/>
        </w:rPr>
        <w:t>noteikumu, ka par spēkā neesošiem atzīstami tādi darījumi, ar kuriem tiek apiets</w:t>
      </w:r>
      <w:r w:rsidRPr="00F636D1">
        <w:rPr>
          <w:rFonts w:cs="Times New Roman"/>
          <w:bCs/>
          <w:szCs w:val="24"/>
        </w:rPr>
        <w:t xml:space="preserve"> likum</w:t>
      </w:r>
      <w:r w:rsidR="0003661D" w:rsidRPr="00F636D1">
        <w:rPr>
          <w:rFonts w:cs="Times New Roman"/>
          <w:bCs/>
          <w:szCs w:val="24"/>
        </w:rPr>
        <w:t>s</w:t>
      </w:r>
      <w:r w:rsidRPr="00F636D1">
        <w:rPr>
          <w:rFonts w:cs="Times New Roman"/>
          <w:bCs/>
          <w:szCs w:val="24"/>
        </w:rPr>
        <w:t xml:space="preserve">. </w:t>
      </w:r>
    </w:p>
    <w:p w14:paraId="54BF1E60" w14:textId="46CE14B2" w:rsidR="00246C9D" w:rsidRPr="00F636D1" w:rsidRDefault="00AB5C78" w:rsidP="00F636D1">
      <w:pPr>
        <w:spacing w:line="276" w:lineRule="auto"/>
        <w:ind w:firstLine="720"/>
        <w:jc w:val="both"/>
        <w:rPr>
          <w:rFonts w:cs="Times New Roman"/>
          <w:bCs/>
          <w:szCs w:val="24"/>
        </w:rPr>
      </w:pPr>
      <w:r w:rsidRPr="00F636D1">
        <w:rPr>
          <w:rFonts w:cs="Times New Roman"/>
          <w:bCs/>
          <w:szCs w:val="24"/>
        </w:rPr>
        <w:t xml:space="preserve">[9.2] </w:t>
      </w:r>
      <w:r w:rsidR="004121A8" w:rsidRPr="00F636D1">
        <w:rPr>
          <w:rFonts w:cs="Times New Roman"/>
          <w:bCs/>
          <w:szCs w:val="24"/>
        </w:rPr>
        <w:t xml:space="preserve">Kā redzams no kasācijas sūdzībā ietvertās argumentācijas, </w:t>
      </w:r>
      <w:r w:rsidR="00A71DB5" w:rsidRPr="00F636D1">
        <w:rPr>
          <w:rFonts w:cs="Times New Roman"/>
          <w:bCs/>
          <w:szCs w:val="24"/>
        </w:rPr>
        <w:t>tās</w:t>
      </w:r>
      <w:r w:rsidR="004121A8" w:rsidRPr="00F636D1">
        <w:rPr>
          <w:rFonts w:cs="Times New Roman"/>
          <w:bCs/>
          <w:szCs w:val="24"/>
        </w:rPr>
        <w:t xml:space="preserve"> iesniedzēji savu viedokli par cesijas līgumu spēkā nees</w:t>
      </w:r>
      <w:r w:rsidR="00E83CC0" w:rsidRPr="00F636D1">
        <w:rPr>
          <w:rFonts w:cs="Times New Roman"/>
          <w:bCs/>
          <w:szCs w:val="24"/>
        </w:rPr>
        <w:t>ību</w:t>
      </w:r>
      <w:r w:rsidR="00172577" w:rsidRPr="00F636D1">
        <w:rPr>
          <w:rFonts w:cs="Times New Roman"/>
          <w:bCs/>
          <w:szCs w:val="24"/>
        </w:rPr>
        <w:t xml:space="preserve"> un atbilstošos juridiskos apsvērumus</w:t>
      </w:r>
      <w:r w:rsidR="004121A8" w:rsidRPr="00F636D1">
        <w:rPr>
          <w:rFonts w:cs="Times New Roman"/>
          <w:bCs/>
          <w:szCs w:val="24"/>
        </w:rPr>
        <w:t xml:space="preserve"> balsta uz </w:t>
      </w:r>
      <w:r w:rsidR="00C51E26" w:rsidRPr="00F636D1">
        <w:rPr>
          <w:rFonts w:cs="Times New Roman"/>
          <w:bCs/>
          <w:szCs w:val="24"/>
        </w:rPr>
        <w:t xml:space="preserve">subjektīvu </w:t>
      </w:r>
      <w:r w:rsidR="004121A8" w:rsidRPr="00F636D1">
        <w:rPr>
          <w:rFonts w:cs="Times New Roman"/>
          <w:bCs/>
          <w:szCs w:val="24"/>
        </w:rPr>
        <w:t>hipotētisku pieņēmumu par to, ka atbildētājas</w:t>
      </w:r>
      <w:r w:rsidR="00172577" w:rsidRPr="00F636D1">
        <w:rPr>
          <w:rFonts w:cs="Times New Roman"/>
          <w:bCs/>
          <w:szCs w:val="24"/>
        </w:rPr>
        <w:t>, iespējams,</w:t>
      </w:r>
      <w:r w:rsidR="004121A8" w:rsidRPr="00F636D1">
        <w:rPr>
          <w:rFonts w:cs="Times New Roman"/>
          <w:bCs/>
          <w:szCs w:val="24"/>
        </w:rPr>
        <w:t xml:space="preserve"> varētu iesniegt</w:t>
      </w:r>
      <w:r w:rsidR="00172577" w:rsidRPr="00F636D1">
        <w:rPr>
          <w:rFonts w:cs="Times New Roman"/>
          <w:bCs/>
          <w:szCs w:val="24"/>
        </w:rPr>
        <w:t xml:space="preserve"> SIA</w:t>
      </w:r>
      <w:r w:rsidR="00A71DB5" w:rsidRPr="00F636D1">
        <w:rPr>
          <w:rFonts w:cs="Times New Roman"/>
          <w:bCs/>
          <w:szCs w:val="24"/>
        </w:rPr>
        <w:t> </w:t>
      </w:r>
      <w:r w:rsidR="00172577" w:rsidRPr="00F636D1">
        <w:rPr>
          <w:rFonts w:cs="Times New Roman"/>
          <w:bCs/>
          <w:szCs w:val="24"/>
        </w:rPr>
        <w:t xml:space="preserve">,,LAFIKO.LV” un </w:t>
      </w:r>
      <w:r w:rsidR="008504BF" w:rsidRPr="00F636D1">
        <w:rPr>
          <w:rFonts w:cs="Times New Roman"/>
          <w:bCs/>
          <w:szCs w:val="24"/>
        </w:rPr>
        <w:t>AS</w:t>
      </w:r>
      <w:r w:rsidR="002C2504" w:rsidRPr="00F636D1">
        <w:rPr>
          <w:rFonts w:cs="Times New Roman"/>
          <w:bCs/>
          <w:szCs w:val="24"/>
        </w:rPr>
        <w:t> </w:t>
      </w:r>
      <w:r w:rsidR="00172577" w:rsidRPr="00F636D1">
        <w:rPr>
          <w:rFonts w:cs="Times New Roman"/>
          <w:bCs/>
          <w:szCs w:val="24"/>
        </w:rPr>
        <w:t xml:space="preserve">,,Latgales finanšu kompānija” maksātnespējas pieteikumu. </w:t>
      </w:r>
    </w:p>
    <w:p w14:paraId="05A16322" w14:textId="7D2312D1" w:rsidR="006C7189" w:rsidRPr="00F636D1" w:rsidRDefault="0017501C" w:rsidP="00F636D1">
      <w:pPr>
        <w:spacing w:line="276" w:lineRule="auto"/>
        <w:ind w:firstLine="720"/>
        <w:jc w:val="both"/>
        <w:rPr>
          <w:rFonts w:cs="Times New Roman"/>
          <w:bCs/>
          <w:szCs w:val="24"/>
        </w:rPr>
      </w:pPr>
      <w:r w:rsidRPr="00F636D1">
        <w:rPr>
          <w:rFonts w:cs="Times New Roman"/>
          <w:bCs/>
          <w:szCs w:val="24"/>
        </w:rPr>
        <w:t>Kā redzams no lietas materiāliem, tad atbildētāja SIA</w:t>
      </w:r>
      <w:r w:rsidR="002C2504" w:rsidRPr="00F636D1">
        <w:rPr>
          <w:rFonts w:cs="Times New Roman"/>
          <w:bCs/>
          <w:szCs w:val="24"/>
        </w:rPr>
        <w:t> </w:t>
      </w:r>
      <w:r w:rsidR="002C2504" w:rsidRPr="00F636D1">
        <w:rPr>
          <w:rFonts w:cs="Times New Roman"/>
          <w:szCs w:val="24"/>
        </w:rPr>
        <w:t xml:space="preserve">[firma] </w:t>
      </w:r>
      <w:r w:rsidRPr="00F636D1">
        <w:rPr>
          <w:rFonts w:cs="Times New Roman"/>
          <w:bCs/>
          <w:szCs w:val="24"/>
        </w:rPr>
        <w:t xml:space="preserve">2019. gada 17. jūlijā ir nosūtījusi katrai no prasītājām brīdinājumu par nodomu iesniegt maksātnespējas procesa pieteikumu, taču minētos pieteikumus tā tiesā nav iesniegusi. </w:t>
      </w:r>
      <w:r w:rsidR="00172577" w:rsidRPr="00F636D1">
        <w:rPr>
          <w:rFonts w:cs="Times New Roman"/>
          <w:bCs/>
          <w:szCs w:val="24"/>
        </w:rPr>
        <w:t>Šajā sakarā norādāms, ka juridiskās personas maksātnespēja</w:t>
      </w:r>
      <w:r w:rsidR="00A71DB5" w:rsidRPr="00F636D1">
        <w:rPr>
          <w:rFonts w:cs="Times New Roman"/>
          <w:bCs/>
          <w:szCs w:val="24"/>
        </w:rPr>
        <w:t>s iestāšanās ir</w:t>
      </w:r>
      <w:r w:rsidR="00172577" w:rsidRPr="00F636D1">
        <w:rPr>
          <w:rFonts w:cs="Times New Roman"/>
          <w:bCs/>
          <w:szCs w:val="24"/>
        </w:rPr>
        <w:t xml:space="preserve"> nosakāma </w:t>
      </w:r>
      <w:r w:rsidR="00A71DB5" w:rsidRPr="00F636D1">
        <w:rPr>
          <w:rFonts w:cs="Times New Roman"/>
          <w:bCs/>
          <w:szCs w:val="24"/>
        </w:rPr>
        <w:t>atbilstoši</w:t>
      </w:r>
      <w:r w:rsidR="00172577" w:rsidRPr="00F636D1">
        <w:rPr>
          <w:rFonts w:cs="Times New Roman"/>
          <w:bCs/>
          <w:szCs w:val="24"/>
        </w:rPr>
        <w:t xml:space="preserve"> objektīv</w:t>
      </w:r>
      <w:r w:rsidR="00C42ECA" w:rsidRPr="00F636D1">
        <w:rPr>
          <w:rFonts w:cs="Times New Roman"/>
          <w:bCs/>
          <w:szCs w:val="24"/>
        </w:rPr>
        <w:t>i pastāvošām</w:t>
      </w:r>
      <w:r w:rsidR="00172577" w:rsidRPr="00F636D1">
        <w:rPr>
          <w:rFonts w:cs="Times New Roman"/>
          <w:bCs/>
          <w:szCs w:val="24"/>
        </w:rPr>
        <w:t xml:space="preserve"> juridiskās personas maksātnespējas procesa pazīmēm, kas minētas Maksātnespējas likuma</w:t>
      </w:r>
      <w:r w:rsidR="002C2504" w:rsidRPr="00F636D1">
        <w:rPr>
          <w:rFonts w:cs="Times New Roman"/>
          <w:bCs/>
          <w:szCs w:val="24"/>
        </w:rPr>
        <w:t xml:space="preserve"> </w:t>
      </w:r>
      <w:r w:rsidR="00172577" w:rsidRPr="00F636D1">
        <w:rPr>
          <w:rFonts w:cs="Times New Roman"/>
          <w:bCs/>
          <w:szCs w:val="24"/>
        </w:rPr>
        <w:t xml:space="preserve">57. pantā. </w:t>
      </w:r>
      <w:r w:rsidR="00C42ECA" w:rsidRPr="00F636D1">
        <w:rPr>
          <w:rFonts w:cs="Times New Roman"/>
          <w:bCs/>
          <w:szCs w:val="24"/>
        </w:rPr>
        <w:t xml:space="preserve">Savukārt Maksātnespējas </w:t>
      </w:r>
      <w:r w:rsidR="00A71DB5" w:rsidRPr="00F636D1">
        <w:rPr>
          <w:rFonts w:cs="Times New Roman"/>
          <w:bCs/>
          <w:szCs w:val="24"/>
        </w:rPr>
        <w:t>likuma</w:t>
      </w:r>
      <w:r w:rsidR="00C42ECA" w:rsidRPr="00F636D1">
        <w:rPr>
          <w:rFonts w:cs="Times New Roman"/>
          <w:bCs/>
          <w:szCs w:val="24"/>
        </w:rPr>
        <w:t xml:space="preserve"> 60. pantā noteiktās personu</w:t>
      </w:r>
      <w:r w:rsidR="00A71DB5" w:rsidRPr="00F636D1">
        <w:rPr>
          <w:rFonts w:cs="Times New Roman"/>
          <w:bCs/>
          <w:szCs w:val="24"/>
        </w:rPr>
        <w:t>, tostarp nenodrošināto kreditoru,</w:t>
      </w:r>
      <w:r w:rsidR="00C42ECA" w:rsidRPr="00F636D1">
        <w:rPr>
          <w:rFonts w:cs="Times New Roman"/>
          <w:bCs/>
          <w:szCs w:val="24"/>
        </w:rPr>
        <w:t xml:space="preserve"> tiesības iesniegt juridiskās personas maksātnespējas procesa pieteikumu ir attiecīgo personu subjektīvās tiesības.</w:t>
      </w:r>
      <w:r w:rsidR="007E003B" w:rsidRPr="00F636D1">
        <w:rPr>
          <w:rFonts w:cs="Times New Roman"/>
          <w:bCs/>
          <w:szCs w:val="24"/>
        </w:rPr>
        <w:t xml:space="preserve"> Minētās subjektīvās tiesības a</w:t>
      </w:r>
      <w:r w:rsidR="009C5F85" w:rsidRPr="00F636D1">
        <w:rPr>
          <w:rFonts w:cs="Times New Roman"/>
          <w:bCs/>
          <w:szCs w:val="24"/>
        </w:rPr>
        <w:t xml:space="preserve">tbilstoši </w:t>
      </w:r>
      <w:r w:rsidR="007E003B" w:rsidRPr="00F636D1">
        <w:rPr>
          <w:rFonts w:cs="Times New Roman"/>
          <w:bCs/>
          <w:szCs w:val="24"/>
        </w:rPr>
        <w:t>Maksātnespējas likuma 6. panta 8. punktam</w:t>
      </w:r>
      <w:r w:rsidR="003D1352" w:rsidRPr="00F636D1">
        <w:rPr>
          <w:rFonts w:cs="Times New Roman"/>
          <w:bCs/>
          <w:szCs w:val="24"/>
        </w:rPr>
        <w:t xml:space="preserve"> </w:t>
      </w:r>
      <w:r w:rsidR="007E003B" w:rsidRPr="00F636D1">
        <w:rPr>
          <w:rFonts w:cs="Times New Roman"/>
          <w:bCs/>
          <w:szCs w:val="24"/>
        </w:rPr>
        <w:t>arī nenodrošinātajam kreditoram</w:t>
      </w:r>
      <w:r w:rsidR="003D1352" w:rsidRPr="00F636D1">
        <w:rPr>
          <w:rFonts w:cs="Times New Roman"/>
          <w:bCs/>
          <w:szCs w:val="24"/>
        </w:rPr>
        <w:t>, ja tas iesniedzis juridiskās personas maksātnespējas pieteikumu,</w:t>
      </w:r>
      <w:r w:rsidR="007E003B" w:rsidRPr="00F636D1">
        <w:rPr>
          <w:rFonts w:cs="Times New Roman"/>
          <w:bCs/>
          <w:szCs w:val="24"/>
        </w:rPr>
        <w:t xml:space="preserve"> ir jāizmanto labā ticībā. Tādēļ </w:t>
      </w:r>
      <w:r w:rsidR="003D1352" w:rsidRPr="00F636D1">
        <w:rPr>
          <w:rFonts w:cs="Times New Roman"/>
          <w:bCs/>
          <w:szCs w:val="24"/>
        </w:rPr>
        <w:t xml:space="preserve">var secināt, ka </w:t>
      </w:r>
      <w:r w:rsidR="006C7189" w:rsidRPr="00F636D1">
        <w:rPr>
          <w:rFonts w:cs="Times New Roman"/>
          <w:bCs/>
          <w:szCs w:val="24"/>
        </w:rPr>
        <w:t>tiesību jautājumi, uz kuriem norādīts kasācijas sūdzībā, lielā mērā ir saistīti nevis ar cesijas līgumu iespējamo prettiesiskumu, bet gan ar</w:t>
      </w:r>
      <w:r w:rsidR="00DE51DB" w:rsidRPr="00F636D1">
        <w:rPr>
          <w:rFonts w:cs="Times New Roman"/>
          <w:bCs/>
          <w:szCs w:val="24"/>
        </w:rPr>
        <w:t xml:space="preserve"> kreditora </w:t>
      </w:r>
      <w:r w:rsidR="006C7189" w:rsidRPr="00F636D1">
        <w:rPr>
          <w:rFonts w:cs="Times New Roman"/>
          <w:bCs/>
          <w:szCs w:val="24"/>
        </w:rPr>
        <w:t>tiesību labticīgu iz</w:t>
      </w:r>
      <w:r w:rsidR="00DE51DB" w:rsidRPr="00F636D1">
        <w:rPr>
          <w:rFonts w:cs="Times New Roman"/>
          <w:bCs/>
          <w:szCs w:val="24"/>
        </w:rPr>
        <w:t>lietošanu</w:t>
      </w:r>
      <w:r w:rsidR="006C7189" w:rsidRPr="00F636D1">
        <w:rPr>
          <w:rFonts w:cs="Times New Roman"/>
          <w:bCs/>
          <w:szCs w:val="24"/>
        </w:rPr>
        <w:t xml:space="preserve"> maksātnespējas procesā. </w:t>
      </w:r>
    </w:p>
    <w:p w14:paraId="6DB5372A" w14:textId="0E30EA83" w:rsidR="00246C9D" w:rsidRPr="00F636D1" w:rsidRDefault="007E003B" w:rsidP="00F636D1">
      <w:pPr>
        <w:spacing w:line="276" w:lineRule="auto"/>
        <w:ind w:firstLine="720"/>
        <w:jc w:val="both"/>
        <w:rPr>
          <w:rFonts w:cs="Times New Roman"/>
          <w:bCs/>
          <w:szCs w:val="24"/>
        </w:rPr>
      </w:pPr>
      <w:r w:rsidRPr="00F636D1">
        <w:rPr>
          <w:rFonts w:cs="Times New Roman"/>
          <w:bCs/>
          <w:szCs w:val="24"/>
        </w:rPr>
        <w:t>No kasācijas sūdzības redzams</w:t>
      </w:r>
      <w:r w:rsidR="00246C9D" w:rsidRPr="00F636D1">
        <w:rPr>
          <w:rFonts w:cs="Times New Roman"/>
          <w:bCs/>
          <w:szCs w:val="24"/>
        </w:rPr>
        <w:t xml:space="preserve">, ka nodrošinātā un nenodrošinātā kreditora tiesiskās iespējas </w:t>
      </w:r>
      <w:r w:rsidRPr="00F636D1">
        <w:rPr>
          <w:rFonts w:cs="Times New Roman"/>
          <w:bCs/>
          <w:szCs w:val="24"/>
        </w:rPr>
        <w:t xml:space="preserve">tajā </w:t>
      </w:r>
      <w:r w:rsidR="00246C9D" w:rsidRPr="00F636D1">
        <w:rPr>
          <w:rFonts w:cs="Times New Roman"/>
          <w:bCs/>
          <w:szCs w:val="24"/>
        </w:rPr>
        <w:t>ir atspoguļotas vienpusīgi</w:t>
      </w:r>
      <w:r w:rsidRPr="00F636D1">
        <w:rPr>
          <w:rFonts w:cs="Times New Roman"/>
          <w:bCs/>
          <w:szCs w:val="24"/>
        </w:rPr>
        <w:t>, liekot uzsvaru uz</w:t>
      </w:r>
      <w:r w:rsidR="003D1352" w:rsidRPr="00F636D1">
        <w:rPr>
          <w:rFonts w:cs="Times New Roman"/>
          <w:bCs/>
          <w:szCs w:val="24"/>
        </w:rPr>
        <w:t xml:space="preserve"> </w:t>
      </w:r>
      <w:r w:rsidRPr="00F636D1">
        <w:rPr>
          <w:rFonts w:cs="Times New Roman"/>
          <w:bCs/>
          <w:szCs w:val="24"/>
        </w:rPr>
        <w:t>nenodrošinātā kreditora priekšrocībām</w:t>
      </w:r>
      <w:r w:rsidR="003D1352" w:rsidRPr="00F636D1">
        <w:rPr>
          <w:rFonts w:cs="Times New Roman"/>
          <w:bCs/>
          <w:szCs w:val="24"/>
        </w:rPr>
        <w:t xml:space="preserve"> maksātnespējas procesa uzsākšanā</w:t>
      </w:r>
      <w:r w:rsidR="00246C9D" w:rsidRPr="00F636D1">
        <w:rPr>
          <w:rFonts w:cs="Times New Roman"/>
          <w:bCs/>
          <w:szCs w:val="24"/>
        </w:rPr>
        <w:t xml:space="preserve">. </w:t>
      </w:r>
      <w:r w:rsidR="003D1352" w:rsidRPr="00F636D1">
        <w:rPr>
          <w:rFonts w:cs="Times New Roman"/>
          <w:bCs/>
          <w:szCs w:val="24"/>
        </w:rPr>
        <w:t>Turpretī</w:t>
      </w:r>
      <w:r w:rsidR="00246C9D" w:rsidRPr="00F636D1">
        <w:rPr>
          <w:rFonts w:cs="Times New Roman"/>
          <w:bCs/>
          <w:szCs w:val="24"/>
        </w:rPr>
        <w:t xml:space="preserve"> Maksātnespējas likuma 61. panta normās ir minēti arī </w:t>
      </w:r>
      <w:r w:rsidR="00397E74" w:rsidRPr="00F636D1">
        <w:rPr>
          <w:rFonts w:cs="Times New Roman"/>
          <w:bCs/>
          <w:szCs w:val="24"/>
        </w:rPr>
        <w:t>i</w:t>
      </w:r>
      <w:r w:rsidR="00246C9D" w:rsidRPr="00F636D1">
        <w:rPr>
          <w:rFonts w:cs="Times New Roman"/>
          <w:bCs/>
          <w:szCs w:val="24"/>
        </w:rPr>
        <w:t xml:space="preserve">zņēmuma gadījumi, kad nodrošinātais kreditors </w:t>
      </w:r>
      <w:r w:rsidR="009C5F85" w:rsidRPr="00F636D1">
        <w:rPr>
          <w:rFonts w:cs="Times New Roman"/>
          <w:bCs/>
          <w:szCs w:val="24"/>
        </w:rPr>
        <w:t>var</w:t>
      </w:r>
      <w:r w:rsidR="00246C9D" w:rsidRPr="00F636D1">
        <w:rPr>
          <w:rFonts w:cs="Times New Roman"/>
          <w:bCs/>
          <w:szCs w:val="24"/>
        </w:rPr>
        <w:t xml:space="preserve"> </w:t>
      </w:r>
      <w:r w:rsidR="00246C9D" w:rsidRPr="00F636D1">
        <w:rPr>
          <w:rFonts w:cs="Times New Roman"/>
          <w:bCs/>
          <w:szCs w:val="24"/>
        </w:rPr>
        <w:lastRenderedPageBreak/>
        <w:t xml:space="preserve">iesniegt juridiskās personas maksātnespējas procesa pieteikumu, bet nenodrošinātais kreditors nav tiesīgs to darīt. </w:t>
      </w:r>
    </w:p>
    <w:p w14:paraId="5021DA3C" w14:textId="0AD5B4E5" w:rsidR="00526363" w:rsidRPr="00F636D1" w:rsidRDefault="00A71DB5" w:rsidP="00F636D1">
      <w:pPr>
        <w:spacing w:line="276" w:lineRule="auto"/>
        <w:ind w:firstLine="720"/>
        <w:jc w:val="both"/>
        <w:rPr>
          <w:rFonts w:cs="Times New Roman"/>
          <w:bCs/>
          <w:szCs w:val="24"/>
        </w:rPr>
      </w:pPr>
      <w:r w:rsidRPr="00F636D1">
        <w:rPr>
          <w:rFonts w:cs="Times New Roman"/>
          <w:bCs/>
          <w:szCs w:val="24"/>
        </w:rPr>
        <w:t xml:space="preserve">Par nenodrošināto kreditoru tiesību subjekts var </w:t>
      </w:r>
      <w:r w:rsidR="00CC3077" w:rsidRPr="00F636D1">
        <w:rPr>
          <w:rFonts w:cs="Times New Roman"/>
          <w:bCs/>
          <w:szCs w:val="24"/>
        </w:rPr>
        <w:t>tiesisk</w:t>
      </w:r>
      <w:r w:rsidR="00C772F7" w:rsidRPr="00F636D1">
        <w:rPr>
          <w:rFonts w:cs="Times New Roman"/>
          <w:bCs/>
          <w:szCs w:val="24"/>
        </w:rPr>
        <w:t>ā ceļā</w:t>
      </w:r>
      <w:r w:rsidR="00CC3077" w:rsidRPr="00F636D1">
        <w:rPr>
          <w:rFonts w:cs="Times New Roman"/>
          <w:bCs/>
          <w:szCs w:val="24"/>
        </w:rPr>
        <w:t xml:space="preserve"> </w:t>
      </w:r>
      <w:r w:rsidRPr="00F636D1">
        <w:rPr>
          <w:rFonts w:cs="Times New Roman"/>
          <w:bCs/>
          <w:szCs w:val="24"/>
        </w:rPr>
        <w:t>kļūt</w:t>
      </w:r>
      <w:r w:rsidR="00245FF8" w:rsidRPr="00F636D1">
        <w:rPr>
          <w:rFonts w:cs="Times New Roman"/>
          <w:bCs/>
          <w:szCs w:val="24"/>
        </w:rPr>
        <w:t>,</w:t>
      </w:r>
      <w:r w:rsidRPr="00F636D1">
        <w:rPr>
          <w:rFonts w:cs="Times New Roman"/>
          <w:bCs/>
          <w:szCs w:val="24"/>
        </w:rPr>
        <w:t xml:space="preserve"> </w:t>
      </w:r>
      <w:r w:rsidR="00245FF8" w:rsidRPr="00F636D1">
        <w:rPr>
          <w:rFonts w:cs="Times New Roman"/>
          <w:bCs/>
          <w:szCs w:val="24"/>
        </w:rPr>
        <w:t>ne tikai</w:t>
      </w:r>
      <w:r w:rsidR="00DA0035" w:rsidRPr="00F636D1">
        <w:rPr>
          <w:rFonts w:cs="Times New Roman"/>
          <w:bCs/>
          <w:szCs w:val="24"/>
        </w:rPr>
        <w:t>,</w:t>
      </w:r>
      <w:r w:rsidR="00245FF8" w:rsidRPr="00F636D1">
        <w:rPr>
          <w:rFonts w:cs="Times New Roman"/>
          <w:bCs/>
          <w:szCs w:val="24"/>
        </w:rPr>
        <w:t xml:space="preserve"> iegūstot prasījumu uz cesijas līguma pamata, bet arī citos</w:t>
      </w:r>
      <w:r w:rsidRPr="00F636D1">
        <w:rPr>
          <w:rFonts w:cs="Times New Roman"/>
          <w:bCs/>
          <w:szCs w:val="24"/>
        </w:rPr>
        <w:t xml:space="preserve"> veidos. </w:t>
      </w:r>
      <w:r w:rsidR="00526363" w:rsidRPr="00F636D1">
        <w:rPr>
          <w:rFonts w:cs="Times New Roman"/>
          <w:bCs/>
          <w:szCs w:val="24"/>
        </w:rPr>
        <w:t xml:space="preserve">Salīdzinājumam </w:t>
      </w:r>
      <w:r w:rsidR="009C5F85" w:rsidRPr="00F636D1">
        <w:rPr>
          <w:rFonts w:cs="Times New Roman"/>
          <w:bCs/>
          <w:szCs w:val="24"/>
        </w:rPr>
        <w:t>norādāms</w:t>
      </w:r>
      <w:r w:rsidR="00526363" w:rsidRPr="00F636D1">
        <w:rPr>
          <w:rFonts w:cs="Times New Roman"/>
          <w:bCs/>
          <w:szCs w:val="24"/>
        </w:rPr>
        <w:t xml:space="preserve">, ka saskaņā ar Maksātnespējas likuma 7. panta otrās daļas otro teikumu nodrošinātais kreditors ir tiesīgs jebkurā jau uzsākta maksātnespējas procesa stadijā pilnībā vai daļēji atteikties no prasījuma tiesību nodrošinājuma, izdarot attiecīgus grozījumus publiskajos reģistros. </w:t>
      </w:r>
      <w:r w:rsidR="00CC3077" w:rsidRPr="00F636D1">
        <w:rPr>
          <w:rFonts w:cs="Times New Roman"/>
          <w:bCs/>
          <w:szCs w:val="24"/>
        </w:rPr>
        <w:t>Senāts nepiekrīt kasācijas sūdzības iesniedzēju paustajam uzskatam, ka nenodrošinātā kreditora statusa iegūšana</w:t>
      </w:r>
      <w:r w:rsidR="006C7189" w:rsidRPr="00F636D1">
        <w:rPr>
          <w:rFonts w:cs="Times New Roman"/>
          <w:bCs/>
          <w:szCs w:val="24"/>
        </w:rPr>
        <w:t xml:space="preserve"> hipotētiskā maksātnespējas procesā</w:t>
      </w:r>
      <w:r w:rsidR="00CC3077" w:rsidRPr="00F636D1">
        <w:rPr>
          <w:rFonts w:cs="Times New Roman"/>
          <w:bCs/>
          <w:szCs w:val="24"/>
        </w:rPr>
        <w:t>, ar cesiju pārņemot prasījuma tiesības, kas iepriekš bijušas nodrošinātas, Civillikuma</w:t>
      </w:r>
      <w:r w:rsidR="0080341D" w:rsidRPr="00F636D1">
        <w:rPr>
          <w:rFonts w:cs="Times New Roman"/>
          <w:bCs/>
          <w:szCs w:val="24"/>
        </w:rPr>
        <w:t xml:space="preserve"> </w:t>
      </w:r>
      <w:r w:rsidR="00CC3077" w:rsidRPr="00F636D1">
        <w:rPr>
          <w:rFonts w:cs="Times New Roman"/>
          <w:bCs/>
          <w:szCs w:val="24"/>
        </w:rPr>
        <w:t>1415. panta izpratnē ir prettiesiska.</w:t>
      </w:r>
      <w:r w:rsidR="00526363" w:rsidRPr="00F636D1">
        <w:rPr>
          <w:rFonts w:cs="Times New Roman"/>
          <w:bCs/>
          <w:szCs w:val="24"/>
        </w:rPr>
        <w:t xml:space="preserve"> </w:t>
      </w:r>
    </w:p>
    <w:p w14:paraId="616DB2F1" w14:textId="1BE2D82C" w:rsidR="0094474C" w:rsidRPr="00F636D1" w:rsidRDefault="00397E74" w:rsidP="00F636D1">
      <w:pPr>
        <w:spacing w:line="276" w:lineRule="auto"/>
        <w:ind w:firstLine="720"/>
        <w:jc w:val="both"/>
        <w:rPr>
          <w:rFonts w:cs="Times New Roman"/>
          <w:bCs/>
          <w:szCs w:val="24"/>
        </w:rPr>
      </w:pPr>
      <w:r w:rsidRPr="00F636D1">
        <w:rPr>
          <w:rFonts w:cs="Times New Roman"/>
          <w:bCs/>
          <w:szCs w:val="24"/>
        </w:rPr>
        <w:t xml:space="preserve">Senāta ieskatā </w:t>
      </w:r>
      <w:r w:rsidR="00C51E26" w:rsidRPr="00F636D1">
        <w:rPr>
          <w:rFonts w:cs="Times New Roman"/>
          <w:bCs/>
          <w:szCs w:val="24"/>
        </w:rPr>
        <w:t>tiesa</w:t>
      </w:r>
      <w:r w:rsidR="009C5F85" w:rsidRPr="00F636D1">
        <w:rPr>
          <w:rFonts w:cs="Times New Roman"/>
          <w:bCs/>
          <w:szCs w:val="24"/>
        </w:rPr>
        <w:t xml:space="preserve">, </w:t>
      </w:r>
      <w:r w:rsidR="00C51E26" w:rsidRPr="00F636D1">
        <w:rPr>
          <w:rFonts w:cs="Times New Roman"/>
          <w:bCs/>
          <w:szCs w:val="24"/>
        </w:rPr>
        <w:t>ne</w:t>
      </w:r>
      <w:r w:rsidR="00D15523" w:rsidRPr="00F636D1">
        <w:rPr>
          <w:rFonts w:cs="Times New Roman"/>
          <w:bCs/>
          <w:szCs w:val="24"/>
        </w:rPr>
        <w:t>konstatējot to</w:t>
      </w:r>
      <w:r w:rsidR="00C51E26" w:rsidRPr="00F636D1">
        <w:rPr>
          <w:rFonts w:cs="Times New Roman"/>
          <w:bCs/>
          <w:szCs w:val="24"/>
        </w:rPr>
        <w:t>, ka noslēgtie cesijas līgumi būtu pasliktinājuši prasītāju kā parādnieču tiesisko stāvokli</w:t>
      </w:r>
      <w:r w:rsidR="009C5F85" w:rsidRPr="00F636D1">
        <w:rPr>
          <w:rFonts w:cs="Times New Roman"/>
          <w:bCs/>
          <w:szCs w:val="24"/>
        </w:rPr>
        <w:t>,</w:t>
      </w:r>
      <w:r w:rsidR="00C51E26" w:rsidRPr="00F636D1">
        <w:rPr>
          <w:rFonts w:cs="Times New Roman"/>
          <w:bCs/>
          <w:szCs w:val="24"/>
        </w:rPr>
        <w:t xml:space="preserve"> </w:t>
      </w:r>
      <w:r w:rsidR="009C5F85" w:rsidRPr="00F636D1">
        <w:rPr>
          <w:rFonts w:cs="Times New Roman"/>
          <w:bCs/>
          <w:szCs w:val="24"/>
        </w:rPr>
        <w:t>ir pareizi piemērojusi Civillikuma</w:t>
      </w:r>
      <w:r w:rsidR="0080341D" w:rsidRPr="00F636D1">
        <w:rPr>
          <w:rFonts w:cs="Times New Roman"/>
          <w:bCs/>
          <w:szCs w:val="24"/>
        </w:rPr>
        <w:t xml:space="preserve"> </w:t>
      </w:r>
      <w:r w:rsidR="009C5F85" w:rsidRPr="00F636D1">
        <w:rPr>
          <w:rFonts w:cs="Times New Roman"/>
          <w:bCs/>
          <w:szCs w:val="24"/>
        </w:rPr>
        <w:t>1807.</w:t>
      </w:r>
      <w:r w:rsidR="0080341D" w:rsidRPr="00F636D1">
        <w:rPr>
          <w:rFonts w:cs="Times New Roman"/>
          <w:bCs/>
          <w:szCs w:val="24"/>
        </w:rPr>
        <w:t> </w:t>
      </w:r>
      <w:r w:rsidR="009C5F85" w:rsidRPr="00F636D1">
        <w:rPr>
          <w:rFonts w:cs="Times New Roman"/>
          <w:bCs/>
          <w:szCs w:val="24"/>
        </w:rPr>
        <w:t>pantu</w:t>
      </w:r>
      <w:r w:rsidR="0094474C" w:rsidRPr="00F636D1">
        <w:rPr>
          <w:rFonts w:cs="Times New Roman"/>
          <w:bCs/>
          <w:szCs w:val="24"/>
        </w:rPr>
        <w:t>, bet kasācijas sūdzības iesniedzēju</w:t>
      </w:r>
      <w:r w:rsidR="00587F7A" w:rsidRPr="00F636D1">
        <w:rPr>
          <w:rFonts w:cs="Times New Roman"/>
          <w:bCs/>
          <w:szCs w:val="24"/>
        </w:rPr>
        <w:t xml:space="preserve"> apsvērumi</w:t>
      </w:r>
      <w:r w:rsidR="0094474C" w:rsidRPr="00F636D1">
        <w:rPr>
          <w:rFonts w:cs="Times New Roman"/>
          <w:bCs/>
          <w:szCs w:val="24"/>
        </w:rPr>
        <w:t xml:space="preserve"> par minētā panta kļūdainu interpretāciju ir noraidām</w:t>
      </w:r>
      <w:r w:rsidR="00587F7A" w:rsidRPr="00F636D1">
        <w:rPr>
          <w:rFonts w:cs="Times New Roman"/>
          <w:bCs/>
          <w:szCs w:val="24"/>
        </w:rPr>
        <w:t>i</w:t>
      </w:r>
      <w:r w:rsidR="0094474C" w:rsidRPr="00F636D1">
        <w:rPr>
          <w:rFonts w:cs="Times New Roman"/>
          <w:bCs/>
          <w:szCs w:val="24"/>
        </w:rPr>
        <w:t xml:space="preserve">. </w:t>
      </w:r>
      <w:r w:rsidR="00572DB9" w:rsidRPr="00F636D1">
        <w:rPr>
          <w:rFonts w:cs="Times New Roman"/>
          <w:bCs/>
          <w:szCs w:val="24"/>
        </w:rPr>
        <w:t xml:space="preserve">Tiesa ir pamatoti </w:t>
      </w:r>
      <w:r w:rsidR="0023081B" w:rsidRPr="00F636D1">
        <w:rPr>
          <w:rFonts w:cs="Times New Roman"/>
          <w:bCs/>
          <w:szCs w:val="24"/>
        </w:rPr>
        <w:t>atzinusi</w:t>
      </w:r>
      <w:r w:rsidR="00572DB9" w:rsidRPr="00F636D1">
        <w:rPr>
          <w:rFonts w:cs="Times New Roman"/>
          <w:bCs/>
          <w:szCs w:val="24"/>
        </w:rPr>
        <w:t xml:space="preserve">, ka pat maksātnespējas procesa ietvaros cesionārs nebūs tiesīgs prasīt vairāk par tam cedētā prasījuma apmēru. </w:t>
      </w:r>
    </w:p>
    <w:p w14:paraId="03EC9897" w14:textId="10BD74E7" w:rsidR="00CD1DC9" w:rsidRPr="00F636D1" w:rsidRDefault="00EC6A12" w:rsidP="00F636D1">
      <w:pPr>
        <w:spacing w:line="276" w:lineRule="auto"/>
        <w:ind w:firstLine="720"/>
        <w:jc w:val="both"/>
        <w:rPr>
          <w:rFonts w:cs="Times New Roman"/>
          <w:bCs/>
          <w:szCs w:val="24"/>
        </w:rPr>
      </w:pPr>
      <w:r w:rsidRPr="00F636D1">
        <w:rPr>
          <w:rFonts w:cs="Times New Roman"/>
          <w:bCs/>
          <w:szCs w:val="24"/>
        </w:rPr>
        <w:t xml:space="preserve">[9.3] </w:t>
      </w:r>
      <w:r w:rsidR="00D15523" w:rsidRPr="00F636D1">
        <w:rPr>
          <w:rFonts w:cs="Times New Roman"/>
          <w:bCs/>
          <w:szCs w:val="24"/>
        </w:rPr>
        <w:t xml:space="preserve">Ievērojot minēto, </w:t>
      </w:r>
      <w:r w:rsidR="00DE51DB" w:rsidRPr="00F636D1">
        <w:rPr>
          <w:rFonts w:cs="Times New Roman"/>
          <w:bCs/>
          <w:szCs w:val="24"/>
        </w:rPr>
        <w:t>nav gūstam</w:t>
      </w:r>
      <w:r w:rsidR="00E83CC0" w:rsidRPr="00F636D1">
        <w:rPr>
          <w:rFonts w:cs="Times New Roman"/>
          <w:bCs/>
          <w:szCs w:val="24"/>
        </w:rPr>
        <w:t>s</w:t>
      </w:r>
      <w:r w:rsidR="00D15523" w:rsidRPr="00F636D1">
        <w:rPr>
          <w:rFonts w:cs="Times New Roman"/>
          <w:bCs/>
          <w:szCs w:val="24"/>
        </w:rPr>
        <w:t xml:space="preserve"> </w:t>
      </w:r>
      <w:r w:rsidR="00CD1DC9" w:rsidRPr="00F636D1">
        <w:rPr>
          <w:rFonts w:cs="Times New Roman"/>
          <w:bCs/>
          <w:szCs w:val="24"/>
        </w:rPr>
        <w:t>apstiprinājum</w:t>
      </w:r>
      <w:r w:rsidR="00DE51DB" w:rsidRPr="00F636D1">
        <w:rPr>
          <w:rFonts w:cs="Times New Roman"/>
          <w:bCs/>
          <w:szCs w:val="24"/>
        </w:rPr>
        <w:t>s kasācijas sūdzības iesniedzēju viedoklim</w:t>
      </w:r>
      <w:r w:rsidR="00CD1DC9" w:rsidRPr="00F636D1">
        <w:rPr>
          <w:rFonts w:cs="Times New Roman"/>
          <w:bCs/>
          <w:szCs w:val="24"/>
        </w:rPr>
        <w:t>, ka tiesa Civillikuma</w:t>
      </w:r>
      <w:r w:rsidR="0094474C" w:rsidRPr="00F636D1">
        <w:rPr>
          <w:rFonts w:cs="Times New Roman"/>
          <w:bCs/>
          <w:szCs w:val="24"/>
        </w:rPr>
        <w:t xml:space="preserve"> </w:t>
      </w:r>
      <w:r w:rsidR="00CD1DC9" w:rsidRPr="00F636D1">
        <w:rPr>
          <w:rFonts w:cs="Times New Roman"/>
          <w:bCs/>
          <w:szCs w:val="24"/>
        </w:rPr>
        <w:t>1415</w:t>
      </w:r>
      <w:r w:rsidR="0094474C" w:rsidRPr="00F636D1">
        <w:rPr>
          <w:rFonts w:cs="Times New Roman"/>
          <w:bCs/>
          <w:szCs w:val="24"/>
        </w:rPr>
        <w:t>., 1807. pantu</w:t>
      </w:r>
      <w:r w:rsidR="00CD1DC9" w:rsidRPr="00F636D1">
        <w:rPr>
          <w:rFonts w:cs="Times New Roman"/>
          <w:bCs/>
          <w:szCs w:val="24"/>
        </w:rPr>
        <w:t xml:space="preserve"> un Maksātnespējas likuma 61. pantu</w:t>
      </w:r>
      <w:r w:rsidR="00D15523" w:rsidRPr="00F636D1">
        <w:rPr>
          <w:rFonts w:cs="Times New Roman"/>
          <w:bCs/>
          <w:szCs w:val="24"/>
        </w:rPr>
        <w:t xml:space="preserve"> būtu</w:t>
      </w:r>
      <w:r w:rsidR="00CD1DC9" w:rsidRPr="00F636D1">
        <w:rPr>
          <w:rFonts w:cs="Times New Roman"/>
          <w:bCs/>
          <w:szCs w:val="24"/>
        </w:rPr>
        <w:t xml:space="preserve"> piemērojusi nepareizi</w:t>
      </w:r>
      <w:r w:rsidR="0094474C" w:rsidRPr="00F636D1">
        <w:rPr>
          <w:rFonts w:cs="Times New Roman"/>
          <w:bCs/>
          <w:szCs w:val="24"/>
        </w:rPr>
        <w:t xml:space="preserve">. </w:t>
      </w:r>
    </w:p>
    <w:p w14:paraId="40C3BB73" w14:textId="26A6824B" w:rsidR="00C51E26" w:rsidRPr="00F636D1" w:rsidRDefault="00C51E26" w:rsidP="00F636D1">
      <w:pPr>
        <w:spacing w:line="276" w:lineRule="auto"/>
        <w:ind w:firstLine="720"/>
        <w:jc w:val="both"/>
        <w:rPr>
          <w:rFonts w:cs="Times New Roman"/>
          <w:bCs/>
          <w:szCs w:val="24"/>
        </w:rPr>
      </w:pPr>
    </w:p>
    <w:p w14:paraId="5B440963" w14:textId="59069E4D" w:rsidR="00982FC1" w:rsidRPr="00F636D1" w:rsidRDefault="00CD1DC9" w:rsidP="00F636D1">
      <w:pPr>
        <w:spacing w:line="276" w:lineRule="auto"/>
        <w:ind w:firstLine="720"/>
        <w:jc w:val="both"/>
        <w:rPr>
          <w:rFonts w:cs="Times New Roman"/>
          <w:bCs/>
          <w:szCs w:val="24"/>
        </w:rPr>
      </w:pPr>
      <w:r w:rsidRPr="00F636D1">
        <w:rPr>
          <w:rFonts w:cs="Times New Roman"/>
          <w:bCs/>
          <w:szCs w:val="24"/>
        </w:rPr>
        <w:t xml:space="preserve">[10] </w:t>
      </w:r>
      <w:r w:rsidR="00881D69" w:rsidRPr="00F636D1">
        <w:rPr>
          <w:rFonts w:cs="Times New Roman"/>
          <w:bCs/>
          <w:szCs w:val="24"/>
        </w:rPr>
        <w:t xml:space="preserve">Noraidāmi ir </w:t>
      </w:r>
      <w:r w:rsidR="00982FC1" w:rsidRPr="00F636D1">
        <w:rPr>
          <w:rFonts w:cs="Times New Roman"/>
          <w:bCs/>
          <w:szCs w:val="24"/>
        </w:rPr>
        <w:t xml:space="preserve">arī </w:t>
      </w:r>
      <w:r w:rsidR="00881D69" w:rsidRPr="00F636D1">
        <w:rPr>
          <w:rFonts w:cs="Times New Roman"/>
          <w:bCs/>
          <w:szCs w:val="24"/>
        </w:rPr>
        <w:t xml:space="preserve">kasācijas sūdzībā minētie apsvērumi par to, ka </w:t>
      </w:r>
      <w:r w:rsidR="00AF661F" w:rsidRPr="00F636D1">
        <w:rPr>
          <w:rFonts w:cs="Times New Roman"/>
          <w:bCs/>
          <w:szCs w:val="24"/>
        </w:rPr>
        <w:t xml:space="preserve">tiesa pārkāpusi </w:t>
      </w:r>
      <w:r w:rsidR="00881D69" w:rsidRPr="00F636D1">
        <w:rPr>
          <w:rFonts w:cs="Times New Roman"/>
          <w:bCs/>
          <w:szCs w:val="24"/>
        </w:rPr>
        <w:t>Civilprocesa likuma</w:t>
      </w:r>
      <w:r w:rsidR="0080341D" w:rsidRPr="00F636D1">
        <w:rPr>
          <w:rFonts w:cs="Times New Roman"/>
          <w:bCs/>
          <w:szCs w:val="24"/>
        </w:rPr>
        <w:t xml:space="preserve"> </w:t>
      </w:r>
      <w:r w:rsidR="00881D69" w:rsidRPr="00F636D1">
        <w:rPr>
          <w:rFonts w:cs="Times New Roman"/>
          <w:bCs/>
          <w:szCs w:val="24"/>
        </w:rPr>
        <w:t>97.</w:t>
      </w:r>
      <w:r w:rsidR="00AF661F" w:rsidRPr="00F636D1">
        <w:rPr>
          <w:rFonts w:cs="Times New Roman"/>
          <w:bCs/>
          <w:szCs w:val="24"/>
        </w:rPr>
        <w:t xml:space="preserve"> pantu un spriedums neatbilst</w:t>
      </w:r>
      <w:r w:rsidR="00881D69" w:rsidRPr="00F636D1">
        <w:rPr>
          <w:rFonts w:cs="Times New Roman"/>
          <w:bCs/>
          <w:szCs w:val="24"/>
        </w:rPr>
        <w:t xml:space="preserve"> 192. un 418. pant</w:t>
      </w:r>
      <w:r w:rsidR="00982FC1" w:rsidRPr="00F636D1">
        <w:rPr>
          <w:rFonts w:cs="Times New Roman"/>
          <w:bCs/>
          <w:szCs w:val="24"/>
        </w:rPr>
        <w:t xml:space="preserve">a </w:t>
      </w:r>
      <w:r w:rsidR="00AF661F" w:rsidRPr="00F636D1">
        <w:rPr>
          <w:rFonts w:cs="Times New Roman"/>
          <w:bCs/>
          <w:szCs w:val="24"/>
        </w:rPr>
        <w:t>prasībām</w:t>
      </w:r>
      <w:r w:rsidR="00881D69" w:rsidRPr="00F636D1">
        <w:rPr>
          <w:rFonts w:cs="Times New Roman"/>
          <w:bCs/>
          <w:szCs w:val="24"/>
        </w:rPr>
        <w:t xml:space="preserve">. </w:t>
      </w:r>
    </w:p>
    <w:p w14:paraId="5E29E685" w14:textId="4635D5B1" w:rsidR="00AF4133" w:rsidRPr="00F636D1" w:rsidRDefault="00982FC1" w:rsidP="00F636D1">
      <w:pPr>
        <w:spacing w:line="276" w:lineRule="auto"/>
        <w:ind w:firstLine="720"/>
        <w:jc w:val="both"/>
        <w:rPr>
          <w:rFonts w:cs="Times New Roman"/>
          <w:bCs/>
          <w:szCs w:val="24"/>
        </w:rPr>
      </w:pPr>
      <w:r w:rsidRPr="00F636D1">
        <w:rPr>
          <w:rFonts w:cs="Times New Roman"/>
          <w:bCs/>
          <w:szCs w:val="24"/>
        </w:rPr>
        <w:t>Kaut arī kasācijas sūdzības iesniedzējas norāda, ka tiesa pārkāpusi Civilprocesa likuma</w:t>
      </w:r>
      <w:r w:rsidR="009F5822" w:rsidRPr="00F636D1">
        <w:rPr>
          <w:rFonts w:cs="Times New Roman"/>
          <w:bCs/>
          <w:szCs w:val="24"/>
        </w:rPr>
        <w:t xml:space="preserve"> </w:t>
      </w:r>
      <w:r w:rsidRPr="00F636D1">
        <w:rPr>
          <w:rFonts w:cs="Times New Roman"/>
          <w:bCs/>
          <w:szCs w:val="24"/>
        </w:rPr>
        <w:t xml:space="preserve">97. pantā pirmajā un trešajā daļā noteikto, kasācijas sūdzībā nav argumentācijas tam, kā tieši izpaudušies pierādījumu novērtēšanas pārkāpumi. Kasācijas sūdzībā vien norādīts uz to, ka tiesa nav saskatījusi pamatu iejaukties atbildētāju </w:t>
      </w:r>
      <w:proofErr w:type="spellStart"/>
      <w:r w:rsidRPr="00F636D1">
        <w:rPr>
          <w:rFonts w:cs="Times New Roman"/>
          <w:bCs/>
          <w:szCs w:val="24"/>
        </w:rPr>
        <w:t>privātautonomijā</w:t>
      </w:r>
      <w:proofErr w:type="spellEnd"/>
      <w:r w:rsidRPr="00F636D1">
        <w:rPr>
          <w:rFonts w:cs="Times New Roman"/>
          <w:bCs/>
          <w:szCs w:val="24"/>
        </w:rPr>
        <w:t xml:space="preserve">. </w:t>
      </w:r>
      <w:r w:rsidR="000920CD" w:rsidRPr="00F636D1">
        <w:rPr>
          <w:rFonts w:cs="Times New Roman"/>
          <w:bCs/>
          <w:szCs w:val="24"/>
        </w:rPr>
        <w:t>Senātam nav iemesla apšaubīt, ka m</w:t>
      </w:r>
      <w:r w:rsidRPr="00F636D1">
        <w:rPr>
          <w:rFonts w:cs="Times New Roman"/>
          <w:bCs/>
          <w:szCs w:val="24"/>
        </w:rPr>
        <w:t>inētā tiesas atziņa izriet</w:t>
      </w:r>
      <w:r w:rsidR="00AF661F" w:rsidRPr="00F636D1">
        <w:rPr>
          <w:rFonts w:cs="Times New Roman"/>
          <w:bCs/>
          <w:szCs w:val="24"/>
        </w:rPr>
        <w:t xml:space="preserve"> ne vien no pierādījumu izvērtējuma, bet arī</w:t>
      </w:r>
      <w:r w:rsidRPr="00F636D1">
        <w:rPr>
          <w:rFonts w:cs="Times New Roman"/>
          <w:bCs/>
          <w:szCs w:val="24"/>
        </w:rPr>
        <w:t xml:space="preserve"> no materiālo tiesību normu interpretācijas</w:t>
      </w:r>
      <w:r w:rsidR="000920CD" w:rsidRPr="00F636D1">
        <w:rPr>
          <w:rFonts w:cs="Times New Roman"/>
          <w:bCs/>
          <w:szCs w:val="24"/>
        </w:rPr>
        <w:t>, uz kuras pareizību jau norādīts šā sprieduma 8. un 9. punktā</w:t>
      </w:r>
      <w:r w:rsidR="00AF4133" w:rsidRPr="00F636D1">
        <w:rPr>
          <w:rFonts w:cs="Times New Roman"/>
          <w:bCs/>
          <w:szCs w:val="24"/>
        </w:rPr>
        <w:t xml:space="preserve">. </w:t>
      </w:r>
    </w:p>
    <w:p w14:paraId="228B05D4" w14:textId="7C6CEDB4" w:rsidR="002F6938" w:rsidRPr="00F636D1" w:rsidRDefault="0023081B" w:rsidP="00F636D1">
      <w:pPr>
        <w:spacing w:line="276" w:lineRule="auto"/>
        <w:ind w:firstLine="720"/>
        <w:jc w:val="both"/>
        <w:rPr>
          <w:rFonts w:cs="Times New Roman"/>
          <w:bCs/>
          <w:szCs w:val="24"/>
        </w:rPr>
      </w:pPr>
      <w:r w:rsidRPr="00F636D1">
        <w:rPr>
          <w:rFonts w:cs="Times New Roman"/>
          <w:bCs/>
          <w:szCs w:val="24"/>
        </w:rPr>
        <w:t xml:space="preserve">Attiecībā uz parādsaistību </w:t>
      </w:r>
      <w:r w:rsidR="00DE51DB" w:rsidRPr="00F636D1">
        <w:rPr>
          <w:rFonts w:cs="Times New Roman"/>
          <w:bCs/>
          <w:szCs w:val="24"/>
        </w:rPr>
        <w:t>pastāvēšanu</w:t>
      </w:r>
      <w:r w:rsidRPr="00F636D1">
        <w:rPr>
          <w:rFonts w:cs="Times New Roman"/>
          <w:bCs/>
          <w:szCs w:val="24"/>
        </w:rPr>
        <w:t xml:space="preserve"> tiesa ir konstatējusi, ka parādsaistību esību pret sākotnējo kreditor</w:t>
      </w:r>
      <w:r w:rsidR="00E83CC0" w:rsidRPr="00F636D1">
        <w:rPr>
          <w:rFonts w:cs="Times New Roman"/>
          <w:bCs/>
          <w:szCs w:val="24"/>
        </w:rPr>
        <w:t>i</w:t>
      </w:r>
      <w:r w:rsidRPr="00F636D1">
        <w:rPr>
          <w:rFonts w:cs="Times New Roman"/>
          <w:bCs/>
          <w:szCs w:val="24"/>
        </w:rPr>
        <w:t xml:space="preserve"> AS</w:t>
      </w:r>
      <w:r w:rsidR="0080341D" w:rsidRPr="00F636D1">
        <w:rPr>
          <w:rFonts w:cs="Times New Roman"/>
          <w:bCs/>
          <w:szCs w:val="24"/>
        </w:rPr>
        <w:t> </w:t>
      </w:r>
      <w:r w:rsidRPr="00F636D1">
        <w:rPr>
          <w:rFonts w:cs="Times New Roman"/>
          <w:bCs/>
          <w:szCs w:val="24"/>
        </w:rPr>
        <w:t>,,</w:t>
      </w:r>
      <w:proofErr w:type="spellStart"/>
      <w:r w:rsidRPr="00F636D1">
        <w:rPr>
          <w:rFonts w:cs="Times New Roman"/>
          <w:bCs/>
          <w:szCs w:val="24"/>
        </w:rPr>
        <w:t>Reverta</w:t>
      </w:r>
      <w:proofErr w:type="spellEnd"/>
      <w:r w:rsidRPr="00F636D1">
        <w:rPr>
          <w:rFonts w:cs="Times New Roman"/>
          <w:bCs/>
          <w:szCs w:val="24"/>
        </w:rPr>
        <w:t>” prasītājas nav noliegušas, cedētais prasījums pastāv, savukārt</w:t>
      </w:r>
      <w:r w:rsidR="002F6938" w:rsidRPr="00F636D1">
        <w:rPr>
          <w:rFonts w:cs="Times New Roman"/>
          <w:bCs/>
          <w:szCs w:val="24"/>
        </w:rPr>
        <w:t xml:space="preserve"> strīds par prasījuma apmēru nevar būt par pamatu darījumu atzīšanai par spēkā neesošiem Civillikuma</w:t>
      </w:r>
      <w:r w:rsidR="0080341D" w:rsidRPr="00F636D1">
        <w:rPr>
          <w:rFonts w:cs="Times New Roman"/>
          <w:bCs/>
          <w:szCs w:val="24"/>
        </w:rPr>
        <w:t xml:space="preserve"> </w:t>
      </w:r>
      <w:r w:rsidR="002F6938" w:rsidRPr="00F636D1">
        <w:rPr>
          <w:rFonts w:cs="Times New Roman"/>
          <w:bCs/>
          <w:szCs w:val="24"/>
        </w:rPr>
        <w:t>1415. panta izpratnē</w:t>
      </w:r>
      <w:r w:rsidRPr="00F636D1">
        <w:rPr>
          <w:rFonts w:cs="Times New Roman"/>
          <w:bCs/>
          <w:szCs w:val="24"/>
        </w:rPr>
        <w:t xml:space="preserve">. </w:t>
      </w:r>
      <w:r w:rsidR="002F6938" w:rsidRPr="00F636D1">
        <w:rPr>
          <w:rFonts w:cs="Times New Roman"/>
          <w:bCs/>
          <w:szCs w:val="24"/>
        </w:rPr>
        <w:t>No lietas materiāliem ir nepārprotami redzams, ka prasītājas</w:t>
      </w:r>
      <w:r w:rsidR="00DE51DB" w:rsidRPr="00F636D1">
        <w:rPr>
          <w:rFonts w:cs="Times New Roman"/>
          <w:bCs/>
          <w:szCs w:val="24"/>
        </w:rPr>
        <w:t xml:space="preserve"> pašas</w:t>
      </w:r>
      <w:r w:rsidR="002F6938" w:rsidRPr="00F636D1">
        <w:rPr>
          <w:rFonts w:cs="Times New Roman"/>
          <w:bCs/>
          <w:szCs w:val="24"/>
        </w:rPr>
        <w:t xml:space="preserve"> ir norādījušas tiesai uz</w:t>
      </w:r>
      <w:r w:rsidR="00D15523" w:rsidRPr="00F636D1">
        <w:rPr>
          <w:rFonts w:cs="Times New Roman"/>
          <w:bCs/>
          <w:szCs w:val="24"/>
        </w:rPr>
        <w:t xml:space="preserve"> viņu ieskatā pastāvošo</w:t>
      </w:r>
      <w:r w:rsidR="002F6938" w:rsidRPr="00F636D1">
        <w:rPr>
          <w:rFonts w:cs="Times New Roman"/>
          <w:bCs/>
          <w:szCs w:val="24"/>
        </w:rPr>
        <w:t xml:space="preserve"> strīdu par prasījuma apmēru. Tādēļ kasācijas sūdzībā ietvertais pārmetums par sprieduma neatbilstību Civilprocesa likuma</w:t>
      </w:r>
      <w:r w:rsidR="0080341D" w:rsidRPr="00F636D1">
        <w:rPr>
          <w:rFonts w:cs="Times New Roman"/>
          <w:bCs/>
          <w:szCs w:val="24"/>
        </w:rPr>
        <w:t xml:space="preserve"> </w:t>
      </w:r>
      <w:r w:rsidR="002F6938" w:rsidRPr="00F636D1">
        <w:rPr>
          <w:rFonts w:cs="Times New Roman"/>
          <w:bCs/>
          <w:szCs w:val="24"/>
        </w:rPr>
        <w:t>192. pantā noteiktajam ir nepamatots. Ņemot vērā</w:t>
      </w:r>
      <w:r w:rsidR="00C51CEF" w:rsidRPr="00F636D1">
        <w:rPr>
          <w:rFonts w:cs="Times New Roman"/>
          <w:bCs/>
          <w:szCs w:val="24"/>
        </w:rPr>
        <w:t xml:space="preserve"> arī</w:t>
      </w:r>
      <w:r w:rsidR="002F6938" w:rsidRPr="00F636D1">
        <w:rPr>
          <w:rFonts w:cs="Times New Roman"/>
          <w:bCs/>
          <w:szCs w:val="24"/>
        </w:rPr>
        <w:t xml:space="preserve"> to, ka apelācijas sūdzību iesniedza prasītājas, </w:t>
      </w:r>
      <w:r w:rsidR="00C51CEF" w:rsidRPr="00F636D1">
        <w:rPr>
          <w:rFonts w:cs="Times New Roman"/>
          <w:bCs/>
          <w:szCs w:val="24"/>
        </w:rPr>
        <w:t xml:space="preserve">par nepamatotu </w:t>
      </w:r>
      <w:r w:rsidR="002F6938" w:rsidRPr="00F636D1">
        <w:rPr>
          <w:rFonts w:cs="Times New Roman"/>
          <w:bCs/>
          <w:szCs w:val="24"/>
        </w:rPr>
        <w:t>ir</w:t>
      </w:r>
      <w:r w:rsidR="00C51CEF" w:rsidRPr="00F636D1">
        <w:rPr>
          <w:rFonts w:cs="Times New Roman"/>
          <w:bCs/>
          <w:szCs w:val="24"/>
        </w:rPr>
        <w:t xml:space="preserve"> </w:t>
      </w:r>
      <w:r w:rsidR="00D15523" w:rsidRPr="00F636D1">
        <w:rPr>
          <w:rFonts w:cs="Times New Roman"/>
          <w:bCs/>
          <w:szCs w:val="24"/>
        </w:rPr>
        <w:t>uzskatāma</w:t>
      </w:r>
      <w:r w:rsidR="002F6938" w:rsidRPr="00F636D1">
        <w:rPr>
          <w:rFonts w:cs="Times New Roman"/>
          <w:bCs/>
          <w:szCs w:val="24"/>
        </w:rPr>
        <w:t xml:space="preserve"> kasācijas sūdzībā ietvertā norāde uz sprieduma neatbilstību Civilprocesa likuma 418. pantam</w:t>
      </w:r>
      <w:r w:rsidR="00762351" w:rsidRPr="00F636D1">
        <w:rPr>
          <w:rFonts w:cs="Times New Roman"/>
          <w:bCs/>
          <w:szCs w:val="24"/>
        </w:rPr>
        <w:t>, kas nosaka apelācijas sūdzības robežas</w:t>
      </w:r>
      <w:r w:rsidR="002F6938" w:rsidRPr="00F636D1">
        <w:rPr>
          <w:rFonts w:cs="Times New Roman"/>
          <w:bCs/>
          <w:szCs w:val="24"/>
        </w:rPr>
        <w:t xml:space="preserve">. </w:t>
      </w:r>
    </w:p>
    <w:p w14:paraId="15A51232" w14:textId="77777777" w:rsidR="002F6938" w:rsidRPr="00F636D1" w:rsidRDefault="002F6938" w:rsidP="00F636D1">
      <w:pPr>
        <w:spacing w:line="276" w:lineRule="auto"/>
        <w:ind w:firstLine="720"/>
        <w:jc w:val="both"/>
        <w:rPr>
          <w:rFonts w:cs="Times New Roman"/>
          <w:bCs/>
          <w:szCs w:val="24"/>
        </w:rPr>
      </w:pPr>
    </w:p>
    <w:p w14:paraId="7160CB1E" w14:textId="56EA654B" w:rsidR="00A03015" w:rsidRPr="00F636D1" w:rsidRDefault="00CD1DC9" w:rsidP="00F636D1">
      <w:pPr>
        <w:spacing w:line="276" w:lineRule="auto"/>
        <w:ind w:firstLine="720"/>
        <w:rPr>
          <w:rFonts w:cs="Times New Roman"/>
          <w:szCs w:val="24"/>
        </w:rPr>
      </w:pPr>
      <w:r w:rsidRPr="00F636D1">
        <w:rPr>
          <w:rFonts w:cs="Times New Roman"/>
          <w:bCs/>
          <w:szCs w:val="24"/>
        </w:rPr>
        <w:t xml:space="preserve">[11] </w:t>
      </w:r>
      <w:r w:rsidR="00A03015" w:rsidRPr="00F636D1">
        <w:rPr>
          <w:rFonts w:cs="Times New Roman"/>
          <w:szCs w:val="24"/>
        </w:rPr>
        <w:t>Apkopojot visu iepriekš minēto, Senāts atzīst, ka SIA</w:t>
      </w:r>
      <w:r w:rsidR="0080341D" w:rsidRPr="00F636D1">
        <w:rPr>
          <w:rFonts w:cs="Times New Roman"/>
          <w:szCs w:val="24"/>
        </w:rPr>
        <w:t> </w:t>
      </w:r>
      <w:r w:rsidR="00A03015" w:rsidRPr="00F636D1">
        <w:rPr>
          <w:rFonts w:cs="Times New Roman"/>
          <w:szCs w:val="24"/>
        </w:rPr>
        <w:t>,,LAFIKO.LV” un AS</w:t>
      </w:r>
      <w:r w:rsidR="002F3811" w:rsidRPr="00F636D1">
        <w:rPr>
          <w:rFonts w:cs="Times New Roman"/>
          <w:szCs w:val="24"/>
        </w:rPr>
        <w:t> </w:t>
      </w:r>
      <w:r w:rsidR="00A03015" w:rsidRPr="00F636D1">
        <w:rPr>
          <w:rFonts w:cs="Times New Roman"/>
          <w:szCs w:val="24"/>
        </w:rPr>
        <w:t xml:space="preserve">,,Latgales finanšu kompānija” kasācijas sūdzības apmierināšanai nav pamata. </w:t>
      </w:r>
    </w:p>
    <w:p w14:paraId="3AFA3034" w14:textId="295D2454" w:rsidR="00F37BCB" w:rsidRPr="00F636D1" w:rsidRDefault="00F37BCB" w:rsidP="00F636D1">
      <w:pPr>
        <w:spacing w:line="276" w:lineRule="auto"/>
        <w:ind w:firstLine="720"/>
        <w:jc w:val="both"/>
        <w:rPr>
          <w:rFonts w:cs="Times New Roman"/>
          <w:bCs/>
          <w:szCs w:val="24"/>
        </w:rPr>
      </w:pPr>
    </w:p>
    <w:p w14:paraId="451217E2" w14:textId="087D7255" w:rsidR="008D0C10" w:rsidRPr="00F636D1" w:rsidRDefault="008D0C10" w:rsidP="00F636D1">
      <w:pPr>
        <w:autoSpaceDE w:val="0"/>
        <w:autoSpaceDN w:val="0"/>
        <w:adjustRightInd w:val="0"/>
        <w:spacing w:line="276" w:lineRule="auto"/>
        <w:jc w:val="center"/>
        <w:rPr>
          <w:rFonts w:eastAsia="Calibri" w:cs="Times New Roman"/>
          <w:b/>
          <w:bCs/>
          <w:szCs w:val="24"/>
        </w:rPr>
      </w:pPr>
      <w:r w:rsidRPr="00F636D1">
        <w:rPr>
          <w:rFonts w:eastAsia="Calibri" w:cs="Times New Roman"/>
          <w:b/>
          <w:bCs/>
          <w:szCs w:val="24"/>
        </w:rPr>
        <w:t>Rezolutīvā daļa</w:t>
      </w:r>
    </w:p>
    <w:p w14:paraId="622B035B" w14:textId="77777777" w:rsidR="008D0C10" w:rsidRPr="00F636D1" w:rsidRDefault="008D0C10" w:rsidP="00F636D1">
      <w:pPr>
        <w:autoSpaceDE w:val="0"/>
        <w:autoSpaceDN w:val="0"/>
        <w:adjustRightInd w:val="0"/>
        <w:spacing w:line="276" w:lineRule="auto"/>
        <w:jc w:val="center"/>
        <w:rPr>
          <w:rFonts w:eastAsia="Calibri" w:cs="Times New Roman"/>
          <w:b/>
          <w:bCs/>
          <w:szCs w:val="24"/>
        </w:rPr>
      </w:pPr>
    </w:p>
    <w:p w14:paraId="272C9420" w14:textId="54E93EFA" w:rsidR="008D0C10" w:rsidRPr="00F636D1" w:rsidRDefault="008D0C10" w:rsidP="00F636D1">
      <w:pPr>
        <w:autoSpaceDE w:val="0"/>
        <w:autoSpaceDN w:val="0"/>
        <w:adjustRightInd w:val="0"/>
        <w:spacing w:line="276" w:lineRule="auto"/>
        <w:ind w:firstLine="720"/>
        <w:jc w:val="left"/>
        <w:rPr>
          <w:rFonts w:eastAsia="Calibri" w:cs="Times New Roman"/>
          <w:szCs w:val="24"/>
        </w:rPr>
      </w:pPr>
      <w:r w:rsidRPr="00F636D1">
        <w:rPr>
          <w:rFonts w:eastAsia="Calibri" w:cs="Times New Roman"/>
          <w:szCs w:val="24"/>
        </w:rPr>
        <w:lastRenderedPageBreak/>
        <w:t>Pamatojoties uz Civilprocesa likuma 474.</w:t>
      </w:r>
      <w:r w:rsidR="0080341D" w:rsidRPr="00F636D1">
        <w:rPr>
          <w:rFonts w:eastAsia="Calibri" w:cs="Times New Roman"/>
          <w:szCs w:val="24"/>
        </w:rPr>
        <w:t> </w:t>
      </w:r>
      <w:r w:rsidRPr="00F636D1">
        <w:rPr>
          <w:rFonts w:eastAsia="Calibri" w:cs="Times New Roman"/>
          <w:szCs w:val="24"/>
        </w:rPr>
        <w:t>panta 1.</w:t>
      </w:r>
      <w:r w:rsidR="0080341D" w:rsidRPr="00F636D1">
        <w:rPr>
          <w:rFonts w:eastAsia="Calibri" w:cs="Times New Roman"/>
          <w:szCs w:val="24"/>
        </w:rPr>
        <w:t> </w:t>
      </w:r>
      <w:r w:rsidRPr="00F636D1">
        <w:rPr>
          <w:rFonts w:eastAsia="Calibri" w:cs="Times New Roman"/>
          <w:szCs w:val="24"/>
        </w:rPr>
        <w:t>punktu, Senāts</w:t>
      </w:r>
    </w:p>
    <w:p w14:paraId="743B4FD6" w14:textId="77777777" w:rsidR="008D0C10" w:rsidRPr="00F636D1" w:rsidRDefault="008D0C10" w:rsidP="00F636D1">
      <w:pPr>
        <w:autoSpaceDE w:val="0"/>
        <w:autoSpaceDN w:val="0"/>
        <w:adjustRightInd w:val="0"/>
        <w:spacing w:line="276" w:lineRule="auto"/>
        <w:ind w:firstLine="720"/>
        <w:jc w:val="left"/>
        <w:rPr>
          <w:rFonts w:eastAsia="Calibri" w:cs="Times New Roman"/>
          <w:szCs w:val="24"/>
        </w:rPr>
      </w:pPr>
    </w:p>
    <w:p w14:paraId="2272B822" w14:textId="4CFBC087" w:rsidR="008D0C10" w:rsidRPr="00F636D1" w:rsidRDefault="008D0C10" w:rsidP="00F636D1">
      <w:pPr>
        <w:autoSpaceDE w:val="0"/>
        <w:autoSpaceDN w:val="0"/>
        <w:adjustRightInd w:val="0"/>
        <w:spacing w:line="276" w:lineRule="auto"/>
        <w:jc w:val="center"/>
        <w:rPr>
          <w:rFonts w:eastAsia="Calibri" w:cs="Times New Roman"/>
          <w:b/>
          <w:bCs/>
          <w:szCs w:val="24"/>
        </w:rPr>
      </w:pPr>
      <w:r w:rsidRPr="00F636D1">
        <w:rPr>
          <w:rFonts w:eastAsia="Calibri" w:cs="Times New Roman"/>
          <w:b/>
          <w:bCs/>
          <w:szCs w:val="24"/>
        </w:rPr>
        <w:t>nosprieda</w:t>
      </w:r>
    </w:p>
    <w:p w14:paraId="260EBFB4" w14:textId="77777777" w:rsidR="008D0C10" w:rsidRPr="00F636D1" w:rsidRDefault="008D0C10" w:rsidP="00F636D1">
      <w:pPr>
        <w:autoSpaceDE w:val="0"/>
        <w:autoSpaceDN w:val="0"/>
        <w:adjustRightInd w:val="0"/>
        <w:spacing w:line="276" w:lineRule="auto"/>
        <w:jc w:val="center"/>
        <w:rPr>
          <w:rFonts w:eastAsia="Calibri" w:cs="Times New Roman"/>
          <w:b/>
          <w:bCs/>
          <w:szCs w:val="24"/>
        </w:rPr>
      </w:pPr>
    </w:p>
    <w:p w14:paraId="1EDD1D95" w14:textId="23EB118E" w:rsidR="008D0C10" w:rsidRPr="00F636D1" w:rsidRDefault="008D0C10" w:rsidP="00F636D1">
      <w:pPr>
        <w:autoSpaceDE w:val="0"/>
        <w:autoSpaceDN w:val="0"/>
        <w:adjustRightInd w:val="0"/>
        <w:spacing w:line="276" w:lineRule="auto"/>
        <w:ind w:firstLine="567"/>
        <w:jc w:val="both"/>
        <w:rPr>
          <w:rFonts w:eastAsia="Calibri" w:cs="Times New Roman"/>
          <w:szCs w:val="24"/>
        </w:rPr>
      </w:pPr>
      <w:r w:rsidRPr="00F636D1">
        <w:rPr>
          <w:rFonts w:eastAsia="Calibri" w:cs="Times New Roman"/>
          <w:szCs w:val="24"/>
        </w:rPr>
        <w:t>atstāt negrozītu Rīgas apgabaltiesas 2021.</w:t>
      </w:r>
      <w:r w:rsidR="0080341D" w:rsidRPr="00F636D1">
        <w:rPr>
          <w:rFonts w:eastAsia="Calibri" w:cs="Times New Roman"/>
          <w:szCs w:val="24"/>
        </w:rPr>
        <w:t> </w:t>
      </w:r>
      <w:r w:rsidRPr="00F636D1">
        <w:rPr>
          <w:rFonts w:eastAsia="Calibri" w:cs="Times New Roman"/>
          <w:szCs w:val="24"/>
        </w:rPr>
        <w:t>gada 2.</w:t>
      </w:r>
      <w:r w:rsidR="0080341D" w:rsidRPr="00F636D1">
        <w:rPr>
          <w:rFonts w:eastAsia="Calibri" w:cs="Times New Roman"/>
          <w:szCs w:val="24"/>
        </w:rPr>
        <w:t> </w:t>
      </w:r>
      <w:r w:rsidRPr="00F636D1">
        <w:rPr>
          <w:rFonts w:eastAsia="Calibri" w:cs="Times New Roman"/>
          <w:szCs w:val="24"/>
        </w:rPr>
        <w:t xml:space="preserve">jūnija spriedumu, bet </w:t>
      </w:r>
      <w:r w:rsidRPr="00F636D1">
        <w:rPr>
          <w:rFonts w:cs="Times New Roman"/>
          <w:szCs w:val="24"/>
        </w:rPr>
        <w:t>SIA</w:t>
      </w:r>
      <w:r w:rsidR="0080341D" w:rsidRPr="00F636D1">
        <w:rPr>
          <w:rFonts w:cs="Times New Roman"/>
          <w:szCs w:val="24"/>
        </w:rPr>
        <w:t> </w:t>
      </w:r>
      <w:r w:rsidRPr="00F636D1">
        <w:rPr>
          <w:rFonts w:cs="Times New Roman"/>
          <w:szCs w:val="24"/>
        </w:rPr>
        <w:t>,,LAFIKO.LV” un AS</w:t>
      </w:r>
      <w:r w:rsidR="0080341D" w:rsidRPr="00F636D1">
        <w:rPr>
          <w:rFonts w:cs="Times New Roman"/>
          <w:szCs w:val="24"/>
        </w:rPr>
        <w:t> </w:t>
      </w:r>
      <w:r w:rsidRPr="00F636D1">
        <w:rPr>
          <w:rFonts w:cs="Times New Roman"/>
          <w:szCs w:val="24"/>
        </w:rPr>
        <w:t xml:space="preserve">,,Latgales Finanšu kompānija” </w:t>
      </w:r>
      <w:r w:rsidRPr="00F636D1">
        <w:rPr>
          <w:rFonts w:eastAsia="Calibri" w:cs="Times New Roman"/>
          <w:szCs w:val="24"/>
        </w:rPr>
        <w:t xml:space="preserve">kasācijas sūdzību noraidīt. </w:t>
      </w:r>
    </w:p>
    <w:p w14:paraId="1AFF3E0A" w14:textId="77777777" w:rsidR="008D0C10" w:rsidRPr="00F636D1" w:rsidRDefault="008D0C10" w:rsidP="00F636D1">
      <w:pPr>
        <w:autoSpaceDE w:val="0"/>
        <w:autoSpaceDN w:val="0"/>
        <w:adjustRightInd w:val="0"/>
        <w:spacing w:line="276" w:lineRule="auto"/>
        <w:ind w:firstLine="567"/>
        <w:jc w:val="both"/>
        <w:rPr>
          <w:rFonts w:eastAsia="Times New Roman" w:cs="Times New Roman"/>
          <w:szCs w:val="24"/>
          <w:lang w:eastAsia="lv-LV"/>
        </w:rPr>
      </w:pPr>
    </w:p>
    <w:p w14:paraId="23C491A8" w14:textId="77777777" w:rsidR="008D0C10" w:rsidRPr="00F636D1" w:rsidRDefault="008D0C10" w:rsidP="00F636D1">
      <w:pPr>
        <w:autoSpaceDE w:val="0"/>
        <w:autoSpaceDN w:val="0"/>
        <w:adjustRightInd w:val="0"/>
        <w:spacing w:line="276" w:lineRule="auto"/>
        <w:ind w:firstLine="567"/>
        <w:jc w:val="both"/>
        <w:rPr>
          <w:rFonts w:eastAsia="Calibri" w:cs="Times New Roman"/>
          <w:szCs w:val="24"/>
        </w:rPr>
      </w:pPr>
      <w:r w:rsidRPr="00F636D1">
        <w:rPr>
          <w:rFonts w:eastAsia="Calibri" w:cs="Times New Roman"/>
          <w:szCs w:val="24"/>
        </w:rPr>
        <w:t>Spriedums nav pārsūdzams.</w:t>
      </w:r>
    </w:p>
    <w:sectPr w:rsidR="008D0C10" w:rsidRPr="00F636D1" w:rsidSect="003960A5">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127B" w14:textId="77777777" w:rsidR="004A0D37" w:rsidRPr="00667A9E" w:rsidRDefault="004A0D37" w:rsidP="002B67A1">
      <w:r w:rsidRPr="00667A9E">
        <w:separator/>
      </w:r>
    </w:p>
  </w:endnote>
  <w:endnote w:type="continuationSeparator" w:id="0">
    <w:p w14:paraId="7CB23EC7" w14:textId="77777777" w:rsidR="004A0D37" w:rsidRPr="00667A9E" w:rsidRDefault="004A0D37"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88A0" w14:textId="77777777" w:rsidR="009F5822" w:rsidRDefault="009F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71C" w14:textId="77777777" w:rsidR="009F5822" w:rsidRPr="00667A9E" w:rsidRDefault="00F636D1" w:rsidP="009F5822">
    <w:pPr>
      <w:pStyle w:val="Footer"/>
      <w:jc w:val="center"/>
    </w:pPr>
    <w:sdt>
      <w:sdtPr>
        <w:id w:val="1728636285"/>
        <w:docPartObj>
          <w:docPartGallery w:val="Page Numbers (Top of Page)"/>
          <w:docPartUnique/>
        </w:docPartObj>
      </w:sdtPr>
      <w:sdtEndPr/>
      <w:sdtContent>
        <w:r w:rsidR="009F5822" w:rsidRPr="00667A9E">
          <w:rPr>
            <w:szCs w:val="24"/>
          </w:rPr>
          <w:fldChar w:fldCharType="begin"/>
        </w:r>
        <w:r w:rsidR="009F5822" w:rsidRPr="00667A9E">
          <w:instrText xml:space="preserve"> PAGE </w:instrText>
        </w:r>
        <w:r w:rsidR="009F5822" w:rsidRPr="00667A9E">
          <w:rPr>
            <w:szCs w:val="24"/>
          </w:rPr>
          <w:fldChar w:fldCharType="separate"/>
        </w:r>
        <w:r w:rsidR="009F5822">
          <w:rPr>
            <w:szCs w:val="24"/>
          </w:rPr>
          <w:t>8</w:t>
        </w:r>
        <w:r w:rsidR="009F5822" w:rsidRPr="00667A9E">
          <w:rPr>
            <w:szCs w:val="24"/>
          </w:rPr>
          <w:fldChar w:fldCharType="end"/>
        </w:r>
        <w:r w:rsidR="009F5822" w:rsidRPr="00667A9E">
          <w:t xml:space="preserve"> no </w:t>
        </w:r>
        <w:fldSimple w:instr=" NUMPAGES  ">
          <w:r w:rsidR="009F5822">
            <w:t>9</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C26F" w14:textId="77777777" w:rsidR="009F5822" w:rsidRDefault="009F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A0B1" w14:textId="77777777" w:rsidR="004A0D37" w:rsidRPr="00667A9E" w:rsidRDefault="004A0D37" w:rsidP="002B67A1">
      <w:r w:rsidRPr="00667A9E">
        <w:separator/>
      </w:r>
    </w:p>
  </w:footnote>
  <w:footnote w:type="continuationSeparator" w:id="0">
    <w:p w14:paraId="261A500B" w14:textId="77777777" w:rsidR="004A0D37" w:rsidRPr="00667A9E" w:rsidRDefault="004A0D37" w:rsidP="002B67A1">
      <w:r w:rsidRPr="00667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7932" w14:textId="77777777" w:rsidR="009F5822" w:rsidRDefault="009F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2D19" w14:textId="77777777" w:rsidR="009F5822" w:rsidRDefault="009F5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C521" w14:textId="77777777" w:rsidR="009F5822" w:rsidRDefault="009F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17C8A"/>
    <w:rsid w:val="000214EC"/>
    <w:rsid w:val="00022567"/>
    <w:rsid w:val="0003411E"/>
    <w:rsid w:val="0003661D"/>
    <w:rsid w:val="00053D11"/>
    <w:rsid w:val="00056EDC"/>
    <w:rsid w:val="0006068D"/>
    <w:rsid w:val="00062FCB"/>
    <w:rsid w:val="00070582"/>
    <w:rsid w:val="00074178"/>
    <w:rsid w:val="000747EF"/>
    <w:rsid w:val="0008104E"/>
    <w:rsid w:val="00081A6C"/>
    <w:rsid w:val="000920CD"/>
    <w:rsid w:val="00092BFE"/>
    <w:rsid w:val="00097A2C"/>
    <w:rsid w:val="00097B13"/>
    <w:rsid w:val="000A2F60"/>
    <w:rsid w:val="000A3DF5"/>
    <w:rsid w:val="000B3F52"/>
    <w:rsid w:val="000B7054"/>
    <w:rsid w:val="000D6BC4"/>
    <w:rsid w:val="000D78AB"/>
    <w:rsid w:val="000E03C1"/>
    <w:rsid w:val="000E47F0"/>
    <w:rsid w:val="000F3856"/>
    <w:rsid w:val="000F6853"/>
    <w:rsid w:val="00102FD1"/>
    <w:rsid w:val="0010670B"/>
    <w:rsid w:val="001068B3"/>
    <w:rsid w:val="00111753"/>
    <w:rsid w:val="00116976"/>
    <w:rsid w:val="0011767D"/>
    <w:rsid w:val="00123FFB"/>
    <w:rsid w:val="00127447"/>
    <w:rsid w:val="00130B66"/>
    <w:rsid w:val="00132AB9"/>
    <w:rsid w:val="00136325"/>
    <w:rsid w:val="00137390"/>
    <w:rsid w:val="00172577"/>
    <w:rsid w:val="0017501C"/>
    <w:rsid w:val="00186BE4"/>
    <w:rsid w:val="001A2AEB"/>
    <w:rsid w:val="001B0A57"/>
    <w:rsid w:val="001E05D8"/>
    <w:rsid w:val="001E242E"/>
    <w:rsid w:val="001E3075"/>
    <w:rsid w:val="001F1200"/>
    <w:rsid w:val="001F5E48"/>
    <w:rsid w:val="00215222"/>
    <w:rsid w:val="00224E4B"/>
    <w:rsid w:val="00227062"/>
    <w:rsid w:val="002270A1"/>
    <w:rsid w:val="0023081B"/>
    <w:rsid w:val="00231566"/>
    <w:rsid w:val="00232519"/>
    <w:rsid w:val="0023306B"/>
    <w:rsid w:val="00245FF8"/>
    <w:rsid w:val="00246C9D"/>
    <w:rsid w:val="002526B4"/>
    <w:rsid w:val="00283E26"/>
    <w:rsid w:val="00287B64"/>
    <w:rsid w:val="002A04AE"/>
    <w:rsid w:val="002A55E7"/>
    <w:rsid w:val="002B67A1"/>
    <w:rsid w:val="002B730E"/>
    <w:rsid w:val="002C0563"/>
    <w:rsid w:val="002C2504"/>
    <w:rsid w:val="002C7F40"/>
    <w:rsid w:val="002D245D"/>
    <w:rsid w:val="002D271E"/>
    <w:rsid w:val="002D3D61"/>
    <w:rsid w:val="002D4A49"/>
    <w:rsid w:val="002E1F44"/>
    <w:rsid w:val="002E5092"/>
    <w:rsid w:val="002F3811"/>
    <w:rsid w:val="002F41D3"/>
    <w:rsid w:val="002F6938"/>
    <w:rsid w:val="00300533"/>
    <w:rsid w:val="00313A08"/>
    <w:rsid w:val="00340289"/>
    <w:rsid w:val="00341DA2"/>
    <w:rsid w:val="00342089"/>
    <w:rsid w:val="00346989"/>
    <w:rsid w:val="003472D4"/>
    <w:rsid w:val="00347400"/>
    <w:rsid w:val="00355C42"/>
    <w:rsid w:val="00373C6A"/>
    <w:rsid w:val="00376965"/>
    <w:rsid w:val="003838FA"/>
    <w:rsid w:val="0038523A"/>
    <w:rsid w:val="00385FFA"/>
    <w:rsid w:val="00386012"/>
    <w:rsid w:val="00391265"/>
    <w:rsid w:val="0039454E"/>
    <w:rsid w:val="003960A5"/>
    <w:rsid w:val="00396ECB"/>
    <w:rsid w:val="00397E74"/>
    <w:rsid w:val="003B533C"/>
    <w:rsid w:val="003C2550"/>
    <w:rsid w:val="003D1352"/>
    <w:rsid w:val="003D152C"/>
    <w:rsid w:val="003D161F"/>
    <w:rsid w:val="003D2EAA"/>
    <w:rsid w:val="003D794D"/>
    <w:rsid w:val="003E2EE6"/>
    <w:rsid w:val="003F09A1"/>
    <w:rsid w:val="003F4693"/>
    <w:rsid w:val="004121A8"/>
    <w:rsid w:val="004167DF"/>
    <w:rsid w:val="00417F49"/>
    <w:rsid w:val="00431DC2"/>
    <w:rsid w:val="00460B26"/>
    <w:rsid w:val="004721C9"/>
    <w:rsid w:val="00473784"/>
    <w:rsid w:val="00473E6C"/>
    <w:rsid w:val="0047486B"/>
    <w:rsid w:val="00481C0A"/>
    <w:rsid w:val="00482577"/>
    <w:rsid w:val="00487C43"/>
    <w:rsid w:val="004977E9"/>
    <w:rsid w:val="00497954"/>
    <w:rsid w:val="004A0D37"/>
    <w:rsid w:val="004A4F9F"/>
    <w:rsid w:val="004B35C3"/>
    <w:rsid w:val="004B5A9D"/>
    <w:rsid w:val="004B758B"/>
    <w:rsid w:val="004C0135"/>
    <w:rsid w:val="004C5417"/>
    <w:rsid w:val="004D48F7"/>
    <w:rsid w:val="004D717F"/>
    <w:rsid w:val="004D7847"/>
    <w:rsid w:val="004E1AA7"/>
    <w:rsid w:val="004E33EF"/>
    <w:rsid w:val="004E5F14"/>
    <w:rsid w:val="00502F82"/>
    <w:rsid w:val="0050404D"/>
    <w:rsid w:val="00512767"/>
    <w:rsid w:val="0051487A"/>
    <w:rsid w:val="00516FDB"/>
    <w:rsid w:val="00525AEF"/>
    <w:rsid w:val="00526363"/>
    <w:rsid w:val="0054185B"/>
    <w:rsid w:val="0055035B"/>
    <w:rsid w:val="00562DA0"/>
    <w:rsid w:val="005649E6"/>
    <w:rsid w:val="00572DB9"/>
    <w:rsid w:val="005824A1"/>
    <w:rsid w:val="00587F7A"/>
    <w:rsid w:val="005974A7"/>
    <w:rsid w:val="005C5B43"/>
    <w:rsid w:val="005D73CF"/>
    <w:rsid w:val="005D7D4E"/>
    <w:rsid w:val="005E6023"/>
    <w:rsid w:val="005F1E5C"/>
    <w:rsid w:val="005F47ED"/>
    <w:rsid w:val="005F6693"/>
    <w:rsid w:val="00617961"/>
    <w:rsid w:val="00624B03"/>
    <w:rsid w:val="0062531C"/>
    <w:rsid w:val="00640133"/>
    <w:rsid w:val="006419CC"/>
    <w:rsid w:val="00641EFB"/>
    <w:rsid w:val="00655A75"/>
    <w:rsid w:val="00662F43"/>
    <w:rsid w:val="006633D3"/>
    <w:rsid w:val="00667A9E"/>
    <w:rsid w:val="00674E6C"/>
    <w:rsid w:val="0068207B"/>
    <w:rsid w:val="00684606"/>
    <w:rsid w:val="006849CD"/>
    <w:rsid w:val="00694CB7"/>
    <w:rsid w:val="00696E80"/>
    <w:rsid w:val="006B4976"/>
    <w:rsid w:val="006B763C"/>
    <w:rsid w:val="006B79FA"/>
    <w:rsid w:val="006C04B8"/>
    <w:rsid w:val="006C3AFA"/>
    <w:rsid w:val="006C5764"/>
    <w:rsid w:val="006C7189"/>
    <w:rsid w:val="006F2F34"/>
    <w:rsid w:val="00700D81"/>
    <w:rsid w:val="00713967"/>
    <w:rsid w:val="0071446F"/>
    <w:rsid w:val="00722CCE"/>
    <w:rsid w:val="00727D79"/>
    <w:rsid w:val="007356B1"/>
    <w:rsid w:val="007440F3"/>
    <w:rsid w:val="00751C74"/>
    <w:rsid w:val="00762351"/>
    <w:rsid w:val="00762496"/>
    <w:rsid w:val="00763A94"/>
    <w:rsid w:val="00786410"/>
    <w:rsid w:val="00797D51"/>
    <w:rsid w:val="007A21D8"/>
    <w:rsid w:val="007A6FEB"/>
    <w:rsid w:val="007B0205"/>
    <w:rsid w:val="007B37F3"/>
    <w:rsid w:val="007B7E5C"/>
    <w:rsid w:val="007C05F8"/>
    <w:rsid w:val="007C4E98"/>
    <w:rsid w:val="007C7EB5"/>
    <w:rsid w:val="007D2CFF"/>
    <w:rsid w:val="007D4AB2"/>
    <w:rsid w:val="007D6F71"/>
    <w:rsid w:val="007E003B"/>
    <w:rsid w:val="007E58DB"/>
    <w:rsid w:val="007E6497"/>
    <w:rsid w:val="007E6E75"/>
    <w:rsid w:val="007F4346"/>
    <w:rsid w:val="007F5ED9"/>
    <w:rsid w:val="0080341D"/>
    <w:rsid w:val="00813C67"/>
    <w:rsid w:val="00821673"/>
    <w:rsid w:val="00843D52"/>
    <w:rsid w:val="00845765"/>
    <w:rsid w:val="008504BF"/>
    <w:rsid w:val="008522F5"/>
    <w:rsid w:val="00862B14"/>
    <w:rsid w:val="0087087A"/>
    <w:rsid w:val="00870DF6"/>
    <w:rsid w:val="00881D69"/>
    <w:rsid w:val="008A37F9"/>
    <w:rsid w:val="008B4832"/>
    <w:rsid w:val="008C0C67"/>
    <w:rsid w:val="008C0E48"/>
    <w:rsid w:val="008C61DA"/>
    <w:rsid w:val="008C7531"/>
    <w:rsid w:val="008D0C10"/>
    <w:rsid w:val="008D1179"/>
    <w:rsid w:val="008D482D"/>
    <w:rsid w:val="008F2E54"/>
    <w:rsid w:val="00905C7B"/>
    <w:rsid w:val="009120E6"/>
    <w:rsid w:val="00917209"/>
    <w:rsid w:val="00921FE0"/>
    <w:rsid w:val="0093054D"/>
    <w:rsid w:val="009315D0"/>
    <w:rsid w:val="00934B69"/>
    <w:rsid w:val="00937C9A"/>
    <w:rsid w:val="00940AA8"/>
    <w:rsid w:val="0094474C"/>
    <w:rsid w:val="009465B0"/>
    <w:rsid w:val="00956206"/>
    <w:rsid w:val="00963073"/>
    <w:rsid w:val="009666BA"/>
    <w:rsid w:val="009676D2"/>
    <w:rsid w:val="009805DB"/>
    <w:rsid w:val="00980DFD"/>
    <w:rsid w:val="00982A82"/>
    <w:rsid w:val="00982FC1"/>
    <w:rsid w:val="00986678"/>
    <w:rsid w:val="009901E6"/>
    <w:rsid w:val="00992DFE"/>
    <w:rsid w:val="009A5C4A"/>
    <w:rsid w:val="009A661D"/>
    <w:rsid w:val="009A79EA"/>
    <w:rsid w:val="009B58FF"/>
    <w:rsid w:val="009B6435"/>
    <w:rsid w:val="009C5F85"/>
    <w:rsid w:val="009E2BA7"/>
    <w:rsid w:val="009F157D"/>
    <w:rsid w:val="009F3173"/>
    <w:rsid w:val="009F40F0"/>
    <w:rsid w:val="009F5822"/>
    <w:rsid w:val="00A03015"/>
    <w:rsid w:val="00A2090A"/>
    <w:rsid w:val="00A37713"/>
    <w:rsid w:val="00A4202A"/>
    <w:rsid w:val="00A441A7"/>
    <w:rsid w:val="00A52B6A"/>
    <w:rsid w:val="00A53141"/>
    <w:rsid w:val="00A572E2"/>
    <w:rsid w:val="00A631FA"/>
    <w:rsid w:val="00A6379A"/>
    <w:rsid w:val="00A71DB5"/>
    <w:rsid w:val="00A7341E"/>
    <w:rsid w:val="00A748A5"/>
    <w:rsid w:val="00A801E5"/>
    <w:rsid w:val="00A87EDE"/>
    <w:rsid w:val="00A96F67"/>
    <w:rsid w:val="00AA1A79"/>
    <w:rsid w:val="00AA7358"/>
    <w:rsid w:val="00AB19F2"/>
    <w:rsid w:val="00AB5C78"/>
    <w:rsid w:val="00AB6548"/>
    <w:rsid w:val="00AB6D6C"/>
    <w:rsid w:val="00AC05E9"/>
    <w:rsid w:val="00AC311E"/>
    <w:rsid w:val="00AC677C"/>
    <w:rsid w:val="00AD50FC"/>
    <w:rsid w:val="00AE1AEC"/>
    <w:rsid w:val="00AE2AAB"/>
    <w:rsid w:val="00AE6AE3"/>
    <w:rsid w:val="00AF4133"/>
    <w:rsid w:val="00AF661F"/>
    <w:rsid w:val="00B00308"/>
    <w:rsid w:val="00B03C79"/>
    <w:rsid w:val="00B0661A"/>
    <w:rsid w:val="00B14232"/>
    <w:rsid w:val="00B17FD9"/>
    <w:rsid w:val="00B21F8D"/>
    <w:rsid w:val="00B221DA"/>
    <w:rsid w:val="00B30A7B"/>
    <w:rsid w:val="00B35CD6"/>
    <w:rsid w:val="00B37E99"/>
    <w:rsid w:val="00B4087B"/>
    <w:rsid w:val="00B417CC"/>
    <w:rsid w:val="00B47772"/>
    <w:rsid w:val="00B60F49"/>
    <w:rsid w:val="00B63033"/>
    <w:rsid w:val="00B70269"/>
    <w:rsid w:val="00B9260D"/>
    <w:rsid w:val="00BA19A5"/>
    <w:rsid w:val="00BB05B0"/>
    <w:rsid w:val="00BB5CA7"/>
    <w:rsid w:val="00BC36C5"/>
    <w:rsid w:val="00BC3918"/>
    <w:rsid w:val="00BE4929"/>
    <w:rsid w:val="00BF02A9"/>
    <w:rsid w:val="00BF2D2E"/>
    <w:rsid w:val="00BF3876"/>
    <w:rsid w:val="00BF61D3"/>
    <w:rsid w:val="00C02566"/>
    <w:rsid w:val="00C06686"/>
    <w:rsid w:val="00C16CDD"/>
    <w:rsid w:val="00C20942"/>
    <w:rsid w:val="00C26A52"/>
    <w:rsid w:val="00C31AEA"/>
    <w:rsid w:val="00C348B1"/>
    <w:rsid w:val="00C42ECA"/>
    <w:rsid w:val="00C50858"/>
    <w:rsid w:val="00C51CEF"/>
    <w:rsid w:val="00C51E26"/>
    <w:rsid w:val="00C53EFA"/>
    <w:rsid w:val="00C6431C"/>
    <w:rsid w:val="00C6531F"/>
    <w:rsid w:val="00C753A7"/>
    <w:rsid w:val="00C772F7"/>
    <w:rsid w:val="00C822C2"/>
    <w:rsid w:val="00C85DED"/>
    <w:rsid w:val="00CA10C6"/>
    <w:rsid w:val="00CA22A2"/>
    <w:rsid w:val="00CA383F"/>
    <w:rsid w:val="00CA3F5C"/>
    <w:rsid w:val="00CA6C88"/>
    <w:rsid w:val="00CB15E5"/>
    <w:rsid w:val="00CB41E6"/>
    <w:rsid w:val="00CC3077"/>
    <w:rsid w:val="00CD1A44"/>
    <w:rsid w:val="00CD1DC9"/>
    <w:rsid w:val="00CD2239"/>
    <w:rsid w:val="00CD7C8C"/>
    <w:rsid w:val="00CE381C"/>
    <w:rsid w:val="00D045CC"/>
    <w:rsid w:val="00D15523"/>
    <w:rsid w:val="00D4060E"/>
    <w:rsid w:val="00D47A95"/>
    <w:rsid w:val="00D5193D"/>
    <w:rsid w:val="00D5347C"/>
    <w:rsid w:val="00D57F2B"/>
    <w:rsid w:val="00D60760"/>
    <w:rsid w:val="00D618B9"/>
    <w:rsid w:val="00D6211D"/>
    <w:rsid w:val="00D662D3"/>
    <w:rsid w:val="00D7262F"/>
    <w:rsid w:val="00D835C2"/>
    <w:rsid w:val="00D94E4A"/>
    <w:rsid w:val="00D97BC5"/>
    <w:rsid w:val="00DA0035"/>
    <w:rsid w:val="00DA2D23"/>
    <w:rsid w:val="00DE0449"/>
    <w:rsid w:val="00DE51DB"/>
    <w:rsid w:val="00DE59EE"/>
    <w:rsid w:val="00DF173C"/>
    <w:rsid w:val="00DF2310"/>
    <w:rsid w:val="00DF37CB"/>
    <w:rsid w:val="00DF6E18"/>
    <w:rsid w:val="00E04D58"/>
    <w:rsid w:val="00E124FA"/>
    <w:rsid w:val="00E176DF"/>
    <w:rsid w:val="00E27CF8"/>
    <w:rsid w:val="00E3016A"/>
    <w:rsid w:val="00E42B70"/>
    <w:rsid w:val="00E46533"/>
    <w:rsid w:val="00E51546"/>
    <w:rsid w:val="00E524A1"/>
    <w:rsid w:val="00E576E4"/>
    <w:rsid w:val="00E60726"/>
    <w:rsid w:val="00E67AE6"/>
    <w:rsid w:val="00E749DF"/>
    <w:rsid w:val="00E74AA5"/>
    <w:rsid w:val="00E76CE9"/>
    <w:rsid w:val="00E8093F"/>
    <w:rsid w:val="00E80B01"/>
    <w:rsid w:val="00E82E9F"/>
    <w:rsid w:val="00E83CC0"/>
    <w:rsid w:val="00E92C15"/>
    <w:rsid w:val="00EA4BEB"/>
    <w:rsid w:val="00EB2D74"/>
    <w:rsid w:val="00EB47DA"/>
    <w:rsid w:val="00EB4C67"/>
    <w:rsid w:val="00EB5717"/>
    <w:rsid w:val="00EC415A"/>
    <w:rsid w:val="00EC5732"/>
    <w:rsid w:val="00EC6A12"/>
    <w:rsid w:val="00ED03C2"/>
    <w:rsid w:val="00ED0E0C"/>
    <w:rsid w:val="00ED1587"/>
    <w:rsid w:val="00EE1D63"/>
    <w:rsid w:val="00EE2AA1"/>
    <w:rsid w:val="00EE57B6"/>
    <w:rsid w:val="00EF263D"/>
    <w:rsid w:val="00F1475D"/>
    <w:rsid w:val="00F16686"/>
    <w:rsid w:val="00F20873"/>
    <w:rsid w:val="00F2124A"/>
    <w:rsid w:val="00F23595"/>
    <w:rsid w:val="00F37BCB"/>
    <w:rsid w:val="00F40F0F"/>
    <w:rsid w:val="00F43625"/>
    <w:rsid w:val="00F53231"/>
    <w:rsid w:val="00F636D1"/>
    <w:rsid w:val="00F63C81"/>
    <w:rsid w:val="00F67598"/>
    <w:rsid w:val="00F70AF5"/>
    <w:rsid w:val="00F732F9"/>
    <w:rsid w:val="00F756C9"/>
    <w:rsid w:val="00F7590A"/>
    <w:rsid w:val="00F76A12"/>
    <w:rsid w:val="00F80431"/>
    <w:rsid w:val="00F86578"/>
    <w:rsid w:val="00F97B4F"/>
    <w:rsid w:val="00FB3605"/>
    <w:rsid w:val="00FB4EE2"/>
    <w:rsid w:val="00FC1C5E"/>
    <w:rsid w:val="00FC7FBD"/>
    <w:rsid w:val="00FD6C84"/>
    <w:rsid w:val="00FE573D"/>
    <w:rsid w:val="00FF180E"/>
    <w:rsid w:val="00FF2420"/>
    <w:rsid w:val="00FF424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nhideWhenUsed/>
    <w:rsid w:val="009A7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287862899">
      <w:bodyDiv w:val="1"/>
      <w:marLeft w:val="0"/>
      <w:marRight w:val="0"/>
      <w:marTop w:val="0"/>
      <w:marBottom w:val="0"/>
      <w:divBdr>
        <w:top w:val="none" w:sz="0" w:space="0" w:color="auto"/>
        <w:left w:val="none" w:sz="0" w:space="0" w:color="auto"/>
        <w:bottom w:val="none" w:sz="0" w:space="0" w:color="auto"/>
        <w:right w:val="none" w:sz="0" w:space="0" w:color="auto"/>
      </w:divBdr>
    </w:div>
    <w:div w:id="865213273">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279799028">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923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s.ta.gov.lv/tisreal?Form=STAT_PROC_ENTER&amp;task=edit&amp;procid=6571200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207%26sort%3D1%26liststep%3D10%26%3DPar%25C4%2581d%25C4%25ABt%26plparam1%3Dlist%26pljmimetype%3D1%26%3DIzdruk%25C4%2581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BA5F8-CAC8-4463-9372-69EE2A4D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17155</Words>
  <Characters>9779</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2024-01-23T09:20:00Z</dcterms:created>
  <dcterms:modified xsi:type="dcterms:W3CDTF">2024-01-24T09:02:00Z</dcterms:modified>
</cp:coreProperties>
</file>