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79FCA" w14:textId="77777777" w:rsidR="006D4A79" w:rsidRPr="006D4A79" w:rsidRDefault="006D4A79" w:rsidP="001E0428">
      <w:pPr>
        <w:tabs>
          <w:tab w:val="left" w:pos="3318"/>
        </w:tabs>
        <w:spacing w:line="276" w:lineRule="auto"/>
        <w:jc w:val="both"/>
        <w:rPr>
          <w:rFonts w:eastAsia="Calibri"/>
          <w:b/>
          <w:bCs/>
        </w:rPr>
      </w:pPr>
      <w:r w:rsidRPr="006D4A79">
        <w:rPr>
          <w:rFonts w:eastAsia="Calibri"/>
          <w:b/>
          <w:bCs/>
        </w:rPr>
        <w:t>Pieteikuma par saistību piespiedu izpildīšanas brīdinājuma kārtībā izskatīšanas robežas</w:t>
      </w:r>
    </w:p>
    <w:p w14:paraId="63F9BD0E" w14:textId="77777777" w:rsidR="006D4A79" w:rsidRPr="006D4A79" w:rsidRDefault="006D4A79" w:rsidP="001E0428">
      <w:pPr>
        <w:tabs>
          <w:tab w:val="left" w:pos="3318"/>
        </w:tabs>
        <w:spacing w:line="276" w:lineRule="auto"/>
        <w:jc w:val="both"/>
        <w:rPr>
          <w:rFonts w:eastAsia="Calibri"/>
        </w:rPr>
      </w:pPr>
      <w:r w:rsidRPr="006D4A79">
        <w:rPr>
          <w:rFonts w:eastAsia="Calibri"/>
        </w:rPr>
        <w:t>Saistību piespiedu izpildīšanas brīdinājuma kārtībā tiesai (tiesnesim) nav jāveic tiesas spriešanai raksturīgās procesuālās darbības, tostarp nav jāvērtē pierādījumi, kas attiecas uz pieteikuma iesniedzēja mantisko stāvokli, vien jāpārbauda pieteikuma atbilstība likumā izvirzītajiem formālajiem priekšrakstiem.</w:t>
      </w:r>
    </w:p>
    <w:p w14:paraId="2F20B11D" w14:textId="77777777" w:rsidR="00250D61" w:rsidRPr="006D4A79" w:rsidRDefault="00250D61" w:rsidP="001E0428">
      <w:pPr>
        <w:spacing w:line="276" w:lineRule="auto"/>
        <w:jc w:val="both"/>
      </w:pPr>
    </w:p>
    <w:p w14:paraId="4F6851D7" w14:textId="2783F66E" w:rsidR="00DE61FD" w:rsidRPr="006D4A79" w:rsidRDefault="00DE61FD" w:rsidP="001E0428">
      <w:pPr>
        <w:spacing w:line="276" w:lineRule="auto"/>
        <w:jc w:val="center"/>
        <w:rPr>
          <w:b/>
        </w:rPr>
      </w:pPr>
      <w:r w:rsidRPr="006D4A79">
        <w:rPr>
          <w:b/>
        </w:rPr>
        <w:t xml:space="preserve">Latvijas Republikas </w:t>
      </w:r>
      <w:r w:rsidR="0055193E" w:rsidRPr="006D4A79">
        <w:rPr>
          <w:b/>
        </w:rPr>
        <w:t>Senāt</w:t>
      </w:r>
      <w:r w:rsidR="00765DE0" w:rsidRPr="006D4A79">
        <w:rPr>
          <w:b/>
        </w:rPr>
        <w:t>a</w:t>
      </w:r>
    </w:p>
    <w:p w14:paraId="4A7B0A5D" w14:textId="167A2A9E" w:rsidR="00765DE0" w:rsidRPr="006D4A79" w:rsidRDefault="00765DE0" w:rsidP="001E0428">
      <w:pPr>
        <w:spacing w:line="276" w:lineRule="auto"/>
        <w:jc w:val="center"/>
        <w:rPr>
          <w:b/>
        </w:rPr>
      </w:pPr>
      <w:r w:rsidRPr="006D4A79">
        <w:rPr>
          <w:b/>
        </w:rPr>
        <w:t>Civillietu departamenta</w:t>
      </w:r>
    </w:p>
    <w:p w14:paraId="0C35EA2B" w14:textId="724786AB" w:rsidR="00765DE0" w:rsidRPr="006D4A79" w:rsidRDefault="00765DE0" w:rsidP="001E0428">
      <w:pPr>
        <w:spacing w:line="276" w:lineRule="auto"/>
        <w:jc w:val="center"/>
        <w:rPr>
          <w:b/>
          <w:bCs/>
        </w:rPr>
      </w:pPr>
      <w:r w:rsidRPr="006D4A79">
        <w:rPr>
          <w:b/>
          <w:bCs/>
        </w:rPr>
        <w:t>2024. gada 25. janvāra</w:t>
      </w:r>
    </w:p>
    <w:p w14:paraId="70187859" w14:textId="0353798C" w:rsidR="00DE61FD" w:rsidRPr="006D4A79" w:rsidRDefault="00DE61FD" w:rsidP="001E0428">
      <w:pPr>
        <w:spacing w:line="276" w:lineRule="auto"/>
        <w:jc w:val="center"/>
        <w:rPr>
          <w:b/>
        </w:rPr>
      </w:pPr>
      <w:r w:rsidRPr="006D4A79">
        <w:rPr>
          <w:b/>
        </w:rPr>
        <w:t xml:space="preserve">RĪCĪBAS SĒDES </w:t>
      </w:r>
      <w:smartTag w:uri="schemas-tilde-lv/tildestengine" w:element="veidnes">
        <w:smartTagPr>
          <w:attr w:name="text" w:val="LĒMUMS&#10;"/>
          <w:attr w:name="baseform" w:val="lēmums"/>
          <w:attr w:name="id" w:val="-1"/>
        </w:smartTagPr>
        <w:r w:rsidRPr="006D4A79">
          <w:rPr>
            <w:b/>
          </w:rPr>
          <w:t>LĒMUMS</w:t>
        </w:r>
      </w:smartTag>
    </w:p>
    <w:p w14:paraId="351D21BB" w14:textId="0EE5AEAD" w:rsidR="00765DE0" w:rsidRPr="006D4A79" w:rsidRDefault="00765DE0" w:rsidP="001E0428">
      <w:pPr>
        <w:spacing w:line="276" w:lineRule="auto"/>
        <w:jc w:val="center"/>
        <w:rPr>
          <w:b/>
          <w:bCs/>
        </w:rPr>
      </w:pPr>
      <w:r w:rsidRPr="006D4A79">
        <w:rPr>
          <w:b/>
        </w:rPr>
        <w:t>Lieta Nr. </w:t>
      </w:r>
      <w:r w:rsidRPr="006D4A79">
        <w:rPr>
          <w:b/>
          <w:bCs/>
        </w:rPr>
        <w:t>SKC-237/2024</w:t>
      </w:r>
    </w:p>
    <w:p w14:paraId="79EE95A3" w14:textId="12642825" w:rsidR="00765DE0" w:rsidRPr="006D4A79" w:rsidRDefault="001E0428" w:rsidP="001E0428">
      <w:pPr>
        <w:spacing w:line="276" w:lineRule="auto"/>
        <w:jc w:val="center"/>
        <w:rPr>
          <w:b/>
        </w:rPr>
      </w:pPr>
      <w:hyperlink r:id="rId7" w:history="1">
        <w:r w:rsidR="00765DE0" w:rsidRPr="006D4A79">
          <w:rPr>
            <w:rStyle w:val="Hyperlink"/>
          </w:rPr>
          <w:t>ECLI:LV:AT:2024:0125.SKC023724.8.L</w:t>
        </w:r>
      </w:hyperlink>
    </w:p>
    <w:p w14:paraId="77227CA6" w14:textId="77777777" w:rsidR="00E166B9" w:rsidRPr="006D4A79" w:rsidRDefault="00E166B9" w:rsidP="001E0428">
      <w:pPr>
        <w:spacing w:line="276" w:lineRule="auto"/>
        <w:ind w:firstLine="720"/>
        <w:jc w:val="both"/>
      </w:pPr>
    </w:p>
    <w:p w14:paraId="1BECFB87" w14:textId="4FCD5E48" w:rsidR="00DE61FD" w:rsidRPr="006D4A79" w:rsidRDefault="0055193E" w:rsidP="001E0428">
      <w:pPr>
        <w:spacing w:line="276" w:lineRule="auto"/>
        <w:ind w:firstLine="720"/>
        <w:jc w:val="both"/>
      </w:pPr>
      <w:r w:rsidRPr="006D4A79">
        <w:t>Senatoru</w:t>
      </w:r>
      <w:r w:rsidR="00DE61FD" w:rsidRPr="006D4A79">
        <w:t xml:space="preserve"> kolēģija šādā sastāvā:</w:t>
      </w:r>
      <w:r w:rsidR="00EB49C0" w:rsidRPr="006D4A79">
        <w:t xml:space="preserve"> </w:t>
      </w:r>
      <w:r w:rsidR="00326B76" w:rsidRPr="006D4A79">
        <w:t>s</w:t>
      </w:r>
      <w:r w:rsidRPr="006D4A79">
        <w:t>enator</w:t>
      </w:r>
      <w:r w:rsidR="00326B76" w:rsidRPr="006D4A79">
        <w:t xml:space="preserve">s </w:t>
      </w:r>
      <w:r w:rsidR="00577F9B" w:rsidRPr="006D4A79">
        <w:t xml:space="preserve">referents </w:t>
      </w:r>
      <w:r w:rsidR="00326B76" w:rsidRPr="006D4A79">
        <w:t>Intars Bisters</w:t>
      </w:r>
      <w:r w:rsidR="00DE61FD" w:rsidRPr="006D4A79">
        <w:t>,</w:t>
      </w:r>
      <w:r w:rsidR="00EB49C0" w:rsidRPr="006D4A79">
        <w:t xml:space="preserve"> senatori </w:t>
      </w:r>
      <w:r w:rsidR="00DC5AEC" w:rsidRPr="006D4A79">
        <w:t>Ļubova</w:t>
      </w:r>
      <w:r w:rsidR="00291405" w:rsidRPr="006D4A79">
        <w:t xml:space="preserve"> </w:t>
      </w:r>
      <w:r w:rsidR="00DC5AEC" w:rsidRPr="006D4A79">
        <w:t xml:space="preserve">Kušnire </w:t>
      </w:r>
      <w:r w:rsidR="00EB49C0" w:rsidRPr="006D4A79">
        <w:t>un Normunds Salenieks</w:t>
      </w:r>
    </w:p>
    <w:p w14:paraId="00C874A0" w14:textId="03DDC399" w:rsidR="00DE61FD" w:rsidRPr="006D4A79" w:rsidRDefault="00DE61FD" w:rsidP="001E0428">
      <w:pPr>
        <w:spacing w:line="276" w:lineRule="auto"/>
        <w:jc w:val="both"/>
      </w:pPr>
    </w:p>
    <w:p w14:paraId="74F3D3CB" w14:textId="77777777" w:rsidR="00F748F7" w:rsidRPr="006D4A79" w:rsidRDefault="006E6B1A" w:rsidP="001E0428">
      <w:pPr>
        <w:spacing w:line="276" w:lineRule="auto"/>
        <w:ind w:firstLine="720"/>
        <w:jc w:val="both"/>
      </w:pPr>
      <w:r w:rsidRPr="006D4A79">
        <w:t>rīcības sēdē izskatīja</w:t>
      </w:r>
      <w:r w:rsidR="008C188A" w:rsidRPr="006D4A79">
        <w:t xml:space="preserve"> </w:t>
      </w:r>
      <w:r w:rsidR="00DC5AEC" w:rsidRPr="006D4A79">
        <w:t xml:space="preserve">biedrības „Četras stihijas” </w:t>
      </w:r>
      <w:r w:rsidRPr="006D4A79">
        <w:t xml:space="preserve">blakus sūdzību par </w:t>
      </w:r>
      <w:r w:rsidR="00DC5AEC" w:rsidRPr="006D4A79">
        <w:t xml:space="preserve">Zemgales </w:t>
      </w:r>
      <w:r w:rsidR="00743D20" w:rsidRPr="006D4A79">
        <w:t xml:space="preserve">apgabaltiesas </w:t>
      </w:r>
      <w:r w:rsidR="00EB49C0" w:rsidRPr="006D4A79">
        <w:t xml:space="preserve">2023. gada </w:t>
      </w:r>
      <w:r w:rsidR="00DC5AEC" w:rsidRPr="006D4A79">
        <w:t>15. novembra</w:t>
      </w:r>
      <w:r w:rsidR="007122DD" w:rsidRPr="006D4A79">
        <w:t xml:space="preserve"> lēmumu</w:t>
      </w:r>
      <w:r w:rsidR="00F748F7" w:rsidRPr="006D4A79">
        <w:t>.</w:t>
      </w:r>
    </w:p>
    <w:p w14:paraId="08BF1725" w14:textId="77777777" w:rsidR="006D4A79" w:rsidRDefault="006D4A79" w:rsidP="001E0428">
      <w:pPr>
        <w:spacing w:line="276" w:lineRule="auto"/>
        <w:ind w:firstLine="720"/>
        <w:jc w:val="both"/>
      </w:pPr>
    </w:p>
    <w:p w14:paraId="0D2F3506" w14:textId="5AC3130F" w:rsidR="006E6B1A" w:rsidRDefault="0055193E" w:rsidP="001E0428">
      <w:pPr>
        <w:spacing w:line="276" w:lineRule="auto"/>
        <w:ind w:firstLine="720"/>
        <w:jc w:val="both"/>
      </w:pPr>
      <w:r w:rsidRPr="006D4A79">
        <w:t>Senatoru</w:t>
      </w:r>
      <w:r w:rsidR="006E6B1A" w:rsidRPr="006D4A79">
        <w:t xml:space="preserve"> kolēģija </w:t>
      </w:r>
    </w:p>
    <w:p w14:paraId="5331034E" w14:textId="77777777" w:rsidR="001E0428" w:rsidRPr="006D4A79" w:rsidRDefault="001E0428" w:rsidP="001E0428">
      <w:pPr>
        <w:spacing w:line="276" w:lineRule="auto"/>
        <w:ind w:firstLine="720"/>
        <w:jc w:val="both"/>
      </w:pPr>
    </w:p>
    <w:p w14:paraId="6711D55F" w14:textId="77777777" w:rsidR="00DE61FD" w:rsidRPr="006D4A79" w:rsidRDefault="00296C20" w:rsidP="001E0428">
      <w:pPr>
        <w:spacing w:line="276" w:lineRule="auto"/>
        <w:jc w:val="center"/>
        <w:rPr>
          <w:b/>
        </w:rPr>
      </w:pPr>
      <w:r w:rsidRPr="006D4A79">
        <w:rPr>
          <w:b/>
        </w:rPr>
        <w:t>k</w:t>
      </w:r>
      <w:r w:rsidR="00DE61FD" w:rsidRPr="006D4A79">
        <w:rPr>
          <w:b/>
        </w:rPr>
        <w:t>onstatēja</w:t>
      </w:r>
    </w:p>
    <w:p w14:paraId="323389D2" w14:textId="77777777" w:rsidR="00296C20" w:rsidRPr="006D4A79" w:rsidRDefault="00296C20" w:rsidP="001E0428">
      <w:pPr>
        <w:spacing w:line="276" w:lineRule="auto"/>
        <w:jc w:val="center"/>
        <w:rPr>
          <w:b/>
        </w:rPr>
      </w:pPr>
    </w:p>
    <w:p w14:paraId="0DB9ABDD" w14:textId="5D8A80F5" w:rsidR="00A80450" w:rsidRPr="006D4A79" w:rsidRDefault="001C1970" w:rsidP="001E0428">
      <w:pPr>
        <w:spacing w:line="276" w:lineRule="auto"/>
        <w:ind w:firstLine="720"/>
        <w:jc w:val="both"/>
      </w:pPr>
      <w:r w:rsidRPr="006D4A79">
        <w:t>[1] </w:t>
      </w:r>
      <w:r w:rsidR="00A80450" w:rsidRPr="006D4A79">
        <w:t xml:space="preserve">Ar </w:t>
      </w:r>
      <w:r w:rsidR="00DC5AEC" w:rsidRPr="006D4A79">
        <w:t>Zemgales</w:t>
      </w:r>
      <w:r w:rsidR="00A80450" w:rsidRPr="006D4A79">
        <w:t xml:space="preserve"> apgabaltiesas 2023. gada </w:t>
      </w:r>
      <w:r w:rsidR="00DC5AEC" w:rsidRPr="006D4A79">
        <w:t>15. novembra</w:t>
      </w:r>
      <w:r w:rsidR="00A80450" w:rsidRPr="006D4A79">
        <w:t xml:space="preserve"> lēmumu</w:t>
      </w:r>
      <w:r w:rsidR="00DC5AEC" w:rsidRPr="006D4A79">
        <w:t xml:space="preserve"> bez izskatīšana</w:t>
      </w:r>
      <w:r w:rsidR="009913C0" w:rsidRPr="006D4A79">
        <w:t>s</w:t>
      </w:r>
      <w:r w:rsidR="00DC5AEC" w:rsidRPr="006D4A79">
        <w:t xml:space="preserve"> atstāta blakus sūdzība, ar kuru biedrība „Četras stihijas” pārsūdzēja Zemgales rajona tiesas tiesneša 2023. gada 3. oktobra lēmumu par lūguma atbrīvo</w:t>
      </w:r>
      <w:r w:rsidR="00D37434" w:rsidRPr="006D4A79">
        <w:t>t</w:t>
      </w:r>
      <w:r w:rsidR="00DC5AEC" w:rsidRPr="006D4A79">
        <w:t xml:space="preserve"> no valsts nodevas samaksas noraidīšanu un atteikšanos pieņemt </w:t>
      </w:r>
      <w:r w:rsidR="009913C0" w:rsidRPr="006D4A79">
        <w:t xml:space="preserve">tiesā </w:t>
      </w:r>
      <w:r w:rsidR="00DC5AEC" w:rsidRPr="006D4A79">
        <w:t>pieteikumu par saistības piespiedu izpildīšanu brīdinājuma kārtībā</w:t>
      </w:r>
      <w:r w:rsidR="00A80450" w:rsidRPr="006D4A79">
        <w:t>.</w:t>
      </w:r>
    </w:p>
    <w:p w14:paraId="202C6642" w14:textId="0CD43ACF" w:rsidR="005C0972" w:rsidRPr="006D4A79" w:rsidRDefault="00A80450" w:rsidP="001E0428">
      <w:pPr>
        <w:spacing w:line="276" w:lineRule="auto"/>
        <w:ind w:firstLine="720"/>
        <w:jc w:val="both"/>
      </w:pPr>
      <w:r w:rsidRPr="006D4A79">
        <w:t xml:space="preserve">Par minēto lēmumu iesniegtajā </w:t>
      </w:r>
      <w:r w:rsidR="00DC5AEC" w:rsidRPr="006D4A79">
        <w:t xml:space="preserve">biedrības „Četras stihijas” </w:t>
      </w:r>
      <w:r w:rsidRPr="006D4A79">
        <w:t>blakus sūdzībā</w:t>
      </w:r>
      <w:r w:rsidR="00577F9B" w:rsidRPr="006D4A79">
        <w:t xml:space="preserve"> </w:t>
      </w:r>
      <w:r w:rsidRPr="006D4A79">
        <w:t>n</w:t>
      </w:r>
      <w:r w:rsidR="005C0972" w:rsidRPr="006D4A79">
        <w:t xml:space="preserve">orādītie argumenti un apsvērumi, kā atzīst senatoru kolēģija, nedod acīmredzamu pamatu uzskatīt, ka, izskatot blakus sūdzību, pārsūdzētais lēmums tiks pilnīgi vai kādā daļā atcelts vai grozīts. Ņemot vērā minēto, </w:t>
      </w:r>
      <w:r w:rsidR="00DC5AEC" w:rsidRPr="006D4A79">
        <w:t xml:space="preserve">biedrības „Četras stihijas” </w:t>
      </w:r>
      <w:r w:rsidR="005C0972" w:rsidRPr="006D4A79">
        <w:t xml:space="preserve">blakus sūdzība </w:t>
      </w:r>
      <w:r w:rsidR="00D37434" w:rsidRPr="006D4A79">
        <w:t>izskatīšanai nav</w:t>
      </w:r>
      <w:r w:rsidR="005C0972" w:rsidRPr="006D4A79">
        <w:t xml:space="preserve"> pieņem</w:t>
      </w:r>
      <w:r w:rsidR="00D37434" w:rsidRPr="006D4A79">
        <w:t>ama</w:t>
      </w:r>
      <w:r w:rsidR="005C0972" w:rsidRPr="006D4A79">
        <w:t>.</w:t>
      </w:r>
    </w:p>
    <w:p w14:paraId="633618B2" w14:textId="77777777" w:rsidR="001C1970" w:rsidRPr="006D4A79" w:rsidRDefault="001C1970" w:rsidP="001E0428">
      <w:pPr>
        <w:spacing w:line="276" w:lineRule="auto"/>
        <w:ind w:firstLine="720"/>
        <w:jc w:val="both"/>
      </w:pPr>
    </w:p>
    <w:p w14:paraId="3765DD23" w14:textId="4D508774" w:rsidR="0026542C" w:rsidRPr="006D4A79" w:rsidRDefault="001C1970" w:rsidP="001E0428">
      <w:pPr>
        <w:spacing w:line="276" w:lineRule="auto"/>
        <w:ind w:firstLine="720"/>
        <w:jc w:val="both"/>
      </w:pPr>
      <w:r w:rsidRPr="006D4A79">
        <w:t>[2]</w:t>
      </w:r>
      <w:r w:rsidR="00542BEF" w:rsidRPr="006D4A79">
        <w:t> </w:t>
      </w:r>
      <w:r w:rsidR="00A877E3" w:rsidRPr="006D4A79">
        <w:t>Vienotas tiesu prakses nodrošināšanas nolūkā senatoru kol</w:t>
      </w:r>
      <w:r w:rsidR="0026542C" w:rsidRPr="006D4A79">
        <w:t>ēģija uzskata par nepieciešamu norādīt turpmāk minēto.</w:t>
      </w:r>
    </w:p>
    <w:p w14:paraId="36A74F9E" w14:textId="65BCD36D" w:rsidR="0026542C" w:rsidRPr="006D4A79" w:rsidRDefault="0026542C" w:rsidP="001E0428">
      <w:pPr>
        <w:spacing w:line="276" w:lineRule="auto"/>
        <w:ind w:firstLine="720"/>
        <w:jc w:val="both"/>
      </w:pPr>
      <w:r w:rsidRPr="006D4A79">
        <w:t xml:space="preserve">Nav šaubu par to, </w:t>
      </w:r>
      <w:r w:rsidR="00542BEF" w:rsidRPr="006D4A79">
        <w:t>ka tiesības uz pilnīgu vai daļēju atbrīvojumu no tiesas izdevumu samaksas valsts ienākumos ietilpst tiesību uz taisnīgu tiesu tvērumā</w:t>
      </w:r>
      <w:r w:rsidRPr="006D4A79">
        <w:t>.</w:t>
      </w:r>
    </w:p>
    <w:p w14:paraId="518D2401" w14:textId="09042284" w:rsidR="00542BEF" w:rsidRPr="006D4A79" w:rsidRDefault="00542BEF" w:rsidP="001E0428">
      <w:pPr>
        <w:spacing w:line="276" w:lineRule="auto"/>
        <w:ind w:firstLine="720"/>
        <w:jc w:val="both"/>
      </w:pPr>
      <w:r w:rsidRPr="006D4A79">
        <w:t xml:space="preserve">Vienlaikus Satversmes tiesa </w:t>
      </w:r>
      <w:r w:rsidR="008C4C33" w:rsidRPr="006D4A79">
        <w:t>secinājusi</w:t>
      </w:r>
      <w:r w:rsidRPr="006D4A79">
        <w:t>, ka leģitīms mērķis tiesību uz taisnīgu tiesu ierobežošanai var būt tiesu darbības efektivitātes nodrošināšana (sk.</w:t>
      </w:r>
      <w:r w:rsidR="0010197B" w:rsidRPr="006D4A79">
        <w:t xml:space="preserve"> </w:t>
      </w:r>
      <w:r w:rsidR="005F0759" w:rsidRPr="006D4A79">
        <w:rPr>
          <w:i/>
          <w:iCs/>
        </w:rPr>
        <w:t xml:space="preserve">piemēram, </w:t>
      </w:r>
      <w:r w:rsidRPr="006D4A79">
        <w:rPr>
          <w:i/>
          <w:iCs/>
        </w:rPr>
        <w:t>Satversmes tiesas 2008. gada 5. novembra sprieduma lietā Nr. 2008-04-01 13.2. apakšpunktu</w:t>
      </w:r>
      <w:r w:rsidRPr="006D4A79">
        <w:t>).</w:t>
      </w:r>
    </w:p>
    <w:p w14:paraId="3BA3A5FE" w14:textId="45797198" w:rsidR="00B3095C" w:rsidRPr="006D4A79" w:rsidRDefault="0026542C" w:rsidP="001E0428">
      <w:pPr>
        <w:spacing w:line="276" w:lineRule="auto"/>
        <w:ind w:firstLine="720"/>
        <w:jc w:val="both"/>
      </w:pPr>
      <w:bookmarkStart w:id="0" w:name="_Hlk156563494"/>
      <w:r w:rsidRPr="006D4A79">
        <w:t>S</w:t>
      </w:r>
      <w:r w:rsidR="00B3095C" w:rsidRPr="006D4A79">
        <w:t>aistību piespiedu izpildīšana brīdinājuma kārtība ieviesta nolūk</w:t>
      </w:r>
      <w:r w:rsidRPr="006D4A79">
        <w:t>ā</w:t>
      </w:r>
      <w:r w:rsidR="00B3095C" w:rsidRPr="006D4A79">
        <w:t xml:space="preserve"> nodrošināt vienkāršotu un paātrinātu parāda piedz</w:t>
      </w:r>
      <w:r w:rsidRPr="006D4A79">
        <w:t>iņas</w:t>
      </w:r>
      <w:r w:rsidR="00B3095C" w:rsidRPr="006D4A79">
        <w:t xml:space="preserve"> procesu</w:t>
      </w:r>
      <w:r w:rsidR="00464C76" w:rsidRPr="006D4A79">
        <w:t>,</w:t>
      </w:r>
      <w:r w:rsidR="00B3095C" w:rsidRPr="006D4A79">
        <w:t xml:space="preserve"> mazin</w:t>
      </w:r>
      <w:r w:rsidR="00464C76" w:rsidRPr="006D4A79">
        <w:t>o</w:t>
      </w:r>
      <w:r w:rsidR="00B3095C" w:rsidRPr="006D4A79">
        <w:t xml:space="preserve">t tiesu </w:t>
      </w:r>
      <w:r w:rsidRPr="006D4A79">
        <w:t>nos</w:t>
      </w:r>
      <w:r w:rsidR="00B3095C" w:rsidRPr="006D4A79">
        <w:t>lodzi</w:t>
      </w:r>
      <w:r w:rsidR="00464C76" w:rsidRPr="006D4A79">
        <w:t xml:space="preserve"> ar strīdu izšķiršanas alternatīvu risinājumu</w:t>
      </w:r>
      <w:r w:rsidR="00425B65" w:rsidRPr="006D4A79">
        <w:t xml:space="preserve"> </w:t>
      </w:r>
      <w:proofErr w:type="gramStart"/>
      <w:r w:rsidR="00425B65" w:rsidRPr="006D4A79">
        <w:t>(</w:t>
      </w:r>
      <w:proofErr w:type="gramEnd"/>
      <w:r w:rsidR="00425B65" w:rsidRPr="006D4A79">
        <w:t>s</w:t>
      </w:r>
      <w:r w:rsidR="00464C76" w:rsidRPr="006D4A79">
        <w:t>al</w:t>
      </w:r>
      <w:r w:rsidR="00425B65" w:rsidRPr="006D4A79">
        <w:t xml:space="preserve">. </w:t>
      </w:r>
      <w:r w:rsidR="00425B65" w:rsidRPr="006D4A79">
        <w:rPr>
          <w:i/>
          <w:iCs/>
        </w:rPr>
        <w:t xml:space="preserve">likumprojekta „Grozījumi Civilprocesa likumā” </w:t>
      </w:r>
      <w:r w:rsidR="00425B65" w:rsidRPr="006D4A79">
        <w:rPr>
          <w:i/>
          <w:iCs/>
        </w:rPr>
        <w:lastRenderedPageBreak/>
        <w:t xml:space="preserve">anotācijas 1. punktu. Pieejams: </w:t>
      </w:r>
      <w:hyperlink r:id="rId8" w:history="1">
        <w:r w:rsidR="00425B65" w:rsidRPr="006D4A79">
          <w:rPr>
            <w:rStyle w:val="Hyperlink"/>
            <w:i/>
            <w:iCs/>
          </w:rPr>
          <w:t>https://www.saeima.lv/L_Saeima7/lasa-LP1320_0.htm</w:t>
        </w:r>
      </w:hyperlink>
      <w:r w:rsidR="00425B65" w:rsidRPr="006D4A79">
        <w:rPr>
          <w:i/>
          <w:iCs/>
        </w:rPr>
        <w:t>, Satversmes tiesas 2010. gada 17. maija sprieduma lietā Nr. 2009-93-01 9.1. apakšpunktu</w:t>
      </w:r>
      <w:r w:rsidR="00425B65" w:rsidRPr="006D4A79">
        <w:t>)</w:t>
      </w:r>
      <w:r w:rsidR="00B3095C" w:rsidRPr="006D4A79">
        <w:t xml:space="preserve">. Attiecīgi šādas procedūras izveides pamata mērķis </w:t>
      </w:r>
      <w:r w:rsidR="00464C76" w:rsidRPr="006D4A79">
        <w:t>bija</w:t>
      </w:r>
      <w:r w:rsidR="00B3095C" w:rsidRPr="006D4A79">
        <w:t xml:space="preserve"> veicināt tiesu darbības efektivitāti, lai kreditors, izpildoties vis</w:t>
      </w:r>
      <w:r w:rsidR="00464C76" w:rsidRPr="006D4A79">
        <w:t>iem</w:t>
      </w:r>
      <w:r w:rsidR="00B3095C" w:rsidRPr="006D4A79">
        <w:t xml:space="preserve"> Civilprocesa likuma 50.</w:t>
      </w:r>
      <w:r w:rsidR="00B3095C" w:rsidRPr="006D4A79">
        <w:rPr>
          <w:vertAlign w:val="superscript"/>
        </w:rPr>
        <w:t>1</w:t>
      </w:r>
      <w:r w:rsidR="00B3095C" w:rsidRPr="006D4A79">
        <w:t> nodaļā izvirzītaj</w:t>
      </w:r>
      <w:r w:rsidR="00464C76" w:rsidRPr="006D4A79">
        <w:t xml:space="preserve">iem </w:t>
      </w:r>
      <w:r w:rsidR="00F748F7" w:rsidRPr="006D4A79">
        <w:t>priekšnoteikumiem</w:t>
      </w:r>
      <w:r w:rsidR="00B3095C" w:rsidRPr="006D4A79">
        <w:t>, varētu atvieglotā kārtībā panākt saistības izpildījumu.</w:t>
      </w:r>
      <w:r w:rsidR="00026B55" w:rsidRPr="006D4A79">
        <w:t xml:space="preserve"> Arī valsts nodevas apmērs pieteikumam saistību piespiedu izpildei brīdinājuma kārtībā ir noteikt</w:t>
      </w:r>
      <w:r w:rsidR="00DE7584" w:rsidRPr="006D4A79">
        <w:t>s</w:t>
      </w:r>
      <w:r w:rsidR="00026B55" w:rsidRPr="006D4A79">
        <w:t xml:space="preserve"> būtiski mazāks</w:t>
      </w:r>
      <w:r w:rsidR="007D5C5D" w:rsidRPr="006D4A79">
        <w:t xml:space="preserve"> ne</w:t>
      </w:r>
      <w:r w:rsidR="00026B55" w:rsidRPr="006D4A79">
        <w:t>kā prasības tiesvedībā.</w:t>
      </w:r>
    </w:p>
    <w:p w14:paraId="710D3E21" w14:textId="6DDE6528" w:rsidR="00026B55" w:rsidRPr="006D4A79" w:rsidRDefault="00D30F98" w:rsidP="001E0428">
      <w:pPr>
        <w:spacing w:line="276" w:lineRule="auto"/>
        <w:ind w:firstLine="720"/>
        <w:jc w:val="both"/>
      </w:pPr>
      <w:r w:rsidRPr="006D4A79">
        <w:t>Tāpat š</w:t>
      </w:r>
      <w:r w:rsidR="00DE7584" w:rsidRPr="006D4A79">
        <w:t>ajā procesuālā kārtībā pieteikumam netiek pievienoti pierādījumi. Arī darījuma akts, kura piespiedu izpildi prasa, netiek pievienots, jo atbilstoši Civilprocesa likuma 406.</w:t>
      </w:r>
      <w:r w:rsidR="00DE7584" w:rsidRPr="006D4A79">
        <w:rPr>
          <w:vertAlign w:val="superscript"/>
        </w:rPr>
        <w:t>3 </w:t>
      </w:r>
      <w:r w:rsidR="00DE7584" w:rsidRPr="006D4A79">
        <w:t>panta otrās daļas 5.</w:t>
      </w:r>
      <w:r w:rsidR="007D5C5D" w:rsidRPr="006D4A79">
        <w:t> </w:t>
      </w:r>
      <w:r w:rsidR="00DE7584" w:rsidRPr="006D4A79">
        <w:t xml:space="preserve">punktam </w:t>
      </w:r>
      <w:r w:rsidR="00382D61" w:rsidRPr="006D4A79">
        <w:t xml:space="preserve">pieteikumā </w:t>
      </w:r>
      <w:r w:rsidR="00DE7584" w:rsidRPr="006D4A79">
        <w:t>norāda vien saistību pamatojoš</w:t>
      </w:r>
      <w:r w:rsidR="00CF598F" w:rsidRPr="006D4A79">
        <w:t>o</w:t>
      </w:r>
      <w:r w:rsidR="00DE7584" w:rsidRPr="006D4A79">
        <w:t xml:space="preserve"> dokument</w:t>
      </w:r>
      <w:r w:rsidR="00CF598F" w:rsidRPr="006D4A79">
        <w:t>u</w:t>
      </w:r>
      <w:r w:rsidR="00DE7584" w:rsidRPr="006D4A79">
        <w:t xml:space="preserve"> identificējošu informāciju.</w:t>
      </w:r>
    </w:p>
    <w:p w14:paraId="520A26B4" w14:textId="5190671A" w:rsidR="00D30F98" w:rsidRPr="006D4A79" w:rsidRDefault="00D30F98" w:rsidP="001E0428">
      <w:pPr>
        <w:spacing w:line="276" w:lineRule="auto"/>
        <w:ind w:firstLine="720"/>
        <w:jc w:val="both"/>
      </w:pPr>
      <w:r w:rsidRPr="006D4A79">
        <w:t>Tādējādi Civilprocesa likuma 50.</w:t>
      </w:r>
      <w:r w:rsidRPr="006D4A79">
        <w:rPr>
          <w:vertAlign w:val="superscript"/>
        </w:rPr>
        <w:t>1</w:t>
      </w:r>
      <w:r w:rsidRPr="006D4A79">
        <w:t> nodaļā paredzētajā kārtībā tiesai (tiesnesim) nav jāveic tiesas spriešanai raksturīgās procesuālās darbības, t</w:t>
      </w:r>
      <w:r w:rsidR="005F0759" w:rsidRPr="006D4A79">
        <w:t>ostarp</w:t>
      </w:r>
      <w:r w:rsidRPr="006D4A79">
        <w:t xml:space="preserve"> </w:t>
      </w:r>
      <w:r w:rsidR="000E0541" w:rsidRPr="006D4A79">
        <w:t>nav jāvērtē pierādījumi</w:t>
      </w:r>
      <w:r w:rsidR="00F748F7" w:rsidRPr="006D4A79">
        <w:t>, vien jāpārbauda pieteikuma atbilstība likumā izvirzīt</w:t>
      </w:r>
      <w:r w:rsidR="005F0759" w:rsidRPr="006D4A79">
        <w:t>ajiem</w:t>
      </w:r>
      <w:r w:rsidR="00F748F7" w:rsidRPr="006D4A79">
        <w:t xml:space="preserve"> formāl</w:t>
      </w:r>
      <w:r w:rsidR="005F0759" w:rsidRPr="006D4A79">
        <w:t>ajiem</w:t>
      </w:r>
      <w:r w:rsidR="00F748F7" w:rsidRPr="006D4A79">
        <w:t xml:space="preserve"> priekšrakstiem.</w:t>
      </w:r>
    </w:p>
    <w:p w14:paraId="60D69313" w14:textId="57754959" w:rsidR="00D64279" w:rsidRPr="006D4A79" w:rsidRDefault="00D64279" w:rsidP="001E0428">
      <w:pPr>
        <w:spacing w:line="276" w:lineRule="auto"/>
        <w:ind w:firstLine="720"/>
        <w:jc w:val="both"/>
      </w:pPr>
      <w:r w:rsidRPr="006D4A79">
        <w:t>Senāts ir atzinis, ka saistību piespiedu izpildīšanas brīdinājuma kārtībā personai nav jā</w:t>
      </w:r>
      <w:r w:rsidR="005F0759" w:rsidRPr="006D4A79">
        <w:t>maksā</w:t>
      </w:r>
      <w:r w:rsidRPr="006D4A79">
        <w:t xml:space="preserve"> tiesas izdevum</w:t>
      </w:r>
      <w:r w:rsidR="005F0759" w:rsidRPr="006D4A79">
        <w:t>i</w:t>
      </w:r>
      <w:r w:rsidRPr="006D4A79">
        <w:t>, ja tā no šāda pienākuma ir atbrīvota uz likuma pamata (sk. </w:t>
      </w:r>
      <w:r w:rsidRPr="006D4A79">
        <w:rPr>
          <w:i/>
          <w:iCs/>
        </w:rPr>
        <w:t xml:space="preserve">Senāta 2010. gada 27. janvāra lēmumu lietā </w:t>
      </w:r>
      <w:r w:rsidR="007D5C5D" w:rsidRPr="006D4A79">
        <w:rPr>
          <w:i/>
          <w:iCs/>
        </w:rPr>
        <w:t>Nr. </w:t>
      </w:r>
      <w:r w:rsidRPr="006D4A79">
        <w:rPr>
          <w:i/>
          <w:iCs/>
        </w:rPr>
        <w:t>SPC</w:t>
      </w:r>
      <w:r w:rsidRPr="006D4A79">
        <w:rPr>
          <w:i/>
          <w:iCs/>
        </w:rPr>
        <w:noBreakHyphen/>
        <w:t>43/2010</w:t>
      </w:r>
      <w:r w:rsidRPr="006D4A79">
        <w:t>). Vienlaikus jānorāda, ka šāds izņēmums ir pieļaujams tā iemesla dēļ, ka noteiktu apstākļu pastāvēšanu likumdevējs ir atzinis par pietiekamu pamatu personas atbrīvošanai no tiesas izdevumu samaksas, līdz ar to tiesai (tiesnesim) nav jāsniedz papildu apstākļu vērtējums.</w:t>
      </w:r>
    </w:p>
    <w:p w14:paraId="3A033A51" w14:textId="111DD72D" w:rsidR="00161AAA" w:rsidRPr="006D4A79" w:rsidRDefault="00D30F98" w:rsidP="001E0428">
      <w:pPr>
        <w:spacing w:line="276" w:lineRule="auto"/>
        <w:ind w:firstLine="720"/>
        <w:jc w:val="both"/>
      </w:pPr>
      <w:r w:rsidRPr="006D4A79">
        <w:t>Pieteikuma formāla neatbilstība C</w:t>
      </w:r>
      <w:r w:rsidR="00F74DC4" w:rsidRPr="006D4A79">
        <w:t xml:space="preserve">ivilprocesa likuma </w:t>
      </w:r>
      <w:r w:rsidRPr="006D4A79">
        <w:t>406.</w:t>
      </w:r>
      <w:r w:rsidRPr="006D4A79">
        <w:rPr>
          <w:vertAlign w:val="superscript"/>
        </w:rPr>
        <w:t>1</w:t>
      </w:r>
      <w:r w:rsidRPr="006D4A79">
        <w:t>, 406.</w:t>
      </w:r>
      <w:r w:rsidRPr="006D4A79">
        <w:rPr>
          <w:vertAlign w:val="superscript"/>
        </w:rPr>
        <w:t>2</w:t>
      </w:r>
      <w:r w:rsidRPr="006D4A79">
        <w:t>  un 406.</w:t>
      </w:r>
      <w:r w:rsidRPr="006D4A79">
        <w:rPr>
          <w:vertAlign w:val="superscript"/>
        </w:rPr>
        <w:t>3</w:t>
      </w:r>
      <w:r w:rsidRPr="006D4A79">
        <w:t xml:space="preserve"> panta prasībām ir pietiekams pamats </w:t>
      </w:r>
      <w:r w:rsidR="00246C46" w:rsidRPr="006D4A79">
        <w:t>atteikt pieņemt pieteikumu tiesā, turklāt šāds lēmums nav pārsūdzams, kā to paredz Civilprocesa likuma 406.</w:t>
      </w:r>
      <w:r w:rsidR="00246C46" w:rsidRPr="006D4A79">
        <w:rPr>
          <w:vertAlign w:val="superscript"/>
        </w:rPr>
        <w:t>3</w:t>
      </w:r>
      <w:r w:rsidR="00246C46" w:rsidRPr="006D4A79">
        <w:t> panta ceturtā daļa</w:t>
      </w:r>
      <w:r w:rsidR="00161AAA" w:rsidRPr="006D4A79">
        <w:t>.</w:t>
      </w:r>
      <w:r w:rsidR="00246C46" w:rsidRPr="006D4A79">
        <w:t xml:space="preserve"> Civilprocesa likuma normu piemērošan</w:t>
      </w:r>
      <w:r w:rsidR="00161AAA" w:rsidRPr="006D4A79">
        <w:t>a</w:t>
      </w:r>
      <w:r w:rsidR="00246C46" w:rsidRPr="006D4A79">
        <w:t>, kas raksturīga prasības tiesvedības kārtībai, nonāk</w:t>
      </w:r>
      <w:r w:rsidR="00161AAA" w:rsidRPr="006D4A79">
        <w:t xml:space="preserve">tu </w:t>
      </w:r>
      <w:r w:rsidR="00246C46" w:rsidRPr="006D4A79">
        <w:t xml:space="preserve">pretrunā ar strīdu alternatīva risinājuma procedūras ieviešanas mērķi, </w:t>
      </w:r>
      <w:r w:rsidR="00161AAA" w:rsidRPr="006D4A79">
        <w:t>tāpēc trūkumu novēršanai pieteikuma atstāšana bez virzības nav paredzēta.</w:t>
      </w:r>
    </w:p>
    <w:bookmarkEnd w:id="0"/>
    <w:p w14:paraId="6DA1819D" w14:textId="3B78F93E" w:rsidR="00521C90" w:rsidRPr="006D4A79" w:rsidRDefault="00425B65" w:rsidP="001E0428">
      <w:pPr>
        <w:spacing w:line="276" w:lineRule="auto"/>
        <w:ind w:firstLine="720"/>
        <w:jc w:val="both"/>
      </w:pPr>
      <w:r w:rsidRPr="006D4A79">
        <w:t>Visbeidzot</w:t>
      </w:r>
      <w:r w:rsidR="00CC2747" w:rsidRPr="006D4A79">
        <w:t xml:space="preserve"> jāuzsver, ka </w:t>
      </w:r>
      <w:r w:rsidR="00521C90" w:rsidRPr="006D4A79">
        <w:t xml:space="preserve">liegums kreditoram </w:t>
      </w:r>
      <w:r w:rsidR="00161AAA" w:rsidRPr="006D4A79">
        <w:t xml:space="preserve">nesamaksātās valsts nodevas dēļ </w:t>
      </w:r>
      <w:r w:rsidR="00521C90" w:rsidRPr="006D4A79">
        <w:t>īstenot savu tiesību pēc saistības Civilprocesa likuma 50.</w:t>
      </w:r>
      <w:r w:rsidR="00521C90" w:rsidRPr="006D4A79">
        <w:rPr>
          <w:vertAlign w:val="superscript"/>
        </w:rPr>
        <w:t>1</w:t>
      </w:r>
      <w:r w:rsidR="00521C90" w:rsidRPr="006D4A79">
        <w:t> nodaļ</w:t>
      </w:r>
      <w:r w:rsidR="00D64279" w:rsidRPr="006D4A79">
        <w:t>ā paredzētājā</w:t>
      </w:r>
      <w:r w:rsidR="00521C90" w:rsidRPr="006D4A79">
        <w:t xml:space="preserve"> kārtībā neierobežo viņa</w:t>
      </w:r>
      <w:r w:rsidR="001E43AF" w:rsidRPr="006D4A79">
        <w:t>m</w:t>
      </w:r>
      <w:r w:rsidR="00521C90" w:rsidRPr="006D4A79">
        <w:t xml:space="preserve"> piekļuvi tiesai</w:t>
      </w:r>
      <w:r w:rsidR="001E43AF" w:rsidRPr="006D4A79">
        <w:t xml:space="preserve"> pēc būtības</w:t>
      </w:r>
      <w:r w:rsidR="00D64279" w:rsidRPr="006D4A79">
        <w:t>.</w:t>
      </w:r>
      <w:r w:rsidR="00161AAA" w:rsidRPr="006D4A79">
        <w:t xml:space="preserve"> </w:t>
      </w:r>
      <w:r w:rsidR="00D64279" w:rsidRPr="006D4A79">
        <w:t>S</w:t>
      </w:r>
      <w:r w:rsidR="00161AAA" w:rsidRPr="006D4A79">
        <w:t>amaksājot</w:t>
      </w:r>
      <w:r w:rsidR="00D64279" w:rsidRPr="006D4A79">
        <w:t xml:space="preserve"> valsts</w:t>
      </w:r>
      <w:r w:rsidR="00161AAA" w:rsidRPr="006D4A79">
        <w:t xml:space="preserve"> nodevu, pieteikumu </w:t>
      </w:r>
      <w:r w:rsidR="000E0541" w:rsidRPr="006D4A79">
        <w:t xml:space="preserve">saistību piespiedu izpildei brīdinājuma kārtībā </w:t>
      </w:r>
      <w:r w:rsidR="00161AAA" w:rsidRPr="006D4A79">
        <w:t>var iesniegt atkārtoti</w:t>
      </w:r>
      <w:r w:rsidR="00D64279" w:rsidRPr="006D4A79">
        <w:t>,</w:t>
      </w:r>
      <w:r w:rsidR="00161AAA" w:rsidRPr="006D4A79">
        <w:t xml:space="preserve"> vai </w:t>
      </w:r>
      <w:r w:rsidR="00521C90" w:rsidRPr="006D4A79">
        <w:t>aizskarto civilo tiesību aizsardzīb</w:t>
      </w:r>
      <w:r w:rsidR="00F748F7" w:rsidRPr="006D4A79">
        <w:t>u</w:t>
      </w:r>
      <w:r w:rsidR="00521C90" w:rsidRPr="006D4A79">
        <w:t xml:space="preserve"> var </w:t>
      </w:r>
      <w:r w:rsidR="00D64279" w:rsidRPr="006D4A79">
        <w:t>realizēt</w:t>
      </w:r>
      <w:r w:rsidR="00521C90" w:rsidRPr="006D4A79">
        <w:t xml:space="preserve"> </w:t>
      </w:r>
      <w:r w:rsidR="001E43AF" w:rsidRPr="006D4A79">
        <w:t xml:space="preserve">vispārējā </w:t>
      </w:r>
      <w:r w:rsidR="00D64279" w:rsidRPr="006D4A79">
        <w:t xml:space="preserve">prasības tiesvedības </w:t>
      </w:r>
      <w:r w:rsidR="001E43AF" w:rsidRPr="006D4A79">
        <w:t>kārtībā</w:t>
      </w:r>
      <w:r w:rsidR="00D64279" w:rsidRPr="006D4A79">
        <w:t>, kā to noteic</w:t>
      </w:r>
      <w:r w:rsidR="001E43AF" w:rsidRPr="006D4A79">
        <w:t xml:space="preserve"> Civilprocesa likuma 406.</w:t>
      </w:r>
      <w:r w:rsidR="001E43AF" w:rsidRPr="006D4A79">
        <w:rPr>
          <w:vertAlign w:val="superscript"/>
        </w:rPr>
        <w:t>3</w:t>
      </w:r>
      <w:r w:rsidR="001E43AF" w:rsidRPr="006D4A79">
        <w:t> panta piektā daļa</w:t>
      </w:r>
      <w:r w:rsidR="005F0759" w:rsidRPr="006D4A79">
        <w:t>, tostarp lūdzot atbrīvot no tiesas izdevumu samaksas</w:t>
      </w:r>
      <w:r w:rsidR="001E43AF" w:rsidRPr="006D4A79">
        <w:t>.</w:t>
      </w:r>
    </w:p>
    <w:p w14:paraId="13D5A96F" w14:textId="77777777" w:rsidR="001C1970" w:rsidRPr="006D4A79" w:rsidRDefault="001C1970" w:rsidP="001E0428">
      <w:pPr>
        <w:spacing w:line="276" w:lineRule="auto"/>
        <w:jc w:val="both"/>
      </w:pPr>
    </w:p>
    <w:p w14:paraId="5372E578" w14:textId="17050DF8" w:rsidR="00A90A3B" w:rsidRPr="006D4A79" w:rsidRDefault="003956ED" w:rsidP="001E0428">
      <w:pPr>
        <w:autoSpaceDE w:val="0"/>
        <w:autoSpaceDN w:val="0"/>
        <w:adjustRightInd w:val="0"/>
        <w:spacing w:line="276" w:lineRule="auto"/>
        <w:ind w:firstLine="720"/>
        <w:jc w:val="both"/>
      </w:pPr>
      <w:r w:rsidRPr="006D4A79">
        <w:t>[3] </w:t>
      </w:r>
      <w:r w:rsidR="005C0972" w:rsidRPr="006D4A79">
        <w:t>P</w:t>
      </w:r>
      <w:r w:rsidR="006E6B1A" w:rsidRPr="006D4A79">
        <w:t xml:space="preserve">amatojoties uz </w:t>
      </w:r>
      <w:r w:rsidR="00296C20" w:rsidRPr="006D4A79">
        <w:t>Civilprocesa likuma 464.</w:t>
      </w:r>
      <w:r w:rsidR="005C0972" w:rsidRPr="006D4A79">
        <w:t> </w:t>
      </w:r>
      <w:r w:rsidR="00296C20" w:rsidRPr="006D4A79">
        <w:t>panta</w:t>
      </w:r>
      <w:r w:rsidR="007B2DC4" w:rsidRPr="006D4A79">
        <w:t xml:space="preserve"> </w:t>
      </w:r>
      <w:r w:rsidR="00377271" w:rsidRPr="006D4A79">
        <w:t>septīto daļu</w:t>
      </w:r>
      <w:r w:rsidR="006E6B1A" w:rsidRPr="006D4A79">
        <w:t xml:space="preserve">, </w:t>
      </w:r>
      <w:r w:rsidR="0055193E" w:rsidRPr="006D4A79">
        <w:t>senatoru</w:t>
      </w:r>
      <w:r w:rsidR="006E6B1A" w:rsidRPr="006D4A79">
        <w:t xml:space="preserve"> kolēģija</w:t>
      </w:r>
    </w:p>
    <w:p w14:paraId="79DA0D66" w14:textId="77777777" w:rsidR="00296C20" w:rsidRPr="006D4A79" w:rsidRDefault="00296C20" w:rsidP="001E0428">
      <w:pPr>
        <w:autoSpaceDE w:val="0"/>
        <w:autoSpaceDN w:val="0"/>
        <w:adjustRightInd w:val="0"/>
        <w:spacing w:line="276" w:lineRule="auto"/>
        <w:ind w:firstLine="720"/>
        <w:jc w:val="both"/>
      </w:pPr>
    </w:p>
    <w:p w14:paraId="3D40F5F8" w14:textId="3508BD13" w:rsidR="00DE61FD" w:rsidRPr="006D4A79" w:rsidRDefault="0059061E" w:rsidP="001E0428">
      <w:pPr>
        <w:spacing w:line="276" w:lineRule="auto"/>
        <w:jc w:val="center"/>
        <w:rPr>
          <w:b/>
        </w:rPr>
      </w:pPr>
      <w:r w:rsidRPr="006D4A79">
        <w:rPr>
          <w:b/>
        </w:rPr>
        <w:t>n</w:t>
      </w:r>
      <w:r w:rsidR="00DE61FD" w:rsidRPr="006D4A79">
        <w:rPr>
          <w:b/>
        </w:rPr>
        <w:t>olēma</w:t>
      </w:r>
    </w:p>
    <w:p w14:paraId="002904F0" w14:textId="77777777" w:rsidR="00296C20" w:rsidRPr="006D4A79" w:rsidRDefault="00296C20" w:rsidP="001E0428">
      <w:pPr>
        <w:spacing w:line="276" w:lineRule="auto"/>
        <w:jc w:val="center"/>
        <w:rPr>
          <w:b/>
        </w:rPr>
      </w:pPr>
    </w:p>
    <w:p w14:paraId="17FEDF88" w14:textId="7EDF15EC" w:rsidR="00716EED" w:rsidRPr="006D4A79" w:rsidRDefault="00500961" w:rsidP="001E0428">
      <w:pPr>
        <w:spacing w:line="276" w:lineRule="auto"/>
        <w:ind w:firstLine="720"/>
        <w:jc w:val="both"/>
      </w:pPr>
      <w:r w:rsidRPr="006D4A79">
        <w:t xml:space="preserve">atteikt pieņemt </w:t>
      </w:r>
      <w:r w:rsidR="00DC5AEC" w:rsidRPr="006D4A79">
        <w:t xml:space="preserve">biedrības „Četras stihijas” </w:t>
      </w:r>
      <w:r w:rsidR="003B00BB" w:rsidRPr="006D4A79">
        <w:t>blakus sūdzību par</w:t>
      </w:r>
      <w:r w:rsidR="00D0283C" w:rsidRPr="006D4A79">
        <w:t xml:space="preserve"> </w:t>
      </w:r>
      <w:r w:rsidR="00DC5AEC" w:rsidRPr="006D4A79">
        <w:t>Zemgales</w:t>
      </w:r>
      <w:r w:rsidR="005C0972" w:rsidRPr="006D4A79">
        <w:t xml:space="preserve"> </w:t>
      </w:r>
      <w:r w:rsidR="003B00BB" w:rsidRPr="006D4A79">
        <w:t xml:space="preserve">apgabaltiesas </w:t>
      </w:r>
      <w:r w:rsidR="00926713" w:rsidRPr="006D4A79">
        <w:t>202</w:t>
      </w:r>
      <w:r w:rsidR="00EB49C0" w:rsidRPr="006D4A79">
        <w:t>3</w:t>
      </w:r>
      <w:r w:rsidR="00926713" w:rsidRPr="006D4A79">
        <w:t xml:space="preserve">. gada </w:t>
      </w:r>
      <w:r w:rsidR="00DC5AEC" w:rsidRPr="006D4A79">
        <w:t>15. novembra</w:t>
      </w:r>
      <w:r w:rsidR="0018081C" w:rsidRPr="006D4A79">
        <w:t xml:space="preserve"> </w:t>
      </w:r>
      <w:r w:rsidR="003B00BB" w:rsidRPr="006D4A79">
        <w:t>lēmumu</w:t>
      </w:r>
      <w:r w:rsidR="001A70A6" w:rsidRPr="006D4A79">
        <w:t>.</w:t>
      </w:r>
    </w:p>
    <w:p w14:paraId="0B453E84" w14:textId="77777777" w:rsidR="00EB49C0" w:rsidRPr="006D4A79" w:rsidRDefault="00EB49C0" w:rsidP="001E0428">
      <w:pPr>
        <w:spacing w:line="276" w:lineRule="auto"/>
        <w:jc w:val="both"/>
      </w:pPr>
    </w:p>
    <w:p w14:paraId="27D21AA8" w14:textId="4F58F08D" w:rsidR="003653F4" w:rsidRPr="006D4A79" w:rsidRDefault="006E6B1A" w:rsidP="001E0428">
      <w:pPr>
        <w:spacing w:line="276" w:lineRule="auto"/>
        <w:ind w:firstLine="720"/>
        <w:jc w:val="both"/>
      </w:pPr>
      <w:r w:rsidRPr="006D4A79">
        <w:t>Lēmums nav pārsūdzams.</w:t>
      </w:r>
      <w:bookmarkStart w:id="1" w:name="Dropdown8"/>
      <w:bookmarkEnd w:id="1"/>
    </w:p>
    <w:sectPr w:rsidR="003653F4" w:rsidRPr="006D4A79" w:rsidSect="00287376">
      <w:footerReference w:type="default" r:id="rId9"/>
      <w:pgSz w:w="11906" w:h="16838"/>
      <w:pgMar w:top="1134" w:right="1701" w:bottom="1134" w:left="1701"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1D6ED" w14:textId="77777777" w:rsidR="00287376" w:rsidRDefault="00287376" w:rsidP="004C76FA">
      <w:r>
        <w:separator/>
      </w:r>
    </w:p>
  </w:endnote>
  <w:endnote w:type="continuationSeparator" w:id="0">
    <w:p w14:paraId="74F178D1" w14:textId="77777777" w:rsidR="00287376" w:rsidRDefault="00287376" w:rsidP="004C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703326"/>
      <w:docPartObj>
        <w:docPartGallery w:val="Page Numbers (Bottom of Page)"/>
        <w:docPartUnique/>
      </w:docPartObj>
    </w:sdtPr>
    <w:sdtEndPr/>
    <w:sdtContent>
      <w:sdt>
        <w:sdtPr>
          <w:id w:val="1728636285"/>
          <w:docPartObj>
            <w:docPartGallery w:val="Page Numbers (Top of Page)"/>
            <w:docPartUnique/>
          </w:docPartObj>
        </w:sdtPr>
        <w:sdtEndPr/>
        <w:sdtContent>
          <w:p w14:paraId="1AB8483C" w14:textId="77777777" w:rsidR="00751B15" w:rsidRDefault="00751B15" w:rsidP="00751B15">
            <w:pPr>
              <w:pStyle w:val="Footer"/>
              <w:jc w:val="center"/>
            </w:pPr>
            <w:r w:rsidRPr="00751B15">
              <w:rPr>
                <w:sz w:val="20"/>
                <w:szCs w:val="20"/>
              </w:rPr>
              <w:fldChar w:fldCharType="begin"/>
            </w:r>
            <w:r w:rsidRPr="00751B15">
              <w:rPr>
                <w:sz w:val="20"/>
                <w:szCs w:val="20"/>
              </w:rPr>
              <w:instrText xml:space="preserve"> PAGE </w:instrText>
            </w:r>
            <w:r w:rsidRPr="00751B15">
              <w:rPr>
                <w:sz w:val="20"/>
                <w:szCs w:val="20"/>
              </w:rPr>
              <w:fldChar w:fldCharType="separate"/>
            </w:r>
            <w:r w:rsidRPr="00751B15">
              <w:rPr>
                <w:sz w:val="20"/>
                <w:szCs w:val="20"/>
              </w:rPr>
              <w:t>1</w:t>
            </w:r>
            <w:r w:rsidRPr="00751B15">
              <w:rPr>
                <w:sz w:val="20"/>
                <w:szCs w:val="20"/>
              </w:rPr>
              <w:fldChar w:fldCharType="end"/>
            </w:r>
            <w:r w:rsidRPr="00751B15">
              <w:rPr>
                <w:sz w:val="20"/>
                <w:szCs w:val="20"/>
              </w:rPr>
              <w:t xml:space="preserve"> no </w:t>
            </w:r>
            <w:r w:rsidRPr="00751B15">
              <w:rPr>
                <w:sz w:val="20"/>
                <w:szCs w:val="20"/>
              </w:rPr>
              <w:fldChar w:fldCharType="begin"/>
            </w:r>
            <w:r w:rsidRPr="00751B15">
              <w:rPr>
                <w:sz w:val="20"/>
                <w:szCs w:val="20"/>
              </w:rPr>
              <w:instrText xml:space="preserve"> NUMPAGES  </w:instrText>
            </w:r>
            <w:r w:rsidRPr="00751B15">
              <w:rPr>
                <w:sz w:val="20"/>
                <w:szCs w:val="20"/>
              </w:rPr>
              <w:fldChar w:fldCharType="separate"/>
            </w:r>
            <w:r w:rsidRPr="00751B15">
              <w:rPr>
                <w:sz w:val="20"/>
                <w:szCs w:val="20"/>
              </w:rPr>
              <w:t>2</w:t>
            </w:r>
            <w:r w:rsidRPr="00751B15">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6ADFF" w14:textId="77777777" w:rsidR="00287376" w:rsidRDefault="00287376" w:rsidP="004C76FA">
      <w:r>
        <w:separator/>
      </w:r>
    </w:p>
  </w:footnote>
  <w:footnote w:type="continuationSeparator" w:id="0">
    <w:p w14:paraId="5FD94194" w14:textId="77777777" w:rsidR="00287376" w:rsidRDefault="00287376" w:rsidP="004C7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B1A"/>
    <w:rsid w:val="0000006F"/>
    <w:rsid w:val="000074A8"/>
    <w:rsid w:val="00013974"/>
    <w:rsid w:val="00017B62"/>
    <w:rsid w:val="00026B55"/>
    <w:rsid w:val="00031387"/>
    <w:rsid w:val="00037F1A"/>
    <w:rsid w:val="00057435"/>
    <w:rsid w:val="00060A43"/>
    <w:rsid w:val="000622F6"/>
    <w:rsid w:val="00075010"/>
    <w:rsid w:val="000824B0"/>
    <w:rsid w:val="0009447D"/>
    <w:rsid w:val="00097339"/>
    <w:rsid w:val="0009740D"/>
    <w:rsid w:val="000A39B4"/>
    <w:rsid w:val="000A60F9"/>
    <w:rsid w:val="000B63E0"/>
    <w:rsid w:val="000D4C2B"/>
    <w:rsid w:val="000D65B6"/>
    <w:rsid w:val="000D69C4"/>
    <w:rsid w:val="000D70B9"/>
    <w:rsid w:val="000D74B1"/>
    <w:rsid w:val="000D7951"/>
    <w:rsid w:val="000E0541"/>
    <w:rsid w:val="0010197B"/>
    <w:rsid w:val="001021EC"/>
    <w:rsid w:val="00111CBD"/>
    <w:rsid w:val="00114BA3"/>
    <w:rsid w:val="001365B1"/>
    <w:rsid w:val="001466ED"/>
    <w:rsid w:val="00161AAA"/>
    <w:rsid w:val="00164B01"/>
    <w:rsid w:val="00164FC2"/>
    <w:rsid w:val="001744C4"/>
    <w:rsid w:val="00175AE0"/>
    <w:rsid w:val="0018081C"/>
    <w:rsid w:val="001854EC"/>
    <w:rsid w:val="00185E3D"/>
    <w:rsid w:val="00195E74"/>
    <w:rsid w:val="001A70A6"/>
    <w:rsid w:val="001C0F48"/>
    <w:rsid w:val="001C1970"/>
    <w:rsid w:val="001C24E9"/>
    <w:rsid w:val="001C2F8B"/>
    <w:rsid w:val="001C777E"/>
    <w:rsid w:val="001E0428"/>
    <w:rsid w:val="001E43AF"/>
    <w:rsid w:val="001E6ACF"/>
    <w:rsid w:val="001E6F8A"/>
    <w:rsid w:val="001F156A"/>
    <w:rsid w:val="001F76FD"/>
    <w:rsid w:val="0020298B"/>
    <w:rsid w:val="002104DA"/>
    <w:rsid w:val="00223E9D"/>
    <w:rsid w:val="002431CA"/>
    <w:rsid w:val="00246C46"/>
    <w:rsid w:val="00247EB8"/>
    <w:rsid w:val="00250D61"/>
    <w:rsid w:val="00264136"/>
    <w:rsid w:val="0026542C"/>
    <w:rsid w:val="00276BA7"/>
    <w:rsid w:val="00285E72"/>
    <w:rsid w:val="00287376"/>
    <w:rsid w:val="00287C8C"/>
    <w:rsid w:val="00291405"/>
    <w:rsid w:val="00296C20"/>
    <w:rsid w:val="00297122"/>
    <w:rsid w:val="002976B0"/>
    <w:rsid w:val="002D2FA0"/>
    <w:rsid w:val="002D3912"/>
    <w:rsid w:val="002D4453"/>
    <w:rsid w:val="002D6870"/>
    <w:rsid w:val="002F0C0E"/>
    <w:rsid w:val="00306A1D"/>
    <w:rsid w:val="00313D58"/>
    <w:rsid w:val="00326AEB"/>
    <w:rsid w:val="00326B76"/>
    <w:rsid w:val="00343B5F"/>
    <w:rsid w:val="003653F4"/>
    <w:rsid w:val="00377271"/>
    <w:rsid w:val="00382D61"/>
    <w:rsid w:val="00387B6D"/>
    <w:rsid w:val="00390CBB"/>
    <w:rsid w:val="003956ED"/>
    <w:rsid w:val="00395D87"/>
    <w:rsid w:val="003B00BB"/>
    <w:rsid w:val="003F5D7A"/>
    <w:rsid w:val="003F6BEB"/>
    <w:rsid w:val="003F7939"/>
    <w:rsid w:val="004013AE"/>
    <w:rsid w:val="00422DEC"/>
    <w:rsid w:val="00425B65"/>
    <w:rsid w:val="00446361"/>
    <w:rsid w:val="00455455"/>
    <w:rsid w:val="00464C76"/>
    <w:rsid w:val="00483AAB"/>
    <w:rsid w:val="004A5A86"/>
    <w:rsid w:val="004C76FA"/>
    <w:rsid w:val="004D16B8"/>
    <w:rsid w:val="004D2BCE"/>
    <w:rsid w:val="004E1563"/>
    <w:rsid w:val="004E5F59"/>
    <w:rsid w:val="004F2DD8"/>
    <w:rsid w:val="00500961"/>
    <w:rsid w:val="00500C51"/>
    <w:rsid w:val="00521C90"/>
    <w:rsid w:val="0052225D"/>
    <w:rsid w:val="00526278"/>
    <w:rsid w:val="00542BEF"/>
    <w:rsid w:val="00550789"/>
    <w:rsid w:val="0055193E"/>
    <w:rsid w:val="00577F9B"/>
    <w:rsid w:val="0059061E"/>
    <w:rsid w:val="0059119E"/>
    <w:rsid w:val="005946E5"/>
    <w:rsid w:val="00595CFC"/>
    <w:rsid w:val="005C0972"/>
    <w:rsid w:val="005D4C57"/>
    <w:rsid w:val="005E0418"/>
    <w:rsid w:val="005E38A6"/>
    <w:rsid w:val="005F0759"/>
    <w:rsid w:val="005F0E18"/>
    <w:rsid w:val="005F791D"/>
    <w:rsid w:val="006057B1"/>
    <w:rsid w:val="006305CE"/>
    <w:rsid w:val="00636F65"/>
    <w:rsid w:val="006412F6"/>
    <w:rsid w:val="0065461F"/>
    <w:rsid w:val="006875E8"/>
    <w:rsid w:val="006C494E"/>
    <w:rsid w:val="006D4A79"/>
    <w:rsid w:val="006D6D19"/>
    <w:rsid w:val="006D6FC1"/>
    <w:rsid w:val="006E19A8"/>
    <w:rsid w:val="006E369C"/>
    <w:rsid w:val="006E4F2D"/>
    <w:rsid w:val="006E68F5"/>
    <w:rsid w:val="006E6B1A"/>
    <w:rsid w:val="006F14BC"/>
    <w:rsid w:val="00710134"/>
    <w:rsid w:val="007122DD"/>
    <w:rsid w:val="00714671"/>
    <w:rsid w:val="00716EED"/>
    <w:rsid w:val="00721929"/>
    <w:rsid w:val="00722458"/>
    <w:rsid w:val="00725CA1"/>
    <w:rsid w:val="00743D20"/>
    <w:rsid w:val="0074461D"/>
    <w:rsid w:val="00751B15"/>
    <w:rsid w:val="00765DE0"/>
    <w:rsid w:val="00773E82"/>
    <w:rsid w:val="0078184D"/>
    <w:rsid w:val="0079077C"/>
    <w:rsid w:val="00795055"/>
    <w:rsid w:val="007A20AA"/>
    <w:rsid w:val="007B0507"/>
    <w:rsid w:val="007B1867"/>
    <w:rsid w:val="007B2DC4"/>
    <w:rsid w:val="007B5974"/>
    <w:rsid w:val="007B7611"/>
    <w:rsid w:val="007C4D3C"/>
    <w:rsid w:val="007C4DA7"/>
    <w:rsid w:val="007C62DA"/>
    <w:rsid w:val="007D5C5D"/>
    <w:rsid w:val="007D658E"/>
    <w:rsid w:val="007E13EB"/>
    <w:rsid w:val="007E1B10"/>
    <w:rsid w:val="007E3CB3"/>
    <w:rsid w:val="007F10C6"/>
    <w:rsid w:val="007F6E68"/>
    <w:rsid w:val="0080334A"/>
    <w:rsid w:val="00831EB3"/>
    <w:rsid w:val="00845509"/>
    <w:rsid w:val="00847600"/>
    <w:rsid w:val="0085250B"/>
    <w:rsid w:val="0085320C"/>
    <w:rsid w:val="008544CA"/>
    <w:rsid w:val="00876F23"/>
    <w:rsid w:val="008771FB"/>
    <w:rsid w:val="00886685"/>
    <w:rsid w:val="008B0CB0"/>
    <w:rsid w:val="008C188A"/>
    <w:rsid w:val="008C1FE3"/>
    <w:rsid w:val="008C4C33"/>
    <w:rsid w:val="008C73CC"/>
    <w:rsid w:val="008E69A3"/>
    <w:rsid w:val="00910348"/>
    <w:rsid w:val="00916542"/>
    <w:rsid w:val="00920750"/>
    <w:rsid w:val="00926713"/>
    <w:rsid w:val="00927C23"/>
    <w:rsid w:val="00932686"/>
    <w:rsid w:val="00932A8D"/>
    <w:rsid w:val="009356F0"/>
    <w:rsid w:val="00941C98"/>
    <w:rsid w:val="00942180"/>
    <w:rsid w:val="00945991"/>
    <w:rsid w:val="00946167"/>
    <w:rsid w:val="009522E0"/>
    <w:rsid w:val="00965B1B"/>
    <w:rsid w:val="00981717"/>
    <w:rsid w:val="009831B3"/>
    <w:rsid w:val="009913C0"/>
    <w:rsid w:val="009A0F69"/>
    <w:rsid w:val="009A128A"/>
    <w:rsid w:val="009C106B"/>
    <w:rsid w:val="009C1BF8"/>
    <w:rsid w:val="009D36E2"/>
    <w:rsid w:val="009E4902"/>
    <w:rsid w:val="00A1369B"/>
    <w:rsid w:val="00A36799"/>
    <w:rsid w:val="00A37CCA"/>
    <w:rsid w:val="00A449DF"/>
    <w:rsid w:val="00A52EAB"/>
    <w:rsid w:val="00A568A5"/>
    <w:rsid w:val="00A80450"/>
    <w:rsid w:val="00A877E3"/>
    <w:rsid w:val="00A87BD1"/>
    <w:rsid w:val="00A90A3B"/>
    <w:rsid w:val="00AA731B"/>
    <w:rsid w:val="00AB3395"/>
    <w:rsid w:val="00AE1913"/>
    <w:rsid w:val="00AE552A"/>
    <w:rsid w:val="00AF5353"/>
    <w:rsid w:val="00B03013"/>
    <w:rsid w:val="00B1364F"/>
    <w:rsid w:val="00B15AF1"/>
    <w:rsid w:val="00B23CE8"/>
    <w:rsid w:val="00B258B2"/>
    <w:rsid w:val="00B3095C"/>
    <w:rsid w:val="00B51655"/>
    <w:rsid w:val="00B633C0"/>
    <w:rsid w:val="00B837B4"/>
    <w:rsid w:val="00B84DE6"/>
    <w:rsid w:val="00BA1BB9"/>
    <w:rsid w:val="00BA48C8"/>
    <w:rsid w:val="00BB51E1"/>
    <w:rsid w:val="00BB58A8"/>
    <w:rsid w:val="00BB7920"/>
    <w:rsid w:val="00BC6926"/>
    <w:rsid w:val="00BD38DE"/>
    <w:rsid w:val="00BD4388"/>
    <w:rsid w:val="00BE51C6"/>
    <w:rsid w:val="00BE569C"/>
    <w:rsid w:val="00BF69F8"/>
    <w:rsid w:val="00C05D19"/>
    <w:rsid w:val="00C170D3"/>
    <w:rsid w:val="00C17179"/>
    <w:rsid w:val="00C30C0F"/>
    <w:rsid w:val="00C32D70"/>
    <w:rsid w:val="00C333B9"/>
    <w:rsid w:val="00C52C16"/>
    <w:rsid w:val="00C667D4"/>
    <w:rsid w:val="00C735CB"/>
    <w:rsid w:val="00C83DE2"/>
    <w:rsid w:val="00C93E8F"/>
    <w:rsid w:val="00CA0468"/>
    <w:rsid w:val="00CA1665"/>
    <w:rsid w:val="00CC2747"/>
    <w:rsid w:val="00CC478B"/>
    <w:rsid w:val="00CD19A3"/>
    <w:rsid w:val="00CD1C29"/>
    <w:rsid w:val="00CD2E5D"/>
    <w:rsid w:val="00CD665A"/>
    <w:rsid w:val="00CE0425"/>
    <w:rsid w:val="00CE4ECC"/>
    <w:rsid w:val="00CF598F"/>
    <w:rsid w:val="00D0283C"/>
    <w:rsid w:val="00D11CAD"/>
    <w:rsid w:val="00D12955"/>
    <w:rsid w:val="00D30F98"/>
    <w:rsid w:val="00D37434"/>
    <w:rsid w:val="00D37457"/>
    <w:rsid w:val="00D64279"/>
    <w:rsid w:val="00D803F8"/>
    <w:rsid w:val="00DC3694"/>
    <w:rsid w:val="00DC5AEC"/>
    <w:rsid w:val="00DD31AF"/>
    <w:rsid w:val="00DD642F"/>
    <w:rsid w:val="00DE04AF"/>
    <w:rsid w:val="00DE61FD"/>
    <w:rsid w:val="00DE7584"/>
    <w:rsid w:val="00DF4237"/>
    <w:rsid w:val="00DF4F6B"/>
    <w:rsid w:val="00E166B9"/>
    <w:rsid w:val="00E16BE8"/>
    <w:rsid w:val="00E171BB"/>
    <w:rsid w:val="00E22DA3"/>
    <w:rsid w:val="00E31E41"/>
    <w:rsid w:val="00E37D73"/>
    <w:rsid w:val="00E6325A"/>
    <w:rsid w:val="00E87D47"/>
    <w:rsid w:val="00E92CA2"/>
    <w:rsid w:val="00E933A5"/>
    <w:rsid w:val="00EB49C0"/>
    <w:rsid w:val="00EC4587"/>
    <w:rsid w:val="00EC5543"/>
    <w:rsid w:val="00ED0267"/>
    <w:rsid w:val="00ED621D"/>
    <w:rsid w:val="00F05CCD"/>
    <w:rsid w:val="00F24CC4"/>
    <w:rsid w:val="00F35D8B"/>
    <w:rsid w:val="00F53289"/>
    <w:rsid w:val="00F5554B"/>
    <w:rsid w:val="00F64156"/>
    <w:rsid w:val="00F65D4F"/>
    <w:rsid w:val="00F66070"/>
    <w:rsid w:val="00F741A8"/>
    <w:rsid w:val="00F748F7"/>
    <w:rsid w:val="00F74DC4"/>
    <w:rsid w:val="00F761C2"/>
    <w:rsid w:val="00F93E06"/>
    <w:rsid w:val="00FD276E"/>
    <w:rsid w:val="00FD33AB"/>
    <w:rsid w:val="00FE31F2"/>
    <w:rsid w:val="00FE4D1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7F1E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B1A"/>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6B1A"/>
    <w:pPr>
      <w:tabs>
        <w:tab w:val="center" w:pos="4153"/>
        <w:tab w:val="right" w:pos="8306"/>
      </w:tabs>
    </w:pPr>
  </w:style>
  <w:style w:type="character" w:customStyle="1" w:styleId="FooterChar">
    <w:name w:val="Footer Char"/>
    <w:basedOn w:val="DefaultParagraphFont"/>
    <w:link w:val="Footer"/>
    <w:uiPriority w:val="99"/>
    <w:rsid w:val="006E6B1A"/>
    <w:rPr>
      <w:rFonts w:eastAsia="Times New Roman" w:cs="Times New Roman"/>
      <w:szCs w:val="24"/>
      <w:lang w:eastAsia="lv-LV"/>
    </w:rPr>
  </w:style>
  <w:style w:type="character" w:styleId="PageNumber">
    <w:name w:val="page number"/>
    <w:basedOn w:val="DefaultParagraphFont"/>
    <w:rsid w:val="006E6B1A"/>
  </w:style>
  <w:style w:type="paragraph" w:styleId="BalloonText">
    <w:name w:val="Balloon Text"/>
    <w:basedOn w:val="Normal"/>
    <w:link w:val="BalloonTextChar"/>
    <w:uiPriority w:val="99"/>
    <w:semiHidden/>
    <w:unhideWhenUsed/>
    <w:rsid w:val="00313D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D58"/>
    <w:rPr>
      <w:rFonts w:ascii="Segoe UI" w:eastAsia="Times New Roman" w:hAnsi="Segoe UI" w:cs="Segoe UI"/>
      <w:sz w:val="18"/>
      <w:szCs w:val="18"/>
      <w:lang w:eastAsia="lv-LV"/>
    </w:rPr>
  </w:style>
  <w:style w:type="paragraph" w:styleId="Header">
    <w:name w:val="header"/>
    <w:basedOn w:val="Normal"/>
    <w:link w:val="HeaderChar"/>
    <w:uiPriority w:val="99"/>
    <w:unhideWhenUsed/>
    <w:rsid w:val="00B51655"/>
    <w:pPr>
      <w:tabs>
        <w:tab w:val="center" w:pos="4153"/>
        <w:tab w:val="right" w:pos="8306"/>
      </w:tabs>
    </w:pPr>
  </w:style>
  <w:style w:type="character" w:customStyle="1" w:styleId="HeaderChar">
    <w:name w:val="Header Char"/>
    <w:basedOn w:val="DefaultParagraphFont"/>
    <w:link w:val="Header"/>
    <w:uiPriority w:val="99"/>
    <w:rsid w:val="00B51655"/>
    <w:rPr>
      <w:rFonts w:eastAsia="Times New Roman" w:cs="Times New Roman"/>
      <w:szCs w:val="24"/>
      <w:lang w:eastAsia="lv-LV"/>
    </w:rPr>
  </w:style>
  <w:style w:type="paragraph" w:styleId="ListParagraph">
    <w:name w:val="List Paragraph"/>
    <w:basedOn w:val="Normal"/>
    <w:uiPriority w:val="34"/>
    <w:qFormat/>
    <w:rsid w:val="00A90A3B"/>
    <w:pPr>
      <w:ind w:left="720"/>
      <w:contextualSpacing/>
    </w:pPr>
  </w:style>
  <w:style w:type="paragraph" w:customStyle="1" w:styleId="naispant">
    <w:name w:val="naispant"/>
    <w:basedOn w:val="Normal"/>
    <w:rsid w:val="007122DD"/>
    <w:pPr>
      <w:spacing w:before="100" w:beforeAutospacing="1" w:after="100" w:afterAutospacing="1" w:line="360" w:lineRule="auto"/>
    </w:pPr>
    <w:rPr>
      <w:lang w:val="en-US" w:eastAsia="en-US"/>
    </w:rPr>
  </w:style>
  <w:style w:type="character" w:styleId="Hyperlink">
    <w:name w:val="Hyperlink"/>
    <w:basedOn w:val="DefaultParagraphFont"/>
    <w:uiPriority w:val="99"/>
    <w:unhideWhenUsed/>
    <w:rsid w:val="00425B65"/>
    <w:rPr>
      <w:color w:val="0563C1" w:themeColor="hyperlink"/>
      <w:u w:val="single"/>
    </w:rPr>
  </w:style>
  <w:style w:type="character" w:styleId="UnresolvedMention">
    <w:name w:val="Unresolved Mention"/>
    <w:basedOn w:val="DefaultParagraphFont"/>
    <w:uiPriority w:val="99"/>
    <w:semiHidden/>
    <w:unhideWhenUsed/>
    <w:rsid w:val="00425B65"/>
    <w:rPr>
      <w:color w:val="605E5C"/>
      <w:shd w:val="clear" w:color="auto" w:fill="E1DFDD"/>
    </w:rPr>
  </w:style>
  <w:style w:type="paragraph" w:styleId="Revision">
    <w:name w:val="Revision"/>
    <w:hidden/>
    <w:uiPriority w:val="99"/>
    <w:semiHidden/>
    <w:rsid w:val="007D5C5D"/>
    <w:pPr>
      <w:spacing w:after="0" w:line="240" w:lineRule="auto"/>
    </w:pPr>
    <w:rPr>
      <w:rFonts w:eastAsia="Times New Roman" w:cs="Times New Roman"/>
      <w:szCs w:val="24"/>
      <w:lang w:eastAsia="lv-LV"/>
    </w:rPr>
  </w:style>
  <w:style w:type="character" w:styleId="CommentReference">
    <w:name w:val="annotation reference"/>
    <w:basedOn w:val="DefaultParagraphFont"/>
    <w:uiPriority w:val="99"/>
    <w:semiHidden/>
    <w:unhideWhenUsed/>
    <w:rsid w:val="006D4A7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95659">
      <w:bodyDiv w:val="1"/>
      <w:marLeft w:val="0"/>
      <w:marRight w:val="0"/>
      <w:marTop w:val="0"/>
      <w:marBottom w:val="0"/>
      <w:divBdr>
        <w:top w:val="none" w:sz="0" w:space="0" w:color="auto"/>
        <w:left w:val="none" w:sz="0" w:space="0" w:color="auto"/>
        <w:bottom w:val="none" w:sz="0" w:space="0" w:color="auto"/>
        <w:right w:val="none" w:sz="0" w:space="0" w:color="auto"/>
      </w:divBdr>
    </w:div>
    <w:div w:id="151823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eima.lv/L_Saeima7/lasa-LP1320_0.htm" TargetMode="External"/><Relationship Id="rId3" Type="http://schemas.openxmlformats.org/officeDocument/2006/relationships/settings" Target="settings.xml"/><Relationship Id="rId7" Type="http://schemas.openxmlformats.org/officeDocument/2006/relationships/hyperlink" Target="https://manas.tiesas.lv/eTiesasMvc/nolemumi/pdf/523649.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E0069-B920-47E2-9A4E-8F579FECF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3384</Words>
  <Characters>1930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2024-01-29T12:31:00Z</dcterms:created>
  <dcterms:modified xsi:type="dcterms:W3CDTF">2024-01-31T09:24:00Z</dcterms:modified>
</cp:coreProperties>
</file>