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BB6E" w14:textId="77777777" w:rsidR="0005297A" w:rsidRDefault="0005297A" w:rsidP="0005297A">
      <w:pPr>
        <w:autoSpaceDE w:val="0"/>
        <w:autoSpaceDN w:val="0"/>
        <w:spacing w:line="276" w:lineRule="auto"/>
        <w:jc w:val="both"/>
        <w:rPr>
          <w:rFonts w:ascii="TimesNewRomanPSMT" w:hAnsi="TimesNewRomanPSMT"/>
          <w:b/>
          <w:bCs/>
        </w:rPr>
      </w:pPr>
      <w:r>
        <w:rPr>
          <w:rFonts w:ascii="TimesNewRomanPSMT" w:hAnsi="TimesNewRomanPSMT"/>
          <w:b/>
          <w:bCs/>
        </w:rPr>
        <w:t>Privātpersonas tiesības Iesniegumu likuma kārtībā prasīt iestādes</w:t>
      </w:r>
      <w:r w:rsidRPr="0005297A">
        <w:rPr>
          <w:rFonts w:ascii="TimesNewRomanPSMT" w:hAnsi="TimesNewRomanPSMT"/>
          <w:b/>
          <w:bCs/>
          <w:shd w:val="clear" w:color="auto" w:fill="FFFFFF" w:themeFill="background1"/>
        </w:rPr>
        <w:t xml:space="preserve"> skaidrojumu</w:t>
      </w:r>
      <w:r>
        <w:rPr>
          <w:rFonts w:ascii="TimesNewRomanPSMT" w:hAnsi="TimesNewRomanPSMT"/>
          <w:b/>
          <w:bCs/>
        </w:rPr>
        <w:t xml:space="preserve"> par tās kompetencē esošu jautājumu</w:t>
      </w:r>
    </w:p>
    <w:p w14:paraId="3BFFA833" w14:textId="77777777" w:rsidR="0005297A" w:rsidRDefault="0005297A" w:rsidP="0005297A">
      <w:pPr>
        <w:autoSpaceDE w:val="0"/>
        <w:autoSpaceDN w:val="0"/>
        <w:spacing w:line="276" w:lineRule="auto"/>
        <w:jc w:val="both"/>
        <w:rPr>
          <w:rFonts w:ascii="TimesNewRomanPSMT" w:hAnsi="TimesNewRomanPSMT"/>
          <w:lang w:eastAsia="lv-LV"/>
        </w:rPr>
      </w:pPr>
      <w:r>
        <w:rPr>
          <w:rFonts w:ascii="TimesNewRomanPSMT" w:hAnsi="TimesNewRomanPSMT"/>
        </w:rPr>
        <w:t>Nav pamata uzskatīt, ka Iesniegumu likuma kārtībā privātpersona nevarētu prasīt nekādu iestādes viedokli par tās kompetencē esošu jautājumu. Ar viedokli var saprast arī iestādes vērtējumu vai skaidrojumu par to, kā ir interpretējama kāda tiesību norma. Tāpat viedoklis var būt iestādes vērtējums vai skaidrojums par to, vai noteikta iestādes vai amatpersonas rīcība atbilst tiesību normām, vai ir sasniegti politikas plānošanas dokumentos noteiktie mērķi, vai kāda iestādes plānotā darbība atbilst šiem mērķiem u.tml. Šādus viedokļus privātpersona noteikti var prasīt iestādei sniegt Iesniegumu likuma kārtībā.</w:t>
      </w:r>
    </w:p>
    <w:p w14:paraId="59E48DEF" w14:textId="77777777" w:rsidR="0005297A" w:rsidRDefault="0005297A" w:rsidP="0005297A">
      <w:pPr>
        <w:autoSpaceDE w:val="0"/>
        <w:autoSpaceDN w:val="0"/>
        <w:spacing w:line="276" w:lineRule="auto"/>
        <w:jc w:val="both"/>
        <w:rPr>
          <w:rFonts w:ascii="TimesNewRomanPSMT" w:hAnsi="TimesNewRomanPSMT"/>
        </w:rPr>
      </w:pPr>
      <w:r>
        <w:rPr>
          <w:rFonts w:ascii="TimesNewRomanPSMT" w:hAnsi="TimesNewRomanPSMT"/>
        </w:rPr>
        <w:t xml:space="preserve">Privātpersona nevar Iesniegumu likuma kārtībā iestādei uzdot tādu jautājumu, kas pēc būtības prasa iestādei sniegt atbildi, kas būtu pamatota ar tās subjektīvajiem ieskatiem, nevis ar objektīviem apsvērumiem, kas ir balstīti uz faktiem vai tiesību normām. </w:t>
      </w:r>
    </w:p>
    <w:p w14:paraId="07C5237F" w14:textId="105D7CBF" w:rsidR="00447EE6" w:rsidRDefault="0005297A" w:rsidP="0005297A">
      <w:pPr>
        <w:autoSpaceDE w:val="0"/>
        <w:autoSpaceDN w:val="0"/>
        <w:spacing w:line="276" w:lineRule="auto"/>
        <w:jc w:val="both"/>
        <w:rPr>
          <w:rFonts w:ascii="TimesNewRomanPSMT" w:hAnsi="TimesNewRomanPSMT"/>
        </w:rPr>
      </w:pPr>
      <w:r>
        <w:rPr>
          <w:rFonts w:ascii="TimesNewRomanPSMT" w:hAnsi="TimesNewRomanPSMT"/>
        </w:rPr>
        <w:t>Apstāklis, ka no uzdotajiem jautājumiem un iesnieguma satura kopumā ir konstatējama personas neapmierinātība ar iestādes rīcību, pats par sevi nav pietiekams pamats atzīt, ka iestāde uz jautājumiem nevarētu sniegt ar faktiem pamatotu atbildi. Iesniegumu likumā ir noteiktas privātpersonu tiesības vērsties iestādē arī ar sūdzību. Sūdzība ir tāds iesnieguma veids, kurā privātpersona var izteikt savu negatīvo attieksmi un neapmierinātību par kādas iestādes vai amatpersonas rīcību.</w:t>
      </w:r>
    </w:p>
    <w:p w14:paraId="00B8EEA5" w14:textId="77777777" w:rsidR="0005297A" w:rsidRPr="0005297A" w:rsidRDefault="0005297A" w:rsidP="0005297A">
      <w:pPr>
        <w:autoSpaceDE w:val="0"/>
        <w:autoSpaceDN w:val="0"/>
        <w:spacing w:line="276" w:lineRule="auto"/>
        <w:jc w:val="both"/>
        <w:rPr>
          <w:rFonts w:ascii="TimesNewRomanPSMT" w:hAnsi="TimesNewRomanPSMT"/>
        </w:rPr>
      </w:pPr>
    </w:p>
    <w:p w14:paraId="30EF74F0" w14:textId="10E4AAED" w:rsidR="00447EE6" w:rsidRPr="0005297A" w:rsidRDefault="00447EE6" w:rsidP="0005297A">
      <w:pPr>
        <w:spacing w:line="276" w:lineRule="auto"/>
        <w:jc w:val="center"/>
        <w:rPr>
          <w:b/>
        </w:rPr>
      </w:pPr>
      <w:r w:rsidRPr="0005297A">
        <w:rPr>
          <w:b/>
        </w:rPr>
        <w:t>Latvijas Republikas Senāt</w:t>
      </w:r>
      <w:r w:rsidR="0005297A" w:rsidRPr="0005297A">
        <w:rPr>
          <w:b/>
        </w:rPr>
        <w:t>a</w:t>
      </w:r>
      <w:r w:rsidR="0005297A" w:rsidRPr="0005297A">
        <w:rPr>
          <w:b/>
        </w:rPr>
        <w:br/>
        <w:t>Administratīvo lietu departamenta</w:t>
      </w:r>
      <w:r w:rsidR="0005297A" w:rsidRPr="0005297A">
        <w:rPr>
          <w:b/>
        </w:rPr>
        <w:br/>
        <w:t xml:space="preserve">2023.gada 22.novembra  </w:t>
      </w:r>
    </w:p>
    <w:p w14:paraId="6D65DEB2" w14:textId="28D1479D" w:rsidR="00447EE6" w:rsidRPr="0005297A" w:rsidRDefault="00EA77B9" w:rsidP="0005297A">
      <w:pPr>
        <w:spacing w:line="276" w:lineRule="auto"/>
        <w:jc w:val="center"/>
        <w:rPr>
          <w:b/>
        </w:rPr>
      </w:pPr>
      <w:r w:rsidRPr="0005297A">
        <w:rPr>
          <w:b/>
        </w:rPr>
        <w:t>LĒMUMS</w:t>
      </w:r>
    </w:p>
    <w:p w14:paraId="51A7F04E" w14:textId="40B04B8B" w:rsidR="0005297A" w:rsidRPr="0005297A" w:rsidRDefault="0005297A" w:rsidP="0005297A">
      <w:pPr>
        <w:spacing w:line="276" w:lineRule="auto"/>
        <w:jc w:val="center"/>
        <w:rPr>
          <w:b/>
          <w:lang w:eastAsia="lv-LV"/>
        </w:rPr>
      </w:pPr>
      <w:r w:rsidRPr="0005297A">
        <w:rPr>
          <w:b/>
          <w:lang w:eastAsia="lv-LV"/>
        </w:rPr>
        <w:t>Liet</w:t>
      </w:r>
      <w:r w:rsidRPr="0005297A">
        <w:rPr>
          <w:b/>
          <w:lang w:eastAsia="lv-LV"/>
        </w:rPr>
        <w:t>ā</w:t>
      </w:r>
      <w:r w:rsidRPr="0005297A">
        <w:rPr>
          <w:b/>
          <w:lang w:eastAsia="lv-LV"/>
        </w:rPr>
        <w:t xml:space="preserve"> Nr. A420169123, SKA-790/2023</w:t>
      </w:r>
    </w:p>
    <w:p w14:paraId="2BBFBE0C" w14:textId="5CD93642" w:rsidR="00DB52C9" w:rsidRDefault="0005297A" w:rsidP="0005297A">
      <w:pPr>
        <w:spacing w:line="276" w:lineRule="auto"/>
        <w:jc w:val="center"/>
      </w:pPr>
      <w:hyperlink r:id="rId7" w:history="1">
        <w:r w:rsidRPr="0005297A">
          <w:rPr>
            <w:rStyle w:val="Hyperlink"/>
            <w:rFonts w:ascii="TimesNewRomanPSMT" w:eastAsiaTheme="minorHAnsi" w:hAnsi="TimesNewRomanPSMT" w:cs="TimesNewRomanPSMT"/>
            <w:lang w:eastAsia="en-US"/>
          </w:rPr>
          <w:t>ECLI:LV:AT:2023:1122.A420169123.4.L</w:t>
        </w:r>
      </w:hyperlink>
    </w:p>
    <w:p w14:paraId="5DEB02CA" w14:textId="77777777" w:rsidR="0005297A" w:rsidRPr="00011547" w:rsidRDefault="0005297A" w:rsidP="0005297A">
      <w:pPr>
        <w:spacing w:line="276" w:lineRule="auto"/>
        <w:jc w:val="center"/>
      </w:pPr>
    </w:p>
    <w:p w14:paraId="1609D6F5" w14:textId="2BAE98BE" w:rsidR="00447EE6" w:rsidRDefault="00447EE6" w:rsidP="0005297A">
      <w:pPr>
        <w:spacing w:line="276" w:lineRule="auto"/>
        <w:ind w:firstLine="720"/>
        <w:jc w:val="both"/>
      </w:pPr>
      <w:r>
        <w:t xml:space="preserve">Senāts </w:t>
      </w:r>
      <w:r w:rsidRPr="00011547">
        <w:t>šādā sastāvā</w:t>
      </w:r>
      <w:r>
        <w:t>:</w:t>
      </w:r>
      <w:r w:rsidR="00DB52C9">
        <w:t xml:space="preserve"> senatore referente </w:t>
      </w:r>
      <w:r w:rsidR="00DB52C9" w:rsidRPr="00DB52C9">
        <w:t>Anita Kovaļevska</w:t>
      </w:r>
      <w:r w:rsidR="00DB52C9">
        <w:t xml:space="preserve">, senatori </w:t>
      </w:r>
      <w:r w:rsidR="00DB52C9" w:rsidRPr="00DB52C9">
        <w:t xml:space="preserve">Vēsma </w:t>
      </w:r>
      <w:proofErr w:type="spellStart"/>
      <w:r w:rsidR="00DB52C9" w:rsidRPr="00DB52C9">
        <w:t>Kakste</w:t>
      </w:r>
      <w:proofErr w:type="spellEnd"/>
      <w:r w:rsidR="00DB52C9">
        <w:t xml:space="preserve"> un Jānis </w:t>
      </w:r>
      <w:proofErr w:type="spellStart"/>
      <w:r w:rsidR="00DB52C9">
        <w:t>Pleps</w:t>
      </w:r>
      <w:proofErr w:type="spellEnd"/>
    </w:p>
    <w:p w14:paraId="0959EC8F" w14:textId="77777777" w:rsidR="00DB52C9" w:rsidRDefault="00DB52C9" w:rsidP="0005297A">
      <w:pPr>
        <w:spacing w:line="276" w:lineRule="auto"/>
        <w:ind w:firstLine="720"/>
        <w:jc w:val="both"/>
      </w:pPr>
    </w:p>
    <w:p w14:paraId="59D4CCCA" w14:textId="03C6A25A" w:rsidR="00DB52C9" w:rsidRDefault="00DB52C9" w:rsidP="0005297A">
      <w:pPr>
        <w:spacing w:line="276" w:lineRule="auto"/>
        <w:ind w:firstLine="720"/>
        <w:jc w:val="both"/>
      </w:pPr>
      <w:r w:rsidRPr="00DB52C9">
        <w:t>rakstveida procesā</w:t>
      </w:r>
      <w:r>
        <w:t xml:space="preserve"> izskatīja </w:t>
      </w:r>
      <w:r w:rsidR="0005297A">
        <w:t xml:space="preserve">[pers. A] </w:t>
      </w:r>
      <w:r w:rsidRPr="00DB52C9">
        <w:t>blakus sūdzību par</w:t>
      </w:r>
      <w:r>
        <w:t xml:space="preserve"> </w:t>
      </w:r>
      <w:r w:rsidRPr="00DB52C9">
        <w:t>Admini</w:t>
      </w:r>
      <w:r>
        <w:t>stratīvās rajona tiesas tiesne</w:t>
      </w:r>
      <w:r w:rsidR="003B4AC6">
        <w:t>ša</w:t>
      </w:r>
      <w:r w:rsidRPr="00DB52C9">
        <w:t xml:space="preserve"> 2023.gada </w:t>
      </w:r>
      <w:r>
        <w:t xml:space="preserve">25.maija </w:t>
      </w:r>
      <w:r w:rsidRPr="00DB52C9">
        <w:t>lēmumu, ar kuru atteikts pieņemt pieteicēja pieteikumu</w:t>
      </w:r>
      <w:r>
        <w:t xml:space="preserve"> daļā</w:t>
      </w:r>
      <w:r w:rsidRPr="00DB52C9">
        <w:t>.</w:t>
      </w:r>
    </w:p>
    <w:p w14:paraId="53C14CFB" w14:textId="77777777" w:rsidR="00DB52C9" w:rsidRDefault="00DB52C9" w:rsidP="0005297A">
      <w:pPr>
        <w:spacing w:line="276" w:lineRule="auto"/>
        <w:ind w:firstLine="720"/>
        <w:jc w:val="both"/>
        <w:rPr>
          <w:lang w:eastAsia="lv-LV"/>
        </w:rPr>
      </w:pPr>
    </w:p>
    <w:p w14:paraId="12882064" w14:textId="77777777" w:rsidR="00447EE6" w:rsidRDefault="00447EE6" w:rsidP="0005297A">
      <w:pPr>
        <w:spacing w:line="276" w:lineRule="auto"/>
        <w:jc w:val="center"/>
        <w:rPr>
          <w:b/>
          <w:shd w:val="clear" w:color="auto" w:fill="FFFFFF"/>
        </w:rPr>
      </w:pPr>
      <w:r w:rsidRPr="00011547">
        <w:rPr>
          <w:b/>
          <w:shd w:val="clear" w:color="auto" w:fill="FFFFFF"/>
        </w:rPr>
        <w:t>Aprakstošā daļa</w:t>
      </w:r>
    </w:p>
    <w:p w14:paraId="1E9C8378" w14:textId="77777777" w:rsidR="00DB52C9" w:rsidRPr="00011547" w:rsidRDefault="00DB52C9" w:rsidP="0005297A">
      <w:pPr>
        <w:spacing w:line="276" w:lineRule="auto"/>
        <w:jc w:val="center"/>
        <w:rPr>
          <w:shd w:val="clear" w:color="auto" w:fill="FFFFFF"/>
        </w:rPr>
      </w:pPr>
    </w:p>
    <w:p w14:paraId="27F90DCA" w14:textId="14C124F2" w:rsidR="005A2D20" w:rsidRDefault="00447EE6" w:rsidP="0005297A">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2D20">
        <w:rPr>
          <w:shd w:val="clear" w:color="auto" w:fill="FFFFFF"/>
        </w:rPr>
        <w:t> </w:t>
      </w:r>
      <w:r w:rsidR="00DB52C9">
        <w:rPr>
          <w:shd w:val="clear" w:color="auto" w:fill="FFFFFF"/>
        </w:rPr>
        <w:t xml:space="preserve">Pieteicējs </w:t>
      </w:r>
      <w:r w:rsidR="0005297A">
        <w:t>[pers. A]</w:t>
      </w:r>
      <w:r w:rsidR="0005297A">
        <w:t xml:space="preserve"> </w:t>
      </w:r>
      <w:r w:rsidR="00DB52C9">
        <w:rPr>
          <w:shd w:val="clear" w:color="auto" w:fill="FFFFFF"/>
        </w:rPr>
        <w:t xml:space="preserve">2023.gada 2.maijā </w:t>
      </w:r>
      <w:r w:rsidR="00DB52C9" w:rsidRPr="00DB52C9">
        <w:rPr>
          <w:shd w:val="clear" w:color="auto" w:fill="FFFFFF"/>
        </w:rPr>
        <w:t xml:space="preserve">iesniedza </w:t>
      </w:r>
      <w:r w:rsidR="00E63E0C" w:rsidRPr="00DB52C9">
        <w:rPr>
          <w:shd w:val="clear" w:color="auto" w:fill="FFFFFF"/>
        </w:rPr>
        <w:t>Administratīvajā raj</w:t>
      </w:r>
      <w:r w:rsidR="00E63E0C">
        <w:rPr>
          <w:shd w:val="clear" w:color="auto" w:fill="FFFFFF"/>
        </w:rPr>
        <w:t>ona tiesā</w:t>
      </w:r>
      <w:r w:rsidR="00E63E0C" w:rsidRPr="00DB52C9">
        <w:rPr>
          <w:shd w:val="clear" w:color="auto" w:fill="FFFFFF"/>
        </w:rPr>
        <w:t xml:space="preserve"> </w:t>
      </w:r>
      <w:r w:rsidR="00DB52C9" w:rsidRPr="00DB52C9">
        <w:rPr>
          <w:shd w:val="clear" w:color="auto" w:fill="FFFFFF"/>
        </w:rPr>
        <w:t>pieteikumu</w:t>
      </w:r>
      <w:r w:rsidR="001B006A">
        <w:rPr>
          <w:shd w:val="clear" w:color="auto" w:fill="FFFFFF"/>
        </w:rPr>
        <w:t xml:space="preserve">, kurā </w:t>
      </w:r>
      <w:r w:rsidR="005A2D20">
        <w:rPr>
          <w:shd w:val="clear" w:color="auto" w:fill="FFFFFF"/>
        </w:rPr>
        <w:t xml:space="preserve">lūgts </w:t>
      </w:r>
      <w:r w:rsidR="00D31995">
        <w:rPr>
          <w:shd w:val="clear" w:color="auto" w:fill="FFFFFF"/>
        </w:rPr>
        <w:t xml:space="preserve">uzlikt pienākumu Aizsardzības ministrijai (turpmāk – ministrija) </w:t>
      </w:r>
      <w:r w:rsidR="005A2D20">
        <w:rPr>
          <w:shd w:val="clear" w:color="auto" w:fill="FFFFFF"/>
        </w:rPr>
        <w:t>sniegt atbi</w:t>
      </w:r>
      <w:r w:rsidR="004C7048">
        <w:rPr>
          <w:shd w:val="clear" w:color="auto" w:fill="FFFFFF"/>
        </w:rPr>
        <w:t>ldes uz pieteicēja 2023.gada 7.marta iesni</w:t>
      </w:r>
      <w:r w:rsidR="00D31995">
        <w:rPr>
          <w:shd w:val="clear" w:color="auto" w:fill="FFFFFF"/>
        </w:rPr>
        <w:t>egumā norādītajiem jautājumiem.</w:t>
      </w:r>
    </w:p>
    <w:p w14:paraId="68BBCB99" w14:textId="77777777" w:rsidR="004C7048" w:rsidRDefault="004C7048" w:rsidP="0005297A">
      <w:pPr>
        <w:pStyle w:val="NormalWeb"/>
        <w:shd w:val="clear" w:color="auto" w:fill="FFFFFF"/>
        <w:spacing w:before="0" w:beforeAutospacing="0" w:after="0" w:afterAutospacing="0" w:line="276" w:lineRule="auto"/>
        <w:ind w:firstLine="720"/>
        <w:jc w:val="both"/>
        <w:rPr>
          <w:shd w:val="clear" w:color="auto" w:fill="FFFFFF"/>
        </w:rPr>
      </w:pPr>
    </w:p>
    <w:p w14:paraId="16AA8D3D" w14:textId="470BB4AE" w:rsidR="005A2D20" w:rsidRDefault="005A2D20" w:rsidP="0005297A">
      <w:pPr>
        <w:pStyle w:val="NormalWeb"/>
        <w:shd w:val="clear" w:color="auto" w:fill="FFFFFF"/>
        <w:spacing w:before="0" w:beforeAutospacing="0" w:after="0" w:afterAutospacing="0" w:line="276" w:lineRule="auto"/>
        <w:ind w:firstLine="720"/>
        <w:jc w:val="both"/>
      </w:pPr>
      <w:r>
        <w:t xml:space="preserve">[2] Ar </w:t>
      </w:r>
      <w:r w:rsidRPr="005A2D20">
        <w:t>Administratīvās rajona tiesas tiesne</w:t>
      </w:r>
      <w:r w:rsidR="00447CB0">
        <w:t>ša</w:t>
      </w:r>
      <w:r w:rsidRPr="005A2D20">
        <w:t xml:space="preserve"> 2023.gada 25.maija </w:t>
      </w:r>
      <w:r>
        <w:t xml:space="preserve">lēmumu </w:t>
      </w:r>
      <w:proofErr w:type="spellStart"/>
      <w:r w:rsidR="00A2188E">
        <w:t>citastarp</w:t>
      </w:r>
      <w:proofErr w:type="spellEnd"/>
      <w:r w:rsidR="00A2188E">
        <w:t xml:space="preserve"> </w:t>
      </w:r>
      <w:r>
        <w:t>atteikts pieņemt pieteikumu</w:t>
      </w:r>
      <w:r w:rsidR="00A2188E">
        <w:t xml:space="preserve"> daļā par pienākuma uzlikšanu</w:t>
      </w:r>
      <w:r w:rsidR="00D31995">
        <w:t xml:space="preserve"> ministrijai</w:t>
      </w:r>
      <w:r w:rsidR="00A2188E">
        <w:t xml:space="preserve"> sniegt atbildes uz </w:t>
      </w:r>
      <w:r w:rsidR="00D31995">
        <w:t>12</w:t>
      </w:r>
      <w:r w:rsidR="00A2188E">
        <w:t xml:space="preserve"> </w:t>
      </w:r>
      <w:r w:rsidR="00D31995">
        <w:t xml:space="preserve">pieteicēja </w:t>
      </w:r>
      <w:r w:rsidR="00D31995" w:rsidRPr="00D31995">
        <w:t xml:space="preserve">2023.gada 7.marta iesniegumā norādītajiem </w:t>
      </w:r>
      <w:r w:rsidR="00A2188E">
        <w:t>jautājumiem</w:t>
      </w:r>
      <w:r>
        <w:t xml:space="preserve">, pamatojoties uz </w:t>
      </w:r>
      <w:r>
        <w:lastRenderedPageBreak/>
        <w:t xml:space="preserve">Administratīvā </w:t>
      </w:r>
      <w:r w:rsidRPr="005A2D20">
        <w:t>procesa likuma 191.panta pirmās daļas 1.punktu</w:t>
      </w:r>
      <w:r w:rsidR="00586491">
        <w:t xml:space="preserve"> (</w:t>
      </w:r>
      <w:r w:rsidRPr="005A2D20">
        <w:t>lieta nav izskatāma administratīvā procesa kārtībā</w:t>
      </w:r>
      <w:r w:rsidR="00586491">
        <w:t>)</w:t>
      </w:r>
      <w:r w:rsidRPr="005A2D20">
        <w:t>. Lēmums pamatots ar turpmāk minētajiem argumentiem</w:t>
      </w:r>
      <w:r>
        <w:t>.</w:t>
      </w:r>
    </w:p>
    <w:p w14:paraId="65E4D0A2" w14:textId="59E7304C" w:rsidR="005A2D20" w:rsidRDefault="005A2D20" w:rsidP="0005297A">
      <w:pPr>
        <w:pStyle w:val="NormalWeb"/>
        <w:shd w:val="clear" w:color="auto" w:fill="FFFFFF"/>
        <w:spacing w:before="0" w:beforeAutospacing="0" w:after="0" w:afterAutospacing="0" w:line="276" w:lineRule="auto"/>
        <w:ind w:firstLine="720"/>
        <w:jc w:val="both"/>
      </w:pPr>
      <w:r>
        <w:t>[2.1]</w:t>
      </w:r>
      <w:r w:rsidR="00447CB0">
        <w:t> L</w:t>
      </w:r>
      <w:r w:rsidR="004C7048" w:rsidRPr="004C7048">
        <w:t xml:space="preserve">ikums nepiešķir </w:t>
      </w:r>
      <w:r w:rsidR="00447CB0">
        <w:t xml:space="preserve">indivīdam </w:t>
      </w:r>
      <w:r w:rsidR="004C7048" w:rsidRPr="004C7048">
        <w:t>tiesības ar tiesas starpniecību</w:t>
      </w:r>
      <w:r w:rsidR="004C7048">
        <w:t xml:space="preserve"> </w:t>
      </w:r>
      <w:r w:rsidR="004C7048" w:rsidRPr="004C7048">
        <w:t>panākt, ka amatpersona pauž savu subjektīvo attiek</w:t>
      </w:r>
      <w:r w:rsidR="004C7048">
        <w:t xml:space="preserve">smi vai nostāju kādā jautājumā. </w:t>
      </w:r>
      <w:r w:rsidR="004C7048" w:rsidRPr="004C7048">
        <w:t>Viedokļa izteikšanas pārbaude neietilpst tiesas kompetencē. Tiesa nevar ne uzlikt</w:t>
      </w:r>
      <w:r w:rsidR="00586491">
        <w:t xml:space="preserve"> </w:t>
      </w:r>
      <w:r w:rsidR="004C7048" w:rsidRPr="004C7048">
        <w:t>pienākumu sniegt viedokli, ne pārbaudīt, vai amatpersonai vispār ir viedoklis, kā arī</w:t>
      </w:r>
      <w:r w:rsidR="00447CB0">
        <w:t>:</w:t>
      </w:r>
      <w:r w:rsidR="004C7048" w:rsidRPr="004C7048">
        <w:t xml:space="preserve"> vai sniegtais</w:t>
      </w:r>
      <w:r w:rsidR="00586491">
        <w:t xml:space="preserve"> </w:t>
      </w:r>
      <w:r w:rsidR="004C7048" w:rsidRPr="004C7048">
        <w:t>viedoklis ir pareizs vai patiess</w:t>
      </w:r>
      <w:r w:rsidR="00586491">
        <w:t>.</w:t>
      </w:r>
    </w:p>
    <w:p w14:paraId="29F2820A" w14:textId="21D1FC3C" w:rsidR="00586491" w:rsidRDefault="00586491" w:rsidP="0005297A">
      <w:pPr>
        <w:pStyle w:val="NormalWeb"/>
        <w:shd w:val="clear" w:color="auto" w:fill="FFFFFF"/>
        <w:spacing w:before="0" w:beforeAutospacing="0" w:after="0" w:afterAutospacing="0" w:line="276" w:lineRule="auto"/>
        <w:ind w:firstLine="720"/>
        <w:jc w:val="both"/>
      </w:pPr>
      <w:r>
        <w:t>[2.2]</w:t>
      </w:r>
      <w:r w:rsidR="00447CB0">
        <w:t> </w:t>
      </w:r>
      <w:r>
        <w:t>A</w:t>
      </w:r>
      <w:r>
        <w:rPr>
          <w:rFonts w:ascii="TimesNewRomanPSMT" w:eastAsiaTheme="minorHAnsi" w:hAnsi="TimesNewRomanPSMT" w:cs="TimesNewRomanPSMT"/>
          <w:lang w:eastAsia="en-US"/>
        </w:rPr>
        <w:t>r norādītajiem jautājumiem pieteicējs būtībā prasa iestādes viedokli vai arī jautājums uzdots tādējādi, ka jautājuma formulējums jau pauž pieteicēja subjektīvu attieksmi veidā, kas būtībā liedz sniegt uz šādu jautājumu ar faktiem pamatotu atbildi.</w:t>
      </w:r>
      <w:r w:rsidR="00E63E0C">
        <w:rPr>
          <w:rFonts w:ascii="TimesNewRomanPSMT" w:eastAsiaTheme="minorHAnsi" w:hAnsi="TimesNewRomanPSMT" w:cs="TimesNewRomanPSMT"/>
          <w:lang w:eastAsia="en-US"/>
        </w:rPr>
        <w:t xml:space="preserve"> Līdz ar to š</w:t>
      </w:r>
      <w:r>
        <w:rPr>
          <w:rFonts w:ascii="TimesNewRomanPSMT" w:eastAsiaTheme="minorHAnsi" w:hAnsi="TimesNewRomanPSMT" w:cs="TimesNewRomanPSMT"/>
          <w:lang w:eastAsia="en-US"/>
        </w:rPr>
        <w:t>ie jautājumi nav uzskatāmi par informācijas pieprasījumiem Informācijas atklātības likuma vai Iesniegumu likuma izpratnē.</w:t>
      </w:r>
    </w:p>
    <w:p w14:paraId="29885239" w14:textId="77777777" w:rsidR="005A2D20" w:rsidRDefault="005A2D20" w:rsidP="0005297A">
      <w:pPr>
        <w:pStyle w:val="NormalWeb"/>
        <w:shd w:val="clear" w:color="auto" w:fill="FFFFFF"/>
        <w:spacing w:before="0" w:beforeAutospacing="0" w:after="0" w:afterAutospacing="0" w:line="276" w:lineRule="auto"/>
        <w:jc w:val="both"/>
      </w:pPr>
    </w:p>
    <w:p w14:paraId="0A15A7C8" w14:textId="108E50DE" w:rsidR="005A2D20" w:rsidRDefault="005A2D20" w:rsidP="0005297A">
      <w:pPr>
        <w:pStyle w:val="NormalWeb"/>
        <w:shd w:val="clear" w:color="auto" w:fill="FFFFFF"/>
        <w:spacing w:before="0" w:beforeAutospacing="0" w:after="0" w:afterAutospacing="0" w:line="276" w:lineRule="auto"/>
        <w:ind w:firstLine="720"/>
        <w:jc w:val="both"/>
      </w:pPr>
      <w:r>
        <w:t>[3]</w:t>
      </w:r>
      <w:r w:rsidR="00447CB0">
        <w:t> </w:t>
      </w:r>
      <w:r w:rsidRPr="005A2D20">
        <w:t xml:space="preserve">Pieteicējs par </w:t>
      </w:r>
      <w:r>
        <w:t>rajona tiesas tiesne</w:t>
      </w:r>
      <w:r w:rsidR="003B4AC6">
        <w:t>ša</w:t>
      </w:r>
      <w:r>
        <w:t xml:space="preserve"> </w:t>
      </w:r>
      <w:r w:rsidR="00CE65F6">
        <w:t>lēmum</w:t>
      </w:r>
      <w:r w:rsidR="001B006A">
        <w:t>u daļā</w:t>
      </w:r>
      <w:r w:rsidR="00CE65F6">
        <w:t>, ar kuru atteikts pieņemt viņa pieteikumu,</w:t>
      </w:r>
      <w:r w:rsidRPr="005A2D20">
        <w:t xml:space="preserve"> iesniedza blakus sūdzību, norādot turpmāk minētos argumentus</w:t>
      </w:r>
      <w:r w:rsidR="001B1882">
        <w:t>.</w:t>
      </w:r>
    </w:p>
    <w:p w14:paraId="5FEF09C0" w14:textId="4C1241C3" w:rsidR="001B1882" w:rsidRDefault="001B1882" w:rsidP="0005297A">
      <w:pPr>
        <w:pStyle w:val="NormalWeb"/>
        <w:shd w:val="clear" w:color="auto" w:fill="FFFFFF"/>
        <w:spacing w:before="0" w:beforeAutospacing="0" w:after="0" w:afterAutospacing="0" w:line="276" w:lineRule="auto"/>
        <w:ind w:firstLine="720"/>
        <w:jc w:val="both"/>
      </w:pPr>
      <w:r>
        <w:t xml:space="preserve">[3.1] Pieteicējs nepiekrīt lēmumam daļā, ar kuru atteikts pieņemt pieteikumu par atbildes sniegšanu uz </w:t>
      </w:r>
      <w:r w:rsidR="00586491">
        <w:t xml:space="preserve">šādiem </w:t>
      </w:r>
      <w:r>
        <w:t>jautājum</w:t>
      </w:r>
      <w:r w:rsidR="00586491">
        <w:t xml:space="preserve">iem: </w:t>
      </w:r>
      <w:r w:rsidR="008C4442">
        <w:t>„</w:t>
      </w:r>
      <w:r w:rsidR="00586491">
        <w:t>1)</w:t>
      </w:r>
      <w:r w:rsidR="00956965">
        <w:t> </w:t>
      </w:r>
      <w:r w:rsidR="00586491">
        <w:t xml:space="preserve">Kāds ir </w:t>
      </w:r>
      <w:r w:rsidR="005B2765">
        <w:t>[</w:t>
      </w:r>
      <w:r w:rsidR="00586491" w:rsidRPr="005B2765">
        <w:rPr>
          <w:i/>
          <w:iCs/>
        </w:rPr>
        <w:t>ministrijas</w:t>
      </w:r>
      <w:r w:rsidR="005B2765">
        <w:t>]</w:t>
      </w:r>
      <w:r w:rsidR="00586491">
        <w:t xml:space="preserve"> skaidrojums </w:t>
      </w:r>
      <w:r w:rsidR="00586491" w:rsidRPr="00586491">
        <w:t>par to, kāpēc pieteicējs pusotra gada laikā netika pārcelts dienesta turpināšanai uz citu dienesta vietu, kā tas tika lūgts dienesta sūdzībā</w:t>
      </w:r>
      <w:r w:rsidR="00586491">
        <w:t>?; 2)</w:t>
      </w:r>
      <w:r w:rsidR="00956965">
        <w:t> </w:t>
      </w:r>
      <w:r w:rsidR="00586491">
        <w:t xml:space="preserve">Vai šāda situācija atbilst </w:t>
      </w:r>
      <w:r w:rsidR="005B2765">
        <w:t>[</w:t>
      </w:r>
      <w:r w:rsidR="001D037A" w:rsidRPr="005B2765">
        <w:rPr>
          <w:i/>
          <w:iCs/>
        </w:rPr>
        <w:t>Nacionālo bruņoto spēku</w:t>
      </w:r>
      <w:r w:rsidR="005B2765">
        <w:t>]</w:t>
      </w:r>
      <w:r w:rsidR="001D037A" w:rsidRPr="001D037A">
        <w:t xml:space="preserve"> </w:t>
      </w:r>
      <w:r w:rsidR="00586491" w:rsidRPr="00586491">
        <w:t xml:space="preserve">personāla plānošanas politikai (karavīrs ilgstoši nepilda sava amata pienākumus, tiek iesaistīts tādu uzdevumu izpildē, kas neatbilst viņa iepriekšējai pieredzei, vakantajos amatos, kuros tas varētu sniegt lielāku ieguldījumu </w:t>
      </w:r>
      <w:r w:rsidR="005B2765">
        <w:t>[</w:t>
      </w:r>
      <w:r w:rsidR="001D037A" w:rsidRPr="005B2765">
        <w:rPr>
          <w:i/>
          <w:iCs/>
        </w:rPr>
        <w:t>Nacionālo bruņoto spēku</w:t>
      </w:r>
      <w:r w:rsidR="005B2765">
        <w:t>]</w:t>
      </w:r>
      <w:r w:rsidR="001D037A" w:rsidRPr="001D037A">
        <w:t xml:space="preserve"> </w:t>
      </w:r>
      <w:r w:rsidR="00586491" w:rsidRPr="00586491">
        <w:t>attīstībā, tas apzināti netiek iecelts</w:t>
      </w:r>
      <w:r w:rsidR="00586491">
        <w:t>)?; 3)</w:t>
      </w:r>
      <w:r w:rsidR="00956965">
        <w:t> </w:t>
      </w:r>
      <w:r w:rsidR="00586491" w:rsidRPr="00586491">
        <w:t xml:space="preserve">Kā </w:t>
      </w:r>
      <w:r w:rsidR="005B2765">
        <w:t>[</w:t>
      </w:r>
      <w:r w:rsidR="00586491" w:rsidRPr="005B2765">
        <w:rPr>
          <w:i/>
          <w:iCs/>
        </w:rPr>
        <w:t>ministrija</w:t>
      </w:r>
      <w:r w:rsidR="005B2765">
        <w:t>]</w:t>
      </w:r>
      <w:r w:rsidR="00586491" w:rsidRPr="00586491">
        <w:t xml:space="preserve"> vērtē </w:t>
      </w:r>
      <w:r w:rsidR="005B2765">
        <w:t>[</w:t>
      </w:r>
      <w:r w:rsidR="001D037A" w:rsidRPr="005B2765">
        <w:rPr>
          <w:i/>
          <w:iCs/>
        </w:rPr>
        <w:t>Nacionālo bruņoto spēku</w:t>
      </w:r>
      <w:r w:rsidR="005B2765">
        <w:t>]</w:t>
      </w:r>
      <w:r w:rsidR="001D037A" w:rsidRPr="001D037A">
        <w:t xml:space="preserve"> </w:t>
      </w:r>
      <w:r w:rsidR="00586491" w:rsidRPr="00586491">
        <w:t>komandiera rīcību – dēla nenorādīšanu ikgadējās amatpersonas deklarācijās līdz 2015.gadam (ja rakstā minētā informācija par tā dēlu ir patiesa)?</w:t>
      </w:r>
      <w:r w:rsidR="008C4442">
        <w:t>”</w:t>
      </w:r>
    </w:p>
    <w:p w14:paraId="2FA799E6" w14:textId="1553EC52" w:rsidR="003A1AD2" w:rsidRDefault="00586491" w:rsidP="0005297A">
      <w:pPr>
        <w:pStyle w:val="NormalWeb"/>
        <w:shd w:val="clear" w:color="auto" w:fill="FFFFFF"/>
        <w:spacing w:before="0" w:beforeAutospacing="0" w:after="0" w:afterAutospacing="0" w:line="276" w:lineRule="auto"/>
        <w:ind w:firstLine="720"/>
        <w:jc w:val="both"/>
      </w:pPr>
      <w:r>
        <w:t>[3.2] </w:t>
      </w:r>
      <w:r w:rsidR="003A1AD2">
        <w:t>Nevienā no šiem jautājumiem pieteicējs nelūdz paust amatpersonas subjektīvo attieksmi vai sniegt iestādes viedokli</w:t>
      </w:r>
      <w:r w:rsidR="00306235">
        <w:t xml:space="preserve">, kā arī tajos netiek pausta pieteicēja subjektīvā attieksme, kas būtībā liegtu </w:t>
      </w:r>
      <w:r w:rsidR="00306235" w:rsidRPr="00306235">
        <w:t xml:space="preserve">sniegt uz </w:t>
      </w:r>
      <w:r w:rsidR="00306235">
        <w:t>šiem jautājumiem</w:t>
      </w:r>
      <w:r w:rsidR="00306235" w:rsidRPr="00306235">
        <w:t xml:space="preserve"> ar faktiem pamatotu atbildi</w:t>
      </w:r>
      <w:r w:rsidR="00306235">
        <w:t>.</w:t>
      </w:r>
    </w:p>
    <w:p w14:paraId="5E4068A8" w14:textId="00AA1B25" w:rsidR="00586491" w:rsidRDefault="00306235" w:rsidP="0005297A">
      <w:pPr>
        <w:pStyle w:val="NormalWeb"/>
        <w:shd w:val="clear" w:color="auto" w:fill="FFFFFF"/>
        <w:spacing w:before="0" w:beforeAutospacing="0" w:after="0" w:afterAutospacing="0" w:line="276" w:lineRule="auto"/>
        <w:ind w:firstLine="720"/>
        <w:jc w:val="both"/>
      </w:pPr>
      <w:r>
        <w:t>[3.3] </w:t>
      </w:r>
      <w:r w:rsidR="0030528F">
        <w:t>Uzdodot p</w:t>
      </w:r>
      <w:r w:rsidR="001D037A">
        <w:t>irm</w:t>
      </w:r>
      <w:r w:rsidR="00E63E0C">
        <w:t>o</w:t>
      </w:r>
      <w:r w:rsidR="001D037A">
        <w:t xml:space="preserve"> jautājum</w:t>
      </w:r>
      <w:r w:rsidR="00E63E0C">
        <w:t>u</w:t>
      </w:r>
      <w:r w:rsidR="0030528F">
        <w:t>,</w:t>
      </w:r>
      <w:r w:rsidR="001D037A">
        <w:t xml:space="preserve"> </w:t>
      </w:r>
      <w:r w:rsidR="00E63E0C">
        <w:t xml:space="preserve">ministrijai </w:t>
      </w:r>
      <w:r w:rsidR="001D037A">
        <w:t>tiek lūgts sniegt atbildi, vai Nacionālo bruņoto spēku rīcība, nepārceļot pieteicēju uz citu dienesta vietu, atbilst normatīvo aktu prasībām</w:t>
      </w:r>
      <w:r>
        <w:t xml:space="preserve">. </w:t>
      </w:r>
      <w:r w:rsidR="001D037A">
        <w:t xml:space="preserve">Ministrijas rīcībā ir </w:t>
      </w:r>
      <w:r w:rsidR="003A219D">
        <w:t>visa informācija par pieteicēja dienesta sūdzību un dienesta gaitu, līdz ar to ministrijai nav šķēršļu sniegt ar faktiem pamatotu atbildi.</w:t>
      </w:r>
    </w:p>
    <w:p w14:paraId="69E3DC1B" w14:textId="43BB814E" w:rsidR="003A1AD2" w:rsidRDefault="003A219D" w:rsidP="0005297A">
      <w:pPr>
        <w:pStyle w:val="NormalWeb"/>
        <w:shd w:val="clear" w:color="auto" w:fill="FFFFFF"/>
        <w:spacing w:before="0" w:beforeAutospacing="0" w:after="0" w:afterAutospacing="0" w:line="276" w:lineRule="auto"/>
        <w:ind w:firstLine="720"/>
        <w:jc w:val="both"/>
      </w:pPr>
      <w:r>
        <w:t>[3.</w:t>
      </w:r>
      <w:r w:rsidR="00306235">
        <w:t>4</w:t>
      </w:r>
      <w:r>
        <w:t xml:space="preserve">] Nacionālie bruņotie spēki ignorēja pieteicēja </w:t>
      </w:r>
      <w:r w:rsidR="003A1AD2">
        <w:t xml:space="preserve">norādi par iespēju viņu pārcelt </w:t>
      </w:r>
      <w:r w:rsidR="008C57DE">
        <w:t xml:space="preserve">citā vakantajā amatā, tādēļ, uzdodot otro jautājumu, </w:t>
      </w:r>
      <w:r w:rsidR="003A1AD2">
        <w:t>pieteicējs vēlas uzzināt, vai Nacionālie bruņotie spēki šajā situācijā ir rīkojušies atbilstoši normatīvo aktu prasīb</w:t>
      </w:r>
      <w:r w:rsidR="008C57DE">
        <w:t>ām.</w:t>
      </w:r>
    </w:p>
    <w:p w14:paraId="5D5C45F0" w14:textId="454A802D" w:rsidR="00306235" w:rsidRDefault="00306235" w:rsidP="0005297A">
      <w:pPr>
        <w:pStyle w:val="NormalWeb"/>
        <w:shd w:val="clear" w:color="auto" w:fill="FFFFFF"/>
        <w:spacing w:before="0" w:beforeAutospacing="0" w:after="0" w:afterAutospacing="0" w:line="276" w:lineRule="auto"/>
        <w:ind w:firstLine="720"/>
        <w:jc w:val="both"/>
      </w:pPr>
      <w:r>
        <w:t>[3.5] </w:t>
      </w:r>
      <w:r w:rsidR="00E63E0C">
        <w:t>Uzdodot t</w:t>
      </w:r>
      <w:r>
        <w:t>reš</w:t>
      </w:r>
      <w:r w:rsidR="00E63E0C">
        <w:t>o</w:t>
      </w:r>
      <w:r>
        <w:t xml:space="preserve"> jautājum</w:t>
      </w:r>
      <w:r w:rsidR="00E63E0C">
        <w:t>u,</w:t>
      </w:r>
      <w:r>
        <w:t xml:space="preserve"> pieteicējs lūdz izvērtēt, vai </w:t>
      </w:r>
      <w:r w:rsidRPr="00306235">
        <w:t xml:space="preserve">Nacionālo bruņoto spēku </w:t>
      </w:r>
      <w:r>
        <w:t xml:space="preserve">komandiera rīcība, nenorādot savu dēlu </w:t>
      </w:r>
      <w:r w:rsidRPr="00306235">
        <w:t>ikgadējās amatpersonas deklarācijās līdz 2015.gadam</w:t>
      </w:r>
      <w:r>
        <w:t>, atbilst normatīvo aktu prasībām. Ministrijas rīcībā ir informācija, lai veiktu nepieciešamās pārbaudes un sniegtu ar faktiem pamatotu atbildi.</w:t>
      </w:r>
    </w:p>
    <w:p w14:paraId="756C4265" w14:textId="77777777" w:rsidR="00DB52C9" w:rsidRDefault="00DB52C9" w:rsidP="0005297A">
      <w:pPr>
        <w:shd w:val="clear" w:color="auto" w:fill="FFFFFF"/>
        <w:spacing w:line="276" w:lineRule="auto"/>
        <w:jc w:val="center"/>
        <w:rPr>
          <w:b/>
        </w:rPr>
      </w:pPr>
    </w:p>
    <w:p w14:paraId="7DAF7841" w14:textId="77777777" w:rsidR="00447EE6" w:rsidRDefault="00447EE6" w:rsidP="0005297A">
      <w:pPr>
        <w:shd w:val="clear" w:color="auto" w:fill="FFFFFF"/>
        <w:spacing w:line="276" w:lineRule="auto"/>
        <w:jc w:val="center"/>
        <w:rPr>
          <w:b/>
        </w:rPr>
      </w:pPr>
      <w:r w:rsidRPr="00011547">
        <w:rPr>
          <w:b/>
        </w:rPr>
        <w:t>Motīvu daļa</w:t>
      </w:r>
    </w:p>
    <w:p w14:paraId="752ACF96" w14:textId="77777777" w:rsidR="00306235" w:rsidRPr="00011547" w:rsidRDefault="00306235" w:rsidP="0005297A">
      <w:pPr>
        <w:shd w:val="clear" w:color="auto" w:fill="FFFFFF"/>
        <w:spacing w:line="276" w:lineRule="auto"/>
        <w:jc w:val="center"/>
      </w:pPr>
    </w:p>
    <w:p w14:paraId="4FA5481A" w14:textId="2B3433C7" w:rsidR="00447EE6" w:rsidRDefault="00447EE6" w:rsidP="0005297A">
      <w:pPr>
        <w:shd w:val="clear" w:color="auto" w:fill="FFFFFF"/>
        <w:spacing w:line="276" w:lineRule="auto"/>
        <w:ind w:firstLine="720"/>
        <w:jc w:val="both"/>
      </w:pPr>
      <w:r w:rsidRPr="00011547">
        <w:lastRenderedPageBreak/>
        <w:t>[</w:t>
      </w:r>
      <w:r w:rsidR="00306235">
        <w:t>4</w:t>
      </w:r>
      <w:r w:rsidRPr="00011547">
        <w:t>]</w:t>
      </w:r>
      <w:r w:rsidR="00306235">
        <w:t xml:space="preserve"> Lietā ir strīds par to, vai </w:t>
      </w:r>
      <w:r w:rsidR="00997E65" w:rsidRPr="00997E65">
        <w:t>administratīvā procesa kārtībā ir izskatām</w:t>
      </w:r>
      <w:r w:rsidR="008C57DE">
        <w:t>s pieteikums daļā, kurā pieteicējs lūdz</w:t>
      </w:r>
      <w:r w:rsidR="00997E65">
        <w:t xml:space="preserve"> sniegt atbildes uz šādiem jautājumiem: </w:t>
      </w:r>
      <w:r w:rsidR="005B2765">
        <w:t>„1) Kāds ir [</w:t>
      </w:r>
      <w:r w:rsidR="005B2765" w:rsidRPr="005B2765">
        <w:rPr>
          <w:i/>
          <w:iCs/>
        </w:rPr>
        <w:t>ministrijas</w:t>
      </w:r>
      <w:r w:rsidR="005B2765">
        <w:t xml:space="preserve">] skaidrojums </w:t>
      </w:r>
      <w:r w:rsidR="005B2765" w:rsidRPr="00586491">
        <w:t>par to, kāpēc pieteicējs pusotra gada laikā netika pārcelts dienesta turpināšanai uz citu dienesta vietu, kā tas tika lūgts dienesta sūdzībā</w:t>
      </w:r>
      <w:r w:rsidR="005B2765">
        <w:t>?; 2) Vai šāda situācija atbilst [</w:t>
      </w:r>
      <w:r w:rsidR="005B2765" w:rsidRPr="005B2765">
        <w:rPr>
          <w:i/>
          <w:iCs/>
        </w:rPr>
        <w:t>Nacionālo bruņoto spēku</w:t>
      </w:r>
      <w:r w:rsidR="005B2765">
        <w:t>]</w:t>
      </w:r>
      <w:r w:rsidR="005B2765" w:rsidRPr="001D037A">
        <w:t xml:space="preserve"> </w:t>
      </w:r>
      <w:r w:rsidR="005B2765" w:rsidRPr="00586491">
        <w:t xml:space="preserve">personāla plānošanas politikai (karavīrs ilgstoši nepilda sava amata pienākumus, tiek iesaistīts tādu uzdevumu izpildē, kas neatbilst viņa iepriekšējai pieredzei, vakantajos amatos, kuros tas varētu sniegt lielāku ieguldījumu </w:t>
      </w:r>
      <w:r w:rsidR="005B2765">
        <w:t>[</w:t>
      </w:r>
      <w:r w:rsidR="005B2765" w:rsidRPr="005B2765">
        <w:rPr>
          <w:i/>
          <w:iCs/>
        </w:rPr>
        <w:t>Nacionālo bruņoto spēku</w:t>
      </w:r>
      <w:r w:rsidR="005B2765">
        <w:t>]</w:t>
      </w:r>
      <w:r w:rsidR="005B2765" w:rsidRPr="001D037A">
        <w:t xml:space="preserve"> </w:t>
      </w:r>
      <w:r w:rsidR="005B2765" w:rsidRPr="00586491">
        <w:t>attīstībā, tas apzināti netiek iecelts</w:t>
      </w:r>
      <w:r w:rsidR="005B2765">
        <w:t>)?; 3) </w:t>
      </w:r>
      <w:r w:rsidR="005B2765" w:rsidRPr="00586491">
        <w:t xml:space="preserve">Kā </w:t>
      </w:r>
      <w:r w:rsidR="005B2765">
        <w:t>[</w:t>
      </w:r>
      <w:r w:rsidR="005B2765" w:rsidRPr="005B2765">
        <w:rPr>
          <w:i/>
          <w:iCs/>
        </w:rPr>
        <w:t>ministrija</w:t>
      </w:r>
      <w:r w:rsidR="005B2765">
        <w:t>]</w:t>
      </w:r>
      <w:r w:rsidR="005B2765" w:rsidRPr="00586491">
        <w:t xml:space="preserve"> vērtē </w:t>
      </w:r>
      <w:r w:rsidR="005B2765">
        <w:t>[</w:t>
      </w:r>
      <w:r w:rsidR="005B2765" w:rsidRPr="005B2765">
        <w:rPr>
          <w:i/>
          <w:iCs/>
        </w:rPr>
        <w:t>Nacionālo bruņoto spēku</w:t>
      </w:r>
      <w:r w:rsidR="005B2765">
        <w:t>]</w:t>
      </w:r>
      <w:r w:rsidR="005B2765" w:rsidRPr="001D037A">
        <w:t xml:space="preserve"> </w:t>
      </w:r>
      <w:r w:rsidR="005B2765" w:rsidRPr="00586491">
        <w:t>komandiera rīcību – dēla nenorādīšanu ikgadējās amatpersonas deklarācijās līdz 2015.gadam (ja rakstā minētā informācija par tā dēlu ir patiesa)?</w:t>
      </w:r>
      <w:r w:rsidR="005B2765">
        <w:t>”</w:t>
      </w:r>
    </w:p>
    <w:p w14:paraId="4A50D594" w14:textId="77777777" w:rsidR="00092702" w:rsidRDefault="00092702" w:rsidP="0005297A">
      <w:pPr>
        <w:shd w:val="clear" w:color="auto" w:fill="FFFFFF"/>
        <w:spacing w:line="276" w:lineRule="auto"/>
        <w:ind w:firstLine="720"/>
        <w:jc w:val="both"/>
      </w:pPr>
    </w:p>
    <w:p w14:paraId="187CB830" w14:textId="3094756D" w:rsidR="00CE65F6" w:rsidRDefault="00092702" w:rsidP="0005297A">
      <w:pPr>
        <w:shd w:val="clear" w:color="auto" w:fill="FFFFFF"/>
        <w:spacing w:line="276" w:lineRule="auto"/>
        <w:ind w:firstLine="720"/>
        <w:jc w:val="both"/>
      </w:pPr>
      <w:r>
        <w:t>[5]</w:t>
      </w:r>
      <w:r w:rsidR="00435162">
        <w:t> R</w:t>
      </w:r>
      <w:r w:rsidR="00304731">
        <w:t>ajona tiesa</w:t>
      </w:r>
      <w:r w:rsidR="006556AA">
        <w:t>s tiesnes</w:t>
      </w:r>
      <w:r w:rsidR="00435162">
        <w:t>is</w:t>
      </w:r>
      <w:r w:rsidR="005B2765">
        <w:t>,</w:t>
      </w:r>
      <w:r w:rsidR="00304731">
        <w:t xml:space="preserve"> at</w:t>
      </w:r>
      <w:r w:rsidR="005B2765">
        <w:t>sakot</w:t>
      </w:r>
      <w:r w:rsidR="00304731">
        <w:t xml:space="preserve"> pieņemt pieteikumu daļā par </w:t>
      </w:r>
      <w:r w:rsidR="005B2765">
        <w:t>iepriekš minētajiem</w:t>
      </w:r>
      <w:r w:rsidR="00D31995" w:rsidRPr="00D31995">
        <w:t xml:space="preserve"> jautājumiem</w:t>
      </w:r>
      <w:r w:rsidR="00304731">
        <w:t xml:space="preserve">, </w:t>
      </w:r>
      <w:r w:rsidR="005B2765">
        <w:t>norādīja</w:t>
      </w:r>
      <w:r w:rsidR="00304731">
        <w:t xml:space="preserve">, ka </w:t>
      </w:r>
      <w:r w:rsidR="005B2765">
        <w:t xml:space="preserve">ar </w:t>
      </w:r>
      <w:r w:rsidR="00304731">
        <w:t>š</w:t>
      </w:r>
      <w:r w:rsidR="005B2765">
        <w:t>iem</w:t>
      </w:r>
      <w:r>
        <w:t xml:space="preserve"> jautājum</w:t>
      </w:r>
      <w:r w:rsidR="005B2765">
        <w:t>iem</w:t>
      </w:r>
      <w:r>
        <w:t xml:space="preserve"> pieteicējs </w:t>
      </w:r>
      <w:r w:rsidR="00304731">
        <w:t xml:space="preserve">vai nu </w:t>
      </w:r>
      <w:r>
        <w:t xml:space="preserve">lūdz ministrijas </w:t>
      </w:r>
      <w:r w:rsidR="00304731">
        <w:t xml:space="preserve">viedokli, </w:t>
      </w:r>
      <w:r>
        <w:t xml:space="preserve">vai </w:t>
      </w:r>
      <w:r w:rsidR="00304731">
        <w:t xml:space="preserve">arī </w:t>
      </w:r>
      <w:r w:rsidRPr="00092702">
        <w:t>jautājum</w:t>
      </w:r>
      <w:r w:rsidR="00435162">
        <w:t>ā</w:t>
      </w:r>
      <w:r w:rsidRPr="00092702">
        <w:t xml:space="preserve"> pausta subjektīva pieteicēja nostāja par</w:t>
      </w:r>
      <w:r>
        <w:t xml:space="preserve"> </w:t>
      </w:r>
      <w:r w:rsidRPr="00092702">
        <w:t>jautājuma tēmu,</w:t>
      </w:r>
      <w:r>
        <w:t xml:space="preserve"> kas </w:t>
      </w:r>
      <w:r w:rsidRPr="00092702">
        <w:t>būtībā liedz sniegt uz šādu jautājumu ar faktiem</w:t>
      </w:r>
      <w:r w:rsidR="00304731">
        <w:t xml:space="preserve"> </w:t>
      </w:r>
      <w:r>
        <w:t>pamatotu atbildi</w:t>
      </w:r>
      <w:r w:rsidR="00CE65F6">
        <w:t>.</w:t>
      </w:r>
      <w:r w:rsidR="00724516" w:rsidRPr="00724516">
        <w:t xml:space="preserve"> </w:t>
      </w:r>
      <w:r w:rsidR="00724516">
        <w:t>Tiesnes</w:t>
      </w:r>
      <w:r w:rsidR="00435162">
        <w:t>is</w:t>
      </w:r>
      <w:r w:rsidR="00724516">
        <w:t xml:space="preserve"> savu lēmumu ir pamatoji</w:t>
      </w:r>
      <w:r w:rsidR="00435162">
        <w:t>s</w:t>
      </w:r>
      <w:r w:rsidR="00724516">
        <w:t xml:space="preserve"> ar atsaucēm uz Senāta spriedumu lietā Nr.</w:t>
      </w:r>
      <w:r w:rsidR="00435162">
        <w:t> </w:t>
      </w:r>
      <w:r w:rsidR="00724516">
        <w:t>SKA</w:t>
      </w:r>
      <w:r w:rsidR="00724516">
        <w:noBreakHyphen/>
        <w:t>976/2011 un lēmumu lietā Nr.</w:t>
      </w:r>
      <w:r w:rsidR="00435162">
        <w:t> </w:t>
      </w:r>
      <w:r w:rsidR="00724516">
        <w:t>SKA-1687/2019.</w:t>
      </w:r>
    </w:p>
    <w:p w14:paraId="01A9C6E8" w14:textId="77777777" w:rsidR="00CE65F6" w:rsidRDefault="00CE65F6" w:rsidP="0005297A">
      <w:pPr>
        <w:shd w:val="clear" w:color="auto" w:fill="FFFFFF"/>
        <w:spacing w:line="276" w:lineRule="auto"/>
        <w:ind w:firstLine="720"/>
        <w:jc w:val="both"/>
      </w:pPr>
    </w:p>
    <w:p w14:paraId="32264ECB" w14:textId="357D489E" w:rsidR="00724516" w:rsidRDefault="00CE65F6" w:rsidP="0005297A">
      <w:pPr>
        <w:shd w:val="clear" w:color="auto" w:fill="FFFFFF"/>
        <w:spacing w:line="276" w:lineRule="auto"/>
        <w:ind w:firstLine="720"/>
        <w:jc w:val="both"/>
      </w:pPr>
      <w:r>
        <w:t>[6] </w:t>
      </w:r>
      <w:r w:rsidR="00435162">
        <w:t>L</w:t>
      </w:r>
      <w:r w:rsidR="00724516">
        <w:t>ietā Nr.</w:t>
      </w:r>
      <w:r w:rsidR="00435162">
        <w:t> </w:t>
      </w:r>
      <w:r w:rsidR="00724516">
        <w:t>SKA</w:t>
      </w:r>
      <w:r w:rsidR="00724516">
        <w:noBreakHyphen/>
        <w:t xml:space="preserve">976/2011 </w:t>
      </w:r>
      <w:r w:rsidR="00435162">
        <w:t xml:space="preserve">Senāts </w:t>
      </w:r>
      <w:r w:rsidR="00724516" w:rsidRPr="00724516">
        <w:t>norādīja, ka nozīmīgākie likumi, kas regulē tiesības vēr</w:t>
      </w:r>
      <w:r w:rsidR="00D13EF5">
        <w:t>s</w:t>
      </w:r>
      <w:r w:rsidR="00724516" w:rsidRPr="00724516">
        <w:t xml:space="preserve">ties ar iesniegumiem un saņemt atbildi, ir Administratīvā procesa likums, Iesniegumu likums, Informācijas atklātības likums, attiecībā uz žurnālistiem arī likums „Par presi un citiem masu informācijas līdzekļiem”. Minētie likumi noteic indivīda tiesības uz administratīvo aktu, uzziņu par tiesībām, informāciju, kas ir iestādes rīcībā, formālu atbildi par veiktajiem pasākumiem, bet ne viedokli, tas ir, likums nepiešķir </w:t>
      </w:r>
      <w:r w:rsidR="00435162" w:rsidRPr="00724516">
        <w:t xml:space="preserve">indivīdam </w:t>
      </w:r>
      <w:r w:rsidR="00724516" w:rsidRPr="00724516">
        <w:t>tiesības ar tiesas starpniecību panākt, ka amatpersona pauž savu subjektīvo attieksmi vai nostāju kādā jautājumā (</w:t>
      </w:r>
      <w:r w:rsidR="00724516" w:rsidRPr="00724516">
        <w:rPr>
          <w:i/>
        </w:rPr>
        <w:t>Senāta 2011.gada 22.decembra sprieduma lietā Nr. </w:t>
      </w:r>
      <w:hyperlink r:id="rId8" w:history="1">
        <w:r w:rsidR="00724516" w:rsidRPr="00724516">
          <w:rPr>
            <w:rStyle w:val="Hyperlink"/>
            <w:i/>
          </w:rPr>
          <w:t>SKA-976/2011</w:t>
        </w:r>
      </w:hyperlink>
      <w:r w:rsidR="00724516" w:rsidRPr="00724516">
        <w:rPr>
          <w:i/>
        </w:rPr>
        <w:t>, A421017609, 9.punkts</w:t>
      </w:r>
      <w:r w:rsidR="00724516" w:rsidRPr="00724516">
        <w:t>).</w:t>
      </w:r>
    </w:p>
    <w:p w14:paraId="683D9686" w14:textId="0B89FABA" w:rsidR="00724516" w:rsidRDefault="00724516" w:rsidP="0005297A">
      <w:pPr>
        <w:shd w:val="clear" w:color="auto" w:fill="FFFFFF"/>
        <w:spacing w:line="276" w:lineRule="auto"/>
        <w:ind w:firstLine="720"/>
        <w:jc w:val="both"/>
      </w:pPr>
      <w:r>
        <w:t xml:space="preserve">Savukārt lietā </w:t>
      </w:r>
      <w:r w:rsidRPr="00724516">
        <w:t>Nr. SKA</w:t>
      </w:r>
      <w:r w:rsidRPr="00724516">
        <w:noBreakHyphen/>
        <w:t>1687/2019</w:t>
      </w:r>
      <w:r>
        <w:t xml:space="preserve"> </w:t>
      </w:r>
      <w:r w:rsidRPr="00724516">
        <w:t xml:space="preserve">Senāts </w:t>
      </w:r>
      <w:r>
        <w:t>atzina</w:t>
      </w:r>
      <w:r w:rsidRPr="00724516">
        <w:t>, ka pieteicējs ar saviem jautājumiem pēc būtības pauž savu subjektīvo attieksmi un gandrīz visi jautājumi ir noformulēti izaicinoši un tendenciozi, tāpēc uz tiem pēc būtības ir grūti vai pat neiespējami atbildēt, sniedzot tikai faktus (</w:t>
      </w:r>
      <w:r w:rsidRPr="00724516">
        <w:rPr>
          <w:i/>
        </w:rPr>
        <w:t>Senāta 2019.gada 17.decembra lēmuma lietā Nr.</w:t>
      </w:r>
      <w:r w:rsidR="00435162">
        <w:rPr>
          <w:i/>
        </w:rPr>
        <w:t> </w:t>
      </w:r>
      <w:r w:rsidRPr="00724516">
        <w:rPr>
          <w:i/>
        </w:rPr>
        <w:t xml:space="preserve">SKA-1687/2019, </w:t>
      </w:r>
      <w:hyperlink r:id="rId9" w:history="1">
        <w:r w:rsidRPr="00724516">
          <w:rPr>
            <w:rStyle w:val="Hyperlink"/>
            <w:i/>
          </w:rPr>
          <w:t>ECLI:LV:AT:2019:1217.SKA168719.4.L</w:t>
        </w:r>
      </w:hyperlink>
      <w:r w:rsidRPr="00724516">
        <w:rPr>
          <w:i/>
        </w:rPr>
        <w:t>, 5.punkt</w:t>
      </w:r>
      <w:r w:rsidR="00435162">
        <w:rPr>
          <w:i/>
        </w:rPr>
        <w:t>s</w:t>
      </w:r>
      <w:r w:rsidRPr="00724516">
        <w:t>).</w:t>
      </w:r>
    </w:p>
    <w:p w14:paraId="6848C08D" w14:textId="77777777" w:rsidR="00724516" w:rsidRDefault="00724516" w:rsidP="0005297A">
      <w:pPr>
        <w:shd w:val="clear" w:color="auto" w:fill="FFFFFF"/>
        <w:spacing w:line="276" w:lineRule="auto"/>
        <w:ind w:firstLine="720"/>
        <w:jc w:val="both"/>
      </w:pPr>
    </w:p>
    <w:p w14:paraId="3B5EF79B" w14:textId="4764795A" w:rsidR="00724516" w:rsidRDefault="00724516" w:rsidP="0005297A">
      <w:pPr>
        <w:shd w:val="clear" w:color="auto" w:fill="FFFFFF"/>
        <w:spacing w:line="276" w:lineRule="auto"/>
        <w:ind w:firstLine="720"/>
        <w:jc w:val="both"/>
      </w:pPr>
      <w:r>
        <w:t>[7] Senāts norāda, ka iepriekš minēto atziņu pareizai izpratnei un piemērošanai ir jāņem vērā</w:t>
      </w:r>
      <w:r w:rsidR="00FE41D1">
        <w:t xml:space="preserve"> </w:t>
      </w:r>
      <w:r w:rsidR="001D454A">
        <w:t xml:space="preserve">Latvijas Republikas </w:t>
      </w:r>
      <w:r w:rsidR="00FE41D1">
        <w:t xml:space="preserve">Satversmes </w:t>
      </w:r>
      <w:r w:rsidR="001D454A">
        <w:t xml:space="preserve">(turpmāk – Satversme) </w:t>
      </w:r>
      <w:r w:rsidR="00FE41D1">
        <w:t>104.</w:t>
      </w:r>
      <w:r w:rsidR="000F3E89">
        <w:t xml:space="preserve">panta pirmajā teikumā </w:t>
      </w:r>
      <w:r w:rsidR="00FE41D1">
        <w:t xml:space="preserve">noteiktais, ka </w:t>
      </w:r>
      <w:r>
        <w:t>i</w:t>
      </w:r>
      <w:r w:rsidRPr="008C170E">
        <w:t>kvienam ir tiesības likumā paredzētajā veidā vērsties valsts un pašvaldību iestādēs ar iesniegumiem</w:t>
      </w:r>
      <w:r>
        <w:t xml:space="preserve"> un saņemt atbildi pēc būtības.</w:t>
      </w:r>
    </w:p>
    <w:p w14:paraId="454DBAEB" w14:textId="329E3805" w:rsidR="00724516" w:rsidRDefault="00724516" w:rsidP="0005297A">
      <w:pPr>
        <w:shd w:val="clear" w:color="auto" w:fill="FFFFFF"/>
        <w:spacing w:line="276" w:lineRule="auto"/>
        <w:ind w:firstLine="720"/>
        <w:jc w:val="both"/>
      </w:pPr>
      <w:r w:rsidRPr="008C170E">
        <w:t xml:space="preserve">Iekļaujot šādu </w:t>
      </w:r>
      <w:r w:rsidR="00807CFC">
        <w:t xml:space="preserve">tiesību </w:t>
      </w:r>
      <w:r w:rsidRPr="008C170E">
        <w:t xml:space="preserve">normu </w:t>
      </w:r>
      <w:proofErr w:type="spellStart"/>
      <w:r w:rsidRPr="008C170E">
        <w:t>pamattiesību</w:t>
      </w:r>
      <w:proofErr w:type="spellEnd"/>
      <w:r w:rsidRPr="008C170E">
        <w:t xml:space="preserve"> katalogā, </w:t>
      </w:r>
      <w:r w:rsidR="00232EE1">
        <w:t>Latvijas</w:t>
      </w:r>
      <w:r w:rsidR="00232EE1" w:rsidRPr="008C170E">
        <w:t xml:space="preserve"> </w:t>
      </w:r>
      <w:r w:rsidRPr="008C170E">
        <w:t xml:space="preserve">valsts ir izšķīrusies atzīt, ka gadījumā, ja privātpersona vēršas iestādē ar iesniegumu, tā var sagaidīt, ka iestāde uz šo iesniegumu kaut kā reaģēs (atbildēs), ja vien iesniegums nav tāds, kas acīmredzami neprasa nekādu atbildi. Tas būtībā ir </w:t>
      </w:r>
      <w:proofErr w:type="spellStart"/>
      <w:r w:rsidRPr="008C170E">
        <w:t>cieņpilnas</w:t>
      </w:r>
      <w:proofErr w:type="spellEnd"/>
      <w:r w:rsidRPr="008C170E">
        <w:t xml:space="preserve"> izturēšanās pret privātpersonu jautājums, kas balstās cilvēka </w:t>
      </w:r>
      <w:r w:rsidR="00706CFE" w:rsidRPr="008C170E">
        <w:t>cieņ</w:t>
      </w:r>
      <w:r w:rsidR="00706CFE">
        <w:t>as</w:t>
      </w:r>
      <w:r w:rsidR="00706CFE" w:rsidRPr="008C170E">
        <w:t xml:space="preserve"> </w:t>
      </w:r>
      <w:r w:rsidRPr="008C170E">
        <w:t xml:space="preserve">un labas pārvaldības principā, kas </w:t>
      </w:r>
      <w:proofErr w:type="spellStart"/>
      <w:r w:rsidRPr="008C170E">
        <w:t>citstarp</w:t>
      </w:r>
      <w:proofErr w:type="spellEnd"/>
      <w:r w:rsidRPr="008C170E">
        <w:t xml:space="preserve"> paredz, ka valsts pārvaldes </w:t>
      </w:r>
      <w:r w:rsidRPr="008C170E">
        <w:lastRenderedPageBreak/>
        <w:t xml:space="preserve">attieksme attiecībās ar privātpersonu ir pieklājīga, atsaucīga un </w:t>
      </w:r>
      <w:proofErr w:type="spellStart"/>
      <w:r w:rsidRPr="008C170E">
        <w:t>cieņpilna</w:t>
      </w:r>
      <w:proofErr w:type="spellEnd"/>
      <w:r w:rsidRPr="008C170E">
        <w:t>. Šāda attieksme veicina arī</w:t>
      </w:r>
      <w:r>
        <w:t xml:space="preserve"> </w:t>
      </w:r>
      <w:r w:rsidRPr="008C170E">
        <w:t xml:space="preserve">cilvēku cieņu pret savu valsti un uzticēšanos tai (sal. </w:t>
      </w:r>
      <w:r w:rsidRPr="008C170E">
        <w:rPr>
          <w:i/>
        </w:rPr>
        <w:t xml:space="preserve">Briede J. 104.panta komentārs. </w:t>
      </w:r>
      <w:proofErr w:type="spellStart"/>
      <w:r w:rsidRPr="008C170E">
        <w:rPr>
          <w:i/>
        </w:rPr>
        <w:t>Grām</w:t>
      </w:r>
      <w:proofErr w:type="spellEnd"/>
      <w:r w:rsidRPr="008C170E">
        <w:rPr>
          <w:i/>
        </w:rPr>
        <w:t xml:space="preserve">.: Latvijas Republikas Satversmes komentāri. VIII nodaļa. Cilvēka </w:t>
      </w:r>
      <w:proofErr w:type="spellStart"/>
      <w:r w:rsidRPr="008C170E">
        <w:rPr>
          <w:i/>
        </w:rPr>
        <w:t>pamattiesības</w:t>
      </w:r>
      <w:proofErr w:type="spellEnd"/>
      <w:r w:rsidRPr="008C170E">
        <w:rPr>
          <w:i/>
        </w:rPr>
        <w:t xml:space="preserve">. Sagatavojis autoru kolektīvs prof. R. Baloža zinātniskā vadībā. </w:t>
      </w:r>
      <w:r>
        <w:rPr>
          <w:i/>
        </w:rPr>
        <w:t xml:space="preserve">Rīga: Latvijas Vēstnesis, 2011, </w:t>
      </w:r>
      <w:r w:rsidRPr="008C170E">
        <w:rPr>
          <w:i/>
        </w:rPr>
        <w:t>454.lpp</w:t>
      </w:r>
      <w:r w:rsidRPr="008C170E">
        <w:t>.)</w:t>
      </w:r>
      <w:r>
        <w:t>.</w:t>
      </w:r>
    </w:p>
    <w:p w14:paraId="52089965" w14:textId="5EBFD7AA" w:rsidR="00724516" w:rsidRDefault="00724516" w:rsidP="0005297A">
      <w:pPr>
        <w:shd w:val="clear" w:color="auto" w:fill="FFFFFF"/>
        <w:spacing w:line="276" w:lineRule="auto"/>
        <w:ind w:firstLine="720"/>
        <w:jc w:val="both"/>
      </w:pPr>
      <w:r>
        <w:t>Demokrātiskā tiesiskā valstī ir svarīgi, lai</w:t>
      </w:r>
      <w:r w:rsidRPr="00C37360">
        <w:t xml:space="preserve"> cilvēki nejūtas valsts ignorēti un saņem atbildes uz jautājumiem, sūdzībām un priekšlikumiem, kādi viņiem radušies saistībā ar konkrētās iestādes kompetences jomu. Tādā veidā tiek stiprināta indivīdu un sabiedrības uzticēšanās valstij un attiecīgi arī vēlme būt pilsoniski aktīviem, kā arī indivīdu izpratne par valsts darbu, funkcijām, pienākumiem un korespondējošām personu tiesībām</w:t>
      </w:r>
      <w:r>
        <w:t xml:space="preserve"> (sal. </w:t>
      </w:r>
      <w:r w:rsidRPr="008C170E">
        <w:rPr>
          <w:i/>
        </w:rPr>
        <w:t>Senāta 2021.gada 21.maija lēmuma lietā Nr.</w:t>
      </w:r>
      <w:r w:rsidR="00435162">
        <w:rPr>
          <w:i/>
        </w:rPr>
        <w:t> </w:t>
      </w:r>
      <w:r w:rsidRPr="008C170E">
        <w:rPr>
          <w:i/>
        </w:rPr>
        <w:t xml:space="preserve">SKA-932/2021, </w:t>
      </w:r>
      <w:hyperlink r:id="rId10" w:history="1">
        <w:r w:rsidRPr="008C170E">
          <w:rPr>
            <w:rStyle w:val="Hyperlink"/>
            <w:i/>
          </w:rPr>
          <w:t>ECLI:LV:AT:2021:0521.SKA093221.3.L</w:t>
        </w:r>
      </w:hyperlink>
      <w:r w:rsidRPr="008C170E">
        <w:rPr>
          <w:i/>
        </w:rPr>
        <w:t>, 12.punkts</w:t>
      </w:r>
      <w:r w:rsidRPr="00C37360">
        <w:t>).</w:t>
      </w:r>
    </w:p>
    <w:p w14:paraId="4CA8F4C5" w14:textId="77777777" w:rsidR="00520B22" w:rsidRDefault="00520B22" w:rsidP="0005297A">
      <w:pPr>
        <w:shd w:val="clear" w:color="auto" w:fill="FFFFFF"/>
        <w:spacing w:line="276" w:lineRule="auto"/>
        <w:ind w:firstLine="720"/>
        <w:jc w:val="both"/>
      </w:pPr>
    </w:p>
    <w:p w14:paraId="45F33B03" w14:textId="19B69E7F" w:rsidR="007A6C04" w:rsidRDefault="00520B22" w:rsidP="0005297A">
      <w:pPr>
        <w:shd w:val="clear" w:color="auto" w:fill="FFFFFF"/>
        <w:spacing w:line="276" w:lineRule="auto"/>
        <w:ind w:firstLine="720"/>
        <w:jc w:val="both"/>
      </w:pPr>
      <w:r>
        <w:t>[8] </w:t>
      </w:r>
      <w:r w:rsidR="00FE41D1">
        <w:t xml:space="preserve">Ievērojot minēto, Senāts norāda, ka lietā </w:t>
      </w:r>
      <w:r w:rsidR="00441804">
        <w:t>Nr. SKA</w:t>
      </w:r>
      <w:r w:rsidR="00441804">
        <w:noBreakHyphen/>
        <w:t xml:space="preserve">976/2011 </w:t>
      </w:r>
      <w:r w:rsidR="00FE41D1">
        <w:t>izteiktās atziņas ir jātulko šauri, un tās ir piemērojamas tikai izņēmuma gadījumā. Proti, nav pamata uzskatīt, ka Iesniegum</w:t>
      </w:r>
      <w:r w:rsidR="0037485C">
        <w:t>u</w:t>
      </w:r>
      <w:r w:rsidR="00FE41D1">
        <w:t xml:space="preserve"> likuma kārtībā privātpersona</w:t>
      </w:r>
      <w:r w:rsidR="009E6C93">
        <w:t xml:space="preserve"> </w:t>
      </w:r>
      <w:r w:rsidR="00FE41D1">
        <w:t>nevar</w:t>
      </w:r>
      <w:r w:rsidR="009E6C93">
        <w:t>ētu</w:t>
      </w:r>
      <w:r w:rsidR="00FE41D1">
        <w:t xml:space="preserve"> pras</w:t>
      </w:r>
      <w:r w:rsidR="009E6C93">
        <w:t xml:space="preserve">īt nekādu </w:t>
      </w:r>
      <w:r w:rsidR="00FE41D1">
        <w:t>iestādes viedokli</w:t>
      </w:r>
      <w:r w:rsidR="009E6C93">
        <w:t xml:space="preserve"> par tās kompetencē esošu jautājumu.</w:t>
      </w:r>
      <w:r w:rsidR="00441804">
        <w:t xml:space="preserve"> </w:t>
      </w:r>
      <w:r w:rsidR="00FE41D1" w:rsidRPr="00FE41D1">
        <w:t xml:space="preserve">Ar viedokli var saprast arī </w:t>
      </w:r>
      <w:r w:rsidR="00773BEB">
        <w:t xml:space="preserve">iestādes </w:t>
      </w:r>
      <w:r w:rsidR="00FE41D1" w:rsidRPr="00FE41D1">
        <w:t>vērtējumu vai skaidrojumu par to, kā ir interpretējama kāda tiesību norma</w:t>
      </w:r>
      <w:r w:rsidR="00684FE5">
        <w:t>. Tāpat viedoklis var būt iestādes vērtējums vai skaidrojums par to</w:t>
      </w:r>
      <w:r w:rsidR="00FE41D1" w:rsidRPr="00FE41D1">
        <w:t>, vai noteikta iestādes vai amatpersonas rīcība atbilst tiesību normām, vai ir sasniegti politikas plānošanas dokumentos noteiktie mērķi, vai kāda iestādes plānotā darbī</w:t>
      </w:r>
      <w:r w:rsidR="00FE41D1">
        <w:t>ba atbilst šiem mērķiem u.tml</w:t>
      </w:r>
      <w:r w:rsidR="00FE41D1" w:rsidRPr="00FE41D1">
        <w:t xml:space="preserve">. Šādus viedokļus </w:t>
      </w:r>
      <w:r w:rsidR="00FE41D1">
        <w:t xml:space="preserve">privātpersona </w:t>
      </w:r>
      <w:r w:rsidR="00FE41D1" w:rsidRPr="00FE41D1">
        <w:t xml:space="preserve">noteikti var prasīt </w:t>
      </w:r>
      <w:r w:rsidR="009E6C93">
        <w:t xml:space="preserve">iestādei </w:t>
      </w:r>
      <w:r w:rsidR="00FE41D1">
        <w:t xml:space="preserve">sniegt </w:t>
      </w:r>
      <w:r w:rsidR="00FE41D1" w:rsidRPr="00FE41D1">
        <w:t xml:space="preserve">Iesniegumu likuma kārtībā. </w:t>
      </w:r>
      <w:r w:rsidR="007A6C04">
        <w:t xml:space="preserve">No Senāta </w:t>
      </w:r>
      <w:r w:rsidR="009E6C93">
        <w:t xml:space="preserve">sprieduma </w:t>
      </w:r>
      <w:r w:rsidR="007A6C04" w:rsidRPr="007A6C04">
        <w:t>lietā Nr.</w:t>
      </w:r>
      <w:r w:rsidR="00435162">
        <w:t> </w:t>
      </w:r>
      <w:r w:rsidR="007A6C04" w:rsidRPr="007A6C04">
        <w:t>SKA</w:t>
      </w:r>
      <w:r w:rsidR="007A6C04" w:rsidRPr="007A6C04">
        <w:noBreakHyphen/>
        <w:t>976/2011</w:t>
      </w:r>
      <w:r w:rsidR="007A6C04">
        <w:t xml:space="preserve"> i</w:t>
      </w:r>
      <w:r w:rsidR="00FE41D1" w:rsidRPr="00FE41D1">
        <w:t xml:space="preserve">zriet, ka </w:t>
      </w:r>
      <w:r w:rsidR="007A6C04" w:rsidRPr="00FE41D1">
        <w:t>Iesniegumu likuma kārtībā</w:t>
      </w:r>
      <w:r w:rsidR="007A6C04" w:rsidRPr="007A6C04">
        <w:t xml:space="preserve"> </w:t>
      </w:r>
      <w:r w:rsidR="007A6C04" w:rsidRPr="00FE41D1">
        <w:t>nevar prasīt</w:t>
      </w:r>
      <w:r w:rsidR="007A6C04">
        <w:t xml:space="preserve"> iestādei tādu viedokli, kurā tiktu pausta iestādes subjektīvā attieksme</w:t>
      </w:r>
      <w:r w:rsidR="007A6C04" w:rsidRPr="007A6C04">
        <w:t xml:space="preserve"> </w:t>
      </w:r>
      <w:r w:rsidR="007A6C04">
        <w:t>vai nostāja</w:t>
      </w:r>
      <w:r w:rsidR="007A6C04" w:rsidRPr="007A6C04">
        <w:t xml:space="preserve"> kādā jautājumā</w:t>
      </w:r>
      <w:r w:rsidR="007A6C04">
        <w:t xml:space="preserve">. Proti, </w:t>
      </w:r>
      <w:r w:rsidR="007A6C04" w:rsidRPr="007A6C04">
        <w:t>privātpersona nevar Iesniegum</w:t>
      </w:r>
      <w:r w:rsidR="0037485C">
        <w:t>u</w:t>
      </w:r>
      <w:r w:rsidR="007A6C04" w:rsidRPr="007A6C04">
        <w:t xml:space="preserve"> likuma kārtībā iestādei </w:t>
      </w:r>
      <w:r w:rsidR="00E63E0C">
        <w:t>uzdot</w:t>
      </w:r>
      <w:r w:rsidR="007A6C04" w:rsidRPr="007A6C04">
        <w:t xml:space="preserve"> tādu jautājumu, kas pēc būtības prasa iestādei sniegt atbildi, kas būtu pamatota ar tās subjektīvajiem ieskatiem, nevis ar objektīviem apsvērumiem</w:t>
      </w:r>
      <w:r w:rsidR="0030528F">
        <w:t>, kas ir balstīti uz</w:t>
      </w:r>
      <w:r w:rsidR="0030528F" w:rsidRPr="0030528F">
        <w:t xml:space="preserve"> </w:t>
      </w:r>
      <w:r w:rsidR="0030528F" w:rsidRPr="007A6C04">
        <w:t xml:space="preserve">faktiem </w:t>
      </w:r>
      <w:r w:rsidR="0030528F">
        <w:t xml:space="preserve">vai </w:t>
      </w:r>
      <w:r w:rsidR="0030528F" w:rsidRPr="007A6C04">
        <w:t>tiesību normām</w:t>
      </w:r>
      <w:r w:rsidR="007A6C04">
        <w:t>.</w:t>
      </w:r>
      <w:r w:rsidR="00351815">
        <w:t xml:space="preserve"> Piem</w:t>
      </w:r>
      <w:r w:rsidR="00DC371A">
        <w:t>ēram</w:t>
      </w:r>
      <w:r w:rsidR="00DC371A" w:rsidRPr="00DC371A">
        <w:t>,</w:t>
      </w:r>
      <w:r w:rsidR="00DC371A">
        <w:t xml:space="preserve"> </w:t>
      </w:r>
      <w:r w:rsidR="00DC371A" w:rsidRPr="00DC371A">
        <w:t xml:space="preserve">persona </w:t>
      </w:r>
      <w:r w:rsidR="0030528F">
        <w:t xml:space="preserve">Iesniegumu likuma kārtībā </w:t>
      </w:r>
      <w:r w:rsidR="00DC371A" w:rsidRPr="00DC371A">
        <w:t xml:space="preserve">nevarētu prasīt iestādei viedokli par to, vai tai patīk iestādes </w:t>
      </w:r>
      <w:r w:rsidR="0030528F">
        <w:t>amatpersonu</w:t>
      </w:r>
      <w:r w:rsidR="0030528F" w:rsidRPr="00DC371A">
        <w:t xml:space="preserve"> </w:t>
      </w:r>
      <w:r w:rsidR="00DC371A" w:rsidRPr="00DC371A">
        <w:t>formastērpu krāsa, jo uz šādu jautājumu ir iespējams atbildēt, tikai paužot iestādes subjektīvo attieksmi</w:t>
      </w:r>
      <w:r w:rsidR="00085856">
        <w:t>, nevis sniedzot motivētu atbildi</w:t>
      </w:r>
      <w:r w:rsidR="00DC371A" w:rsidRPr="00DC371A">
        <w:t>.</w:t>
      </w:r>
    </w:p>
    <w:p w14:paraId="70385B7A" w14:textId="19AC75B4" w:rsidR="00441804" w:rsidRDefault="00520B22" w:rsidP="0005297A">
      <w:pPr>
        <w:spacing w:line="276" w:lineRule="auto"/>
        <w:ind w:firstLine="720"/>
        <w:jc w:val="both"/>
      </w:pPr>
      <w:r>
        <w:t xml:space="preserve">Arī </w:t>
      </w:r>
      <w:r w:rsidR="00441804">
        <w:t xml:space="preserve">iepriekš norādītās </w:t>
      </w:r>
      <w:r>
        <w:t>Senāta atziņas lietā</w:t>
      </w:r>
      <w:r w:rsidR="00441804">
        <w:t xml:space="preserve"> Nr.</w:t>
      </w:r>
      <w:r w:rsidR="00435162">
        <w:t> </w:t>
      </w:r>
      <w:r w:rsidRPr="00520B22">
        <w:t>SKA</w:t>
      </w:r>
      <w:r w:rsidRPr="00520B22">
        <w:noBreakHyphen/>
        <w:t>1687/2019</w:t>
      </w:r>
      <w:r w:rsidR="00441804">
        <w:t xml:space="preserve"> </w:t>
      </w:r>
      <w:r w:rsidRPr="009E6C93">
        <w:t>nevar tulkot plaši</w:t>
      </w:r>
      <w:r>
        <w:t>.</w:t>
      </w:r>
      <w:r w:rsidR="00441804">
        <w:t xml:space="preserve"> </w:t>
      </w:r>
      <w:r w:rsidRPr="00520B22">
        <w:t xml:space="preserve">Apstāklis, ka </w:t>
      </w:r>
      <w:r w:rsidR="00441804">
        <w:t xml:space="preserve">no uzdotajiem jautājumiem un iesnieguma satura kopumā ir konstatējama personas neapmierinātība ar iestādes rīcību, </w:t>
      </w:r>
      <w:r w:rsidR="00441804" w:rsidRPr="00441804">
        <w:t xml:space="preserve">pats par sevi nav pietiekams pamats atzīt, ka </w:t>
      </w:r>
      <w:r w:rsidR="00441804">
        <w:t>iestāde</w:t>
      </w:r>
      <w:r w:rsidR="00441804" w:rsidRPr="00441804">
        <w:t xml:space="preserve"> uz jautājumiem nevarētu sniegt ar faktiem pamatotu atbildi. Iesniegum</w:t>
      </w:r>
      <w:r w:rsidR="0037485C">
        <w:t>u</w:t>
      </w:r>
      <w:r w:rsidR="00441804" w:rsidRPr="00441804">
        <w:t xml:space="preserve"> likuma 2.panta pirmajā daļā ir noteiktas privātpersonu tiesības vērsties iestādē </w:t>
      </w:r>
      <w:r w:rsidR="0030528F">
        <w:t xml:space="preserve">arī </w:t>
      </w:r>
      <w:r w:rsidR="00441804" w:rsidRPr="00441804">
        <w:t>ar sūdzību</w:t>
      </w:r>
      <w:r w:rsidR="0030528F">
        <w:t>.</w:t>
      </w:r>
      <w:r w:rsidR="00441804" w:rsidRPr="00441804">
        <w:t xml:space="preserve"> Senāta</w:t>
      </w:r>
      <w:r w:rsidR="0030528F">
        <w:t>m</w:t>
      </w:r>
      <w:r w:rsidR="00441804" w:rsidRPr="00441804">
        <w:t xml:space="preserve"> nav šaubu, ka sūdzība ir tāds iesnieguma veids, kurā privātpersona var izteikt savu negatīvo attieksmi un neapmierinātību par kādas iestādes vai amatpersonas rīcību.</w:t>
      </w:r>
    </w:p>
    <w:p w14:paraId="77908FA2" w14:textId="77777777" w:rsidR="00441804" w:rsidRDefault="00441804" w:rsidP="0005297A">
      <w:pPr>
        <w:spacing w:line="276" w:lineRule="auto"/>
        <w:ind w:firstLine="720"/>
        <w:jc w:val="both"/>
      </w:pPr>
    </w:p>
    <w:p w14:paraId="44B7D745" w14:textId="0704932D" w:rsidR="00351815" w:rsidRDefault="00441804" w:rsidP="0005297A">
      <w:pPr>
        <w:spacing w:line="276" w:lineRule="auto"/>
        <w:ind w:firstLine="720"/>
        <w:jc w:val="both"/>
      </w:pPr>
      <w:r>
        <w:t>[9] Senāts konstatē, ka rajona tiesas tiesnes</w:t>
      </w:r>
      <w:r w:rsidR="00435162">
        <w:t>is</w:t>
      </w:r>
      <w:r>
        <w:t xml:space="preserve"> lēmumā nav konkrēti pamatoji</w:t>
      </w:r>
      <w:r w:rsidR="00435162">
        <w:t>s</w:t>
      </w:r>
      <w:r>
        <w:t xml:space="preserve">, kāpēc pieteicēja blakus sūdzībā norādītie trīs jautājumi būtu tādi, ar kuriem </w:t>
      </w:r>
      <w:r w:rsidR="00351815">
        <w:t xml:space="preserve">ministrijai tiktu prasīts paust tās subjektīvo attieksmi vai uz kuriem būtu apgrūtinoši vai neiespējami sniegt atbildi </w:t>
      </w:r>
      <w:r w:rsidR="00351815">
        <w:lastRenderedPageBreak/>
        <w:t xml:space="preserve">pēc būtības, jo pieteicējs tajos tendenciozi un izaicinoši būtu paudis savu </w:t>
      </w:r>
      <w:r w:rsidR="00351815" w:rsidRPr="00351815">
        <w:t>subjektīvo attieksmi</w:t>
      </w:r>
      <w:r w:rsidR="00351815">
        <w:t>.</w:t>
      </w:r>
    </w:p>
    <w:p w14:paraId="2A57745B" w14:textId="0CA34BDB" w:rsidR="00DC371A" w:rsidRDefault="00351815" w:rsidP="0005297A">
      <w:pPr>
        <w:spacing w:line="276" w:lineRule="auto"/>
        <w:ind w:firstLine="720"/>
        <w:jc w:val="both"/>
      </w:pPr>
      <w:r>
        <w:t xml:space="preserve">Senāts, </w:t>
      </w:r>
      <w:r w:rsidRPr="00441804">
        <w:t>it īpaši ņemot vērā blakus sūdzībā norādītos papildu skaidrojumus par šo jautājumu mērķi, nesaskata, ka</w:t>
      </w:r>
      <w:r>
        <w:t xml:space="preserve"> ministrijai būtu kādi šķēršļi sniegt uz šiem jautājumiem atbildes, kas būtu balstītas uz </w:t>
      </w:r>
      <w:r w:rsidRPr="00351815">
        <w:t>faktiem un tiesību normām pamatotiem objektīviem apsvērumiem</w:t>
      </w:r>
      <w:r w:rsidR="00DC371A">
        <w:t>. N</w:t>
      </w:r>
      <w:r>
        <w:t xml:space="preserve">evienā no šiem jautājumiem </w:t>
      </w:r>
      <w:r w:rsidR="00DC371A">
        <w:t>pieteicējs nelūdz ministrijai paust tās subjektīvo attieksmi</w:t>
      </w:r>
      <w:r w:rsidR="0030528F">
        <w:t>.</w:t>
      </w:r>
      <w:r w:rsidR="00DC371A">
        <w:t xml:space="preserve"> </w:t>
      </w:r>
      <w:r w:rsidR="00DC371A" w:rsidRPr="00DC371A">
        <w:t xml:space="preserve">Senāts </w:t>
      </w:r>
      <w:r w:rsidR="0030528F">
        <w:t xml:space="preserve">arī </w:t>
      </w:r>
      <w:r w:rsidR="00DC371A" w:rsidRPr="00DC371A">
        <w:t xml:space="preserve">nekonstatē, ka pieteicēja blakus sūdzībā norādītie jautājumi būtu noformulēti tā, ka tajos tiktu izaicinoši un tendenciozi pausta pieteicēja subjektīvā attieksme, kas pēc būtības apgrūtinātu vai padarītu par neiespējamu ministrijai sniegt uz tiem </w:t>
      </w:r>
      <w:r w:rsidR="00DC371A">
        <w:t>atbildi pēc būtības.</w:t>
      </w:r>
    </w:p>
    <w:p w14:paraId="19A7269B" w14:textId="6ABC0FA9" w:rsidR="009F16E2" w:rsidRDefault="00441804" w:rsidP="0005297A">
      <w:pPr>
        <w:spacing w:line="276" w:lineRule="auto"/>
        <w:ind w:firstLine="720"/>
        <w:jc w:val="both"/>
      </w:pPr>
      <w:r w:rsidRPr="00441804">
        <w:t>Līdz ar to</w:t>
      </w:r>
      <w:r w:rsidR="00DC371A">
        <w:t xml:space="preserve"> </w:t>
      </w:r>
      <w:r w:rsidR="00DC371A" w:rsidRPr="00DC371A">
        <w:t>rajona tiesas tiesne</w:t>
      </w:r>
      <w:r w:rsidR="00435162">
        <w:t>ša</w:t>
      </w:r>
      <w:r w:rsidR="00DC371A" w:rsidRPr="00DC371A">
        <w:t xml:space="preserve"> lēmums tā pārsūdzētajā daļā ir atceļams un jautājums par pieteikuma tālāko virzību šajā daļā ir nosūtāms jaunai izskatīšanai Administratīvaj</w:t>
      </w:r>
      <w:r w:rsidR="00435162">
        <w:t>ai</w:t>
      </w:r>
      <w:r w:rsidR="00DC371A" w:rsidRPr="00DC371A">
        <w:t xml:space="preserve"> rajona ties</w:t>
      </w:r>
      <w:r w:rsidR="00435162">
        <w:t>ai</w:t>
      </w:r>
      <w:r w:rsidR="00DC371A" w:rsidRPr="00DC371A">
        <w:t>.</w:t>
      </w:r>
    </w:p>
    <w:p w14:paraId="13C63D3B" w14:textId="77777777" w:rsidR="00FE41D1" w:rsidRDefault="00FE41D1" w:rsidP="0005297A">
      <w:pPr>
        <w:shd w:val="clear" w:color="auto" w:fill="FFFFFF"/>
        <w:spacing w:line="276" w:lineRule="auto"/>
        <w:ind w:firstLine="720"/>
        <w:jc w:val="both"/>
      </w:pPr>
    </w:p>
    <w:p w14:paraId="0233B7EA" w14:textId="7E8FA814" w:rsidR="00C63B57" w:rsidRDefault="00DC371A" w:rsidP="0005297A">
      <w:pPr>
        <w:shd w:val="clear" w:color="auto" w:fill="FFFFFF"/>
        <w:spacing w:line="276" w:lineRule="auto"/>
        <w:ind w:firstLine="720"/>
        <w:jc w:val="both"/>
      </w:pPr>
      <w:r>
        <w:t>[10] </w:t>
      </w:r>
      <w:r w:rsidR="00C63B57">
        <w:t xml:space="preserve">Papildus Senāts paskaidro, ka </w:t>
      </w:r>
      <w:r w:rsidR="00C63B57" w:rsidRPr="00C63B57">
        <w:t>pieteicējam</w:t>
      </w:r>
      <w:r w:rsidR="00C63B57">
        <w:t xml:space="preserve"> ir</w:t>
      </w:r>
      <w:r w:rsidR="00C63B57" w:rsidRPr="00C63B57">
        <w:t xml:space="preserve"> jārēķinās, ka tiesības saņemt atbildi pēc būtības nenozīmē tiesības saņemt tieši tādu atbildi (tik izvērstu vai ar tādu pamatojumu), kā persona iecerējusi. Kā atzīts Senāta judikatūrā, atbilde pēc būtības Satversmes 104.panta pirmā teikuma izpratnē nozīmē atbildi, kurā izvērtēti un motivēti atbildēti uzdotie jautājumi. Taču minētā </w:t>
      </w:r>
      <w:r w:rsidR="002D634C">
        <w:t xml:space="preserve">tiesību </w:t>
      </w:r>
      <w:r w:rsidR="00C63B57" w:rsidRPr="00C63B57">
        <w:t>norma neparedz tiesības prasīt konkrēta satura atbildi. Proti, lai atzītu, ka uz iesniegumu ir atbildēts pēc būtības, jākonstatē, ka iestāde ir motivēti atbildējusi uz iesniedzēja uzdotajiem jautājumiem. Tomēr nav nepieciešams, lai iesniedzēju apmierinātu atbildes saturs un iestādes apsvērumi</w:t>
      </w:r>
      <w:r w:rsidR="00C63B57">
        <w:t xml:space="preserve"> (</w:t>
      </w:r>
      <w:r w:rsidR="00C63B57" w:rsidRPr="00B5422B">
        <w:rPr>
          <w:i/>
        </w:rPr>
        <w:t>Senāta 2022.gada 23</w:t>
      </w:r>
      <w:r w:rsidR="00C63B57">
        <w:rPr>
          <w:i/>
        </w:rPr>
        <w:t>.maija lēmuma lietā Nr.</w:t>
      </w:r>
      <w:r w:rsidR="00435162">
        <w:rPr>
          <w:i/>
        </w:rPr>
        <w:t> </w:t>
      </w:r>
      <w:r w:rsidR="00C63B57">
        <w:rPr>
          <w:i/>
        </w:rPr>
        <w:t>SKA</w:t>
      </w:r>
      <w:r w:rsidR="00C63B57">
        <w:rPr>
          <w:i/>
        </w:rPr>
        <w:noBreakHyphen/>
      </w:r>
      <w:r w:rsidR="00C63B57" w:rsidRPr="00B5422B">
        <w:rPr>
          <w:i/>
        </w:rPr>
        <w:t xml:space="preserve">765/2022, </w:t>
      </w:r>
      <w:hyperlink r:id="rId11" w:history="1">
        <w:r w:rsidR="00C63B57" w:rsidRPr="00B5422B">
          <w:rPr>
            <w:rStyle w:val="Hyperlink"/>
            <w:i/>
          </w:rPr>
          <w:t>ECLI:LV:AT:2022:0523.A420188821.6.L</w:t>
        </w:r>
      </w:hyperlink>
      <w:r w:rsidR="00C63B57" w:rsidRPr="00B5422B">
        <w:rPr>
          <w:i/>
        </w:rPr>
        <w:t>, 10.punkts</w:t>
      </w:r>
      <w:r w:rsidR="00C63B57">
        <w:t>).</w:t>
      </w:r>
    </w:p>
    <w:p w14:paraId="1FFBD781" w14:textId="77777777" w:rsidR="00306235" w:rsidRDefault="00306235" w:rsidP="0005297A">
      <w:pPr>
        <w:shd w:val="clear" w:color="auto" w:fill="FFFFFF"/>
        <w:spacing w:line="276" w:lineRule="auto"/>
        <w:jc w:val="both"/>
      </w:pPr>
    </w:p>
    <w:p w14:paraId="12CBFC44" w14:textId="688236BA" w:rsidR="00447EE6" w:rsidRDefault="001D037A" w:rsidP="0005297A">
      <w:pPr>
        <w:shd w:val="clear" w:color="auto" w:fill="FFFFFF"/>
        <w:spacing w:line="276" w:lineRule="auto"/>
        <w:jc w:val="center"/>
        <w:rPr>
          <w:b/>
        </w:rPr>
      </w:pPr>
      <w:r>
        <w:rPr>
          <w:b/>
        </w:rPr>
        <w:t>Rezolutīvā daļa</w:t>
      </w:r>
    </w:p>
    <w:p w14:paraId="13B6D7D1" w14:textId="77777777" w:rsidR="001D037A" w:rsidRPr="00847F44" w:rsidRDefault="001D037A" w:rsidP="0005297A">
      <w:pPr>
        <w:shd w:val="clear" w:color="auto" w:fill="FFFFFF"/>
        <w:spacing w:line="276" w:lineRule="auto"/>
        <w:jc w:val="center"/>
        <w:rPr>
          <w:b/>
        </w:rPr>
      </w:pPr>
    </w:p>
    <w:p w14:paraId="369988FB" w14:textId="07092225" w:rsidR="00447EE6" w:rsidRDefault="00447EE6" w:rsidP="0005297A">
      <w:pPr>
        <w:shd w:val="clear" w:color="auto" w:fill="FFFFFF"/>
        <w:spacing w:line="276" w:lineRule="auto"/>
        <w:ind w:firstLine="720"/>
        <w:jc w:val="both"/>
      </w:pPr>
      <w:r>
        <w:t xml:space="preserve">Pamatojoties </w:t>
      </w:r>
      <w:r w:rsidR="002D3330" w:rsidRPr="002D3330">
        <w:t>Administratīvā pro</w:t>
      </w:r>
      <w:r w:rsidR="002D3330">
        <w:t xml:space="preserve">cesa likuma </w:t>
      </w:r>
      <w:r w:rsidR="002D3330" w:rsidRPr="007B7617">
        <w:t>129.</w:t>
      </w:r>
      <w:r w:rsidR="002D3330" w:rsidRPr="007B7617">
        <w:rPr>
          <w:vertAlign w:val="superscript"/>
        </w:rPr>
        <w:t>1 </w:t>
      </w:r>
      <w:r w:rsidR="002D3330" w:rsidRPr="007B7617">
        <w:t>panta pirmās daļas 1.p</w:t>
      </w:r>
      <w:r w:rsidR="00E93B79" w:rsidRPr="007B7617">
        <w:t xml:space="preserve">unktu, 323.panta pirmās daļas </w:t>
      </w:r>
      <w:r w:rsidR="007B7617">
        <w:t xml:space="preserve">2.punktu un </w:t>
      </w:r>
      <w:r w:rsidR="002D3330" w:rsidRPr="007B7617">
        <w:t>324.panta pirmo daļu</w:t>
      </w:r>
      <w:r w:rsidR="002D3330" w:rsidRPr="002D3330">
        <w:t>, Senāts</w:t>
      </w:r>
    </w:p>
    <w:p w14:paraId="3B28DB94" w14:textId="77777777" w:rsidR="00447EE6" w:rsidRDefault="00447EE6" w:rsidP="0005297A">
      <w:pPr>
        <w:shd w:val="clear" w:color="auto" w:fill="FFFFFF"/>
        <w:spacing w:line="276" w:lineRule="auto"/>
        <w:jc w:val="center"/>
        <w:rPr>
          <w:b/>
        </w:rPr>
      </w:pPr>
    </w:p>
    <w:p w14:paraId="297C80CD" w14:textId="69C2B209" w:rsidR="00447EE6" w:rsidRDefault="001D037A" w:rsidP="0005297A">
      <w:pPr>
        <w:shd w:val="clear" w:color="auto" w:fill="FFFFFF"/>
        <w:spacing w:line="276" w:lineRule="auto"/>
        <w:jc w:val="center"/>
        <w:rPr>
          <w:b/>
        </w:rPr>
      </w:pPr>
      <w:r>
        <w:rPr>
          <w:b/>
        </w:rPr>
        <w:t>nolēma</w:t>
      </w:r>
    </w:p>
    <w:p w14:paraId="28660F9E" w14:textId="77777777" w:rsidR="00447EE6" w:rsidRDefault="00447EE6" w:rsidP="0005297A">
      <w:pPr>
        <w:shd w:val="clear" w:color="auto" w:fill="FFFFFF"/>
        <w:spacing w:line="276" w:lineRule="auto"/>
        <w:jc w:val="center"/>
        <w:rPr>
          <w:b/>
        </w:rPr>
      </w:pPr>
    </w:p>
    <w:p w14:paraId="65BF6FA0" w14:textId="791D50E6" w:rsidR="002D3330" w:rsidRDefault="002D3330" w:rsidP="0005297A">
      <w:pPr>
        <w:shd w:val="clear" w:color="auto" w:fill="FFFFFF"/>
        <w:spacing w:line="276" w:lineRule="auto"/>
        <w:ind w:firstLine="720"/>
        <w:jc w:val="both"/>
      </w:pPr>
      <w:r w:rsidRPr="002D3330">
        <w:t>atcelt Administrat</w:t>
      </w:r>
      <w:r>
        <w:t xml:space="preserve">īvās rajona tiesas </w:t>
      </w:r>
      <w:r w:rsidR="001D6946">
        <w:t>tiesne</w:t>
      </w:r>
      <w:r w:rsidR="00435162">
        <w:t>ša</w:t>
      </w:r>
      <w:r>
        <w:t xml:space="preserve"> 2023</w:t>
      </w:r>
      <w:r w:rsidRPr="002D3330">
        <w:t xml:space="preserve">.gada </w:t>
      </w:r>
      <w:r>
        <w:t>25.maija lēmumu</w:t>
      </w:r>
      <w:r w:rsidRPr="002D3330">
        <w:t xml:space="preserve"> daļā, ar kuru atteikts pieņemt </w:t>
      </w:r>
      <w:r w:rsidR="0005297A">
        <w:t>[pers. A]</w:t>
      </w:r>
      <w:r w:rsidR="0005297A">
        <w:t xml:space="preserve"> </w:t>
      </w:r>
      <w:r w:rsidR="00451D17">
        <w:t xml:space="preserve">pieteikumu daļā </w:t>
      </w:r>
      <w:r w:rsidR="00451D17" w:rsidRPr="00451D17">
        <w:t xml:space="preserve">par atbildes sniegšanu uz šādiem jautājumiem: </w:t>
      </w:r>
      <w:r w:rsidR="004256CB">
        <w:t>„1) Kāds ir [</w:t>
      </w:r>
      <w:r w:rsidR="004256CB" w:rsidRPr="005B2765">
        <w:rPr>
          <w:i/>
          <w:iCs/>
        </w:rPr>
        <w:t>ministrijas</w:t>
      </w:r>
      <w:r w:rsidR="004256CB">
        <w:t xml:space="preserve">] skaidrojums </w:t>
      </w:r>
      <w:r w:rsidR="004256CB" w:rsidRPr="00586491">
        <w:t>par to, kāpēc pieteicējs pusotra gada laikā netika pārcelts dienesta turpināšanai uz citu dienesta vietu, kā tas tika lūgts dienesta sūdzībā</w:t>
      </w:r>
      <w:r w:rsidR="004256CB">
        <w:t>?; 2) Vai šāda situācija atbilst [</w:t>
      </w:r>
      <w:r w:rsidR="004256CB" w:rsidRPr="005B2765">
        <w:rPr>
          <w:i/>
          <w:iCs/>
        </w:rPr>
        <w:t>Nacionālo bruņoto spēku</w:t>
      </w:r>
      <w:r w:rsidR="004256CB">
        <w:t>]</w:t>
      </w:r>
      <w:r w:rsidR="004256CB" w:rsidRPr="001D037A">
        <w:t xml:space="preserve"> </w:t>
      </w:r>
      <w:r w:rsidR="004256CB" w:rsidRPr="00586491">
        <w:t xml:space="preserve">personāla plānošanas politikai (karavīrs ilgstoši nepilda sava amata pienākumus, tiek iesaistīts tādu uzdevumu izpildē, kas neatbilst viņa iepriekšējai pieredzei, vakantajos amatos, kuros tas varētu sniegt lielāku ieguldījumu </w:t>
      </w:r>
      <w:r w:rsidR="004256CB">
        <w:t>[</w:t>
      </w:r>
      <w:r w:rsidR="004256CB" w:rsidRPr="005B2765">
        <w:rPr>
          <w:i/>
          <w:iCs/>
        </w:rPr>
        <w:t>Nacionālo bruņoto spēku</w:t>
      </w:r>
      <w:r w:rsidR="004256CB">
        <w:t>]</w:t>
      </w:r>
      <w:r w:rsidR="004256CB" w:rsidRPr="001D037A">
        <w:t xml:space="preserve"> </w:t>
      </w:r>
      <w:r w:rsidR="004256CB" w:rsidRPr="00586491">
        <w:t>attīstībā, tas apzināti netiek iecelts</w:t>
      </w:r>
      <w:r w:rsidR="004256CB">
        <w:t>)?; 3) </w:t>
      </w:r>
      <w:r w:rsidR="004256CB" w:rsidRPr="00586491">
        <w:t xml:space="preserve">Kā </w:t>
      </w:r>
      <w:r w:rsidR="004256CB">
        <w:t>[</w:t>
      </w:r>
      <w:r w:rsidR="004256CB" w:rsidRPr="005B2765">
        <w:rPr>
          <w:i/>
          <w:iCs/>
        </w:rPr>
        <w:t>ministrija</w:t>
      </w:r>
      <w:r w:rsidR="004256CB">
        <w:t>]</w:t>
      </w:r>
      <w:r w:rsidR="004256CB" w:rsidRPr="00586491">
        <w:t xml:space="preserve"> vērtē </w:t>
      </w:r>
      <w:r w:rsidR="004256CB">
        <w:t>[</w:t>
      </w:r>
      <w:r w:rsidR="004256CB" w:rsidRPr="005B2765">
        <w:rPr>
          <w:i/>
          <w:iCs/>
        </w:rPr>
        <w:t>Nacionālo bruņoto spēku</w:t>
      </w:r>
      <w:r w:rsidR="004256CB">
        <w:t>]</w:t>
      </w:r>
      <w:r w:rsidR="004256CB" w:rsidRPr="001D037A">
        <w:t xml:space="preserve"> </w:t>
      </w:r>
      <w:r w:rsidR="004256CB" w:rsidRPr="00586491">
        <w:t>komandiera rīcību – dēla nenorādīšanu ikgadējās amatpersonas deklarācijās līdz 2015.gadam (ja rakstā minētā informācija par tā dēlu ir patiesa)?</w:t>
      </w:r>
      <w:r w:rsidR="004256CB">
        <w:t>”</w:t>
      </w:r>
      <w:r w:rsidR="00451D17">
        <w:t xml:space="preserve">, un </w:t>
      </w:r>
      <w:r w:rsidR="00687E61" w:rsidRPr="00687E61">
        <w:t xml:space="preserve">nosūtīt jautājumu par pieteikuma virzību </w:t>
      </w:r>
      <w:r w:rsidR="00687E61">
        <w:t xml:space="preserve">šajā daļā </w:t>
      </w:r>
      <w:r w:rsidR="00687E61" w:rsidRPr="00687E61">
        <w:t>jaunai izskatīšanai</w:t>
      </w:r>
      <w:r w:rsidR="00687E61">
        <w:t xml:space="preserve"> </w:t>
      </w:r>
      <w:r w:rsidR="00687E61" w:rsidRPr="00687E61">
        <w:t>Administratīvajā rajona tiesā;</w:t>
      </w:r>
    </w:p>
    <w:p w14:paraId="14E16733" w14:textId="3625459F" w:rsidR="00687E61" w:rsidRDefault="00687E61" w:rsidP="0005297A">
      <w:pPr>
        <w:shd w:val="clear" w:color="auto" w:fill="FFFFFF"/>
        <w:spacing w:line="276" w:lineRule="auto"/>
        <w:ind w:firstLine="720"/>
        <w:jc w:val="both"/>
      </w:pPr>
      <w:r w:rsidRPr="00687E61">
        <w:lastRenderedPageBreak/>
        <w:t xml:space="preserve">atmaksāt </w:t>
      </w:r>
      <w:r w:rsidR="0005297A">
        <w:t>[pers. A]</w:t>
      </w:r>
      <w:r w:rsidR="0005297A">
        <w:t xml:space="preserve"> </w:t>
      </w:r>
      <w:r w:rsidR="00451D17">
        <w:t>samaksāto</w:t>
      </w:r>
      <w:r w:rsidRPr="00687E61">
        <w:t xml:space="preserve"> drošības naudu</w:t>
      </w:r>
      <w:r w:rsidR="00451D17">
        <w:t xml:space="preserve"> </w:t>
      </w:r>
      <w:r w:rsidR="00451D17" w:rsidRPr="00687E61">
        <w:t xml:space="preserve">15 </w:t>
      </w:r>
      <w:proofErr w:type="spellStart"/>
      <w:r w:rsidR="00451D17" w:rsidRPr="00687E61">
        <w:rPr>
          <w:i/>
          <w:iCs/>
        </w:rPr>
        <w:t>euro</w:t>
      </w:r>
      <w:proofErr w:type="spellEnd"/>
      <w:r w:rsidR="00451D17">
        <w:t>.</w:t>
      </w:r>
    </w:p>
    <w:p w14:paraId="7089C6D5" w14:textId="77777777" w:rsidR="002D3330" w:rsidRDefault="002D3330" w:rsidP="0005297A">
      <w:pPr>
        <w:shd w:val="clear" w:color="auto" w:fill="FFFFFF"/>
        <w:spacing w:line="276" w:lineRule="auto"/>
        <w:ind w:firstLine="720"/>
        <w:jc w:val="both"/>
      </w:pPr>
    </w:p>
    <w:p w14:paraId="7201A2D6" w14:textId="2C2B0560" w:rsidR="002D3330" w:rsidRPr="002D3330" w:rsidRDefault="002D3330" w:rsidP="0005297A">
      <w:pPr>
        <w:shd w:val="clear" w:color="auto" w:fill="FFFFFF"/>
        <w:spacing w:line="276" w:lineRule="auto"/>
        <w:ind w:firstLine="720"/>
        <w:jc w:val="both"/>
      </w:pPr>
      <w:r w:rsidRPr="002D3330">
        <w:t>Lēmums nav pārsūdzams.</w:t>
      </w:r>
    </w:p>
    <w:p w14:paraId="7C2A4349" w14:textId="77777777" w:rsidR="002D3330" w:rsidRDefault="002D3330" w:rsidP="002D3330">
      <w:pPr>
        <w:shd w:val="clear" w:color="auto" w:fill="FFFFFF"/>
        <w:spacing w:line="276" w:lineRule="auto"/>
        <w:jc w:val="both"/>
        <w:rPr>
          <w:b/>
        </w:rPr>
      </w:pPr>
    </w:p>
    <w:p w14:paraId="2A3B3258" w14:textId="77777777" w:rsidR="005A575F" w:rsidRDefault="005A575F" w:rsidP="002D3330">
      <w:pPr>
        <w:shd w:val="clear" w:color="auto" w:fill="FFFFFF"/>
        <w:spacing w:line="276" w:lineRule="auto"/>
        <w:jc w:val="both"/>
        <w:rPr>
          <w:b/>
        </w:rPr>
      </w:pPr>
    </w:p>
    <w:p w14:paraId="1B2D509E" w14:textId="77777777" w:rsidR="005A575F" w:rsidRPr="00A53E41" w:rsidRDefault="005A575F" w:rsidP="002D3330">
      <w:pPr>
        <w:shd w:val="clear" w:color="auto" w:fill="FFFFFF"/>
        <w:spacing w:line="276" w:lineRule="auto"/>
        <w:jc w:val="both"/>
        <w:rPr>
          <w:b/>
        </w:rPr>
      </w:pPr>
    </w:p>
    <w:p w14:paraId="6E71DD63" w14:textId="77777777" w:rsidR="00447EE6" w:rsidRPr="007B28BC" w:rsidRDefault="00447EE6" w:rsidP="002D3330">
      <w:pPr>
        <w:spacing w:line="276" w:lineRule="auto"/>
        <w:ind w:firstLine="709"/>
        <w:jc w:val="both"/>
      </w:pPr>
    </w:p>
    <w:p w14:paraId="049D1CB4" w14:textId="77777777" w:rsidR="00447EE6" w:rsidRPr="005E392D" w:rsidRDefault="00447EE6" w:rsidP="00DB52C9">
      <w:pPr>
        <w:tabs>
          <w:tab w:val="left" w:pos="2880"/>
        </w:tabs>
        <w:spacing w:line="276" w:lineRule="auto"/>
        <w:jc w:val="both"/>
      </w:pPr>
    </w:p>
    <w:sectPr w:rsidR="00447EE6" w:rsidRPr="005E392D" w:rsidSect="00EA77B9">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801C" w14:textId="77777777" w:rsidR="008F463F" w:rsidRDefault="008F463F" w:rsidP="005A2D20">
      <w:r>
        <w:separator/>
      </w:r>
    </w:p>
  </w:endnote>
  <w:endnote w:type="continuationSeparator" w:id="0">
    <w:p w14:paraId="03E5CBDF" w14:textId="77777777" w:rsidR="008F463F" w:rsidRDefault="008F463F" w:rsidP="005A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28231329"/>
      <w:docPartObj>
        <w:docPartGallery w:val="Page Numbers (Bottom of Page)"/>
        <w:docPartUnique/>
      </w:docPartObj>
    </w:sdtPr>
    <w:sdtEndPr>
      <w:rPr>
        <w:noProof/>
      </w:rPr>
    </w:sdtEndPr>
    <w:sdtContent>
      <w:p w14:paraId="7446A34A" w14:textId="2F845083" w:rsidR="005A2D20" w:rsidRPr="005A2D20" w:rsidRDefault="005A2D20" w:rsidP="00DC371A">
        <w:pPr>
          <w:pStyle w:val="Footer"/>
          <w:jc w:val="center"/>
          <w:rPr>
            <w:noProof/>
            <w:sz w:val="20"/>
          </w:rPr>
        </w:pPr>
        <w:r w:rsidRPr="005A2D20">
          <w:rPr>
            <w:sz w:val="20"/>
          </w:rPr>
          <w:fldChar w:fldCharType="begin"/>
        </w:r>
        <w:r w:rsidRPr="005A2D20">
          <w:rPr>
            <w:sz w:val="20"/>
          </w:rPr>
          <w:instrText xml:space="preserve"> PAGE   \* MERGEFORMAT </w:instrText>
        </w:r>
        <w:r w:rsidRPr="005A2D20">
          <w:rPr>
            <w:sz w:val="20"/>
          </w:rPr>
          <w:fldChar w:fldCharType="separate"/>
        </w:r>
        <w:r w:rsidR="005803E4">
          <w:rPr>
            <w:noProof/>
            <w:sz w:val="20"/>
          </w:rPr>
          <w:t>5</w:t>
        </w:r>
        <w:r w:rsidRPr="005A2D20">
          <w:rPr>
            <w:noProof/>
            <w:sz w:val="20"/>
          </w:rPr>
          <w:fldChar w:fldCharType="end"/>
        </w:r>
        <w:r w:rsidR="00DC371A">
          <w:rPr>
            <w:noProof/>
            <w:sz w:val="20"/>
          </w:rPr>
          <w:t xml:space="preserve"> no 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6669" w14:textId="77777777" w:rsidR="008F463F" w:rsidRDefault="008F463F" w:rsidP="005A2D20">
      <w:r>
        <w:separator/>
      </w:r>
    </w:p>
  </w:footnote>
  <w:footnote w:type="continuationSeparator" w:id="0">
    <w:p w14:paraId="7135FEE9" w14:textId="77777777" w:rsidR="008F463F" w:rsidRDefault="008F463F" w:rsidP="005A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1B9A"/>
    <w:multiLevelType w:val="hybridMultilevel"/>
    <w:tmpl w:val="BAF600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3A254E9"/>
    <w:multiLevelType w:val="hybridMultilevel"/>
    <w:tmpl w:val="F6A48B68"/>
    <w:lvl w:ilvl="0" w:tplc="A2089926">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62835931">
    <w:abstractNumId w:val="1"/>
  </w:num>
  <w:num w:numId="2" w16cid:durableId="884802670">
    <w:abstractNumId w:val="2"/>
  </w:num>
  <w:num w:numId="3" w16cid:durableId="6619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35952"/>
    <w:rsid w:val="0005297A"/>
    <w:rsid w:val="00063F27"/>
    <w:rsid w:val="00085856"/>
    <w:rsid w:val="00092702"/>
    <w:rsid w:val="000E3FD5"/>
    <w:rsid w:val="000F3E89"/>
    <w:rsid w:val="00102B1F"/>
    <w:rsid w:val="001150CD"/>
    <w:rsid w:val="00133705"/>
    <w:rsid w:val="00177A7F"/>
    <w:rsid w:val="001A2A46"/>
    <w:rsid w:val="001B006A"/>
    <w:rsid w:val="001B1882"/>
    <w:rsid w:val="001C3B48"/>
    <w:rsid w:val="001D037A"/>
    <w:rsid w:val="001D24BC"/>
    <w:rsid w:val="001D454A"/>
    <w:rsid w:val="001D6946"/>
    <w:rsid w:val="001E1046"/>
    <w:rsid w:val="001F1D40"/>
    <w:rsid w:val="001F6AF1"/>
    <w:rsid w:val="00232EE1"/>
    <w:rsid w:val="0026066E"/>
    <w:rsid w:val="002D3330"/>
    <w:rsid w:val="002D634C"/>
    <w:rsid w:val="00304731"/>
    <w:rsid w:val="0030528F"/>
    <w:rsid w:val="00306235"/>
    <w:rsid w:val="003134A8"/>
    <w:rsid w:val="0035136D"/>
    <w:rsid w:val="00351815"/>
    <w:rsid w:val="0037485C"/>
    <w:rsid w:val="0039159D"/>
    <w:rsid w:val="003A1AD2"/>
    <w:rsid w:val="003A219D"/>
    <w:rsid w:val="003B4AC6"/>
    <w:rsid w:val="003C31D6"/>
    <w:rsid w:val="003D4614"/>
    <w:rsid w:val="004256CB"/>
    <w:rsid w:val="00435162"/>
    <w:rsid w:val="00441804"/>
    <w:rsid w:val="00447CB0"/>
    <w:rsid w:val="00447EE6"/>
    <w:rsid w:val="00451D17"/>
    <w:rsid w:val="004755DF"/>
    <w:rsid w:val="004B2A94"/>
    <w:rsid w:val="004C359D"/>
    <w:rsid w:val="004C7048"/>
    <w:rsid w:val="00520B22"/>
    <w:rsid w:val="00525208"/>
    <w:rsid w:val="00532D78"/>
    <w:rsid w:val="00547C02"/>
    <w:rsid w:val="005624EE"/>
    <w:rsid w:val="00567624"/>
    <w:rsid w:val="005803E4"/>
    <w:rsid w:val="00586491"/>
    <w:rsid w:val="00586A5A"/>
    <w:rsid w:val="005A2D20"/>
    <w:rsid w:val="005A575F"/>
    <w:rsid w:val="005B2765"/>
    <w:rsid w:val="005D3FA4"/>
    <w:rsid w:val="005F17E9"/>
    <w:rsid w:val="006135CD"/>
    <w:rsid w:val="006266C1"/>
    <w:rsid w:val="00654ED7"/>
    <w:rsid w:val="006556AA"/>
    <w:rsid w:val="00684FE5"/>
    <w:rsid w:val="00687E61"/>
    <w:rsid w:val="006E5B90"/>
    <w:rsid w:val="00706CFE"/>
    <w:rsid w:val="00724516"/>
    <w:rsid w:val="00773BEB"/>
    <w:rsid w:val="007A06AC"/>
    <w:rsid w:val="007A6C04"/>
    <w:rsid w:val="007B7290"/>
    <w:rsid w:val="007B7617"/>
    <w:rsid w:val="007C283F"/>
    <w:rsid w:val="007E35BD"/>
    <w:rsid w:val="00807CFC"/>
    <w:rsid w:val="0087363F"/>
    <w:rsid w:val="00874CFB"/>
    <w:rsid w:val="008C170E"/>
    <w:rsid w:val="008C4442"/>
    <w:rsid w:val="008C57DE"/>
    <w:rsid w:val="008F0317"/>
    <w:rsid w:val="008F3A36"/>
    <w:rsid w:val="008F463F"/>
    <w:rsid w:val="00936E13"/>
    <w:rsid w:val="009441B2"/>
    <w:rsid w:val="00956965"/>
    <w:rsid w:val="00967BD9"/>
    <w:rsid w:val="00997E65"/>
    <w:rsid w:val="009A4AD5"/>
    <w:rsid w:val="009B746A"/>
    <w:rsid w:val="009E6C93"/>
    <w:rsid w:val="009F16D0"/>
    <w:rsid w:val="009F16E2"/>
    <w:rsid w:val="00A2188E"/>
    <w:rsid w:val="00A24BDB"/>
    <w:rsid w:val="00A56BFC"/>
    <w:rsid w:val="00A77992"/>
    <w:rsid w:val="00B01089"/>
    <w:rsid w:val="00B04D09"/>
    <w:rsid w:val="00B04FB6"/>
    <w:rsid w:val="00B316C2"/>
    <w:rsid w:val="00B54F4B"/>
    <w:rsid w:val="00B756C3"/>
    <w:rsid w:val="00B76EB4"/>
    <w:rsid w:val="00BC104B"/>
    <w:rsid w:val="00C37360"/>
    <w:rsid w:val="00C5023B"/>
    <w:rsid w:val="00C60316"/>
    <w:rsid w:val="00C63A42"/>
    <w:rsid w:val="00C63B57"/>
    <w:rsid w:val="00C91B81"/>
    <w:rsid w:val="00CE65F6"/>
    <w:rsid w:val="00CF73D1"/>
    <w:rsid w:val="00D03930"/>
    <w:rsid w:val="00D13EF5"/>
    <w:rsid w:val="00D15362"/>
    <w:rsid w:val="00D31995"/>
    <w:rsid w:val="00DB52C9"/>
    <w:rsid w:val="00DC371A"/>
    <w:rsid w:val="00DD109F"/>
    <w:rsid w:val="00DD2166"/>
    <w:rsid w:val="00DD22DA"/>
    <w:rsid w:val="00E044C5"/>
    <w:rsid w:val="00E41744"/>
    <w:rsid w:val="00E63E0C"/>
    <w:rsid w:val="00E66D9E"/>
    <w:rsid w:val="00E93B79"/>
    <w:rsid w:val="00EA77B9"/>
    <w:rsid w:val="00EB32AC"/>
    <w:rsid w:val="00F04DAA"/>
    <w:rsid w:val="00F40235"/>
    <w:rsid w:val="00F434F6"/>
    <w:rsid w:val="00F436DB"/>
    <w:rsid w:val="00F475DB"/>
    <w:rsid w:val="00F61873"/>
    <w:rsid w:val="00FB67AD"/>
    <w:rsid w:val="00FE1C38"/>
    <w:rsid w:val="00FE4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5A2D20"/>
    <w:pPr>
      <w:tabs>
        <w:tab w:val="center" w:pos="4153"/>
        <w:tab w:val="right" w:pos="8306"/>
      </w:tabs>
    </w:pPr>
  </w:style>
  <w:style w:type="character" w:customStyle="1" w:styleId="HeaderChar">
    <w:name w:val="Header Char"/>
    <w:basedOn w:val="DefaultParagraphFont"/>
    <w:link w:val="Header"/>
    <w:uiPriority w:val="99"/>
    <w:rsid w:val="005A2D20"/>
    <w:rPr>
      <w:rFonts w:eastAsia="Times New Roman" w:cs="Times New Roman"/>
      <w:szCs w:val="24"/>
      <w:lang w:val="lv-LV" w:eastAsia="ru-RU"/>
    </w:rPr>
  </w:style>
  <w:style w:type="paragraph" w:styleId="Footer">
    <w:name w:val="footer"/>
    <w:basedOn w:val="Normal"/>
    <w:link w:val="FooterChar"/>
    <w:uiPriority w:val="99"/>
    <w:unhideWhenUsed/>
    <w:rsid w:val="005A2D20"/>
    <w:pPr>
      <w:tabs>
        <w:tab w:val="center" w:pos="4153"/>
        <w:tab w:val="right" w:pos="8306"/>
      </w:tabs>
    </w:pPr>
  </w:style>
  <w:style w:type="character" w:customStyle="1" w:styleId="FooterChar">
    <w:name w:val="Footer Char"/>
    <w:basedOn w:val="DefaultParagraphFont"/>
    <w:link w:val="Footer"/>
    <w:uiPriority w:val="99"/>
    <w:rsid w:val="005A2D20"/>
    <w:rPr>
      <w:rFonts w:eastAsia="Times New Roman" w:cs="Times New Roman"/>
      <w:szCs w:val="24"/>
      <w:lang w:val="lv-LV" w:eastAsia="ru-RU"/>
    </w:rPr>
  </w:style>
  <w:style w:type="paragraph" w:styleId="ListParagraph">
    <w:name w:val="List Paragraph"/>
    <w:basedOn w:val="Normal"/>
    <w:uiPriority w:val="34"/>
    <w:qFormat/>
    <w:rsid w:val="00E41744"/>
    <w:pPr>
      <w:ind w:left="720"/>
      <w:contextualSpacing/>
    </w:pPr>
  </w:style>
  <w:style w:type="character" w:styleId="Hyperlink">
    <w:name w:val="Hyperlink"/>
    <w:basedOn w:val="DefaultParagraphFont"/>
    <w:uiPriority w:val="99"/>
    <w:unhideWhenUsed/>
    <w:rsid w:val="006556AA"/>
    <w:rPr>
      <w:color w:val="0563C1" w:themeColor="hyperlink"/>
      <w:u w:val="single"/>
    </w:rPr>
  </w:style>
  <w:style w:type="character" w:styleId="FollowedHyperlink">
    <w:name w:val="FollowedHyperlink"/>
    <w:basedOn w:val="DefaultParagraphFont"/>
    <w:uiPriority w:val="99"/>
    <w:semiHidden/>
    <w:unhideWhenUsed/>
    <w:rsid w:val="00C63B57"/>
    <w:rPr>
      <w:color w:val="954F72" w:themeColor="followedHyperlink"/>
      <w:u w:val="single"/>
    </w:rPr>
  </w:style>
  <w:style w:type="character" w:styleId="CommentReference">
    <w:name w:val="annotation reference"/>
    <w:basedOn w:val="DefaultParagraphFont"/>
    <w:uiPriority w:val="99"/>
    <w:semiHidden/>
    <w:unhideWhenUsed/>
    <w:rsid w:val="00A2188E"/>
    <w:rPr>
      <w:sz w:val="16"/>
      <w:szCs w:val="16"/>
    </w:rPr>
  </w:style>
  <w:style w:type="paragraph" w:styleId="CommentText">
    <w:name w:val="annotation text"/>
    <w:basedOn w:val="Normal"/>
    <w:link w:val="CommentTextChar"/>
    <w:uiPriority w:val="99"/>
    <w:semiHidden/>
    <w:unhideWhenUsed/>
    <w:rsid w:val="00A2188E"/>
    <w:rPr>
      <w:sz w:val="20"/>
      <w:szCs w:val="20"/>
    </w:rPr>
  </w:style>
  <w:style w:type="character" w:customStyle="1" w:styleId="CommentTextChar">
    <w:name w:val="Comment Text Char"/>
    <w:basedOn w:val="DefaultParagraphFont"/>
    <w:link w:val="CommentText"/>
    <w:uiPriority w:val="99"/>
    <w:semiHidden/>
    <w:rsid w:val="00A2188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2188E"/>
    <w:rPr>
      <w:b/>
      <w:bCs/>
    </w:rPr>
  </w:style>
  <w:style w:type="character" w:customStyle="1" w:styleId="CommentSubjectChar">
    <w:name w:val="Comment Subject Char"/>
    <w:basedOn w:val="CommentTextChar"/>
    <w:link w:val="CommentSubject"/>
    <w:uiPriority w:val="99"/>
    <w:semiHidden/>
    <w:rsid w:val="00A2188E"/>
    <w:rPr>
      <w:rFonts w:eastAsia="Times New Roman" w:cs="Times New Roman"/>
      <w:b/>
      <w:bCs/>
      <w:sz w:val="20"/>
      <w:szCs w:val="20"/>
      <w:lang w:val="lv-LV" w:eastAsia="ru-RU"/>
    </w:rPr>
  </w:style>
  <w:style w:type="paragraph" w:styleId="Revision">
    <w:name w:val="Revision"/>
    <w:hidden/>
    <w:uiPriority w:val="99"/>
    <w:semiHidden/>
    <w:rsid w:val="00A2188E"/>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D31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95"/>
    <w:rPr>
      <w:rFonts w:ascii="Segoe UI" w:eastAsia="Times New Roman" w:hAnsi="Segoe UI" w:cs="Segoe UI"/>
      <w:sz w:val="18"/>
      <w:szCs w:val="18"/>
      <w:lang w:val="lv-LV" w:eastAsia="ru-RU"/>
    </w:rPr>
  </w:style>
  <w:style w:type="character" w:styleId="UnresolvedMention">
    <w:name w:val="Unresolved Mention"/>
    <w:basedOn w:val="DefaultParagraphFont"/>
    <w:uiPriority w:val="99"/>
    <w:semiHidden/>
    <w:unhideWhenUsed/>
    <w:rsid w:val="00052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7813">
      <w:bodyDiv w:val="1"/>
      <w:marLeft w:val="0"/>
      <w:marRight w:val="0"/>
      <w:marTop w:val="0"/>
      <w:marBottom w:val="0"/>
      <w:divBdr>
        <w:top w:val="none" w:sz="0" w:space="0" w:color="auto"/>
        <w:left w:val="none" w:sz="0" w:space="0" w:color="auto"/>
        <w:bottom w:val="none" w:sz="0" w:space="0" w:color="auto"/>
        <w:right w:val="none" w:sz="0" w:space="0" w:color="auto"/>
      </w:divBdr>
    </w:div>
    <w:div w:id="1003439918">
      <w:bodyDiv w:val="1"/>
      <w:marLeft w:val="0"/>
      <w:marRight w:val="0"/>
      <w:marTop w:val="0"/>
      <w:marBottom w:val="0"/>
      <w:divBdr>
        <w:top w:val="none" w:sz="0" w:space="0" w:color="auto"/>
        <w:left w:val="none" w:sz="0" w:space="0" w:color="auto"/>
        <w:bottom w:val="none" w:sz="0" w:space="0" w:color="auto"/>
        <w:right w:val="none" w:sz="0" w:space="0" w:color="auto"/>
      </w:divBdr>
    </w:div>
    <w:div w:id="1235819353">
      <w:bodyDiv w:val="1"/>
      <w:marLeft w:val="0"/>
      <w:marRight w:val="0"/>
      <w:marTop w:val="0"/>
      <w:marBottom w:val="0"/>
      <w:divBdr>
        <w:top w:val="none" w:sz="0" w:space="0" w:color="auto"/>
        <w:left w:val="none" w:sz="0" w:space="0" w:color="auto"/>
        <w:bottom w:val="none" w:sz="0" w:space="0" w:color="auto"/>
        <w:right w:val="none" w:sz="0" w:space="0" w:color="auto"/>
      </w:divBdr>
    </w:div>
    <w:div w:id="18117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11988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18952.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2:0523.A420188821.6.L" TargetMode="External"/><Relationship Id="rId5" Type="http://schemas.openxmlformats.org/officeDocument/2006/relationships/footnotes" Target="footnotes.xml"/><Relationship Id="rId10" Type="http://schemas.openxmlformats.org/officeDocument/2006/relationships/hyperlink" Target="https://manas.tiesas.lv/eTiesasMvc/eclinolemumi/ECLI:LV:AT:2021:0521.SKA093221.3.L"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9:1217.SKA168719.4.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9863</Words>
  <Characters>5623</Characters>
  <Application>Microsoft Office Word</Application>
  <DocSecurity>0</DocSecurity>
  <Lines>46</Lines>
  <Paragraphs>30</Paragraphs>
  <ScaleCrop>false</ScaleCrop>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2024-03-19T13:46:00Z</dcterms:created>
  <dcterms:modified xsi:type="dcterms:W3CDTF">2024-03-19T13:46:00Z</dcterms:modified>
</cp:coreProperties>
</file>