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237F" w14:textId="6B137A2E" w:rsidR="00447EE6" w:rsidRDefault="00962E4C" w:rsidP="00962E4C">
      <w:pPr>
        <w:autoSpaceDE w:val="0"/>
        <w:autoSpaceDN w:val="0"/>
        <w:adjustRightInd w:val="0"/>
        <w:spacing w:line="276" w:lineRule="auto"/>
        <w:jc w:val="both"/>
      </w:pPr>
      <w:r>
        <w:rPr>
          <w:b/>
          <w:bCs/>
        </w:rPr>
        <w:t xml:space="preserve">Tiesas sēdē nenopratināta </w:t>
      </w:r>
      <w:r>
        <w:rPr>
          <w:b/>
          <w:bCs/>
          <w:noProof/>
        </w:rPr>
        <w:t>liecinieka pirmstiesas</w:t>
      </w:r>
      <w:r>
        <w:rPr>
          <w:b/>
          <w:bCs/>
        </w:rPr>
        <w:t xml:space="preserve"> kriminālprocesā sniegto liecību izmantošana sprieduma pamatošanā</w:t>
      </w:r>
    </w:p>
    <w:p w14:paraId="5E4B2494" w14:textId="77777777" w:rsidR="00962E4C" w:rsidRPr="00011547" w:rsidRDefault="00962E4C" w:rsidP="00962E4C">
      <w:pPr>
        <w:autoSpaceDE w:val="0"/>
        <w:autoSpaceDN w:val="0"/>
        <w:adjustRightInd w:val="0"/>
        <w:spacing w:line="276" w:lineRule="auto"/>
        <w:jc w:val="both"/>
      </w:pPr>
    </w:p>
    <w:p w14:paraId="1BDB080E" w14:textId="77777777" w:rsidR="00962E4C" w:rsidRPr="00962E4C" w:rsidRDefault="00447EE6" w:rsidP="00E27F3F">
      <w:pPr>
        <w:spacing w:line="276" w:lineRule="auto"/>
        <w:jc w:val="center"/>
        <w:rPr>
          <w:rFonts w:asciiTheme="majorBidi" w:hAnsiTheme="majorBidi" w:cstheme="majorBidi"/>
          <w:b/>
        </w:rPr>
      </w:pPr>
      <w:r w:rsidRPr="00962E4C">
        <w:rPr>
          <w:rFonts w:asciiTheme="majorBidi" w:hAnsiTheme="majorBidi" w:cstheme="majorBidi"/>
          <w:b/>
        </w:rPr>
        <w:t>Latvijas Republikas Senāt</w:t>
      </w:r>
      <w:r w:rsidR="00962E4C" w:rsidRPr="00962E4C">
        <w:rPr>
          <w:rFonts w:asciiTheme="majorBidi" w:hAnsiTheme="majorBidi" w:cstheme="majorBidi"/>
          <w:b/>
        </w:rPr>
        <w:t xml:space="preserve">a </w:t>
      </w:r>
    </w:p>
    <w:p w14:paraId="04561A5A" w14:textId="77777777" w:rsidR="00962E4C" w:rsidRPr="00962E4C" w:rsidRDefault="00962E4C" w:rsidP="00E27F3F">
      <w:pPr>
        <w:spacing w:line="276" w:lineRule="auto"/>
        <w:jc w:val="center"/>
        <w:rPr>
          <w:rFonts w:asciiTheme="majorBidi" w:hAnsiTheme="majorBidi" w:cstheme="majorBidi"/>
          <w:b/>
        </w:rPr>
      </w:pPr>
      <w:r w:rsidRPr="00962E4C">
        <w:rPr>
          <w:rFonts w:asciiTheme="majorBidi" w:hAnsiTheme="majorBidi" w:cstheme="majorBidi"/>
          <w:b/>
        </w:rPr>
        <w:t>Krimināllietu departamenta</w:t>
      </w:r>
    </w:p>
    <w:p w14:paraId="30EF74F0" w14:textId="6E77C88F" w:rsidR="00447EE6" w:rsidRPr="00962E4C" w:rsidRDefault="00962E4C" w:rsidP="00E27F3F">
      <w:pPr>
        <w:spacing w:line="276" w:lineRule="auto"/>
        <w:jc w:val="center"/>
        <w:rPr>
          <w:rFonts w:asciiTheme="majorBidi" w:hAnsiTheme="majorBidi" w:cstheme="majorBidi"/>
          <w:b/>
        </w:rPr>
      </w:pPr>
      <w:r w:rsidRPr="00962E4C">
        <w:rPr>
          <w:rFonts w:asciiTheme="majorBidi" w:hAnsiTheme="majorBidi" w:cstheme="majorBidi"/>
          <w:b/>
        </w:rPr>
        <w:t>2024. gada 29. februāra</w:t>
      </w:r>
    </w:p>
    <w:p w14:paraId="4A38159C" w14:textId="77777777" w:rsidR="003F196B" w:rsidRPr="00962E4C" w:rsidRDefault="003F196B" w:rsidP="00E27F3F">
      <w:pPr>
        <w:spacing w:line="276" w:lineRule="auto"/>
        <w:jc w:val="center"/>
        <w:rPr>
          <w:rFonts w:asciiTheme="majorBidi" w:hAnsiTheme="majorBidi" w:cstheme="majorBidi"/>
          <w:b/>
        </w:rPr>
      </w:pPr>
      <w:r w:rsidRPr="00962E4C">
        <w:rPr>
          <w:rFonts w:asciiTheme="majorBidi" w:hAnsiTheme="majorBidi" w:cstheme="majorBidi"/>
          <w:b/>
        </w:rPr>
        <w:t>LĒMUMS</w:t>
      </w:r>
    </w:p>
    <w:p w14:paraId="781D45C0" w14:textId="21F270A3" w:rsidR="00447EE6" w:rsidRPr="00962E4C" w:rsidRDefault="00962E4C" w:rsidP="00E27F3F">
      <w:pPr>
        <w:spacing w:line="276" w:lineRule="auto"/>
        <w:jc w:val="center"/>
        <w:rPr>
          <w:rFonts w:asciiTheme="majorBidi" w:hAnsiTheme="majorBidi" w:cstheme="majorBidi"/>
        </w:rPr>
      </w:pPr>
      <w:r w:rsidRPr="00962E4C">
        <w:rPr>
          <w:rFonts w:asciiTheme="majorBidi" w:hAnsiTheme="majorBidi" w:cstheme="majorBidi"/>
          <w:b/>
          <w:color w:val="000000"/>
        </w:rPr>
        <w:t xml:space="preserve">Lieta </w:t>
      </w:r>
      <w:r w:rsidRPr="00962E4C">
        <w:rPr>
          <w:rFonts w:asciiTheme="majorBidi" w:hAnsiTheme="majorBidi" w:cstheme="majorBidi"/>
          <w:b/>
        </w:rPr>
        <w:t>Nr. 11261057020, SKK-36/2024</w:t>
      </w:r>
    </w:p>
    <w:p w14:paraId="323F3C01" w14:textId="456192B4" w:rsidR="00962E4C" w:rsidRPr="00962E4C" w:rsidRDefault="007B7543" w:rsidP="00E27F3F">
      <w:pPr>
        <w:spacing w:line="276" w:lineRule="auto"/>
        <w:jc w:val="center"/>
        <w:rPr>
          <w:rFonts w:asciiTheme="majorBidi" w:hAnsiTheme="majorBidi" w:cstheme="majorBidi"/>
        </w:rPr>
      </w:pPr>
      <w:hyperlink r:id="rId8" w:history="1">
        <w:r w:rsidR="00962E4C" w:rsidRPr="00962E4C">
          <w:rPr>
            <w:rStyle w:val="Hyperlink"/>
            <w:rFonts w:asciiTheme="majorBidi" w:hAnsiTheme="majorBidi" w:cstheme="majorBidi"/>
            <w:shd w:val="clear" w:color="auto" w:fill="FFFFFF"/>
          </w:rPr>
          <w:t>ECLI:LV:AT:2024:0229.11261057020.10.L</w:t>
        </w:r>
      </w:hyperlink>
    </w:p>
    <w:p w14:paraId="656568D2" w14:textId="77777777" w:rsidR="00E27F3F" w:rsidRDefault="00E27F3F" w:rsidP="00E27F3F">
      <w:pPr>
        <w:spacing w:line="276" w:lineRule="auto"/>
        <w:ind w:firstLine="720"/>
        <w:jc w:val="both"/>
      </w:pPr>
    </w:p>
    <w:p w14:paraId="1609D6F5" w14:textId="7EDF910F" w:rsidR="00447EE6" w:rsidRDefault="00E27F3F" w:rsidP="00E27F3F">
      <w:pPr>
        <w:spacing w:line="276" w:lineRule="auto"/>
        <w:ind w:firstLine="720"/>
        <w:jc w:val="both"/>
      </w:pPr>
      <w:r w:rsidRPr="00E27F3F">
        <w:t>Senāts šādā sastāvā: senatore referente Anita Poļakova, senatori Aivars Uminskis un Inese Laura Zemīte</w:t>
      </w:r>
    </w:p>
    <w:p w14:paraId="4DA90573" w14:textId="77777777" w:rsidR="00E27F3F" w:rsidRDefault="00E27F3F" w:rsidP="00E27F3F">
      <w:pPr>
        <w:spacing w:line="276" w:lineRule="auto"/>
        <w:ind w:firstLine="720"/>
        <w:jc w:val="both"/>
      </w:pPr>
    </w:p>
    <w:p w14:paraId="61CCE95A" w14:textId="1FD7BCFC" w:rsidR="00E27F3F" w:rsidRDefault="00E27F3F" w:rsidP="00E27F3F">
      <w:pPr>
        <w:spacing w:line="276" w:lineRule="auto"/>
        <w:ind w:firstLine="720"/>
        <w:jc w:val="both"/>
        <w:rPr>
          <w:lang w:eastAsia="lv-LV"/>
        </w:rPr>
      </w:pPr>
      <w:r w:rsidRPr="00E27F3F">
        <w:rPr>
          <w:lang w:eastAsia="lv-LV"/>
        </w:rPr>
        <w:t xml:space="preserve">rakstveida procesā izskatīja krimināllietu sakarā ar apsūdzētā </w:t>
      </w:r>
      <w:r w:rsidR="00962E4C">
        <w:rPr>
          <w:lang w:eastAsia="lv-LV"/>
        </w:rPr>
        <w:t>[pers. A]</w:t>
      </w:r>
      <w:r w:rsidRPr="00E27F3F">
        <w:rPr>
          <w:lang w:eastAsia="lv-LV"/>
        </w:rPr>
        <w:t xml:space="preserve"> kasācijas sūdzību p</w:t>
      </w:r>
      <w:r>
        <w:rPr>
          <w:lang w:eastAsia="lv-LV"/>
        </w:rPr>
        <w:t>ar Kurzemes apgabaltiesas 2023. gada 7. </w:t>
      </w:r>
      <w:r w:rsidRPr="00E27F3F">
        <w:rPr>
          <w:lang w:eastAsia="lv-LV"/>
        </w:rPr>
        <w:t>jūnija spriedumu.</w:t>
      </w:r>
    </w:p>
    <w:p w14:paraId="52FF3D52" w14:textId="77777777" w:rsidR="00E27F3F" w:rsidRDefault="00E27F3F" w:rsidP="00E27F3F">
      <w:pPr>
        <w:spacing w:line="276" w:lineRule="auto"/>
        <w:ind w:firstLine="709"/>
        <w:jc w:val="center"/>
        <w:rPr>
          <w:b/>
        </w:rPr>
      </w:pPr>
    </w:p>
    <w:p w14:paraId="2C63ECDB" w14:textId="2311F830" w:rsidR="003F196B" w:rsidRPr="00E27F3F" w:rsidRDefault="00E27F3F" w:rsidP="00BF024E">
      <w:pPr>
        <w:spacing w:line="276" w:lineRule="auto"/>
        <w:jc w:val="center"/>
        <w:rPr>
          <w:b/>
        </w:rPr>
      </w:pPr>
      <w:r w:rsidRPr="00E27F3F">
        <w:rPr>
          <w:b/>
        </w:rPr>
        <w:t>Aprakstošā daļa</w:t>
      </w:r>
    </w:p>
    <w:p w14:paraId="24E05852" w14:textId="77777777" w:rsidR="00E27F3F" w:rsidRDefault="00E27F3F" w:rsidP="00E27F3F">
      <w:pPr>
        <w:spacing w:line="276" w:lineRule="auto"/>
        <w:ind w:firstLine="709"/>
        <w:jc w:val="both"/>
      </w:pPr>
    </w:p>
    <w:p w14:paraId="56BC4992" w14:textId="3B795C2B" w:rsidR="00E27F3F" w:rsidRDefault="00E27F3F" w:rsidP="00E27F3F">
      <w:pPr>
        <w:spacing w:line="276" w:lineRule="auto"/>
        <w:ind w:firstLine="709"/>
        <w:jc w:val="both"/>
      </w:pPr>
      <w:r>
        <w:t xml:space="preserve">[1] </w:t>
      </w:r>
      <w:r w:rsidR="00F869D5">
        <w:t>Ar Kurzemes rajona tiesas 2022. gada 12. </w:t>
      </w:r>
      <w:r>
        <w:t>septembra spriedumu</w:t>
      </w:r>
    </w:p>
    <w:p w14:paraId="105F3F48" w14:textId="39CF78AE" w:rsidR="00E27F3F" w:rsidRDefault="00E27F3F" w:rsidP="00E27F3F">
      <w:pPr>
        <w:spacing w:line="276" w:lineRule="auto"/>
        <w:ind w:firstLine="709"/>
        <w:jc w:val="both"/>
      </w:pPr>
      <w:r>
        <w:t xml:space="preserve">[1.1] </w:t>
      </w:r>
      <w:r w:rsidR="00962E4C">
        <w:t>[pers. A]</w:t>
      </w:r>
      <w:r>
        <w:t xml:space="preserve">, personas kods </w:t>
      </w:r>
      <w:r w:rsidR="00962E4C">
        <w:t>[..]</w:t>
      </w:r>
      <w:r>
        <w:t xml:space="preserve">, </w:t>
      </w:r>
    </w:p>
    <w:p w14:paraId="310B6D72" w14:textId="3C5518E9" w:rsidR="00E27F3F" w:rsidRDefault="00E27F3F" w:rsidP="00E27F3F">
      <w:pPr>
        <w:spacing w:line="276" w:lineRule="auto"/>
        <w:ind w:firstLine="709"/>
        <w:jc w:val="both"/>
      </w:pPr>
      <w:r>
        <w:t>atzīts par vainīgu Krimināllikuma 126. panta otrās daļas 3. punktā paredzētajā noziedzīgajā nodarījumā un sodīts ar sabiedrisko darbu 150</w:t>
      </w:r>
      <w:r w:rsidR="002F3C72">
        <w:t xml:space="preserve"> </w:t>
      </w:r>
      <w:r>
        <w:t>stundām.</w:t>
      </w:r>
    </w:p>
    <w:p w14:paraId="2A01C160" w14:textId="53DD490A" w:rsidR="00E27F3F" w:rsidRDefault="00E27F3F" w:rsidP="00962E4C">
      <w:pPr>
        <w:spacing w:line="276" w:lineRule="auto"/>
        <w:ind w:firstLine="709"/>
        <w:jc w:val="both"/>
      </w:pPr>
      <w:r>
        <w:t xml:space="preserve">[1.2] Krimināllietā atzīts par vainīgu Krimināllikuma 126. panta otrās daļas 3. punktā paredzētajā noziedzīgajā nodarījumā un sodīts </w:t>
      </w:r>
      <w:r w:rsidR="00962E4C">
        <w:t>[pers. B]</w:t>
      </w:r>
      <w:r>
        <w:t xml:space="preserve">, personas kods </w:t>
      </w:r>
      <w:r w:rsidR="00962E4C">
        <w:t>[..]</w:t>
      </w:r>
      <w:r>
        <w:t>, par kuru tiesas spriedums kasācijas kārtībā nav pārsūdzēts.</w:t>
      </w:r>
    </w:p>
    <w:p w14:paraId="412F3D0E" w14:textId="77777777" w:rsidR="00E27F3F" w:rsidRDefault="00E27F3F" w:rsidP="00E27F3F">
      <w:pPr>
        <w:spacing w:line="276" w:lineRule="auto"/>
        <w:ind w:firstLine="709"/>
        <w:jc w:val="both"/>
      </w:pPr>
    </w:p>
    <w:p w14:paraId="1B7D8CD9" w14:textId="554B6CFB" w:rsidR="00E27F3F" w:rsidRDefault="00E27F3F" w:rsidP="00E27F3F">
      <w:pPr>
        <w:spacing w:line="276" w:lineRule="auto"/>
        <w:ind w:firstLine="709"/>
        <w:jc w:val="both"/>
      </w:pPr>
      <w:r w:rsidRPr="00E27F3F">
        <w:t>[2] Ar Kurzemes rajona tiesas 2022.</w:t>
      </w:r>
      <w:r>
        <w:t xml:space="preserve"> gada 12. septembra spriedumu </w:t>
      </w:r>
      <w:r w:rsidR="00962E4C">
        <w:t>[pers. A]</w:t>
      </w:r>
      <w:r w:rsidRPr="00E27F3F">
        <w:t xml:space="preserve"> atzīts par vainīgu un sodīts par to, ka viņš personu grupā tīši nodarīja vidēja smaguma miesas bojājumus.</w:t>
      </w:r>
    </w:p>
    <w:p w14:paraId="6EDEE0BD" w14:textId="77777777" w:rsidR="00E27F3F" w:rsidRDefault="00E27F3F" w:rsidP="00E27F3F">
      <w:pPr>
        <w:spacing w:line="276" w:lineRule="auto"/>
        <w:ind w:firstLine="709"/>
        <w:jc w:val="both"/>
      </w:pPr>
    </w:p>
    <w:p w14:paraId="00EA216C" w14:textId="42D5F87E" w:rsidR="00E27F3F" w:rsidRDefault="00E27F3F" w:rsidP="00962E4C">
      <w:pPr>
        <w:spacing w:line="276" w:lineRule="auto"/>
        <w:ind w:firstLine="709"/>
        <w:jc w:val="both"/>
      </w:pPr>
      <w:r>
        <w:t xml:space="preserve">[3] Ar Kurzemes apgabaltiesas 2023. gada 7. jūnija spriedumu, izskatot lietu sakarā ar apsūdzēto </w:t>
      </w:r>
      <w:r w:rsidR="00962E4C">
        <w:t>[pers. B]</w:t>
      </w:r>
      <w:r>
        <w:t xml:space="preserve"> un </w:t>
      </w:r>
      <w:r w:rsidR="00962E4C">
        <w:t>[pers. A]</w:t>
      </w:r>
      <w:r>
        <w:t xml:space="preserve"> aizstāvja </w:t>
      </w:r>
      <w:r w:rsidR="004C7FD7">
        <w:t xml:space="preserve">zvērināta advokāta </w:t>
      </w:r>
      <w:r>
        <w:t xml:space="preserve">Ērika Štālberga apelācijas sūdzību, Kurzemes rajona tiesas 2022. gada 12. septembra spriedums atcelts daļā par </w:t>
      </w:r>
      <w:r w:rsidR="00962E4C">
        <w:t>[pers. B]</w:t>
      </w:r>
      <w:r>
        <w:t xml:space="preserve"> un </w:t>
      </w:r>
      <w:r w:rsidR="00962E4C">
        <w:t>[pers. A]</w:t>
      </w:r>
      <w:r>
        <w:t xml:space="preserve"> atzīšanu par vainīgiem Krimināllikuma 126. panta otrās daļas 3. punktā paredzētajā noziedzīgajā nodarījumā un sodīšanu. </w:t>
      </w:r>
    </w:p>
    <w:p w14:paraId="6C855832" w14:textId="759600F6" w:rsidR="00E27F3F" w:rsidRDefault="00962E4C" w:rsidP="00962E4C">
      <w:pPr>
        <w:spacing w:line="276" w:lineRule="auto"/>
        <w:ind w:firstLine="709"/>
        <w:jc w:val="both"/>
      </w:pPr>
      <w:r>
        <w:t>[Pers. A]</w:t>
      </w:r>
      <w:r w:rsidR="00E27F3F">
        <w:t xml:space="preserve"> atzīts par vainīgu Krimināllikuma 126. panta otrās daļas 3. punktā paredzētajā noziedzīgajā nodarījumā un sodīts ar sabiedrisko darbu 100</w:t>
      </w:r>
      <w:r w:rsidR="002F3C72">
        <w:t xml:space="preserve"> </w:t>
      </w:r>
      <w:r w:rsidR="00E27F3F">
        <w:t>stundām.</w:t>
      </w:r>
    </w:p>
    <w:p w14:paraId="6A4DC81A" w14:textId="77777777" w:rsidR="002F3C72" w:rsidRDefault="002F3C72" w:rsidP="00E27F3F">
      <w:pPr>
        <w:spacing w:line="276" w:lineRule="auto"/>
        <w:ind w:firstLine="720"/>
        <w:jc w:val="both"/>
        <w:rPr>
          <w:rFonts w:asciiTheme="majorBidi" w:hAnsiTheme="majorBidi" w:cstheme="majorBidi"/>
        </w:rPr>
      </w:pPr>
    </w:p>
    <w:p w14:paraId="37FF3693" w14:textId="1DE076CD" w:rsidR="00E27F3F" w:rsidRPr="00EB4943" w:rsidRDefault="00E27F3F" w:rsidP="00962E4C">
      <w:pPr>
        <w:spacing w:line="276" w:lineRule="auto"/>
        <w:ind w:firstLine="720"/>
        <w:jc w:val="both"/>
      </w:pPr>
      <w:r w:rsidRPr="00EB4943">
        <w:rPr>
          <w:rFonts w:asciiTheme="majorBidi" w:hAnsiTheme="majorBidi" w:cstheme="majorBidi"/>
        </w:rPr>
        <w:t xml:space="preserve">[4] Par </w:t>
      </w:r>
      <w:r>
        <w:rPr>
          <w:rFonts w:asciiTheme="majorBidi" w:hAnsiTheme="majorBidi" w:cstheme="majorBidi"/>
        </w:rPr>
        <w:t>Kurzemes</w:t>
      </w:r>
      <w:r w:rsidRPr="00EB4943">
        <w:rPr>
          <w:rFonts w:asciiTheme="majorBidi" w:hAnsiTheme="majorBidi" w:cstheme="majorBidi"/>
        </w:rPr>
        <w:t xml:space="preserve"> apgabaltiesas 202</w:t>
      </w:r>
      <w:r>
        <w:rPr>
          <w:rFonts w:asciiTheme="majorBidi" w:hAnsiTheme="majorBidi" w:cstheme="majorBidi"/>
        </w:rPr>
        <w:t>3</w:t>
      </w:r>
      <w:r w:rsidRPr="00EB4943">
        <w:rPr>
          <w:rFonts w:asciiTheme="majorBidi" w:hAnsiTheme="majorBidi" w:cstheme="majorBidi"/>
        </w:rPr>
        <w:t xml:space="preserve">. gada </w:t>
      </w:r>
      <w:r>
        <w:rPr>
          <w:rFonts w:asciiTheme="majorBidi" w:hAnsiTheme="majorBidi" w:cstheme="majorBidi"/>
        </w:rPr>
        <w:t>7. jūnija</w:t>
      </w:r>
      <w:r w:rsidRPr="00EB4943">
        <w:rPr>
          <w:rFonts w:asciiTheme="majorBidi" w:hAnsiTheme="majorBidi" w:cstheme="majorBidi"/>
        </w:rPr>
        <w:t xml:space="preserve"> spriedumu apsūdzēt</w:t>
      </w:r>
      <w:r>
        <w:rPr>
          <w:rFonts w:asciiTheme="majorBidi" w:hAnsiTheme="majorBidi" w:cstheme="majorBidi"/>
        </w:rPr>
        <w:t>ais</w:t>
      </w:r>
      <w:r w:rsidRPr="00EB4943">
        <w:rPr>
          <w:rFonts w:asciiTheme="majorBidi" w:hAnsiTheme="majorBidi" w:cstheme="majorBidi"/>
        </w:rPr>
        <w:t xml:space="preserve"> </w:t>
      </w:r>
      <w:r w:rsidR="00962E4C">
        <w:rPr>
          <w:rFonts w:asciiTheme="majorBidi" w:hAnsiTheme="majorBidi" w:cstheme="majorBidi"/>
        </w:rPr>
        <w:t>[pers. </w:t>
      </w:r>
      <w:r w:rsidR="00962E4C">
        <w:t>A]</w:t>
      </w:r>
      <w:r>
        <w:rPr>
          <w:rFonts w:asciiTheme="majorBidi" w:hAnsiTheme="majorBidi" w:cstheme="majorBidi"/>
        </w:rPr>
        <w:t xml:space="preserve"> </w:t>
      </w:r>
      <w:r w:rsidRPr="00EB4943">
        <w:rPr>
          <w:rFonts w:asciiTheme="majorBidi" w:hAnsiTheme="majorBidi" w:cstheme="majorBidi"/>
        </w:rPr>
        <w:t xml:space="preserve">iesniedzis kasācijas sūdzību, kurā lūdz atcelt apelācijas instances tiesas spriedumu un </w:t>
      </w:r>
      <w:r>
        <w:rPr>
          <w:rFonts w:asciiTheme="majorBidi" w:hAnsiTheme="majorBidi" w:cstheme="majorBidi"/>
        </w:rPr>
        <w:t>nosūtīt lietu jaunai izskatīšanai.</w:t>
      </w:r>
    </w:p>
    <w:p w14:paraId="54DD65D7" w14:textId="77777777" w:rsidR="00E27F3F" w:rsidRPr="00EB4943" w:rsidRDefault="00E27F3F" w:rsidP="00E27F3F">
      <w:pPr>
        <w:spacing w:line="276" w:lineRule="auto"/>
        <w:ind w:firstLine="720"/>
        <w:jc w:val="both"/>
      </w:pPr>
      <w:r w:rsidRPr="00EB4943">
        <w:rPr>
          <w:rFonts w:asciiTheme="majorBidi" w:hAnsiTheme="majorBidi" w:cstheme="majorBidi"/>
        </w:rPr>
        <w:lastRenderedPageBreak/>
        <w:t>Kasācijas sūdzībā izteikto lūgumu kasators pamatojis ar turpmāk norādītajiem argumentiem.</w:t>
      </w:r>
    </w:p>
    <w:p w14:paraId="74B78709" w14:textId="3A075C27" w:rsidR="00E27F3F" w:rsidRDefault="00E27F3F" w:rsidP="00962E4C">
      <w:pPr>
        <w:spacing w:line="276" w:lineRule="auto"/>
        <w:ind w:firstLine="709"/>
        <w:jc w:val="both"/>
      </w:pPr>
      <w:r>
        <w:t>[4.1] Izskatot lietu, apelācijas instances tiesa pieļāvusi Kriminālprocesa likuma 574. panta 1. un 3. punktā norādīto</w:t>
      </w:r>
      <w:r w:rsidR="00F315F7">
        <w:t>s</w:t>
      </w:r>
      <w:r w:rsidR="006168E9">
        <w:t xml:space="preserve"> Krimināllikuma</w:t>
      </w:r>
      <w:r>
        <w:t xml:space="preserve"> pārkāpumu</w:t>
      </w:r>
      <w:r w:rsidR="00F315F7">
        <w:t>s. S</w:t>
      </w:r>
      <w:r>
        <w:t>niedzot jaunu noziedzīga nodarījuma aprakstu, pretēji K</w:t>
      </w:r>
      <w:r w:rsidR="00F869D5">
        <w:t>riminālprocesa likuma 455. panta trešajā daļā</w:t>
      </w:r>
      <w:r>
        <w:t xml:space="preserve"> noteiktajam </w:t>
      </w:r>
      <w:r w:rsidR="006168E9">
        <w:t xml:space="preserve">tiesa ir </w:t>
      </w:r>
      <w:r>
        <w:t>pasliktinājusi apsūdzēt</w:t>
      </w:r>
      <w:r w:rsidR="006168E9">
        <w:t>ā</w:t>
      </w:r>
      <w:r w:rsidR="00F869D5">
        <w:t xml:space="preserve"> stāvokli un pieļāvusi </w:t>
      </w:r>
      <w:r w:rsidR="006168E9">
        <w:t>viņa</w:t>
      </w:r>
      <w:r>
        <w:t xml:space="preserve"> tiesību </w:t>
      </w:r>
      <w:r w:rsidR="00F315F7">
        <w:t>uz aizstāvību pārkāpumu, jo</w:t>
      </w:r>
      <w:r w:rsidR="0006201A">
        <w:t>, pamatojot atzinumu par noziedzīgā nodarījuma faktiskajiem apstākļiem,</w:t>
      </w:r>
      <w:r w:rsidR="00F315F7">
        <w:t xml:space="preserve"> atsaukusies</w:t>
      </w:r>
      <w:r>
        <w:t xml:space="preserve"> </w:t>
      </w:r>
      <w:r w:rsidR="001E5D9F">
        <w:t>uz</w:t>
      </w:r>
      <w:r>
        <w:t xml:space="preserve"> tiesas s</w:t>
      </w:r>
      <w:r w:rsidR="001E5D9F">
        <w:t xml:space="preserve">ēdē nepārbaudītām liecinieces </w:t>
      </w:r>
      <w:r w:rsidR="00962E4C">
        <w:t>[pers. C]</w:t>
      </w:r>
      <w:r>
        <w:t xml:space="preserve"> liecībām.</w:t>
      </w:r>
    </w:p>
    <w:p w14:paraId="15EA138B" w14:textId="59AA7D3B" w:rsidR="001E5D9F" w:rsidRDefault="0006201A" w:rsidP="00E27F3F">
      <w:pPr>
        <w:spacing w:line="276" w:lineRule="auto"/>
        <w:ind w:firstLine="709"/>
        <w:jc w:val="both"/>
      </w:pPr>
      <w:r>
        <w:t xml:space="preserve">[4.2] Apelācijas instances tiesas atzinums, ka </w:t>
      </w:r>
      <w:r w:rsidR="00962E4C">
        <w:t>[pers. A]</w:t>
      </w:r>
      <w:r>
        <w:t xml:space="preserve"> noziedzīgo nodarījumu ir izdarījis grupā ar </w:t>
      </w:r>
      <w:r w:rsidR="00962E4C">
        <w:t>[pers. B]</w:t>
      </w:r>
      <w:r>
        <w:t>, nav pamatots ar pierādījumiem. A</w:t>
      </w:r>
      <w:r w:rsidR="00E27F3F">
        <w:t>tzinums, ka ar lietā iegūt</w:t>
      </w:r>
      <w:r w:rsidR="00CA14F3">
        <w:t>aj</w:t>
      </w:r>
      <w:r w:rsidR="00E27F3F">
        <w:t>iem pierādījumiem ir pierā</w:t>
      </w:r>
      <w:r w:rsidR="001E5D9F">
        <w:t>dīts apsūdzēto vienots nodoms no</w:t>
      </w:r>
      <w:r w:rsidR="00E27F3F">
        <w:t>darīt cietušajam miesas bojājumus</w:t>
      </w:r>
      <w:r>
        <w:t>, ir kļūdains</w:t>
      </w:r>
      <w:r w:rsidR="00E27F3F">
        <w:t>.</w:t>
      </w:r>
    </w:p>
    <w:p w14:paraId="477D9663" w14:textId="58C1087F" w:rsidR="00E27F3F" w:rsidRDefault="00E27F3F" w:rsidP="00CA14F3">
      <w:pPr>
        <w:spacing w:line="276" w:lineRule="auto"/>
        <w:ind w:firstLine="709"/>
        <w:jc w:val="both"/>
      </w:pPr>
      <w:r>
        <w:t>[4.</w:t>
      </w:r>
      <w:r w:rsidR="0006201A">
        <w:t>3</w:t>
      </w:r>
      <w:r>
        <w:t xml:space="preserve">] </w:t>
      </w:r>
      <w:r w:rsidR="0006201A">
        <w:t>Nosakot</w:t>
      </w:r>
      <w:r w:rsidR="0006201A" w:rsidRPr="0006201A">
        <w:t xml:space="preserve"> </w:t>
      </w:r>
      <w:r w:rsidR="0006201A">
        <w:t>sodu – sabiedrisko darbu</w:t>
      </w:r>
      <w:r w:rsidR="00CA14F3">
        <w:t xml:space="preserve"> –</w:t>
      </w:r>
      <w:r w:rsidR="0006201A">
        <w:t xml:space="preserve">, tiesa nav ņēmusi vērā, ka </w:t>
      </w:r>
      <w:r w:rsidR="00962E4C">
        <w:t>[pers. A]</w:t>
      </w:r>
      <w:r w:rsidR="0006201A">
        <w:t xml:space="preserve"> ir</w:t>
      </w:r>
      <w:r w:rsidR="001E5D9F">
        <w:t xml:space="preserve"> pensijas vecum</w:t>
      </w:r>
      <w:r w:rsidR="0006201A">
        <w:t>ā</w:t>
      </w:r>
      <w:r>
        <w:t xml:space="preserve"> un otrās grupas invalī</w:t>
      </w:r>
      <w:r w:rsidR="0006201A">
        <w:t>ds</w:t>
      </w:r>
      <w:r>
        <w:t>.</w:t>
      </w:r>
    </w:p>
    <w:p w14:paraId="7A1801FA" w14:textId="77777777" w:rsidR="00E27F3F" w:rsidRDefault="00E27F3F" w:rsidP="00E27F3F">
      <w:pPr>
        <w:spacing w:line="276" w:lineRule="auto"/>
        <w:ind w:firstLine="709"/>
        <w:jc w:val="both"/>
      </w:pPr>
    </w:p>
    <w:p w14:paraId="0610CC02" w14:textId="77777777" w:rsidR="00E27F3F" w:rsidRPr="00E27F3F" w:rsidRDefault="00E27F3F" w:rsidP="00BF024E">
      <w:pPr>
        <w:spacing w:line="276" w:lineRule="auto"/>
        <w:jc w:val="center"/>
        <w:rPr>
          <w:b/>
        </w:rPr>
      </w:pPr>
      <w:r w:rsidRPr="00E27F3F">
        <w:rPr>
          <w:b/>
        </w:rPr>
        <w:t>Motīvu daļa</w:t>
      </w:r>
    </w:p>
    <w:p w14:paraId="4D6F29B0" w14:textId="77777777" w:rsidR="00E27F3F" w:rsidRDefault="00E27F3F" w:rsidP="00E27F3F">
      <w:pPr>
        <w:spacing w:line="276" w:lineRule="auto"/>
        <w:ind w:firstLine="709"/>
        <w:jc w:val="both"/>
      </w:pPr>
    </w:p>
    <w:p w14:paraId="3C9F3149" w14:textId="3EBDD890" w:rsidR="00E27F3F" w:rsidRPr="003038FE" w:rsidRDefault="00E27F3F" w:rsidP="007D42D4">
      <w:pPr>
        <w:spacing w:line="276" w:lineRule="auto"/>
        <w:ind w:firstLine="709"/>
        <w:jc w:val="both"/>
      </w:pPr>
      <w:r>
        <w:t xml:space="preserve">[5] </w:t>
      </w:r>
      <w:r w:rsidR="00062E61">
        <w:t>K</w:t>
      </w:r>
      <w:r>
        <w:t>asācijas instances tiesas kompetencē izskatāmaj</w:t>
      </w:r>
      <w:r w:rsidR="00577693">
        <w:t>ā lietā ir atbildēt,</w:t>
      </w:r>
      <w:r>
        <w:t xml:space="preserve"> vai apelācijas instances </w:t>
      </w:r>
      <w:r w:rsidR="00CC6A6C">
        <w:t>tiesa,</w:t>
      </w:r>
      <w:r>
        <w:t xml:space="preserve"> </w:t>
      </w:r>
      <w:r w:rsidR="00C06CA1">
        <w:t xml:space="preserve">pamatojot </w:t>
      </w:r>
      <w:r w:rsidR="00535076">
        <w:t xml:space="preserve">notiesājošu spriedumu ar </w:t>
      </w:r>
      <w:r w:rsidR="00C06CA1">
        <w:t>atzinumu par noziedzīgā nodarījuma faktiskajiem apstākļiem</w:t>
      </w:r>
      <w:r w:rsidR="00062E61">
        <w:t xml:space="preserve"> </w:t>
      </w:r>
      <w:r w:rsidR="00C06CA1">
        <w:t>ar</w:t>
      </w:r>
      <w:r w:rsidR="00577693">
        <w:t xml:space="preserve"> </w:t>
      </w:r>
      <w:bookmarkStart w:id="0" w:name="_Hlk157422073"/>
      <w:r w:rsidR="00577693">
        <w:t>tiesas sēdē nenopratinātas liecinieces</w:t>
      </w:r>
      <w:r w:rsidR="00C06CA1">
        <w:t xml:space="preserve"> pirmstiesas izmeklēšanā sniegtu</w:t>
      </w:r>
      <w:r w:rsidR="00577693">
        <w:t xml:space="preserve"> liecību</w:t>
      </w:r>
      <w:bookmarkEnd w:id="0"/>
      <w:r w:rsidR="00577693">
        <w:t xml:space="preserve">, </w:t>
      </w:r>
      <w:r w:rsidR="00062E61">
        <w:t xml:space="preserve">ir </w:t>
      </w:r>
      <w:r w:rsidR="00577693">
        <w:t xml:space="preserve">pieļāvusi apsūdzētā </w:t>
      </w:r>
      <w:r w:rsidR="0022230A" w:rsidRPr="003038FE">
        <w:t xml:space="preserve">tiesību uz aizstāvību </w:t>
      </w:r>
      <w:r w:rsidR="00577693" w:rsidRPr="003038FE">
        <w:t>pārkāpumu.</w:t>
      </w:r>
    </w:p>
    <w:p w14:paraId="5BA2FA48" w14:textId="4F95B3A5" w:rsidR="007C77E6" w:rsidRDefault="00C06CA1" w:rsidP="007D42D4">
      <w:pPr>
        <w:spacing w:line="276" w:lineRule="auto"/>
        <w:ind w:firstLine="709"/>
        <w:jc w:val="both"/>
      </w:pPr>
      <w:r>
        <w:t>[5.1</w:t>
      </w:r>
      <w:r w:rsidR="007C77E6">
        <w:t xml:space="preserve">] </w:t>
      </w:r>
      <w:r w:rsidR="00322954">
        <w:t>Kriminālprocesa likuma 489. pant</w:t>
      </w:r>
      <w:r w:rsidR="007D42D4">
        <w:t>a</w:t>
      </w:r>
      <w:r w:rsidR="00322954">
        <w:t xml:space="preserve"> pirmā daļa noteic, ka t</w:t>
      </w:r>
      <w:r w:rsidR="00EC2700">
        <w:t>iesnesis pēc krimināllietas saņemšanas savā tiesvedībā n</w:t>
      </w:r>
      <w:r w:rsidR="00D549DE">
        <w:t>osūta aizstāvībai aicinājumu 10</w:t>
      </w:r>
      <w:r w:rsidR="00314AEC">
        <w:t xml:space="preserve"> </w:t>
      </w:r>
      <w:r w:rsidR="00EC2700">
        <w:t xml:space="preserve">darba dienu laikā iesniegt tiesā paziņojumu par nopratināmajām personām. Ja aizstāvība paziņojumā norāda, ka nav nepieciešams izsaukt kriminālprocesā agrāk nopratināto personu, kuras liecības iekļautas tiesā izmantojamo pierādījumu uzskaitījumā, tad aizstāvība piekrīt, ka liecībā fiksētās ziņas lietas dalībnieki varēs izmantot tiesas debatēs un tiesa tās varēs izmantot nolēmumā savu secinājumu pamatošanai. </w:t>
      </w:r>
    </w:p>
    <w:p w14:paraId="7F492F9C" w14:textId="535EB4EC" w:rsidR="000A61BE" w:rsidRDefault="007D42D4" w:rsidP="00962E4C">
      <w:pPr>
        <w:spacing w:line="276" w:lineRule="auto"/>
        <w:ind w:firstLine="709"/>
        <w:jc w:val="both"/>
      </w:pPr>
      <w:r>
        <w:t>No lietas materiāliem redzams, ka p</w:t>
      </w:r>
      <w:r w:rsidR="00BA0E65">
        <w:t>rokurore t</w:t>
      </w:r>
      <w:r w:rsidR="00D01E20">
        <w:t>iesā</w:t>
      </w:r>
      <w:r w:rsidR="00A00205">
        <w:t xml:space="preserve"> izmantojamo pierādījumu uzskaitījumā iekļāvusi arī liecinieces </w:t>
      </w:r>
      <w:r w:rsidR="00962E4C">
        <w:t>[pers. C]</w:t>
      </w:r>
      <w:r w:rsidR="00A00205">
        <w:t xml:space="preserve"> 2020. gada 16. decembrī sniegt</w:t>
      </w:r>
      <w:r w:rsidR="00535076">
        <w:t>o</w:t>
      </w:r>
      <w:r w:rsidR="00A00205">
        <w:t xml:space="preserve"> liecīb</w:t>
      </w:r>
      <w:r w:rsidR="00535076">
        <w:t>u</w:t>
      </w:r>
      <w:r w:rsidR="00A00205">
        <w:t xml:space="preserve"> (</w:t>
      </w:r>
      <w:r w:rsidR="008B700C" w:rsidRPr="008B700C">
        <w:rPr>
          <w:i/>
        </w:rPr>
        <w:t>lietas</w:t>
      </w:r>
      <w:r w:rsidR="008B700C">
        <w:t xml:space="preserve"> </w:t>
      </w:r>
      <w:r w:rsidR="00A00205" w:rsidRPr="000A61BE">
        <w:rPr>
          <w:i/>
        </w:rPr>
        <w:t>1. sējuma 144.-149. lapa</w:t>
      </w:r>
      <w:r w:rsidR="00A00205">
        <w:t>)</w:t>
      </w:r>
      <w:r w:rsidR="00A839E9">
        <w:t xml:space="preserve">. Lieciniece </w:t>
      </w:r>
      <w:r w:rsidR="00962E4C">
        <w:t>[pers. C]</w:t>
      </w:r>
      <w:r w:rsidR="00A839E9">
        <w:t xml:space="preserve"> </w:t>
      </w:r>
      <w:r w:rsidR="00BA0E65">
        <w:t>norādīta</w:t>
      </w:r>
      <w:r w:rsidR="00A839E9">
        <w:t xml:space="preserve"> arī personu sarakstā, kuru liecības iekļautas tiesā izmantojamo pierādījumu uzskaitījumā (</w:t>
      </w:r>
      <w:r w:rsidR="00B928E2" w:rsidRPr="00B928E2">
        <w:rPr>
          <w:i/>
        </w:rPr>
        <w:t>lietas</w:t>
      </w:r>
      <w:r w:rsidR="00B928E2">
        <w:t xml:space="preserve"> </w:t>
      </w:r>
      <w:r w:rsidR="00A839E9" w:rsidRPr="000A61BE">
        <w:rPr>
          <w:i/>
        </w:rPr>
        <w:t>1. sējuma 150. lapa</w:t>
      </w:r>
      <w:r w:rsidR="00A839E9">
        <w:t>).</w:t>
      </w:r>
    </w:p>
    <w:p w14:paraId="7DA6CFFB" w14:textId="30897030" w:rsidR="000A61BE" w:rsidRPr="002113B7" w:rsidRDefault="007D42D4" w:rsidP="000A61BE">
      <w:pPr>
        <w:spacing w:line="276" w:lineRule="auto"/>
        <w:ind w:firstLine="709"/>
        <w:jc w:val="both"/>
      </w:pPr>
      <w:r>
        <w:t>P</w:t>
      </w:r>
      <w:r w:rsidR="00A839E9">
        <w:t xml:space="preserve">irmās instances tiesa atbilstoši Kriminālprocesa likuma </w:t>
      </w:r>
      <w:r w:rsidR="00A839E9" w:rsidRPr="002113B7">
        <w:t>489. panta pirmajai daļai</w:t>
      </w:r>
      <w:r>
        <w:t xml:space="preserve"> ir</w:t>
      </w:r>
      <w:r w:rsidR="00A839E9" w:rsidRPr="002113B7">
        <w:t xml:space="preserve"> nosūt</w:t>
      </w:r>
      <w:r w:rsidR="00D01E20" w:rsidRPr="002113B7">
        <w:t>ījusi</w:t>
      </w:r>
      <w:r w:rsidR="00A839E9" w:rsidRPr="002113B7">
        <w:t xml:space="preserve"> aizstāvībai aicinājumu</w:t>
      </w:r>
      <w:r w:rsidR="00471DF3">
        <w:t xml:space="preserve"> iesniegt paziņojumu</w:t>
      </w:r>
      <w:r w:rsidR="00A839E9" w:rsidRPr="002113B7">
        <w:t xml:space="preserve"> par nopratināmajām personām (</w:t>
      </w:r>
      <w:r w:rsidR="00A839E9" w:rsidRPr="002113B7">
        <w:rPr>
          <w:i/>
        </w:rPr>
        <w:t>1. sējuma 158. lapa</w:t>
      </w:r>
      <w:r w:rsidR="00BA0E65">
        <w:t>). Aizstāvis Ē</w:t>
      </w:r>
      <w:r w:rsidR="00A839E9" w:rsidRPr="002113B7">
        <w:t>. Štālbergs iesniedzis paziņojumu tiesai par nepieciešamību nopr</w:t>
      </w:r>
      <w:r w:rsidR="006C3774" w:rsidRPr="002113B7">
        <w:t xml:space="preserve">atināt tiesu medicīnas eksperti </w:t>
      </w:r>
      <w:r w:rsidR="00962E4C">
        <w:t>[pers. D]</w:t>
      </w:r>
      <w:r w:rsidR="006C3774" w:rsidRPr="002113B7">
        <w:t xml:space="preserve"> </w:t>
      </w:r>
      <w:r w:rsidR="00A839E9" w:rsidRPr="002113B7">
        <w:t>(</w:t>
      </w:r>
      <w:r w:rsidR="00B928E2" w:rsidRPr="00B928E2">
        <w:rPr>
          <w:i/>
        </w:rPr>
        <w:t>lietas</w:t>
      </w:r>
      <w:r w:rsidR="00B928E2">
        <w:t xml:space="preserve"> </w:t>
      </w:r>
      <w:r w:rsidR="00A839E9" w:rsidRPr="002113B7">
        <w:rPr>
          <w:i/>
        </w:rPr>
        <w:t>1. sējuma 160. lapa</w:t>
      </w:r>
      <w:r w:rsidR="00A839E9" w:rsidRPr="002113B7">
        <w:t>).</w:t>
      </w:r>
    </w:p>
    <w:p w14:paraId="36387CFE" w14:textId="10628A77" w:rsidR="00A839E9" w:rsidRPr="002113B7" w:rsidRDefault="00A839E9" w:rsidP="000A61BE">
      <w:pPr>
        <w:spacing w:line="276" w:lineRule="auto"/>
        <w:ind w:firstLine="709"/>
        <w:jc w:val="both"/>
      </w:pPr>
      <w:r w:rsidRPr="002113B7">
        <w:t xml:space="preserve">Jautājums par pierādījumu pārbaudes kārtību un </w:t>
      </w:r>
      <w:r w:rsidR="00A57497" w:rsidRPr="002113B7">
        <w:t xml:space="preserve">tiesas izmeklēšanā </w:t>
      </w:r>
      <w:r w:rsidRPr="002113B7">
        <w:t xml:space="preserve">nopratināmajām personām izlemts </w:t>
      </w:r>
      <w:r w:rsidR="00F637F0" w:rsidRPr="002113B7">
        <w:t xml:space="preserve">pirmās instances tiesas sēdē </w:t>
      </w:r>
      <w:r w:rsidRPr="002113B7">
        <w:t>2022. gada 27. aprī</w:t>
      </w:r>
      <w:r w:rsidR="00F637F0" w:rsidRPr="002113B7">
        <w:t>lī</w:t>
      </w:r>
      <w:r w:rsidR="002113B7" w:rsidRPr="002113B7">
        <w:t>. A</w:t>
      </w:r>
      <w:r w:rsidR="008B700C">
        <w:t>izstāvis norādījis</w:t>
      </w:r>
      <w:r w:rsidRPr="002113B7">
        <w:t>, ka nopratin</w:t>
      </w:r>
      <w:r w:rsidR="00A57497" w:rsidRPr="002113B7">
        <w:t xml:space="preserve">āma </w:t>
      </w:r>
      <w:r w:rsidR="006C3774" w:rsidRPr="002113B7">
        <w:t>tiesu medicīnas eksperte</w:t>
      </w:r>
      <w:r w:rsidR="002113B7" w:rsidRPr="002113B7">
        <w:t xml:space="preserve"> </w:t>
      </w:r>
      <w:r w:rsidR="00962E4C">
        <w:t>[pers. D]</w:t>
      </w:r>
      <w:r w:rsidR="00FD7891">
        <w:t>,</w:t>
      </w:r>
      <w:r w:rsidRPr="002113B7">
        <w:t xml:space="preserve"> un </w:t>
      </w:r>
      <w:r w:rsidR="002113B7" w:rsidRPr="002113B7">
        <w:t>piekri</w:t>
      </w:r>
      <w:r w:rsidR="008B700C">
        <w:t>tis</w:t>
      </w:r>
      <w:r w:rsidR="000236C3">
        <w:t xml:space="preserve"> citu</w:t>
      </w:r>
      <w:r w:rsidRPr="002113B7">
        <w:t xml:space="preserve"> </w:t>
      </w:r>
      <w:r w:rsidR="002113B7" w:rsidRPr="002113B7">
        <w:t>personu agrāk</w:t>
      </w:r>
      <w:r w:rsidRPr="002113B7">
        <w:t xml:space="preserve"> </w:t>
      </w:r>
      <w:r w:rsidR="002113B7" w:rsidRPr="002113B7">
        <w:t xml:space="preserve">sniegto </w:t>
      </w:r>
      <w:r w:rsidRPr="002113B7">
        <w:t xml:space="preserve">liecību </w:t>
      </w:r>
      <w:r w:rsidR="006C3774" w:rsidRPr="002113B7">
        <w:t>izmantošanai</w:t>
      </w:r>
      <w:r w:rsidR="002113B7" w:rsidRPr="002113B7">
        <w:t xml:space="preserve"> sprieduma pamatošanai, kam pievienoj</w:t>
      </w:r>
      <w:r w:rsidR="008B700C">
        <w:t>ušies</w:t>
      </w:r>
      <w:r w:rsidR="002113B7" w:rsidRPr="002113B7">
        <w:t xml:space="preserve"> arī apsūdzētie</w:t>
      </w:r>
      <w:r w:rsidR="006C3774" w:rsidRPr="002113B7">
        <w:t xml:space="preserve"> (</w:t>
      </w:r>
      <w:r w:rsidR="006C3774" w:rsidRPr="002113B7">
        <w:rPr>
          <w:rFonts w:eastAsiaTheme="minorHAnsi"/>
          <w:i/>
          <w:iCs/>
          <w:lang w:eastAsia="en-US"/>
        </w:rPr>
        <w:t>Kurzemes rajona tiesas 2022</w:t>
      </w:r>
      <w:r w:rsidR="00C369CC" w:rsidRPr="002113B7">
        <w:rPr>
          <w:rFonts w:eastAsiaTheme="minorHAnsi"/>
          <w:i/>
          <w:iCs/>
          <w:lang w:eastAsia="en-US"/>
        </w:rPr>
        <w:t>.</w:t>
      </w:r>
      <w:r w:rsidR="006C3774" w:rsidRPr="002113B7">
        <w:rPr>
          <w:rFonts w:eastAsiaTheme="minorHAnsi"/>
          <w:i/>
          <w:iCs/>
          <w:lang w:eastAsia="en-US"/>
        </w:rPr>
        <w:t> gada 27</w:t>
      </w:r>
      <w:r w:rsidR="00C369CC" w:rsidRPr="002113B7">
        <w:rPr>
          <w:rFonts w:eastAsiaTheme="minorHAnsi"/>
          <w:i/>
          <w:iCs/>
          <w:lang w:eastAsia="en-US"/>
        </w:rPr>
        <w:t>.</w:t>
      </w:r>
      <w:r w:rsidR="006C3774" w:rsidRPr="002113B7">
        <w:rPr>
          <w:rFonts w:eastAsiaTheme="minorHAnsi"/>
          <w:i/>
          <w:iCs/>
          <w:lang w:eastAsia="en-US"/>
        </w:rPr>
        <w:t> aprīļa</w:t>
      </w:r>
      <w:r w:rsidR="00C369CC" w:rsidRPr="002113B7">
        <w:rPr>
          <w:rFonts w:eastAsiaTheme="minorHAnsi"/>
          <w:i/>
          <w:iCs/>
          <w:lang w:eastAsia="en-US"/>
        </w:rPr>
        <w:t xml:space="preserve"> sēdes </w:t>
      </w:r>
      <w:proofErr w:type="spellStart"/>
      <w:r w:rsidR="00B928E2">
        <w:rPr>
          <w:rFonts w:eastAsiaTheme="minorHAnsi"/>
          <w:i/>
          <w:iCs/>
          <w:lang w:eastAsia="en-US"/>
        </w:rPr>
        <w:t>audio</w:t>
      </w:r>
      <w:r w:rsidR="006C3774" w:rsidRPr="002113B7">
        <w:rPr>
          <w:rFonts w:eastAsiaTheme="minorHAnsi"/>
          <w:i/>
          <w:iCs/>
          <w:lang w:eastAsia="en-US"/>
        </w:rPr>
        <w:t>protokols</w:t>
      </w:r>
      <w:proofErr w:type="spellEnd"/>
      <w:r w:rsidR="00C369CC" w:rsidRPr="002113B7">
        <w:rPr>
          <w:rFonts w:eastAsiaTheme="minorHAnsi"/>
          <w:i/>
          <w:iCs/>
          <w:lang w:eastAsia="en-US"/>
        </w:rPr>
        <w:t xml:space="preserve"> </w:t>
      </w:r>
      <w:r w:rsidR="002113B7" w:rsidRPr="002113B7">
        <w:rPr>
          <w:rFonts w:eastAsiaTheme="minorHAnsi"/>
          <w:i/>
          <w:iCs/>
          <w:lang w:eastAsia="en-US"/>
        </w:rPr>
        <w:t>00:13</w:t>
      </w:r>
      <w:r w:rsidR="00C369CC" w:rsidRPr="002113B7">
        <w:rPr>
          <w:rFonts w:eastAsiaTheme="minorHAnsi"/>
          <w:i/>
          <w:iCs/>
          <w:lang w:eastAsia="en-US"/>
        </w:rPr>
        <w:t>:</w:t>
      </w:r>
      <w:r w:rsidR="002113B7" w:rsidRPr="002113B7">
        <w:rPr>
          <w:rFonts w:eastAsiaTheme="minorHAnsi"/>
          <w:i/>
          <w:iCs/>
          <w:lang w:eastAsia="en-US"/>
        </w:rPr>
        <w:t>51–00:14:35</w:t>
      </w:r>
      <w:r w:rsidR="006C3774" w:rsidRPr="002113B7">
        <w:rPr>
          <w:rFonts w:eastAsiaTheme="minorHAnsi"/>
          <w:iCs/>
          <w:lang w:eastAsia="en-US"/>
        </w:rPr>
        <w:t>)</w:t>
      </w:r>
      <w:r w:rsidR="002113B7">
        <w:rPr>
          <w:rFonts w:eastAsiaTheme="minorHAnsi"/>
          <w:iCs/>
          <w:lang w:eastAsia="en-US"/>
        </w:rPr>
        <w:t>.</w:t>
      </w:r>
    </w:p>
    <w:p w14:paraId="760FED7F" w14:textId="6E7AEF05" w:rsidR="00D549DE" w:rsidRDefault="007C77E6" w:rsidP="00D549DE">
      <w:pPr>
        <w:spacing w:line="276" w:lineRule="auto"/>
        <w:ind w:firstLine="709"/>
        <w:jc w:val="both"/>
      </w:pPr>
      <w:r>
        <w:lastRenderedPageBreak/>
        <w:t xml:space="preserve">[5.2] </w:t>
      </w:r>
      <w:r w:rsidR="00D549DE" w:rsidRPr="002113B7">
        <w:t xml:space="preserve">Kriminālprocesa likuma </w:t>
      </w:r>
      <w:r w:rsidR="00322954" w:rsidRPr="002113B7">
        <w:t xml:space="preserve">506. panta ceturtā </w:t>
      </w:r>
      <w:r w:rsidR="00322954">
        <w:t>daļa noteic</w:t>
      </w:r>
      <w:r w:rsidR="00D549DE">
        <w:t>, ka tiesas debašu dalībnieki savus secinājumus var motivēt tikai ar tiesas izmeklēšanā pārbaudītiem pierādījumiem un rakstveida pierādījumiem un dokumentiem, kuri norādīti lēmumā par krimināllietas nodošanu tiesai un kuri saskaņā ar šā likuma 449. panta trešo daļu netika pārbaudīti tiesas sēdē. Tāpat tiesas debašu dalībnieki savus secinājumus var motivēt ar ziņām, kas fiksētas konkrētajā kriminālprocesā agrāk sniegtajās liecībās, ja aizstāvība piekritusi šo liecību izmantošanai. Savus secinājumus var motivēt arī ar personas, kura tiesas sēdē sniedza liecības, konkrētajā kriminālprocesā agrāk sniegtajām liecībām. Ja nepieciešams pārbaudīt jaunus pierādījumus, tiesas debašu dalībnieks var lūgt tiesu atsākt tiesas izmeklēšanu.</w:t>
      </w:r>
    </w:p>
    <w:p w14:paraId="46E95FEA" w14:textId="54C03C51" w:rsidR="00D549DE" w:rsidRDefault="00D549DE" w:rsidP="00D549DE">
      <w:pPr>
        <w:spacing w:line="276" w:lineRule="auto"/>
        <w:ind w:firstLine="709"/>
        <w:jc w:val="both"/>
      </w:pPr>
      <w:r>
        <w:t>Savukārt Kriminālprocesa likuma 512. panta otrā daļa noteic, ka tiesa spriedumu pamato ar:</w:t>
      </w:r>
    </w:p>
    <w:p w14:paraId="021177F7" w14:textId="00C2F2A6" w:rsidR="00D549DE" w:rsidRDefault="00D549DE" w:rsidP="00D549DE">
      <w:pPr>
        <w:spacing w:line="276" w:lineRule="auto"/>
        <w:ind w:firstLine="709"/>
        <w:jc w:val="both"/>
      </w:pPr>
      <w:r>
        <w:t>1)</w:t>
      </w:r>
      <w:r w:rsidR="004B551A">
        <w:t> </w:t>
      </w:r>
      <w:r>
        <w:t>pierādījumiem, kuri pārbaudīti tiesas sēdē;</w:t>
      </w:r>
    </w:p>
    <w:p w14:paraId="2CA5D87F" w14:textId="0A758A7D" w:rsidR="00D549DE" w:rsidRDefault="004B551A" w:rsidP="00D549DE">
      <w:pPr>
        <w:spacing w:line="276" w:lineRule="auto"/>
        <w:ind w:firstLine="709"/>
        <w:jc w:val="both"/>
      </w:pPr>
      <w:r>
        <w:t>2) </w:t>
      </w:r>
      <w:r w:rsidR="00D549DE">
        <w:t>pierādījumiem, kurus saskaņā ar šā likuma 125. panta noteikumiem nav nepieciešams pārbaudīt;</w:t>
      </w:r>
    </w:p>
    <w:p w14:paraId="55A836D7" w14:textId="669D674D" w:rsidR="00D549DE" w:rsidRDefault="004B551A" w:rsidP="00D549DE">
      <w:pPr>
        <w:spacing w:line="276" w:lineRule="auto"/>
        <w:ind w:firstLine="709"/>
        <w:jc w:val="both"/>
      </w:pPr>
      <w:r>
        <w:t>3) </w:t>
      </w:r>
      <w:r w:rsidR="00D549DE">
        <w:t>rakstveida pierādījumiem un dokumentiem, kuri norādīti lēmumā par krimināllietas nodošanu tiesai;</w:t>
      </w:r>
    </w:p>
    <w:p w14:paraId="664BA57B" w14:textId="78427729" w:rsidR="00D549DE" w:rsidRDefault="004B551A" w:rsidP="00D549DE">
      <w:pPr>
        <w:spacing w:line="276" w:lineRule="auto"/>
        <w:ind w:firstLine="709"/>
        <w:jc w:val="both"/>
      </w:pPr>
      <w:r>
        <w:t>4) </w:t>
      </w:r>
      <w:r w:rsidR="00D549DE">
        <w:t>ziņām, kas fiksētas konkrētajā kriminālprocesā agrāk sniegtajās liecībās, ja aizstāvība piekritusi šo liecību izmantošanai;</w:t>
      </w:r>
    </w:p>
    <w:p w14:paraId="2AF7FF4D" w14:textId="25336508" w:rsidR="00D549DE" w:rsidRDefault="004B551A" w:rsidP="00D549DE">
      <w:pPr>
        <w:spacing w:line="276" w:lineRule="auto"/>
        <w:ind w:firstLine="709"/>
        <w:jc w:val="both"/>
      </w:pPr>
      <w:r>
        <w:t>5) </w:t>
      </w:r>
      <w:r w:rsidR="00D549DE">
        <w:t>personas, kura tiesas sēdē sniedza liecības, konkrētajā pirmstiesas kriminālprocesā sniegtajām ziņām.</w:t>
      </w:r>
    </w:p>
    <w:p w14:paraId="678BDDFD" w14:textId="0C72A9A0" w:rsidR="00D549DE" w:rsidRDefault="003130FB" w:rsidP="00904FD9">
      <w:pPr>
        <w:spacing w:line="276" w:lineRule="auto"/>
        <w:ind w:firstLine="709"/>
        <w:jc w:val="both"/>
      </w:pPr>
      <w:r>
        <w:t xml:space="preserve">2020. gada 19. novembra likuma </w:t>
      </w:r>
      <w:r w:rsidR="008B700C" w:rsidRPr="002113B7">
        <w:t>„</w:t>
      </w:r>
      <w:r>
        <w:t>Grozījumi Kriminālprocesa likumā” papildināt</w:t>
      </w:r>
      <w:r w:rsidR="00322954">
        <w:t>aj</w:t>
      </w:r>
      <w:r>
        <w:t>ā anotācijā</w:t>
      </w:r>
      <w:r w:rsidR="004D2C74">
        <w:t xml:space="preserve"> </w:t>
      </w:r>
      <w:r>
        <w:t xml:space="preserve">norādīts, ka </w:t>
      </w:r>
      <w:r w:rsidR="00904FD9">
        <w:t>grozījumi Kriminālprocesa likuma 512. pantā, kas regulē sprieduma pamatotību, paredz, ka tiesa spriedumu varēs pamatot arī ar ziņām, kas fiksētas konkrētajā kriminālprocesā agrāk sniegtajās liecībās, ja aizstāvība piekritusi šo liecību izmantošanai un ar personas, kuru lūdza uzaicināt un jautājumus uzdeva procesa dalībnieki, konkrētajā kriminālprocesā agrāk sniegtajām liecībām. Š</w:t>
      </w:r>
      <w:r w:rsidRPr="003130FB">
        <w:t>āda kārtība nodrošinās to, ka turpmāk liecinieku nopratināšana tiesā vai to liecību nolasīšana nebūs priekšnoteikums, lai šīs liecības varētu izmantot izspriežot lietu un pamatojot spriedumu</w:t>
      </w:r>
      <w:r w:rsidR="00262117">
        <w:t xml:space="preserve"> (</w:t>
      </w:r>
      <w:r w:rsidR="003469CC" w:rsidRPr="003469CC">
        <w:rPr>
          <w:i/>
        </w:rPr>
        <w:t xml:space="preserve">13. Saeimas </w:t>
      </w:r>
      <w:r w:rsidR="000105BD" w:rsidRPr="003469CC">
        <w:rPr>
          <w:i/>
        </w:rPr>
        <w:t xml:space="preserve">likumprojekta </w:t>
      </w:r>
      <w:hyperlink r:id="rId9" w:history="1">
        <w:r w:rsidR="006E054F" w:rsidRPr="003469CC">
          <w:rPr>
            <w:rStyle w:val="Hyperlink"/>
            <w:i/>
          </w:rPr>
          <w:t>Nr. 555/Lp13</w:t>
        </w:r>
      </w:hyperlink>
      <w:r w:rsidR="000105BD" w:rsidRPr="003469CC">
        <w:rPr>
          <w:i/>
        </w:rPr>
        <w:t xml:space="preserve"> „Grozījumi Kriminālproce</w:t>
      </w:r>
      <w:r w:rsidR="006E054F" w:rsidRPr="003469CC">
        <w:rPr>
          <w:i/>
        </w:rPr>
        <w:t xml:space="preserve">sa likumā” </w:t>
      </w:r>
      <w:hyperlink r:id="rId10" w:history="1">
        <w:r w:rsidR="006E054F" w:rsidRPr="003469CC">
          <w:rPr>
            <w:rStyle w:val="Hyperlink"/>
            <w:i/>
          </w:rPr>
          <w:t>papildinātā anotācija</w:t>
        </w:r>
      </w:hyperlink>
      <w:r w:rsidR="003469CC">
        <w:t>)</w:t>
      </w:r>
      <w:r w:rsidR="00D01E20">
        <w:t>.</w:t>
      </w:r>
    </w:p>
    <w:p w14:paraId="5E34BFAF" w14:textId="15990BE1" w:rsidR="00765764" w:rsidRDefault="00765764" w:rsidP="00904FD9">
      <w:pPr>
        <w:spacing w:line="276" w:lineRule="auto"/>
        <w:ind w:firstLine="709"/>
        <w:jc w:val="both"/>
      </w:pPr>
      <w:r>
        <w:t>[5.3] Ievērojot šā lēmuma [5.1] un [5.2] punktā norādīto, secināms, ka pirmās instances tiesa</w:t>
      </w:r>
      <w:r w:rsidR="000236C3">
        <w:t>,</w:t>
      </w:r>
      <w:r>
        <w:t xml:space="preserve"> izmantojot </w:t>
      </w:r>
      <w:r w:rsidR="00962E4C">
        <w:t>[pers. C]</w:t>
      </w:r>
      <w:r>
        <w:t xml:space="preserve"> </w:t>
      </w:r>
      <w:proofErr w:type="spellStart"/>
      <w:r>
        <w:t>pirmstiesas</w:t>
      </w:r>
      <w:proofErr w:type="spellEnd"/>
      <w:r>
        <w:t xml:space="preserve"> </w:t>
      </w:r>
      <w:r w:rsidR="007D6220">
        <w:t>krimināl</w:t>
      </w:r>
      <w:r>
        <w:t>procesā sniegtās liecības sprieduma pamatošanā,</w:t>
      </w:r>
      <w:r w:rsidR="00471DF3">
        <w:t xml:space="preserve"> ir rīkojusies atbils</w:t>
      </w:r>
      <w:r w:rsidR="000236C3">
        <w:t>toši</w:t>
      </w:r>
      <w:r>
        <w:t xml:space="preserve"> Kriminālprocesa likuma 512. pant</w:t>
      </w:r>
      <w:r w:rsidR="00471DF3">
        <w:t>a otrās daļas 4.</w:t>
      </w:r>
      <w:r w:rsidR="0083325E">
        <w:t> </w:t>
      </w:r>
      <w:r w:rsidR="00471DF3">
        <w:t>punktā noteiktajam</w:t>
      </w:r>
      <w:r>
        <w:t xml:space="preserve">. </w:t>
      </w:r>
    </w:p>
    <w:p w14:paraId="54BA827D" w14:textId="50EB8055" w:rsidR="00765764" w:rsidRPr="000A61BE" w:rsidRDefault="00765764" w:rsidP="00765764">
      <w:pPr>
        <w:spacing w:line="276" w:lineRule="auto"/>
        <w:ind w:firstLine="709"/>
        <w:jc w:val="both"/>
      </w:pPr>
      <w:r>
        <w:t xml:space="preserve">[5.4] </w:t>
      </w:r>
      <w:r w:rsidRPr="003038FE">
        <w:t xml:space="preserve">Kriminālprocesa likuma 560. pantā norādītas personas, kuras piedalās lietas iztiesāšanā apelācijas instances </w:t>
      </w:r>
      <w:r>
        <w:t>tiesas sēdē. Atbilstoši panta pirmajai daļai uz apelācijas instances tiesas sēdi uzaicina prokuroru, personas, kuras pārsūdzējušas tiesas spriedumu, personas, attiecībā uz kurām pārsūdzēts vai noprotestēts tiesas spriedums, to aizstāvjus un pārstāvjus. Saskaņā ar</w:t>
      </w:r>
      <w:r w:rsidRPr="000A61BE">
        <w:t xml:space="preserve"> panta otr</w:t>
      </w:r>
      <w:r>
        <w:t>o</w:t>
      </w:r>
      <w:r w:rsidRPr="000A61BE">
        <w:t xml:space="preserve"> daļ</w:t>
      </w:r>
      <w:r>
        <w:t>u</w:t>
      </w:r>
      <w:r w:rsidRPr="000A61BE">
        <w:t xml:space="preserve"> citas personas var uzaicināt uz tiesas sēdi tad, ja šāds lūgums izteikts apelācijas sūdzībā vai protestā un ja šīs personas nav nopratinātas, izskatot lietu pirmās instances tiesā.</w:t>
      </w:r>
    </w:p>
    <w:p w14:paraId="0FDF41E0" w14:textId="33061AD9" w:rsidR="007C77E6" w:rsidRDefault="00765764" w:rsidP="00D96048">
      <w:pPr>
        <w:spacing w:line="276" w:lineRule="auto"/>
        <w:ind w:firstLine="709"/>
        <w:jc w:val="both"/>
      </w:pPr>
      <w:r>
        <w:t>Kriminālprocesa likum</w:t>
      </w:r>
      <w:r w:rsidR="00182F9C">
        <w:t>a</w:t>
      </w:r>
      <w:r>
        <w:t xml:space="preserve"> 560. panta pirmā daļa imperatīvi noteic tajā uzskaitīto personu piedalīšanos apelācijas instances tiesā, un tiesas pienākums ir t</w:t>
      </w:r>
      <w:r w:rsidR="00D96048">
        <w:t>ās aicināt</w:t>
      </w:r>
      <w:r>
        <w:t xml:space="preserve">. Savukārt </w:t>
      </w:r>
      <w:r w:rsidR="00D96048">
        <w:lastRenderedPageBreak/>
        <w:t>no šā panta</w:t>
      </w:r>
      <w:r>
        <w:t xml:space="preserve"> otrās daļas secināms, ka apelācijas sūdzības vai protesta iesniedzējam jāizsaka lūgums par citas personas aicināšanu uz tiesu un apelācijas instances tiesai šāds lūgums ir jāizvērtē un motivē</w:t>
      </w:r>
      <w:r w:rsidR="00182F9C">
        <w:t>ti</w:t>
      </w:r>
      <w:r>
        <w:t xml:space="preserve"> jāizlemj par tā apmierināšanu vai noraidīšanu.</w:t>
      </w:r>
    </w:p>
    <w:p w14:paraId="3BA1FC5D" w14:textId="2D4CAE35" w:rsidR="00FE2CB1" w:rsidRPr="002113B7" w:rsidRDefault="00FE2CB1" w:rsidP="00FE2CB1">
      <w:pPr>
        <w:spacing w:line="276" w:lineRule="auto"/>
        <w:ind w:firstLine="709"/>
        <w:jc w:val="both"/>
      </w:pPr>
      <w:r w:rsidRPr="002113B7">
        <w:t xml:space="preserve">No lietas materiāliem redzams, ka </w:t>
      </w:r>
      <w:r w:rsidR="008B700C">
        <w:t xml:space="preserve">aizstāvis </w:t>
      </w:r>
      <w:r w:rsidR="00F113EA" w:rsidRPr="002113B7">
        <w:t>apelācijas</w:t>
      </w:r>
      <w:r w:rsidR="008B700C">
        <w:t xml:space="preserve"> sūdzībā nebija izteicis</w:t>
      </w:r>
      <w:r w:rsidR="00F113EA" w:rsidRPr="002113B7">
        <w:t xml:space="preserve"> lūgum</w:t>
      </w:r>
      <w:r w:rsidR="008B700C">
        <w:t>u</w:t>
      </w:r>
      <w:r w:rsidR="00F113EA" w:rsidRPr="002113B7">
        <w:t xml:space="preserve"> aicināt uz tiesas sēdi liecinieci </w:t>
      </w:r>
      <w:r w:rsidR="00962E4C">
        <w:t>[pers. C]</w:t>
      </w:r>
      <w:r w:rsidR="00D96048">
        <w:t>.</w:t>
      </w:r>
      <w:r w:rsidR="00F113EA" w:rsidRPr="002113B7">
        <w:t xml:space="preserve"> </w:t>
      </w:r>
      <w:r w:rsidR="00D96048">
        <w:t>Arī</w:t>
      </w:r>
      <w:r w:rsidR="00F113EA" w:rsidRPr="002113B7">
        <w:t xml:space="preserve"> lietas iztiesāšanas laikā </w:t>
      </w:r>
      <w:r w:rsidRPr="002113B7">
        <w:t>apelācijas</w:t>
      </w:r>
      <w:r w:rsidR="00F113EA" w:rsidRPr="002113B7">
        <w:t xml:space="preserve"> </w:t>
      </w:r>
      <w:r w:rsidR="0080556D">
        <w:t>instancē</w:t>
      </w:r>
      <w:r w:rsidRPr="002113B7">
        <w:t xml:space="preserve"> apsūdzētais un viņa aizstāvis nebija pieteikuši</w:t>
      </w:r>
      <w:r w:rsidR="00F113EA" w:rsidRPr="002113B7">
        <w:t xml:space="preserve"> šādu lūgumu. </w:t>
      </w:r>
      <w:r w:rsidR="00D96048">
        <w:t>Turklāt</w:t>
      </w:r>
      <w:r w:rsidR="00F113EA" w:rsidRPr="002113B7">
        <w:t xml:space="preserve"> 2023. gada 4. aprīļa tiesas sēdē</w:t>
      </w:r>
      <w:r w:rsidR="00D96048">
        <w:t xml:space="preserve"> aizstāvis ir</w:t>
      </w:r>
      <w:r w:rsidR="00F113EA" w:rsidRPr="002113B7">
        <w:t xml:space="preserve"> </w:t>
      </w:r>
      <w:r w:rsidR="00BA0E65">
        <w:t>iz</w:t>
      </w:r>
      <w:r w:rsidR="002113B7" w:rsidRPr="002113B7">
        <w:t>teicis</w:t>
      </w:r>
      <w:r w:rsidR="00D01E20" w:rsidRPr="002113B7">
        <w:t xml:space="preserve"> lūgumu</w:t>
      </w:r>
      <w:r w:rsidR="00F113EA" w:rsidRPr="002113B7">
        <w:t xml:space="preserve"> ņemt vērā liecinieces </w:t>
      </w:r>
      <w:r w:rsidR="00962E4C">
        <w:t>[pers. C]</w:t>
      </w:r>
      <w:r w:rsidR="00F113EA" w:rsidRPr="002113B7">
        <w:t xml:space="preserve"> </w:t>
      </w:r>
      <w:r w:rsidR="00D01E20" w:rsidRPr="002113B7">
        <w:t xml:space="preserve">agrāk sniegtās </w:t>
      </w:r>
      <w:r w:rsidR="00F113EA" w:rsidRPr="002113B7">
        <w:t>liecības (</w:t>
      </w:r>
      <w:r w:rsidR="006C3774" w:rsidRPr="002113B7">
        <w:rPr>
          <w:i/>
        </w:rPr>
        <w:t xml:space="preserve">Kurzemes apgabaltiesas 2023. gada 4. aprīļa sēdes </w:t>
      </w:r>
      <w:proofErr w:type="spellStart"/>
      <w:r w:rsidR="006C3774" w:rsidRPr="002113B7">
        <w:rPr>
          <w:i/>
        </w:rPr>
        <w:t>audio</w:t>
      </w:r>
      <w:r w:rsidR="002113B7" w:rsidRPr="002113B7">
        <w:rPr>
          <w:i/>
        </w:rPr>
        <w:t>protokols</w:t>
      </w:r>
      <w:proofErr w:type="spellEnd"/>
      <w:r w:rsidR="002113B7" w:rsidRPr="002113B7">
        <w:rPr>
          <w:i/>
        </w:rPr>
        <w:t xml:space="preserve"> 00:43</w:t>
      </w:r>
      <w:r w:rsidR="006C3774" w:rsidRPr="002113B7">
        <w:rPr>
          <w:i/>
        </w:rPr>
        <w:t>:</w:t>
      </w:r>
      <w:r w:rsidR="002113B7" w:rsidRPr="002113B7">
        <w:rPr>
          <w:i/>
        </w:rPr>
        <w:t>59</w:t>
      </w:r>
      <w:r w:rsidR="002113B7" w:rsidRPr="002113B7">
        <w:rPr>
          <w:rFonts w:eastAsiaTheme="minorHAnsi"/>
          <w:i/>
          <w:iCs/>
          <w:lang w:eastAsia="en-US"/>
        </w:rPr>
        <w:t>–</w:t>
      </w:r>
      <w:r w:rsidR="002113B7" w:rsidRPr="002113B7">
        <w:rPr>
          <w:i/>
        </w:rPr>
        <w:t>00:44:53</w:t>
      </w:r>
      <w:r w:rsidR="00F113EA" w:rsidRPr="002113B7">
        <w:t>).</w:t>
      </w:r>
    </w:p>
    <w:p w14:paraId="5B7D8D90" w14:textId="6AAB3586" w:rsidR="00B20F29" w:rsidRPr="00A2054A" w:rsidRDefault="00182F9C" w:rsidP="00FE2CB1">
      <w:pPr>
        <w:spacing w:line="276" w:lineRule="auto"/>
        <w:ind w:firstLine="709"/>
        <w:jc w:val="both"/>
      </w:pPr>
      <w:r>
        <w:t xml:space="preserve">[5.4] </w:t>
      </w:r>
      <w:r w:rsidR="0022230A" w:rsidRPr="00A2054A">
        <w:t xml:space="preserve">Senāts </w:t>
      </w:r>
      <w:r>
        <w:t>atzīst</w:t>
      </w:r>
      <w:r w:rsidR="0022230A" w:rsidRPr="00A2054A">
        <w:t xml:space="preserve">, ka apelācijas instances tiesa </w:t>
      </w:r>
      <w:r w:rsidR="008B700C">
        <w:t>spriedumu pamatojusi</w:t>
      </w:r>
      <w:r w:rsidR="00573954" w:rsidRPr="00A2054A">
        <w:t xml:space="preserve"> ar liecinieces </w:t>
      </w:r>
      <w:r w:rsidR="00962E4C">
        <w:t>[pers. C]</w:t>
      </w:r>
      <w:r w:rsidR="00573954" w:rsidRPr="00A2054A">
        <w:t xml:space="preserve"> </w:t>
      </w:r>
      <w:r w:rsidR="00BA0E65">
        <w:t>krimināl</w:t>
      </w:r>
      <w:r w:rsidR="00BA0E65" w:rsidRPr="00A2054A">
        <w:t xml:space="preserve">procesā </w:t>
      </w:r>
      <w:r w:rsidR="00D01E20">
        <w:t>agrāk</w:t>
      </w:r>
      <w:r w:rsidR="00573954" w:rsidRPr="00A2054A">
        <w:t xml:space="preserve"> sniegt</w:t>
      </w:r>
      <w:r w:rsidR="00262117" w:rsidRPr="00A2054A">
        <w:t>aj</w:t>
      </w:r>
      <w:r w:rsidR="00573954" w:rsidRPr="00A2054A">
        <w:t>ām liecībām, nenopratinot liecinieci tiesas sēdē</w:t>
      </w:r>
      <w:r w:rsidR="00196E54" w:rsidRPr="00A2054A">
        <w:t>,</w:t>
      </w:r>
      <w:r w:rsidR="005B22A7">
        <w:t xml:space="preserve"> </w:t>
      </w:r>
      <w:r w:rsidR="00573954" w:rsidRPr="00A2054A">
        <w:t xml:space="preserve">atbilstoši </w:t>
      </w:r>
      <w:r w:rsidR="00C51D3F" w:rsidRPr="00A2054A">
        <w:t>Kriminālp</w:t>
      </w:r>
      <w:r w:rsidR="00BA0E65">
        <w:t>rocesa likuma 512. panta otrās</w:t>
      </w:r>
      <w:r w:rsidR="00C51D3F" w:rsidRPr="00A2054A">
        <w:t xml:space="preserve"> daļ</w:t>
      </w:r>
      <w:r w:rsidR="00BA0E65">
        <w:t>as 4. punktam</w:t>
      </w:r>
      <w:r w:rsidR="00573954" w:rsidRPr="00A2054A">
        <w:t xml:space="preserve">, jo aizstāvība </w:t>
      </w:r>
      <w:r w:rsidR="00BA0E65" w:rsidRPr="00A2054A">
        <w:t xml:space="preserve">piekritusi šo liecību </w:t>
      </w:r>
      <w:r w:rsidR="00BA0E65">
        <w:t xml:space="preserve">izmantošanai un </w:t>
      </w:r>
      <w:r w:rsidR="008B700C">
        <w:t>nebija</w:t>
      </w:r>
      <w:r w:rsidR="0080556D">
        <w:t xml:space="preserve"> pie</w:t>
      </w:r>
      <w:r w:rsidR="00F113EA" w:rsidRPr="00A2054A">
        <w:t xml:space="preserve">teikusi lūgumu </w:t>
      </w:r>
      <w:r w:rsidR="00F113EA">
        <w:t>izsaukt uz tiesu kriminālprocesā agrāk nopratināto</w:t>
      </w:r>
      <w:r w:rsidR="00BA0E65">
        <w:t xml:space="preserve"> liecinieci, kuras liecības iekļautas tiesā izmantojamo pierādījumu uzskaitījumā.</w:t>
      </w:r>
    </w:p>
    <w:p w14:paraId="24A3346F" w14:textId="137B4B10" w:rsidR="00182F9C" w:rsidRDefault="00182F9C" w:rsidP="00FE2CB1">
      <w:pPr>
        <w:spacing w:line="276" w:lineRule="auto"/>
        <w:ind w:firstLine="709"/>
        <w:jc w:val="both"/>
      </w:pPr>
      <w:r>
        <w:t xml:space="preserve">[5.5] </w:t>
      </w:r>
      <w:r w:rsidR="000236C3">
        <w:t>Balstoties</w:t>
      </w:r>
      <w:r>
        <w:t xml:space="preserve"> uz izklāstīto apsvērumu kopumu, </w:t>
      </w:r>
      <w:r w:rsidR="00C46C60">
        <w:t xml:space="preserve">Senāts </w:t>
      </w:r>
      <w:r w:rsidR="007E156E">
        <w:t>uzskata</w:t>
      </w:r>
      <w:r w:rsidR="00C46C60">
        <w:t>, ka apelācijas instances tiesa,</w:t>
      </w:r>
      <w:r>
        <w:t xml:space="preserve"> pamatojot spriedumā izteiktos atzinumus ar liecinieces </w:t>
      </w:r>
      <w:r w:rsidR="00962E4C">
        <w:t>[pers. C]</w:t>
      </w:r>
      <w:r>
        <w:t xml:space="preserve"> </w:t>
      </w:r>
      <w:proofErr w:type="spellStart"/>
      <w:r>
        <w:t>pirmstiesas</w:t>
      </w:r>
      <w:proofErr w:type="spellEnd"/>
      <w:r>
        <w:t xml:space="preserve"> kriminālprocesā sniegtajām liecībām, nav pieļāvusi Kriminālprocesa likuma pārkāpumu. </w:t>
      </w:r>
    </w:p>
    <w:p w14:paraId="663E4764" w14:textId="2EEDFF69" w:rsidR="007C77E6" w:rsidRDefault="00182F9C" w:rsidP="000D333A">
      <w:pPr>
        <w:spacing w:line="276" w:lineRule="auto"/>
        <w:ind w:firstLine="709"/>
        <w:jc w:val="both"/>
      </w:pPr>
      <w:r>
        <w:t xml:space="preserve">Tādējādi Senāts </w:t>
      </w:r>
      <w:r w:rsidR="007E156E">
        <w:t>secina</w:t>
      </w:r>
      <w:r>
        <w:t>, ka kasatora norāde uz Kriminālprocesa likuma 455.</w:t>
      </w:r>
      <w:r w:rsidR="0083325E">
        <w:t> </w:t>
      </w:r>
      <w:r>
        <w:t>panta trešās daļas pārkāpumu un šā likuma 574. panta 1. un 3. punktā norādīto</w:t>
      </w:r>
      <w:r w:rsidR="00287955">
        <w:t xml:space="preserve"> Krimināllikuma pārkāpumu esību ir nepamatota un noraidāma.</w:t>
      </w:r>
    </w:p>
    <w:p w14:paraId="2A5A1FF3" w14:textId="77777777" w:rsidR="00287955" w:rsidRDefault="00287955" w:rsidP="000D333A">
      <w:pPr>
        <w:spacing w:line="276" w:lineRule="auto"/>
        <w:ind w:firstLine="709"/>
        <w:jc w:val="both"/>
      </w:pPr>
    </w:p>
    <w:p w14:paraId="25396D43" w14:textId="710721C0" w:rsidR="003038FE" w:rsidRPr="002F3C72" w:rsidRDefault="0022230A" w:rsidP="0083325E">
      <w:pPr>
        <w:autoSpaceDE w:val="0"/>
        <w:autoSpaceDN w:val="0"/>
        <w:adjustRightInd w:val="0"/>
        <w:spacing w:line="276" w:lineRule="auto"/>
        <w:ind w:firstLine="709"/>
        <w:jc w:val="both"/>
        <w:rPr>
          <w:rFonts w:ascii="TimesNewRomanPSMT" w:eastAsiaTheme="minorHAnsi" w:hAnsi="TimesNewRomanPSMT" w:cs="TimesNewRomanPSMT"/>
          <w:lang w:eastAsia="en-US"/>
        </w:rPr>
      </w:pPr>
      <w:r>
        <w:t>[</w:t>
      </w:r>
      <w:r w:rsidR="00287955">
        <w:t>6</w:t>
      </w:r>
      <w:r w:rsidR="00953B26">
        <w:t xml:space="preserve">] </w:t>
      </w:r>
      <w:r w:rsidR="000D333A">
        <w:t xml:space="preserve">No apelācijas instances tiesas sprieduma redzams, ka tiesa ir vērtējusi ziņas par apsūdzētā veselības stāvokli un konstatējusi, ka lietā nav iegūti pierādījumi apgalvojumam, ka </w:t>
      </w:r>
      <w:r w:rsidR="00962E4C">
        <w:t>[pers. A]</w:t>
      </w:r>
      <w:r w:rsidR="000D333A">
        <w:t xml:space="preserve"> būtu noteikta invaliditāte, kuras dēļ viņam būtu ierobežotas darbspējas un viņš nevarētu veikt sabiedrisko darbu. </w:t>
      </w:r>
    </w:p>
    <w:p w14:paraId="1127D4CA" w14:textId="299F7867" w:rsidR="001741E7" w:rsidRDefault="00EE3DB8" w:rsidP="001741E7">
      <w:pPr>
        <w:spacing w:line="276" w:lineRule="auto"/>
        <w:ind w:firstLine="709"/>
        <w:jc w:val="both"/>
      </w:pPr>
      <w:r>
        <w:t>Senāts konstatē, ka a</w:t>
      </w:r>
      <w:r w:rsidR="00953B26">
        <w:t xml:space="preserve">pelācijas instances </w:t>
      </w:r>
      <w:r w:rsidR="004B551A">
        <w:t xml:space="preserve">tiesas </w:t>
      </w:r>
      <w:r w:rsidR="00953B26">
        <w:t xml:space="preserve">spriedums par soda – sabiedriskais darbs </w:t>
      </w:r>
      <w:r w:rsidR="001741E7">
        <w:t xml:space="preserve">– piemērošanu atbilst Senāta judikatūrā nostiprinātajai atziņai, </w:t>
      </w:r>
      <w:r w:rsidR="00953B26">
        <w:t>ka p</w:t>
      </w:r>
      <w:r w:rsidR="001741E7">
        <w:t>ersonai ar fiziskiem vai psihiskiem traucējumiem soda veids – sabiedriskais darbs – ir piemērojams, ja tiesa, individuāli izvērtējot, atzīst, ka persona to spēj veikt. Apstāklis, ka personai ir noteikta invaliditāte, pats par sevi nav šķērslis sabiedriskā darba piemērošanai, tai skaitā par noziedzīgu nodarījumu, kas izdar</w:t>
      </w:r>
      <w:r w:rsidR="00953B26">
        <w:t xml:space="preserve">īts pirms 2022. gada 1. janvāra </w:t>
      </w:r>
      <w:r w:rsidR="001741E7">
        <w:t>(</w:t>
      </w:r>
      <w:r w:rsidR="001741E7" w:rsidRPr="00953B26">
        <w:rPr>
          <w:i/>
        </w:rPr>
        <w:t xml:space="preserve">Senāta 2023. gada 26. janvāra lēmums lietā Nr. SKK-37/2023, 11088175812, </w:t>
      </w:r>
      <w:hyperlink r:id="rId11" w:history="1">
        <w:hyperlink r:id="rId12" w:history="1">
          <w:r w:rsidR="00B928E2" w:rsidRPr="00303130">
            <w:rPr>
              <w:rStyle w:val="Hyperlink"/>
              <w:i/>
              <w:shd w:val="clear" w:color="auto" w:fill="FFFFFF"/>
            </w:rPr>
            <w:t>ECLI:LV:AT:2023:0126.11088175812.12.L</w:t>
          </w:r>
          <w:r w:rsidR="00B928E2" w:rsidRPr="00303130">
            <w:rPr>
              <w:rStyle w:val="Hyperlink"/>
            </w:rPr>
            <w:t>)</w:t>
          </w:r>
        </w:hyperlink>
      </w:hyperlink>
      <w:r w:rsidR="003469CC">
        <w:t xml:space="preserve"> </w:t>
      </w:r>
    </w:p>
    <w:p w14:paraId="6E8ADFAA" w14:textId="77777777" w:rsidR="000A61BE" w:rsidRDefault="000A61BE" w:rsidP="00D549DE">
      <w:pPr>
        <w:spacing w:line="276" w:lineRule="auto"/>
        <w:ind w:firstLine="709"/>
        <w:jc w:val="both"/>
      </w:pPr>
    </w:p>
    <w:p w14:paraId="0750FE07" w14:textId="77777777" w:rsidR="00303130" w:rsidRDefault="000D333A" w:rsidP="00303130">
      <w:pPr>
        <w:spacing w:line="276" w:lineRule="auto"/>
        <w:ind w:firstLine="709"/>
        <w:jc w:val="both"/>
      </w:pPr>
      <w:r>
        <w:t xml:space="preserve">[7] </w:t>
      </w:r>
      <w:r w:rsidR="0055191A">
        <w:t xml:space="preserve">Apelācijas instances tiesa, pamatojoties uz spriedumā izvērtētiem pierādījumiem, </w:t>
      </w:r>
      <w:r w:rsidR="00031913">
        <w:t>atzinusi</w:t>
      </w:r>
      <w:r w:rsidR="0055191A">
        <w:t>, ka</w:t>
      </w:r>
      <w:r w:rsidR="00031913">
        <w:t xml:space="preserve"> apsūdzēt</w:t>
      </w:r>
      <w:r w:rsidR="005F0C72">
        <w:t>ie, nodarot miesas bojājumus cietušajam, ir rīkojušies kopīgi un saskaņoti, ar vienotu nodomu.</w:t>
      </w:r>
      <w:r w:rsidR="00303130">
        <w:t xml:space="preserve"> </w:t>
      </w:r>
    </w:p>
    <w:p w14:paraId="59F3B171" w14:textId="77777777" w:rsidR="00303130" w:rsidRDefault="005F0C72" w:rsidP="00303130">
      <w:pPr>
        <w:spacing w:line="276" w:lineRule="auto"/>
        <w:ind w:firstLine="709"/>
        <w:jc w:val="both"/>
      </w:pPr>
      <w:r>
        <w:t>Kasatora apgalvojums, ka tiesas atzinums par noziedzīgā nodarījuma izdarīšanu grupā ir pamatots ar nepareizi novērtētiem pierādījumiem, nav argumentēts ar Kriminālprocesa likuma būtisku pārkāpumu pierādījumu novērtēšanā un ir vērsts uz pierādījumu izvērtēšanu no jauna.</w:t>
      </w:r>
    </w:p>
    <w:p w14:paraId="1089D0BB" w14:textId="56AD85D2" w:rsidR="005F0C72" w:rsidRDefault="005F0C72" w:rsidP="00303130">
      <w:pPr>
        <w:spacing w:line="276" w:lineRule="auto"/>
        <w:ind w:firstLine="709"/>
        <w:jc w:val="both"/>
      </w:pPr>
      <w:r>
        <w:t>Saskaņā ar Kriminālprocesa likuma 569. panta trešo daļu kasācijas instances tiesa pierādījumus lietā no jauna neizvērtē.</w:t>
      </w:r>
    </w:p>
    <w:p w14:paraId="45B14B60" w14:textId="77777777" w:rsidR="005F0C72" w:rsidRPr="002F3C72" w:rsidRDefault="005F0C72" w:rsidP="005F0C72">
      <w:pPr>
        <w:autoSpaceDE w:val="0"/>
        <w:autoSpaceDN w:val="0"/>
        <w:adjustRightInd w:val="0"/>
        <w:jc w:val="both"/>
        <w:rPr>
          <w:rFonts w:ascii="TimesNewRomanPSMT" w:eastAsiaTheme="minorHAnsi" w:hAnsi="TimesNewRomanPSMT" w:cs="TimesNewRomanPSMT"/>
          <w:lang w:eastAsia="en-US"/>
        </w:rPr>
      </w:pPr>
    </w:p>
    <w:p w14:paraId="5FAC3B3D" w14:textId="6E1FD0B2" w:rsidR="00D549DE" w:rsidRDefault="0022230A" w:rsidP="00D549DE">
      <w:pPr>
        <w:spacing w:line="276" w:lineRule="auto"/>
        <w:ind w:firstLine="709"/>
        <w:jc w:val="both"/>
      </w:pPr>
      <w:r>
        <w:t>[8</w:t>
      </w:r>
      <w:r w:rsidR="00D549DE">
        <w:t xml:space="preserve">] Ievērojot minēto apsvērumu kopumu, Senāts atzīst, ka </w:t>
      </w:r>
      <w:r w:rsidR="00A44D1C">
        <w:rPr>
          <w:lang w:eastAsia="lv-LV"/>
        </w:rPr>
        <w:t>Kurzemes apgabaltiesas 2023. gada 7. jūnija spriedums</w:t>
      </w:r>
      <w:r w:rsidR="00D549DE">
        <w:t xml:space="preserve"> ats</w:t>
      </w:r>
      <w:r w:rsidR="00A44D1C">
        <w:t xml:space="preserve">tājams negrozīts, bet apsūdzētā </w:t>
      </w:r>
      <w:r w:rsidR="00962E4C">
        <w:t>[pers. A]</w:t>
      </w:r>
      <w:r w:rsidR="00D549DE">
        <w:t xml:space="preserve"> kasācijas</w:t>
      </w:r>
      <w:r w:rsidR="00A44D1C">
        <w:t xml:space="preserve"> </w:t>
      </w:r>
      <w:r w:rsidR="00D549DE">
        <w:t>sūdzība noraidāma.</w:t>
      </w:r>
    </w:p>
    <w:p w14:paraId="6F7520F9" w14:textId="77777777" w:rsidR="00D549DE" w:rsidRDefault="00D549DE" w:rsidP="00A80C69">
      <w:pPr>
        <w:spacing w:line="276" w:lineRule="auto"/>
        <w:ind w:firstLine="709"/>
        <w:jc w:val="both"/>
      </w:pPr>
    </w:p>
    <w:p w14:paraId="27E5CD1E" w14:textId="77777777" w:rsidR="00E27F3F" w:rsidRPr="00E27F3F" w:rsidRDefault="00E27F3F" w:rsidP="00BF024E">
      <w:pPr>
        <w:spacing w:line="276" w:lineRule="auto"/>
        <w:jc w:val="center"/>
        <w:rPr>
          <w:b/>
        </w:rPr>
      </w:pPr>
      <w:r w:rsidRPr="00E27F3F">
        <w:rPr>
          <w:b/>
        </w:rPr>
        <w:t>Rezolutīvā daļa</w:t>
      </w:r>
    </w:p>
    <w:p w14:paraId="35FAAF92" w14:textId="77777777" w:rsidR="00E27F3F" w:rsidRDefault="00E27F3F" w:rsidP="00E27F3F">
      <w:pPr>
        <w:spacing w:line="276" w:lineRule="auto"/>
        <w:ind w:firstLine="709"/>
        <w:jc w:val="both"/>
      </w:pPr>
    </w:p>
    <w:p w14:paraId="6D2E4C4D" w14:textId="778E7D53" w:rsidR="00E27F3F" w:rsidRDefault="00E27F3F" w:rsidP="00E27F3F">
      <w:pPr>
        <w:spacing w:line="276" w:lineRule="auto"/>
        <w:ind w:firstLine="709"/>
        <w:jc w:val="both"/>
      </w:pPr>
      <w:r>
        <w:t>Pamatojoties uz Kriminālprocesa likuma 585. un 587. pantu, Senāts</w:t>
      </w:r>
    </w:p>
    <w:p w14:paraId="24322521" w14:textId="77777777" w:rsidR="00E27F3F" w:rsidRDefault="00E27F3F" w:rsidP="00E27F3F">
      <w:pPr>
        <w:spacing w:line="276" w:lineRule="auto"/>
        <w:ind w:firstLine="709"/>
        <w:jc w:val="both"/>
      </w:pPr>
    </w:p>
    <w:p w14:paraId="32C71FE8" w14:textId="77777777" w:rsidR="00E27F3F" w:rsidRPr="00E27F3F" w:rsidRDefault="00E27F3F" w:rsidP="00BF024E">
      <w:pPr>
        <w:spacing w:line="276" w:lineRule="auto"/>
        <w:jc w:val="center"/>
        <w:rPr>
          <w:b/>
        </w:rPr>
      </w:pPr>
      <w:r w:rsidRPr="00E27F3F">
        <w:rPr>
          <w:b/>
        </w:rPr>
        <w:t>nolēma</w:t>
      </w:r>
    </w:p>
    <w:p w14:paraId="0C2C2989" w14:textId="77777777" w:rsidR="00E27F3F" w:rsidRDefault="00E27F3F" w:rsidP="00E27F3F">
      <w:pPr>
        <w:spacing w:line="276" w:lineRule="auto"/>
        <w:ind w:firstLine="709"/>
        <w:jc w:val="both"/>
      </w:pPr>
    </w:p>
    <w:p w14:paraId="15421D7A" w14:textId="4B428059" w:rsidR="00E27F3F" w:rsidRDefault="00A44D1C" w:rsidP="00A44D1C">
      <w:pPr>
        <w:spacing w:line="276" w:lineRule="auto"/>
        <w:ind w:firstLine="709"/>
        <w:jc w:val="both"/>
      </w:pPr>
      <w:r>
        <w:t xml:space="preserve">atstāt negrozītu </w:t>
      </w:r>
      <w:r>
        <w:rPr>
          <w:lang w:eastAsia="lv-LV"/>
        </w:rPr>
        <w:t xml:space="preserve">Kurzemes apgabaltiesas 2023. gada 7. jūnija </w:t>
      </w:r>
      <w:r>
        <w:t xml:space="preserve">spriedumu, bet apsūdzētā </w:t>
      </w:r>
      <w:r w:rsidR="00962E4C">
        <w:t>[pers. A]</w:t>
      </w:r>
      <w:r>
        <w:t xml:space="preserve"> kasācijas sūdzību noraidīt</w:t>
      </w:r>
      <w:r w:rsidR="00E27F3F">
        <w:t>.</w:t>
      </w:r>
    </w:p>
    <w:p w14:paraId="6DD70F8A" w14:textId="77777777" w:rsidR="003F196B" w:rsidRPr="00B565B1" w:rsidRDefault="003F196B" w:rsidP="003F196B">
      <w:pPr>
        <w:spacing w:line="276" w:lineRule="auto"/>
        <w:ind w:firstLine="567"/>
        <w:jc w:val="both"/>
      </w:pPr>
    </w:p>
    <w:p w14:paraId="049D1CB4" w14:textId="5142ABC0" w:rsidR="00447EE6" w:rsidRPr="005E392D" w:rsidRDefault="003F196B" w:rsidP="00962E4C">
      <w:pPr>
        <w:spacing w:line="276" w:lineRule="auto"/>
        <w:ind w:firstLine="709"/>
        <w:jc w:val="both"/>
      </w:pPr>
      <w:r w:rsidRPr="00B565B1">
        <w:t>Lēmums nav pārsūdzams.</w:t>
      </w:r>
    </w:p>
    <w:sectPr w:rsidR="00447EE6" w:rsidRPr="005E392D" w:rsidSect="002463DE">
      <w:footerReference w:type="default" r:id="rId1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25B4" w14:textId="77777777" w:rsidR="002463DE" w:rsidRDefault="002463DE" w:rsidP="004A1F75">
      <w:r>
        <w:separator/>
      </w:r>
    </w:p>
  </w:endnote>
  <w:endnote w:type="continuationSeparator" w:id="0">
    <w:p w14:paraId="78C08354" w14:textId="77777777" w:rsidR="002463DE" w:rsidRDefault="002463DE" w:rsidP="004A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68103"/>
      <w:docPartObj>
        <w:docPartGallery w:val="Page Numbers (Bottom of Page)"/>
        <w:docPartUnique/>
      </w:docPartObj>
    </w:sdtPr>
    <w:sdtEndPr/>
    <w:sdtContent>
      <w:sdt>
        <w:sdtPr>
          <w:id w:val="-1669238322"/>
          <w:docPartObj>
            <w:docPartGallery w:val="Page Numbers (Top of Page)"/>
            <w:docPartUnique/>
          </w:docPartObj>
        </w:sdtPr>
        <w:sdtEndPr/>
        <w:sdtContent>
          <w:p w14:paraId="39EF26BF" w14:textId="086223F6" w:rsidR="005A5A6A" w:rsidRDefault="005A5A6A">
            <w:pPr>
              <w:pStyle w:val="Footer"/>
              <w:jc w:val="center"/>
            </w:pPr>
            <w:r w:rsidRPr="005A5A6A">
              <w:rPr>
                <w:bCs/>
              </w:rPr>
              <w:fldChar w:fldCharType="begin"/>
            </w:r>
            <w:r w:rsidRPr="005A5A6A">
              <w:rPr>
                <w:bCs/>
              </w:rPr>
              <w:instrText>PAGE</w:instrText>
            </w:r>
            <w:r w:rsidRPr="005A5A6A">
              <w:rPr>
                <w:bCs/>
              </w:rPr>
              <w:fldChar w:fldCharType="separate"/>
            </w:r>
            <w:r w:rsidR="00296B52">
              <w:rPr>
                <w:bCs/>
                <w:noProof/>
              </w:rPr>
              <w:t>5</w:t>
            </w:r>
            <w:r w:rsidRPr="005A5A6A">
              <w:rPr>
                <w:bCs/>
              </w:rPr>
              <w:fldChar w:fldCharType="end"/>
            </w:r>
            <w:r w:rsidRPr="005A5A6A">
              <w:t xml:space="preserve"> no </w:t>
            </w:r>
            <w:r w:rsidRPr="005A5A6A">
              <w:rPr>
                <w:bCs/>
              </w:rPr>
              <w:fldChar w:fldCharType="begin"/>
            </w:r>
            <w:r w:rsidRPr="005A5A6A">
              <w:rPr>
                <w:bCs/>
              </w:rPr>
              <w:instrText>NUMPAGES</w:instrText>
            </w:r>
            <w:r w:rsidRPr="005A5A6A">
              <w:rPr>
                <w:bCs/>
              </w:rPr>
              <w:fldChar w:fldCharType="separate"/>
            </w:r>
            <w:r w:rsidR="00296B52">
              <w:rPr>
                <w:bCs/>
                <w:noProof/>
              </w:rPr>
              <w:t>5</w:t>
            </w:r>
            <w:r w:rsidRPr="005A5A6A">
              <w:rPr>
                <w:bCs/>
              </w:rPr>
              <w:fldChar w:fldCharType="end"/>
            </w:r>
          </w:p>
        </w:sdtContent>
      </w:sdt>
    </w:sdtContent>
  </w:sdt>
  <w:p w14:paraId="0EAFAB05" w14:textId="701D9522" w:rsidR="004A1F75" w:rsidRDefault="004A1F75" w:rsidP="004A1F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5266B" w14:textId="77777777" w:rsidR="002463DE" w:rsidRDefault="002463DE" w:rsidP="004A1F75">
      <w:r>
        <w:separator/>
      </w:r>
    </w:p>
  </w:footnote>
  <w:footnote w:type="continuationSeparator" w:id="0">
    <w:p w14:paraId="66F04500" w14:textId="77777777" w:rsidR="002463DE" w:rsidRDefault="002463DE" w:rsidP="004A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95166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D53"/>
    <w:rsid w:val="00004E3F"/>
    <w:rsid w:val="00006F08"/>
    <w:rsid w:val="000105BD"/>
    <w:rsid w:val="000236C3"/>
    <w:rsid w:val="00031163"/>
    <w:rsid w:val="00031913"/>
    <w:rsid w:val="000458E7"/>
    <w:rsid w:val="000541CC"/>
    <w:rsid w:val="0006201A"/>
    <w:rsid w:val="00062E61"/>
    <w:rsid w:val="00097CE3"/>
    <w:rsid w:val="000A0098"/>
    <w:rsid w:val="000A17FA"/>
    <w:rsid w:val="000A61BE"/>
    <w:rsid w:val="000D333A"/>
    <w:rsid w:val="00101925"/>
    <w:rsid w:val="00141A22"/>
    <w:rsid w:val="001443E9"/>
    <w:rsid w:val="001530E7"/>
    <w:rsid w:val="00153711"/>
    <w:rsid w:val="001741E7"/>
    <w:rsid w:val="00177A7F"/>
    <w:rsid w:val="00182F9C"/>
    <w:rsid w:val="001965C4"/>
    <w:rsid w:val="00196E54"/>
    <w:rsid w:val="001A2915"/>
    <w:rsid w:val="001C0454"/>
    <w:rsid w:val="001C291C"/>
    <w:rsid w:val="001C6135"/>
    <w:rsid w:val="001D239D"/>
    <w:rsid w:val="001E5D9F"/>
    <w:rsid w:val="001F684F"/>
    <w:rsid w:val="002113B7"/>
    <w:rsid w:val="0022230A"/>
    <w:rsid w:val="00230A08"/>
    <w:rsid w:val="00233FFE"/>
    <w:rsid w:val="00245641"/>
    <w:rsid w:val="002463DE"/>
    <w:rsid w:val="002615E4"/>
    <w:rsid w:val="00262117"/>
    <w:rsid w:val="00262CB3"/>
    <w:rsid w:val="00287955"/>
    <w:rsid w:val="00295770"/>
    <w:rsid w:val="00296B52"/>
    <w:rsid w:val="002C5EDA"/>
    <w:rsid w:val="002D76C1"/>
    <w:rsid w:val="002F3C72"/>
    <w:rsid w:val="00303130"/>
    <w:rsid w:val="003038FE"/>
    <w:rsid w:val="003130FB"/>
    <w:rsid w:val="00314AEC"/>
    <w:rsid w:val="00322954"/>
    <w:rsid w:val="0033493F"/>
    <w:rsid w:val="003418F2"/>
    <w:rsid w:val="003469CC"/>
    <w:rsid w:val="00353932"/>
    <w:rsid w:val="003D65D3"/>
    <w:rsid w:val="003E1C4C"/>
    <w:rsid w:val="003F196B"/>
    <w:rsid w:val="00407983"/>
    <w:rsid w:val="00421E93"/>
    <w:rsid w:val="00432F2D"/>
    <w:rsid w:val="00446A39"/>
    <w:rsid w:val="00447EE6"/>
    <w:rsid w:val="00452065"/>
    <w:rsid w:val="00471DF3"/>
    <w:rsid w:val="00474CF1"/>
    <w:rsid w:val="00476C5D"/>
    <w:rsid w:val="004812E0"/>
    <w:rsid w:val="004A1F75"/>
    <w:rsid w:val="004B2A94"/>
    <w:rsid w:val="004B551A"/>
    <w:rsid w:val="004C7FD7"/>
    <w:rsid w:val="004D2C74"/>
    <w:rsid w:val="004E2244"/>
    <w:rsid w:val="004E3DE1"/>
    <w:rsid w:val="00505439"/>
    <w:rsid w:val="00535076"/>
    <w:rsid w:val="00541B64"/>
    <w:rsid w:val="00547C02"/>
    <w:rsid w:val="0055191A"/>
    <w:rsid w:val="00551B8F"/>
    <w:rsid w:val="00567624"/>
    <w:rsid w:val="00573954"/>
    <w:rsid w:val="00577693"/>
    <w:rsid w:val="00585D64"/>
    <w:rsid w:val="005A5A6A"/>
    <w:rsid w:val="005B22A7"/>
    <w:rsid w:val="005F0C72"/>
    <w:rsid w:val="006062B5"/>
    <w:rsid w:val="00606E87"/>
    <w:rsid w:val="006074CB"/>
    <w:rsid w:val="006168E9"/>
    <w:rsid w:val="00622231"/>
    <w:rsid w:val="006266C1"/>
    <w:rsid w:val="0064654C"/>
    <w:rsid w:val="00666A2E"/>
    <w:rsid w:val="006A3636"/>
    <w:rsid w:val="006B047D"/>
    <w:rsid w:val="006B6E7A"/>
    <w:rsid w:val="006C3774"/>
    <w:rsid w:val="006C4BB8"/>
    <w:rsid w:val="006E054F"/>
    <w:rsid w:val="006E5B90"/>
    <w:rsid w:val="00731D86"/>
    <w:rsid w:val="007534B8"/>
    <w:rsid w:val="00764BE5"/>
    <w:rsid w:val="00765764"/>
    <w:rsid w:val="0077294D"/>
    <w:rsid w:val="007A1E39"/>
    <w:rsid w:val="007A7A85"/>
    <w:rsid w:val="007B7543"/>
    <w:rsid w:val="007C48F8"/>
    <w:rsid w:val="007C77E6"/>
    <w:rsid w:val="007D42D4"/>
    <w:rsid w:val="007D6220"/>
    <w:rsid w:val="007E03D4"/>
    <w:rsid w:val="007E0C55"/>
    <w:rsid w:val="007E146B"/>
    <w:rsid w:val="007E156E"/>
    <w:rsid w:val="0080556D"/>
    <w:rsid w:val="0083325E"/>
    <w:rsid w:val="008426CF"/>
    <w:rsid w:val="008B131F"/>
    <w:rsid w:val="008B700C"/>
    <w:rsid w:val="008E3365"/>
    <w:rsid w:val="008F0317"/>
    <w:rsid w:val="00904FD9"/>
    <w:rsid w:val="00920733"/>
    <w:rsid w:val="0093407B"/>
    <w:rsid w:val="00953B26"/>
    <w:rsid w:val="00956932"/>
    <w:rsid w:val="00960222"/>
    <w:rsid w:val="00962E4C"/>
    <w:rsid w:val="0096399A"/>
    <w:rsid w:val="00973E00"/>
    <w:rsid w:val="009A4AD5"/>
    <w:rsid w:val="009C68D2"/>
    <w:rsid w:val="009E0EA5"/>
    <w:rsid w:val="009F16D0"/>
    <w:rsid w:val="00A00205"/>
    <w:rsid w:val="00A0356F"/>
    <w:rsid w:val="00A2054A"/>
    <w:rsid w:val="00A226D2"/>
    <w:rsid w:val="00A44D1C"/>
    <w:rsid w:val="00A57497"/>
    <w:rsid w:val="00A63BF9"/>
    <w:rsid w:val="00A80C69"/>
    <w:rsid w:val="00A839E9"/>
    <w:rsid w:val="00AA7548"/>
    <w:rsid w:val="00AC25EC"/>
    <w:rsid w:val="00AC6539"/>
    <w:rsid w:val="00AD5369"/>
    <w:rsid w:val="00AF17A4"/>
    <w:rsid w:val="00B20F29"/>
    <w:rsid w:val="00B323BE"/>
    <w:rsid w:val="00B504E8"/>
    <w:rsid w:val="00B54F4B"/>
    <w:rsid w:val="00B928E2"/>
    <w:rsid w:val="00BA0E65"/>
    <w:rsid w:val="00BA7F24"/>
    <w:rsid w:val="00BF024E"/>
    <w:rsid w:val="00C039F5"/>
    <w:rsid w:val="00C06CA1"/>
    <w:rsid w:val="00C101E3"/>
    <w:rsid w:val="00C15F2A"/>
    <w:rsid w:val="00C16630"/>
    <w:rsid w:val="00C3328B"/>
    <w:rsid w:val="00C369CC"/>
    <w:rsid w:val="00C4539D"/>
    <w:rsid w:val="00C46C60"/>
    <w:rsid w:val="00C5023B"/>
    <w:rsid w:val="00C51D3F"/>
    <w:rsid w:val="00C60316"/>
    <w:rsid w:val="00C67D83"/>
    <w:rsid w:val="00C76330"/>
    <w:rsid w:val="00C852D6"/>
    <w:rsid w:val="00C90808"/>
    <w:rsid w:val="00C91B81"/>
    <w:rsid w:val="00CA14F3"/>
    <w:rsid w:val="00CC471C"/>
    <w:rsid w:val="00CC6093"/>
    <w:rsid w:val="00CC6A6C"/>
    <w:rsid w:val="00D01E20"/>
    <w:rsid w:val="00D137FE"/>
    <w:rsid w:val="00D2018F"/>
    <w:rsid w:val="00D20ABC"/>
    <w:rsid w:val="00D346C0"/>
    <w:rsid w:val="00D346EE"/>
    <w:rsid w:val="00D549DE"/>
    <w:rsid w:val="00D54F4D"/>
    <w:rsid w:val="00D56BC1"/>
    <w:rsid w:val="00D96048"/>
    <w:rsid w:val="00E044C5"/>
    <w:rsid w:val="00E10C80"/>
    <w:rsid w:val="00E27F3F"/>
    <w:rsid w:val="00E3095E"/>
    <w:rsid w:val="00E37B8B"/>
    <w:rsid w:val="00E42F01"/>
    <w:rsid w:val="00E6414F"/>
    <w:rsid w:val="00E74595"/>
    <w:rsid w:val="00E912C6"/>
    <w:rsid w:val="00EC2700"/>
    <w:rsid w:val="00ED2F53"/>
    <w:rsid w:val="00EE3DB8"/>
    <w:rsid w:val="00F113EA"/>
    <w:rsid w:val="00F232AB"/>
    <w:rsid w:val="00F26316"/>
    <w:rsid w:val="00F315F7"/>
    <w:rsid w:val="00F32E7A"/>
    <w:rsid w:val="00F43ABC"/>
    <w:rsid w:val="00F637F0"/>
    <w:rsid w:val="00F676D8"/>
    <w:rsid w:val="00F7329A"/>
    <w:rsid w:val="00F73AD8"/>
    <w:rsid w:val="00F869D5"/>
    <w:rsid w:val="00FA27DF"/>
    <w:rsid w:val="00FA314C"/>
    <w:rsid w:val="00FC36CB"/>
    <w:rsid w:val="00FD0B01"/>
    <w:rsid w:val="00FD0DD5"/>
    <w:rsid w:val="00FD2FE3"/>
    <w:rsid w:val="00FD7891"/>
    <w:rsid w:val="00FE1C38"/>
    <w:rsid w:val="00FE2CB1"/>
    <w:rsid w:val="00FE3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4A1F75"/>
    <w:pPr>
      <w:tabs>
        <w:tab w:val="center" w:pos="4680"/>
        <w:tab w:val="right" w:pos="9360"/>
      </w:tabs>
    </w:pPr>
  </w:style>
  <w:style w:type="character" w:customStyle="1" w:styleId="HeaderChar">
    <w:name w:val="Header Char"/>
    <w:basedOn w:val="DefaultParagraphFont"/>
    <w:link w:val="Header"/>
    <w:uiPriority w:val="99"/>
    <w:rsid w:val="004A1F75"/>
    <w:rPr>
      <w:rFonts w:eastAsia="Times New Roman" w:cs="Times New Roman"/>
      <w:szCs w:val="24"/>
      <w:lang w:val="lv-LV" w:eastAsia="ru-RU"/>
    </w:rPr>
  </w:style>
  <w:style w:type="paragraph" w:styleId="Footer">
    <w:name w:val="footer"/>
    <w:basedOn w:val="Normal"/>
    <w:link w:val="FooterChar"/>
    <w:uiPriority w:val="99"/>
    <w:unhideWhenUsed/>
    <w:rsid w:val="004A1F75"/>
    <w:pPr>
      <w:tabs>
        <w:tab w:val="center" w:pos="4680"/>
        <w:tab w:val="right" w:pos="9360"/>
      </w:tabs>
    </w:pPr>
  </w:style>
  <w:style w:type="character" w:customStyle="1" w:styleId="FooterChar">
    <w:name w:val="Footer Char"/>
    <w:basedOn w:val="DefaultParagraphFont"/>
    <w:link w:val="Footer"/>
    <w:uiPriority w:val="99"/>
    <w:rsid w:val="004A1F75"/>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7A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9"/>
    <w:rPr>
      <w:rFonts w:ascii="Segoe UI" w:eastAsia="Times New Roman" w:hAnsi="Segoe UI" w:cs="Segoe UI"/>
      <w:sz w:val="18"/>
      <w:szCs w:val="18"/>
      <w:lang w:val="lv-LV" w:eastAsia="ru-RU"/>
    </w:rPr>
  </w:style>
  <w:style w:type="paragraph" w:customStyle="1" w:styleId="tv213">
    <w:name w:val="tv213"/>
    <w:basedOn w:val="Normal"/>
    <w:rsid w:val="00C3328B"/>
    <w:pPr>
      <w:spacing w:before="100" w:beforeAutospacing="1" w:after="100" w:afterAutospacing="1"/>
    </w:pPr>
    <w:rPr>
      <w:lang w:val="en-US" w:eastAsia="en-US"/>
    </w:rPr>
  </w:style>
  <w:style w:type="character" w:styleId="Hyperlink">
    <w:name w:val="Hyperlink"/>
    <w:basedOn w:val="DefaultParagraphFont"/>
    <w:uiPriority w:val="99"/>
    <w:unhideWhenUsed/>
    <w:rsid w:val="00C3328B"/>
    <w:rPr>
      <w:color w:val="0000FF"/>
      <w:u w:val="single"/>
    </w:rPr>
  </w:style>
  <w:style w:type="character" w:styleId="FollowedHyperlink">
    <w:name w:val="FollowedHyperlink"/>
    <w:basedOn w:val="DefaultParagraphFont"/>
    <w:uiPriority w:val="99"/>
    <w:semiHidden/>
    <w:unhideWhenUsed/>
    <w:rsid w:val="003038FE"/>
    <w:rPr>
      <w:color w:val="954F72" w:themeColor="followedHyperlink"/>
      <w:u w:val="single"/>
    </w:rPr>
  </w:style>
  <w:style w:type="character" w:styleId="UnresolvedMention">
    <w:name w:val="Unresolved Mention"/>
    <w:basedOn w:val="DefaultParagraphFont"/>
    <w:uiPriority w:val="99"/>
    <w:semiHidden/>
    <w:unhideWhenUsed/>
    <w:rsid w:val="00303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23172">
      <w:bodyDiv w:val="1"/>
      <w:marLeft w:val="0"/>
      <w:marRight w:val="0"/>
      <w:marTop w:val="0"/>
      <w:marBottom w:val="0"/>
      <w:divBdr>
        <w:top w:val="none" w:sz="0" w:space="0" w:color="auto"/>
        <w:left w:val="none" w:sz="0" w:space="0" w:color="auto"/>
        <w:bottom w:val="none" w:sz="0" w:space="0" w:color="auto"/>
        <w:right w:val="none" w:sz="0" w:space="0" w:color="auto"/>
      </w:divBdr>
    </w:div>
    <w:div w:id="1045179993">
      <w:bodyDiv w:val="1"/>
      <w:marLeft w:val="0"/>
      <w:marRight w:val="0"/>
      <w:marTop w:val="0"/>
      <w:marBottom w:val="0"/>
      <w:divBdr>
        <w:top w:val="none" w:sz="0" w:space="0" w:color="auto"/>
        <w:left w:val="none" w:sz="0" w:space="0" w:color="auto"/>
        <w:bottom w:val="none" w:sz="0" w:space="0" w:color="auto"/>
        <w:right w:val="none" w:sz="0" w:space="0" w:color="auto"/>
      </w:divBdr>
    </w:div>
    <w:div w:id="1283656907">
      <w:bodyDiv w:val="1"/>
      <w:marLeft w:val="0"/>
      <w:marRight w:val="0"/>
      <w:marTop w:val="0"/>
      <w:marBottom w:val="0"/>
      <w:divBdr>
        <w:top w:val="none" w:sz="0" w:space="0" w:color="auto"/>
        <w:left w:val="none" w:sz="0" w:space="0" w:color="auto"/>
        <w:bottom w:val="none" w:sz="0" w:space="0" w:color="auto"/>
        <w:right w:val="none" w:sz="0" w:space="0" w:color="auto"/>
      </w:divBdr>
    </w:div>
    <w:div w:id="1411267509">
      <w:bodyDiv w:val="1"/>
      <w:marLeft w:val="0"/>
      <w:marRight w:val="0"/>
      <w:marTop w:val="0"/>
      <w:marBottom w:val="0"/>
      <w:divBdr>
        <w:top w:val="none" w:sz="0" w:space="0" w:color="auto"/>
        <w:left w:val="none" w:sz="0" w:space="0" w:color="auto"/>
        <w:bottom w:val="none" w:sz="0" w:space="0" w:color="auto"/>
        <w:right w:val="none" w:sz="0" w:space="0" w:color="auto"/>
      </w:divBdr>
    </w:div>
    <w:div w:id="1500079763">
      <w:bodyDiv w:val="1"/>
      <w:marLeft w:val="0"/>
      <w:marRight w:val="0"/>
      <w:marTop w:val="0"/>
      <w:marBottom w:val="0"/>
      <w:divBdr>
        <w:top w:val="none" w:sz="0" w:space="0" w:color="auto"/>
        <w:left w:val="none" w:sz="0" w:space="0" w:color="auto"/>
        <w:bottom w:val="none" w:sz="0" w:space="0" w:color="auto"/>
        <w:right w:val="none" w:sz="0" w:space="0" w:color="auto"/>
      </w:divBdr>
    </w:div>
    <w:div w:id="20208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53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88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97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19095-grozijumi-kriminalprocesa-likuma" TargetMode="External"/><Relationship Id="rId4" Type="http://schemas.openxmlformats.org/officeDocument/2006/relationships/settings" Target="settings.xml"/><Relationship Id="rId9" Type="http://schemas.openxmlformats.org/officeDocument/2006/relationships/hyperlink" Target="https://titania.saeima.lv/LIVS13/SaeimaLIVS13.nsf/webSasaiste?OpenView&amp;restricttocategory=555/Lp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6E45-1BB6-42A3-A503-F36893F5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2024-04-05T06:51:00Z</dcterms:created>
  <dcterms:modified xsi:type="dcterms:W3CDTF">2024-04-05T06:51:00Z</dcterms:modified>
</cp:coreProperties>
</file>