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26C45" w14:textId="77777777" w:rsidR="000C08E5" w:rsidRPr="00940FA4" w:rsidRDefault="000C08E5" w:rsidP="00940FA4">
      <w:pPr>
        <w:autoSpaceDE w:val="0"/>
        <w:autoSpaceDN w:val="0"/>
        <w:spacing w:line="276" w:lineRule="auto"/>
        <w:jc w:val="both"/>
        <w:rPr>
          <w:rFonts w:asciiTheme="majorBidi" w:hAnsiTheme="majorBidi" w:cstheme="majorBidi"/>
          <w:b/>
          <w:bCs/>
          <w:color w:val="000000"/>
        </w:rPr>
      </w:pPr>
      <w:r w:rsidRPr="00940FA4">
        <w:rPr>
          <w:rFonts w:asciiTheme="majorBidi" w:hAnsiTheme="majorBidi" w:cstheme="majorBidi"/>
          <w:b/>
          <w:bCs/>
        </w:rPr>
        <w:t>Pagaidu aizsardzības lūguma iesniegšanas tiesā pieļaujamība par Konkurences padomes lēmumu, ar kuru atzīts personas pieļauts konkurences tiesību pārkāpums</w:t>
      </w:r>
    </w:p>
    <w:p w14:paraId="38C07453" w14:textId="77777777" w:rsidR="000C08E5" w:rsidRPr="00940FA4" w:rsidRDefault="000C08E5" w:rsidP="00940FA4">
      <w:pPr>
        <w:autoSpaceDE w:val="0"/>
        <w:autoSpaceDN w:val="0"/>
        <w:spacing w:line="276" w:lineRule="auto"/>
        <w:jc w:val="both"/>
        <w:rPr>
          <w:rFonts w:asciiTheme="majorBidi" w:hAnsiTheme="majorBidi" w:cstheme="majorBidi"/>
          <w:sz w:val="22"/>
          <w:szCs w:val="22"/>
        </w:rPr>
      </w:pPr>
      <w:r w:rsidRPr="00940FA4">
        <w:rPr>
          <w:rFonts w:asciiTheme="majorBidi" w:hAnsiTheme="majorBidi" w:cstheme="majorBidi"/>
        </w:rPr>
        <w:t>Pasūtītājam ir tiesību normās noteiktas tiesības lemt par kandidātu vai pretendentu izslēgšanu no iepirkumu procedūras arī situācijā, kad ar Konkurences padomes lēmumu atzīts personas pieļauts konkurences tiesību pārkāpums, pat ja attiecīgais Konkurences padomes lēmums ir pārsūdzēts un tiesvedība vēl nav noslēgusies. Tas nozīmē, ka arī par neapstrīdamu vēl nekļuvis Konkurences padomes lēmums ietekmē personas saimnieciskās intereses publiskajos iepirkumos, kuros konkrētā persona ir ieinteresēta piedalīties. Šādā situācijā persona, iesniedzot tiesā lūgumu par pagaidu aizsardzību, pēc būtības vēlas nodrošināt tāda tiesiskā stāvokļa saglabāšanu, kāds tas bija līdz pārsūdzētā lēmuma spēkā stāšanās brīdim. Tas ir panākams ar administratīvā akta darbības apturēšanu, kas kā pagaidu aizsardzība, ir izmantojama tieši gadījumos, kad tiesā tiek izvirzīts prasījums par administratīvā akta atcelšanu.</w:t>
      </w:r>
    </w:p>
    <w:p w14:paraId="4A3B6526" w14:textId="76345853" w:rsidR="000C08E5" w:rsidRPr="00940FA4" w:rsidRDefault="000C08E5" w:rsidP="00940FA4">
      <w:pPr>
        <w:autoSpaceDE w:val="0"/>
        <w:autoSpaceDN w:val="0"/>
        <w:spacing w:line="276" w:lineRule="auto"/>
        <w:jc w:val="both"/>
        <w:rPr>
          <w:rFonts w:asciiTheme="majorBidi" w:hAnsiTheme="majorBidi" w:cstheme="majorBidi"/>
        </w:rPr>
      </w:pPr>
      <w:r w:rsidRPr="00940FA4">
        <w:rPr>
          <w:rFonts w:asciiTheme="majorBidi" w:hAnsiTheme="majorBidi" w:cstheme="majorBidi"/>
        </w:rPr>
        <w:t xml:space="preserve">Konkurences padomes lēmuma darbība, tostarp arī konstatējums par pārkāpumu, ar šā lēmuma pārsūdzēšanu tiesā netiek apturēta. Proti, arī tāds Konkurences padomes lēmums, kas nav kļuvis neapstrīdams, saskaņā ar Publisko iepirkumu likuma normām rada pretendentam vai kandidātam tiesiskas sekas – pamatu izslēgšanai no iepirkumu procedūras. Tātad ar likumu ir noteikts, ka Konkurences padomes lēmuma pārsūdzēšana tiesā neaptur šā lēmuma darbību attiecībā uz Publisko iepirkumu likumā paredzēto tiesisko seku iestāšanos. Šādos apstākļos personai ir pamats atbilstoši Administratīvā procesa likuma 185.panta piektajai daļai lūgt administratīvā akta darbības apturēšanu, iesniedzot tiesā lūgumu par pagaidu </w:t>
      </w:r>
      <w:r w:rsidR="000D7A04">
        <w:rPr>
          <w:rFonts w:asciiTheme="majorBidi" w:hAnsiTheme="majorBidi" w:cstheme="majorBidi"/>
        </w:rPr>
        <w:t>aizsardzību</w:t>
      </w:r>
      <w:r w:rsidRPr="00940FA4">
        <w:rPr>
          <w:rFonts w:asciiTheme="majorBidi" w:hAnsiTheme="majorBidi" w:cstheme="majorBidi"/>
        </w:rPr>
        <w:t>.</w:t>
      </w:r>
    </w:p>
    <w:p w14:paraId="7E49646F" w14:textId="17E281AF" w:rsidR="00CD6A6A" w:rsidRPr="00940FA4" w:rsidRDefault="00CD6A6A" w:rsidP="00940FA4">
      <w:pPr>
        <w:pStyle w:val="BodyText2"/>
        <w:spacing w:after="0" w:line="276" w:lineRule="auto"/>
        <w:jc w:val="center"/>
        <w:rPr>
          <w:rFonts w:asciiTheme="majorBidi" w:hAnsiTheme="majorBidi" w:cstheme="majorBidi"/>
          <w:lang w:val="lv-LV"/>
        </w:rPr>
      </w:pPr>
    </w:p>
    <w:p w14:paraId="609F0330" w14:textId="0799A858" w:rsidR="00CD6A6A" w:rsidRPr="00646674" w:rsidRDefault="00CD6A6A" w:rsidP="00646674">
      <w:pPr>
        <w:spacing w:line="276" w:lineRule="auto"/>
        <w:jc w:val="center"/>
        <w:rPr>
          <w:rFonts w:asciiTheme="majorBidi" w:hAnsiTheme="majorBidi" w:cstheme="majorBidi"/>
          <w:b/>
        </w:rPr>
      </w:pPr>
      <w:r w:rsidRPr="00646674">
        <w:rPr>
          <w:rFonts w:asciiTheme="majorBidi" w:hAnsiTheme="majorBidi" w:cstheme="majorBidi"/>
          <w:b/>
        </w:rPr>
        <w:t>Latvijas Republikas Senāt</w:t>
      </w:r>
      <w:r w:rsidR="003F179C" w:rsidRPr="00646674">
        <w:rPr>
          <w:rFonts w:asciiTheme="majorBidi" w:hAnsiTheme="majorBidi" w:cstheme="majorBidi"/>
          <w:b/>
        </w:rPr>
        <w:t>a</w:t>
      </w:r>
    </w:p>
    <w:p w14:paraId="237B8504" w14:textId="0B850AB0" w:rsidR="003F179C" w:rsidRPr="00646674" w:rsidRDefault="003F179C" w:rsidP="00646674">
      <w:pPr>
        <w:spacing w:line="276" w:lineRule="auto"/>
        <w:jc w:val="center"/>
        <w:rPr>
          <w:rFonts w:asciiTheme="majorBidi" w:hAnsiTheme="majorBidi" w:cstheme="majorBidi"/>
          <w:b/>
        </w:rPr>
      </w:pPr>
      <w:r w:rsidRPr="00646674">
        <w:rPr>
          <w:rFonts w:asciiTheme="majorBidi" w:hAnsiTheme="majorBidi" w:cstheme="majorBidi"/>
          <w:b/>
        </w:rPr>
        <w:t>Administratīvo lietu departamenta</w:t>
      </w:r>
    </w:p>
    <w:p w14:paraId="4D04FAB5" w14:textId="632C883A" w:rsidR="003F179C" w:rsidRPr="00646674" w:rsidRDefault="003F179C" w:rsidP="00646674">
      <w:pPr>
        <w:spacing w:line="276" w:lineRule="auto"/>
        <w:jc w:val="center"/>
        <w:rPr>
          <w:rFonts w:asciiTheme="majorBidi" w:hAnsiTheme="majorBidi" w:cstheme="majorBidi"/>
          <w:b/>
        </w:rPr>
      </w:pPr>
      <w:r w:rsidRPr="00646674">
        <w:rPr>
          <w:rFonts w:asciiTheme="majorBidi" w:hAnsiTheme="majorBidi" w:cstheme="majorBidi"/>
          <w:b/>
        </w:rPr>
        <w:t>2024. gada 19. marta</w:t>
      </w:r>
    </w:p>
    <w:p w14:paraId="4F4A34DC" w14:textId="77777777" w:rsidR="00CD6A6A" w:rsidRPr="00646674" w:rsidRDefault="00CD6A6A" w:rsidP="00646674">
      <w:pPr>
        <w:spacing w:line="276" w:lineRule="auto"/>
        <w:jc w:val="center"/>
        <w:rPr>
          <w:rFonts w:asciiTheme="majorBidi" w:hAnsiTheme="majorBidi" w:cstheme="majorBidi"/>
          <w:b/>
        </w:rPr>
      </w:pPr>
      <w:r w:rsidRPr="00646674">
        <w:rPr>
          <w:rFonts w:asciiTheme="majorBidi" w:hAnsiTheme="majorBidi" w:cstheme="majorBidi"/>
          <w:b/>
        </w:rPr>
        <w:t>LĒMUMS</w:t>
      </w:r>
    </w:p>
    <w:p w14:paraId="1308204A" w14:textId="77777777" w:rsidR="003F179C" w:rsidRPr="00646674" w:rsidRDefault="003F179C" w:rsidP="00646674">
      <w:pPr>
        <w:spacing w:line="276" w:lineRule="auto"/>
        <w:jc w:val="center"/>
        <w:rPr>
          <w:rFonts w:asciiTheme="majorBidi" w:hAnsiTheme="majorBidi" w:cstheme="majorBidi"/>
          <w:b/>
          <w:lang w:eastAsia="lv-LV"/>
        </w:rPr>
      </w:pPr>
      <w:r w:rsidRPr="00646674">
        <w:rPr>
          <w:rFonts w:asciiTheme="majorBidi" w:hAnsiTheme="majorBidi" w:cstheme="majorBidi"/>
          <w:b/>
        </w:rPr>
        <w:t>Lieta Nr. </w:t>
      </w:r>
      <w:r w:rsidRPr="00646674">
        <w:rPr>
          <w:rFonts w:asciiTheme="majorBidi" w:hAnsiTheme="majorBidi" w:cstheme="majorBidi"/>
          <w:b/>
          <w:color w:val="2B2B2B"/>
          <w:shd w:val="clear" w:color="auto" w:fill="FFFFFF"/>
        </w:rPr>
        <w:t>A43002823</w:t>
      </w:r>
      <w:r w:rsidRPr="00646674">
        <w:rPr>
          <w:rFonts w:asciiTheme="majorBidi" w:hAnsiTheme="majorBidi" w:cstheme="majorBidi"/>
          <w:b/>
          <w:lang w:eastAsia="lv-LV"/>
        </w:rPr>
        <w:t>, SKA-459/2024</w:t>
      </w:r>
    </w:p>
    <w:p w14:paraId="6E34878C" w14:textId="024798D4" w:rsidR="003F179C" w:rsidRPr="00646674" w:rsidRDefault="000D7A04" w:rsidP="00646674">
      <w:pPr>
        <w:spacing w:line="276" w:lineRule="auto"/>
        <w:jc w:val="center"/>
        <w:rPr>
          <w:rFonts w:asciiTheme="majorBidi" w:hAnsiTheme="majorBidi" w:cstheme="majorBidi"/>
          <w:bCs/>
        </w:rPr>
      </w:pPr>
      <w:hyperlink r:id="rId8" w:history="1">
        <w:r w:rsidR="003F179C" w:rsidRPr="00646674">
          <w:rPr>
            <w:rStyle w:val="Hyperlink"/>
            <w:rFonts w:asciiTheme="majorBidi" w:hAnsiTheme="majorBidi" w:cstheme="majorBidi"/>
            <w:shd w:val="clear" w:color="auto" w:fill="FFFFFF"/>
          </w:rPr>
          <w:t>ECLI:LV:AT:2024:0319.A43002823.12.L</w:t>
        </w:r>
      </w:hyperlink>
    </w:p>
    <w:p w14:paraId="1C877682" w14:textId="77777777" w:rsidR="00CD6A6A" w:rsidRPr="00646674" w:rsidRDefault="00CD6A6A" w:rsidP="00646674">
      <w:pPr>
        <w:spacing w:line="276" w:lineRule="auto"/>
        <w:ind w:firstLine="567"/>
        <w:jc w:val="both"/>
        <w:rPr>
          <w:rFonts w:asciiTheme="majorBidi" w:hAnsiTheme="majorBidi" w:cstheme="majorBidi"/>
        </w:rPr>
      </w:pPr>
    </w:p>
    <w:p w14:paraId="13DA115A" w14:textId="7777777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Senāts šādā sastāvā: senatore referente Dzintra Amerika, senatores Indra Meldere un Ieva Višķere</w:t>
      </w:r>
    </w:p>
    <w:p w14:paraId="2FD85F0C" w14:textId="77777777" w:rsidR="00CD6A6A" w:rsidRPr="00646674" w:rsidRDefault="00CD6A6A" w:rsidP="00646674">
      <w:pPr>
        <w:spacing w:line="276" w:lineRule="auto"/>
        <w:ind w:firstLine="567"/>
        <w:jc w:val="both"/>
        <w:rPr>
          <w:rFonts w:asciiTheme="majorBidi" w:hAnsiTheme="majorBidi" w:cstheme="majorBidi"/>
        </w:rPr>
      </w:pPr>
    </w:p>
    <w:p w14:paraId="1AC30F6D" w14:textId="41C62336" w:rsidR="00CD6A6A" w:rsidRPr="00646674" w:rsidRDefault="00CD6A6A" w:rsidP="00646674">
      <w:pPr>
        <w:spacing w:line="276" w:lineRule="auto"/>
        <w:ind w:firstLine="567"/>
        <w:jc w:val="both"/>
        <w:rPr>
          <w:rFonts w:asciiTheme="majorBidi" w:eastAsiaTheme="minorHAnsi" w:hAnsiTheme="majorBidi" w:cstheme="majorBidi"/>
          <w:lang w:eastAsia="en-US"/>
        </w:rPr>
      </w:pPr>
      <w:r w:rsidRPr="00646674">
        <w:rPr>
          <w:rFonts w:asciiTheme="majorBidi" w:hAnsiTheme="majorBidi" w:cstheme="majorBidi"/>
        </w:rPr>
        <w:t>rakstveida procesā izskatīja SIA</w:t>
      </w:r>
      <w:r w:rsidR="003F179C" w:rsidRPr="00646674">
        <w:rPr>
          <w:rFonts w:asciiTheme="majorBidi" w:hAnsiTheme="majorBidi" w:cstheme="majorBidi"/>
        </w:rPr>
        <w:t> </w:t>
      </w:r>
      <w:r w:rsidRPr="00646674">
        <w:rPr>
          <w:rFonts w:asciiTheme="majorBidi" w:hAnsiTheme="majorBidi" w:cstheme="majorBidi"/>
        </w:rPr>
        <w:t>„Latvijas Sabiedriskais Autobuss” blakus sūdzību par Administratīvās apgabaltiesas 2024.</w:t>
      </w:r>
      <w:r w:rsidR="003F179C" w:rsidRPr="00646674">
        <w:rPr>
          <w:rFonts w:asciiTheme="majorBidi" w:hAnsiTheme="majorBidi" w:cstheme="majorBidi"/>
        </w:rPr>
        <w:t> </w:t>
      </w:r>
      <w:r w:rsidRPr="00646674">
        <w:rPr>
          <w:rFonts w:asciiTheme="majorBidi" w:hAnsiTheme="majorBidi" w:cstheme="majorBidi"/>
        </w:rPr>
        <w:t>gada 4.</w:t>
      </w:r>
      <w:r w:rsidR="003F179C" w:rsidRPr="00646674">
        <w:rPr>
          <w:rFonts w:asciiTheme="majorBidi" w:hAnsiTheme="majorBidi" w:cstheme="majorBidi"/>
        </w:rPr>
        <w:t> </w:t>
      </w:r>
      <w:r w:rsidRPr="00646674">
        <w:rPr>
          <w:rFonts w:asciiTheme="majorBidi" w:hAnsiTheme="majorBidi" w:cstheme="majorBidi"/>
        </w:rPr>
        <w:t>janvāra lēmumu, ar kuru noraidīts SIA „Latvijas Sabiedriskais Autobuss” lūgums par pagaidu noregulējuma piemērošanu lietā, kas ierosināta, pamatojoties uz SIA</w:t>
      </w:r>
      <w:r w:rsidR="003F179C" w:rsidRPr="00646674">
        <w:rPr>
          <w:rFonts w:asciiTheme="majorBidi" w:hAnsiTheme="majorBidi" w:cstheme="majorBidi"/>
        </w:rPr>
        <w:t> </w:t>
      </w:r>
      <w:r w:rsidRPr="00646674">
        <w:rPr>
          <w:rFonts w:asciiTheme="majorBidi" w:hAnsiTheme="majorBidi" w:cstheme="majorBidi"/>
        </w:rPr>
        <w:t xml:space="preserve">„Latvijas Sabiedriskais Autobuss” un SIA „NORDEKA” pieteikumiem par Konkurences padomes </w:t>
      </w:r>
      <w:r w:rsidRPr="00646674">
        <w:rPr>
          <w:rFonts w:asciiTheme="majorBidi" w:eastAsiaTheme="minorHAnsi" w:hAnsiTheme="majorBidi" w:cstheme="majorBidi"/>
          <w:lang w:eastAsia="en-US"/>
        </w:rPr>
        <w:t>2023.</w:t>
      </w:r>
      <w:r w:rsidR="003F179C" w:rsidRPr="00646674">
        <w:rPr>
          <w:rFonts w:asciiTheme="majorBidi" w:eastAsiaTheme="minorHAnsi" w:hAnsiTheme="majorBidi" w:cstheme="majorBidi"/>
          <w:lang w:eastAsia="en-US"/>
        </w:rPr>
        <w:t> </w:t>
      </w:r>
      <w:r w:rsidRPr="00646674">
        <w:rPr>
          <w:rFonts w:asciiTheme="majorBidi" w:eastAsiaTheme="minorHAnsi" w:hAnsiTheme="majorBidi" w:cstheme="majorBidi"/>
          <w:lang w:eastAsia="en-US"/>
        </w:rPr>
        <w:t>gada 5.</w:t>
      </w:r>
      <w:r w:rsidR="003F179C" w:rsidRPr="00646674">
        <w:rPr>
          <w:rFonts w:asciiTheme="majorBidi" w:eastAsiaTheme="minorHAnsi" w:hAnsiTheme="majorBidi" w:cstheme="majorBidi"/>
          <w:lang w:eastAsia="en-US"/>
        </w:rPr>
        <w:t> </w:t>
      </w:r>
      <w:r w:rsidRPr="00646674">
        <w:rPr>
          <w:rFonts w:asciiTheme="majorBidi" w:eastAsiaTheme="minorHAnsi" w:hAnsiTheme="majorBidi" w:cstheme="majorBidi"/>
          <w:lang w:eastAsia="en-US"/>
        </w:rPr>
        <w:t>janvāra lēmuma Nr. 2 atcelšanu.</w:t>
      </w:r>
    </w:p>
    <w:p w14:paraId="483387B0" w14:textId="77777777" w:rsidR="00CD6A6A" w:rsidRPr="00646674" w:rsidRDefault="00CD6A6A" w:rsidP="00646674">
      <w:pPr>
        <w:spacing w:line="276" w:lineRule="auto"/>
        <w:jc w:val="center"/>
        <w:rPr>
          <w:rFonts w:asciiTheme="majorBidi" w:hAnsiTheme="majorBidi" w:cstheme="majorBidi"/>
          <w:b/>
        </w:rPr>
      </w:pPr>
    </w:p>
    <w:p w14:paraId="7BE94286" w14:textId="77777777" w:rsidR="00CD6A6A" w:rsidRPr="00646674" w:rsidRDefault="00CD6A6A" w:rsidP="00646674">
      <w:pPr>
        <w:spacing w:line="276" w:lineRule="auto"/>
        <w:jc w:val="center"/>
        <w:rPr>
          <w:rFonts w:asciiTheme="majorBidi" w:hAnsiTheme="majorBidi" w:cstheme="majorBidi"/>
          <w:b/>
        </w:rPr>
      </w:pPr>
      <w:r w:rsidRPr="00646674">
        <w:rPr>
          <w:rFonts w:asciiTheme="majorBidi" w:hAnsiTheme="majorBidi" w:cstheme="majorBidi"/>
          <w:b/>
        </w:rPr>
        <w:t>Aprakstošā daļa</w:t>
      </w:r>
    </w:p>
    <w:p w14:paraId="3EAA1BD8" w14:textId="77777777" w:rsidR="00CD6A6A" w:rsidRPr="00646674" w:rsidRDefault="00CD6A6A" w:rsidP="00646674">
      <w:pPr>
        <w:spacing w:line="276" w:lineRule="auto"/>
        <w:ind w:firstLine="720"/>
        <w:jc w:val="both"/>
        <w:rPr>
          <w:rFonts w:asciiTheme="majorBidi" w:hAnsiTheme="majorBidi" w:cstheme="majorBidi"/>
        </w:rPr>
      </w:pPr>
    </w:p>
    <w:p w14:paraId="1EFB0F67" w14:textId="09A5C452"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[1] Konkurences padome ar 2023.</w:t>
      </w:r>
      <w:r w:rsidR="003F179C" w:rsidRPr="00646674">
        <w:rPr>
          <w:rFonts w:asciiTheme="majorBidi" w:hAnsiTheme="majorBidi" w:cstheme="majorBidi"/>
        </w:rPr>
        <w:t> </w:t>
      </w:r>
      <w:r w:rsidRPr="00646674">
        <w:rPr>
          <w:rFonts w:asciiTheme="majorBidi" w:hAnsiTheme="majorBidi" w:cstheme="majorBidi"/>
        </w:rPr>
        <w:t>gada 5.</w:t>
      </w:r>
      <w:r w:rsidR="003F179C" w:rsidRPr="00646674">
        <w:rPr>
          <w:rFonts w:asciiTheme="majorBidi" w:hAnsiTheme="majorBidi" w:cstheme="majorBidi"/>
        </w:rPr>
        <w:t> </w:t>
      </w:r>
      <w:r w:rsidRPr="00646674">
        <w:rPr>
          <w:rFonts w:asciiTheme="majorBidi" w:hAnsiTheme="majorBidi" w:cstheme="majorBidi"/>
        </w:rPr>
        <w:t>janvāra lēmumu Nr. 2 konstatēja Konkurences likuma 11.</w:t>
      </w:r>
      <w:r w:rsidR="003F179C" w:rsidRPr="00646674">
        <w:rPr>
          <w:rFonts w:asciiTheme="majorBidi" w:hAnsiTheme="majorBidi" w:cstheme="majorBidi"/>
        </w:rPr>
        <w:t> </w:t>
      </w:r>
      <w:r w:rsidRPr="00646674">
        <w:rPr>
          <w:rFonts w:asciiTheme="majorBidi" w:hAnsiTheme="majorBidi" w:cstheme="majorBidi"/>
        </w:rPr>
        <w:t>panta pirmajā daļā un Līguma par Eiropas Savienības darbību 101.</w:t>
      </w:r>
      <w:r w:rsidR="003F179C" w:rsidRPr="00646674">
        <w:rPr>
          <w:rFonts w:asciiTheme="majorBidi" w:hAnsiTheme="majorBidi" w:cstheme="majorBidi"/>
        </w:rPr>
        <w:t> </w:t>
      </w:r>
      <w:r w:rsidRPr="00646674">
        <w:rPr>
          <w:rFonts w:asciiTheme="majorBidi" w:hAnsiTheme="majorBidi" w:cstheme="majorBidi"/>
        </w:rPr>
        <w:t>panta 1.</w:t>
      </w:r>
      <w:r w:rsidR="003F179C" w:rsidRPr="00646674">
        <w:rPr>
          <w:rFonts w:asciiTheme="majorBidi" w:hAnsiTheme="majorBidi" w:cstheme="majorBidi"/>
        </w:rPr>
        <w:t> </w:t>
      </w:r>
      <w:r w:rsidRPr="00646674">
        <w:rPr>
          <w:rFonts w:asciiTheme="majorBidi" w:hAnsiTheme="majorBidi" w:cstheme="majorBidi"/>
        </w:rPr>
        <w:t>punktā noteiktā aizlieguma pārkāpumu AS</w:t>
      </w:r>
      <w:r w:rsidR="003F179C" w:rsidRPr="00646674">
        <w:rPr>
          <w:rFonts w:asciiTheme="majorBidi" w:hAnsiTheme="majorBidi" w:cstheme="majorBidi"/>
        </w:rPr>
        <w:t> </w:t>
      </w:r>
      <w:r w:rsidRPr="00646674">
        <w:rPr>
          <w:rFonts w:asciiTheme="majorBidi" w:eastAsiaTheme="minorHAnsi" w:hAnsiTheme="majorBidi" w:cstheme="majorBidi"/>
          <w:lang w:eastAsia="en-US"/>
        </w:rPr>
        <w:t>„</w:t>
      </w:r>
      <w:r w:rsidRPr="00646674">
        <w:rPr>
          <w:rFonts w:asciiTheme="majorBidi" w:hAnsiTheme="majorBidi" w:cstheme="majorBidi"/>
        </w:rPr>
        <w:t xml:space="preserve">LIEPĀJAS AUTOBUSU </w:t>
      </w:r>
      <w:r w:rsidRPr="00646674">
        <w:rPr>
          <w:rFonts w:asciiTheme="majorBidi" w:hAnsiTheme="majorBidi" w:cstheme="majorBidi"/>
        </w:rPr>
        <w:lastRenderedPageBreak/>
        <w:t>PARKS”, SIA</w:t>
      </w:r>
      <w:r w:rsidR="003F179C" w:rsidRPr="00646674">
        <w:rPr>
          <w:rFonts w:asciiTheme="majorBidi" w:hAnsiTheme="majorBidi" w:cstheme="majorBidi"/>
        </w:rPr>
        <w:t> </w:t>
      </w:r>
      <w:r w:rsidRPr="00646674">
        <w:rPr>
          <w:rFonts w:asciiTheme="majorBidi" w:eastAsiaTheme="minorHAnsi" w:hAnsiTheme="majorBidi" w:cstheme="majorBidi"/>
          <w:lang w:eastAsia="en-US"/>
        </w:rPr>
        <w:t>„</w:t>
      </w:r>
      <w:r w:rsidRPr="00646674">
        <w:rPr>
          <w:rFonts w:asciiTheme="majorBidi" w:hAnsiTheme="majorBidi" w:cstheme="majorBidi"/>
        </w:rPr>
        <w:t>Latvijas Sabiedriskais Autobuss” un AS</w:t>
      </w:r>
      <w:r w:rsidR="003F179C" w:rsidRPr="00646674">
        <w:rPr>
          <w:rFonts w:asciiTheme="majorBidi" w:hAnsiTheme="majorBidi" w:cstheme="majorBidi"/>
        </w:rPr>
        <w:t> </w:t>
      </w:r>
      <w:r w:rsidRPr="00646674">
        <w:rPr>
          <w:rFonts w:asciiTheme="majorBidi" w:eastAsiaTheme="minorHAnsi" w:hAnsiTheme="majorBidi" w:cstheme="majorBidi"/>
          <w:lang w:eastAsia="en-US"/>
        </w:rPr>
        <w:t>„</w:t>
      </w:r>
      <w:r w:rsidRPr="00646674">
        <w:rPr>
          <w:rFonts w:asciiTheme="majorBidi" w:hAnsiTheme="majorBidi" w:cstheme="majorBidi"/>
        </w:rPr>
        <w:t>NORDEKA” darbībās un uzlika minētajām sabiedrībām naudas sodu.</w:t>
      </w:r>
    </w:p>
    <w:p w14:paraId="208AA568" w14:textId="60F4AF5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SIA</w:t>
      </w:r>
      <w:r w:rsidR="003F179C" w:rsidRPr="00646674">
        <w:rPr>
          <w:rFonts w:asciiTheme="majorBidi" w:hAnsiTheme="majorBidi" w:cstheme="majorBidi"/>
        </w:rPr>
        <w:t> </w:t>
      </w:r>
      <w:r w:rsidRPr="00646674">
        <w:rPr>
          <w:rFonts w:asciiTheme="majorBidi" w:eastAsiaTheme="minorHAnsi" w:hAnsiTheme="majorBidi" w:cstheme="majorBidi"/>
          <w:lang w:eastAsia="en-US"/>
        </w:rPr>
        <w:t>„</w:t>
      </w:r>
      <w:r w:rsidRPr="00646674">
        <w:rPr>
          <w:rFonts w:asciiTheme="majorBidi" w:hAnsiTheme="majorBidi" w:cstheme="majorBidi"/>
        </w:rPr>
        <w:t>Latvijas Sabiedriskais Autobuss” un AS</w:t>
      </w:r>
      <w:r w:rsidR="003F179C" w:rsidRPr="00646674">
        <w:rPr>
          <w:rFonts w:asciiTheme="majorBidi" w:hAnsiTheme="majorBidi" w:cstheme="majorBidi"/>
        </w:rPr>
        <w:t> </w:t>
      </w:r>
      <w:r w:rsidRPr="00646674">
        <w:rPr>
          <w:rFonts w:asciiTheme="majorBidi" w:eastAsiaTheme="minorHAnsi" w:hAnsiTheme="majorBidi" w:cstheme="majorBidi"/>
          <w:lang w:eastAsia="en-US"/>
        </w:rPr>
        <w:t>„</w:t>
      </w:r>
      <w:r w:rsidRPr="00646674">
        <w:rPr>
          <w:rFonts w:asciiTheme="majorBidi" w:hAnsiTheme="majorBidi" w:cstheme="majorBidi"/>
        </w:rPr>
        <w:t>NORDEKA” pārsūdzēja lēmumu Administratīvajā apgabaltiesā. Sakarā ar šiem pieteikumiem ierosināta administratīvā lieta.</w:t>
      </w:r>
    </w:p>
    <w:p w14:paraId="01F84919" w14:textId="77777777" w:rsidR="00CD6A6A" w:rsidRPr="00646674" w:rsidRDefault="00CD6A6A" w:rsidP="00646674">
      <w:pPr>
        <w:spacing w:line="276" w:lineRule="auto"/>
        <w:ind w:firstLine="720"/>
        <w:jc w:val="both"/>
        <w:rPr>
          <w:rFonts w:asciiTheme="majorBidi" w:hAnsiTheme="majorBidi" w:cstheme="majorBidi"/>
        </w:rPr>
      </w:pPr>
    </w:p>
    <w:p w14:paraId="2D18EE0B" w14:textId="17357EE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[2] Pieteicēja SIA</w:t>
      </w:r>
      <w:r w:rsidR="003F179C" w:rsidRPr="00646674">
        <w:rPr>
          <w:rFonts w:asciiTheme="majorBidi" w:hAnsiTheme="majorBidi" w:cstheme="majorBidi"/>
        </w:rPr>
        <w:t> </w:t>
      </w:r>
      <w:r w:rsidRPr="00646674">
        <w:rPr>
          <w:rFonts w:asciiTheme="majorBidi" w:eastAsiaTheme="minorHAnsi" w:hAnsiTheme="majorBidi" w:cstheme="majorBidi"/>
          <w:lang w:eastAsia="en-US"/>
        </w:rPr>
        <w:t>„</w:t>
      </w:r>
      <w:r w:rsidRPr="00646674">
        <w:rPr>
          <w:rFonts w:asciiTheme="majorBidi" w:hAnsiTheme="majorBidi" w:cstheme="majorBidi"/>
        </w:rPr>
        <w:t>Latvijas Sabiedriskais Autobuss” iesniedza tiesā lūgumu par pagaidu noregulējumu, ar kuru tiktu noteikts ierobežojums Konkurences padomei sniegt negatīvu atzinumu pasūtītājiem par pieteicējas pasākumu pietiekamību uzticamības atjaunošanai, līdz Konkurences padomes lēmums būs stājies spēkā.</w:t>
      </w:r>
    </w:p>
    <w:p w14:paraId="3070EB0D" w14:textId="7777777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Lūgums pamatots ar turpmāk norādītajiem argumentiem.</w:t>
      </w:r>
    </w:p>
    <w:p w14:paraId="76F60E09" w14:textId="5DA3F44F" w:rsidR="00CD6A6A" w:rsidRPr="00646674" w:rsidRDefault="00CD6A6A" w:rsidP="00646674">
      <w:pPr>
        <w:spacing w:line="276" w:lineRule="auto"/>
        <w:ind w:firstLine="720"/>
        <w:jc w:val="both"/>
        <w:rPr>
          <w:rFonts w:asciiTheme="majorBidi" w:hAnsiTheme="majorBidi" w:cstheme="majorBidi"/>
          <w:shd w:val="clear" w:color="auto" w:fill="FFFFFF"/>
        </w:rPr>
      </w:pPr>
      <w:r w:rsidRPr="00646674">
        <w:rPr>
          <w:rFonts w:asciiTheme="majorBidi" w:hAnsiTheme="majorBidi" w:cstheme="majorBidi"/>
        </w:rPr>
        <w:t>[2.1] Atbilstoši Publisko iepirkumu likuma 42.</w:t>
      </w:r>
      <w:r w:rsidR="003F179C" w:rsidRPr="00646674">
        <w:rPr>
          <w:rFonts w:asciiTheme="majorBidi" w:hAnsiTheme="majorBidi" w:cstheme="majorBidi"/>
        </w:rPr>
        <w:t> </w:t>
      </w:r>
      <w:r w:rsidRPr="00646674">
        <w:rPr>
          <w:rFonts w:asciiTheme="majorBidi" w:hAnsiTheme="majorBidi" w:cstheme="majorBidi"/>
        </w:rPr>
        <w:t>panta otrās daļas 7.</w:t>
      </w:r>
      <w:r w:rsidR="003F179C" w:rsidRPr="00646674">
        <w:rPr>
          <w:rFonts w:asciiTheme="majorBidi" w:hAnsiTheme="majorBidi" w:cstheme="majorBidi"/>
        </w:rPr>
        <w:t> </w:t>
      </w:r>
      <w:r w:rsidRPr="00646674">
        <w:rPr>
          <w:rFonts w:asciiTheme="majorBidi" w:hAnsiTheme="majorBidi" w:cstheme="majorBidi"/>
        </w:rPr>
        <w:t>punktam kopsakarā ar 42.</w:t>
      </w:r>
      <w:r w:rsidR="003F179C" w:rsidRPr="00646674">
        <w:rPr>
          <w:rFonts w:asciiTheme="majorBidi" w:hAnsiTheme="majorBidi" w:cstheme="majorBidi"/>
        </w:rPr>
        <w:t> </w:t>
      </w:r>
      <w:r w:rsidRPr="00646674">
        <w:rPr>
          <w:rFonts w:asciiTheme="majorBidi" w:hAnsiTheme="majorBidi" w:cstheme="majorBidi"/>
        </w:rPr>
        <w:t>panta septītās daļas 1.</w:t>
      </w:r>
      <w:r w:rsidR="003F179C" w:rsidRPr="00646674">
        <w:rPr>
          <w:rFonts w:asciiTheme="majorBidi" w:hAnsiTheme="majorBidi" w:cstheme="majorBidi"/>
        </w:rPr>
        <w:t> </w:t>
      </w:r>
      <w:r w:rsidRPr="00646674">
        <w:rPr>
          <w:rFonts w:asciiTheme="majorBidi" w:hAnsiTheme="majorBidi" w:cstheme="majorBidi"/>
        </w:rPr>
        <w:t xml:space="preserve">punktu Konkurences padomes lēmums, kurš nav kļuvis neapstrīdams un </w:t>
      </w:r>
      <w:r w:rsidRPr="00646674">
        <w:rPr>
          <w:rFonts w:asciiTheme="majorBidi" w:hAnsiTheme="majorBidi" w:cstheme="majorBidi"/>
          <w:shd w:val="clear" w:color="auto" w:fill="FFFFFF"/>
        </w:rPr>
        <w:t>ar kuru kandidāts vai pretendents ir atzīts par vainīgu konkurences tiesību pārkāpumā, kas izpaužas kā horizontālā karteļa vienošanās, ir pamats kandidāta vai pretendenta izslēgšanai no turpmākās dalības iepirkuma procedūrā.</w:t>
      </w:r>
    </w:p>
    <w:p w14:paraId="588577F0" w14:textId="6580E206"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[2.2] Saskaņā ar Publisko iepirkumu likuma 43</w:t>
      </w:r>
      <w:r w:rsidR="003F179C" w:rsidRPr="00646674">
        <w:rPr>
          <w:rFonts w:asciiTheme="majorBidi" w:hAnsiTheme="majorBidi" w:cstheme="majorBidi"/>
        </w:rPr>
        <w:t> </w:t>
      </w:r>
      <w:r w:rsidRPr="00646674">
        <w:rPr>
          <w:rFonts w:asciiTheme="majorBidi" w:hAnsiTheme="majorBidi" w:cstheme="majorBidi"/>
        </w:rPr>
        <w:t>.pantu kandidātu vai pretendentu var neizslēgt no turpmākas dalības iepirkumā, ja tas apliecina uzticamību. Atbilstoši 43.</w:t>
      </w:r>
      <w:r w:rsidR="003F179C" w:rsidRPr="00646674">
        <w:rPr>
          <w:rFonts w:asciiTheme="majorBidi" w:hAnsiTheme="majorBidi" w:cstheme="majorBidi"/>
        </w:rPr>
        <w:t> </w:t>
      </w:r>
      <w:r w:rsidRPr="00646674">
        <w:rPr>
          <w:rFonts w:asciiTheme="majorBidi" w:hAnsiTheme="majorBidi" w:cstheme="majorBidi"/>
        </w:rPr>
        <w:t xml:space="preserve">panta normām lēmumu par kandidāta vai pretendenta izslēgšanu no turpmākas dalības iepirkumā pieņem pasūtītājs. Vienlaikus, ja Konkurences padomei tiek lūgts sniegt atzinumu, pasūtītājs lēmumu pieņem, balstoties uz šo atzinumu. </w:t>
      </w:r>
    </w:p>
    <w:p w14:paraId="13571805" w14:textId="5304F242"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[2.3] Publisko iepirkumu likuma 43.</w:t>
      </w:r>
      <w:r w:rsidR="003F179C" w:rsidRPr="00646674">
        <w:rPr>
          <w:rFonts w:asciiTheme="majorBidi" w:hAnsiTheme="majorBidi" w:cstheme="majorBidi"/>
        </w:rPr>
        <w:t> </w:t>
      </w:r>
      <w:r w:rsidRPr="00646674">
        <w:rPr>
          <w:rFonts w:asciiTheme="majorBidi" w:hAnsiTheme="majorBidi" w:cstheme="majorBidi"/>
        </w:rPr>
        <w:t>panta otrā daļa neparedz, ka uzticamības atjaunošana nav iespējama, ja lēmums, ar kuru kandidāts vai pretendents atzīts par vainīgu konkurences tiesību pārkāpumā, ir pārsūdzēts. Personai, kuras vaina nav pierādīta tiesību normās noteiktajā kārtībā, nebūtu jāpierāda uzticamība, lai tā varētu turpināt piedalīties iepirkumos, jo šāda prasība satur tiesību pretrunu.</w:t>
      </w:r>
    </w:p>
    <w:p w14:paraId="0F412587" w14:textId="38644289"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[2.4] Konkurences padome atzinumā, kas sniegts, atsaucoties uz pieteicējas lūgumu, norādīja, ka SIA</w:t>
      </w:r>
      <w:r w:rsidR="003F179C" w:rsidRPr="00646674">
        <w:rPr>
          <w:rFonts w:asciiTheme="majorBidi" w:hAnsiTheme="majorBidi" w:cstheme="majorBidi"/>
        </w:rPr>
        <w:t> </w:t>
      </w:r>
      <w:r w:rsidRPr="00646674">
        <w:rPr>
          <w:rFonts w:asciiTheme="majorBidi" w:eastAsiaTheme="minorHAnsi" w:hAnsiTheme="majorBidi" w:cstheme="majorBidi"/>
          <w:lang w:eastAsia="en-US"/>
        </w:rPr>
        <w:t>„</w:t>
      </w:r>
      <w:r w:rsidRPr="00646674">
        <w:rPr>
          <w:rFonts w:asciiTheme="majorBidi" w:hAnsiTheme="majorBidi" w:cstheme="majorBidi"/>
        </w:rPr>
        <w:t>Latvijas Sabiedriskais Autobuss” šobrīd nav veikusi atbilstīgus pasākumus, lai pierādītu savu uzticamību un novērstu tādu pašu un līdzīgu gadījumu atkārtošanos nākotnē. Atzinumā norādīts, ka, tā kā lēmums ir pārsūdzēts, pilnīga radītā kaitējuma atlīdzināšana kā kritērija piemērošana varētu būt apgrūtināta. Vienlaikus kā būtisks apstāklis norādīta cenšanās sazināties un jau laicīgi uzsākt sarunas ar pasūtītāju, kuram SIA</w:t>
      </w:r>
      <w:r w:rsidR="003F179C" w:rsidRPr="00646674">
        <w:rPr>
          <w:rFonts w:asciiTheme="majorBidi" w:hAnsiTheme="majorBidi" w:cstheme="majorBidi"/>
        </w:rPr>
        <w:t> </w:t>
      </w:r>
      <w:r w:rsidRPr="00646674">
        <w:rPr>
          <w:rFonts w:asciiTheme="majorBidi" w:eastAsiaTheme="minorHAnsi" w:hAnsiTheme="majorBidi" w:cstheme="majorBidi"/>
          <w:lang w:eastAsia="en-US"/>
        </w:rPr>
        <w:t>„</w:t>
      </w:r>
      <w:r w:rsidRPr="00646674">
        <w:rPr>
          <w:rFonts w:asciiTheme="majorBidi" w:hAnsiTheme="majorBidi" w:cstheme="majorBidi"/>
        </w:rPr>
        <w:t>Latvijas Sabiedriskais Autobuss” ar savām darbībām varēja nodarīt kaitējumu. Taču prasību par šādiem pasākumiem laikā, kad lēmums nav stājies spēkā, Konkurences padome nav tiesīga izvirzīt. Konkurences padome arī nav pienācīgi novērtējusi to, kā pieteicēja ir sadarbojusies ar iestādi. Atbilstoši Konkurences padomes viedoklim sadarbība pēc būtības ietver lēmumā izdarīto secinājumu apstiprināšanu izmeklēšanas procesā. Taču, tā kā pieteicēja ir pārsūdzējusi lēmumu un nepiekrīt tajā konstatēto faktu novērtējumam, šāda kritērija piemērošana ir pretrunā nevainīguma prezumpcijai. Nav tiesiska pamata vērtēt sadarbību pēc lēmuma pieņemšanas, jo lēmuma nepārsūdzēšana nevar būt kritērijs uzticamības atjaunošanai. Arī kritērijs par saikņu saraušanu ar darbiniekiem un līgumisko attiecību pārtraukšanu nav izpildāms, kamēr pārkāpums nav konstatēts ar spēkā stājušos lēmumu. Konkurences padomes norādītie pozitīva atzinuma sniegšanas kritēriji pēc būtības ietver vainas atzīšanu, kas ir pretrunā nevainīguma prezumpcijai. Tā kā Konkurences padome izvirzījusi prettiesiskas prasības attiecībā uz pasākumu uzticamības atjaunošanai īstenošanu, atzinums ir prettiesisks.</w:t>
      </w:r>
    </w:p>
    <w:p w14:paraId="514957E0" w14:textId="6CC7EFC1"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lastRenderedPageBreak/>
        <w:t>[2.5] Vienlaikus Konkurences padome sniegusi pozitīvu atzinumu AS </w:t>
      </w:r>
      <w:r w:rsidRPr="00646674">
        <w:rPr>
          <w:rFonts w:asciiTheme="majorBidi" w:eastAsiaTheme="minorHAnsi" w:hAnsiTheme="majorBidi" w:cstheme="majorBidi"/>
          <w:lang w:eastAsia="en-US"/>
        </w:rPr>
        <w:t>„</w:t>
      </w:r>
      <w:r w:rsidRPr="00646674">
        <w:rPr>
          <w:rFonts w:asciiTheme="majorBidi" w:hAnsiTheme="majorBidi" w:cstheme="majorBidi"/>
        </w:rPr>
        <w:t>LIEPĀJAS AUTOBUSU PARKS”, neprasot zaudējumu atlīdzību un sadarbību lietas izmeklēšanas laikā. Sadarbības fakta kritērijs tiek uzskatīts par izpildītu, ja pieteikums tiesai tiek atsaukts.</w:t>
      </w:r>
    </w:p>
    <w:p w14:paraId="05BD102F" w14:textId="7777777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[2.6] Pieteicējai tiek liegta iespēja piedalīties iepirkumos, lai arī tās vaina nav konstatēta likumā noteiktajā kārtībā. Tā kā ierobežojumi ietekmē arī pieteicējas iespējas pārdot pakalpojumu, tas rada arī ekonomiska rakstura kaitējumu.</w:t>
      </w:r>
    </w:p>
    <w:p w14:paraId="41228C74" w14:textId="5085A73D"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[2.7] Ievērojot Administratīvā procesa likuma 185.</w:t>
      </w:r>
      <w:r w:rsidR="003F179C" w:rsidRPr="00646674">
        <w:rPr>
          <w:rFonts w:asciiTheme="majorBidi" w:hAnsiTheme="majorBidi" w:cstheme="majorBidi"/>
        </w:rPr>
        <w:t> </w:t>
      </w:r>
      <w:r w:rsidRPr="00646674">
        <w:rPr>
          <w:rFonts w:asciiTheme="majorBidi" w:hAnsiTheme="majorBidi" w:cstheme="majorBidi"/>
        </w:rPr>
        <w:t>panta pirmo daļu, Konkurences padomes lēmuma darbība ir apturēta, pieteicējas vaina konkurences tiesību pārkāpumā nav konstatēta likumā noteiktajā kārtībā. Pieteicējas tiesības un likumīgās intereses nevar tikt ierobežotas, balstoties uz šādu lēmumu.</w:t>
      </w:r>
    </w:p>
    <w:p w14:paraId="65730C83" w14:textId="7777777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 xml:space="preserve">[2.8] Saskaņā ar Eiropas Savienības Tiesas praksi pasūtītājam ir pienākums vērtēt tirgus dalībnieka pierādījumus par uzticamības atjaunošanu, ja lēmums, ar kuru konstatēts izslēgšanas iemesls, ir pārsūdzēts. Tātad lēmuma pārsūdzēšanas fakts pats par sevi nav pamats izslēgšanai no dalības iepirkumā, tādējādi arī nav pamata bez papildu vērtējuma un apsvērumiem neatjaunot tirgus dalībnieka uzticamību. Pretējā gadījumā tirgus dalībnieka tiesībām atjaunot uzticamību tiek atņemta jēga. </w:t>
      </w:r>
    </w:p>
    <w:p w14:paraId="09B3FDA5" w14:textId="7777777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Tādējādi Konkurences padomei ir pienākums situācijā, kad lēmums ir pārsūdzēts, sniedzot atzinumu, ievērot samērīguma principu un nevainīguma prezumpciju.</w:t>
      </w:r>
    </w:p>
    <w:p w14:paraId="591666AD" w14:textId="27CCAD66"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[2.9] Konkurences padomei, sniedzot atzinumu, ir jāievēro arī vienlīdzīga attieksme. Konkrētajā gadījumā ir konstatējama nevienlīdzīga attieksme, vērtējot pieteicējas un AS</w:t>
      </w:r>
      <w:r w:rsidR="003F179C" w:rsidRPr="00646674">
        <w:rPr>
          <w:rFonts w:asciiTheme="majorBidi" w:hAnsiTheme="majorBidi" w:cstheme="majorBidi"/>
        </w:rPr>
        <w:t> </w:t>
      </w:r>
      <w:r w:rsidRPr="00646674">
        <w:rPr>
          <w:rFonts w:asciiTheme="majorBidi" w:eastAsiaTheme="minorHAnsi" w:hAnsiTheme="majorBidi" w:cstheme="majorBidi"/>
          <w:lang w:eastAsia="en-US"/>
        </w:rPr>
        <w:t>„</w:t>
      </w:r>
      <w:r w:rsidRPr="00646674">
        <w:rPr>
          <w:rFonts w:asciiTheme="majorBidi" w:hAnsiTheme="majorBidi" w:cstheme="majorBidi"/>
        </w:rPr>
        <w:t>LIEPĀJAS AUTOBUSU PARKS” pasākumus uzticamības atjaunošanai. Konkurences padome atzinumu izmantojusi, lai piespiestu pieteicēju atsaukt pieteikumu. Minēto apliecina AS</w:t>
      </w:r>
      <w:r w:rsidR="003F179C" w:rsidRPr="00646674">
        <w:rPr>
          <w:rFonts w:asciiTheme="majorBidi" w:hAnsiTheme="majorBidi" w:cstheme="majorBidi"/>
        </w:rPr>
        <w:t> </w:t>
      </w:r>
      <w:r w:rsidRPr="00646674">
        <w:rPr>
          <w:rFonts w:asciiTheme="majorBidi" w:eastAsiaTheme="minorHAnsi" w:hAnsiTheme="majorBidi" w:cstheme="majorBidi"/>
          <w:lang w:eastAsia="en-US"/>
        </w:rPr>
        <w:t>„</w:t>
      </w:r>
      <w:r w:rsidRPr="00646674">
        <w:rPr>
          <w:rFonts w:asciiTheme="majorBidi" w:hAnsiTheme="majorBidi" w:cstheme="majorBidi"/>
        </w:rPr>
        <w:t>LIEPĀJAS AUTOBUSU PARKS” un Konkurences padomes administratīvais līgums un atzinums, no kura izriet, ka uzticamības atjaunošanu ietekmē nevis vainas atzīšana, bet pieteikuma atsaukšana.</w:t>
      </w:r>
    </w:p>
    <w:p w14:paraId="4B6DDC7B" w14:textId="7777777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 xml:space="preserve">Pamattiesību izmantošana nevar būt pamats pozitīva atzinuma nesniegšanai. </w:t>
      </w:r>
    </w:p>
    <w:p w14:paraId="50B02829" w14:textId="77777777" w:rsidR="00CD6A6A" w:rsidRPr="00646674" w:rsidRDefault="00CD6A6A" w:rsidP="00646674">
      <w:pPr>
        <w:spacing w:line="276" w:lineRule="auto"/>
        <w:ind w:firstLine="720"/>
        <w:jc w:val="both"/>
        <w:rPr>
          <w:rFonts w:asciiTheme="majorBidi" w:hAnsiTheme="majorBidi" w:cstheme="majorBidi"/>
        </w:rPr>
      </w:pPr>
    </w:p>
    <w:p w14:paraId="11017FB2" w14:textId="5926B2E9"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[3] Ar Administratīvās apgabaltiesas 2024.</w:t>
      </w:r>
      <w:r w:rsidR="003F179C" w:rsidRPr="00646674">
        <w:rPr>
          <w:rFonts w:asciiTheme="majorBidi" w:hAnsiTheme="majorBidi" w:cstheme="majorBidi"/>
        </w:rPr>
        <w:t> </w:t>
      </w:r>
      <w:r w:rsidRPr="00646674">
        <w:rPr>
          <w:rFonts w:asciiTheme="majorBidi" w:hAnsiTheme="majorBidi" w:cstheme="majorBidi"/>
        </w:rPr>
        <w:t>gada 4.</w:t>
      </w:r>
      <w:r w:rsidR="003F179C" w:rsidRPr="00646674">
        <w:rPr>
          <w:rFonts w:asciiTheme="majorBidi" w:hAnsiTheme="majorBidi" w:cstheme="majorBidi"/>
        </w:rPr>
        <w:t> </w:t>
      </w:r>
      <w:r w:rsidRPr="00646674">
        <w:rPr>
          <w:rFonts w:asciiTheme="majorBidi" w:hAnsiTheme="majorBidi" w:cstheme="majorBidi"/>
        </w:rPr>
        <w:t>janvāra lēmumu lūgums par pagaidu noregulējumu noraidīts. Lēmums pamatots ar turpmāk norādītajiem apsvērumiem.</w:t>
      </w:r>
    </w:p>
    <w:p w14:paraId="018C7821" w14:textId="78019758"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[3.1] Pieteicējas lūgums formāli atbilst Administratīvā procesa likuma 196.</w:t>
      </w:r>
      <w:r w:rsidR="003F179C" w:rsidRPr="00646674">
        <w:rPr>
          <w:rFonts w:asciiTheme="majorBidi" w:hAnsiTheme="majorBidi" w:cstheme="majorBidi"/>
        </w:rPr>
        <w:t> </w:t>
      </w:r>
      <w:r w:rsidRPr="00646674">
        <w:rPr>
          <w:rFonts w:asciiTheme="majorBidi" w:hAnsiTheme="majorBidi" w:cstheme="majorBidi"/>
        </w:rPr>
        <w:t>panta 2.</w:t>
      </w:r>
      <w:r w:rsidR="003F179C" w:rsidRPr="00646674">
        <w:rPr>
          <w:rFonts w:asciiTheme="majorBidi" w:hAnsiTheme="majorBidi" w:cstheme="majorBidi"/>
        </w:rPr>
        <w:t> </w:t>
      </w:r>
      <w:r w:rsidRPr="00646674">
        <w:rPr>
          <w:rFonts w:asciiTheme="majorBidi" w:hAnsiTheme="majorBidi" w:cstheme="majorBidi"/>
        </w:rPr>
        <w:t>punktā paredzētajam pagaidu aizsardzības līdzeklim – tiesas lēmums, kas uzliek attiecīgajai iestādei pienākumu noteiktā termiņā izdarīt noteiktu darbību vai aizliedz noteiktu darbību. Vienlaikus pagaidu aizsardzības apjoms nevar iesniegties tādās tiesiskajās attiecībās, kuras tiesa nevērtēs, izskatot lietu pēc būtības.</w:t>
      </w:r>
    </w:p>
    <w:p w14:paraId="04E940C4" w14:textId="7777777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Šajā lietā pārbaudāms, vai pieteicēja ir pieļāvusi konkurences tiesību pārkāpumu. Šīs lietas ietvaros netiks vērtētas tās tiesiskās attiecības, kas radušās pēc pārsūdzētā lēmuma pieņemšanas, pieteicējai piedaloties publiskajos iepirkumos. Proti, tiesas vērtējumam šajā lietā nav pakļauts jautājums par pasūtītāja tiesībām pieprasīt Konkurences padomes atzinumu par to, vai pieteicējas veiktie pasākumi ir pietiekami uzticamības atjaunošanai, kā arī Konkurences padomes tiesībām sniegt atzinumu un par tā saturu.</w:t>
      </w:r>
    </w:p>
    <w:p w14:paraId="03664A38" w14:textId="7777777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 xml:space="preserve">Līdz ar to pieteicējas prasītais pagaidu aizsardzības līdzeklis un apjoms iesniedzas tādās tiesiskajās attiecībās, kuras tiesa nevērtēs, izskatot šo lietu pēc būtības. Lūgtais </w:t>
      </w:r>
      <w:r w:rsidRPr="00646674">
        <w:rPr>
          <w:rFonts w:asciiTheme="majorBidi" w:hAnsiTheme="majorBidi" w:cstheme="majorBidi"/>
        </w:rPr>
        <w:lastRenderedPageBreak/>
        <w:t>pagaidu noregulējums neatbilst nākotnē sagaidāmajam spriedumam šajā lietā. Šāds pagaidu aizsardzības lūgums nav pieļaujams un tādēļ noraidāms kā nepamatots.</w:t>
      </w:r>
    </w:p>
    <w:p w14:paraId="0639E8FF" w14:textId="325A2B69"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[3.2] Papildus jāņem vērā, ka saskaņā ar Administratīvā procesa likuma 185.</w:t>
      </w:r>
      <w:r w:rsidR="003F179C" w:rsidRPr="00646674">
        <w:rPr>
          <w:rFonts w:asciiTheme="majorBidi" w:hAnsiTheme="majorBidi" w:cstheme="majorBidi"/>
        </w:rPr>
        <w:t> </w:t>
      </w:r>
      <w:r w:rsidRPr="00646674">
        <w:rPr>
          <w:rFonts w:asciiTheme="majorBidi" w:hAnsiTheme="majorBidi" w:cstheme="majorBidi"/>
        </w:rPr>
        <w:t>panta ceturtās daļas 2.</w:t>
      </w:r>
      <w:r w:rsidR="003F179C" w:rsidRPr="00646674">
        <w:rPr>
          <w:rFonts w:asciiTheme="majorBidi" w:hAnsiTheme="majorBidi" w:cstheme="majorBidi"/>
        </w:rPr>
        <w:t> </w:t>
      </w:r>
      <w:r w:rsidRPr="00646674">
        <w:rPr>
          <w:rFonts w:asciiTheme="majorBidi" w:hAnsiTheme="majorBidi" w:cstheme="majorBidi"/>
        </w:rPr>
        <w:t>punktu pieteikuma iesniegšana tiesā par administratīvā akta atcelšanu neaptur administratīvā akta darbību, ja tas paredzēts citos likumos. Konkurences likuma 27.</w:t>
      </w:r>
      <w:r w:rsidRPr="00646674">
        <w:rPr>
          <w:rFonts w:asciiTheme="majorBidi" w:hAnsiTheme="majorBidi" w:cstheme="majorBidi"/>
          <w:vertAlign w:val="superscript"/>
        </w:rPr>
        <w:t>1</w:t>
      </w:r>
      <w:r w:rsidR="003F179C" w:rsidRPr="00646674">
        <w:rPr>
          <w:rFonts w:asciiTheme="majorBidi" w:hAnsiTheme="majorBidi" w:cstheme="majorBidi"/>
          <w:vertAlign w:val="superscript"/>
        </w:rPr>
        <w:t> </w:t>
      </w:r>
      <w:r w:rsidRPr="00646674">
        <w:rPr>
          <w:rFonts w:asciiTheme="majorBidi" w:hAnsiTheme="majorBidi" w:cstheme="majorBidi"/>
        </w:rPr>
        <w:t>pants noteic, ka Konkurences padomes lēmums stājas spēkā ar tā paziņošanas brīdi. Savukārt lēmuma pārsūdzēšana neaptur tā izpildi, izņemot lēmuma darbību daļā par soda uzlikšanu. Lai arī tiesu praksē ir nodalīta administratīvā akta darbības apturēšana (kas ir plašāks jēdziens) no izpildes, likumdevējs konkrētajā gadījumā ir domājis, ka ar pārsūdzību netiek apturēta administratīvā akta darbība, jo loģiski nebūtu iespējama administratīvā akta izpilde, ja administratīvā akta darbība ir apturēta. Līdz ar to arī minētā iemesla dēļ lietā nav iespējams piemērot pagaidu noregulējumu, kā to ir prasījusi pieteicēja, proti, līdz lēmums būs stājies spēkā, jo lēmums, lai arī ir pārsūdzēts un vēl nav kļuvis galīgs, ir spēkā (izņemot daļā par sodu).</w:t>
      </w:r>
    </w:p>
    <w:p w14:paraId="76AC3E00" w14:textId="77777777" w:rsidR="00CD6A6A" w:rsidRPr="00646674" w:rsidRDefault="00CD6A6A" w:rsidP="00646674">
      <w:pPr>
        <w:spacing w:line="276" w:lineRule="auto"/>
        <w:ind w:firstLine="720"/>
        <w:jc w:val="both"/>
        <w:rPr>
          <w:rFonts w:asciiTheme="majorBidi" w:hAnsiTheme="majorBidi" w:cstheme="majorBidi"/>
        </w:rPr>
      </w:pPr>
    </w:p>
    <w:p w14:paraId="48D379AF" w14:textId="77777777" w:rsidR="00CD6A6A" w:rsidRPr="00646674" w:rsidRDefault="00CD6A6A" w:rsidP="00646674">
      <w:pPr>
        <w:spacing w:line="276" w:lineRule="auto"/>
        <w:ind w:firstLine="720"/>
        <w:jc w:val="both"/>
        <w:rPr>
          <w:rFonts w:asciiTheme="majorBidi" w:hAnsiTheme="majorBidi" w:cstheme="majorBidi"/>
        </w:rPr>
      </w:pPr>
      <w:bookmarkStart w:id="0" w:name="_Hlk147910012"/>
      <w:r w:rsidRPr="00646674">
        <w:rPr>
          <w:rFonts w:asciiTheme="majorBidi" w:hAnsiTheme="majorBidi" w:cstheme="majorBidi"/>
        </w:rPr>
        <w:t>[4] Par apgabaltiesas lēmumu pieteicēja iesniedza blakus sūdzību, norādot turpmāk minētos argumentus.</w:t>
      </w:r>
    </w:p>
    <w:p w14:paraId="73F0124D" w14:textId="0E4881A5"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[4.1] Tiesa nepareizi interpretējusi Konkurences likuma 27.</w:t>
      </w:r>
      <w:r w:rsidRPr="00646674">
        <w:rPr>
          <w:rFonts w:asciiTheme="majorBidi" w:hAnsiTheme="majorBidi" w:cstheme="majorBidi"/>
          <w:vertAlign w:val="superscript"/>
        </w:rPr>
        <w:t>1</w:t>
      </w:r>
      <w:r w:rsidR="003F179C" w:rsidRPr="00646674">
        <w:rPr>
          <w:rFonts w:asciiTheme="majorBidi" w:hAnsiTheme="majorBidi" w:cstheme="majorBidi"/>
          <w:vertAlign w:val="superscript"/>
        </w:rPr>
        <w:t> </w:t>
      </w:r>
      <w:r w:rsidRPr="00646674">
        <w:rPr>
          <w:rFonts w:asciiTheme="majorBidi" w:hAnsiTheme="majorBidi" w:cstheme="majorBidi"/>
        </w:rPr>
        <w:t xml:space="preserve">pantu. </w:t>
      </w:r>
    </w:p>
    <w:p w14:paraId="5BFB0B1B" w14:textId="7777777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Lēmuma darbības izņēmums attiecas vienīgi uz lēmuma izpildi (tiesisko pienākumu izpildi), izņemot daļā par naudas sodu. Minētā norma neattiecas uz lēmuma konstatējošo daļu, ar kuru tiek konstatēts pārkāpums, jo šī lēmuma daļa nerada aktīvas tiesiskas sekas, līdz ar to tās nevar apturēt.</w:t>
      </w:r>
    </w:p>
    <w:p w14:paraId="48E603D1" w14:textId="7777777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 xml:space="preserve">[4.2] Tas, ka Konkurences padome lēmumā konstatē juridisku faktu, nerada aktīvas tiesiskās sekas. No Konkurences padomes lēmuma izrietošie ierobežojumi kopsakarā ar Konkurences padomes ļaunprātīgu varas izmantošanu rodas, atsaucoties uz Konkurences padomes lēmumā konstatēto prettiesisko rīcību, piemērojot citas tiesību normas. </w:t>
      </w:r>
    </w:p>
    <w:p w14:paraId="3B2D502D" w14:textId="7777777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 xml:space="preserve">Nav šaubu par tiesas lēmumā secināto, ka tiesiskās attiecības starp pieteicēju, Konkurences padomi un/vai publiskā iepirkuma pasūtītāju atzinuma par uzticamību sniegšanas un tiesību piedalīties iepirkumā sniegšanas ietvaros tiesa nevērtēs. Taču tā vērtēs juridisko pamatu šādām attiecībām. Tātad lūgums iesniedzas gan attiecībās, kuras tiesa nevērtē, gan attiecībās, kuras tā vērtē. Fakts, ka lūgums aptver vairākas tiesiskās attiecības, nevar būt pamats tam, ka to nevar piemērot saistībā ar vienu no tām, piemērojot to Konkurences padomes lēmuma tiesiskuma kontroles ietvaros. </w:t>
      </w:r>
    </w:p>
    <w:p w14:paraId="5469B3BA" w14:textId="7777777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 xml:space="preserve">[4.3] Pagaidu aizsardzības līdzekļa jēga ir nodrošināt aizsardzību par labu tam procesa dalībniekam, kuram tiesvedības ilguma dēļ var rasties būtiski – neatgriezeniski un grūti novēršami – zaudējumi un kura pozīcija lietā ir atzīstama par pirmšķietami pamatotu. </w:t>
      </w:r>
    </w:p>
    <w:p w14:paraId="7620B731" w14:textId="7777777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 xml:space="preserve">Konstatējoša administratīvā akta gadījumā pagaidu aizsardzības līdzekļa piemērojamība atbilstoši Administratīvā procesa likuma regulējumam nav viennozīmīga, faktiski varētu pat secināt, ka, tā kā konstatējošs administratīvais akts nerada aktīvu iedarbību, tad šādā situācijā pagaidu aizsardzības līdzeklis nemaz nebūtu piemērojams. Taču nav saskatāms tiesisks pamatojums secinājumam, ka šādā situācijā likumdevējs nebūtu vēlējies aizsargāt privātpersonu no neatgriezeniskiem un grūti novēršamiem zaudējumiem. </w:t>
      </w:r>
    </w:p>
    <w:p w14:paraId="6020BDB9" w14:textId="7777777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lastRenderedPageBreak/>
        <w:t>Ierobežojumam piedalīties iepirkumos ir ekonomiska ietekme uz pieteicēju, un tiesības piedalīties iepirkumā nav atgūstamas pēc iepirkuma līguma noslēgšanas. Ne mazāk svarīgi ir arī zaudējumi, kas saistīti ar nevainīguma prezumpcijas pārkāpumu. Turklāt nevainīguma prezumpcija ir tiesība, kas piemīt personai noteiktā laikā līdz tiesvedības beigām neatkarīgi no tā, vai šī persona tiek vai netiek atzīta par vainīgu. Līdz ar to konkrētajā gadījumā pirmšķietamība, ko paredz vērtēt, piemērojot pagaidu noregulējumu, šādā situācijā nav saistīta ar vērtējumu, vai persona tiks vai netiks atzīta par vainīgu, bet gan ar vērtējumu, vai personas pamattiesības, kuras jānodrošina tiesai, tiks vai netiks aizskartas. Pretēja interpretācija pagaidu noregulējuma institūtu padara neefektīvu.</w:t>
      </w:r>
    </w:p>
    <w:p w14:paraId="631B43D6" w14:textId="7777777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[4.4] Tā kā apgabaltiesa ir tā, kura šajā tiesvedības stadijā ir atbildīga par pieteicējas rīcības tiesiskuma novērtējumu, atzīstot vai neatzīstot pārkāpuma faktu, šai tiesai ir arī jāaizsargā procesa dalībnieks no otra procesa dalībnieka ļaunprātīgas varas izmantošanas, kas tostarp var tikt realizēta tiesvedības laikā un procesā, lai ļaunprātīgi panāktu tiesvedības izbeigšanu. Pagaidu aizsardzības līdzeklis, lai nepieļautu varas ļaunprātīgu izmantošanu, nav ierasts, taču nav tiesiska pamata uzskatīt, ka tas pēc būtības nav piemērojams. Tas izriet no pagaidu aizsardzības līdzekļa mērķa un Administratīvā procesa likuma mērķa, kurš paredz privātpersonu aizsardzību pret izpildvaras patvaļu.</w:t>
      </w:r>
    </w:p>
    <w:p w14:paraId="28065C95" w14:textId="7777777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[4.5] Pagaidu aizsardzības līdzekļa mērķis paredz ne tikai procesa dalībnieka aizsardzību, bet arī aizsardzības efektivitāti.</w:t>
      </w:r>
    </w:p>
    <w:p w14:paraId="171A92ED" w14:textId="7777777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Lēmumā ir norādīts uz pieteicējas tiesībām pārsūdzēt publisko iepirkumu pasūtītāju lēmumus, ar kuriem tā izslēgta no dalības konkrētā iepirkumā, nevērtējot pieteicējas apsvērumus, saskaņā ar kuriem publisko iepirkumu pasūtītājam ir ierobežotas iespējas pieņemt lēmumu, kas ir pretējs Konkurences padomes atzinumam. Vienlaikus tiesību pārsūdzēt publisko iepirkumu pasūtītāju lēmumus izmantošana paredz tiesvedību katrā iepirkumā, kurā netiek vērtēts pieteicējas pārkāpums pēc būtības. Līdz ar to publisko iepirkumu pasūtītāju lēmumu pārsūdzēšanas procesos netiek nodrošinātas efektīvas tiesības uz aizstāvību. Turklāt tiesības pārsūdzēt publisko iepirkumu pasūtītāju lēmumus nav izmantojamas tad, kad persona prasa Konkurences padomei sniegt pozitīvu atzinumu ārpus konkrēta iepirkuma (situācija, kurā ir sniegts Konkurences padomes atzinums). Savukārt tiesības prasīt pagaidu aizsardzību atzinuma izsniegšanas procesā var rasties tikai tad, ja atzinumu var pārsūdzēt atsevišķi (tiesā par to ir strīds).</w:t>
      </w:r>
    </w:p>
    <w:p w14:paraId="71835CEB" w14:textId="7777777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Tā kā Konkurences padomes lēmuma tiesiskumu vērtē apgabaltiesa un tai ir pienākums nodrošināt pieteicējas pamattiesības, šobrīd vienīgā un arī efektīvākā aizsardzība panākama tieši šīs lietas ietvaros. Turklāt atteikums piemērot pagaidu aizsardzības līdzekli, jo pastāv citi līdzvērtīgi aizsardzības līdzekļi, nav tiesiski pamatots.</w:t>
      </w:r>
    </w:p>
    <w:p w14:paraId="5790A6DE" w14:textId="77777777" w:rsidR="00CD6A6A" w:rsidRPr="00646674" w:rsidRDefault="00CD6A6A" w:rsidP="00646674">
      <w:pPr>
        <w:spacing w:line="276" w:lineRule="auto"/>
        <w:ind w:firstLine="720"/>
        <w:jc w:val="both"/>
        <w:rPr>
          <w:rFonts w:asciiTheme="majorBidi" w:hAnsiTheme="majorBidi" w:cstheme="majorBidi"/>
        </w:rPr>
      </w:pPr>
    </w:p>
    <w:p w14:paraId="635E8A75" w14:textId="7777777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[5] Konkurences padome paskaidrojumos par blakus sūdzību norādījusi, ka tā uztur apgabaltiesā sniegtos paskaidrojumus par pagaidu noregulējuma piemērošanu, lūdzot to noraidīt, jo pagaidu aizsardzības līdzeklis neatbilst lietā sagaidāmajam spriedumam, lūgums ir procesuāli nepieļaujams un nav izskatāms pēc būtības. Sagaidāmais spriedums nenoregulēs attiecības, kuras pieteicēja ar pagaidu noregulējumu lūdz.</w:t>
      </w:r>
    </w:p>
    <w:p w14:paraId="3CF2955A" w14:textId="19FB4103"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Konkurences padome atbildējusi arī uz Senāta lūgumu sniegt skaidrojumu par to, kāda ir Konkurences padomes prakse Publisko iepirkumu likuma 43.</w:t>
      </w:r>
      <w:r w:rsidR="003F179C" w:rsidRPr="00646674">
        <w:rPr>
          <w:rFonts w:asciiTheme="majorBidi" w:hAnsiTheme="majorBidi" w:cstheme="majorBidi"/>
        </w:rPr>
        <w:t> </w:t>
      </w:r>
      <w:r w:rsidRPr="00646674">
        <w:rPr>
          <w:rFonts w:asciiTheme="majorBidi" w:hAnsiTheme="majorBidi" w:cstheme="majorBidi"/>
        </w:rPr>
        <w:t xml:space="preserve">panta trešās daļas </w:t>
      </w:r>
      <w:r w:rsidRPr="00646674">
        <w:rPr>
          <w:rFonts w:asciiTheme="majorBidi" w:hAnsiTheme="majorBidi" w:cstheme="majorBidi"/>
        </w:rPr>
        <w:lastRenderedPageBreak/>
        <w:t xml:space="preserve">piemērošanā, norādot arī, ko padome saprot ar „veiktajiem pasākumiem” un kādus kritērijus tā ņem vērā, lai novērtētu, vai pasākumi ir pietiekami uzticamības atjaunošanai. </w:t>
      </w:r>
    </w:p>
    <w:p w14:paraId="41587849" w14:textId="77777777" w:rsidR="00CD6A6A" w:rsidRPr="00646674" w:rsidRDefault="00CD6A6A" w:rsidP="00646674">
      <w:pPr>
        <w:spacing w:line="276" w:lineRule="auto"/>
        <w:ind w:firstLine="720"/>
        <w:jc w:val="both"/>
        <w:rPr>
          <w:rFonts w:asciiTheme="majorBidi" w:hAnsiTheme="majorBidi" w:cstheme="majorBidi"/>
          <w:kern w:val="2"/>
          <w14:ligatures w14:val="standardContextual"/>
        </w:rPr>
      </w:pPr>
    </w:p>
    <w:p w14:paraId="7A0B5325" w14:textId="150BC900"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kern w:val="2"/>
          <w14:ligatures w14:val="standardContextual"/>
        </w:rPr>
        <w:t xml:space="preserve">[6] </w:t>
      </w:r>
      <w:r w:rsidRPr="00646674">
        <w:rPr>
          <w:rFonts w:asciiTheme="majorBidi" w:hAnsiTheme="majorBidi" w:cstheme="majorBidi"/>
        </w:rPr>
        <w:t xml:space="preserve">Pieteicēja Senātā iesniegusi lūgumu, ar kuru lūdz uzdot jautājumus Konkurences padomei saistībā ar tās paskaidrojumu par </w:t>
      </w:r>
      <w:bookmarkEnd w:id="0"/>
      <w:r w:rsidRPr="00646674">
        <w:rPr>
          <w:rFonts w:asciiTheme="majorBidi" w:hAnsiTheme="majorBidi" w:cstheme="majorBidi"/>
        </w:rPr>
        <w:t>Konkurences padomes praksi Publisko iepirkumu likuma 43.</w:t>
      </w:r>
      <w:r w:rsidR="003F179C" w:rsidRPr="00646674">
        <w:rPr>
          <w:rFonts w:asciiTheme="majorBidi" w:hAnsiTheme="majorBidi" w:cstheme="majorBidi"/>
        </w:rPr>
        <w:t> </w:t>
      </w:r>
      <w:r w:rsidRPr="00646674">
        <w:rPr>
          <w:rFonts w:asciiTheme="majorBidi" w:hAnsiTheme="majorBidi" w:cstheme="majorBidi"/>
        </w:rPr>
        <w:t xml:space="preserve">panta trešās daļas piemērošanā. </w:t>
      </w:r>
    </w:p>
    <w:p w14:paraId="1F81AF59" w14:textId="77777777" w:rsidR="00CD6A6A" w:rsidRPr="00646674" w:rsidRDefault="00CD6A6A" w:rsidP="00646674">
      <w:pPr>
        <w:spacing w:line="276" w:lineRule="auto"/>
        <w:jc w:val="center"/>
        <w:rPr>
          <w:rFonts w:asciiTheme="majorBidi" w:hAnsiTheme="majorBidi" w:cstheme="majorBidi"/>
          <w:b/>
        </w:rPr>
      </w:pPr>
    </w:p>
    <w:p w14:paraId="4D30BB61" w14:textId="77777777" w:rsidR="00CD6A6A" w:rsidRPr="00646674" w:rsidRDefault="00CD6A6A" w:rsidP="00646674">
      <w:pPr>
        <w:spacing w:line="276" w:lineRule="auto"/>
        <w:jc w:val="center"/>
        <w:rPr>
          <w:rFonts w:asciiTheme="majorBidi" w:hAnsiTheme="majorBidi" w:cstheme="majorBidi"/>
          <w:b/>
        </w:rPr>
      </w:pPr>
      <w:r w:rsidRPr="00646674">
        <w:rPr>
          <w:rFonts w:asciiTheme="majorBidi" w:hAnsiTheme="majorBidi" w:cstheme="majorBidi"/>
          <w:b/>
        </w:rPr>
        <w:t>Motīvu daļa</w:t>
      </w:r>
    </w:p>
    <w:p w14:paraId="61914E1B" w14:textId="77777777" w:rsidR="00CD6A6A" w:rsidRPr="00646674" w:rsidRDefault="00CD6A6A" w:rsidP="00646674">
      <w:pPr>
        <w:spacing w:line="276" w:lineRule="auto"/>
        <w:jc w:val="both"/>
        <w:rPr>
          <w:rFonts w:asciiTheme="majorBidi" w:hAnsiTheme="majorBidi" w:cstheme="majorBidi"/>
        </w:rPr>
      </w:pPr>
    </w:p>
    <w:p w14:paraId="1E6E41CB" w14:textId="7777777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[7] Apgabaltiesa atzinusi, ka lūgums par pagaidu noregulējumu ir noraidāms kā nepieļaujams, jo piemērojamais pagaidu noregulējuma līdzeklis pārsniedz prasījuma robežas. Proti, apgabaltiesa norādījusi, ka tā šajā lietā nevērtēs pasūtītāja tiesības pieprasīt Konkurences padomes atzinumu, Konkurences padomes tiesības sniegt atzinumu un šā atzinuma saturu. Līdz ar to neesot arī iespējams lemt par ierobežojumu Konkurences padomei sniegt negatīvu atzinumu pasūtītājiem.</w:t>
      </w:r>
    </w:p>
    <w:p w14:paraId="06DED660" w14:textId="77777777" w:rsidR="00CD6A6A" w:rsidRPr="00646674" w:rsidRDefault="00CD6A6A" w:rsidP="00646674">
      <w:pPr>
        <w:pStyle w:val="tv213"/>
        <w:shd w:val="clear" w:color="auto" w:fill="FFFFFF"/>
        <w:spacing w:before="0" w:beforeAutospacing="0" w:after="0" w:afterAutospacing="0" w:line="276" w:lineRule="auto"/>
        <w:ind w:firstLine="720"/>
        <w:jc w:val="both"/>
        <w:rPr>
          <w:rFonts w:asciiTheme="majorBidi" w:hAnsiTheme="majorBidi" w:cstheme="majorBidi"/>
        </w:rPr>
      </w:pPr>
      <w:r w:rsidRPr="00646674">
        <w:rPr>
          <w:rFonts w:asciiTheme="majorBidi" w:hAnsiTheme="majorBidi" w:cstheme="majorBidi"/>
        </w:rPr>
        <w:t>Senāts atzīst, ka apgabaltiesa uz pieteicējas pagaidu aizsardzības lūgumu ir raudzījusies pārlieku šauri, pievēršoties tikai tam, kā pieteicēja ir formulējusi pagaidu aizsardzības lūgumu, bet nepārliecinoties, vai tas atbilst pieteicējas apsvērumiem, kādēļ pieteicēja ir vērsusies ar pagaidu aizsardzības lūgumu tiesā. Tāpat arī apgabaltiesa nav noskaidrojusi, vai pieteicējas prasītais pagaidu aizsardzības līdzeklis ir piemērots izskatāmās lietas apstākļos. Secīgi apgabaltiesa ir nonākusi arī pie nepareiza gala secinājuma.</w:t>
      </w:r>
    </w:p>
    <w:p w14:paraId="2DD2DB3F" w14:textId="77777777" w:rsidR="00CD6A6A" w:rsidRPr="00646674" w:rsidRDefault="00CD6A6A" w:rsidP="00646674">
      <w:pPr>
        <w:spacing w:line="276" w:lineRule="auto"/>
        <w:ind w:firstLine="720"/>
        <w:jc w:val="both"/>
        <w:rPr>
          <w:rFonts w:asciiTheme="majorBidi" w:hAnsiTheme="majorBidi" w:cstheme="majorBidi"/>
        </w:rPr>
      </w:pPr>
    </w:p>
    <w:p w14:paraId="0D31C679" w14:textId="57516687" w:rsidR="00CD6A6A" w:rsidRPr="00646674" w:rsidRDefault="00CD6A6A" w:rsidP="00646674">
      <w:pPr>
        <w:pStyle w:val="tv213"/>
        <w:shd w:val="clear" w:color="auto" w:fill="FFFFFF"/>
        <w:spacing w:before="0" w:beforeAutospacing="0" w:after="0" w:afterAutospacing="0" w:line="276" w:lineRule="auto"/>
        <w:ind w:firstLine="720"/>
        <w:jc w:val="both"/>
        <w:rPr>
          <w:rFonts w:asciiTheme="majorBidi" w:hAnsiTheme="majorBidi" w:cstheme="majorBidi"/>
        </w:rPr>
      </w:pPr>
      <w:r w:rsidRPr="00646674">
        <w:rPr>
          <w:rFonts w:asciiTheme="majorBidi" w:hAnsiTheme="majorBidi" w:cstheme="majorBidi"/>
        </w:rPr>
        <w:t xml:space="preserve">[8] Atbilstoši </w:t>
      </w:r>
      <w:bookmarkStart w:id="1" w:name="_Hlk166503709"/>
      <w:r w:rsidRPr="00646674">
        <w:rPr>
          <w:rFonts w:asciiTheme="majorBidi" w:hAnsiTheme="majorBidi" w:cstheme="majorBidi"/>
        </w:rPr>
        <w:t>Publisko iepirkumu likuma 42.</w:t>
      </w:r>
      <w:r w:rsidR="003F179C" w:rsidRPr="00646674">
        <w:rPr>
          <w:rFonts w:asciiTheme="majorBidi" w:hAnsiTheme="majorBidi" w:cstheme="majorBidi"/>
        </w:rPr>
        <w:t> </w:t>
      </w:r>
      <w:r w:rsidRPr="00646674">
        <w:rPr>
          <w:rFonts w:asciiTheme="majorBidi" w:hAnsiTheme="majorBidi" w:cstheme="majorBidi"/>
        </w:rPr>
        <w:t>panta pirmajai daļai un otrās daļas 7.</w:t>
      </w:r>
      <w:r w:rsidR="003F179C" w:rsidRPr="00646674">
        <w:rPr>
          <w:rFonts w:asciiTheme="majorBidi" w:hAnsiTheme="majorBidi" w:cstheme="majorBidi"/>
        </w:rPr>
        <w:t> </w:t>
      </w:r>
      <w:r w:rsidRPr="00646674">
        <w:rPr>
          <w:rFonts w:asciiTheme="majorBidi" w:hAnsiTheme="majorBidi" w:cstheme="majorBidi"/>
        </w:rPr>
        <w:t xml:space="preserve">punktam </w:t>
      </w:r>
      <w:bookmarkEnd w:id="1"/>
      <w:r w:rsidRPr="00646674">
        <w:rPr>
          <w:rFonts w:asciiTheme="majorBidi" w:hAnsiTheme="majorBidi" w:cstheme="majorBidi"/>
        </w:rPr>
        <w:t xml:space="preserve">pasūtītājs izslēdz kandidātu vai pretendentu no turpmākās dalības iepirkuma procedūrā, ja </w:t>
      </w:r>
      <w:r w:rsidRPr="00646674">
        <w:rPr>
          <w:rFonts w:asciiTheme="majorBidi" w:hAnsiTheme="majorBidi" w:cstheme="majorBidi"/>
          <w:shd w:val="clear" w:color="auto" w:fill="FFFFFF"/>
        </w:rPr>
        <w:t xml:space="preserve">pasūtītāja rīcībā ir pietiekami pārliecinošas norādes, lai secinātu, ka kandidāts vai pretendents ir ar citiem piegādātājiem noslēdzis vienošanos, kas vērsta uz konkurences kavēšanu, ierobežošanu vai deformēšanu. Saskaņā ar </w:t>
      </w:r>
      <w:bookmarkStart w:id="2" w:name="_Hlk166503785"/>
      <w:r w:rsidRPr="00646674">
        <w:rPr>
          <w:rFonts w:asciiTheme="majorBidi" w:hAnsiTheme="majorBidi" w:cstheme="majorBidi"/>
          <w:shd w:val="clear" w:color="auto" w:fill="FFFFFF"/>
        </w:rPr>
        <w:t>42.</w:t>
      </w:r>
      <w:r w:rsidR="003F179C" w:rsidRPr="00646674">
        <w:rPr>
          <w:rFonts w:asciiTheme="majorBidi" w:hAnsiTheme="majorBidi" w:cstheme="majorBidi"/>
          <w:shd w:val="clear" w:color="auto" w:fill="FFFFFF"/>
        </w:rPr>
        <w:t> </w:t>
      </w:r>
      <w:r w:rsidRPr="00646674">
        <w:rPr>
          <w:rFonts w:asciiTheme="majorBidi" w:hAnsiTheme="majorBidi" w:cstheme="majorBidi"/>
          <w:shd w:val="clear" w:color="auto" w:fill="FFFFFF"/>
        </w:rPr>
        <w:t>panta septītās daļas 1.</w:t>
      </w:r>
      <w:r w:rsidR="003F179C" w:rsidRPr="00646674">
        <w:rPr>
          <w:rFonts w:asciiTheme="majorBidi" w:hAnsiTheme="majorBidi" w:cstheme="majorBidi"/>
          <w:shd w:val="clear" w:color="auto" w:fill="FFFFFF"/>
        </w:rPr>
        <w:t> </w:t>
      </w:r>
      <w:r w:rsidRPr="00646674">
        <w:rPr>
          <w:rFonts w:asciiTheme="majorBidi" w:hAnsiTheme="majorBidi" w:cstheme="majorBidi"/>
          <w:shd w:val="clear" w:color="auto" w:fill="FFFFFF"/>
        </w:rPr>
        <w:t>punktu</w:t>
      </w:r>
      <w:bookmarkEnd w:id="2"/>
      <w:r w:rsidRPr="00646674">
        <w:rPr>
          <w:rFonts w:asciiTheme="majorBidi" w:hAnsiTheme="majorBidi" w:cstheme="majorBidi"/>
          <w:shd w:val="clear" w:color="auto" w:fill="FFFFFF"/>
        </w:rPr>
        <w:t xml:space="preserve"> par panta otrās daļas 7.</w:t>
      </w:r>
      <w:r w:rsidR="003F179C" w:rsidRPr="00646674">
        <w:rPr>
          <w:rFonts w:asciiTheme="majorBidi" w:hAnsiTheme="majorBidi" w:cstheme="majorBidi"/>
          <w:shd w:val="clear" w:color="auto" w:fill="FFFFFF"/>
        </w:rPr>
        <w:t> </w:t>
      </w:r>
      <w:r w:rsidRPr="00646674">
        <w:rPr>
          <w:rFonts w:asciiTheme="majorBidi" w:hAnsiTheme="majorBidi" w:cstheme="majorBidi"/>
          <w:shd w:val="clear" w:color="auto" w:fill="FFFFFF"/>
        </w:rPr>
        <w:t xml:space="preserve">punktā minēto izslēgšanas iemeslu kalpo arī Konkurences padomes </w:t>
      </w:r>
      <w:r w:rsidRPr="00646674">
        <w:rPr>
          <w:rFonts w:asciiTheme="majorBidi" w:hAnsiTheme="majorBidi" w:cstheme="majorBidi"/>
        </w:rPr>
        <w:t xml:space="preserve">lēmums, ar kuru kandidāts vai pretendents ir atzīts par vainīgu konkurences tiesību pārkāpumā, kas izpaužas kā horizontālā karteļa vienošanās. Kā tas izriet no tiesību normu sistēmas (sk. Publisko iepirkumu likuma </w:t>
      </w:r>
      <w:bookmarkStart w:id="3" w:name="_Hlk166503859"/>
      <w:r w:rsidRPr="00646674">
        <w:rPr>
          <w:rFonts w:asciiTheme="majorBidi" w:hAnsiTheme="majorBidi" w:cstheme="majorBidi"/>
        </w:rPr>
        <w:t>42.</w:t>
      </w:r>
      <w:r w:rsidR="003F179C" w:rsidRPr="00646674">
        <w:rPr>
          <w:rFonts w:asciiTheme="majorBidi" w:hAnsiTheme="majorBidi" w:cstheme="majorBidi"/>
        </w:rPr>
        <w:t> </w:t>
      </w:r>
      <w:r w:rsidRPr="00646674">
        <w:rPr>
          <w:rFonts w:asciiTheme="majorBidi" w:hAnsiTheme="majorBidi" w:cstheme="majorBidi"/>
        </w:rPr>
        <w:t>panta otrās daļas 2.</w:t>
      </w:r>
      <w:r w:rsidR="003F179C" w:rsidRPr="00646674">
        <w:rPr>
          <w:rFonts w:asciiTheme="majorBidi" w:hAnsiTheme="majorBidi" w:cstheme="majorBidi"/>
        </w:rPr>
        <w:t> </w:t>
      </w:r>
      <w:r w:rsidRPr="00646674">
        <w:rPr>
          <w:rFonts w:asciiTheme="majorBidi" w:hAnsiTheme="majorBidi" w:cstheme="majorBidi"/>
        </w:rPr>
        <w:t>punktu, kā arī ceturtās daļas 3.</w:t>
      </w:r>
      <w:r w:rsidR="003F179C" w:rsidRPr="00646674">
        <w:rPr>
          <w:rFonts w:asciiTheme="majorBidi" w:hAnsiTheme="majorBidi" w:cstheme="majorBidi"/>
        </w:rPr>
        <w:t> </w:t>
      </w:r>
      <w:r w:rsidRPr="00646674">
        <w:rPr>
          <w:rFonts w:asciiTheme="majorBidi" w:hAnsiTheme="majorBidi" w:cstheme="majorBidi"/>
        </w:rPr>
        <w:t>punktu</w:t>
      </w:r>
      <w:bookmarkEnd w:id="3"/>
      <w:r w:rsidRPr="00646674">
        <w:rPr>
          <w:rFonts w:asciiTheme="majorBidi" w:hAnsiTheme="majorBidi" w:cstheme="majorBidi"/>
        </w:rPr>
        <w:t xml:space="preserve">), minētajā normā ir runa par lēmumu, kurš nav kļuvis neapstrīdams. </w:t>
      </w:r>
    </w:p>
    <w:p w14:paraId="4997C77B" w14:textId="77777777" w:rsidR="00CD6A6A" w:rsidRPr="00646674" w:rsidRDefault="00CD6A6A" w:rsidP="00646674">
      <w:pPr>
        <w:pStyle w:val="tv213"/>
        <w:shd w:val="clear" w:color="auto" w:fill="FFFFFF"/>
        <w:spacing w:before="0" w:beforeAutospacing="0" w:after="0" w:afterAutospacing="0" w:line="276" w:lineRule="auto"/>
        <w:ind w:firstLine="720"/>
        <w:jc w:val="both"/>
        <w:rPr>
          <w:rFonts w:asciiTheme="majorBidi" w:hAnsiTheme="majorBidi" w:cstheme="majorBidi"/>
        </w:rPr>
      </w:pPr>
      <w:r w:rsidRPr="00646674">
        <w:rPr>
          <w:rFonts w:asciiTheme="majorBidi" w:hAnsiTheme="majorBidi" w:cstheme="majorBidi"/>
        </w:rPr>
        <w:t>Tātad no minētajām tiesību normām izriet tiesiskais pamats pasūtītājam lemt par kandidātu vai pretendentu izslēgšanu no iepirkumu procedūras arī situācijā, kad ar Konkurences padomes lēmumu atzīts personas pieļauts konkurences tiesību pārkāpums, pat ja attiecīgais Konkurences padomes lēmums ir pārsūdzēts un tiesvedība vēl nav noslēgusies. Tas nozīmē, ka arī par neapstrīdamu vēl nekļuvis Konkurences padomes lēmums ietekmē personas saimnieciskās intereses publiskajos iepirkumos, kuros konkrētā persona ir ieinteresēta piedalīties.</w:t>
      </w:r>
    </w:p>
    <w:p w14:paraId="5ECC8403" w14:textId="77777777" w:rsidR="00CD6A6A" w:rsidRPr="00646674" w:rsidRDefault="00CD6A6A" w:rsidP="00646674">
      <w:pPr>
        <w:pStyle w:val="tv213"/>
        <w:shd w:val="clear" w:color="auto" w:fill="FFFFFF"/>
        <w:spacing w:before="0" w:beforeAutospacing="0" w:after="0" w:afterAutospacing="0" w:line="276" w:lineRule="auto"/>
        <w:ind w:firstLine="720"/>
        <w:jc w:val="both"/>
        <w:rPr>
          <w:rFonts w:asciiTheme="majorBidi" w:hAnsiTheme="majorBidi" w:cstheme="majorBidi"/>
        </w:rPr>
      </w:pPr>
      <w:r w:rsidRPr="00646674">
        <w:rPr>
          <w:rFonts w:asciiTheme="majorBidi" w:hAnsiTheme="majorBidi" w:cstheme="majorBidi"/>
        </w:rPr>
        <w:t xml:space="preserve">Pieteicēja pagaidu aizsardzības lūgumā norādījusi, ka tādējādi tai Konkurences padomes lēmuma rezultātā ir liegta iespēja piedalīties publiskajos iepirkumos, lai arī lēmums vēl nav kļuvis neapstrīdams (pieteicēja gan lieto jēdzienu „nav stājies spēkā”, tomēr no konteksta izriet, ka runa ir par lēmumu, par kuru norit tiesvedība un līdz ar to tas vēl nav kļuvis neapstrīdams). Tāpat pieteicēja iebildusi, ka tai ir jāpierāda uzticamība, </w:t>
      </w:r>
      <w:r w:rsidRPr="00646674">
        <w:rPr>
          <w:rFonts w:asciiTheme="majorBidi" w:hAnsiTheme="majorBidi" w:cstheme="majorBidi"/>
        </w:rPr>
        <w:lastRenderedPageBreak/>
        <w:t xml:space="preserve">lai tā varētu turpināt piedalīties iepirkumos, lai gan tās vaina nav pierādīta likumā noteiktā kārtībā. Pieteicēja arī izvirzījusi iebildumus pret Konkurences padomes praksi, sniedzot atzinumus par pasākumu pietiekamību uzticamības atjaunošanai, kas pieteicējas ieskatā pārkāpj nevainīguma prezumpciju un pēc būtības liek atzīt ar administratīvo aktu konstatētos konkurences tiesību pārkāpumus, lai gan administratīvais akts vēl nav kļuvis neapstrīdams. </w:t>
      </w:r>
    </w:p>
    <w:p w14:paraId="66F1481F" w14:textId="535F3D59" w:rsidR="00CD6A6A" w:rsidRPr="00646674" w:rsidRDefault="00CD6A6A" w:rsidP="00646674">
      <w:pPr>
        <w:pStyle w:val="tv213"/>
        <w:shd w:val="clear" w:color="auto" w:fill="FFFFFF"/>
        <w:spacing w:before="0" w:beforeAutospacing="0" w:after="0" w:afterAutospacing="0" w:line="276" w:lineRule="auto"/>
        <w:ind w:firstLine="720"/>
        <w:jc w:val="both"/>
        <w:rPr>
          <w:rFonts w:asciiTheme="majorBidi" w:hAnsiTheme="majorBidi" w:cstheme="majorBidi"/>
        </w:rPr>
      </w:pPr>
      <w:r w:rsidRPr="00646674">
        <w:rPr>
          <w:rFonts w:asciiTheme="majorBidi" w:hAnsiTheme="majorBidi" w:cstheme="majorBidi"/>
        </w:rPr>
        <w:t>No minētā var izsecināt pieteicējas uzskatu, ka pašos pamatos ir nepareizi ierobežot pieteicējas tiesības piedalīties iepirkumos, kamēr lēmums, ar kuru konstatēts konkurences tiesību pārkāpums, nav kļuvis neapstrīdams, jo tādējādi jebkurā no izslēgšanas procedūras posmiem (proti: kad pasūtītājs atbilstoši Publisko iepirkumu likuma 42.</w:t>
      </w:r>
      <w:r w:rsidR="003F179C" w:rsidRPr="00646674">
        <w:rPr>
          <w:rFonts w:asciiTheme="majorBidi" w:hAnsiTheme="majorBidi" w:cstheme="majorBidi"/>
        </w:rPr>
        <w:t> </w:t>
      </w:r>
      <w:r w:rsidRPr="00646674">
        <w:rPr>
          <w:rFonts w:asciiTheme="majorBidi" w:hAnsiTheme="majorBidi" w:cstheme="majorBidi"/>
        </w:rPr>
        <w:t>panta otrās daļas 7.</w:t>
      </w:r>
      <w:r w:rsidR="003F179C" w:rsidRPr="00646674">
        <w:rPr>
          <w:rFonts w:asciiTheme="majorBidi" w:hAnsiTheme="majorBidi" w:cstheme="majorBidi"/>
        </w:rPr>
        <w:t> </w:t>
      </w:r>
      <w:r w:rsidRPr="00646674">
        <w:rPr>
          <w:rFonts w:asciiTheme="majorBidi" w:hAnsiTheme="majorBidi" w:cstheme="majorBidi"/>
        </w:rPr>
        <w:t>punktam kopsakarā ar septītās daļas 1.</w:t>
      </w:r>
      <w:r w:rsidR="003F179C" w:rsidRPr="00646674">
        <w:rPr>
          <w:rFonts w:asciiTheme="majorBidi" w:hAnsiTheme="majorBidi" w:cstheme="majorBidi"/>
        </w:rPr>
        <w:t> </w:t>
      </w:r>
      <w:r w:rsidRPr="00646674">
        <w:rPr>
          <w:rFonts w:asciiTheme="majorBidi" w:hAnsiTheme="majorBidi" w:cstheme="majorBidi"/>
        </w:rPr>
        <w:t xml:space="preserve">punktu konstatē, ka ir iestājies likumā noteiktais pamats kandidāta vai pretendenta izslēgšanai no iepirkumu procedūras; kad atbilstoši minētā likuma </w:t>
      </w:r>
      <w:bookmarkStart w:id="4" w:name="_Hlk166503987"/>
      <w:r w:rsidRPr="00646674">
        <w:rPr>
          <w:rFonts w:asciiTheme="majorBidi" w:hAnsiTheme="majorBidi" w:cstheme="majorBidi"/>
        </w:rPr>
        <w:t>43.</w:t>
      </w:r>
      <w:r w:rsidR="003F179C" w:rsidRPr="00646674">
        <w:rPr>
          <w:rFonts w:asciiTheme="majorBidi" w:hAnsiTheme="majorBidi" w:cstheme="majorBidi"/>
        </w:rPr>
        <w:t> </w:t>
      </w:r>
      <w:r w:rsidRPr="00646674">
        <w:rPr>
          <w:rFonts w:asciiTheme="majorBidi" w:hAnsiTheme="majorBidi" w:cstheme="majorBidi"/>
        </w:rPr>
        <w:t xml:space="preserve">panta pirmajai un otrajai daļai </w:t>
      </w:r>
      <w:bookmarkEnd w:id="4"/>
      <w:r w:rsidRPr="00646674">
        <w:rPr>
          <w:rFonts w:asciiTheme="majorBidi" w:hAnsiTheme="majorBidi" w:cstheme="majorBidi"/>
        </w:rPr>
        <w:t>kandidātam vai pretendentam ir jāapliecina sava uzticamība; kad atbilstoši minētā likuma 43.</w:t>
      </w:r>
      <w:r w:rsidR="003F179C" w:rsidRPr="00646674">
        <w:rPr>
          <w:rFonts w:asciiTheme="majorBidi" w:hAnsiTheme="majorBidi" w:cstheme="majorBidi"/>
        </w:rPr>
        <w:t> </w:t>
      </w:r>
      <w:r w:rsidRPr="00646674">
        <w:rPr>
          <w:rFonts w:asciiTheme="majorBidi" w:hAnsiTheme="majorBidi" w:cstheme="majorBidi"/>
        </w:rPr>
        <w:t xml:space="preserve">panta </w:t>
      </w:r>
      <w:bookmarkStart w:id="5" w:name="_Hlk166504062"/>
      <w:r w:rsidRPr="00646674">
        <w:rPr>
          <w:rFonts w:asciiTheme="majorBidi" w:hAnsiTheme="majorBidi" w:cstheme="majorBidi"/>
        </w:rPr>
        <w:t xml:space="preserve">trešajai daļai </w:t>
      </w:r>
      <w:bookmarkEnd w:id="5"/>
      <w:r w:rsidRPr="00646674">
        <w:rPr>
          <w:rFonts w:asciiTheme="majorBidi" w:hAnsiTheme="majorBidi" w:cstheme="majorBidi"/>
        </w:rPr>
        <w:t>kompetentā institūcija sniedz savu atzinumu par pasākumu pietiekamību uzticamības atjaunošanai) pieteicējas ieskatā tiek pārkāpta nevainīguma prezumpcija, kā arī pieteicējai var tikt liegtas tiesības uz taisnīgu tiesu procesā, kur tiek pārbaudīts minētā lēmuma tiesiskums.</w:t>
      </w:r>
    </w:p>
    <w:p w14:paraId="5168AFB7" w14:textId="6DC915CA" w:rsidR="00CD6A6A" w:rsidRPr="00646674" w:rsidRDefault="00CD6A6A" w:rsidP="00646674">
      <w:pPr>
        <w:pStyle w:val="tv213"/>
        <w:shd w:val="clear" w:color="auto" w:fill="FFFFFF"/>
        <w:spacing w:before="0" w:beforeAutospacing="0" w:after="0" w:afterAutospacing="0" w:line="276" w:lineRule="auto"/>
        <w:ind w:firstLine="720"/>
        <w:jc w:val="both"/>
        <w:rPr>
          <w:rFonts w:asciiTheme="majorBidi" w:hAnsiTheme="majorBidi" w:cstheme="majorBidi"/>
          <w:lang w:eastAsia="en-US"/>
        </w:rPr>
      </w:pPr>
      <w:r w:rsidRPr="00646674">
        <w:rPr>
          <w:rFonts w:asciiTheme="majorBidi" w:hAnsiTheme="majorBidi" w:cstheme="majorBidi"/>
        </w:rPr>
        <w:t xml:space="preserve">Tātad pieteicēja pēc būtības vēlas pasargāt sevi no jebkādas ietekmes jeb nelabvēlīgām sekām, kuras attiecībā uz citiem iepirkumiem rada Konkurences padomes lēmums, kamēr tas nav kļuvis neapstrīdams. Citiem vārdiem, pieteicēja vēlas nodrošināt tāda tiesiskā stāvokļa saglabāšanu, kāds tas bija līdz pārsūdzētā lēmuma spēkā stāšanās brīdim. Tas ir panākams ar administratīvā akta darbības apturēšanu, kas kā pagaidu aizsardzība ir izmantojama tieši gadījumos, kad tiesā tiek izvirzīts prasījums par administratīvā akta atcelšanu (piemēram, </w:t>
      </w:r>
      <w:bookmarkStart w:id="6" w:name="_Hlk166504105"/>
      <w:r w:rsidRPr="00646674">
        <w:rPr>
          <w:rFonts w:asciiTheme="majorBidi" w:hAnsiTheme="majorBidi" w:cstheme="majorBidi"/>
          <w:i/>
          <w:iCs/>
        </w:rPr>
        <w:t xml:space="preserve">Senāta </w:t>
      </w:r>
      <w:r w:rsidRPr="00646674">
        <w:rPr>
          <w:rFonts w:asciiTheme="majorBidi" w:hAnsiTheme="majorBidi" w:cstheme="majorBidi"/>
          <w:i/>
          <w:iCs/>
          <w:lang w:eastAsia="en-US"/>
        </w:rPr>
        <w:t>2007.</w:t>
      </w:r>
      <w:r w:rsidR="003F179C" w:rsidRPr="00646674">
        <w:rPr>
          <w:rFonts w:asciiTheme="majorBidi" w:hAnsiTheme="majorBidi" w:cstheme="majorBidi"/>
          <w:i/>
          <w:iCs/>
          <w:lang w:eastAsia="en-US"/>
        </w:rPr>
        <w:t> </w:t>
      </w:r>
      <w:r w:rsidRPr="00646674">
        <w:rPr>
          <w:rFonts w:asciiTheme="majorBidi" w:hAnsiTheme="majorBidi" w:cstheme="majorBidi"/>
          <w:i/>
          <w:iCs/>
          <w:lang w:eastAsia="en-US"/>
        </w:rPr>
        <w:t>gada 27.</w:t>
      </w:r>
      <w:r w:rsidR="002420AC" w:rsidRPr="00646674">
        <w:rPr>
          <w:rFonts w:asciiTheme="majorBidi" w:hAnsiTheme="majorBidi" w:cstheme="majorBidi"/>
          <w:i/>
          <w:iCs/>
          <w:lang w:eastAsia="en-US"/>
        </w:rPr>
        <w:t> </w:t>
      </w:r>
      <w:r w:rsidRPr="00646674">
        <w:rPr>
          <w:rFonts w:asciiTheme="majorBidi" w:hAnsiTheme="majorBidi" w:cstheme="majorBidi"/>
          <w:i/>
          <w:iCs/>
          <w:lang w:eastAsia="en-US"/>
        </w:rPr>
        <w:t xml:space="preserve">augusta lēmuma lietā Nr. SKA-495/2007, </w:t>
      </w:r>
      <w:r w:rsidRPr="00646674">
        <w:rPr>
          <w:rFonts w:asciiTheme="majorBidi" w:hAnsiTheme="majorBidi" w:cstheme="majorBidi"/>
          <w:i/>
          <w:iCs/>
          <w:color w:val="2B2B2B"/>
          <w:shd w:val="clear" w:color="auto" w:fill="FFFFFF"/>
        </w:rPr>
        <w:t>A42325905</w:t>
      </w:r>
      <w:r w:rsidRPr="00646674">
        <w:rPr>
          <w:rFonts w:asciiTheme="majorBidi" w:hAnsiTheme="majorBidi" w:cstheme="majorBidi"/>
          <w:i/>
          <w:iCs/>
          <w:lang w:eastAsia="en-US"/>
        </w:rPr>
        <w:t>, 14.</w:t>
      </w:r>
      <w:r w:rsidR="002420AC" w:rsidRPr="00646674">
        <w:rPr>
          <w:rFonts w:asciiTheme="majorBidi" w:hAnsiTheme="majorBidi" w:cstheme="majorBidi"/>
          <w:i/>
          <w:iCs/>
          <w:lang w:eastAsia="en-US"/>
        </w:rPr>
        <w:t> </w:t>
      </w:r>
      <w:r w:rsidRPr="00646674">
        <w:rPr>
          <w:rFonts w:asciiTheme="majorBidi" w:hAnsiTheme="majorBidi" w:cstheme="majorBidi"/>
          <w:i/>
          <w:iCs/>
          <w:lang w:eastAsia="en-US"/>
        </w:rPr>
        <w:t>punkts, 2012.</w:t>
      </w:r>
      <w:r w:rsidR="002420AC" w:rsidRPr="00646674">
        <w:rPr>
          <w:rFonts w:asciiTheme="majorBidi" w:hAnsiTheme="majorBidi" w:cstheme="majorBidi"/>
          <w:i/>
          <w:iCs/>
          <w:lang w:eastAsia="en-US"/>
        </w:rPr>
        <w:t> </w:t>
      </w:r>
      <w:r w:rsidRPr="00646674">
        <w:rPr>
          <w:rFonts w:asciiTheme="majorBidi" w:hAnsiTheme="majorBidi" w:cstheme="majorBidi"/>
          <w:i/>
          <w:iCs/>
          <w:lang w:eastAsia="en-US"/>
        </w:rPr>
        <w:t>gada 8.</w:t>
      </w:r>
      <w:r w:rsidR="002420AC" w:rsidRPr="00646674">
        <w:rPr>
          <w:rFonts w:asciiTheme="majorBidi" w:hAnsiTheme="majorBidi" w:cstheme="majorBidi"/>
          <w:i/>
          <w:iCs/>
          <w:lang w:eastAsia="en-US"/>
        </w:rPr>
        <w:t> </w:t>
      </w:r>
      <w:r w:rsidRPr="00646674">
        <w:rPr>
          <w:rFonts w:asciiTheme="majorBidi" w:hAnsiTheme="majorBidi" w:cstheme="majorBidi"/>
          <w:i/>
          <w:iCs/>
          <w:lang w:eastAsia="en-US"/>
        </w:rPr>
        <w:t>jūnija lēmuma lietā Nr. SKA</w:t>
      </w:r>
      <w:r w:rsidRPr="00646674">
        <w:rPr>
          <w:rFonts w:asciiTheme="majorBidi" w:hAnsiTheme="majorBidi" w:cstheme="majorBidi"/>
          <w:i/>
          <w:iCs/>
          <w:lang w:eastAsia="en-US"/>
        </w:rPr>
        <w:noBreakHyphen/>
        <w:t xml:space="preserve">621/2012, </w:t>
      </w:r>
      <w:r w:rsidRPr="00646674">
        <w:rPr>
          <w:rFonts w:asciiTheme="majorBidi" w:hAnsiTheme="majorBidi" w:cstheme="majorBidi"/>
          <w:i/>
          <w:iCs/>
          <w:color w:val="2B2B2B"/>
          <w:shd w:val="clear" w:color="auto" w:fill="FFFFFF"/>
        </w:rPr>
        <w:t>A42674907</w:t>
      </w:r>
      <w:bookmarkEnd w:id="6"/>
      <w:r w:rsidRPr="00646674">
        <w:rPr>
          <w:rFonts w:asciiTheme="majorBidi" w:hAnsiTheme="majorBidi" w:cstheme="majorBidi"/>
          <w:i/>
          <w:iCs/>
          <w:lang w:eastAsia="en-US"/>
        </w:rPr>
        <w:t>, 8.</w:t>
      </w:r>
      <w:r w:rsidR="002420AC" w:rsidRPr="00646674">
        <w:rPr>
          <w:rFonts w:asciiTheme="majorBidi" w:hAnsiTheme="majorBidi" w:cstheme="majorBidi"/>
          <w:i/>
          <w:iCs/>
          <w:lang w:eastAsia="en-US"/>
        </w:rPr>
        <w:t> </w:t>
      </w:r>
      <w:r w:rsidRPr="00646674">
        <w:rPr>
          <w:rFonts w:asciiTheme="majorBidi" w:hAnsiTheme="majorBidi" w:cstheme="majorBidi"/>
          <w:i/>
          <w:iCs/>
          <w:lang w:eastAsia="en-US"/>
        </w:rPr>
        <w:t>punkts</w:t>
      </w:r>
      <w:r w:rsidRPr="00646674">
        <w:rPr>
          <w:rFonts w:asciiTheme="majorBidi" w:hAnsiTheme="majorBidi" w:cstheme="majorBidi"/>
          <w:lang w:eastAsia="en-US"/>
        </w:rPr>
        <w:t>).</w:t>
      </w:r>
    </w:p>
    <w:p w14:paraId="3829F33F" w14:textId="77777777" w:rsidR="00CD6A6A" w:rsidRPr="00646674" w:rsidRDefault="00CD6A6A" w:rsidP="00646674">
      <w:pPr>
        <w:pStyle w:val="tv213"/>
        <w:shd w:val="clear" w:color="auto" w:fill="FFFFFF"/>
        <w:spacing w:before="0" w:beforeAutospacing="0" w:after="0" w:afterAutospacing="0" w:line="276" w:lineRule="auto"/>
        <w:ind w:firstLine="720"/>
        <w:jc w:val="both"/>
        <w:rPr>
          <w:rFonts w:asciiTheme="majorBidi" w:hAnsiTheme="majorBidi" w:cstheme="majorBidi"/>
        </w:rPr>
      </w:pPr>
      <w:r w:rsidRPr="00646674">
        <w:rPr>
          <w:rFonts w:asciiTheme="majorBidi" w:hAnsiTheme="majorBidi" w:cstheme="majorBidi"/>
        </w:rPr>
        <w:t>Ievērojot minēto, Senāts atzīst, ka pieteicēja pēc būtības lūgusi apturēt administratīvā akta darbību.</w:t>
      </w:r>
    </w:p>
    <w:p w14:paraId="3C6583B7" w14:textId="77777777" w:rsidR="00CD6A6A" w:rsidRPr="00646674" w:rsidRDefault="00CD6A6A" w:rsidP="00646674">
      <w:pPr>
        <w:pStyle w:val="tv213"/>
        <w:shd w:val="clear" w:color="auto" w:fill="FFFFFF"/>
        <w:spacing w:before="0" w:beforeAutospacing="0" w:after="0" w:afterAutospacing="0" w:line="276" w:lineRule="auto"/>
        <w:ind w:firstLine="720"/>
        <w:jc w:val="both"/>
        <w:rPr>
          <w:rFonts w:asciiTheme="majorBidi" w:hAnsiTheme="majorBidi" w:cstheme="majorBidi"/>
        </w:rPr>
      </w:pPr>
      <w:r w:rsidRPr="00646674">
        <w:rPr>
          <w:rFonts w:asciiTheme="majorBidi" w:hAnsiTheme="majorBidi" w:cstheme="majorBidi"/>
        </w:rPr>
        <w:t>Šeit ir būtiski uzsvērt, ka šāda pagaidu aizsardzības līdzekļa piemērošana, ievērojot turpmāk minētos apsvērumus, konkrētajā lietā ir pieļaujama.</w:t>
      </w:r>
    </w:p>
    <w:p w14:paraId="1D7AD66E" w14:textId="4BF75D43" w:rsidR="00CD6A6A" w:rsidRPr="00646674" w:rsidRDefault="00CD6A6A" w:rsidP="00646674">
      <w:pPr>
        <w:pStyle w:val="tv213"/>
        <w:shd w:val="clear" w:color="auto" w:fill="FFFFFF"/>
        <w:spacing w:before="0" w:beforeAutospacing="0" w:after="0" w:afterAutospacing="0" w:line="276" w:lineRule="auto"/>
        <w:ind w:firstLine="720"/>
        <w:jc w:val="both"/>
        <w:rPr>
          <w:rFonts w:asciiTheme="majorBidi" w:hAnsiTheme="majorBidi" w:cstheme="majorBidi"/>
        </w:rPr>
      </w:pPr>
      <w:bookmarkStart w:id="7" w:name="_Hlk166504259"/>
      <w:r w:rsidRPr="00646674">
        <w:rPr>
          <w:rFonts w:asciiTheme="majorBidi" w:hAnsiTheme="majorBidi" w:cstheme="majorBidi"/>
        </w:rPr>
        <w:t>Administratīvā procesa likuma 185.</w:t>
      </w:r>
      <w:r w:rsidR="002420AC" w:rsidRPr="00646674">
        <w:rPr>
          <w:rFonts w:asciiTheme="majorBidi" w:hAnsiTheme="majorBidi" w:cstheme="majorBidi"/>
        </w:rPr>
        <w:t> </w:t>
      </w:r>
      <w:r w:rsidRPr="00646674">
        <w:rPr>
          <w:rFonts w:asciiTheme="majorBidi" w:hAnsiTheme="majorBidi" w:cstheme="majorBidi"/>
        </w:rPr>
        <w:t xml:space="preserve">panta pirmā daļa </w:t>
      </w:r>
      <w:bookmarkEnd w:id="7"/>
      <w:r w:rsidRPr="00646674">
        <w:rPr>
          <w:rFonts w:asciiTheme="majorBidi" w:hAnsiTheme="majorBidi" w:cstheme="majorBidi"/>
        </w:rPr>
        <w:t>paredz, ka p</w:t>
      </w:r>
      <w:r w:rsidRPr="00646674">
        <w:rPr>
          <w:rFonts w:asciiTheme="majorBidi" w:hAnsiTheme="majorBidi" w:cstheme="majorBidi"/>
          <w:shd w:val="clear" w:color="auto" w:fill="FFFFFF"/>
        </w:rPr>
        <w:t xml:space="preserve">ieteikuma iesniegšana tiesā par administratīvā akta atcelšanu aptur administratīvā akta darbību no dienas, kad pieteikums saņemts tiesā. Panta </w:t>
      </w:r>
      <w:bookmarkStart w:id="8" w:name="_Hlk166504307"/>
      <w:r w:rsidRPr="00646674">
        <w:rPr>
          <w:rFonts w:asciiTheme="majorBidi" w:hAnsiTheme="majorBidi" w:cstheme="majorBidi"/>
        </w:rPr>
        <w:t>ceturtās daļas 2.</w:t>
      </w:r>
      <w:r w:rsidR="002420AC" w:rsidRPr="00646674">
        <w:rPr>
          <w:rFonts w:asciiTheme="majorBidi" w:hAnsiTheme="majorBidi" w:cstheme="majorBidi"/>
        </w:rPr>
        <w:t> </w:t>
      </w:r>
      <w:r w:rsidRPr="00646674">
        <w:rPr>
          <w:rFonts w:asciiTheme="majorBidi" w:hAnsiTheme="majorBidi" w:cstheme="majorBidi"/>
        </w:rPr>
        <w:t xml:space="preserve">punkts </w:t>
      </w:r>
      <w:bookmarkEnd w:id="8"/>
      <w:r w:rsidRPr="00646674">
        <w:rPr>
          <w:rFonts w:asciiTheme="majorBidi" w:hAnsiTheme="majorBidi" w:cstheme="majorBidi"/>
        </w:rPr>
        <w:t>noteic, ka pieteikuma iesniegšana tiesā par administratīvā akta atcelšanu neaptur administratīvā akta darbību, ja tas paredzēts citos likumos.</w:t>
      </w:r>
    </w:p>
    <w:p w14:paraId="0C80F05D" w14:textId="36D1130B" w:rsidR="00CD6A6A" w:rsidRPr="00646674" w:rsidRDefault="00CD6A6A" w:rsidP="00646674">
      <w:pPr>
        <w:pStyle w:val="tv213"/>
        <w:shd w:val="clear" w:color="auto" w:fill="FFFFFF"/>
        <w:spacing w:before="0" w:beforeAutospacing="0" w:after="0" w:afterAutospacing="0" w:line="276" w:lineRule="auto"/>
        <w:ind w:firstLine="720"/>
        <w:jc w:val="both"/>
        <w:rPr>
          <w:rFonts w:asciiTheme="majorBidi" w:hAnsiTheme="majorBidi" w:cstheme="majorBidi"/>
        </w:rPr>
      </w:pPr>
      <w:r w:rsidRPr="00646674">
        <w:rPr>
          <w:rFonts w:asciiTheme="majorBidi" w:hAnsiTheme="majorBidi" w:cstheme="majorBidi"/>
        </w:rPr>
        <w:t xml:space="preserve">No </w:t>
      </w:r>
      <w:bookmarkStart w:id="9" w:name="_Hlk166504334"/>
      <w:r w:rsidRPr="00646674">
        <w:rPr>
          <w:rFonts w:asciiTheme="majorBidi" w:hAnsiTheme="majorBidi" w:cstheme="majorBidi"/>
        </w:rPr>
        <w:t>Konkurences likuma 27.</w:t>
      </w:r>
      <w:r w:rsidRPr="00646674">
        <w:rPr>
          <w:rFonts w:asciiTheme="majorBidi" w:hAnsiTheme="majorBidi" w:cstheme="majorBidi"/>
          <w:vertAlign w:val="superscript"/>
        </w:rPr>
        <w:t>1</w:t>
      </w:r>
      <w:r w:rsidR="002420AC" w:rsidRPr="00646674">
        <w:rPr>
          <w:rFonts w:asciiTheme="majorBidi" w:hAnsiTheme="majorBidi" w:cstheme="majorBidi"/>
          <w:vertAlign w:val="superscript"/>
        </w:rPr>
        <w:t> </w:t>
      </w:r>
      <w:r w:rsidRPr="00646674">
        <w:rPr>
          <w:rFonts w:asciiTheme="majorBidi" w:hAnsiTheme="majorBidi" w:cstheme="majorBidi"/>
        </w:rPr>
        <w:t>panta</w:t>
      </w:r>
      <w:bookmarkEnd w:id="9"/>
      <w:r w:rsidRPr="00646674">
        <w:rPr>
          <w:rFonts w:asciiTheme="majorBidi" w:hAnsiTheme="majorBidi" w:cstheme="majorBidi"/>
        </w:rPr>
        <w:t>, kas noteic, ka lēmuma pārsūdzēšana neaptur tā izpildi, izņemot lēmuma darbību daļā par soda uzlikšanu, un iepriekš citētajām tiesību normām – Publisko iepirkumu likuma 42.</w:t>
      </w:r>
      <w:r w:rsidR="002420AC" w:rsidRPr="00646674">
        <w:rPr>
          <w:rFonts w:asciiTheme="majorBidi" w:hAnsiTheme="majorBidi" w:cstheme="majorBidi"/>
        </w:rPr>
        <w:t> </w:t>
      </w:r>
      <w:r w:rsidRPr="00646674">
        <w:rPr>
          <w:rFonts w:asciiTheme="majorBidi" w:hAnsiTheme="majorBidi" w:cstheme="majorBidi"/>
        </w:rPr>
        <w:t>panta otrās daļas 7.</w:t>
      </w:r>
      <w:r w:rsidR="002420AC" w:rsidRPr="00646674">
        <w:rPr>
          <w:rFonts w:asciiTheme="majorBidi" w:hAnsiTheme="majorBidi" w:cstheme="majorBidi"/>
        </w:rPr>
        <w:t> </w:t>
      </w:r>
      <w:r w:rsidRPr="00646674">
        <w:rPr>
          <w:rFonts w:asciiTheme="majorBidi" w:hAnsiTheme="majorBidi" w:cstheme="majorBidi"/>
        </w:rPr>
        <w:t xml:space="preserve">punkta kopsakarā ar </w:t>
      </w:r>
      <w:r w:rsidRPr="00646674">
        <w:rPr>
          <w:rFonts w:asciiTheme="majorBidi" w:hAnsiTheme="majorBidi" w:cstheme="majorBidi"/>
          <w:shd w:val="clear" w:color="auto" w:fill="FFFFFF"/>
        </w:rPr>
        <w:t>42.</w:t>
      </w:r>
      <w:r w:rsidR="002420AC" w:rsidRPr="00646674">
        <w:rPr>
          <w:rFonts w:asciiTheme="majorBidi" w:hAnsiTheme="majorBidi" w:cstheme="majorBidi"/>
          <w:shd w:val="clear" w:color="auto" w:fill="FFFFFF"/>
        </w:rPr>
        <w:t> </w:t>
      </w:r>
      <w:r w:rsidRPr="00646674">
        <w:rPr>
          <w:rFonts w:asciiTheme="majorBidi" w:hAnsiTheme="majorBidi" w:cstheme="majorBidi"/>
          <w:shd w:val="clear" w:color="auto" w:fill="FFFFFF"/>
        </w:rPr>
        <w:t>panta septītās daļas 1.</w:t>
      </w:r>
      <w:r w:rsidR="002420AC" w:rsidRPr="00646674">
        <w:rPr>
          <w:rFonts w:asciiTheme="majorBidi" w:hAnsiTheme="majorBidi" w:cstheme="majorBidi"/>
          <w:shd w:val="clear" w:color="auto" w:fill="FFFFFF"/>
        </w:rPr>
        <w:t> </w:t>
      </w:r>
      <w:r w:rsidRPr="00646674">
        <w:rPr>
          <w:rFonts w:asciiTheme="majorBidi" w:hAnsiTheme="majorBidi" w:cstheme="majorBidi"/>
          <w:shd w:val="clear" w:color="auto" w:fill="FFFFFF"/>
        </w:rPr>
        <w:t xml:space="preserve">punktu – izriet, ka Konkurences padomes lēmuma darbība, tostarp arī konstatējums par pārkāpumu, ar šā lēmuma pārsūdzēšanu tiesā netiek apturēta. Proti, arī tāds Konkurences padomes lēmums, kas nav kļuvis neapstrīdams, saskaņā ar Publisko iepirkumu likuma normām rada pretendentam vai kandidātam tiesiskas sekas – pamatu izslēgšanai no </w:t>
      </w:r>
      <w:r w:rsidRPr="00646674">
        <w:rPr>
          <w:rFonts w:asciiTheme="majorBidi" w:hAnsiTheme="majorBidi" w:cstheme="majorBidi"/>
        </w:rPr>
        <w:t xml:space="preserve">iepirkumu procedūras. Tātad ar likumu ir noteikts, ka Konkurences padomes lēmuma pārsūdzēšana tiesā neaptur šā lēmuma darbību attiecībā uz Publisko iepirkumu likumā paredzēto tiesisko seku iestāšanos. Šādos apstākļos pieteicējai ir </w:t>
      </w:r>
      <w:r w:rsidRPr="00646674">
        <w:rPr>
          <w:rFonts w:asciiTheme="majorBidi" w:hAnsiTheme="majorBidi" w:cstheme="majorBidi"/>
        </w:rPr>
        <w:lastRenderedPageBreak/>
        <w:t xml:space="preserve">pamats atbilstoši Administratīvā procesa likuma </w:t>
      </w:r>
      <w:bookmarkStart w:id="10" w:name="_Hlk166504387"/>
      <w:r w:rsidRPr="00646674">
        <w:rPr>
          <w:rFonts w:asciiTheme="majorBidi" w:hAnsiTheme="majorBidi" w:cstheme="majorBidi"/>
        </w:rPr>
        <w:t>185.</w:t>
      </w:r>
      <w:r w:rsidR="002420AC" w:rsidRPr="00646674">
        <w:rPr>
          <w:rFonts w:asciiTheme="majorBidi" w:hAnsiTheme="majorBidi" w:cstheme="majorBidi"/>
        </w:rPr>
        <w:t> </w:t>
      </w:r>
      <w:r w:rsidRPr="00646674">
        <w:rPr>
          <w:rFonts w:asciiTheme="majorBidi" w:hAnsiTheme="majorBidi" w:cstheme="majorBidi"/>
        </w:rPr>
        <w:t xml:space="preserve">panta piektajai daļai </w:t>
      </w:r>
      <w:bookmarkEnd w:id="10"/>
      <w:r w:rsidRPr="00646674">
        <w:rPr>
          <w:rFonts w:asciiTheme="majorBidi" w:hAnsiTheme="majorBidi" w:cstheme="majorBidi"/>
        </w:rPr>
        <w:t>lūgt administratīvā akta darbības apturēšanu.</w:t>
      </w:r>
    </w:p>
    <w:p w14:paraId="4991CE51" w14:textId="77777777" w:rsidR="00CD6A6A" w:rsidRPr="00646674" w:rsidRDefault="00CD6A6A" w:rsidP="00646674">
      <w:pPr>
        <w:pStyle w:val="tv213"/>
        <w:shd w:val="clear" w:color="auto" w:fill="FFFFFF"/>
        <w:spacing w:before="0" w:beforeAutospacing="0" w:after="0" w:afterAutospacing="0" w:line="276" w:lineRule="auto"/>
        <w:ind w:firstLine="720"/>
        <w:jc w:val="both"/>
        <w:rPr>
          <w:rFonts w:asciiTheme="majorBidi" w:hAnsiTheme="majorBidi" w:cstheme="majorBidi"/>
        </w:rPr>
      </w:pPr>
      <w:r w:rsidRPr="00646674">
        <w:rPr>
          <w:rFonts w:asciiTheme="majorBidi" w:hAnsiTheme="majorBidi" w:cstheme="majorBidi"/>
        </w:rPr>
        <w:t>Šai sakarā Senāts arī vērš uzmanību uz pieteicējas kļūdaino uzskatu, ka administratīvajam aktam, ar kuru ir vienīgi konstatēts pārkāpums, nav aktīvas iedarbības, un tādēļ tā darbību nav iespējams apturēt. Senāts norāda, ka to, vai administratīvajam aktam ir aktīva iedarbība, noteic tas, vai šis administratīvais akts rada tiesiskas sekas. Kā redzams no iepriekš minētajiem apsvērumiem, konkrētajā gadījumā šādas sekas tiek radītas, līdz ar to arī to iestāšanos ir iespējams apturēt, ja vien tiek izpildīti attiecīgie priekšnoteikumi.</w:t>
      </w:r>
    </w:p>
    <w:p w14:paraId="79A4CB8B" w14:textId="77777777" w:rsidR="00CD6A6A" w:rsidRPr="00646674" w:rsidRDefault="00CD6A6A" w:rsidP="00646674">
      <w:pPr>
        <w:pStyle w:val="tv213"/>
        <w:shd w:val="clear" w:color="auto" w:fill="FFFFFF"/>
        <w:spacing w:before="0" w:beforeAutospacing="0" w:after="0" w:afterAutospacing="0" w:line="276" w:lineRule="auto"/>
        <w:ind w:firstLine="720"/>
        <w:jc w:val="both"/>
        <w:rPr>
          <w:rFonts w:asciiTheme="majorBidi" w:hAnsiTheme="majorBidi" w:cstheme="majorBidi"/>
        </w:rPr>
      </w:pPr>
    </w:p>
    <w:p w14:paraId="422196B2" w14:textId="78E9076F" w:rsidR="00CD6A6A" w:rsidRPr="00646674" w:rsidRDefault="00CD6A6A" w:rsidP="00646674">
      <w:pPr>
        <w:pStyle w:val="tv213"/>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646674">
        <w:rPr>
          <w:rFonts w:asciiTheme="majorBidi" w:hAnsiTheme="majorBidi" w:cstheme="majorBidi"/>
        </w:rPr>
        <w:t xml:space="preserve">[9] Atbilstoši Administratīvā procesa likuma </w:t>
      </w:r>
      <w:bookmarkStart w:id="11" w:name="_Hlk166504424"/>
      <w:r w:rsidRPr="00646674">
        <w:rPr>
          <w:rFonts w:asciiTheme="majorBidi" w:hAnsiTheme="majorBidi" w:cstheme="majorBidi"/>
        </w:rPr>
        <w:t>185.</w:t>
      </w:r>
      <w:r w:rsidRPr="00646674">
        <w:rPr>
          <w:rFonts w:asciiTheme="majorBidi" w:hAnsiTheme="majorBidi" w:cstheme="majorBidi"/>
          <w:vertAlign w:val="superscript"/>
        </w:rPr>
        <w:t>1</w:t>
      </w:r>
      <w:r w:rsidR="002420AC" w:rsidRPr="00646674">
        <w:rPr>
          <w:rFonts w:asciiTheme="majorBidi" w:hAnsiTheme="majorBidi" w:cstheme="majorBidi"/>
          <w:vertAlign w:val="superscript"/>
        </w:rPr>
        <w:t> </w:t>
      </w:r>
      <w:r w:rsidRPr="00646674">
        <w:rPr>
          <w:rFonts w:asciiTheme="majorBidi" w:hAnsiTheme="majorBidi" w:cstheme="majorBidi"/>
        </w:rPr>
        <w:t>panta otrajai daļai</w:t>
      </w:r>
      <w:bookmarkEnd w:id="11"/>
      <w:r w:rsidRPr="00646674">
        <w:rPr>
          <w:rFonts w:asciiTheme="majorBidi" w:hAnsiTheme="majorBidi" w:cstheme="majorBidi"/>
        </w:rPr>
        <w:t>, apsverot pagaidu aizsardzības līdzekļa – administratīvā akta darbības apturēšanas – piemērošanas iespējamību, ir jāvērtē, vai pārsūdzētā administratīvā</w:t>
      </w:r>
      <w:r w:rsidRPr="00646674">
        <w:rPr>
          <w:rFonts w:asciiTheme="majorBidi" w:hAnsiTheme="majorBidi" w:cstheme="majorBidi"/>
          <w:shd w:val="clear" w:color="auto" w:fill="FFFFFF"/>
        </w:rPr>
        <w:t xml:space="preserve"> akta darbība varētu radīt būtisku kaitējumu vai zaudējumus, kuru novēršana vai atlīdzināšana būtu ievērojami apgrūtināta vai prasītu nesamērīgus resursus, un to, vai pārsūdzētais administratīvais akts ir pirmšķietami prettiesisks.</w:t>
      </w:r>
    </w:p>
    <w:p w14:paraId="1D9F069A" w14:textId="74AD6BB9" w:rsidR="00CD6A6A" w:rsidRPr="00646674" w:rsidRDefault="00CD6A6A" w:rsidP="00646674">
      <w:pPr>
        <w:pStyle w:val="tv213"/>
        <w:shd w:val="clear" w:color="auto" w:fill="FFFFFF"/>
        <w:spacing w:before="0" w:beforeAutospacing="0" w:after="0" w:afterAutospacing="0" w:line="276" w:lineRule="auto"/>
        <w:ind w:firstLine="720"/>
        <w:jc w:val="both"/>
        <w:rPr>
          <w:rFonts w:asciiTheme="majorBidi" w:hAnsiTheme="majorBidi" w:cstheme="majorBidi"/>
        </w:rPr>
      </w:pPr>
      <w:r w:rsidRPr="00646674">
        <w:rPr>
          <w:rFonts w:asciiTheme="majorBidi" w:hAnsiTheme="majorBidi" w:cstheme="majorBidi"/>
        </w:rPr>
        <w:t>Tātad viens no pamatiem pagaidu aizsardzības – lēmuma darbības apturēšanas – piemērošanai ir nevis Publisko iepirkumu likuma 43.</w:t>
      </w:r>
      <w:r w:rsidR="002420AC" w:rsidRPr="00646674">
        <w:rPr>
          <w:rFonts w:asciiTheme="majorBidi" w:hAnsiTheme="majorBidi" w:cstheme="majorBidi"/>
        </w:rPr>
        <w:t> </w:t>
      </w:r>
      <w:r w:rsidRPr="00646674">
        <w:rPr>
          <w:rFonts w:asciiTheme="majorBidi" w:hAnsiTheme="majorBidi" w:cstheme="majorBidi"/>
        </w:rPr>
        <w:t>panta trešajā daļā norādītā atzinuma satura tiesiskuma novērtējums un vērtējums par uzticamības pārbaudes procedūru, bet gan lēmuma, ar kuru konstatēts konkurences tiesību pārkāpums, pirmšķietamā prettiesiskuma konstatēšana.</w:t>
      </w:r>
    </w:p>
    <w:p w14:paraId="78CD16E9" w14:textId="7777777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Ievērojot minēto, nav pamata atzīt, ka pagaidu aizsardzības lūgums pārsniedz prasījuma robežas.</w:t>
      </w:r>
    </w:p>
    <w:p w14:paraId="6EF4E818" w14:textId="7777777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Tādējādi Senāts atzīst, ka apgabaltiesa nepamatoti nav izskatījusi pieteicējas pagaidu aizsardzības lūgumu pēc būtības, nepārbaudot, vai ir izpildījušies priekšnoteikumi – subjektīvais un objektīvais kritērijs – pagaidu aizsardzības piemērošanai.</w:t>
      </w:r>
    </w:p>
    <w:p w14:paraId="4478DFDF" w14:textId="77777777" w:rsidR="00CD6A6A" w:rsidRPr="00646674" w:rsidRDefault="00CD6A6A" w:rsidP="00646674">
      <w:pPr>
        <w:spacing w:line="276" w:lineRule="auto"/>
        <w:ind w:firstLine="720"/>
        <w:jc w:val="both"/>
        <w:rPr>
          <w:rFonts w:asciiTheme="majorBidi" w:hAnsiTheme="majorBidi" w:cstheme="majorBidi"/>
        </w:rPr>
      </w:pPr>
    </w:p>
    <w:p w14:paraId="6C31514A" w14:textId="7777777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[10] Ievērojot minēto, pārsūdzētais apgabaltiesas lēmums ir atceļams.</w:t>
      </w:r>
    </w:p>
    <w:p w14:paraId="3B087793" w14:textId="35F32204"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 xml:space="preserve">Ņemot vērā, ka apgabaltiesa, nepareizi atzīstot, ka pagaidu aizsardzības lūgums pārsniedz prasījuma robežas, lūgumu nav izskatījusi pēc būtības, tas ir nododams izlemšanai apgabaltiesai (sal. </w:t>
      </w:r>
      <w:r w:rsidRPr="00646674">
        <w:rPr>
          <w:rFonts w:asciiTheme="majorBidi" w:hAnsiTheme="majorBidi" w:cstheme="majorBidi"/>
          <w:i/>
          <w:iCs/>
        </w:rPr>
        <w:t xml:space="preserve">Senāta </w:t>
      </w:r>
      <w:bookmarkStart w:id="12" w:name="_Hlk166504490"/>
      <w:r w:rsidRPr="00646674">
        <w:rPr>
          <w:rFonts w:asciiTheme="majorBidi" w:hAnsiTheme="majorBidi" w:cstheme="majorBidi"/>
          <w:i/>
          <w:iCs/>
        </w:rPr>
        <w:t>2023.</w:t>
      </w:r>
      <w:r w:rsidR="002420AC" w:rsidRPr="00646674">
        <w:rPr>
          <w:rFonts w:asciiTheme="majorBidi" w:hAnsiTheme="majorBidi" w:cstheme="majorBidi"/>
          <w:i/>
          <w:iCs/>
        </w:rPr>
        <w:t> </w:t>
      </w:r>
      <w:r w:rsidRPr="00646674">
        <w:rPr>
          <w:rFonts w:asciiTheme="majorBidi" w:hAnsiTheme="majorBidi" w:cstheme="majorBidi"/>
          <w:i/>
          <w:iCs/>
        </w:rPr>
        <w:t>gada 21.</w:t>
      </w:r>
      <w:r w:rsidR="002420AC" w:rsidRPr="00646674">
        <w:rPr>
          <w:rFonts w:asciiTheme="majorBidi" w:hAnsiTheme="majorBidi" w:cstheme="majorBidi"/>
          <w:i/>
          <w:iCs/>
        </w:rPr>
        <w:t> </w:t>
      </w:r>
      <w:r w:rsidRPr="00646674">
        <w:rPr>
          <w:rFonts w:asciiTheme="majorBidi" w:hAnsiTheme="majorBidi" w:cstheme="majorBidi"/>
          <w:i/>
          <w:iCs/>
        </w:rPr>
        <w:t>decembra lēmuma lietā Nr.</w:t>
      </w:r>
      <w:r w:rsidRPr="00646674">
        <w:rPr>
          <w:rFonts w:asciiTheme="majorBidi" w:hAnsiTheme="majorBidi" w:cstheme="majorBidi"/>
          <w:i/>
          <w:iCs/>
          <w:lang w:eastAsia="lv-LV"/>
        </w:rPr>
        <w:t> SKA</w:t>
      </w:r>
      <w:r w:rsidRPr="00646674">
        <w:rPr>
          <w:rFonts w:asciiTheme="majorBidi" w:hAnsiTheme="majorBidi" w:cstheme="majorBidi"/>
          <w:i/>
          <w:iCs/>
          <w:lang w:eastAsia="lv-LV"/>
        </w:rPr>
        <w:noBreakHyphen/>
        <w:t>1033/2023</w:t>
      </w:r>
      <w:r w:rsidRPr="00646674">
        <w:rPr>
          <w:rFonts w:asciiTheme="majorBidi" w:hAnsiTheme="majorBidi" w:cstheme="majorBidi"/>
          <w:i/>
          <w:iCs/>
        </w:rPr>
        <w:t xml:space="preserve">, </w:t>
      </w:r>
      <w:hyperlink r:id="rId9" w:history="1">
        <w:r w:rsidRPr="00646674">
          <w:rPr>
            <w:rStyle w:val="Hyperlink"/>
            <w:rFonts w:asciiTheme="majorBidi" w:hAnsiTheme="majorBidi" w:cstheme="majorBidi"/>
            <w:i/>
            <w:iCs/>
          </w:rPr>
          <w:t>ECLI:LV:AT:2023:1221.A420231023.10.L</w:t>
        </w:r>
      </w:hyperlink>
      <w:bookmarkEnd w:id="12"/>
      <w:r w:rsidRPr="00646674">
        <w:rPr>
          <w:rFonts w:asciiTheme="majorBidi" w:hAnsiTheme="majorBidi" w:cstheme="majorBidi"/>
          <w:i/>
          <w:iCs/>
        </w:rPr>
        <w:t>, 10.</w:t>
      </w:r>
      <w:r w:rsidR="002420AC" w:rsidRPr="00646674">
        <w:rPr>
          <w:rFonts w:asciiTheme="majorBidi" w:hAnsiTheme="majorBidi" w:cstheme="majorBidi"/>
          <w:i/>
          <w:iCs/>
        </w:rPr>
        <w:t> </w:t>
      </w:r>
      <w:r w:rsidRPr="00646674">
        <w:rPr>
          <w:rFonts w:asciiTheme="majorBidi" w:hAnsiTheme="majorBidi" w:cstheme="majorBidi"/>
          <w:i/>
          <w:iCs/>
        </w:rPr>
        <w:t>punkts</w:t>
      </w:r>
      <w:r w:rsidRPr="00646674">
        <w:rPr>
          <w:rFonts w:asciiTheme="majorBidi" w:hAnsiTheme="majorBidi" w:cstheme="majorBidi"/>
        </w:rPr>
        <w:t>).</w:t>
      </w:r>
    </w:p>
    <w:p w14:paraId="4EE00743" w14:textId="77777777" w:rsidR="00CD6A6A" w:rsidRPr="00646674" w:rsidRDefault="00CD6A6A" w:rsidP="00646674">
      <w:pPr>
        <w:spacing w:line="276" w:lineRule="auto"/>
        <w:ind w:firstLine="720"/>
        <w:jc w:val="both"/>
        <w:rPr>
          <w:rFonts w:asciiTheme="majorBidi" w:hAnsiTheme="majorBidi" w:cstheme="majorBidi"/>
        </w:rPr>
      </w:pPr>
    </w:p>
    <w:p w14:paraId="03836C69" w14:textId="522D0AD1"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[11] Senāts, sagatavojot pieteicējas blakus sūdzību izskatīšanai, lūdza Konkurences padomi skaidrot tās praksi Publisko iepirkumu likuma 43.</w:t>
      </w:r>
      <w:r w:rsidR="002420AC" w:rsidRPr="00646674">
        <w:rPr>
          <w:rFonts w:asciiTheme="majorBidi" w:hAnsiTheme="majorBidi" w:cstheme="majorBidi"/>
        </w:rPr>
        <w:t> </w:t>
      </w:r>
      <w:r w:rsidRPr="00646674">
        <w:rPr>
          <w:rFonts w:asciiTheme="majorBidi" w:hAnsiTheme="majorBidi" w:cstheme="majorBidi"/>
        </w:rPr>
        <w:t>panta trešās daļas piemērošanā un šīs normas izpratni.</w:t>
      </w:r>
    </w:p>
    <w:p w14:paraId="63E2AE2A" w14:textId="77777777"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 xml:space="preserve">Pieteicēja, reaģējot uz Konkurences padomes paskaidrojumiem, iesniegusi Senātā lūgumu uzdot Konkurences padomei papildu jautājumus. </w:t>
      </w:r>
    </w:p>
    <w:p w14:paraId="0A40800A" w14:textId="58D59F9D"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Senāts 2024.</w:t>
      </w:r>
      <w:r w:rsidR="002420AC" w:rsidRPr="00646674">
        <w:rPr>
          <w:rFonts w:asciiTheme="majorBidi" w:hAnsiTheme="majorBidi" w:cstheme="majorBidi"/>
        </w:rPr>
        <w:t> </w:t>
      </w:r>
      <w:r w:rsidRPr="00646674">
        <w:rPr>
          <w:rFonts w:asciiTheme="majorBidi" w:hAnsiTheme="majorBidi" w:cstheme="majorBidi"/>
        </w:rPr>
        <w:t>gada 29.</w:t>
      </w:r>
      <w:r w:rsidR="002420AC" w:rsidRPr="00646674">
        <w:rPr>
          <w:rFonts w:asciiTheme="majorBidi" w:hAnsiTheme="majorBidi" w:cstheme="majorBidi"/>
        </w:rPr>
        <w:t> </w:t>
      </w:r>
      <w:r w:rsidRPr="00646674">
        <w:rPr>
          <w:rFonts w:asciiTheme="majorBidi" w:hAnsiTheme="majorBidi" w:cstheme="majorBidi"/>
        </w:rPr>
        <w:t xml:space="preserve">februārī rezolūcijas veidā pieņēma lēmumu noraidīt šo lūgumu turpmāk minēto apsvērumu dēļ. Pirmkārt, no lūguma izriet, ka pieteicēja pēc būtības oponē vai nepiekrīt paskaidrojumā norādītajiem apsvērumiem, tostarp uzskatot tos par pārlieku vispārīgiem, neprecīziem, neatbilstošiem īstajai praksei. Senāts norāda, ka tā ir pašas iestādes izvēle, par ko un cik plaši tā sniegs savus paskaidrojumus. Ne tiesai, ne arī citiem procesa dalībniekiem nav tiesību sagaidīt noteikta veida paskaidrojumus. Otrkārt, tā ir Senāta prerogatīva identificēt noskaidrojamo jautājumu un novērtēt, vai </w:t>
      </w:r>
      <w:r w:rsidRPr="00646674">
        <w:rPr>
          <w:rFonts w:asciiTheme="majorBidi" w:hAnsiTheme="majorBidi" w:cstheme="majorBidi"/>
        </w:rPr>
        <w:lastRenderedPageBreak/>
        <w:t>iegūtā informācija ir pietiekama noskaidrojamā jautājuma izlemšanai. Tādēļ arī Senāta kompetencē ir novērtēt, vai tam ir nepieciešami izvērstāki un precīzāki Konkurences padomes paskaidrojumi.</w:t>
      </w:r>
    </w:p>
    <w:p w14:paraId="677CBFFE" w14:textId="366B9460" w:rsidR="00CD6A6A" w:rsidRPr="00646674" w:rsidRDefault="00CD6A6A" w:rsidP="00646674">
      <w:pPr>
        <w:spacing w:line="276" w:lineRule="auto"/>
        <w:ind w:firstLine="720"/>
        <w:jc w:val="both"/>
        <w:rPr>
          <w:rFonts w:asciiTheme="majorBidi" w:hAnsiTheme="majorBidi" w:cstheme="majorBidi"/>
        </w:rPr>
      </w:pPr>
      <w:r w:rsidRPr="00646674">
        <w:rPr>
          <w:rFonts w:asciiTheme="majorBidi" w:hAnsiTheme="majorBidi" w:cstheme="majorBidi"/>
        </w:rPr>
        <w:t xml:space="preserve">Senāts vērš uzmanību, ka, sagatavojot izskatīšanai blakus sūdzību pagaidu aizsardzības lietā, kas ir izskatāma steidzamības kārtībā, Senāts pieprasīja papildu informāciju, ņemot vērā gan pārsūdzētā </w:t>
      </w:r>
      <w:r w:rsidR="002D7047" w:rsidRPr="00646674">
        <w:rPr>
          <w:rFonts w:asciiTheme="majorBidi" w:hAnsiTheme="majorBidi" w:cstheme="majorBidi"/>
        </w:rPr>
        <w:t xml:space="preserve">tiesas </w:t>
      </w:r>
      <w:r w:rsidRPr="00646674">
        <w:rPr>
          <w:rFonts w:asciiTheme="majorBidi" w:hAnsiTheme="majorBidi" w:cstheme="majorBidi"/>
        </w:rPr>
        <w:t>lēmuma, gan blakus sūdzības saturu, kā arī ievērojot pirmšķietamus apsvērumus par šādas informācijas nepieciešamību. Taču, ievērojot secinājumus, kuri izdarīti šajā lēmumā, Senāts atzīst, ka Konkurences padomes paskaidrojumos norādītās informācijas vērtēšana vismaz šajā lietas stadijā nav nepieciešama.</w:t>
      </w:r>
    </w:p>
    <w:p w14:paraId="37DE749A" w14:textId="77777777" w:rsidR="00CD6A6A" w:rsidRPr="00646674" w:rsidRDefault="00CD6A6A" w:rsidP="00646674">
      <w:pPr>
        <w:spacing w:line="276" w:lineRule="auto"/>
        <w:ind w:firstLine="720"/>
        <w:jc w:val="both"/>
        <w:rPr>
          <w:rFonts w:asciiTheme="majorBidi" w:hAnsiTheme="majorBidi" w:cstheme="majorBidi"/>
        </w:rPr>
      </w:pPr>
    </w:p>
    <w:p w14:paraId="6C2BFF0D" w14:textId="77777777" w:rsidR="00CD6A6A" w:rsidRPr="00646674" w:rsidRDefault="00CD6A6A" w:rsidP="00646674">
      <w:pPr>
        <w:spacing w:line="276" w:lineRule="auto"/>
        <w:jc w:val="center"/>
        <w:rPr>
          <w:rFonts w:asciiTheme="majorBidi" w:hAnsiTheme="majorBidi" w:cstheme="majorBidi"/>
          <w:b/>
        </w:rPr>
      </w:pPr>
      <w:r w:rsidRPr="00646674">
        <w:rPr>
          <w:rFonts w:asciiTheme="majorBidi" w:hAnsiTheme="majorBidi" w:cstheme="majorBidi"/>
          <w:b/>
        </w:rPr>
        <w:t>Rezolutīvā daļa</w:t>
      </w:r>
    </w:p>
    <w:p w14:paraId="6EE47E05" w14:textId="77777777" w:rsidR="00CD6A6A" w:rsidRPr="00646674" w:rsidRDefault="00CD6A6A" w:rsidP="00646674">
      <w:pPr>
        <w:spacing w:line="276" w:lineRule="auto"/>
        <w:ind w:firstLine="567"/>
        <w:jc w:val="both"/>
        <w:rPr>
          <w:rFonts w:asciiTheme="majorBidi" w:hAnsiTheme="majorBidi" w:cstheme="majorBidi"/>
          <w:bCs/>
          <w:spacing w:val="70"/>
        </w:rPr>
      </w:pPr>
    </w:p>
    <w:p w14:paraId="4EC38006" w14:textId="3D73C396" w:rsidR="00CD6A6A" w:rsidRPr="00646674" w:rsidRDefault="00CD6A6A" w:rsidP="00646674">
      <w:pPr>
        <w:spacing w:line="276" w:lineRule="auto"/>
        <w:ind w:firstLine="720"/>
        <w:jc w:val="both"/>
        <w:rPr>
          <w:rFonts w:asciiTheme="majorBidi" w:hAnsiTheme="majorBidi" w:cstheme="majorBidi"/>
          <w:color w:val="000000"/>
        </w:rPr>
      </w:pPr>
      <w:r w:rsidRPr="00646674">
        <w:rPr>
          <w:rFonts w:asciiTheme="majorBidi" w:hAnsiTheme="majorBidi" w:cstheme="majorBidi"/>
        </w:rPr>
        <w:t>Pamatojoties uz Administratīvā procesa likuma 129.</w:t>
      </w:r>
      <w:r w:rsidRPr="00646674">
        <w:rPr>
          <w:rFonts w:asciiTheme="majorBidi" w:hAnsiTheme="majorBidi" w:cstheme="majorBidi"/>
          <w:vertAlign w:val="superscript"/>
        </w:rPr>
        <w:t>1</w:t>
      </w:r>
      <w:r w:rsidR="002420AC" w:rsidRPr="00646674">
        <w:rPr>
          <w:rFonts w:asciiTheme="majorBidi" w:hAnsiTheme="majorBidi" w:cstheme="majorBidi"/>
          <w:vertAlign w:val="superscript"/>
        </w:rPr>
        <w:t> </w:t>
      </w:r>
      <w:r w:rsidRPr="00646674">
        <w:rPr>
          <w:rFonts w:asciiTheme="majorBidi" w:hAnsiTheme="majorBidi" w:cstheme="majorBidi"/>
        </w:rPr>
        <w:t>panta pirmās daļas 1.</w:t>
      </w:r>
      <w:r w:rsidR="002420AC" w:rsidRPr="00646674">
        <w:rPr>
          <w:rFonts w:asciiTheme="majorBidi" w:hAnsiTheme="majorBidi" w:cstheme="majorBidi"/>
        </w:rPr>
        <w:t> </w:t>
      </w:r>
      <w:r w:rsidRPr="00646674">
        <w:rPr>
          <w:rFonts w:asciiTheme="majorBidi" w:hAnsiTheme="majorBidi" w:cstheme="majorBidi"/>
        </w:rPr>
        <w:t>punktu, 323.</w:t>
      </w:r>
      <w:r w:rsidR="002420AC" w:rsidRPr="00646674">
        <w:rPr>
          <w:rFonts w:asciiTheme="majorBidi" w:hAnsiTheme="majorBidi" w:cstheme="majorBidi"/>
        </w:rPr>
        <w:t> </w:t>
      </w:r>
      <w:r w:rsidRPr="00646674">
        <w:rPr>
          <w:rFonts w:asciiTheme="majorBidi" w:hAnsiTheme="majorBidi" w:cstheme="majorBidi"/>
        </w:rPr>
        <w:t>panta pirmās daļas 2.</w:t>
      </w:r>
      <w:r w:rsidR="002420AC" w:rsidRPr="00646674">
        <w:rPr>
          <w:rFonts w:asciiTheme="majorBidi" w:hAnsiTheme="majorBidi" w:cstheme="majorBidi"/>
        </w:rPr>
        <w:t> </w:t>
      </w:r>
      <w:r w:rsidRPr="00646674">
        <w:rPr>
          <w:rFonts w:asciiTheme="majorBidi" w:hAnsiTheme="majorBidi" w:cstheme="majorBidi"/>
        </w:rPr>
        <w:t xml:space="preserve">punktu </w:t>
      </w:r>
      <w:r w:rsidRPr="00646674">
        <w:rPr>
          <w:rFonts w:asciiTheme="majorBidi" w:hAnsiTheme="majorBidi" w:cstheme="majorBidi"/>
          <w:color w:val="000000"/>
        </w:rPr>
        <w:t>un 324.</w:t>
      </w:r>
      <w:r w:rsidR="002420AC" w:rsidRPr="00646674">
        <w:rPr>
          <w:rFonts w:asciiTheme="majorBidi" w:hAnsiTheme="majorBidi" w:cstheme="majorBidi"/>
          <w:color w:val="000000"/>
        </w:rPr>
        <w:t> </w:t>
      </w:r>
      <w:r w:rsidRPr="00646674">
        <w:rPr>
          <w:rFonts w:asciiTheme="majorBidi" w:hAnsiTheme="majorBidi" w:cstheme="majorBidi"/>
          <w:color w:val="000000"/>
        </w:rPr>
        <w:t>panta pirmo daļu, Senāts</w:t>
      </w:r>
    </w:p>
    <w:p w14:paraId="3D1349E9" w14:textId="77777777" w:rsidR="00CD6A6A" w:rsidRPr="00646674" w:rsidRDefault="00CD6A6A" w:rsidP="00646674">
      <w:pPr>
        <w:spacing w:line="276" w:lineRule="auto"/>
        <w:ind w:firstLine="567"/>
        <w:jc w:val="both"/>
        <w:rPr>
          <w:rFonts w:asciiTheme="majorBidi" w:hAnsiTheme="majorBidi" w:cstheme="majorBidi"/>
        </w:rPr>
      </w:pPr>
    </w:p>
    <w:p w14:paraId="2807406B" w14:textId="77777777" w:rsidR="00CD6A6A" w:rsidRPr="00646674" w:rsidRDefault="00CD6A6A" w:rsidP="00646674">
      <w:pPr>
        <w:tabs>
          <w:tab w:val="left" w:pos="2700"/>
          <w:tab w:val="left" w:pos="6660"/>
        </w:tabs>
        <w:spacing w:line="276" w:lineRule="auto"/>
        <w:jc w:val="center"/>
        <w:rPr>
          <w:rFonts w:asciiTheme="majorBidi" w:hAnsiTheme="majorBidi" w:cstheme="majorBidi"/>
          <w:b/>
        </w:rPr>
      </w:pPr>
      <w:bookmarkStart w:id="13" w:name="Dropdown14"/>
      <w:r w:rsidRPr="00646674">
        <w:rPr>
          <w:rFonts w:asciiTheme="majorBidi" w:hAnsiTheme="majorBidi" w:cstheme="majorBidi"/>
          <w:b/>
        </w:rPr>
        <w:t>no</w:t>
      </w:r>
      <w:bookmarkEnd w:id="13"/>
      <w:r w:rsidRPr="00646674">
        <w:rPr>
          <w:rFonts w:asciiTheme="majorBidi" w:hAnsiTheme="majorBidi" w:cstheme="majorBidi"/>
          <w:b/>
        </w:rPr>
        <w:t>lēma</w:t>
      </w:r>
    </w:p>
    <w:p w14:paraId="393F1B5E" w14:textId="77777777" w:rsidR="00CD6A6A" w:rsidRPr="00646674" w:rsidRDefault="00CD6A6A" w:rsidP="00646674">
      <w:pPr>
        <w:tabs>
          <w:tab w:val="left" w:pos="2700"/>
          <w:tab w:val="left" w:pos="6660"/>
        </w:tabs>
        <w:spacing w:line="276" w:lineRule="auto"/>
        <w:ind w:firstLine="567"/>
        <w:jc w:val="both"/>
        <w:rPr>
          <w:rFonts w:asciiTheme="majorBidi" w:hAnsiTheme="majorBidi" w:cstheme="majorBidi"/>
          <w:bCs/>
          <w:spacing w:val="70"/>
        </w:rPr>
      </w:pPr>
    </w:p>
    <w:p w14:paraId="4509BE77" w14:textId="75EC577B" w:rsidR="00CD6A6A" w:rsidRPr="00646674" w:rsidRDefault="00CD6A6A" w:rsidP="00646674">
      <w:pPr>
        <w:tabs>
          <w:tab w:val="left" w:pos="540"/>
          <w:tab w:val="left" w:pos="6660"/>
        </w:tabs>
        <w:spacing w:line="276" w:lineRule="auto"/>
        <w:ind w:firstLine="720"/>
        <w:jc w:val="both"/>
        <w:rPr>
          <w:rFonts w:asciiTheme="majorBidi" w:hAnsiTheme="majorBidi" w:cstheme="majorBidi"/>
        </w:rPr>
      </w:pPr>
      <w:r w:rsidRPr="00646674">
        <w:rPr>
          <w:rFonts w:asciiTheme="majorBidi" w:hAnsiTheme="majorBidi" w:cstheme="majorBidi"/>
        </w:rPr>
        <w:t>atcelt Administratīvās apgabaltiesas 2024.</w:t>
      </w:r>
      <w:r w:rsidR="002420AC" w:rsidRPr="00646674">
        <w:rPr>
          <w:rFonts w:asciiTheme="majorBidi" w:hAnsiTheme="majorBidi" w:cstheme="majorBidi"/>
        </w:rPr>
        <w:t> </w:t>
      </w:r>
      <w:r w:rsidRPr="00646674">
        <w:rPr>
          <w:rFonts w:asciiTheme="majorBidi" w:hAnsiTheme="majorBidi" w:cstheme="majorBidi"/>
        </w:rPr>
        <w:t>gada 4.</w:t>
      </w:r>
      <w:r w:rsidR="002420AC" w:rsidRPr="00646674">
        <w:rPr>
          <w:rFonts w:asciiTheme="majorBidi" w:hAnsiTheme="majorBidi" w:cstheme="majorBidi"/>
        </w:rPr>
        <w:t> </w:t>
      </w:r>
      <w:r w:rsidRPr="00646674">
        <w:rPr>
          <w:rFonts w:asciiTheme="majorBidi" w:hAnsiTheme="majorBidi" w:cstheme="majorBidi"/>
        </w:rPr>
        <w:t>janvāra lēmumu un nodot SIA „Latvijas Sabiedriskais Autobuss” pagaidu aizsardzības lūgumu izlemšanai Administratīvajai apgabaltiesai;</w:t>
      </w:r>
    </w:p>
    <w:p w14:paraId="21DCA27D" w14:textId="77777777" w:rsidR="00CD6A6A" w:rsidRPr="00646674" w:rsidRDefault="00CD6A6A" w:rsidP="00646674">
      <w:pPr>
        <w:tabs>
          <w:tab w:val="left" w:pos="540"/>
          <w:tab w:val="left" w:pos="6660"/>
        </w:tabs>
        <w:spacing w:line="276" w:lineRule="auto"/>
        <w:ind w:firstLine="720"/>
        <w:jc w:val="both"/>
        <w:rPr>
          <w:rFonts w:asciiTheme="majorBidi" w:hAnsiTheme="majorBidi" w:cstheme="majorBidi"/>
        </w:rPr>
      </w:pPr>
      <w:r w:rsidRPr="00646674">
        <w:rPr>
          <w:rFonts w:asciiTheme="majorBidi" w:hAnsiTheme="majorBidi" w:cstheme="majorBidi"/>
        </w:rPr>
        <w:t xml:space="preserve">atmaksāt SIA „Latvijas Sabiedriskais Autobuss” drošības naudu 15 </w:t>
      </w:r>
      <w:r w:rsidRPr="00646674">
        <w:rPr>
          <w:rFonts w:asciiTheme="majorBidi" w:hAnsiTheme="majorBidi" w:cstheme="majorBidi"/>
          <w:i/>
          <w:iCs/>
        </w:rPr>
        <w:t>euro</w:t>
      </w:r>
      <w:r w:rsidRPr="00646674">
        <w:rPr>
          <w:rFonts w:asciiTheme="majorBidi" w:hAnsiTheme="majorBidi" w:cstheme="majorBidi"/>
        </w:rPr>
        <w:t xml:space="preserve">. </w:t>
      </w:r>
    </w:p>
    <w:p w14:paraId="28526549" w14:textId="77777777" w:rsidR="00CD6A6A" w:rsidRPr="00646674" w:rsidRDefault="00CD6A6A" w:rsidP="00646674">
      <w:pPr>
        <w:tabs>
          <w:tab w:val="left" w:pos="540"/>
          <w:tab w:val="left" w:pos="6660"/>
        </w:tabs>
        <w:spacing w:line="276" w:lineRule="auto"/>
        <w:ind w:firstLine="720"/>
        <w:jc w:val="both"/>
        <w:rPr>
          <w:rFonts w:asciiTheme="majorBidi" w:hAnsiTheme="majorBidi" w:cstheme="majorBidi"/>
        </w:rPr>
      </w:pPr>
    </w:p>
    <w:p w14:paraId="530ADFCC" w14:textId="3A54C324" w:rsidR="00D55502" w:rsidRPr="00646674" w:rsidRDefault="00CD6A6A" w:rsidP="001456FF">
      <w:pPr>
        <w:tabs>
          <w:tab w:val="left" w:pos="540"/>
          <w:tab w:val="left" w:pos="6660"/>
        </w:tabs>
        <w:spacing w:line="276" w:lineRule="auto"/>
        <w:ind w:firstLine="720"/>
        <w:jc w:val="both"/>
        <w:rPr>
          <w:rFonts w:asciiTheme="majorBidi" w:hAnsiTheme="majorBidi" w:cstheme="majorBidi"/>
        </w:rPr>
      </w:pPr>
      <w:r w:rsidRPr="00646674">
        <w:rPr>
          <w:rFonts w:asciiTheme="majorBidi" w:hAnsiTheme="majorBidi" w:cstheme="majorBidi"/>
        </w:rPr>
        <w:t>Lēmums nav pārsūdzams.</w:t>
      </w:r>
    </w:p>
    <w:sectPr w:rsidR="00D55502" w:rsidRPr="00646674" w:rsidSect="00646674">
      <w:headerReference w:type="even" r:id="rId10"/>
      <w:headerReference w:type="default" r:id="rId11"/>
      <w:footerReference w:type="even" r:id="rId12"/>
      <w:footerReference w:type="default" r:id="rId13"/>
      <w:headerReference w:type="first" r:id="rId14"/>
      <w:footerReference w:type="first" r:id="rId15"/>
      <w:pgSz w:w="11906" w:h="16838" w:code="9"/>
      <w:pgMar w:top="1134" w:right="1701" w:bottom="1134" w:left="170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26B74" w14:textId="77777777" w:rsidR="00A30896" w:rsidRDefault="00A30896" w:rsidP="003047F5">
      <w:r>
        <w:separator/>
      </w:r>
    </w:p>
  </w:endnote>
  <w:endnote w:type="continuationSeparator" w:id="0">
    <w:p w14:paraId="2D25D99D" w14:textId="77777777" w:rsidR="00A30896" w:rsidRDefault="00A3089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D15A3" w14:textId="77777777" w:rsidR="00646674" w:rsidRDefault="00646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4015A" w14:textId="6598A3F7" w:rsidR="00646674" w:rsidRPr="00E13743" w:rsidRDefault="00646674" w:rsidP="00646674">
    <w:pPr>
      <w:pStyle w:val="Footer"/>
      <w:tabs>
        <w:tab w:val="clear" w:pos="4153"/>
        <w:tab w:val="clear" w:pos="8306"/>
      </w:tabs>
      <w:jc w:val="center"/>
      <w:rPr>
        <w:sz w:val="20"/>
        <w:szCs w:val="20"/>
      </w:rPr>
    </w:pPr>
    <w:r w:rsidRPr="00E13743">
      <w:rPr>
        <w:rStyle w:val="PageNumber"/>
        <w:sz w:val="20"/>
        <w:szCs w:val="20"/>
      </w:rPr>
      <w:fldChar w:fldCharType="begin"/>
    </w:r>
    <w:r w:rsidRPr="00E13743">
      <w:rPr>
        <w:rStyle w:val="PageNumber"/>
        <w:sz w:val="20"/>
        <w:szCs w:val="20"/>
      </w:rPr>
      <w:instrText xml:space="preserve">PAGE  </w:instrText>
    </w:r>
    <w:r w:rsidRPr="00E13743">
      <w:rPr>
        <w:rStyle w:val="PageNumber"/>
        <w:sz w:val="20"/>
        <w:szCs w:val="20"/>
      </w:rPr>
      <w:fldChar w:fldCharType="separate"/>
    </w:r>
    <w:r>
      <w:rPr>
        <w:rStyle w:val="PageNumber"/>
        <w:sz w:val="20"/>
        <w:szCs w:val="20"/>
      </w:rPr>
      <w:t>8</w:t>
    </w:r>
    <w:r w:rsidRPr="00E13743">
      <w:rPr>
        <w:rStyle w:val="PageNumber"/>
        <w:sz w:val="20"/>
        <w:szCs w:val="20"/>
      </w:rPr>
      <w:fldChar w:fldCharType="end"/>
    </w:r>
    <w:r w:rsidRPr="00E13743">
      <w:rPr>
        <w:rStyle w:val="PageNumber"/>
        <w:sz w:val="20"/>
        <w:szCs w:val="20"/>
      </w:rPr>
      <w:t xml:space="preserve"> no </w:t>
    </w:r>
    <w:r w:rsidRPr="00E13743">
      <w:rPr>
        <w:rStyle w:val="PageNumber"/>
        <w:noProof/>
        <w:sz w:val="20"/>
        <w:szCs w:val="20"/>
      </w:rPr>
      <w:fldChar w:fldCharType="begin"/>
    </w:r>
    <w:r w:rsidRPr="00E13743">
      <w:rPr>
        <w:rStyle w:val="PageNumber"/>
        <w:noProof/>
        <w:sz w:val="20"/>
        <w:szCs w:val="20"/>
      </w:rPr>
      <w:instrText xml:space="preserve"> SECTIONPAGES   \* MERGEFORMAT </w:instrText>
    </w:r>
    <w:r w:rsidRPr="00E13743">
      <w:rPr>
        <w:rStyle w:val="PageNumber"/>
        <w:noProof/>
        <w:sz w:val="20"/>
        <w:szCs w:val="20"/>
      </w:rPr>
      <w:fldChar w:fldCharType="separate"/>
    </w:r>
    <w:r w:rsidR="000D7A04">
      <w:rPr>
        <w:rStyle w:val="PageNumber"/>
        <w:noProof/>
        <w:sz w:val="20"/>
        <w:szCs w:val="20"/>
      </w:rPr>
      <w:t>9</w:t>
    </w:r>
    <w:r w:rsidRPr="00E13743">
      <w:rPr>
        <w:rStyle w:val="PageNumbe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1E3FC" w14:textId="77777777" w:rsidR="00646674" w:rsidRDefault="00646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61433" w14:textId="77777777" w:rsidR="00A30896" w:rsidRDefault="00A30896" w:rsidP="003047F5">
      <w:r>
        <w:separator/>
      </w:r>
    </w:p>
  </w:footnote>
  <w:footnote w:type="continuationSeparator" w:id="0">
    <w:p w14:paraId="45A43C68" w14:textId="77777777" w:rsidR="00A30896" w:rsidRDefault="00A30896" w:rsidP="00304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B4B6F" w14:textId="77777777" w:rsidR="00646674" w:rsidRDefault="00646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6C35" w14:textId="77777777" w:rsidR="00646674" w:rsidRDefault="006466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44782" w14:textId="77777777" w:rsidR="00646674" w:rsidRDefault="00646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46062"/>
    <w:multiLevelType w:val="multilevel"/>
    <w:tmpl w:val="7BC48586"/>
    <w:lvl w:ilvl="0">
      <w:start w:val="1"/>
      <w:numFmt w:val="decimal"/>
      <w:lvlText w:val="[%1]"/>
      <w:lvlJc w:val="left"/>
      <w:pPr>
        <w:ind w:left="630" w:hanging="360"/>
      </w:pPr>
      <w:rPr>
        <w:rFonts w:ascii="Times New Roman" w:hAnsi="Times New Roman" w:hint="default"/>
        <w:b w:val="0"/>
        <w:bCs w:val="0"/>
        <w:i w:val="0"/>
        <w:iCs w:val="0"/>
        <w:sz w:val="22"/>
      </w:rPr>
    </w:lvl>
    <w:lvl w:ilvl="1">
      <w:start w:val="1"/>
      <w:numFmt w:val="decimal"/>
      <w:lvlText w:val="[%1.%2]"/>
      <w:lvlJc w:val="left"/>
      <w:pPr>
        <w:ind w:left="144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1CC1BF5"/>
    <w:multiLevelType w:val="hybridMultilevel"/>
    <w:tmpl w:val="70E453F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4BB23C1B"/>
    <w:multiLevelType w:val="multilevel"/>
    <w:tmpl w:val="86D2C4AA"/>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tabs>
          <w:tab w:val="num" w:pos="0"/>
        </w:tabs>
        <w:ind w:left="0" w:firstLine="851"/>
      </w:pPr>
      <w:rPr>
        <w:rFonts w:hint="default"/>
      </w:rPr>
    </w:lvl>
    <w:lvl w:ilvl="2">
      <w:start w:val="1"/>
      <w:numFmt w:val="decimal"/>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ascii="Times New Roman" w:eastAsia="Times New Roman" w:hAnsi="Times New Roman" w:cs="Times New Roman"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15:restartNumberingAfterBreak="0">
    <w:nsid w:val="518360A6"/>
    <w:multiLevelType w:val="hybridMultilevel"/>
    <w:tmpl w:val="578CF746"/>
    <w:lvl w:ilvl="0" w:tplc="D74046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560332">
    <w:abstractNumId w:val="2"/>
  </w:num>
  <w:num w:numId="2" w16cid:durableId="1366247733">
    <w:abstractNumId w:val="3"/>
  </w:num>
  <w:num w:numId="3" w16cid:durableId="2058429753">
    <w:abstractNumId w:val="0"/>
  </w:num>
  <w:num w:numId="4" w16cid:durableId="909775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fr-FR" w:vendorID="64" w:dllVersion="4096" w:nlCheck="1" w:checkStyle="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0D4"/>
    <w:rsid w:val="0000109F"/>
    <w:rsid w:val="00001819"/>
    <w:rsid w:val="0000296A"/>
    <w:rsid w:val="00002A02"/>
    <w:rsid w:val="00003801"/>
    <w:rsid w:val="00004C61"/>
    <w:rsid w:val="00004EB1"/>
    <w:rsid w:val="00005771"/>
    <w:rsid w:val="000063B2"/>
    <w:rsid w:val="0000694A"/>
    <w:rsid w:val="00006A09"/>
    <w:rsid w:val="00010095"/>
    <w:rsid w:val="00011DB5"/>
    <w:rsid w:val="000123B8"/>
    <w:rsid w:val="00012ED5"/>
    <w:rsid w:val="000140ED"/>
    <w:rsid w:val="00015470"/>
    <w:rsid w:val="000154FA"/>
    <w:rsid w:val="00017401"/>
    <w:rsid w:val="0002019B"/>
    <w:rsid w:val="00022714"/>
    <w:rsid w:val="00022B0B"/>
    <w:rsid w:val="00025DB4"/>
    <w:rsid w:val="00027E87"/>
    <w:rsid w:val="00031123"/>
    <w:rsid w:val="00031C58"/>
    <w:rsid w:val="000343CF"/>
    <w:rsid w:val="00034BE2"/>
    <w:rsid w:val="000355EC"/>
    <w:rsid w:val="0003561A"/>
    <w:rsid w:val="00037282"/>
    <w:rsid w:val="000375D0"/>
    <w:rsid w:val="00037BC0"/>
    <w:rsid w:val="000415B8"/>
    <w:rsid w:val="000419A9"/>
    <w:rsid w:val="00042096"/>
    <w:rsid w:val="0004253A"/>
    <w:rsid w:val="00044BD9"/>
    <w:rsid w:val="00044DAA"/>
    <w:rsid w:val="000454A8"/>
    <w:rsid w:val="00045FE8"/>
    <w:rsid w:val="000462A3"/>
    <w:rsid w:val="00046AAE"/>
    <w:rsid w:val="00047C51"/>
    <w:rsid w:val="00047F7E"/>
    <w:rsid w:val="000517DE"/>
    <w:rsid w:val="00052E7D"/>
    <w:rsid w:val="00053668"/>
    <w:rsid w:val="0005527C"/>
    <w:rsid w:val="00055FA9"/>
    <w:rsid w:val="0005704D"/>
    <w:rsid w:val="00061E29"/>
    <w:rsid w:val="000624F4"/>
    <w:rsid w:val="00063C89"/>
    <w:rsid w:val="00065619"/>
    <w:rsid w:val="00065F4C"/>
    <w:rsid w:val="000665EB"/>
    <w:rsid w:val="0006710A"/>
    <w:rsid w:val="000676D0"/>
    <w:rsid w:val="000700A6"/>
    <w:rsid w:val="00070137"/>
    <w:rsid w:val="000720AA"/>
    <w:rsid w:val="00072993"/>
    <w:rsid w:val="00073E35"/>
    <w:rsid w:val="00073F06"/>
    <w:rsid w:val="000743D1"/>
    <w:rsid w:val="00075954"/>
    <w:rsid w:val="00075CD7"/>
    <w:rsid w:val="00077B6B"/>
    <w:rsid w:val="00080885"/>
    <w:rsid w:val="00081D7E"/>
    <w:rsid w:val="00084782"/>
    <w:rsid w:val="00085247"/>
    <w:rsid w:val="00085322"/>
    <w:rsid w:val="00086A7F"/>
    <w:rsid w:val="00090CEA"/>
    <w:rsid w:val="0009271A"/>
    <w:rsid w:val="00095128"/>
    <w:rsid w:val="00095841"/>
    <w:rsid w:val="00096434"/>
    <w:rsid w:val="000973FB"/>
    <w:rsid w:val="000A0626"/>
    <w:rsid w:val="000A1CFE"/>
    <w:rsid w:val="000A31CD"/>
    <w:rsid w:val="000A387A"/>
    <w:rsid w:val="000A45F3"/>
    <w:rsid w:val="000A4C81"/>
    <w:rsid w:val="000A7362"/>
    <w:rsid w:val="000A75A1"/>
    <w:rsid w:val="000A7601"/>
    <w:rsid w:val="000B0A3A"/>
    <w:rsid w:val="000B2179"/>
    <w:rsid w:val="000B35AE"/>
    <w:rsid w:val="000B3BF2"/>
    <w:rsid w:val="000B428A"/>
    <w:rsid w:val="000B44E9"/>
    <w:rsid w:val="000B5931"/>
    <w:rsid w:val="000B5DD2"/>
    <w:rsid w:val="000B684B"/>
    <w:rsid w:val="000B6D0F"/>
    <w:rsid w:val="000C0556"/>
    <w:rsid w:val="000C08E5"/>
    <w:rsid w:val="000C0D99"/>
    <w:rsid w:val="000C1B50"/>
    <w:rsid w:val="000C456A"/>
    <w:rsid w:val="000C45DA"/>
    <w:rsid w:val="000C5132"/>
    <w:rsid w:val="000C63BC"/>
    <w:rsid w:val="000D3607"/>
    <w:rsid w:val="000D36A3"/>
    <w:rsid w:val="000D3DBB"/>
    <w:rsid w:val="000D4440"/>
    <w:rsid w:val="000D7A04"/>
    <w:rsid w:val="000E16B1"/>
    <w:rsid w:val="000E36E1"/>
    <w:rsid w:val="000E3ACE"/>
    <w:rsid w:val="000E459B"/>
    <w:rsid w:val="000E4B5B"/>
    <w:rsid w:val="000E57A9"/>
    <w:rsid w:val="000E65E0"/>
    <w:rsid w:val="000E7D7E"/>
    <w:rsid w:val="000E7DEF"/>
    <w:rsid w:val="000F0E8C"/>
    <w:rsid w:val="000F3215"/>
    <w:rsid w:val="000F3F4E"/>
    <w:rsid w:val="000F6851"/>
    <w:rsid w:val="000F6A26"/>
    <w:rsid w:val="000F6C1F"/>
    <w:rsid w:val="000F73AB"/>
    <w:rsid w:val="000F74E6"/>
    <w:rsid w:val="000F7A7E"/>
    <w:rsid w:val="00100F20"/>
    <w:rsid w:val="0010224C"/>
    <w:rsid w:val="00104481"/>
    <w:rsid w:val="001063C2"/>
    <w:rsid w:val="00110485"/>
    <w:rsid w:val="0011086B"/>
    <w:rsid w:val="001108D8"/>
    <w:rsid w:val="001109C5"/>
    <w:rsid w:val="00111D74"/>
    <w:rsid w:val="001127BD"/>
    <w:rsid w:val="00112DEB"/>
    <w:rsid w:val="00112F03"/>
    <w:rsid w:val="00113A0B"/>
    <w:rsid w:val="00113AB2"/>
    <w:rsid w:val="00113E59"/>
    <w:rsid w:val="00114230"/>
    <w:rsid w:val="001142DC"/>
    <w:rsid w:val="00114A77"/>
    <w:rsid w:val="0011552B"/>
    <w:rsid w:val="0011566E"/>
    <w:rsid w:val="00115C4B"/>
    <w:rsid w:val="00116545"/>
    <w:rsid w:val="001174B9"/>
    <w:rsid w:val="00117567"/>
    <w:rsid w:val="00117CB1"/>
    <w:rsid w:val="00121837"/>
    <w:rsid w:val="00121AC1"/>
    <w:rsid w:val="001225EF"/>
    <w:rsid w:val="0012371D"/>
    <w:rsid w:val="0012437F"/>
    <w:rsid w:val="001263B8"/>
    <w:rsid w:val="00127C29"/>
    <w:rsid w:val="00127DF4"/>
    <w:rsid w:val="00127EAB"/>
    <w:rsid w:val="00130993"/>
    <w:rsid w:val="001331A8"/>
    <w:rsid w:val="00133D5F"/>
    <w:rsid w:val="00134570"/>
    <w:rsid w:val="00136527"/>
    <w:rsid w:val="001376BA"/>
    <w:rsid w:val="001422F2"/>
    <w:rsid w:val="0014404E"/>
    <w:rsid w:val="001452F1"/>
    <w:rsid w:val="001456FF"/>
    <w:rsid w:val="0014751E"/>
    <w:rsid w:val="00150B57"/>
    <w:rsid w:val="00151FC7"/>
    <w:rsid w:val="001530AC"/>
    <w:rsid w:val="0015312B"/>
    <w:rsid w:val="001533FE"/>
    <w:rsid w:val="00154246"/>
    <w:rsid w:val="00155226"/>
    <w:rsid w:val="00155616"/>
    <w:rsid w:val="00156B55"/>
    <w:rsid w:val="001571C9"/>
    <w:rsid w:val="00157B0D"/>
    <w:rsid w:val="001606C9"/>
    <w:rsid w:val="00160BBB"/>
    <w:rsid w:val="001632C8"/>
    <w:rsid w:val="001633EC"/>
    <w:rsid w:val="001646E9"/>
    <w:rsid w:val="00164D68"/>
    <w:rsid w:val="00165DA7"/>
    <w:rsid w:val="00171123"/>
    <w:rsid w:val="00171555"/>
    <w:rsid w:val="00172865"/>
    <w:rsid w:val="00174075"/>
    <w:rsid w:val="00174C5E"/>
    <w:rsid w:val="0018131F"/>
    <w:rsid w:val="0018148B"/>
    <w:rsid w:val="00182767"/>
    <w:rsid w:val="00183F8C"/>
    <w:rsid w:val="00184CF9"/>
    <w:rsid w:val="001851AF"/>
    <w:rsid w:val="001871BF"/>
    <w:rsid w:val="0018790B"/>
    <w:rsid w:val="00187C11"/>
    <w:rsid w:val="00191158"/>
    <w:rsid w:val="001919F5"/>
    <w:rsid w:val="0019238A"/>
    <w:rsid w:val="00193866"/>
    <w:rsid w:val="001949BE"/>
    <w:rsid w:val="001951A1"/>
    <w:rsid w:val="0019602D"/>
    <w:rsid w:val="00197019"/>
    <w:rsid w:val="00197D23"/>
    <w:rsid w:val="001A0495"/>
    <w:rsid w:val="001A1588"/>
    <w:rsid w:val="001A200D"/>
    <w:rsid w:val="001A23D3"/>
    <w:rsid w:val="001A4A0E"/>
    <w:rsid w:val="001A4B9B"/>
    <w:rsid w:val="001A556F"/>
    <w:rsid w:val="001A5B05"/>
    <w:rsid w:val="001A5E56"/>
    <w:rsid w:val="001A7892"/>
    <w:rsid w:val="001A7D34"/>
    <w:rsid w:val="001B3B2D"/>
    <w:rsid w:val="001B473A"/>
    <w:rsid w:val="001B59BB"/>
    <w:rsid w:val="001B61DA"/>
    <w:rsid w:val="001B743A"/>
    <w:rsid w:val="001C1339"/>
    <w:rsid w:val="001C2032"/>
    <w:rsid w:val="001C285A"/>
    <w:rsid w:val="001C2FCA"/>
    <w:rsid w:val="001C533C"/>
    <w:rsid w:val="001C5658"/>
    <w:rsid w:val="001C71DF"/>
    <w:rsid w:val="001D1AAB"/>
    <w:rsid w:val="001D4136"/>
    <w:rsid w:val="001D4413"/>
    <w:rsid w:val="001D65CF"/>
    <w:rsid w:val="001D741B"/>
    <w:rsid w:val="001D7D32"/>
    <w:rsid w:val="001D7F67"/>
    <w:rsid w:val="001E16CB"/>
    <w:rsid w:val="001E22D9"/>
    <w:rsid w:val="001E23B3"/>
    <w:rsid w:val="001E25C6"/>
    <w:rsid w:val="001E31DA"/>
    <w:rsid w:val="001E32EA"/>
    <w:rsid w:val="001E3A09"/>
    <w:rsid w:val="001E5B7F"/>
    <w:rsid w:val="001E5F02"/>
    <w:rsid w:val="001E69DC"/>
    <w:rsid w:val="001F1687"/>
    <w:rsid w:val="001F2266"/>
    <w:rsid w:val="001F37C8"/>
    <w:rsid w:val="001F587F"/>
    <w:rsid w:val="001F787D"/>
    <w:rsid w:val="002003A0"/>
    <w:rsid w:val="00202370"/>
    <w:rsid w:val="00202579"/>
    <w:rsid w:val="00202DF4"/>
    <w:rsid w:val="00203254"/>
    <w:rsid w:val="002055E2"/>
    <w:rsid w:val="00210F1B"/>
    <w:rsid w:val="00211973"/>
    <w:rsid w:val="0021298E"/>
    <w:rsid w:val="0021339E"/>
    <w:rsid w:val="00213F00"/>
    <w:rsid w:val="0021433F"/>
    <w:rsid w:val="002167E2"/>
    <w:rsid w:val="00220088"/>
    <w:rsid w:val="00220293"/>
    <w:rsid w:val="00220491"/>
    <w:rsid w:val="00220CAE"/>
    <w:rsid w:val="0022129E"/>
    <w:rsid w:val="0022287B"/>
    <w:rsid w:val="00222C5E"/>
    <w:rsid w:val="00222CC5"/>
    <w:rsid w:val="00223146"/>
    <w:rsid w:val="00223378"/>
    <w:rsid w:val="0022671C"/>
    <w:rsid w:val="002275C5"/>
    <w:rsid w:val="00230389"/>
    <w:rsid w:val="00231A4A"/>
    <w:rsid w:val="0023293C"/>
    <w:rsid w:val="002330C4"/>
    <w:rsid w:val="00235519"/>
    <w:rsid w:val="00237F92"/>
    <w:rsid w:val="00240C62"/>
    <w:rsid w:val="00241F79"/>
    <w:rsid w:val="002420AC"/>
    <w:rsid w:val="0024282A"/>
    <w:rsid w:val="0024320B"/>
    <w:rsid w:val="00244A16"/>
    <w:rsid w:val="00245165"/>
    <w:rsid w:val="002452FA"/>
    <w:rsid w:val="00246D65"/>
    <w:rsid w:val="00247324"/>
    <w:rsid w:val="00251305"/>
    <w:rsid w:val="00252EA0"/>
    <w:rsid w:val="0025359C"/>
    <w:rsid w:val="0025521C"/>
    <w:rsid w:val="0025667A"/>
    <w:rsid w:val="0025671E"/>
    <w:rsid w:val="00256DEB"/>
    <w:rsid w:val="0025717E"/>
    <w:rsid w:val="00257447"/>
    <w:rsid w:val="002576E4"/>
    <w:rsid w:val="002577F9"/>
    <w:rsid w:val="00257A47"/>
    <w:rsid w:val="00257B33"/>
    <w:rsid w:val="002608C3"/>
    <w:rsid w:val="002609ED"/>
    <w:rsid w:val="0026126F"/>
    <w:rsid w:val="00261618"/>
    <w:rsid w:val="00264B3B"/>
    <w:rsid w:val="00264BC6"/>
    <w:rsid w:val="0026613B"/>
    <w:rsid w:val="00266DAF"/>
    <w:rsid w:val="00270AEE"/>
    <w:rsid w:val="00271501"/>
    <w:rsid w:val="00271819"/>
    <w:rsid w:val="00273297"/>
    <w:rsid w:val="00273378"/>
    <w:rsid w:val="002735CC"/>
    <w:rsid w:val="0027469B"/>
    <w:rsid w:val="002746BA"/>
    <w:rsid w:val="00274CCF"/>
    <w:rsid w:val="00275F4D"/>
    <w:rsid w:val="00276402"/>
    <w:rsid w:val="00276D60"/>
    <w:rsid w:val="00277611"/>
    <w:rsid w:val="0028056E"/>
    <w:rsid w:val="002831CB"/>
    <w:rsid w:val="00283355"/>
    <w:rsid w:val="00284241"/>
    <w:rsid w:val="0029018E"/>
    <w:rsid w:val="002910E1"/>
    <w:rsid w:val="002916BB"/>
    <w:rsid w:val="002922BE"/>
    <w:rsid w:val="0029275C"/>
    <w:rsid w:val="00293332"/>
    <w:rsid w:val="00293462"/>
    <w:rsid w:val="0029350B"/>
    <w:rsid w:val="002935F5"/>
    <w:rsid w:val="00293CE3"/>
    <w:rsid w:val="00294140"/>
    <w:rsid w:val="00294C66"/>
    <w:rsid w:val="00295214"/>
    <w:rsid w:val="00295FE8"/>
    <w:rsid w:val="002978F1"/>
    <w:rsid w:val="002978FB"/>
    <w:rsid w:val="002A062C"/>
    <w:rsid w:val="002A0D29"/>
    <w:rsid w:val="002A12E1"/>
    <w:rsid w:val="002A20D1"/>
    <w:rsid w:val="002A21AD"/>
    <w:rsid w:val="002A3CFA"/>
    <w:rsid w:val="002A5D7B"/>
    <w:rsid w:val="002B2E14"/>
    <w:rsid w:val="002B2F5F"/>
    <w:rsid w:val="002B4680"/>
    <w:rsid w:val="002B4A19"/>
    <w:rsid w:val="002B6801"/>
    <w:rsid w:val="002B77A2"/>
    <w:rsid w:val="002B7CC9"/>
    <w:rsid w:val="002C0ECB"/>
    <w:rsid w:val="002C2A0F"/>
    <w:rsid w:val="002C350B"/>
    <w:rsid w:val="002C3E07"/>
    <w:rsid w:val="002C4856"/>
    <w:rsid w:val="002C51C7"/>
    <w:rsid w:val="002C534F"/>
    <w:rsid w:val="002C662C"/>
    <w:rsid w:val="002C678D"/>
    <w:rsid w:val="002D3767"/>
    <w:rsid w:val="002D54F8"/>
    <w:rsid w:val="002D59B8"/>
    <w:rsid w:val="002D7047"/>
    <w:rsid w:val="002E0E77"/>
    <w:rsid w:val="002E34FB"/>
    <w:rsid w:val="002E3C5D"/>
    <w:rsid w:val="002E41B4"/>
    <w:rsid w:val="002E45BC"/>
    <w:rsid w:val="002E5263"/>
    <w:rsid w:val="002E7225"/>
    <w:rsid w:val="002E7486"/>
    <w:rsid w:val="002F1C79"/>
    <w:rsid w:val="002F304D"/>
    <w:rsid w:val="002F3EC4"/>
    <w:rsid w:val="002F61D6"/>
    <w:rsid w:val="002F67AD"/>
    <w:rsid w:val="002F7790"/>
    <w:rsid w:val="002F7835"/>
    <w:rsid w:val="002F794D"/>
    <w:rsid w:val="0030074C"/>
    <w:rsid w:val="00300C60"/>
    <w:rsid w:val="00301498"/>
    <w:rsid w:val="00301A51"/>
    <w:rsid w:val="003047F5"/>
    <w:rsid w:val="00304938"/>
    <w:rsid w:val="00305BAD"/>
    <w:rsid w:val="003071F8"/>
    <w:rsid w:val="003079EC"/>
    <w:rsid w:val="00307F62"/>
    <w:rsid w:val="00311618"/>
    <w:rsid w:val="00312D6E"/>
    <w:rsid w:val="00313348"/>
    <w:rsid w:val="0031385C"/>
    <w:rsid w:val="0031486A"/>
    <w:rsid w:val="00315339"/>
    <w:rsid w:val="00315F49"/>
    <w:rsid w:val="00316A36"/>
    <w:rsid w:val="00316D49"/>
    <w:rsid w:val="00320D11"/>
    <w:rsid w:val="00320D8B"/>
    <w:rsid w:val="00321453"/>
    <w:rsid w:val="00322CA3"/>
    <w:rsid w:val="00323AFD"/>
    <w:rsid w:val="00324329"/>
    <w:rsid w:val="00330135"/>
    <w:rsid w:val="00330EE7"/>
    <w:rsid w:val="00331645"/>
    <w:rsid w:val="00331BBB"/>
    <w:rsid w:val="003344C9"/>
    <w:rsid w:val="0033533E"/>
    <w:rsid w:val="00336560"/>
    <w:rsid w:val="00340E66"/>
    <w:rsid w:val="003418CF"/>
    <w:rsid w:val="00342169"/>
    <w:rsid w:val="003422A7"/>
    <w:rsid w:val="00342C2B"/>
    <w:rsid w:val="003466B0"/>
    <w:rsid w:val="0035003A"/>
    <w:rsid w:val="00350C1C"/>
    <w:rsid w:val="00350CDC"/>
    <w:rsid w:val="00351122"/>
    <w:rsid w:val="00352847"/>
    <w:rsid w:val="0035346E"/>
    <w:rsid w:val="003536BB"/>
    <w:rsid w:val="00353C01"/>
    <w:rsid w:val="0035449E"/>
    <w:rsid w:val="00355307"/>
    <w:rsid w:val="00355979"/>
    <w:rsid w:val="00357504"/>
    <w:rsid w:val="003611D4"/>
    <w:rsid w:val="00361AB1"/>
    <w:rsid w:val="00362B5E"/>
    <w:rsid w:val="00363899"/>
    <w:rsid w:val="00363A4C"/>
    <w:rsid w:val="003649B4"/>
    <w:rsid w:val="00365E8A"/>
    <w:rsid w:val="00366B3B"/>
    <w:rsid w:val="00371B6E"/>
    <w:rsid w:val="003721BC"/>
    <w:rsid w:val="003721EB"/>
    <w:rsid w:val="00372748"/>
    <w:rsid w:val="00372E7C"/>
    <w:rsid w:val="00373846"/>
    <w:rsid w:val="00374E97"/>
    <w:rsid w:val="003755A3"/>
    <w:rsid w:val="003761F2"/>
    <w:rsid w:val="00376E7E"/>
    <w:rsid w:val="00380FA7"/>
    <w:rsid w:val="00381612"/>
    <w:rsid w:val="0038161C"/>
    <w:rsid w:val="0038218E"/>
    <w:rsid w:val="00382AD0"/>
    <w:rsid w:val="003835A4"/>
    <w:rsid w:val="003841CC"/>
    <w:rsid w:val="003850AA"/>
    <w:rsid w:val="00385459"/>
    <w:rsid w:val="00386799"/>
    <w:rsid w:val="00386A31"/>
    <w:rsid w:val="003903FC"/>
    <w:rsid w:val="00391C79"/>
    <w:rsid w:val="00392E91"/>
    <w:rsid w:val="00397BA9"/>
    <w:rsid w:val="00397E38"/>
    <w:rsid w:val="003A050F"/>
    <w:rsid w:val="003A05B7"/>
    <w:rsid w:val="003A0E6A"/>
    <w:rsid w:val="003A168B"/>
    <w:rsid w:val="003A1BFD"/>
    <w:rsid w:val="003A2B1D"/>
    <w:rsid w:val="003A2E2D"/>
    <w:rsid w:val="003A34C4"/>
    <w:rsid w:val="003A38C9"/>
    <w:rsid w:val="003A4943"/>
    <w:rsid w:val="003A51DD"/>
    <w:rsid w:val="003A551E"/>
    <w:rsid w:val="003A6823"/>
    <w:rsid w:val="003A6862"/>
    <w:rsid w:val="003A6C33"/>
    <w:rsid w:val="003A6D35"/>
    <w:rsid w:val="003A7050"/>
    <w:rsid w:val="003A708B"/>
    <w:rsid w:val="003B031D"/>
    <w:rsid w:val="003B152A"/>
    <w:rsid w:val="003B1A2C"/>
    <w:rsid w:val="003B2580"/>
    <w:rsid w:val="003B481C"/>
    <w:rsid w:val="003B49FE"/>
    <w:rsid w:val="003B58EC"/>
    <w:rsid w:val="003B6332"/>
    <w:rsid w:val="003B6392"/>
    <w:rsid w:val="003B743E"/>
    <w:rsid w:val="003C0640"/>
    <w:rsid w:val="003C086E"/>
    <w:rsid w:val="003C0AF7"/>
    <w:rsid w:val="003C0B5C"/>
    <w:rsid w:val="003C35A3"/>
    <w:rsid w:val="003C3DB9"/>
    <w:rsid w:val="003C446F"/>
    <w:rsid w:val="003C4748"/>
    <w:rsid w:val="003C54B4"/>
    <w:rsid w:val="003C7E2E"/>
    <w:rsid w:val="003D1594"/>
    <w:rsid w:val="003D1C0E"/>
    <w:rsid w:val="003D1D0F"/>
    <w:rsid w:val="003D470F"/>
    <w:rsid w:val="003D4D3D"/>
    <w:rsid w:val="003D6A40"/>
    <w:rsid w:val="003E0E36"/>
    <w:rsid w:val="003E1748"/>
    <w:rsid w:val="003E2D8A"/>
    <w:rsid w:val="003E5C55"/>
    <w:rsid w:val="003E73F4"/>
    <w:rsid w:val="003E7551"/>
    <w:rsid w:val="003F0CFF"/>
    <w:rsid w:val="003F0DEE"/>
    <w:rsid w:val="003F179C"/>
    <w:rsid w:val="003F3E26"/>
    <w:rsid w:val="003F4C5C"/>
    <w:rsid w:val="003F7686"/>
    <w:rsid w:val="00400440"/>
    <w:rsid w:val="0040050E"/>
    <w:rsid w:val="00401A29"/>
    <w:rsid w:val="0040375C"/>
    <w:rsid w:val="004043E7"/>
    <w:rsid w:val="00404728"/>
    <w:rsid w:val="0040472A"/>
    <w:rsid w:val="00405698"/>
    <w:rsid w:val="00406FFB"/>
    <w:rsid w:val="00407CF3"/>
    <w:rsid w:val="00411296"/>
    <w:rsid w:val="00413192"/>
    <w:rsid w:val="0041391B"/>
    <w:rsid w:val="00413BC2"/>
    <w:rsid w:val="00414984"/>
    <w:rsid w:val="00414C20"/>
    <w:rsid w:val="004151FE"/>
    <w:rsid w:val="00416BF6"/>
    <w:rsid w:val="0042186D"/>
    <w:rsid w:val="00421AAB"/>
    <w:rsid w:val="00424107"/>
    <w:rsid w:val="00424B84"/>
    <w:rsid w:val="00424BF3"/>
    <w:rsid w:val="00424F66"/>
    <w:rsid w:val="0042709F"/>
    <w:rsid w:val="00430601"/>
    <w:rsid w:val="0043157E"/>
    <w:rsid w:val="004317F8"/>
    <w:rsid w:val="00431813"/>
    <w:rsid w:val="0043182C"/>
    <w:rsid w:val="00434C72"/>
    <w:rsid w:val="00436AFF"/>
    <w:rsid w:val="00436EF7"/>
    <w:rsid w:val="00436F09"/>
    <w:rsid w:val="00437E4F"/>
    <w:rsid w:val="00437E67"/>
    <w:rsid w:val="00440DC3"/>
    <w:rsid w:val="004410F6"/>
    <w:rsid w:val="00442873"/>
    <w:rsid w:val="004432E9"/>
    <w:rsid w:val="004438AB"/>
    <w:rsid w:val="00443EC9"/>
    <w:rsid w:val="00445305"/>
    <w:rsid w:val="004466DD"/>
    <w:rsid w:val="00447380"/>
    <w:rsid w:val="00450475"/>
    <w:rsid w:val="004517C3"/>
    <w:rsid w:val="00451DA1"/>
    <w:rsid w:val="004526E2"/>
    <w:rsid w:val="00453A64"/>
    <w:rsid w:val="00453D53"/>
    <w:rsid w:val="00454DDD"/>
    <w:rsid w:val="00455251"/>
    <w:rsid w:val="00455DAB"/>
    <w:rsid w:val="00456E6A"/>
    <w:rsid w:val="00456F68"/>
    <w:rsid w:val="00457DF3"/>
    <w:rsid w:val="00460E80"/>
    <w:rsid w:val="00461696"/>
    <w:rsid w:val="00462740"/>
    <w:rsid w:val="00463413"/>
    <w:rsid w:val="004648AE"/>
    <w:rsid w:val="00465DE4"/>
    <w:rsid w:val="0047002E"/>
    <w:rsid w:val="00470104"/>
    <w:rsid w:val="004704BC"/>
    <w:rsid w:val="00471937"/>
    <w:rsid w:val="00471B8F"/>
    <w:rsid w:val="00474BB1"/>
    <w:rsid w:val="0047539A"/>
    <w:rsid w:val="00476FC6"/>
    <w:rsid w:val="00477B85"/>
    <w:rsid w:val="00480BCB"/>
    <w:rsid w:val="00480C96"/>
    <w:rsid w:val="00483430"/>
    <w:rsid w:val="00484A9F"/>
    <w:rsid w:val="00484C0F"/>
    <w:rsid w:val="00485481"/>
    <w:rsid w:val="004871C0"/>
    <w:rsid w:val="00490547"/>
    <w:rsid w:val="004907AC"/>
    <w:rsid w:val="004911EC"/>
    <w:rsid w:val="00491C25"/>
    <w:rsid w:val="00491DEC"/>
    <w:rsid w:val="00494440"/>
    <w:rsid w:val="004957FE"/>
    <w:rsid w:val="00495F22"/>
    <w:rsid w:val="00496AA7"/>
    <w:rsid w:val="00497D80"/>
    <w:rsid w:val="004A0D29"/>
    <w:rsid w:val="004A27AE"/>
    <w:rsid w:val="004A4903"/>
    <w:rsid w:val="004A5C8A"/>
    <w:rsid w:val="004A5D64"/>
    <w:rsid w:val="004A6112"/>
    <w:rsid w:val="004A7AE5"/>
    <w:rsid w:val="004B290C"/>
    <w:rsid w:val="004B3ADB"/>
    <w:rsid w:val="004B4DF0"/>
    <w:rsid w:val="004B7E64"/>
    <w:rsid w:val="004C0250"/>
    <w:rsid w:val="004C1A7A"/>
    <w:rsid w:val="004C209A"/>
    <w:rsid w:val="004C5633"/>
    <w:rsid w:val="004C7E8E"/>
    <w:rsid w:val="004D223B"/>
    <w:rsid w:val="004D3DFF"/>
    <w:rsid w:val="004E2372"/>
    <w:rsid w:val="004E2D5F"/>
    <w:rsid w:val="004E38A1"/>
    <w:rsid w:val="004E3CFF"/>
    <w:rsid w:val="004E5626"/>
    <w:rsid w:val="004E5928"/>
    <w:rsid w:val="004E5AE2"/>
    <w:rsid w:val="004E63D7"/>
    <w:rsid w:val="004E6549"/>
    <w:rsid w:val="004F0312"/>
    <w:rsid w:val="004F2689"/>
    <w:rsid w:val="004F3AE6"/>
    <w:rsid w:val="004F40B5"/>
    <w:rsid w:val="004F4E6A"/>
    <w:rsid w:val="004F5EE2"/>
    <w:rsid w:val="004F6660"/>
    <w:rsid w:val="004F671D"/>
    <w:rsid w:val="004F6EA9"/>
    <w:rsid w:val="004F7B21"/>
    <w:rsid w:val="005009D9"/>
    <w:rsid w:val="00500B76"/>
    <w:rsid w:val="00500BC6"/>
    <w:rsid w:val="00500E0C"/>
    <w:rsid w:val="00501F3B"/>
    <w:rsid w:val="00504D76"/>
    <w:rsid w:val="00506E7A"/>
    <w:rsid w:val="00507A88"/>
    <w:rsid w:val="00507AE8"/>
    <w:rsid w:val="00510619"/>
    <w:rsid w:val="00510FCF"/>
    <w:rsid w:val="00513DDF"/>
    <w:rsid w:val="00514C77"/>
    <w:rsid w:val="00515918"/>
    <w:rsid w:val="00517C90"/>
    <w:rsid w:val="00520488"/>
    <w:rsid w:val="00520DBD"/>
    <w:rsid w:val="00521A02"/>
    <w:rsid w:val="00522D4D"/>
    <w:rsid w:val="00530800"/>
    <w:rsid w:val="00531E48"/>
    <w:rsid w:val="00531FC2"/>
    <w:rsid w:val="005321E3"/>
    <w:rsid w:val="00532825"/>
    <w:rsid w:val="00532D71"/>
    <w:rsid w:val="0053372D"/>
    <w:rsid w:val="00533EB8"/>
    <w:rsid w:val="005342FB"/>
    <w:rsid w:val="005344FB"/>
    <w:rsid w:val="0053604C"/>
    <w:rsid w:val="00537348"/>
    <w:rsid w:val="00541826"/>
    <w:rsid w:val="00542C13"/>
    <w:rsid w:val="00543790"/>
    <w:rsid w:val="00543BB6"/>
    <w:rsid w:val="00543E46"/>
    <w:rsid w:val="00544330"/>
    <w:rsid w:val="00546AEF"/>
    <w:rsid w:val="00550065"/>
    <w:rsid w:val="00552082"/>
    <w:rsid w:val="0055218D"/>
    <w:rsid w:val="00553631"/>
    <w:rsid w:val="00553719"/>
    <w:rsid w:val="0055568A"/>
    <w:rsid w:val="00557FB2"/>
    <w:rsid w:val="00560554"/>
    <w:rsid w:val="00560EED"/>
    <w:rsid w:val="00561B62"/>
    <w:rsid w:val="00562482"/>
    <w:rsid w:val="00563672"/>
    <w:rsid w:val="00565307"/>
    <w:rsid w:val="005671C6"/>
    <w:rsid w:val="00567ECF"/>
    <w:rsid w:val="00570D80"/>
    <w:rsid w:val="00571BEA"/>
    <w:rsid w:val="005747C3"/>
    <w:rsid w:val="00575406"/>
    <w:rsid w:val="00575407"/>
    <w:rsid w:val="0057599F"/>
    <w:rsid w:val="00575CF9"/>
    <w:rsid w:val="005767C4"/>
    <w:rsid w:val="00581343"/>
    <w:rsid w:val="005815CB"/>
    <w:rsid w:val="005837E2"/>
    <w:rsid w:val="00583953"/>
    <w:rsid w:val="00583FBD"/>
    <w:rsid w:val="00584E43"/>
    <w:rsid w:val="00586E41"/>
    <w:rsid w:val="00587B5A"/>
    <w:rsid w:val="005932BA"/>
    <w:rsid w:val="00596327"/>
    <w:rsid w:val="0059673E"/>
    <w:rsid w:val="005967B3"/>
    <w:rsid w:val="00596CDA"/>
    <w:rsid w:val="00597A4E"/>
    <w:rsid w:val="005A1300"/>
    <w:rsid w:val="005A1957"/>
    <w:rsid w:val="005A19C1"/>
    <w:rsid w:val="005A33D5"/>
    <w:rsid w:val="005A39E3"/>
    <w:rsid w:val="005A3C20"/>
    <w:rsid w:val="005A6D5E"/>
    <w:rsid w:val="005A74B8"/>
    <w:rsid w:val="005A7789"/>
    <w:rsid w:val="005B0883"/>
    <w:rsid w:val="005B13B7"/>
    <w:rsid w:val="005B1D14"/>
    <w:rsid w:val="005B2004"/>
    <w:rsid w:val="005B241C"/>
    <w:rsid w:val="005B26C5"/>
    <w:rsid w:val="005B2D42"/>
    <w:rsid w:val="005B3CC8"/>
    <w:rsid w:val="005B69D4"/>
    <w:rsid w:val="005C1257"/>
    <w:rsid w:val="005C1CF0"/>
    <w:rsid w:val="005C2A07"/>
    <w:rsid w:val="005C44EF"/>
    <w:rsid w:val="005C46C4"/>
    <w:rsid w:val="005C5CAB"/>
    <w:rsid w:val="005C685F"/>
    <w:rsid w:val="005C7826"/>
    <w:rsid w:val="005C78B8"/>
    <w:rsid w:val="005D014F"/>
    <w:rsid w:val="005D075E"/>
    <w:rsid w:val="005D180F"/>
    <w:rsid w:val="005D4797"/>
    <w:rsid w:val="005D4A79"/>
    <w:rsid w:val="005D5802"/>
    <w:rsid w:val="005D60C0"/>
    <w:rsid w:val="005D69AC"/>
    <w:rsid w:val="005D7733"/>
    <w:rsid w:val="005E0109"/>
    <w:rsid w:val="005E01D9"/>
    <w:rsid w:val="005E0414"/>
    <w:rsid w:val="005E099B"/>
    <w:rsid w:val="005E0DB4"/>
    <w:rsid w:val="005E1493"/>
    <w:rsid w:val="005E1CF5"/>
    <w:rsid w:val="005E1D0E"/>
    <w:rsid w:val="005E2AAF"/>
    <w:rsid w:val="005E5B93"/>
    <w:rsid w:val="005E6CDF"/>
    <w:rsid w:val="005E7C04"/>
    <w:rsid w:val="005F0B26"/>
    <w:rsid w:val="005F3EA8"/>
    <w:rsid w:val="005F4027"/>
    <w:rsid w:val="005F4234"/>
    <w:rsid w:val="005F4B81"/>
    <w:rsid w:val="005F7209"/>
    <w:rsid w:val="005F7654"/>
    <w:rsid w:val="005F79C0"/>
    <w:rsid w:val="00601390"/>
    <w:rsid w:val="00601A29"/>
    <w:rsid w:val="00603547"/>
    <w:rsid w:val="00603E2B"/>
    <w:rsid w:val="00604268"/>
    <w:rsid w:val="00605078"/>
    <w:rsid w:val="006077F0"/>
    <w:rsid w:val="006137F4"/>
    <w:rsid w:val="00616815"/>
    <w:rsid w:val="00617710"/>
    <w:rsid w:val="006178E1"/>
    <w:rsid w:val="00617D82"/>
    <w:rsid w:val="006221DC"/>
    <w:rsid w:val="006245B7"/>
    <w:rsid w:val="00624F6A"/>
    <w:rsid w:val="00625670"/>
    <w:rsid w:val="006259A0"/>
    <w:rsid w:val="006263B4"/>
    <w:rsid w:val="00627E74"/>
    <w:rsid w:val="00631542"/>
    <w:rsid w:val="0063448E"/>
    <w:rsid w:val="00635C29"/>
    <w:rsid w:val="0063608A"/>
    <w:rsid w:val="00636EAD"/>
    <w:rsid w:val="00637570"/>
    <w:rsid w:val="00637625"/>
    <w:rsid w:val="0063798D"/>
    <w:rsid w:val="006410DF"/>
    <w:rsid w:val="00642481"/>
    <w:rsid w:val="0064349C"/>
    <w:rsid w:val="006449AB"/>
    <w:rsid w:val="0064579A"/>
    <w:rsid w:val="006463F7"/>
    <w:rsid w:val="00646674"/>
    <w:rsid w:val="006466AB"/>
    <w:rsid w:val="00646977"/>
    <w:rsid w:val="0064763D"/>
    <w:rsid w:val="006507EE"/>
    <w:rsid w:val="0065290B"/>
    <w:rsid w:val="00654DB7"/>
    <w:rsid w:val="00654F27"/>
    <w:rsid w:val="00656FDE"/>
    <w:rsid w:val="00657F1F"/>
    <w:rsid w:val="00661510"/>
    <w:rsid w:val="00661B15"/>
    <w:rsid w:val="00662418"/>
    <w:rsid w:val="00663ECB"/>
    <w:rsid w:val="006642BF"/>
    <w:rsid w:val="0066587E"/>
    <w:rsid w:val="00666A94"/>
    <w:rsid w:val="00670A54"/>
    <w:rsid w:val="00671ED8"/>
    <w:rsid w:val="00672684"/>
    <w:rsid w:val="00673113"/>
    <w:rsid w:val="0067393F"/>
    <w:rsid w:val="006748FB"/>
    <w:rsid w:val="00675155"/>
    <w:rsid w:val="006756CF"/>
    <w:rsid w:val="00675D48"/>
    <w:rsid w:val="00675F33"/>
    <w:rsid w:val="00683199"/>
    <w:rsid w:val="00684304"/>
    <w:rsid w:val="00684478"/>
    <w:rsid w:val="0068546B"/>
    <w:rsid w:val="0069286C"/>
    <w:rsid w:val="00692A12"/>
    <w:rsid w:val="00692FE3"/>
    <w:rsid w:val="006934C9"/>
    <w:rsid w:val="00693C4F"/>
    <w:rsid w:val="00695A21"/>
    <w:rsid w:val="00696E88"/>
    <w:rsid w:val="006A08EA"/>
    <w:rsid w:val="006A0B48"/>
    <w:rsid w:val="006A57E1"/>
    <w:rsid w:val="006A6060"/>
    <w:rsid w:val="006A6900"/>
    <w:rsid w:val="006A6AC5"/>
    <w:rsid w:val="006A6FAD"/>
    <w:rsid w:val="006B052F"/>
    <w:rsid w:val="006B1F3B"/>
    <w:rsid w:val="006B1FEE"/>
    <w:rsid w:val="006B52B5"/>
    <w:rsid w:val="006B55D4"/>
    <w:rsid w:val="006B5BEB"/>
    <w:rsid w:val="006B6A40"/>
    <w:rsid w:val="006B6BC1"/>
    <w:rsid w:val="006C0456"/>
    <w:rsid w:val="006C1E2F"/>
    <w:rsid w:val="006C2466"/>
    <w:rsid w:val="006C4ACE"/>
    <w:rsid w:val="006C6116"/>
    <w:rsid w:val="006D0961"/>
    <w:rsid w:val="006D4174"/>
    <w:rsid w:val="006D50A2"/>
    <w:rsid w:val="006D6169"/>
    <w:rsid w:val="006D6AAD"/>
    <w:rsid w:val="006D7515"/>
    <w:rsid w:val="006D76C5"/>
    <w:rsid w:val="006D7A4A"/>
    <w:rsid w:val="006E0B3F"/>
    <w:rsid w:val="006E35A8"/>
    <w:rsid w:val="006E35CD"/>
    <w:rsid w:val="006E3BBA"/>
    <w:rsid w:val="006E516B"/>
    <w:rsid w:val="006E5C59"/>
    <w:rsid w:val="006E61BB"/>
    <w:rsid w:val="006E674C"/>
    <w:rsid w:val="006E6FD1"/>
    <w:rsid w:val="006E7B9A"/>
    <w:rsid w:val="006E7EE3"/>
    <w:rsid w:val="006F12DC"/>
    <w:rsid w:val="006F1AEC"/>
    <w:rsid w:val="006F42B7"/>
    <w:rsid w:val="006F462D"/>
    <w:rsid w:val="006F46B5"/>
    <w:rsid w:val="006F5D3B"/>
    <w:rsid w:val="006F5D78"/>
    <w:rsid w:val="006F7708"/>
    <w:rsid w:val="007015FA"/>
    <w:rsid w:val="007017F3"/>
    <w:rsid w:val="007027D2"/>
    <w:rsid w:val="00702AEB"/>
    <w:rsid w:val="00703351"/>
    <w:rsid w:val="0070342F"/>
    <w:rsid w:val="00703E51"/>
    <w:rsid w:val="00703F2B"/>
    <w:rsid w:val="00705C67"/>
    <w:rsid w:val="00705E00"/>
    <w:rsid w:val="00707B27"/>
    <w:rsid w:val="007108EF"/>
    <w:rsid w:val="00711865"/>
    <w:rsid w:val="007153B4"/>
    <w:rsid w:val="007166E6"/>
    <w:rsid w:val="00720C3D"/>
    <w:rsid w:val="00720C6C"/>
    <w:rsid w:val="00720F1F"/>
    <w:rsid w:val="00721064"/>
    <w:rsid w:val="007214A4"/>
    <w:rsid w:val="007228EC"/>
    <w:rsid w:val="00722992"/>
    <w:rsid w:val="00722DCD"/>
    <w:rsid w:val="00723819"/>
    <w:rsid w:val="00724A79"/>
    <w:rsid w:val="00725E94"/>
    <w:rsid w:val="00730E01"/>
    <w:rsid w:val="00731E85"/>
    <w:rsid w:val="0073290E"/>
    <w:rsid w:val="0073309E"/>
    <w:rsid w:val="00733361"/>
    <w:rsid w:val="007344C6"/>
    <w:rsid w:val="00735048"/>
    <w:rsid w:val="00735745"/>
    <w:rsid w:val="00735B5F"/>
    <w:rsid w:val="00735D8C"/>
    <w:rsid w:val="0073628A"/>
    <w:rsid w:val="007370BF"/>
    <w:rsid w:val="007374ED"/>
    <w:rsid w:val="00740F3A"/>
    <w:rsid w:val="007425C1"/>
    <w:rsid w:val="007438B1"/>
    <w:rsid w:val="00744578"/>
    <w:rsid w:val="007450EA"/>
    <w:rsid w:val="00745213"/>
    <w:rsid w:val="00746E38"/>
    <w:rsid w:val="00747137"/>
    <w:rsid w:val="007471D1"/>
    <w:rsid w:val="007511BE"/>
    <w:rsid w:val="00751C51"/>
    <w:rsid w:val="00753B71"/>
    <w:rsid w:val="00754E35"/>
    <w:rsid w:val="00755C58"/>
    <w:rsid w:val="00756004"/>
    <w:rsid w:val="00756576"/>
    <w:rsid w:val="00757059"/>
    <w:rsid w:val="0075736A"/>
    <w:rsid w:val="007577B6"/>
    <w:rsid w:val="0076058D"/>
    <w:rsid w:val="00760CC7"/>
    <w:rsid w:val="00761BC9"/>
    <w:rsid w:val="00763A9B"/>
    <w:rsid w:val="00765EAD"/>
    <w:rsid w:val="0076656C"/>
    <w:rsid w:val="00766873"/>
    <w:rsid w:val="00767351"/>
    <w:rsid w:val="00767F39"/>
    <w:rsid w:val="00770039"/>
    <w:rsid w:val="0077054B"/>
    <w:rsid w:val="00772603"/>
    <w:rsid w:val="007726ED"/>
    <w:rsid w:val="00776D4E"/>
    <w:rsid w:val="00780C17"/>
    <w:rsid w:val="0078387C"/>
    <w:rsid w:val="00783D9F"/>
    <w:rsid w:val="00784532"/>
    <w:rsid w:val="00785519"/>
    <w:rsid w:val="007877BC"/>
    <w:rsid w:val="00790775"/>
    <w:rsid w:val="00790BBB"/>
    <w:rsid w:val="00792B72"/>
    <w:rsid w:val="00793833"/>
    <w:rsid w:val="00794118"/>
    <w:rsid w:val="007946DF"/>
    <w:rsid w:val="00797D61"/>
    <w:rsid w:val="00797E4D"/>
    <w:rsid w:val="007A11A0"/>
    <w:rsid w:val="007A132C"/>
    <w:rsid w:val="007A1971"/>
    <w:rsid w:val="007A227C"/>
    <w:rsid w:val="007A248B"/>
    <w:rsid w:val="007A304B"/>
    <w:rsid w:val="007A3E79"/>
    <w:rsid w:val="007B1454"/>
    <w:rsid w:val="007B22FC"/>
    <w:rsid w:val="007B2614"/>
    <w:rsid w:val="007B3117"/>
    <w:rsid w:val="007B3DFD"/>
    <w:rsid w:val="007B5347"/>
    <w:rsid w:val="007B5450"/>
    <w:rsid w:val="007B54AD"/>
    <w:rsid w:val="007B6A44"/>
    <w:rsid w:val="007B7025"/>
    <w:rsid w:val="007B7CB1"/>
    <w:rsid w:val="007C0806"/>
    <w:rsid w:val="007C100E"/>
    <w:rsid w:val="007C3357"/>
    <w:rsid w:val="007C4272"/>
    <w:rsid w:val="007C503A"/>
    <w:rsid w:val="007C5285"/>
    <w:rsid w:val="007C5BD5"/>
    <w:rsid w:val="007C6992"/>
    <w:rsid w:val="007D0808"/>
    <w:rsid w:val="007D1420"/>
    <w:rsid w:val="007D1702"/>
    <w:rsid w:val="007D2028"/>
    <w:rsid w:val="007D20C3"/>
    <w:rsid w:val="007D3D8C"/>
    <w:rsid w:val="007D567D"/>
    <w:rsid w:val="007D59CB"/>
    <w:rsid w:val="007D6321"/>
    <w:rsid w:val="007D6FC7"/>
    <w:rsid w:val="007D7E14"/>
    <w:rsid w:val="007E1347"/>
    <w:rsid w:val="007E266B"/>
    <w:rsid w:val="007E2845"/>
    <w:rsid w:val="007E5FDC"/>
    <w:rsid w:val="007E737D"/>
    <w:rsid w:val="007F0DE6"/>
    <w:rsid w:val="007F2B74"/>
    <w:rsid w:val="007F432F"/>
    <w:rsid w:val="007F4E02"/>
    <w:rsid w:val="007F5D2A"/>
    <w:rsid w:val="007F6F40"/>
    <w:rsid w:val="007F7B3D"/>
    <w:rsid w:val="00800527"/>
    <w:rsid w:val="008019CA"/>
    <w:rsid w:val="0080220E"/>
    <w:rsid w:val="008028E2"/>
    <w:rsid w:val="00804358"/>
    <w:rsid w:val="00804E0F"/>
    <w:rsid w:val="008101AE"/>
    <w:rsid w:val="00811536"/>
    <w:rsid w:val="00811DA6"/>
    <w:rsid w:val="00812EC1"/>
    <w:rsid w:val="0081471D"/>
    <w:rsid w:val="00814813"/>
    <w:rsid w:val="00814EFE"/>
    <w:rsid w:val="00814F5D"/>
    <w:rsid w:val="00821393"/>
    <w:rsid w:val="00821D04"/>
    <w:rsid w:val="00825809"/>
    <w:rsid w:val="00830447"/>
    <w:rsid w:val="008355E2"/>
    <w:rsid w:val="008357C9"/>
    <w:rsid w:val="008363B6"/>
    <w:rsid w:val="0084008D"/>
    <w:rsid w:val="00840176"/>
    <w:rsid w:val="0084070F"/>
    <w:rsid w:val="0084602E"/>
    <w:rsid w:val="00847077"/>
    <w:rsid w:val="00847822"/>
    <w:rsid w:val="0085027B"/>
    <w:rsid w:val="00850A79"/>
    <w:rsid w:val="00850DF2"/>
    <w:rsid w:val="00851D7E"/>
    <w:rsid w:val="008536FC"/>
    <w:rsid w:val="008542FA"/>
    <w:rsid w:val="00854581"/>
    <w:rsid w:val="008570B6"/>
    <w:rsid w:val="00860688"/>
    <w:rsid w:val="008611FD"/>
    <w:rsid w:val="00861E53"/>
    <w:rsid w:val="00863D87"/>
    <w:rsid w:val="00864170"/>
    <w:rsid w:val="00864D04"/>
    <w:rsid w:val="008671CE"/>
    <w:rsid w:val="00867C4D"/>
    <w:rsid w:val="008702EE"/>
    <w:rsid w:val="00870FB1"/>
    <w:rsid w:val="00873D2D"/>
    <w:rsid w:val="00873F33"/>
    <w:rsid w:val="008762A7"/>
    <w:rsid w:val="008768CF"/>
    <w:rsid w:val="00882F47"/>
    <w:rsid w:val="00883B61"/>
    <w:rsid w:val="0088513A"/>
    <w:rsid w:val="008858F0"/>
    <w:rsid w:val="00887512"/>
    <w:rsid w:val="008916EC"/>
    <w:rsid w:val="00891F8B"/>
    <w:rsid w:val="00893381"/>
    <w:rsid w:val="00893C72"/>
    <w:rsid w:val="008951DB"/>
    <w:rsid w:val="00895205"/>
    <w:rsid w:val="00895B56"/>
    <w:rsid w:val="00897125"/>
    <w:rsid w:val="008A5942"/>
    <w:rsid w:val="008A628B"/>
    <w:rsid w:val="008A6398"/>
    <w:rsid w:val="008A668B"/>
    <w:rsid w:val="008A7BE4"/>
    <w:rsid w:val="008B2020"/>
    <w:rsid w:val="008B29F6"/>
    <w:rsid w:val="008B2A53"/>
    <w:rsid w:val="008B40E5"/>
    <w:rsid w:val="008B4DE3"/>
    <w:rsid w:val="008B527A"/>
    <w:rsid w:val="008B7DC8"/>
    <w:rsid w:val="008C4302"/>
    <w:rsid w:val="008C44B9"/>
    <w:rsid w:val="008C48ED"/>
    <w:rsid w:val="008C4C42"/>
    <w:rsid w:val="008C5C38"/>
    <w:rsid w:val="008D160A"/>
    <w:rsid w:val="008D1BDC"/>
    <w:rsid w:val="008D1EDC"/>
    <w:rsid w:val="008D2002"/>
    <w:rsid w:val="008D20D7"/>
    <w:rsid w:val="008D270E"/>
    <w:rsid w:val="008D2A05"/>
    <w:rsid w:val="008D2C61"/>
    <w:rsid w:val="008D516A"/>
    <w:rsid w:val="008D5779"/>
    <w:rsid w:val="008D587F"/>
    <w:rsid w:val="008D730F"/>
    <w:rsid w:val="008E03D4"/>
    <w:rsid w:val="008E16F1"/>
    <w:rsid w:val="008E3EE0"/>
    <w:rsid w:val="008E45BB"/>
    <w:rsid w:val="008E4869"/>
    <w:rsid w:val="008E64A9"/>
    <w:rsid w:val="008E7214"/>
    <w:rsid w:val="008E7636"/>
    <w:rsid w:val="008F0EC8"/>
    <w:rsid w:val="008F1F06"/>
    <w:rsid w:val="008F258F"/>
    <w:rsid w:val="008F27E5"/>
    <w:rsid w:val="008F3B9F"/>
    <w:rsid w:val="008F5EF4"/>
    <w:rsid w:val="008F60C7"/>
    <w:rsid w:val="008F68B9"/>
    <w:rsid w:val="008F7280"/>
    <w:rsid w:val="009002E3"/>
    <w:rsid w:val="00901DBF"/>
    <w:rsid w:val="00902396"/>
    <w:rsid w:val="00902986"/>
    <w:rsid w:val="009029C5"/>
    <w:rsid w:val="00902A5B"/>
    <w:rsid w:val="00903883"/>
    <w:rsid w:val="00904216"/>
    <w:rsid w:val="009059A7"/>
    <w:rsid w:val="00905A23"/>
    <w:rsid w:val="009074F5"/>
    <w:rsid w:val="009077FD"/>
    <w:rsid w:val="00907C68"/>
    <w:rsid w:val="00911B1D"/>
    <w:rsid w:val="00912227"/>
    <w:rsid w:val="009122C2"/>
    <w:rsid w:val="00912F1D"/>
    <w:rsid w:val="009141AA"/>
    <w:rsid w:val="00917433"/>
    <w:rsid w:val="00917A35"/>
    <w:rsid w:val="009229FE"/>
    <w:rsid w:val="00926476"/>
    <w:rsid w:val="00931145"/>
    <w:rsid w:val="00931B3E"/>
    <w:rsid w:val="00932190"/>
    <w:rsid w:val="00932205"/>
    <w:rsid w:val="0093273E"/>
    <w:rsid w:val="009342D8"/>
    <w:rsid w:val="00935042"/>
    <w:rsid w:val="00936180"/>
    <w:rsid w:val="00936AB1"/>
    <w:rsid w:val="00937858"/>
    <w:rsid w:val="009406E4"/>
    <w:rsid w:val="00940805"/>
    <w:rsid w:val="00940FA4"/>
    <w:rsid w:val="0094349B"/>
    <w:rsid w:val="0094407A"/>
    <w:rsid w:val="0094421E"/>
    <w:rsid w:val="009445A7"/>
    <w:rsid w:val="00946B29"/>
    <w:rsid w:val="009503E2"/>
    <w:rsid w:val="009529B4"/>
    <w:rsid w:val="009544F3"/>
    <w:rsid w:val="009552EA"/>
    <w:rsid w:val="00955894"/>
    <w:rsid w:val="00955916"/>
    <w:rsid w:val="00956445"/>
    <w:rsid w:val="0095754D"/>
    <w:rsid w:val="00957815"/>
    <w:rsid w:val="00960154"/>
    <w:rsid w:val="009603FE"/>
    <w:rsid w:val="00962299"/>
    <w:rsid w:val="009622D8"/>
    <w:rsid w:val="0096316B"/>
    <w:rsid w:val="009639F7"/>
    <w:rsid w:val="00965698"/>
    <w:rsid w:val="00965750"/>
    <w:rsid w:val="00966692"/>
    <w:rsid w:val="0096678D"/>
    <w:rsid w:val="00966D74"/>
    <w:rsid w:val="0096748D"/>
    <w:rsid w:val="00967EE3"/>
    <w:rsid w:val="00971433"/>
    <w:rsid w:val="00973C11"/>
    <w:rsid w:val="00973F79"/>
    <w:rsid w:val="00980FAE"/>
    <w:rsid w:val="0098268D"/>
    <w:rsid w:val="009841EE"/>
    <w:rsid w:val="0098478D"/>
    <w:rsid w:val="009849BE"/>
    <w:rsid w:val="0098512F"/>
    <w:rsid w:val="009900E3"/>
    <w:rsid w:val="00991675"/>
    <w:rsid w:val="00991ABF"/>
    <w:rsid w:val="00991C1E"/>
    <w:rsid w:val="00991EB0"/>
    <w:rsid w:val="0099249F"/>
    <w:rsid w:val="00992ECE"/>
    <w:rsid w:val="00993B28"/>
    <w:rsid w:val="00994A8B"/>
    <w:rsid w:val="00994C93"/>
    <w:rsid w:val="00994DAE"/>
    <w:rsid w:val="00994EB0"/>
    <w:rsid w:val="00995BA7"/>
    <w:rsid w:val="00995ECB"/>
    <w:rsid w:val="009960BC"/>
    <w:rsid w:val="009962A0"/>
    <w:rsid w:val="009968DC"/>
    <w:rsid w:val="009A0E61"/>
    <w:rsid w:val="009A14FD"/>
    <w:rsid w:val="009A27CC"/>
    <w:rsid w:val="009A3102"/>
    <w:rsid w:val="009A358E"/>
    <w:rsid w:val="009A3710"/>
    <w:rsid w:val="009A4081"/>
    <w:rsid w:val="009A5154"/>
    <w:rsid w:val="009A6FAE"/>
    <w:rsid w:val="009B0655"/>
    <w:rsid w:val="009B1022"/>
    <w:rsid w:val="009B20BF"/>
    <w:rsid w:val="009B35B1"/>
    <w:rsid w:val="009B44A9"/>
    <w:rsid w:val="009B4842"/>
    <w:rsid w:val="009B4BEF"/>
    <w:rsid w:val="009B5016"/>
    <w:rsid w:val="009B5283"/>
    <w:rsid w:val="009B52F0"/>
    <w:rsid w:val="009C29B7"/>
    <w:rsid w:val="009C3C00"/>
    <w:rsid w:val="009C4B37"/>
    <w:rsid w:val="009C4F7F"/>
    <w:rsid w:val="009C572F"/>
    <w:rsid w:val="009C6400"/>
    <w:rsid w:val="009C6FDB"/>
    <w:rsid w:val="009D126B"/>
    <w:rsid w:val="009D23AF"/>
    <w:rsid w:val="009D5FB5"/>
    <w:rsid w:val="009D6EFD"/>
    <w:rsid w:val="009E1D25"/>
    <w:rsid w:val="009E2154"/>
    <w:rsid w:val="009E2C02"/>
    <w:rsid w:val="009E479C"/>
    <w:rsid w:val="009E50A0"/>
    <w:rsid w:val="009E5273"/>
    <w:rsid w:val="009E5CB4"/>
    <w:rsid w:val="009E68FB"/>
    <w:rsid w:val="009F163F"/>
    <w:rsid w:val="009F27BC"/>
    <w:rsid w:val="009F30D6"/>
    <w:rsid w:val="009F7612"/>
    <w:rsid w:val="009F7F3D"/>
    <w:rsid w:val="00A00062"/>
    <w:rsid w:val="00A00177"/>
    <w:rsid w:val="00A00F8F"/>
    <w:rsid w:val="00A00FA2"/>
    <w:rsid w:val="00A0180E"/>
    <w:rsid w:val="00A06312"/>
    <w:rsid w:val="00A068E9"/>
    <w:rsid w:val="00A115AA"/>
    <w:rsid w:val="00A1436D"/>
    <w:rsid w:val="00A148A5"/>
    <w:rsid w:val="00A15832"/>
    <w:rsid w:val="00A16500"/>
    <w:rsid w:val="00A16C1C"/>
    <w:rsid w:val="00A2012B"/>
    <w:rsid w:val="00A21AAB"/>
    <w:rsid w:val="00A2261E"/>
    <w:rsid w:val="00A234EF"/>
    <w:rsid w:val="00A2373B"/>
    <w:rsid w:val="00A23ABA"/>
    <w:rsid w:val="00A23BF2"/>
    <w:rsid w:val="00A23DAF"/>
    <w:rsid w:val="00A24F9B"/>
    <w:rsid w:val="00A25172"/>
    <w:rsid w:val="00A26EE3"/>
    <w:rsid w:val="00A273DB"/>
    <w:rsid w:val="00A2766A"/>
    <w:rsid w:val="00A27F58"/>
    <w:rsid w:val="00A30896"/>
    <w:rsid w:val="00A31359"/>
    <w:rsid w:val="00A31618"/>
    <w:rsid w:val="00A3373C"/>
    <w:rsid w:val="00A349A6"/>
    <w:rsid w:val="00A34CA7"/>
    <w:rsid w:val="00A37832"/>
    <w:rsid w:val="00A37F6C"/>
    <w:rsid w:val="00A40488"/>
    <w:rsid w:val="00A408F7"/>
    <w:rsid w:val="00A41FCB"/>
    <w:rsid w:val="00A43FE2"/>
    <w:rsid w:val="00A50868"/>
    <w:rsid w:val="00A50AA3"/>
    <w:rsid w:val="00A5286C"/>
    <w:rsid w:val="00A53691"/>
    <w:rsid w:val="00A536DC"/>
    <w:rsid w:val="00A53DAA"/>
    <w:rsid w:val="00A542CA"/>
    <w:rsid w:val="00A54E14"/>
    <w:rsid w:val="00A550A3"/>
    <w:rsid w:val="00A55257"/>
    <w:rsid w:val="00A55659"/>
    <w:rsid w:val="00A57422"/>
    <w:rsid w:val="00A60780"/>
    <w:rsid w:val="00A60C25"/>
    <w:rsid w:val="00A60DA6"/>
    <w:rsid w:val="00A61E95"/>
    <w:rsid w:val="00A62DF0"/>
    <w:rsid w:val="00A63EF0"/>
    <w:rsid w:val="00A64510"/>
    <w:rsid w:val="00A64516"/>
    <w:rsid w:val="00A64573"/>
    <w:rsid w:val="00A6596A"/>
    <w:rsid w:val="00A66237"/>
    <w:rsid w:val="00A71E49"/>
    <w:rsid w:val="00A722FB"/>
    <w:rsid w:val="00A7343C"/>
    <w:rsid w:val="00A73702"/>
    <w:rsid w:val="00A73F0B"/>
    <w:rsid w:val="00A75045"/>
    <w:rsid w:val="00A82651"/>
    <w:rsid w:val="00A831F1"/>
    <w:rsid w:val="00A83867"/>
    <w:rsid w:val="00A83C91"/>
    <w:rsid w:val="00A8462D"/>
    <w:rsid w:val="00A8476E"/>
    <w:rsid w:val="00A84960"/>
    <w:rsid w:val="00A85F0B"/>
    <w:rsid w:val="00A86A18"/>
    <w:rsid w:val="00A8731F"/>
    <w:rsid w:val="00A90213"/>
    <w:rsid w:val="00A91515"/>
    <w:rsid w:val="00A91960"/>
    <w:rsid w:val="00A91AA3"/>
    <w:rsid w:val="00A91FA0"/>
    <w:rsid w:val="00A93596"/>
    <w:rsid w:val="00A9625E"/>
    <w:rsid w:val="00AA0E38"/>
    <w:rsid w:val="00AA10E2"/>
    <w:rsid w:val="00AA26FA"/>
    <w:rsid w:val="00AA4491"/>
    <w:rsid w:val="00AA472B"/>
    <w:rsid w:val="00AA4930"/>
    <w:rsid w:val="00AB2261"/>
    <w:rsid w:val="00AB3DA6"/>
    <w:rsid w:val="00AB742D"/>
    <w:rsid w:val="00AB78D6"/>
    <w:rsid w:val="00AC1D81"/>
    <w:rsid w:val="00AC267A"/>
    <w:rsid w:val="00AC2D93"/>
    <w:rsid w:val="00AC3089"/>
    <w:rsid w:val="00AC4081"/>
    <w:rsid w:val="00AC415A"/>
    <w:rsid w:val="00AC4BDE"/>
    <w:rsid w:val="00AC55F8"/>
    <w:rsid w:val="00AC602D"/>
    <w:rsid w:val="00AD0EF6"/>
    <w:rsid w:val="00AD1907"/>
    <w:rsid w:val="00AD2410"/>
    <w:rsid w:val="00AD4507"/>
    <w:rsid w:val="00AD456B"/>
    <w:rsid w:val="00AD57B3"/>
    <w:rsid w:val="00AD5FE8"/>
    <w:rsid w:val="00AE0A0A"/>
    <w:rsid w:val="00AE105D"/>
    <w:rsid w:val="00AE1743"/>
    <w:rsid w:val="00AE1BC7"/>
    <w:rsid w:val="00AE3BFA"/>
    <w:rsid w:val="00AE59CD"/>
    <w:rsid w:val="00AE72F8"/>
    <w:rsid w:val="00AE7F02"/>
    <w:rsid w:val="00AF00B7"/>
    <w:rsid w:val="00AF2ABE"/>
    <w:rsid w:val="00AF2E05"/>
    <w:rsid w:val="00AF5239"/>
    <w:rsid w:val="00AF6520"/>
    <w:rsid w:val="00AF6C7C"/>
    <w:rsid w:val="00AF78C6"/>
    <w:rsid w:val="00B009D9"/>
    <w:rsid w:val="00B016B1"/>
    <w:rsid w:val="00B040F3"/>
    <w:rsid w:val="00B04B84"/>
    <w:rsid w:val="00B04D21"/>
    <w:rsid w:val="00B0540C"/>
    <w:rsid w:val="00B05945"/>
    <w:rsid w:val="00B05A37"/>
    <w:rsid w:val="00B0665C"/>
    <w:rsid w:val="00B078E7"/>
    <w:rsid w:val="00B101A3"/>
    <w:rsid w:val="00B114BE"/>
    <w:rsid w:val="00B12475"/>
    <w:rsid w:val="00B130B3"/>
    <w:rsid w:val="00B14FE9"/>
    <w:rsid w:val="00B17154"/>
    <w:rsid w:val="00B2037E"/>
    <w:rsid w:val="00B22B78"/>
    <w:rsid w:val="00B235E0"/>
    <w:rsid w:val="00B236B5"/>
    <w:rsid w:val="00B238DC"/>
    <w:rsid w:val="00B2455D"/>
    <w:rsid w:val="00B2587C"/>
    <w:rsid w:val="00B269DC"/>
    <w:rsid w:val="00B27054"/>
    <w:rsid w:val="00B273F0"/>
    <w:rsid w:val="00B27897"/>
    <w:rsid w:val="00B306BC"/>
    <w:rsid w:val="00B31D44"/>
    <w:rsid w:val="00B329CF"/>
    <w:rsid w:val="00B354DC"/>
    <w:rsid w:val="00B35848"/>
    <w:rsid w:val="00B40320"/>
    <w:rsid w:val="00B4086B"/>
    <w:rsid w:val="00B41535"/>
    <w:rsid w:val="00B43AE8"/>
    <w:rsid w:val="00B44306"/>
    <w:rsid w:val="00B44DD6"/>
    <w:rsid w:val="00B44F81"/>
    <w:rsid w:val="00B45183"/>
    <w:rsid w:val="00B46642"/>
    <w:rsid w:val="00B50900"/>
    <w:rsid w:val="00B51AA8"/>
    <w:rsid w:val="00B51B59"/>
    <w:rsid w:val="00B51FA5"/>
    <w:rsid w:val="00B539CB"/>
    <w:rsid w:val="00B544B1"/>
    <w:rsid w:val="00B61B9C"/>
    <w:rsid w:val="00B62E77"/>
    <w:rsid w:val="00B660EB"/>
    <w:rsid w:val="00B66FFE"/>
    <w:rsid w:val="00B706BC"/>
    <w:rsid w:val="00B70A8D"/>
    <w:rsid w:val="00B70E7D"/>
    <w:rsid w:val="00B72AD0"/>
    <w:rsid w:val="00B7380D"/>
    <w:rsid w:val="00B74190"/>
    <w:rsid w:val="00B754E6"/>
    <w:rsid w:val="00B75CBB"/>
    <w:rsid w:val="00B75D32"/>
    <w:rsid w:val="00B76C1D"/>
    <w:rsid w:val="00B7708C"/>
    <w:rsid w:val="00B8011F"/>
    <w:rsid w:val="00B80E9C"/>
    <w:rsid w:val="00B81DF1"/>
    <w:rsid w:val="00B824F0"/>
    <w:rsid w:val="00B8308F"/>
    <w:rsid w:val="00B841F4"/>
    <w:rsid w:val="00B84CF1"/>
    <w:rsid w:val="00B860E0"/>
    <w:rsid w:val="00B87713"/>
    <w:rsid w:val="00B9072E"/>
    <w:rsid w:val="00B91982"/>
    <w:rsid w:val="00B9204B"/>
    <w:rsid w:val="00B93A6A"/>
    <w:rsid w:val="00B93DFC"/>
    <w:rsid w:val="00B9464F"/>
    <w:rsid w:val="00B9540E"/>
    <w:rsid w:val="00B957E1"/>
    <w:rsid w:val="00B95C2C"/>
    <w:rsid w:val="00B96728"/>
    <w:rsid w:val="00B96950"/>
    <w:rsid w:val="00B96DFD"/>
    <w:rsid w:val="00B96E27"/>
    <w:rsid w:val="00B972A1"/>
    <w:rsid w:val="00BA080A"/>
    <w:rsid w:val="00BA4705"/>
    <w:rsid w:val="00BA5784"/>
    <w:rsid w:val="00BA5CEE"/>
    <w:rsid w:val="00BA6195"/>
    <w:rsid w:val="00BA7330"/>
    <w:rsid w:val="00BA7AA0"/>
    <w:rsid w:val="00BB126C"/>
    <w:rsid w:val="00BB3144"/>
    <w:rsid w:val="00BB3C9D"/>
    <w:rsid w:val="00BB4182"/>
    <w:rsid w:val="00BB431C"/>
    <w:rsid w:val="00BB4E05"/>
    <w:rsid w:val="00BB56DE"/>
    <w:rsid w:val="00BB79BC"/>
    <w:rsid w:val="00BC0763"/>
    <w:rsid w:val="00BC2669"/>
    <w:rsid w:val="00BC3057"/>
    <w:rsid w:val="00BC493A"/>
    <w:rsid w:val="00BC4FF2"/>
    <w:rsid w:val="00BC7311"/>
    <w:rsid w:val="00BD14B1"/>
    <w:rsid w:val="00BD14D2"/>
    <w:rsid w:val="00BD27A0"/>
    <w:rsid w:val="00BD4A53"/>
    <w:rsid w:val="00BD4B7A"/>
    <w:rsid w:val="00BD4E28"/>
    <w:rsid w:val="00BD54D7"/>
    <w:rsid w:val="00BD5AE0"/>
    <w:rsid w:val="00BD62A2"/>
    <w:rsid w:val="00BD6924"/>
    <w:rsid w:val="00BE02D4"/>
    <w:rsid w:val="00BE0CB9"/>
    <w:rsid w:val="00BE0EF4"/>
    <w:rsid w:val="00BE13AB"/>
    <w:rsid w:val="00BE2F9B"/>
    <w:rsid w:val="00BE3150"/>
    <w:rsid w:val="00BE36BF"/>
    <w:rsid w:val="00BE3EA1"/>
    <w:rsid w:val="00BE4B19"/>
    <w:rsid w:val="00BE52F1"/>
    <w:rsid w:val="00BE636D"/>
    <w:rsid w:val="00BE7735"/>
    <w:rsid w:val="00BF0842"/>
    <w:rsid w:val="00BF4357"/>
    <w:rsid w:val="00BF447C"/>
    <w:rsid w:val="00BF4A6F"/>
    <w:rsid w:val="00BF6D9D"/>
    <w:rsid w:val="00C00B03"/>
    <w:rsid w:val="00C00D97"/>
    <w:rsid w:val="00C00F68"/>
    <w:rsid w:val="00C01849"/>
    <w:rsid w:val="00C02037"/>
    <w:rsid w:val="00C02D39"/>
    <w:rsid w:val="00C03650"/>
    <w:rsid w:val="00C04352"/>
    <w:rsid w:val="00C0447B"/>
    <w:rsid w:val="00C04745"/>
    <w:rsid w:val="00C04B26"/>
    <w:rsid w:val="00C05B57"/>
    <w:rsid w:val="00C06790"/>
    <w:rsid w:val="00C06EA8"/>
    <w:rsid w:val="00C07795"/>
    <w:rsid w:val="00C123AA"/>
    <w:rsid w:val="00C16A54"/>
    <w:rsid w:val="00C16F16"/>
    <w:rsid w:val="00C20ADD"/>
    <w:rsid w:val="00C22CAA"/>
    <w:rsid w:val="00C23D27"/>
    <w:rsid w:val="00C23DE2"/>
    <w:rsid w:val="00C25331"/>
    <w:rsid w:val="00C25B97"/>
    <w:rsid w:val="00C25D27"/>
    <w:rsid w:val="00C25F44"/>
    <w:rsid w:val="00C26505"/>
    <w:rsid w:val="00C30029"/>
    <w:rsid w:val="00C31B01"/>
    <w:rsid w:val="00C322DA"/>
    <w:rsid w:val="00C34774"/>
    <w:rsid w:val="00C35FA9"/>
    <w:rsid w:val="00C405E2"/>
    <w:rsid w:val="00C407B1"/>
    <w:rsid w:val="00C41DC1"/>
    <w:rsid w:val="00C43647"/>
    <w:rsid w:val="00C50A11"/>
    <w:rsid w:val="00C52A83"/>
    <w:rsid w:val="00C53CD6"/>
    <w:rsid w:val="00C566A7"/>
    <w:rsid w:val="00C57EB3"/>
    <w:rsid w:val="00C65E66"/>
    <w:rsid w:val="00C6705A"/>
    <w:rsid w:val="00C71E49"/>
    <w:rsid w:val="00C72331"/>
    <w:rsid w:val="00C732FA"/>
    <w:rsid w:val="00C74F1A"/>
    <w:rsid w:val="00C75A49"/>
    <w:rsid w:val="00C776E6"/>
    <w:rsid w:val="00C77CF5"/>
    <w:rsid w:val="00C80CB8"/>
    <w:rsid w:val="00C8145E"/>
    <w:rsid w:val="00C835D6"/>
    <w:rsid w:val="00C84B02"/>
    <w:rsid w:val="00C85881"/>
    <w:rsid w:val="00C862BE"/>
    <w:rsid w:val="00C865B9"/>
    <w:rsid w:val="00C90B22"/>
    <w:rsid w:val="00C9192C"/>
    <w:rsid w:val="00C91D6D"/>
    <w:rsid w:val="00C92500"/>
    <w:rsid w:val="00C927CF"/>
    <w:rsid w:val="00C93512"/>
    <w:rsid w:val="00C9358D"/>
    <w:rsid w:val="00C94569"/>
    <w:rsid w:val="00C96721"/>
    <w:rsid w:val="00CA01C3"/>
    <w:rsid w:val="00CA02ED"/>
    <w:rsid w:val="00CA1A8C"/>
    <w:rsid w:val="00CA1EF3"/>
    <w:rsid w:val="00CA2028"/>
    <w:rsid w:val="00CA238F"/>
    <w:rsid w:val="00CA2776"/>
    <w:rsid w:val="00CA3741"/>
    <w:rsid w:val="00CA4788"/>
    <w:rsid w:val="00CA5BFB"/>
    <w:rsid w:val="00CA5D38"/>
    <w:rsid w:val="00CA6745"/>
    <w:rsid w:val="00CB03D2"/>
    <w:rsid w:val="00CB187B"/>
    <w:rsid w:val="00CB1D5F"/>
    <w:rsid w:val="00CB1FC5"/>
    <w:rsid w:val="00CB2186"/>
    <w:rsid w:val="00CB248E"/>
    <w:rsid w:val="00CB2FEF"/>
    <w:rsid w:val="00CB3554"/>
    <w:rsid w:val="00CB35CB"/>
    <w:rsid w:val="00CB3BE6"/>
    <w:rsid w:val="00CB67C4"/>
    <w:rsid w:val="00CB6836"/>
    <w:rsid w:val="00CB6A3A"/>
    <w:rsid w:val="00CC0433"/>
    <w:rsid w:val="00CC358C"/>
    <w:rsid w:val="00CC3DC1"/>
    <w:rsid w:val="00CC5034"/>
    <w:rsid w:val="00CC5C88"/>
    <w:rsid w:val="00CC5E07"/>
    <w:rsid w:val="00CC6632"/>
    <w:rsid w:val="00CC73AA"/>
    <w:rsid w:val="00CD0B97"/>
    <w:rsid w:val="00CD4AE2"/>
    <w:rsid w:val="00CD4F63"/>
    <w:rsid w:val="00CD599C"/>
    <w:rsid w:val="00CD69A2"/>
    <w:rsid w:val="00CD6A6A"/>
    <w:rsid w:val="00CD7942"/>
    <w:rsid w:val="00CE022C"/>
    <w:rsid w:val="00CE068E"/>
    <w:rsid w:val="00CE08B7"/>
    <w:rsid w:val="00CE0A8D"/>
    <w:rsid w:val="00CE161F"/>
    <w:rsid w:val="00CE1E9D"/>
    <w:rsid w:val="00CE3C0A"/>
    <w:rsid w:val="00CE4F18"/>
    <w:rsid w:val="00CE517C"/>
    <w:rsid w:val="00CE56D9"/>
    <w:rsid w:val="00CE6F01"/>
    <w:rsid w:val="00CE71E1"/>
    <w:rsid w:val="00CE72CF"/>
    <w:rsid w:val="00CF1B02"/>
    <w:rsid w:val="00CF2FDB"/>
    <w:rsid w:val="00CF360A"/>
    <w:rsid w:val="00CF39FA"/>
    <w:rsid w:val="00CF418B"/>
    <w:rsid w:val="00CF5935"/>
    <w:rsid w:val="00CF5D75"/>
    <w:rsid w:val="00CF700B"/>
    <w:rsid w:val="00D0132F"/>
    <w:rsid w:val="00D03626"/>
    <w:rsid w:val="00D036CD"/>
    <w:rsid w:val="00D037DC"/>
    <w:rsid w:val="00D06C7E"/>
    <w:rsid w:val="00D06F99"/>
    <w:rsid w:val="00D073B7"/>
    <w:rsid w:val="00D07B12"/>
    <w:rsid w:val="00D10306"/>
    <w:rsid w:val="00D1065F"/>
    <w:rsid w:val="00D124A8"/>
    <w:rsid w:val="00D13591"/>
    <w:rsid w:val="00D15789"/>
    <w:rsid w:val="00D165E7"/>
    <w:rsid w:val="00D17E43"/>
    <w:rsid w:val="00D2060A"/>
    <w:rsid w:val="00D20C3C"/>
    <w:rsid w:val="00D220BC"/>
    <w:rsid w:val="00D228E8"/>
    <w:rsid w:val="00D23F20"/>
    <w:rsid w:val="00D2431F"/>
    <w:rsid w:val="00D2543A"/>
    <w:rsid w:val="00D26FDF"/>
    <w:rsid w:val="00D2719E"/>
    <w:rsid w:val="00D277FF"/>
    <w:rsid w:val="00D27C6C"/>
    <w:rsid w:val="00D30A2D"/>
    <w:rsid w:val="00D31B88"/>
    <w:rsid w:val="00D3210B"/>
    <w:rsid w:val="00D33126"/>
    <w:rsid w:val="00D33F76"/>
    <w:rsid w:val="00D3430E"/>
    <w:rsid w:val="00D3434D"/>
    <w:rsid w:val="00D359F1"/>
    <w:rsid w:val="00D35B47"/>
    <w:rsid w:val="00D400E7"/>
    <w:rsid w:val="00D40E9F"/>
    <w:rsid w:val="00D41016"/>
    <w:rsid w:val="00D43639"/>
    <w:rsid w:val="00D43DB1"/>
    <w:rsid w:val="00D43DF1"/>
    <w:rsid w:val="00D4525F"/>
    <w:rsid w:val="00D502E2"/>
    <w:rsid w:val="00D50C9D"/>
    <w:rsid w:val="00D5145A"/>
    <w:rsid w:val="00D51B08"/>
    <w:rsid w:val="00D53AE3"/>
    <w:rsid w:val="00D55502"/>
    <w:rsid w:val="00D55503"/>
    <w:rsid w:val="00D55AD6"/>
    <w:rsid w:val="00D578AC"/>
    <w:rsid w:val="00D62CE6"/>
    <w:rsid w:val="00D63456"/>
    <w:rsid w:val="00D64FD5"/>
    <w:rsid w:val="00D65514"/>
    <w:rsid w:val="00D67B0F"/>
    <w:rsid w:val="00D7028E"/>
    <w:rsid w:val="00D7053F"/>
    <w:rsid w:val="00D71645"/>
    <w:rsid w:val="00D71DDF"/>
    <w:rsid w:val="00D727A7"/>
    <w:rsid w:val="00D763D5"/>
    <w:rsid w:val="00D76464"/>
    <w:rsid w:val="00D77A75"/>
    <w:rsid w:val="00D806D7"/>
    <w:rsid w:val="00D81989"/>
    <w:rsid w:val="00D81F03"/>
    <w:rsid w:val="00D82F07"/>
    <w:rsid w:val="00D83B1A"/>
    <w:rsid w:val="00D85BAB"/>
    <w:rsid w:val="00D905DD"/>
    <w:rsid w:val="00D9075E"/>
    <w:rsid w:val="00D9223A"/>
    <w:rsid w:val="00D961B5"/>
    <w:rsid w:val="00D978C8"/>
    <w:rsid w:val="00DA26FE"/>
    <w:rsid w:val="00DA2906"/>
    <w:rsid w:val="00DA40E2"/>
    <w:rsid w:val="00DA6072"/>
    <w:rsid w:val="00DB082F"/>
    <w:rsid w:val="00DB1099"/>
    <w:rsid w:val="00DB2049"/>
    <w:rsid w:val="00DB375D"/>
    <w:rsid w:val="00DB3984"/>
    <w:rsid w:val="00DB4D9D"/>
    <w:rsid w:val="00DB5C0D"/>
    <w:rsid w:val="00DB650F"/>
    <w:rsid w:val="00DB651B"/>
    <w:rsid w:val="00DB7EB8"/>
    <w:rsid w:val="00DC0E92"/>
    <w:rsid w:val="00DC30AE"/>
    <w:rsid w:val="00DC4122"/>
    <w:rsid w:val="00DC6BC1"/>
    <w:rsid w:val="00DC793C"/>
    <w:rsid w:val="00DD08C1"/>
    <w:rsid w:val="00DD0F4D"/>
    <w:rsid w:val="00DD198F"/>
    <w:rsid w:val="00DD1AE2"/>
    <w:rsid w:val="00DD2A01"/>
    <w:rsid w:val="00DD3566"/>
    <w:rsid w:val="00DD4FFC"/>
    <w:rsid w:val="00DD6FE6"/>
    <w:rsid w:val="00DE0F35"/>
    <w:rsid w:val="00DE2BA0"/>
    <w:rsid w:val="00DE3079"/>
    <w:rsid w:val="00DE3893"/>
    <w:rsid w:val="00DE49E1"/>
    <w:rsid w:val="00DE4EB6"/>
    <w:rsid w:val="00DE526A"/>
    <w:rsid w:val="00DE5C56"/>
    <w:rsid w:val="00DE61CE"/>
    <w:rsid w:val="00DF14B8"/>
    <w:rsid w:val="00DF2BF3"/>
    <w:rsid w:val="00DF3359"/>
    <w:rsid w:val="00DF425C"/>
    <w:rsid w:val="00DF4D77"/>
    <w:rsid w:val="00DF4DE7"/>
    <w:rsid w:val="00DF6019"/>
    <w:rsid w:val="00DF6EC9"/>
    <w:rsid w:val="00DF728E"/>
    <w:rsid w:val="00E0096E"/>
    <w:rsid w:val="00E01B07"/>
    <w:rsid w:val="00E01BF9"/>
    <w:rsid w:val="00E01EE4"/>
    <w:rsid w:val="00E01F98"/>
    <w:rsid w:val="00E022AD"/>
    <w:rsid w:val="00E02616"/>
    <w:rsid w:val="00E0267C"/>
    <w:rsid w:val="00E0357B"/>
    <w:rsid w:val="00E04081"/>
    <w:rsid w:val="00E04B77"/>
    <w:rsid w:val="00E0534D"/>
    <w:rsid w:val="00E05E7A"/>
    <w:rsid w:val="00E060AC"/>
    <w:rsid w:val="00E10899"/>
    <w:rsid w:val="00E114D2"/>
    <w:rsid w:val="00E13743"/>
    <w:rsid w:val="00E14D89"/>
    <w:rsid w:val="00E16AC8"/>
    <w:rsid w:val="00E216F5"/>
    <w:rsid w:val="00E233DE"/>
    <w:rsid w:val="00E27103"/>
    <w:rsid w:val="00E32E17"/>
    <w:rsid w:val="00E32ED5"/>
    <w:rsid w:val="00E33014"/>
    <w:rsid w:val="00E33264"/>
    <w:rsid w:val="00E33A41"/>
    <w:rsid w:val="00E3413F"/>
    <w:rsid w:val="00E35E18"/>
    <w:rsid w:val="00E36A49"/>
    <w:rsid w:val="00E3780D"/>
    <w:rsid w:val="00E37839"/>
    <w:rsid w:val="00E415E1"/>
    <w:rsid w:val="00E41DB2"/>
    <w:rsid w:val="00E42050"/>
    <w:rsid w:val="00E423C8"/>
    <w:rsid w:val="00E43214"/>
    <w:rsid w:val="00E432C4"/>
    <w:rsid w:val="00E44CFC"/>
    <w:rsid w:val="00E45805"/>
    <w:rsid w:val="00E47259"/>
    <w:rsid w:val="00E50659"/>
    <w:rsid w:val="00E507B8"/>
    <w:rsid w:val="00E514D4"/>
    <w:rsid w:val="00E5240D"/>
    <w:rsid w:val="00E52DE9"/>
    <w:rsid w:val="00E53853"/>
    <w:rsid w:val="00E55A08"/>
    <w:rsid w:val="00E56E2E"/>
    <w:rsid w:val="00E5779F"/>
    <w:rsid w:val="00E617F5"/>
    <w:rsid w:val="00E620DC"/>
    <w:rsid w:val="00E63B28"/>
    <w:rsid w:val="00E63BFC"/>
    <w:rsid w:val="00E6409B"/>
    <w:rsid w:val="00E65499"/>
    <w:rsid w:val="00E65D29"/>
    <w:rsid w:val="00E66122"/>
    <w:rsid w:val="00E66A4A"/>
    <w:rsid w:val="00E677AA"/>
    <w:rsid w:val="00E70B6A"/>
    <w:rsid w:val="00E7130C"/>
    <w:rsid w:val="00E73C38"/>
    <w:rsid w:val="00E740E6"/>
    <w:rsid w:val="00E74CEF"/>
    <w:rsid w:val="00E769D3"/>
    <w:rsid w:val="00E77157"/>
    <w:rsid w:val="00E77581"/>
    <w:rsid w:val="00E820CC"/>
    <w:rsid w:val="00E827E7"/>
    <w:rsid w:val="00E83DEE"/>
    <w:rsid w:val="00E84115"/>
    <w:rsid w:val="00E841C7"/>
    <w:rsid w:val="00E84ACA"/>
    <w:rsid w:val="00E87275"/>
    <w:rsid w:val="00E91F32"/>
    <w:rsid w:val="00E9223D"/>
    <w:rsid w:val="00E948E8"/>
    <w:rsid w:val="00E94E3D"/>
    <w:rsid w:val="00E95C48"/>
    <w:rsid w:val="00E962EA"/>
    <w:rsid w:val="00E96892"/>
    <w:rsid w:val="00E96974"/>
    <w:rsid w:val="00E96C26"/>
    <w:rsid w:val="00EA01D6"/>
    <w:rsid w:val="00EA0718"/>
    <w:rsid w:val="00EA11B7"/>
    <w:rsid w:val="00EA21AC"/>
    <w:rsid w:val="00EA2305"/>
    <w:rsid w:val="00EA4C0B"/>
    <w:rsid w:val="00EA5B84"/>
    <w:rsid w:val="00EA63EC"/>
    <w:rsid w:val="00EA6F34"/>
    <w:rsid w:val="00EB133D"/>
    <w:rsid w:val="00EB2B03"/>
    <w:rsid w:val="00EB5A0E"/>
    <w:rsid w:val="00EC0565"/>
    <w:rsid w:val="00EC4BC7"/>
    <w:rsid w:val="00EC6CD9"/>
    <w:rsid w:val="00EC6FC6"/>
    <w:rsid w:val="00ED03A0"/>
    <w:rsid w:val="00ED1016"/>
    <w:rsid w:val="00ED3765"/>
    <w:rsid w:val="00ED37B7"/>
    <w:rsid w:val="00ED4382"/>
    <w:rsid w:val="00ED5FE4"/>
    <w:rsid w:val="00ED6BB3"/>
    <w:rsid w:val="00ED72A5"/>
    <w:rsid w:val="00ED731A"/>
    <w:rsid w:val="00EE091E"/>
    <w:rsid w:val="00EE1308"/>
    <w:rsid w:val="00EE2697"/>
    <w:rsid w:val="00EE3430"/>
    <w:rsid w:val="00EE4F8F"/>
    <w:rsid w:val="00EE56D3"/>
    <w:rsid w:val="00EE6124"/>
    <w:rsid w:val="00EE6196"/>
    <w:rsid w:val="00EE683F"/>
    <w:rsid w:val="00EF0DB0"/>
    <w:rsid w:val="00EF29EF"/>
    <w:rsid w:val="00EF3D58"/>
    <w:rsid w:val="00EF69D1"/>
    <w:rsid w:val="00EF6EC0"/>
    <w:rsid w:val="00F010E9"/>
    <w:rsid w:val="00F01419"/>
    <w:rsid w:val="00F020F1"/>
    <w:rsid w:val="00F02D7D"/>
    <w:rsid w:val="00F036ED"/>
    <w:rsid w:val="00F03DAD"/>
    <w:rsid w:val="00F052F8"/>
    <w:rsid w:val="00F055CB"/>
    <w:rsid w:val="00F0714E"/>
    <w:rsid w:val="00F074C1"/>
    <w:rsid w:val="00F10786"/>
    <w:rsid w:val="00F1139C"/>
    <w:rsid w:val="00F114BD"/>
    <w:rsid w:val="00F13AC6"/>
    <w:rsid w:val="00F13D75"/>
    <w:rsid w:val="00F13DAC"/>
    <w:rsid w:val="00F1424C"/>
    <w:rsid w:val="00F1443B"/>
    <w:rsid w:val="00F155FD"/>
    <w:rsid w:val="00F16858"/>
    <w:rsid w:val="00F17B2C"/>
    <w:rsid w:val="00F20DC5"/>
    <w:rsid w:val="00F222D5"/>
    <w:rsid w:val="00F25E59"/>
    <w:rsid w:val="00F26548"/>
    <w:rsid w:val="00F26C67"/>
    <w:rsid w:val="00F2715B"/>
    <w:rsid w:val="00F271A7"/>
    <w:rsid w:val="00F27376"/>
    <w:rsid w:val="00F27BBA"/>
    <w:rsid w:val="00F27CFF"/>
    <w:rsid w:val="00F3009C"/>
    <w:rsid w:val="00F30E37"/>
    <w:rsid w:val="00F33378"/>
    <w:rsid w:val="00F343EB"/>
    <w:rsid w:val="00F34A96"/>
    <w:rsid w:val="00F35E6F"/>
    <w:rsid w:val="00F36261"/>
    <w:rsid w:val="00F3628E"/>
    <w:rsid w:val="00F3649A"/>
    <w:rsid w:val="00F41965"/>
    <w:rsid w:val="00F42A45"/>
    <w:rsid w:val="00F43FAD"/>
    <w:rsid w:val="00F44F41"/>
    <w:rsid w:val="00F45987"/>
    <w:rsid w:val="00F468B7"/>
    <w:rsid w:val="00F47583"/>
    <w:rsid w:val="00F502C0"/>
    <w:rsid w:val="00F505BD"/>
    <w:rsid w:val="00F5333F"/>
    <w:rsid w:val="00F54003"/>
    <w:rsid w:val="00F543C0"/>
    <w:rsid w:val="00F545E4"/>
    <w:rsid w:val="00F56E0B"/>
    <w:rsid w:val="00F57241"/>
    <w:rsid w:val="00F60812"/>
    <w:rsid w:val="00F61914"/>
    <w:rsid w:val="00F623C3"/>
    <w:rsid w:val="00F62CC9"/>
    <w:rsid w:val="00F63779"/>
    <w:rsid w:val="00F637A5"/>
    <w:rsid w:val="00F643D8"/>
    <w:rsid w:val="00F6465B"/>
    <w:rsid w:val="00F64F44"/>
    <w:rsid w:val="00F65628"/>
    <w:rsid w:val="00F65EB7"/>
    <w:rsid w:val="00F67245"/>
    <w:rsid w:val="00F676DE"/>
    <w:rsid w:val="00F702B9"/>
    <w:rsid w:val="00F711CB"/>
    <w:rsid w:val="00F71A61"/>
    <w:rsid w:val="00F72874"/>
    <w:rsid w:val="00F72BDC"/>
    <w:rsid w:val="00F73380"/>
    <w:rsid w:val="00F74114"/>
    <w:rsid w:val="00F7482D"/>
    <w:rsid w:val="00F749B0"/>
    <w:rsid w:val="00F75338"/>
    <w:rsid w:val="00F765E3"/>
    <w:rsid w:val="00F80589"/>
    <w:rsid w:val="00F80E9F"/>
    <w:rsid w:val="00F84451"/>
    <w:rsid w:val="00F8493E"/>
    <w:rsid w:val="00F85CE3"/>
    <w:rsid w:val="00F8604F"/>
    <w:rsid w:val="00F86129"/>
    <w:rsid w:val="00F86966"/>
    <w:rsid w:val="00F869CB"/>
    <w:rsid w:val="00F87444"/>
    <w:rsid w:val="00F8767B"/>
    <w:rsid w:val="00F9000C"/>
    <w:rsid w:val="00F90082"/>
    <w:rsid w:val="00F91944"/>
    <w:rsid w:val="00F92DD9"/>
    <w:rsid w:val="00F93C75"/>
    <w:rsid w:val="00F94357"/>
    <w:rsid w:val="00F94622"/>
    <w:rsid w:val="00F95D6B"/>
    <w:rsid w:val="00F96230"/>
    <w:rsid w:val="00F96750"/>
    <w:rsid w:val="00F9675D"/>
    <w:rsid w:val="00F96901"/>
    <w:rsid w:val="00FA0570"/>
    <w:rsid w:val="00FA1A33"/>
    <w:rsid w:val="00FA20BB"/>
    <w:rsid w:val="00FA2E46"/>
    <w:rsid w:val="00FA44D7"/>
    <w:rsid w:val="00FA63BE"/>
    <w:rsid w:val="00FB02EE"/>
    <w:rsid w:val="00FB0318"/>
    <w:rsid w:val="00FB07E3"/>
    <w:rsid w:val="00FB2896"/>
    <w:rsid w:val="00FB3671"/>
    <w:rsid w:val="00FB3758"/>
    <w:rsid w:val="00FB4D99"/>
    <w:rsid w:val="00FB6BA8"/>
    <w:rsid w:val="00FB711F"/>
    <w:rsid w:val="00FC0156"/>
    <w:rsid w:val="00FC096C"/>
    <w:rsid w:val="00FC098F"/>
    <w:rsid w:val="00FC199D"/>
    <w:rsid w:val="00FC251F"/>
    <w:rsid w:val="00FC2E5C"/>
    <w:rsid w:val="00FC4115"/>
    <w:rsid w:val="00FC5AE2"/>
    <w:rsid w:val="00FC6A61"/>
    <w:rsid w:val="00FC7704"/>
    <w:rsid w:val="00FD061B"/>
    <w:rsid w:val="00FD1B8C"/>
    <w:rsid w:val="00FD1B8E"/>
    <w:rsid w:val="00FD1DD3"/>
    <w:rsid w:val="00FD1F0A"/>
    <w:rsid w:val="00FD34DD"/>
    <w:rsid w:val="00FD4363"/>
    <w:rsid w:val="00FD576A"/>
    <w:rsid w:val="00FD6588"/>
    <w:rsid w:val="00FD7058"/>
    <w:rsid w:val="00FD722F"/>
    <w:rsid w:val="00FD7A51"/>
    <w:rsid w:val="00FD7B0D"/>
    <w:rsid w:val="00FE094A"/>
    <w:rsid w:val="00FE3CDC"/>
    <w:rsid w:val="00FE4F58"/>
    <w:rsid w:val="00FE60C8"/>
    <w:rsid w:val="00FE6473"/>
    <w:rsid w:val="00FE662A"/>
    <w:rsid w:val="00FE6C92"/>
    <w:rsid w:val="00FE7EBC"/>
    <w:rsid w:val="00FF0172"/>
    <w:rsid w:val="00FF15C6"/>
    <w:rsid w:val="00FF38A3"/>
    <w:rsid w:val="00FF3E4C"/>
    <w:rsid w:val="00FF478F"/>
    <w:rsid w:val="00FF5C7A"/>
    <w:rsid w:val="00FF5E3A"/>
    <w:rsid w:val="00FF67F5"/>
    <w:rsid w:val="00FF6A67"/>
    <w:rsid w:val="00FF6CB6"/>
    <w:rsid w:val="00FF7AB9"/>
    <w:rsid w:val="00FF7FF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AC4081"/>
    <w:pPr>
      <w:spacing w:line="276" w:lineRule="auto"/>
      <w:ind w:firstLine="567"/>
      <w:jc w:val="both"/>
    </w:pPr>
  </w:style>
  <w:style w:type="character" w:customStyle="1" w:styleId="ATpamattekstsChar">
    <w:name w:val="AT pamatteksts Char"/>
    <w:basedOn w:val="DefaultParagraphFont"/>
    <w:link w:val="ATpamatteksts"/>
    <w:rsid w:val="00AC4081"/>
    <w:rPr>
      <w:rFonts w:eastAsia="Times New Roman" w:cs="Times New Roman"/>
      <w:szCs w:val="24"/>
      <w:lang w:eastAsia="ru-RU"/>
    </w:rPr>
  </w:style>
  <w:style w:type="table" w:styleId="TableGrid">
    <w:name w:val="Table Grid"/>
    <w:basedOn w:val="TableNormal"/>
    <w:uiPriority w:val="39"/>
    <w:rsid w:val="0080435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545E4"/>
    <w:rPr>
      <w:color w:val="0000FF"/>
      <w:u w:val="single"/>
    </w:rPr>
  </w:style>
  <w:style w:type="paragraph" w:customStyle="1" w:styleId="tv213">
    <w:name w:val="tv213"/>
    <w:basedOn w:val="Normal"/>
    <w:rsid w:val="00BE02D4"/>
    <w:pPr>
      <w:spacing w:before="100" w:beforeAutospacing="1" w:after="100" w:afterAutospacing="1"/>
    </w:pPr>
    <w:rPr>
      <w:lang w:eastAsia="lv-LV"/>
    </w:rPr>
  </w:style>
  <w:style w:type="character" w:customStyle="1" w:styleId="fontsize2">
    <w:name w:val="fontsize2"/>
    <w:basedOn w:val="DefaultParagraphFont"/>
    <w:rsid w:val="00BE02D4"/>
  </w:style>
  <w:style w:type="paragraph" w:styleId="NormalWeb">
    <w:name w:val="Normal (Web)"/>
    <w:basedOn w:val="Normal"/>
    <w:uiPriority w:val="99"/>
    <w:unhideWhenUsed/>
    <w:rsid w:val="0088513A"/>
    <w:pPr>
      <w:spacing w:before="100" w:beforeAutospacing="1" w:after="100" w:afterAutospacing="1"/>
    </w:pPr>
    <w:rPr>
      <w:lang w:eastAsia="lv-LV"/>
    </w:rPr>
  </w:style>
  <w:style w:type="paragraph" w:customStyle="1" w:styleId="labojumupamats">
    <w:name w:val="labojumu_pamats"/>
    <w:basedOn w:val="Normal"/>
    <w:rsid w:val="0040375C"/>
    <w:pPr>
      <w:spacing w:before="100" w:beforeAutospacing="1" w:after="100" w:afterAutospacing="1"/>
    </w:pPr>
    <w:rPr>
      <w:lang w:eastAsia="lv-LV"/>
    </w:rPr>
  </w:style>
  <w:style w:type="paragraph" w:styleId="ListParagraph">
    <w:name w:val="List Paragraph"/>
    <w:basedOn w:val="Normal"/>
    <w:uiPriority w:val="1"/>
    <w:qFormat/>
    <w:rsid w:val="00DA40E2"/>
    <w:pPr>
      <w:ind w:left="720"/>
      <w:contextualSpacing/>
    </w:pPr>
  </w:style>
  <w:style w:type="paragraph" w:customStyle="1" w:styleId="doc-ti">
    <w:name w:val="doc-ti"/>
    <w:basedOn w:val="Normal"/>
    <w:rsid w:val="007B54AD"/>
    <w:pPr>
      <w:spacing w:before="100" w:beforeAutospacing="1" w:after="100" w:afterAutospacing="1"/>
    </w:pPr>
    <w:rPr>
      <w:lang w:val="en-US" w:eastAsia="en-US"/>
    </w:rPr>
  </w:style>
  <w:style w:type="character" w:styleId="Strong">
    <w:name w:val="Strong"/>
    <w:basedOn w:val="DefaultParagraphFont"/>
    <w:uiPriority w:val="22"/>
    <w:qFormat/>
    <w:rsid w:val="00DC6BC1"/>
    <w:rPr>
      <w:b/>
      <w:bCs/>
    </w:rPr>
  </w:style>
  <w:style w:type="paragraph" w:customStyle="1" w:styleId="Normal1">
    <w:name w:val="Normal1"/>
    <w:basedOn w:val="Normal"/>
    <w:rsid w:val="00661B15"/>
    <w:pPr>
      <w:spacing w:before="100" w:beforeAutospacing="1" w:after="100" w:afterAutospacing="1"/>
    </w:pPr>
    <w:rPr>
      <w:lang w:val="en-US" w:eastAsia="en-US"/>
    </w:rPr>
  </w:style>
  <w:style w:type="paragraph" w:customStyle="1" w:styleId="ti-section-2">
    <w:name w:val="ti-section-2"/>
    <w:basedOn w:val="Normal"/>
    <w:rsid w:val="00661B15"/>
    <w:pPr>
      <w:spacing w:before="100" w:beforeAutospacing="1" w:after="100" w:afterAutospacing="1"/>
    </w:pPr>
    <w:rPr>
      <w:lang w:val="en-US" w:eastAsia="en-US"/>
    </w:rPr>
  </w:style>
  <w:style w:type="character" w:customStyle="1" w:styleId="expanded">
    <w:name w:val="expanded"/>
    <w:basedOn w:val="DefaultParagraphFont"/>
    <w:rsid w:val="00661B15"/>
  </w:style>
  <w:style w:type="paragraph" w:customStyle="1" w:styleId="ti-art">
    <w:name w:val="ti-art"/>
    <w:basedOn w:val="Normal"/>
    <w:rsid w:val="00661B15"/>
    <w:pPr>
      <w:spacing w:before="100" w:beforeAutospacing="1" w:after="100" w:afterAutospacing="1"/>
    </w:pPr>
    <w:rPr>
      <w:lang w:val="en-US" w:eastAsia="en-US"/>
    </w:rPr>
  </w:style>
  <w:style w:type="paragraph" w:customStyle="1" w:styleId="sti-art">
    <w:name w:val="sti-art"/>
    <w:basedOn w:val="Normal"/>
    <w:rsid w:val="00661B15"/>
    <w:pPr>
      <w:spacing w:before="100" w:beforeAutospacing="1" w:after="100" w:afterAutospacing="1"/>
    </w:pPr>
    <w:rPr>
      <w:lang w:val="en-US" w:eastAsia="en-US"/>
    </w:rPr>
  </w:style>
  <w:style w:type="paragraph" w:customStyle="1" w:styleId="c01pointnumerotealtn">
    <w:name w:val="c01pointnumerotealtn"/>
    <w:basedOn w:val="Normal"/>
    <w:rsid w:val="00B12475"/>
    <w:pPr>
      <w:spacing w:before="100" w:beforeAutospacing="1" w:after="100" w:afterAutospacing="1"/>
    </w:pPr>
    <w:rPr>
      <w:lang w:val="en-US" w:eastAsia="en-US"/>
    </w:rPr>
  </w:style>
  <w:style w:type="paragraph" w:customStyle="1" w:styleId="Standard">
    <w:name w:val="Standard"/>
    <w:rsid w:val="00557FB2"/>
    <w:pPr>
      <w:widowControl w:val="0"/>
      <w:suppressAutoHyphens/>
      <w:autoSpaceDN w:val="0"/>
      <w:spacing w:after="0" w:line="240" w:lineRule="auto"/>
      <w:jc w:val="both"/>
      <w:textAlignment w:val="baseline"/>
    </w:pPr>
    <w:rPr>
      <w:rFonts w:eastAsia="Cambria Math" w:cs="Lucida Sans Unicode"/>
      <w:kern w:val="3"/>
      <w:szCs w:val="24"/>
      <w:lang w:eastAsia="lv-LV"/>
    </w:rPr>
  </w:style>
  <w:style w:type="character" w:customStyle="1" w:styleId="markedcontent">
    <w:name w:val="markedcontent"/>
    <w:basedOn w:val="DefaultParagraphFont"/>
    <w:rsid w:val="00557FB2"/>
  </w:style>
  <w:style w:type="paragraph" w:customStyle="1" w:styleId="RixL2">
    <w:name w:val="Rix_L2"/>
    <w:basedOn w:val="Normal"/>
    <w:link w:val="RixL2Char"/>
    <w:qFormat/>
    <w:rsid w:val="00C01849"/>
    <w:pPr>
      <w:tabs>
        <w:tab w:val="left" w:pos="990"/>
        <w:tab w:val="left" w:pos="1080"/>
        <w:tab w:val="left" w:pos="1170"/>
      </w:tabs>
      <w:spacing w:before="120" w:after="120"/>
      <w:ind w:left="709" w:hanging="709"/>
      <w:jc w:val="both"/>
    </w:pPr>
    <w:rPr>
      <w:rFonts w:eastAsiaTheme="minorHAnsi"/>
      <w:sz w:val="22"/>
      <w:szCs w:val="22"/>
      <w:lang w:eastAsia="en-US"/>
    </w:rPr>
  </w:style>
  <w:style w:type="paragraph" w:customStyle="1" w:styleId="RixL4">
    <w:name w:val="Rix_L4"/>
    <w:basedOn w:val="Normal"/>
    <w:qFormat/>
    <w:rsid w:val="00C01849"/>
    <w:pPr>
      <w:spacing w:before="120" w:after="120"/>
      <w:ind w:left="1560" w:hanging="851"/>
      <w:jc w:val="both"/>
    </w:pPr>
    <w:rPr>
      <w:rFonts w:eastAsiaTheme="minorHAnsi" w:cstheme="minorBidi"/>
      <w:sz w:val="22"/>
      <w:szCs w:val="20"/>
      <w:lang w:eastAsia="en-US"/>
    </w:rPr>
  </w:style>
  <w:style w:type="character" w:customStyle="1" w:styleId="RixL2Char">
    <w:name w:val="Rix_L2 Char"/>
    <w:basedOn w:val="DefaultParagraphFont"/>
    <w:link w:val="RixL2"/>
    <w:rsid w:val="00C01849"/>
    <w:rPr>
      <w:rFonts w:cs="Times New Roman"/>
      <w:sz w:val="22"/>
    </w:rPr>
  </w:style>
  <w:style w:type="paragraph" w:styleId="FootnoteText">
    <w:name w:val="footnote text"/>
    <w:aliases w:val="Footnote reference,FA Fu,Footnote Text Char Char Char Char Char,Footnote Text Char Char Char Char,Footnote Text Char Char Char,Fußnotentext Char,Fußnotentext Char1 Char1,Fußnotentext Char Char Char1,Fußnotentext Char2 Char Char Char"/>
    <w:basedOn w:val="Normal"/>
    <w:link w:val="FootnoteTextChar"/>
    <w:unhideWhenUsed/>
    <w:rsid w:val="00C01849"/>
    <w:rPr>
      <w:rFonts w:ascii="Arial" w:eastAsiaTheme="minorHAnsi" w:hAnsi="Arial" w:cstheme="minorBidi"/>
      <w:sz w:val="20"/>
      <w:szCs w:val="20"/>
      <w:lang w:eastAsia="en-US"/>
    </w:rPr>
  </w:style>
  <w:style w:type="character" w:customStyle="1" w:styleId="FootnoteTextChar">
    <w:name w:val="Footnote Text Char"/>
    <w:aliases w:val="Footnote reference Char,FA Fu Char,Footnote Text Char Char Char Char Char Char,Footnote Text Char Char Char Char Char1,Footnote Text Char Char Char Char1,Fußnotentext Char Char,Fußnotentext Char1 Char1 Char"/>
    <w:basedOn w:val="DefaultParagraphFont"/>
    <w:link w:val="FootnoteText"/>
    <w:rsid w:val="00C01849"/>
    <w:rPr>
      <w:rFonts w:ascii="Arial" w:hAnsi="Arial"/>
      <w:sz w:val="20"/>
      <w:szCs w:val="20"/>
    </w:rPr>
  </w:style>
  <w:style w:type="character" w:styleId="FootnoteReference">
    <w:name w:val="footnote reference"/>
    <w:aliases w:val="SUPERS,Footnote reference number,Footnote symbol,note TESI,EN Footnote Reference,stylish,BVI fnr,Footnote,Times 10 Point,Exposant 3 Point,Ref,de nota al pie,number,-E Fußnotenzeichen,Footnote number,Footnote Reference/,styl, BVI fnr"/>
    <w:basedOn w:val="DefaultParagraphFont"/>
    <w:unhideWhenUsed/>
    <w:qFormat/>
    <w:rsid w:val="00C01849"/>
    <w:rPr>
      <w:vertAlign w:val="superscript"/>
    </w:rPr>
  </w:style>
  <w:style w:type="paragraph" w:customStyle="1" w:styleId="Ftnote">
    <w:name w:val="Ftnote"/>
    <w:basedOn w:val="FootnoteText"/>
    <w:link w:val="FtnoteChar"/>
    <w:qFormat/>
    <w:rsid w:val="00C01849"/>
    <w:pPr>
      <w:spacing w:after="60"/>
      <w:ind w:left="709" w:hanging="709"/>
      <w:jc w:val="both"/>
    </w:pPr>
    <w:rPr>
      <w:rFonts w:cs="Times New Roman"/>
    </w:rPr>
  </w:style>
  <w:style w:type="character" w:customStyle="1" w:styleId="FtnoteChar">
    <w:name w:val="Ftnote Char"/>
    <w:basedOn w:val="FootnoteTextChar"/>
    <w:link w:val="Ftnote"/>
    <w:rsid w:val="00C01849"/>
    <w:rPr>
      <w:rFonts w:ascii="Arial" w:hAnsi="Arial" w:cs="Times New Roman"/>
      <w:sz w:val="20"/>
      <w:szCs w:val="20"/>
    </w:rPr>
  </w:style>
  <w:style w:type="character" w:styleId="Emphasis">
    <w:name w:val="Emphasis"/>
    <w:basedOn w:val="DefaultParagraphFont"/>
    <w:uiPriority w:val="20"/>
    <w:qFormat/>
    <w:rsid w:val="00C01849"/>
    <w:rPr>
      <w:i/>
      <w:iCs/>
    </w:rPr>
  </w:style>
  <w:style w:type="character" w:styleId="FollowedHyperlink">
    <w:name w:val="FollowedHyperlink"/>
    <w:basedOn w:val="DefaultParagraphFont"/>
    <w:uiPriority w:val="99"/>
    <w:semiHidden/>
    <w:unhideWhenUsed/>
    <w:rsid w:val="00D55AD6"/>
    <w:rPr>
      <w:color w:val="954F72" w:themeColor="followedHyperlink"/>
      <w:u w:val="single"/>
    </w:rPr>
  </w:style>
  <w:style w:type="character" w:styleId="UnresolvedMention">
    <w:name w:val="Unresolved Mention"/>
    <w:basedOn w:val="DefaultParagraphFont"/>
    <w:uiPriority w:val="99"/>
    <w:semiHidden/>
    <w:unhideWhenUsed/>
    <w:rsid w:val="00D55AD6"/>
    <w:rPr>
      <w:color w:val="605E5C"/>
      <w:shd w:val="clear" w:color="auto" w:fill="E1DFDD"/>
    </w:rPr>
  </w:style>
  <w:style w:type="paragraph" w:customStyle="1" w:styleId="Default">
    <w:name w:val="Default"/>
    <w:rsid w:val="00EF29EF"/>
    <w:pPr>
      <w:autoSpaceDE w:val="0"/>
      <w:autoSpaceDN w:val="0"/>
      <w:adjustRightInd w:val="0"/>
      <w:spacing w:after="0" w:line="240" w:lineRule="auto"/>
    </w:pPr>
    <w:rPr>
      <w:rFonts w:eastAsia="Calibri" w:cs="Times New Roman"/>
      <w:color w:val="000000"/>
      <w:szCs w:val="24"/>
      <w:lang w:eastAsia="lv-LV"/>
    </w:rPr>
  </w:style>
  <w:style w:type="paragraph" w:styleId="Revision">
    <w:name w:val="Revision"/>
    <w:hidden/>
    <w:uiPriority w:val="99"/>
    <w:semiHidden/>
    <w:rsid w:val="00B2037E"/>
    <w:pPr>
      <w:spacing w:after="0" w:line="240" w:lineRule="auto"/>
    </w:pPr>
    <w:rPr>
      <w:rFonts w:eastAsia="Times New Roman" w:cs="Times New Roman"/>
      <w:szCs w:val="24"/>
      <w:lang w:eastAsia="ru-RU"/>
    </w:rPr>
  </w:style>
  <w:style w:type="character" w:customStyle="1" w:styleId="cf01">
    <w:name w:val="cf01"/>
    <w:basedOn w:val="DefaultParagraphFont"/>
    <w:rsid w:val="00E060A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1032">
      <w:bodyDiv w:val="1"/>
      <w:marLeft w:val="0"/>
      <w:marRight w:val="0"/>
      <w:marTop w:val="0"/>
      <w:marBottom w:val="0"/>
      <w:divBdr>
        <w:top w:val="none" w:sz="0" w:space="0" w:color="auto"/>
        <w:left w:val="none" w:sz="0" w:space="0" w:color="auto"/>
        <w:bottom w:val="none" w:sz="0" w:space="0" w:color="auto"/>
        <w:right w:val="none" w:sz="0" w:space="0" w:color="auto"/>
      </w:divBdr>
    </w:div>
    <w:div w:id="37634889">
      <w:bodyDiv w:val="1"/>
      <w:marLeft w:val="0"/>
      <w:marRight w:val="0"/>
      <w:marTop w:val="0"/>
      <w:marBottom w:val="0"/>
      <w:divBdr>
        <w:top w:val="none" w:sz="0" w:space="0" w:color="auto"/>
        <w:left w:val="none" w:sz="0" w:space="0" w:color="auto"/>
        <w:bottom w:val="none" w:sz="0" w:space="0" w:color="auto"/>
        <w:right w:val="none" w:sz="0" w:space="0" w:color="auto"/>
      </w:divBdr>
    </w:div>
    <w:div w:id="129787970">
      <w:bodyDiv w:val="1"/>
      <w:marLeft w:val="0"/>
      <w:marRight w:val="0"/>
      <w:marTop w:val="0"/>
      <w:marBottom w:val="0"/>
      <w:divBdr>
        <w:top w:val="none" w:sz="0" w:space="0" w:color="auto"/>
        <w:left w:val="none" w:sz="0" w:space="0" w:color="auto"/>
        <w:bottom w:val="none" w:sz="0" w:space="0" w:color="auto"/>
        <w:right w:val="none" w:sz="0" w:space="0" w:color="auto"/>
      </w:divBdr>
    </w:div>
    <w:div w:id="131019592">
      <w:bodyDiv w:val="1"/>
      <w:marLeft w:val="0"/>
      <w:marRight w:val="0"/>
      <w:marTop w:val="0"/>
      <w:marBottom w:val="0"/>
      <w:divBdr>
        <w:top w:val="none" w:sz="0" w:space="0" w:color="auto"/>
        <w:left w:val="none" w:sz="0" w:space="0" w:color="auto"/>
        <w:bottom w:val="none" w:sz="0" w:space="0" w:color="auto"/>
        <w:right w:val="none" w:sz="0" w:space="0" w:color="auto"/>
      </w:divBdr>
      <w:divsChild>
        <w:div w:id="1520656654">
          <w:marLeft w:val="0"/>
          <w:marRight w:val="0"/>
          <w:marTop w:val="0"/>
          <w:marBottom w:val="0"/>
          <w:divBdr>
            <w:top w:val="none" w:sz="0" w:space="0" w:color="auto"/>
            <w:left w:val="none" w:sz="0" w:space="0" w:color="auto"/>
            <w:bottom w:val="none" w:sz="0" w:space="0" w:color="auto"/>
            <w:right w:val="none" w:sz="0" w:space="0" w:color="auto"/>
          </w:divBdr>
        </w:div>
      </w:divsChild>
    </w:div>
    <w:div w:id="131872649">
      <w:bodyDiv w:val="1"/>
      <w:marLeft w:val="0"/>
      <w:marRight w:val="0"/>
      <w:marTop w:val="0"/>
      <w:marBottom w:val="0"/>
      <w:divBdr>
        <w:top w:val="none" w:sz="0" w:space="0" w:color="auto"/>
        <w:left w:val="none" w:sz="0" w:space="0" w:color="auto"/>
        <w:bottom w:val="none" w:sz="0" w:space="0" w:color="auto"/>
        <w:right w:val="none" w:sz="0" w:space="0" w:color="auto"/>
      </w:divBdr>
      <w:divsChild>
        <w:div w:id="1195070776">
          <w:marLeft w:val="0"/>
          <w:marRight w:val="0"/>
          <w:marTop w:val="480"/>
          <w:marBottom w:val="240"/>
          <w:divBdr>
            <w:top w:val="none" w:sz="0" w:space="0" w:color="auto"/>
            <w:left w:val="none" w:sz="0" w:space="0" w:color="auto"/>
            <w:bottom w:val="none" w:sz="0" w:space="0" w:color="auto"/>
            <w:right w:val="none" w:sz="0" w:space="0" w:color="auto"/>
          </w:divBdr>
        </w:div>
        <w:div w:id="1410468835">
          <w:marLeft w:val="0"/>
          <w:marRight w:val="0"/>
          <w:marTop w:val="0"/>
          <w:marBottom w:val="567"/>
          <w:divBdr>
            <w:top w:val="none" w:sz="0" w:space="0" w:color="auto"/>
            <w:left w:val="none" w:sz="0" w:space="0" w:color="auto"/>
            <w:bottom w:val="none" w:sz="0" w:space="0" w:color="auto"/>
            <w:right w:val="none" w:sz="0" w:space="0" w:color="auto"/>
          </w:divBdr>
        </w:div>
        <w:div w:id="274023572">
          <w:marLeft w:val="0"/>
          <w:marRight w:val="0"/>
          <w:marTop w:val="0"/>
          <w:marBottom w:val="567"/>
          <w:divBdr>
            <w:top w:val="none" w:sz="0" w:space="0" w:color="auto"/>
            <w:left w:val="none" w:sz="0" w:space="0" w:color="auto"/>
            <w:bottom w:val="none" w:sz="0" w:space="0" w:color="auto"/>
            <w:right w:val="none" w:sz="0" w:space="0" w:color="auto"/>
          </w:divBdr>
        </w:div>
      </w:divsChild>
    </w:div>
    <w:div w:id="199786057">
      <w:bodyDiv w:val="1"/>
      <w:marLeft w:val="0"/>
      <w:marRight w:val="0"/>
      <w:marTop w:val="0"/>
      <w:marBottom w:val="0"/>
      <w:divBdr>
        <w:top w:val="none" w:sz="0" w:space="0" w:color="auto"/>
        <w:left w:val="none" w:sz="0" w:space="0" w:color="auto"/>
        <w:bottom w:val="none" w:sz="0" w:space="0" w:color="auto"/>
        <w:right w:val="none" w:sz="0" w:space="0" w:color="auto"/>
      </w:divBdr>
    </w:div>
    <w:div w:id="361172250">
      <w:bodyDiv w:val="1"/>
      <w:marLeft w:val="0"/>
      <w:marRight w:val="0"/>
      <w:marTop w:val="0"/>
      <w:marBottom w:val="0"/>
      <w:divBdr>
        <w:top w:val="none" w:sz="0" w:space="0" w:color="auto"/>
        <w:left w:val="none" w:sz="0" w:space="0" w:color="auto"/>
        <w:bottom w:val="none" w:sz="0" w:space="0" w:color="auto"/>
        <w:right w:val="none" w:sz="0" w:space="0" w:color="auto"/>
      </w:divBdr>
      <w:divsChild>
        <w:div w:id="371269004">
          <w:marLeft w:val="0"/>
          <w:marRight w:val="0"/>
          <w:marTop w:val="480"/>
          <w:marBottom w:val="240"/>
          <w:divBdr>
            <w:top w:val="none" w:sz="0" w:space="0" w:color="auto"/>
            <w:left w:val="none" w:sz="0" w:space="0" w:color="auto"/>
            <w:bottom w:val="none" w:sz="0" w:space="0" w:color="auto"/>
            <w:right w:val="none" w:sz="0" w:space="0" w:color="auto"/>
          </w:divBdr>
        </w:div>
        <w:div w:id="248658546">
          <w:marLeft w:val="0"/>
          <w:marRight w:val="0"/>
          <w:marTop w:val="0"/>
          <w:marBottom w:val="567"/>
          <w:divBdr>
            <w:top w:val="none" w:sz="0" w:space="0" w:color="auto"/>
            <w:left w:val="none" w:sz="0" w:space="0" w:color="auto"/>
            <w:bottom w:val="none" w:sz="0" w:space="0" w:color="auto"/>
            <w:right w:val="none" w:sz="0" w:space="0" w:color="auto"/>
          </w:divBdr>
        </w:div>
        <w:div w:id="1255356324">
          <w:marLeft w:val="0"/>
          <w:marRight w:val="0"/>
          <w:marTop w:val="0"/>
          <w:marBottom w:val="567"/>
          <w:divBdr>
            <w:top w:val="none" w:sz="0" w:space="0" w:color="auto"/>
            <w:left w:val="none" w:sz="0" w:space="0" w:color="auto"/>
            <w:bottom w:val="none" w:sz="0" w:space="0" w:color="auto"/>
            <w:right w:val="none" w:sz="0" w:space="0" w:color="auto"/>
          </w:divBdr>
        </w:div>
      </w:divsChild>
    </w:div>
    <w:div w:id="364674644">
      <w:bodyDiv w:val="1"/>
      <w:marLeft w:val="0"/>
      <w:marRight w:val="0"/>
      <w:marTop w:val="0"/>
      <w:marBottom w:val="0"/>
      <w:divBdr>
        <w:top w:val="none" w:sz="0" w:space="0" w:color="auto"/>
        <w:left w:val="none" w:sz="0" w:space="0" w:color="auto"/>
        <w:bottom w:val="none" w:sz="0" w:space="0" w:color="auto"/>
        <w:right w:val="none" w:sz="0" w:space="0" w:color="auto"/>
      </w:divBdr>
      <w:divsChild>
        <w:div w:id="1794515082">
          <w:marLeft w:val="0"/>
          <w:marRight w:val="0"/>
          <w:marTop w:val="240"/>
          <w:marBottom w:val="0"/>
          <w:divBdr>
            <w:top w:val="none" w:sz="0" w:space="0" w:color="auto"/>
            <w:left w:val="none" w:sz="0" w:space="0" w:color="auto"/>
            <w:bottom w:val="none" w:sz="0" w:space="0" w:color="auto"/>
            <w:right w:val="none" w:sz="0" w:space="0" w:color="auto"/>
          </w:divBdr>
        </w:div>
        <w:div w:id="1581325087">
          <w:marLeft w:val="0"/>
          <w:marRight w:val="0"/>
          <w:marTop w:val="0"/>
          <w:marBottom w:val="0"/>
          <w:divBdr>
            <w:top w:val="none" w:sz="0" w:space="0" w:color="auto"/>
            <w:left w:val="none" w:sz="0" w:space="0" w:color="auto"/>
            <w:bottom w:val="none" w:sz="0" w:space="0" w:color="auto"/>
            <w:right w:val="none" w:sz="0" w:space="0" w:color="auto"/>
          </w:divBdr>
        </w:div>
      </w:divsChild>
    </w:div>
    <w:div w:id="395398996">
      <w:bodyDiv w:val="1"/>
      <w:marLeft w:val="0"/>
      <w:marRight w:val="0"/>
      <w:marTop w:val="0"/>
      <w:marBottom w:val="0"/>
      <w:divBdr>
        <w:top w:val="none" w:sz="0" w:space="0" w:color="auto"/>
        <w:left w:val="none" w:sz="0" w:space="0" w:color="auto"/>
        <w:bottom w:val="none" w:sz="0" w:space="0" w:color="auto"/>
        <w:right w:val="none" w:sz="0" w:space="0" w:color="auto"/>
      </w:divBdr>
    </w:div>
    <w:div w:id="600072265">
      <w:bodyDiv w:val="1"/>
      <w:marLeft w:val="0"/>
      <w:marRight w:val="0"/>
      <w:marTop w:val="0"/>
      <w:marBottom w:val="0"/>
      <w:divBdr>
        <w:top w:val="none" w:sz="0" w:space="0" w:color="auto"/>
        <w:left w:val="none" w:sz="0" w:space="0" w:color="auto"/>
        <w:bottom w:val="none" w:sz="0" w:space="0" w:color="auto"/>
        <w:right w:val="none" w:sz="0" w:space="0" w:color="auto"/>
      </w:divBdr>
    </w:div>
    <w:div w:id="650057876">
      <w:bodyDiv w:val="1"/>
      <w:marLeft w:val="0"/>
      <w:marRight w:val="0"/>
      <w:marTop w:val="0"/>
      <w:marBottom w:val="0"/>
      <w:divBdr>
        <w:top w:val="none" w:sz="0" w:space="0" w:color="auto"/>
        <w:left w:val="none" w:sz="0" w:space="0" w:color="auto"/>
        <w:bottom w:val="none" w:sz="0" w:space="0" w:color="auto"/>
        <w:right w:val="none" w:sz="0" w:space="0" w:color="auto"/>
      </w:divBdr>
    </w:div>
    <w:div w:id="661588658">
      <w:bodyDiv w:val="1"/>
      <w:marLeft w:val="0"/>
      <w:marRight w:val="0"/>
      <w:marTop w:val="0"/>
      <w:marBottom w:val="0"/>
      <w:divBdr>
        <w:top w:val="none" w:sz="0" w:space="0" w:color="auto"/>
        <w:left w:val="none" w:sz="0" w:space="0" w:color="auto"/>
        <w:bottom w:val="none" w:sz="0" w:space="0" w:color="auto"/>
        <w:right w:val="none" w:sz="0" w:space="0" w:color="auto"/>
      </w:divBdr>
    </w:div>
    <w:div w:id="712734691">
      <w:bodyDiv w:val="1"/>
      <w:marLeft w:val="0"/>
      <w:marRight w:val="0"/>
      <w:marTop w:val="0"/>
      <w:marBottom w:val="0"/>
      <w:divBdr>
        <w:top w:val="none" w:sz="0" w:space="0" w:color="auto"/>
        <w:left w:val="none" w:sz="0" w:space="0" w:color="auto"/>
        <w:bottom w:val="none" w:sz="0" w:space="0" w:color="auto"/>
        <w:right w:val="none" w:sz="0" w:space="0" w:color="auto"/>
      </w:divBdr>
    </w:div>
    <w:div w:id="713040280">
      <w:bodyDiv w:val="1"/>
      <w:marLeft w:val="0"/>
      <w:marRight w:val="0"/>
      <w:marTop w:val="0"/>
      <w:marBottom w:val="0"/>
      <w:divBdr>
        <w:top w:val="none" w:sz="0" w:space="0" w:color="auto"/>
        <w:left w:val="none" w:sz="0" w:space="0" w:color="auto"/>
        <w:bottom w:val="none" w:sz="0" w:space="0" w:color="auto"/>
        <w:right w:val="none" w:sz="0" w:space="0" w:color="auto"/>
      </w:divBdr>
    </w:div>
    <w:div w:id="734855222">
      <w:bodyDiv w:val="1"/>
      <w:marLeft w:val="0"/>
      <w:marRight w:val="0"/>
      <w:marTop w:val="0"/>
      <w:marBottom w:val="0"/>
      <w:divBdr>
        <w:top w:val="none" w:sz="0" w:space="0" w:color="auto"/>
        <w:left w:val="none" w:sz="0" w:space="0" w:color="auto"/>
        <w:bottom w:val="none" w:sz="0" w:space="0" w:color="auto"/>
        <w:right w:val="none" w:sz="0" w:space="0" w:color="auto"/>
      </w:divBdr>
    </w:div>
    <w:div w:id="856624454">
      <w:bodyDiv w:val="1"/>
      <w:marLeft w:val="0"/>
      <w:marRight w:val="0"/>
      <w:marTop w:val="0"/>
      <w:marBottom w:val="0"/>
      <w:divBdr>
        <w:top w:val="none" w:sz="0" w:space="0" w:color="auto"/>
        <w:left w:val="none" w:sz="0" w:space="0" w:color="auto"/>
        <w:bottom w:val="none" w:sz="0" w:space="0" w:color="auto"/>
        <w:right w:val="none" w:sz="0" w:space="0" w:color="auto"/>
      </w:divBdr>
      <w:divsChild>
        <w:div w:id="681780300">
          <w:marLeft w:val="0"/>
          <w:marRight w:val="0"/>
          <w:marTop w:val="480"/>
          <w:marBottom w:val="240"/>
          <w:divBdr>
            <w:top w:val="none" w:sz="0" w:space="0" w:color="auto"/>
            <w:left w:val="none" w:sz="0" w:space="0" w:color="auto"/>
            <w:bottom w:val="none" w:sz="0" w:space="0" w:color="auto"/>
            <w:right w:val="none" w:sz="0" w:space="0" w:color="auto"/>
          </w:divBdr>
        </w:div>
        <w:div w:id="289674842">
          <w:marLeft w:val="0"/>
          <w:marRight w:val="0"/>
          <w:marTop w:val="0"/>
          <w:marBottom w:val="567"/>
          <w:divBdr>
            <w:top w:val="none" w:sz="0" w:space="0" w:color="auto"/>
            <w:left w:val="none" w:sz="0" w:space="0" w:color="auto"/>
            <w:bottom w:val="none" w:sz="0" w:space="0" w:color="auto"/>
            <w:right w:val="none" w:sz="0" w:space="0" w:color="auto"/>
          </w:divBdr>
        </w:div>
        <w:div w:id="420563337">
          <w:marLeft w:val="0"/>
          <w:marRight w:val="0"/>
          <w:marTop w:val="0"/>
          <w:marBottom w:val="567"/>
          <w:divBdr>
            <w:top w:val="none" w:sz="0" w:space="0" w:color="auto"/>
            <w:left w:val="none" w:sz="0" w:space="0" w:color="auto"/>
            <w:bottom w:val="none" w:sz="0" w:space="0" w:color="auto"/>
            <w:right w:val="none" w:sz="0" w:space="0" w:color="auto"/>
          </w:divBdr>
        </w:div>
      </w:divsChild>
    </w:div>
    <w:div w:id="879247300">
      <w:bodyDiv w:val="1"/>
      <w:marLeft w:val="0"/>
      <w:marRight w:val="0"/>
      <w:marTop w:val="0"/>
      <w:marBottom w:val="0"/>
      <w:divBdr>
        <w:top w:val="none" w:sz="0" w:space="0" w:color="auto"/>
        <w:left w:val="none" w:sz="0" w:space="0" w:color="auto"/>
        <w:bottom w:val="none" w:sz="0" w:space="0" w:color="auto"/>
        <w:right w:val="none" w:sz="0" w:space="0" w:color="auto"/>
      </w:divBdr>
    </w:div>
    <w:div w:id="902562171">
      <w:bodyDiv w:val="1"/>
      <w:marLeft w:val="0"/>
      <w:marRight w:val="0"/>
      <w:marTop w:val="0"/>
      <w:marBottom w:val="0"/>
      <w:divBdr>
        <w:top w:val="none" w:sz="0" w:space="0" w:color="auto"/>
        <w:left w:val="none" w:sz="0" w:space="0" w:color="auto"/>
        <w:bottom w:val="none" w:sz="0" w:space="0" w:color="auto"/>
        <w:right w:val="none" w:sz="0" w:space="0" w:color="auto"/>
      </w:divBdr>
    </w:div>
    <w:div w:id="916594847">
      <w:bodyDiv w:val="1"/>
      <w:marLeft w:val="0"/>
      <w:marRight w:val="0"/>
      <w:marTop w:val="0"/>
      <w:marBottom w:val="0"/>
      <w:divBdr>
        <w:top w:val="none" w:sz="0" w:space="0" w:color="auto"/>
        <w:left w:val="none" w:sz="0" w:space="0" w:color="auto"/>
        <w:bottom w:val="none" w:sz="0" w:space="0" w:color="auto"/>
        <w:right w:val="none" w:sz="0" w:space="0" w:color="auto"/>
      </w:divBdr>
    </w:div>
    <w:div w:id="947738849">
      <w:bodyDiv w:val="1"/>
      <w:marLeft w:val="0"/>
      <w:marRight w:val="0"/>
      <w:marTop w:val="0"/>
      <w:marBottom w:val="0"/>
      <w:divBdr>
        <w:top w:val="none" w:sz="0" w:space="0" w:color="auto"/>
        <w:left w:val="none" w:sz="0" w:space="0" w:color="auto"/>
        <w:bottom w:val="none" w:sz="0" w:space="0" w:color="auto"/>
        <w:right w:val="none" w:sz="0" w:space="0" w:color="auto"/>
      </w:divBdr>
    </w:div>
    <w:div w:id="948314643">
      <w:bodyDiv w:val="1"/>
      <w:marLeft w:val="0"/>
      <w:marRight w:val="0"/>
      <w:marTop w:val="0"/>
      <w:marBottom w:val="0"/>
      <w:divBdr>
        <w:top w:val="none" w:sz="0" w:space="0" w:color="auto"/>
        <w:left w:val="none" w:sz="0" w:space="0" w:color="auto"/>
        <w:bottom w:val="none" w:sz="0" w:space="0" w:color="auto"/>
        <w:right w:val="none" w:sz="0" w:space="0" w:color="auto"/>
      </w:divBdr>
    </w:div>
    <w:div w:id="967780970">
      <w:bodyDiv w:val="1"/>
      <w:marLeft w:val="0"/>
      <w:marRight w:val="0"/>
      <w:marTop w:val="0"/>
      <w:marBottom w:val="0"/>
      <w:divBdr>
        <w:top w:val="none" w:sz="0" w:space="0" w:color="auto"/>
        <w:left w:val="none" w:sz="0" w:space="0" w:color="auto"/>
        <w:bottom w:val="none" w:sz="0" w:space="0" w:color="auto"/>
        <w:right w:val="none" w:sz="0" w:space="0" w:color="auto"/>
      </w:divBdr>
    </w:div>
    <w:div w:id="985934974">
      <w:bodyDiv w:val="1"/>
      <w:marLeft w:val="0"/>
      <w:marRight w:val="0"/>
      <w:marTop w:val="0"/>
      <w:marBottom w:val="0"/>
      <w:divBdr>
        <w:top w:val="none" w:sz="0" w:space="0" w:color="auto"/>
        <w:left w:val="none" w:sz="0" w:space="0" w:color="auto"/>
        <w:bottom w:val="none" w:sz="0" w:space="0" w:color="auto"/>
        <w:right w:val="none" w:sz="0" w:space="0" w:color="auto"/>
      </w:divBdr>
      <w:divsChild>
        <w:div w:id="1923486720">
          <w:marLeft w:val="0"/>
          <w:marRight w:val="0"/>
          <w:marTop w:val="0"/>
          <w:marBottom w:val="0"/>
          <w:divBdr>
            <w:top w:val="none" w:sz="0" w:space="0" w:color="auto"/>
            <w:left w:val="none" w:sz="0" w:space="0" w:color="auto"/>
            <w:bottom w:val="none" w:sz="0" w:space="0" w:color="auto"/>
            <w:right w:val="none" w:sz="0" w:space="0" w:color="auto"/>
          </w:divBdr>
        </w:div>
        <w:div w:id="1249852405">
          <w:marLeft w:val="0"/>
          <w:marRight w:val="0"/>
          <w:marTop w:val="0"/>
          <w:marBottom w:val="0"/>
          <w:divBdr>
            <w:top w:val="none" w:sz="0" w:space="0" w:color="auto"/>
            <w:left w:val="none" w:sz="0" w:space="0" w:color="auto"/>
            <w:bottom w:val="none" w:sz="0" w:space="0" w:color="auto"/>
            <w:right w:val="none" w:sz="0" w:space="0" w:color="auto"/>
          </w:divBdr>
        </w:div>
      </w:divsChild>
    </w:div>
    <w:div w:id="1004240787">
      <w:bodyDiv w:val="1"/>
      <w:marLeft w:val="0"/>
      <w:marRight w:val="0"/>
      <w:marTop w:val="0"/>
      <w:marBottom w:val="0"/>
      <w:divBdr>
        <w:top w:val="none" w:sz="0" w:space="0" w:color="auto"/>
        <w:left w:val="none" w:sz="0" w:space="0" w:color="auto"/>
        <w:bottom w:val="none" w:sz="0" w:space="0" w:color="auto"/>
        <w:right w:val="none" w:sz="0" w:space="0" w:color="auto"/>
      </w:divBdr>
    </w:div>
    <w:div w:id="1020594225">
      <w:bodyDiv w:val="1"/>
      <w:marLeft w:val="0"/>
      <w:marRight w:val="0"/>
      <w:marTop w:val="0"/>
      <w:marBottom w:val="0"/>
      <w:divBdr>
        <w:top w:val="none" w:sz="0" w:space="0" w:color="auto"/>
        <w:left w:val="none" w:sz="0" w:space="0" w:color="auto"/>
        <w:bottom w:val="none" w:sz="0" w:space="0" w:color="auto"/>
        <w:right w:val="none" w:sz="0" w:space="0" w:color="auto"/>
      </w:divBdr>
    </w:div>
    <w:div w:id="1065839616">
      <w:bodyDiv w:val="1"/>
      <w:marLeft w:val="0"/>
      <w:marRight w:val="0"/>
      <w:marTop w:val="0"/>
      <w:marBottom w:val="0"/>
      <w:divBdr>
        <w:top w:val="none" w:sz="0" w:space="0" w:color="auto"/>
        <w:left w:val="none" w:sz="0" w:space="0" w:color="auto"/>
        <w:bottom w:val="none" w:sz="0" w:space="0" w:color="auto"/>
        <w:right w:val="none" w:sz="0" w:space="0" w:color="auto"/>
      </w:divBdr>
    </w:div>
    <w:div w:id="1141968485">
      <w:bodyDiv w:val="1"/>
      <w:marLeft w:val="0"/>
      <w:marRight w:val="0"/>
      <w:marTop w:val="0"/>
      <w:marBottom w:val="0"/>
      <w:divBdr>
        <w:top w:val="none" w:sz="0" w:space="0" w:color="auto"/>
        <w:left w:val="none" w:sz="0" w:space="0" w:color="auto"/>
        <w:bottom w:val="none" w:sz="0" w:space="0" w:color="auto"/>
        <w:right w:val="none" w:sz="0" w:space="0" w:color="auto"/>
      </w:divBdr>
    </w:div>
    <w:div w:id="1262881746">
      <w:bodyDiv w:val="1"/>
      <w:marLeft w:val="0"/>
      <w:marRight w:val="0"/>
      <w:marTop w:val="0"/>
      <w:marBottom w:val="0"/>
      <w:divBdr>
        <w:top w:val="none" w:sz="0" w:space="0" w:color="auto"/>
        <w:left w:val="none" w:sz="0" w:space="0" w:color="auto"/>
        <w:bottom w:val="none" w:sz="0" w:space="0" w:color="auto"/>
        <w:right w:val="none" w:sz="0" w:space="0" w:color="auto"/>
      </w:divBdr>
    </w:div>
    <w:div w:id="1314019537">
      <w:bodyDiv w:val="1"/>
      <w:marLeft w:val="0"/>
      <w:marRight w:val="0"/>
      <w:marTop w:val="0"/>
      <w:marBottom w:val="0"/>
      <w:divBdr>
        <w:top w:val="none" w:sz="0" w:space="0" w:color="auto"/>
        <w:left w:val="none" w:sz="0" w:space="0" w:color="auto"/>
        <w:bottom w:val="none" w:sz="0" w:space="0" w:color="auto"/>
        <w:right w:val="none" w:sz="0" w:space="0" w:color="auto"/>
      </w:divBdr>
      <w:divsChild>
        <w:div w:id="1117986226">
          <w:marLeft w:val="0"/>
          <w:marRight w:val="0"/>
          <w:marTop w:val="0"/>
          <w:marBottom w:val="0"/>
          <w:divBdr>
            <w:top w:val="none" w:sz="0" w:space="0" w:color="auto"/>
            <w:left w:val="none" w:sz="0" w:space="0" w:color="auto"/>
            <w:bottom w:val="none" w:sz="0" w:space="0" w:color="auto"/>
            <w:right w:val="none" w:sz="0" w:space="0" w:color="auto"/>
          </w:divBdr>
        </w:div>
      </w:divsChild>
    </w:div>
    <w:div w:id="1378774617">
      <w:bodyDiv w:val="1"/>
      <w:marLeft w:val="0"/>
      <w:marRight w:val="0"/>
      <w:marTop w:val="0"/>
      <w:marBottom w:val="0"/>
      <w:divBdr>
        <w:top w:val="none" w:sz="0" w:space="0" w:color="auto"/>
        <w:left w:val="none" w:sz="0" w:space="0" w:color="auto"/>
        <w:bottom w:val="none" w:sz="0" w:space="0" w:color="auto"/>
        <w:right w:val="none" w:sz="0" w:space="0" w:color="auto"/>
      </w:divBdr>
      <w:divsChild>
        <w:div w:id="690765177">
          <w:marLeft w:val="0"/>
          <w:marRight w:val="0"/>
          <w:marTop w:val="0"/>
          <w:marBottom w:val="0"/>
          <w:divBdr>
            <w:top w:val="none" w:sz="0" w:space="0" w:color="auto"/>
            <w:left w:val="none" w:sz="0" w:space="0" w:color="auto"/>
            <w:bottom w:val="none" w:sz="0" w:space="0" w:color="auto"/>
            <w:right w:val="none" w:sz="0" w:space="0" w:color="auto"/>
          </w:divBdr>
        </w:div>
        <w:div w:id="1520856571">
          <w:marLeft w:val="0"/>
          <w:marRight w:val="0"/>
          <w:marTop w:val="0"/>
          <w:marBottom w:val="0"/>
          <w:divBdr>
            <w:top w:val="none" w:sz="0" w:space="0" w:color="auto"/>
            <w:left w:val="none" w:sz="0" w:space="0" w:color="auto"/>
            <w:bottom w:val="none" w:sz="0" w:space="0" w:color="auto"/>
            <w:right w:val="none" w:sz="0" w:space="0" w:color="auto"/>
          </w:divBdr>
        </w:div>
      </w:divsChild>
    </w:div>
    <w:div w:id="1471093834">
      <w:bodyDiv w:val="1"/>
      <w:marLeft w:val="0"/>
      <w:marRight w:val="0"/>
      <w:marTop w:val="0"/>
      <w:marBottom w:val="0"/>
      <w:divBdr>
        <w:top w:val="none" w:sz="0" w:space="0" w:color="auto"/>
        <w:left w:val="none" w:sz="0" w:space="0" w:color="auto"/>
        <w:bottom w:val="none" w:sz="0" w:space="0" w:color="auto"/>
        <w:right w:val="none" w:sz="0" w:space="0" w:color="auto"/>
      </w:divBdr>
    </w:div>
    <w:div w:id="1575628243">
      <w:bodyDiv w:val="1"/>
      <w:marLeft w:val="0"/>
      <w:marRight w:val="0"/>
      <w:marTop w:val="0"/>
      <w:marBottom w:val="0"/>
      <w:divBdr>
        <w:top w:val="none" w:sz="0" w:space="0" w:color="auto"/>
        <w:left w:val="none" w:sz="0" w:space="0" w:color="auto"/>
        <w:bottom w:val="none" w:sz="0" w:space="0" w:color="auto"/>
        <w:right w:val="none" w:sz="0" w:space="0" w:color="auto"/>
      </w:divBdr>
      <w:divsChild>
        <w:div w:id="179047955">
          <w:marLeft w:val="0"/>
          <w:marRight w:val="0"/>
          <w:marTop w:val="0"/>
          <w:marBottom w:val="0"/>
          <w:divBdr>
            <w:top w:val="none" w:sz="0" w:space="0" w:color="auto"/>
            <w:left w:val="none" w:sz="0" w:space="0" w:color="auto"/>
            <w:bottom w:val="none" w:sz="0" w:space="0" w:color="auto"/>
            <w:right w:val="none" w:sz="0" w:space="0" w:color="auto"/>
          </w:divBdr>
        </w:div>
        <w:div w:id="96680603">
          <w:marLeft w:val="0"/>
          <w:marRight w:val="0"/>
          <w:marTop w:val="0"/>
          <w:marBottom w:val="0"/>
          <w:divBdr>
            <w:top w:val="none" w:sz="0" w:space="0" w:color="auto"/>
            <w:left w:val="none" w:sz="0" w:space="0" w:color="auto"/>
            <w:bottom w:val="none" w:sz="0" w:space="0" w:color="auto"/>
            <w:right w:val="none" w:sz="0" w:space="0" w:color="auto"/>
          </w:divBdr>
        </w:div>
      </w:divsChild>
    </w:div>
    <w:div w:id="1648974731">
      <w:bodyDiv w:val="1"/>
      <w:marLeft w:val="0"/>
      <w:marRight w:val="0"/>
      <w:marTop w:val="0"/>
      <w:marBottom w:val="0"/>
      <w:divBdr>
        <w:top w:val="none" w:sz="0" w:space="0" w:color="auto"/>
        <w:left w:val="none" w:sz="0" w:space="0" w:color="auto"/>
        <w:bottom w:val="none" w:sz="0" w:space="0" w:color="auto"/>
        <w:right w:val="none" w:sz="0" w:space="0" w:color="auto"/>
      </w:divBdr>
    </w:div>
    <w:div w:id="1687751673">
      <w:bodyDiv w:val="1"/>
      <w:marLeft w:val="0"/>
      <w:marRight w:val="0"/>
      <w:marTop w:val="0"/>
      <w:marBottom w:val="0"/>
      <w:divBdr>
        <w:top w:val="none" w:sz="0" w:space="0" w:color="auto"/>
        <w:left w:val="none" w:sz="0" w:space="0" w:color="auto"/>
        <w:bottom w:val="none" w:sz="0" w:space="0" w:color="auto"/>
        <w:right w:val="none" w:sz="0" w:space="0" w:color="auto"/>
      </w:divBdr>
    </w:div>
    <w:div w:id="1699039958">
      <w:bodyDiv w:val="1"/>
      <w:marLeft w:val="0"/>
      <w:marRight w:val="0"/>
      <w:marTop w:val="0"/>
      <w:marBottom w:val="0"/>
      <w:divBdr>
        <w:top w:val="none" w:sz="0" w:space="0" w:color="auto"/>
        <w:left w:val="none" w:sz="0" w:space="0" w:color="auto"/>
        <w:bottom w:val="none" w:sz="0" w:space="0" w:color="auto"/>
        <w:right w:val="none" w:sz="0" w:space="0" w:color="auto"/>
      </w:divBdr>
      <w:divsChild>
        <w:div w:id="1828588310">
          <w:marLeft w:val="0"/>
          <w:marRight w:val="0"/>
          <w:marTop w:val="0"/>
          <w:marBottom w:val="0"/>
          <w:divBdr>
            <w:top w:val="none" w:sz="0" w:space="0" w:color="auto"/>
            <w:left w:val="none" w:sz="0" w:space="0" w:color="auto"/>
            <w:bottom w:val="none" w:sz="0" w:space="0" w:color="auto"/>
            <w:right w:val="none" w:sz="0" w:space="0" w:color="auto"/>
          </w:divBdr>
        </w:div>
      </w:divsChild>
    </w:div>
    <w:div w:id="1750884044">
      <w:bodyDiv w:val="1"/>
      <w:marLeft w:val="0"/>
      <w:marRight w:val="0"/>
      <w:marTop w:val="0"/>
      <w:marBottom w:val="0"/>
      <w:divBdr>
        <w:top w:val="none" w:sz="0" w:space="0" w:color="auto"/>
        <w:left w:val="none" w:sz="0" w:space="0" w:color="auto"/>
        <w:bottom w:val="none" w:sz="0" w:space="0" w:color="auto"/>
        <w:right w:val="none" w:sz="0" w:space="0" w:color="auto"/>
      </w:divBdr>
    </w:div>
    <w:div w:id="1795635319">
      <w:bodyDiv w:val="1"/>
      <w:marLeft w:val="0"/>
      <w:marRight w:val="0"/>
      <w:marTop w:val="0"/>
      <w:marBottom w:val="0"/>
      <w:divBdr>
        <w:top w:val="none" w:sz="0" w:space="0" w:color="auto"/>
        <w:left w:val="none" w:sz="0" w:space="0" w:color="auto"/>
        <w:bottom w:val="none" w:sz="0" w:space="0" w:color="auto"/>
        <w:right w:val="none" w:sz="0" w:space="0" w:color="auto"/>
      </w:divBdr>
    </w:div>
    <w:div w:id="1799837640">
      <w:bodyDiv w:val="1"/>
      <w:marLeft w:val="0"/>
      <w:marRight w:val="0"/>
      <w:marTop w:val="0"/>
      <w:marBottom w:val="0"/>
      <w:divBdr>
        <w:top w:val="none" w:sz="0" w:space="0" w:color="auto"/>
        <w:left w:val="none" w:sz="0" w:space="0" w:color="auto"/>
        <w:bottom w:val="none" w:sz="0" w:space="0" w:color="auto"/>
        <w:right w:val="none" w:sz="0" w:space="0" w:color="auto"/>
      </w:divBdr>
    </w:div>
    <w:div w:id="1824078551">
      <w:bodyDiv w:val="1"/>
      <w:marLeft w:val="0"/>
      <w:marRight w:val="0"/>
      <w:marTop w:val="0"/>
      <w:marBottom w:val="0"/>
      <w:divBdr>
        <w:top w:val="none" w:sz="0" w:space="0" w:color="auto"/>
        <w:left w:val="none" w:sz="0" w:space="0" w:color="auto"/>
        <w:bottom w:val="none" w:sz="0" w:space="0" w:color="auto"/>
        <w:right w:val="none" w:sz="0" w:space="0" w:color="auto"/>
      </w:divBdr>
    </w:div>
    <w:div w:id="1875116511">
      <w:bodyDiv w:val="1"/>
      <w:marLeft w:val="0"/>
      <w:marRight w:val="0"/>
      <w:marTop w:val="0"/>
      <w:marBottom w:val="0"/>
      <w:divBdr>
        <w:top w:val="none" w:sz="0" w:space="0" w:color="auto"/>
        <w:left w:val="none" w:sz="0" w:space="0" w:color="auto"/>
        <w:bottom w:val="none" w:sz="0" w:space="0" w:color="auto"/>
        <w:right w:val="none" w:sz="0" w:space="0" w:color="auto"/>
      </w:divBdr>
    </w:div>
    <w:div w:id="1895004502">
      <w:bodyDiv w:val="1"/>
      <w:marLeft w:val="0"/>
      <w:marRight w:val="0"/>
      <w:marTop w:val="0"/>
      <w:marBottom w:val="0"/>
      <w:divBdr>
        <w:top w:val="none" w:sz="0" w:space="0" w:color="auto"/>
        <w:left w:val="none" w:sz="0" w:space="0" w:color="auto"/>
        <w:bottom w:val="none" w:sz="0" w:space="0" w:color="auto"/>
        <w:right w:val="none" w:sz="0" w:space="0" w:color="auto"/>
      </w:divBdr>
      <w:divsChild>
        <w:div w:id="479732639">
          <w:marLeft w:val="0"/>
          <w:marRight w:val="0"/>
          <w:marTop w:val="0"/>
          <w:marBottom w:val="0"/>
          <w:divBdr>
            <w:top w:val="none" w:sz="0" w:space="0" w:color="auto"/>
            <w:left w:val="none" w:sz="0" w:space="0" w:color="auto"/>
            <w:bottom w:val="none" w:sz="0" w:space="0" w:color="auto"/>
            <w:right w:val="none" w:sz="0" w:space="0" w:color="auto"/>
          </w:divBdr>
        </w:div>
        <w:div w:id="551693832">
          <w:marLeft w:val="0"/>
          <w:marRight w:val="0"/>
          <w:marTop w:val="0"/>
          <w:marBottom w:val="0"/>
          <w:divBdr>
            <w:top w:val="none" w:sz="0" w:space="0" w:color="auto"/>
            <w:left w:val="none" w:sz="0" w:space="0" w:color="auto"/>
            <w:bottom w:val="none" w:sz="0" w:space="0" w:color="auto"/>
            <w:right w:val="none" w:sz="0" w:space="0" w:color="auto"/>
          </w:divBdr>
        </w:div>
      </w:divsChild>
    </w:div>
    <w:div w:id="1897935822">
      <w:bodyDiv w:val="1"/>
      <w:marLeft w:val="0"/>
      <w:marRight w:val="0"/>
      <w:marTop w:val="0"/>
      <w:marBottom w:val="0"/>
      <w:divBdr>
        <w:top w:val="none" w:sz="0" w:space="0" w:color="auto"/>
        <w:left w:val="none" w:sz="0" w:space="0" w:color="auto"/>
        <w:bottom w:val="none" w:sz="0" w:space="0" w:color="auto"/>
        <w:right w:val="none" w:sz="0" w:space="0" w:color="auto"/>
      </w:divBdr>
    </w:div>
    <w:div w:id="1935437932">
      <w:bodyDiv w:val="1"/>
      <w:marLeft w:val="0"/>
      <w:marRight w:val="0"/>
      <w:marTop w:val="0"/>
      <w:marBottom w:val="0"/>
      <w:divBdr>
        <w:top w:val="none" w:sz="0" w:space="0" w:color="auto"/>
        <w:left w:val="none" w:sz="0" w:space="0" w:color="auto"/>
        <w:bottom w:val="none" w:sz="0" w:space="0" w:color="auto"/>
        <w:right w:val="none" w:sz="0" w:space="0" w:color="auto"/>
      </w:divBdr>
      <w:divsChild>
        <w:div w:id="1643342827">
          <w:marLeft w:val="0"/>
          <w:marRight w:val="0"/>
          <w:marTop w:val="0"/>
          <w:marBottom w:val="0"/>
          <w:divBdr>
            <w:top w:val="none" w:sz="0" w:space="0" w:color="auto"/>
            <w:left w:val="none" w:sz="0" w:space="0" w:color="auto"/>
            <w:bottom w:val="none" w:sz="0" w:space="0" w:color="auto"/>
            <w:right w:val="none" w:sz="0" w:space="0" w:color="auto"/>
          </w:divBdr>
        </w:div>
      </w:divsChild>
    </w:div>
    <w:div w:id="1955864445">
      <w:bodyDiv w:val="1"/>
      <w:marLeft w:val="0"/>
      <w:marRight w:val="0"/>
      <w:marTop w:val="0"/>
      <w:marBottom w:val="0"/>
      <w:divBdr>
        <w:top w:val="none" w:sz="0" w:space="0" w:color="auto"/>
        <w:left w:val="none" w:sz="0" w:space="0" w:color="auto"/>
        <w:bottom w:val="none" w:sz="0" w:space="0" w:color="auto"/>
        <w:right w:val="none" w:sz="0" w:space="0" w:color="auto"/>
      </w:divBdr>
    </w:div>
    <w:div w:id="1962955906">
      <w:bodyDiv w:val="1"/>
      <w:marLeft w:val="0"/>
      <w:marRight w:val="0"/>
      <w:marTop w:val="0"/>
      <w:marBottom w:val="0"/>
      <w:divBdr>
        <w:top w:val="none" w:sz="0" w:space="0" w:color="auto"/>
        <w:left w:val="none" w:sz="0" w:space="0" w:color="auto"/>
        <w:bottom w:val="none" w:sz="0" w:space="0" w:color="auto"/>
        <w:right w:val="none" w:sz="0" w:space="0" w:color="auto"/>
      </w:divBdr>
    </w:div>
    <w:div w:id="1990354559">
      <w:bodyDiv w:val="1"/>
      <w:marLeft w:val="0"/>
      <w:marRight w:val="0"/>
      <w:marTop w:val="0"/>
      <w:marBottom w:val="0"/>
      <w:divBdr>
        <w:top w:val="none" w:sz="0" w:space="0" w:color="auto"/>
        <w:left w:val="none" w:sz="0" w:space="0" w:color="auto"/>
        <w:bottom w:val="none" w:sz="0" w:space="0" w:color="auto"/>
        <w:right w:val="none" w:sz="0" w:space="0" w:color="auto"/>
      </w:divBdr>
    </w:div>
    <w:div w:id="2053915120">
      <w:bodyDiv w:val="1"/>
      <w:marLeft w:val="0"/>
      <w:marRight w:val="0"/>
      <w:marTop w:val="0"/>
      <w:marBottom w:val="0"/>
      <w:divBdr>
        <w:top w:val="none" w:sz="0" w:space="0" w:color="auto"/>
        <w:left w:val="none" w:sz="0" w:space="0" w:color="auto"/>
        <w:bottom w:val="none" w:sz="0" w:space="0" w:color="auto"/>
        <w:right w:val="none" w:sz="0" w:space="0" w:color="auto"/>
      </w:divBdr>
      <w:divsChild>
        <w:div w:id="442304782">
          <w:marLeft w:val="0"/>
          <w:marRight w:val="0"/>
          <w:marTop w:val="0"/>
          <w:marBottom w:val="0"/>
          <w:divBdr>
            <w:top w:val="none" w:sz="0" w:space="0" w:color="auto"/>
            <w:left w:val="none" w:sz="0" w:space="0" w:color="auto"/>
            <w:bottom w:val="none" w:sz="0" w:space="0" w:color="auto"/>
            <w:right w:val="none" w:sz="0" w:space="0" w:color="auto"/>
          </w:divBdr>
        </w:div>
      </w:divsChild>
    </w:div>
    <w:div w:id="2056855388">
      <w:bodyDiv w:val="1"/>
      <w:marLeft w:val="0"/>
      <w:marRight w:val="0"/>
      <w:marTop w:val="0"/>
      <w:marBottom w:val="0"/>
      <w:divBdr>
        <w:top w:val="none" w:sz="0" w:space="0" w:color="auto"/>
        <w:left w:val="none" w:sz="0" w:space="0" w:color="auto"/>
        <w:bottom w:val="none" w:sz="0" w:space="0" w:color="auto"/>
        <w:right w:val="none" w:sz="0" w:space="0" w:color="auto"/>
      </w:divBdr>
    </w:div>
    <w:div w:id="2059015612">
      <w:bodyDiv w:val="1"/>
      <w:marLeft w:val="0"/>
      <w:marRight w:val="0"/>
      <w:marTop w:val="0"/>
      <w:marBottom w:val="0"/>
      <w:divBdr>
        <w:top w:val="none" w:sz="0" w:space="0" w:color="auto"/>
        <w:left w:val="none" w:sz="0" w:space="0" w:color="auto"/>
        <w:bottom w:val="none" w:sz="0" w:space="0" w:color="auto"/>
        <w:right w:val="none" w:sz="0" w:space="0" w:color="auto"/>
      </w:divBdr>
    </w:div>
    <w:div w:id="2112237695">
      <w:bodyDiv w:val="1"/>
      <w:marLeft w:val="0"/>
      <w:marRight w:val="0"/>
      <w:marTop w:val="0"/>
      <w:marBottom w:val="0"/>
      <w:divBdr>
        <w:top w:val="none" w:sz="0" w:space="0" w:color="auto"/>
        <w:left w:val="none" w:sz="0" w:space="0" w:color="auto"/>
        <w:bottom w:val="none" w:sz="0" w:space="0" w:color="auto"/>
        <w:right w:val="none" w:sz="0" w:space="0" w:color="auto"/>
      </w:divBdr>
    </w:div>
    <w:div w:id="214395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791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nas.tiesas.lv/eTiesasMvc/eclinolemumi/ECLI:LV:AT:2023:1221.A420231023.10.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B67A6-20A5-4C99-8C67-14350BE1D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4125</Words>
  <Characters>23515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2024-05-13T11:39:00Z</dcterms:created>
  <dcterms:modified xsi:type="dcterms:W3CDTF">2024-05-15T04:45:00Z</dcterms:modified>
</cp:coreProperties>
</file>