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65F" w:rsidRDefault="00B0565F" w:rsidP="00651A7A">
      <w:pPr>
        <w:pStyle w:val="BodyText2"/>
      </w:pPr>
      <w:bookmarkStart w:id="0" w:name="_GoBack"/>
      <w:bookmarkEnd w:id="0"/>
      <w:r>
        <w:rPr>
          <w:rFonts w:ascii="Times New Roman" w:hAnsi="Times New Roman"/>
          <w:sz w:val="24"/>
          <w:szCs w:val="24"/>
        </w:rPr>
        <w:t xml:space="preserve">Lieta </w:t>
      </w:r>
      <w:proofErr w:type="spellStart"/>
      <w:r>
        <w:rPr>
          <w:rFonts w:ascii="Times New Roman" w:hAnsi="Times New Roman"/>
          <w:sz w:val="24"/>
          <w:szCs w:val="24"/>
        </w:rPr>
        <w:t>Nr.</w:t>
      </w:r>
      <w:r w:rsidR="00651A7A">
        <w:rPr>
          <w:rFonts w:ascii="Times New Roman" w:hAnsi="Times New Roman"/>
          <w:sz w:val="24"/>
          <w:szCs w:val="24"/>
        </w:rPr>
        <w:t>DT-1</w:t>
      </w:r>
      <w:proofErr w:type="spellEnd"/>
      <w:r w:rsidR="00651A7A">
        <w:rPr>
          <w:rFonts w:ascii="Times New Roman" w:hAnsi="Times New Roman"/>
          <w:sz w:val="24"/>
          <w:szCs w:val="24"/>
        </w:rPr>
        <w:t>/2015</w:t>
      </w:r>
    </w:p>
    <w:p w:rsidR="00B0565F" w:rsidRPr="00962DF9" w:rsidRDefault="00B0565F" w:rsidP="00B0565F">
      <w:pPr>
        <w:jc w:val="right"/>
      </w:pPr>
    </w:p>
    <w:p w:rsidR="00B0565F" w:rsidRPr="0073411A" w:rsidRDefault="00651A7A" w:rsidP="00B0565F">
      <w:pPr>
        <w:spacing w:line="360" w:lineRule="auto"/>
        <w:jc w:val="center"/>
        <w:rPr>
          <w:b/>
          <w:spacing w:val="30"/>
          <w:sz w:val="36"/>
          <w:szCs w:val="36"/>
        </w:rPr>
      </w:pPr>
      <w:r>
        <w:rPr>
          <w:b/>
          <w:spacing w:val="30"/>
          <w:sz w:val="36"/>
          <w:szCs w:val="36"/>
        </w:rPr>
        <w:t>LĒMUMS</w:t>
      </w:r>
    </w:p>
    <w:p w:rsidR="00B0565F" w:rsidRDefault="00B0565F" w:rsidP="00B0565F">
      <w:pPr>
        <w:spacing w:line="360" w:lineRule="auto"/>
        <w:jc w:val="center"/>
      </w:pPr>
    </w:p>
    <w:p w:rsidR="00B0565F" w:rsidRDefault="00B0565F" w:rsidP="00B0565F">
      <w:pPr>
        <w:spacing w:line="360" w:lineRule="auto"/>
        <w:jc w:val="center"/>
      </w:pPr>
      <w:r w:rsidRPr="00C75F2F">
        <w:t xml:space="preserve">Rīgā </w:t>
      </w:r>
      <w:proofErr w:type="gramStart"/>
      <w:r>
        <w:t>20</w:t>
      </w:r>
      <w:r w:rsidR="00651A7A">
        <w:t>15</w:t>
      </w:r>
      <w:r w:rsidRPr="00C75F2F">
        <w:t>.gada</w:t>
      </w:r>
      <w:proofErr w:type="gramEnd"/>
      <w:r w:rsidRPr="00C75F2F">
        <w:t xml:space="preserve"> </w:t>
      </w:r>
      <w:r w:rsidR="00651A7A">
        <w:t>8</w:t>
      </w:r>
      <w:r w:rsidR="00C96398">
        <w:t>.janvārī</w:t>
      </w:r>
    </w:p>
    <w:p w:rsidR="00B0565F" w:rsidRDefault="00B0565F" w:rsidP="00B0565F">
      <w:pPr>
        <w:spacing w:line="360" w:lineRule="auto"/>
        <w:jc w:val="center"/>
      </w:pPr>
    </w:p>
    <w:p w:rsidR="00B0565F" w:rsidRDefault="00651A7A" w:rsidP="00B0565F">
      <w:pPr>
        <w:spacing w:line="360" w:lineRule="auto"/>
        <w:ind w:firstLine="720"/>
        <w:jc w:val="both"/>
      </w:pPr>
      <w:r>
        <w:t xml:space="preserve">Disciplinārtiesa </w:t>
      </w:r>
      <w:r w:rsidR="00B0565F">
        <w:t>šādā sastāvā:</w:t>
      </w:r>
    </w:p>
    <w:p w:rsidR="00651A7A" w:rsidRDefault="00FA2FE6" w:rsidP="00205CA6">
      <w:pPr>
        <w:spacing w:line="360" w:lineRule="auto"/>
        <w:ind w:firstLine="720"/>
        <w:jc w:val="both"/>
      </w:pPr>
      <w:r>
        <w:t>p</w:t>
      </w:r>
      <w:r w:rsidR="00651A7A">
        <w:t>riekšsēdētāja tiesnese</w:t>
      </w:r>
      <w:r>
        <w:t xml:space="preserve"> </w:t>
      </w:r>
      <w:r w:rsidR="00651A7A">
        <w:t>M.Zāģere</w:t>
      </w:r>
    </w:p>
    <w:p w:rsidR="00651A7A" w:rsidRDefault="00651A7A" w:rsidP="00FA2FE6">
      <w:pPr>
        <w:spacing w:line="360" w:lineRule="auto"/>
        <w:ind w:firstLine="426"/>
        <w:jc w:val="both"/>
      </w:pPr>
      <w:r>
        <w:t xml:space="preserve">                 </w:t>
      </w:r>
      <w:r w:rsidR="00975F22">
        <w:tab/>
      </w:r>
      <w:r w:rsidR="00FA2FE6">
        <w:t>t</w:t>
      </w:r>
      <w:r>
        <w:t>iesnesis A.Guļāns</w:t>
      </w:r>
    </w:p>
    <w:p w:rsidR="00651A7A" w:rsidRDefault="00651A7A" w:rsidP="00FA2FE6">
      <w:pPr>
        <w:spacing w:line="360" w:lineRule="auto"/>
        <w:ind w:firstLine="567"/>
        <w:jc w:val="both"/>
      </w:pPr>
      <w:r>
        <w:t xml:space="preserve">             </w:t>
      </w:r>
      <w:r w:rsidR="00975F22">
        <w:tab/>
      </w:r>
      <w:r w:rsidR="00975F22">
        <w:tab/>
      </w:r>
      <w:r w:rsidR="00FA2FE6">
        <w:t>t</w:t>
      </w:r>
      <w:r>
        <w:t>iesnese V.Kakste</w:t>
      </w:r>
    </w:p>
    <w:p w:rsidR="00651A7A" w:rsidRDefault="00651A7A" w:rsidP="00FA2FE6">
      <w:pPr>
        <w:spacing w:line="360" w:lineRule="auto"/>
        <w:ind w:firstLine="567"/>
        <w:jc w:val="both"/>
      </w:pPr>
      <w:r>
        <w:t xml:space="preserve">               </w:t>
      </w:r>
      <w:r w:rsidR="00975F22">
        <w:tab/>
      </w:r>
      <w:r w:rsidR="00FA2FE6">
        <w:t>tiesnese A.Nusberga</w:t>
      </w:r>
    </w:p>
    <w:p w:rsidR="00FA2FE6" w:rsidRDefault="00FA2FE6" w:rsidP="00FA2FE6">
      <w:pPr>
        <w:spacing w:line="360" w:lineRule="auto"/>
        <w:ind w:firstLine="567"/>
        <w:jc w:val="both"/>
      </w:pPr>
      <w:r>
        <w:t xml:space="preserve">               </w:t>
      </w:r>
      <w:r w:rsidR="00975F22">
        <w:tab/>
      </w:r>
      <w:r>
        <w:t>tiesnese I.Radzeviča</w:t>
      </w:r>
    </w:p>
    <w:p w:rsidR="00FA2FE6" w:rsidRPr="004D0BE5" w:rsidRDefault="00FA2FE6" w:rsidP="00FA2FE6">
      <w:pPr>
        <w:spacing w:line="360" w:lineRule="auto"/>
        <w:ind w:firstLine="567"/>
        <w:jc w:val="both"/>
      </w:pPr>
      <w:r>
        <w:t xml:space="preserve">               </w:t>
      </w:r>
      <w:r w:rsidR="00975F22">
        <w:tab/>
      </w:r>
      <w:r>
        <w:t>tiesnesis A.Strupišs</w:t>
      </w:r>
      <w:proofErr w:type="gramStart"/>
      <w:r>
        <w:t xml:space="preserve">   </w:t>
      </w:r>
      <w:proofErr w:type="gramEnd"/>
    </w:p>
    <w:p w:rsidR="00B0565F" w:rsidRDefault="00FA2FE6" w:rsidP="00B0565F">
      <w:pPr>
        <w:spacing w:line="360" w:lineRule="auto"/>
        <w:ind w:firstLine="720"/>
        <w:jc w:val="both"/>
      </w:pPr>
      <w:r>
        <w:t>ar sekretāri Signi Riekstiņu,</w:t>
      </w:r>
    </w:p>
    <w:p w:rsidR="00C96398" w:rsidRDefault="00B0565F" w:rsidP="00283704">
      <w:pPr>
        <w:spacing w:line="360" w:lineRule="auto"/>
        <w:ind w:firstLine="720"/>
        <w:jc w:val="both"/>
      </w:pPr>
      <w:r>
        <w:t>piedaloties</w:t>
      </w:r>
      <w:r w:rsidR="00C96398">
        <w:t xml:space="preserve"> </w:t>
      </w:r>
      <w:r w:rsidR="00283704">
        <w:t>tiesnesim R</w:t>
      </w:r>
      <w:r w:rsidR="00F63F9B">
        <w:t>.</w:t>
      </w:r>
      <w:r w:rsidR="00283704">
        <w:t>B</w:t>
      </w:r>
      <w:r w:rsidR="00F63F9B">
        <w:t>.</w:t>
      </w:r>
      <w:r w:rsidR="00283704">
        <w:t xml:space="preserve"> un </w:t>
      </w:r>
      <w:r w:rsidR="00D75D40">
        <w:t>Tieslietu ministrijas pilnvarotajam pārstāvim Nilam Bīlandam</w:t>
      </w:r>
      <w:r w:rsidR="00E52C57">
        <w:t>,</w:t>
      </w:r>
    </w:p>
    <w:p w:rsidR="00500F6A" w:rsidRDefault="0010159F" w:rsidP="00500F6A">
      <w:pPr>
        <w:spacing w:line="360" w:lineRule="auto"/>
        <w:ind w:firstLine="709"/>
        <w:jc w:val="both"/>
      </w:pPr>
      <w:r>
        <w:t>slēgtā</w:t>
      </w:r>
      <w:r w:rsidR="00B0565F" w:rsidRPr="00362EF9">
        <w:t xml:space="preserve"> sēdē izskatīja </w:t>
      </w:r>
      <w:r w:rsidR="00307952">
        <w:t>Rīgas pilsētas Centra rajona tiesas tiesneša</w:t>
      </w:r>
      <w:r w:rsidR="00500F6A">
        <w:t xml:space="preserve"> </w:t>
      </w:r>
      <w:r w:rsidR="003E4CD8">
        <w:t>R.</w:t>
      </w:r>
      <w:r w:rsidR="00500F6A">
        <w:t>B</w:t>
      </w:r>
      <w:r w:rsidR="003E4CD8">
        <w:t>.</w:t>
      </w:r>
      <w:r w:rsidR="00500F6A">
        <w:t xml:space="preserve"> sūdzību par Tiesnešu disciplinārkolēģijas </w:t>
      </w:r>
      <w:proofErr w:type="gramStart"/>
      <w:r w:rsidR="00500F6A">
        <w:t>2014.gada</w:t>
      </w:r>
      <w:proofErr w:type="gramEnd"/>
      <w:r w:rsidR="00500F6A">
        <w:t xml:space="preserve"> 24.oktobra lēmumu, ar kuru tiesnesim R</w:t>
      </w:r>
      <w:r w:rsidR="00F63F9B">
        <w:t>.</w:t>
      </w:r>
      <w:r w:rsidR="00500F6A">
        <w:t>B</w:t>
      </w:r>
      <w:r w:rsidR="00F63F9B">
        <w:t>.</w:t>
      </w:r>
      <w:r w:rsidR="00500F6A">
        <w:t xml:space="preserve"> uzlikts disciplinārsods – rājiens.</w:t>
      </w:r>
    </w:p>
    <w:p w:rsidR="00B0565F" w:rsidRPr="00362EF9" w:rsidRDefault="00500F6A" w:rsidP="00500F6A">
      <w:pPr>
        <w:spacing w:line="360" w:lineRule="auto"/>
        <w:ind w:firstLine="709"/>
        <w:jc w:val="both"/>
      </w:pPr>
      <w:r>
        <w:t xml:space="preserve"> </w:t>
      </w:r>
    </w:p>
    <w:p w:rsidR="00B0565F" w:rsidRDefault="00B0565F" w:rsidP="00B0565F">
      <w:pPr>
        <w:spacing w:line="360" w:lineRule="auto"/>
        <w:jc w:val="center"/>
        <w:rPr>
          <w:b/>
        </w:rPr>
      </w:pPr>
      <w:r w:rsidRPr="00430472">
        <w:rPr>
          <w:b/>
        </w:rPr>
        <w:t>Aprakstošā daļa</w:t>
      </w:r>
    </w:p>
    <w:p w:rsidR="00B0565F" w:rsidRPr="00A92787" w:rsidRDefault="00B0565F" w:rsidP="00B0565F">
      <w:pPr>
        <w:spacing w:line="360" w:lineRule="auto"/>
        <w:jc w:val="center"/>
        <w:rPr>
          <w:b/>
        </w:rPr>
      </w:pPr>
    </w:p>
    <w:p w:rsidR="001E13E7" w:rsidRDefault="002125A0" w:rsidP="00AF561E">
      <w:pPr>
        <w:spacing w:line="360" w:lineRule="auto"/>
        <w:ind w:firstLine="567"/>
        <w:jc w:val="both"/>
      </w:pPr>
      <w:r>
        <w:t xml:space="preserve">[1] </w:t>
      </w:r>
      <w:r w:rsidR="001E13E7">
        <w:t>Rīgas pilsētas Centra rajona tiesas tiesneša R.</w:t>
      </w:r>
      <w:r w:rsidR="00F63F9B">
        <w:t xml:space="preserve">B. </w:t>
      </w:r>
      <w:r w:rsidR="001E13E7">
        <w:t xml:space="preserve">tiesvedībā atradās civillieta </w:t>
      </w:r>
      <w:proofErr w:type="spellStart"/>
      <w:r w:rsidR="001E13E7">
        <w:t>Nr.</w:t>
      </w:r>
      <w:r w:rsidR="00F63F9B">
        <w:t>C</w:t>
      </w:r>
      <w:proofErr w:type="spellEnd"/>
      <w:r w:rsidR="00F63F9B">
        <w:t>[..]</w:t>
      </w:r>
      <w:r w:rsidR="001E13E7">
        <w:t xml:space="preserve">, kuras izskatīšanas laikā, </w:t>
      </w:r>
      <w:proofErr w:type="gramStart"/>
      <w:r w:rsidR="001E13E7">
        <w:t>2014.gada</w:t>
      </w:r>
      <w:proofErr w:type="gramEnd"/>
      <w:r w:rsidR="001E13E7">
        <w:t xml:space="preserve"> 11.jūlijā</w:t>
      </w:r>
      <w:r w:rsidR="004E6D71">
        <w:t>, atbildētājas AS</w:t>
      </w:r>
      <w:r w:rsidR="00975F22">
        <w:t xml:space="preserve"> </w:t>
      </w:r>
      <w:r w:rsidR="00BD14C4">
        <w:t>“</w:t>
      </w:r>
      <w:proofErr w:type="spellStart"/>
      <w:r w:rsidR="004E6D71">
        <w:t>Swedbank</w:t>
      </w:r>
      <w:proofErr w:type="spellEnd"/>
      <w:r w:rsidR="004E6D71">
        <w:t xml:space="preserve">” pārstāvis tiesnesim pieteica noraidījumu, norādot, ka pastāv pamatotas šaubas par tiesneša objektivitāti, </w:t>
      </w:r>
      <w:proofErr w:type="gramStart"/>
      <w:r w:rsidR="004E6D71">
        <w:t>jo tiesnesis cēlis prasību pret AS</w:t>
      </w:r>
      <w:r w:rsidR="00975F22">
        <w:t xml:space="preserve"> </w:t>
      </w:r>
      <w:r w:rsidR="00BD14C4">
        <w:t>“</w:t>
      </w:r>
      <w:proofErr w:type="spellStart"/>
      <w:r w:rsidR="004E6D71">
        <w:t>Swedbank</w:t>
      </w:r>
      <w:proofErr w:type="spellEnd"/>
      <w:r w:rsidR="004E6D71">
        <w:t>” par god</w:t>
      </w:r>
      <w:r w:rsidR="0027748E">
        <w:t>u</w:t>
      </w:r>
      <w:r w:rsidR="004E6D71">
        <w:t xml:space="preserve"> un cieņ</w:t>
      </w:r>
      <w:r w:rsidR="0027748E">
        <w:t>u</w:t>
      </w:r>
      <w:r w:rsidR="004E6D71">
        <w:t xml:space="preserve"> aizskarošu ziņu atsaukšanu</w:t>
      </w:r>
      <w:proofErr w:type="gramEnd"/>
      <w:r w:rsidR="004E6D71">
        <w:t xml:space="preserve"> un atlīdzības piedziņu.</w:t>
      </w:r>
    </w:p>
    <w:p w:rsidR="004E6D71" w:rsidRDefault="00485237" w:rsidP="00AF561E">
      <w:pPr>
        <w:spacing w:line="360" w:lineRule="auto"/>
        <w:ind w:firstLine="567"/>
        <w:jc w:val="both"/>
      </w:pPr>
      <w:r>
        <w:t>N</w:t>
      </w:r>
      <w:r w:rsidR="004E6D71">
        <w:t xml:space="preserve">oraidījumu tiesnesis </w:t>
      </w:r>
      <w:r>
        <w:t>nepieņēma</w:t>
      </w:r>
      <w:r w:rsidR="004E6D71">
        <w:t>.</w:t>
      </w:r>
    </w:p>
    <w:p w:rsidR="00307952" w:rsidRDefault="004E6D71" w:rsidP="00AF561E">
      <w:pPr>
        <w:spacing w:line="360" w:lineRule="auto"/>
        <w:ind w:firstLine="567"/>
        <w:jc w:val="both"/>
      </w:pPr>
      <w:r>
        <w:t xml:space="preserve">[2] </w:t>
      </w:r>
      <w:r w:rsidR="002125A0">
        <w:t>Rīgas apgabaltiesas priekšsēdētāja</w:t>
      </w:r>
      <w:r w:rsidR="00975F22">
        <w:t>,</w:t>
      </w:r>
      <w:r w:rsidR="002125A0">
        <w:t xml:space="preserve"> pārbaudījusi AS</w:t>
      </w:r>
      <w:r w:rsidR="00975F22">
        <w:t xml:space="preserve"> </w:t>
      </w:r>
      <w:r w:rsidR="00BD14C4">
        <w:t>“</w:t>
      </w:r>
      <w:proofErr w:type="spellStart"/>
      <w:r w:rsidR="002125A0">
        <w:t>Swedbank</w:t>
      </w:r>
      <w:proofErr w:type="spellEnd"/>
      <w:r w:rsidR="002125A0">
        <w:t xml:space="preserve">” sūdzību par tiesneša </w:t>
      </w:r>
      <w:r w:rsidR="001E13E7">
        <w:t>R.</w:t>
      </w:r>
      <w:r w:rsidR="00F63F9B">
        <w:t xml:space="preserve">B. </w:t>
      </w:r>
      <w:r w:rsidR="002125A0">
        <w:t>r</w:t>
      </w:r>
      <w:r w:rsidR="00AF561E">
        <w:t>īcību</w:t>
      </w:r>
      <w:r w:rsidR="00975F22">
        <w:t>,</w:t>
      </w:r>
      <w:r w:rsidR="00485237">
        <w:t xml:space="preserve"> </w:t>
      </w:r>
      <w:proofErr w:type="gramStart"/>
      <w:r w:rsidR="00C477E9">
        <w:t>2014.gada</w:t>
      </w:r>
      <w:proofErr w:type="gramEnd"/>
      <w:r w:rsidR="00C477E9">
        <w:t xml:space="preserve"> 11.septembrī</w:t>
      </w:r>
      <w:r w:rsidR="00307952">
        <w:t xml:space="preserve"> saskaņā ar Tiesnešu disciplinārās atbildības likuma 1.panta pirmās daļas 1.punktu ierosinājusi disciplinārlietu pret tiesnesi R.</w:t>
      </w:r>
      <w:r w:rsidR="00F63F9B">
        <w:t xml:space="preserve">B. </w:t>
      </w:r>
      <w:r w:rsidR="00307952">
        <w:t>par tīšu likuma pārkāpumu tiesas lietas izskatīšanā.</w:t>
      </w:r>
    </w:p>
    <w:p w:rsidR="00975F22" w:rsidRDefault="00975F22" w:rsidP="00AF561E">
      <w:pPr>
        <w:spacing w:line="360" w:lineRule="auto"/>
        <w:ind w:firstLine="567"/>
        <w:jc w:val="both"/>
      </w:pPr>
    </w:p>
    <w:p w:rsidR="00AF561E" w:rsidRDefault="00307952" w:rsidP="008A1135">
      <w:pPr>
        <w:spacing w:line="360" w:lineRule="auto"/>
        <w:ind w:firstLine="567"/>
        <w:jc w:val="both"/>
      </w:pPr>
      <w:r>
        <w:lastRenderedPageBreak/>
        <w:t>[</w:t>
      </w:r>
      <w:r w:rsidR="004E6D71">
        <w:t>3</w:t>
      </w:r>
      <w:r>
        <w:t xml:space="preserve">] </w:t>
      </w:r>
      <w:r w:rsidR="00C477E9">
        <w:t xml:space="preserve">Tieslietu ministrs </w:t>
      </w:r>
      <w:proofErr w:type="gramStart"/>
      <w:r w:rsidR="00C477E9">
        <w:t>2014.gada</w:t>
      </w:r>
      <w:proofErr w:type="gramEnd"/>
      <w:r w:rsidR="00C477E9">
        <w:t xml:space="preserve"> 15.septembrī ierosināja disciplinārlietu pret tiesnesi R.</w:t>
      </w:r>
      <w:r w:rsidR="00F63F9B">
        <w:t xml:space="preserve">B. </w:t>
      </w:r>
      <w:r w:rsidR="00C477E9">
        <w:t>par Tiesnešu ētikas kodeksa 3.kanona rupju pārkāpumu.</w:t>
      </w:r>
      <w:r w:rsidR="007573D3">
        <w:t xml:space="preserve"> </w:t>
      </w:r>
    </w:p>
    <w:p w:rsidR="00975F22" w:rsidRDefault="00975F22" w:rsidP="008A1135">
      <w:pPr>
        <w:spacing w:line="360" w:lineRule="auto"/>
        <w:ind w:firstLine="567"/>
        <w:jc w:val="both"/>
      </w:pPr>
    </w:p>
    <w:p w:rsidR="00393BF2" w:rsidRDefault="004E6D71" w:rsidP="00205CA6">
      <w:pPr>
        <w:spacing w:before="240" w:after="240" w:line="360" w:lineRule="auto"/>
        <w:ind w:firstLine="567"/>
        <w:contextualSpacing/>
        <w:jc w:val="both"/>
        <w:rPr>
          <w:lang w:eastAsia="lv-LV"/>
        </w:rPr>
      </w:pPr>
      <w:r>
        <w:t xml:space="preserve">[4] </w:t>
      </w:r>
      <w:r w:rsidR="00DE463D">
        <w:t>Tiesnešu disciplinārkolēģija</w:t>
      </w:r>
      <w:r w:rsidR="00485237">
        <w:t xml:space="preserve"> (turpmāk </w:t>
      </w:r>
      <w:r w:rsidR="00975F22">
        <w:t xml:space="preserve">– </w:t>
      </w:r>
      <w:r w:rsidR="00485237">
        <w:t>kolēģija)</w:t>
      </w:r>
      <w:r w:rsidR="00DE463D">
        <w:t xml:space="preserve"> </w:t>
      </w:r>
      <w:proofErr w:type="gramStart"/>
      <w:r w:rsidR="00975F22">
        <w:t>2014.gada</w:t>
      </w:r>
      <w:proofErr w:type="gramEnd"/>
      <w:r w:rsidR="00975F22">
        <w:t xml:space="preserve"> 24.oktobra lēmumā </w:t>
      </w:r>
      <w:r w:rsidR="00DE463D">
        <w:t>atzina, ka disciplinārlietas pret tiesnesi R.</w:t>
      </w:r>
      <w:r w:rsidR="00F63F9B">
        <w:t xml:space="preserve">B. </w:t>
      </w:r>
      <w:r w:rsidR="00DE463D">
        <w:t>par tīšu likuma pārkāpumu tiesas lietas izskatīšanā un Tiesnešu ētikas kodeksa normu rupju pārkāpumu ierosinātas pamatoti</w:t>
      </w:r>
      <w:r w:rsidR="00975F22">
        <w:t>, un uzlika tiesnesim disciplinārsodu – rājienu</w:t>
      </w:r>
      <w:r w:rsidR="00DE463D">
        <w:t>.</w:t>
      </w:r>
      <w:r w:rsidR="00393BF2">
        <w:t xml:space="preserve"> Lēmums</w:t>
      </w:r>
      <w:r>
        <w:t xml:space="preserve"> </w:t>
      </w:r>
      <w:r w:rsidR="00393BF2">
        <w:rPr>
          <w:lang w:eastAsia="lv-LV"/>
        </w:rPr>
        <w:t>pamatots ar turpmāk minēto.</w:t>
      </w:r>
    </w:p>
    <w:p w:rsidR="00393BF2" w:rsidRDefault="00393BF2" w:rsidP="001460E6">
      <w:pPr>
        <w:spacing w:before="240" w:after="240" w:line="360" w:lineRule="auto"/>
        <w:ind w:firstLine="567"/>
        <w:contextualSpacing/>
        <w:jc w:val="both"/>
        <w:rPr>
          <w:lang w:eastAsia="lv-LV"/>
        </w:rPr>
      </w:pPr>
      <w:r>
        <w:rPr>
          <w:lang w:eastAsia="lv-LV"/>
        </w:rPr>
        <w:t xml:space="preserve">[4.1] Rīgas pilsētas Kurzemes rajona tiesā </w:t>
      </w:r>
      <w:proofErr w:type="gramStart"/>
      <w:r>
        <w:rPr>
          <w:lang w:eastAsia="lv-LV"/>
        </w:rPr>
        <w:t>2013.gada</w:t>
      </w:r>
      <w:proofErr w:type="gramEnd"/>
      <w:r>
        <w:rPr>
          <w:lang w:eastAsia="lv-LV"/>
        </w:rPr>
        <w:t xml:space="preserve"> 5.maijā ierosināta civillieta tiesneša R.</w:t>
      </w:r>
      <w:r w:rsidR="00F63F9B">
        <w:rPr>
          <w:lang w:eastAsia="lv-LV"/>
        </w:rPr>
        <w:t xml:space="preserve">B. </w:t>
      </w:r>
      <w:r>
        <w:rPr>
          <w:lang w:eastAsia="lv-LV"/>
        </w:rPr>
        <w:t>kā privātpersonas prasībā pret AS “S</w:t>
      </w:r>
      <w:r w:rsidR="00AF2377">
        <w:rPr>
          <w:lang w:eastAsia="lv-LV"/>
        </w:rPr>
        <w:t>w</w:t>
      </w:r>
      <w:r>
        <w:rPr>
          <w:lang w:eastAsia="lv-LV"/>
        </w:rPr>
        <w:t>edbank” par god</w:t>
      </w:r>
      <w:r w:rsidR="0027748E">
        <w:rPr>
          <w:lang w:eastAsia="lv-LV"/>
        </w:rPr>
        <w:t>u</w:t>
      </w:r>
      <w:r>
        <w:rPr>
          <w:lang w:eastAsia="lv-LV"/>
        </w:rPr>
        <w:t xml:space="preserve"> un </w:t>
      </w:r>
      <w:r w:rsidR="0027748E">
        <w:rPr>
          <w:lang w:eastAsia="lv-LV"/>
        </w:rPr>
        <w:t xml:space="preserve">cieņu </w:t>
      </w:r>
      <w:r>
        <w:rPr>
          <w:lang w:eastAsia="lv-LV"/>
        </w:rPr>
        <w:t xml:space="preserve">aizskarošo ziņu atsaukšanu tiesas ceļā un atlīdzības piedziņu. </w:t>
      </w:r>
      <w:r w:rsidR="001460E6">
        <w:rPr>
          <w:lang w:eastAsia="lv-LV"/>
        </w:rPr>
        <w:t>Ar tiesas spriedumu prasība noraidīta</w:t>
      </w:r>
      <w:r w:rsidR="00975F22">
        <w:rPr>
          <w:lang w:eastAsia="lv-LV"/>
        </w:rPr>
        <w:t xml:space="preserve">. Lietā </w:t>
      </w:r>
      <w:r w:rsidR="001460E6">
        <w:rPr>
          <w:lang w:eastAsia="lv-LV"/>
        </w:rPr>
        <w:t>ierosināta apelācijas tiesvedība un lieta no</w:t>
      </w:r>
      <w:r w:rsidR="00975F22">
        <w:rPr>
          <w:lang w:eastAsia="lv-LV"/>
        </w:rPr>
        <w:t>likta</w:t>
      </w:r>
      <w:r w:rsidR="001460E6">
        <w:rPr>
          <w:lang w:eastAsia="lv-LV"/>
        </w:rPr>
        <w:t xml:space="preserve"> izskatīšanai tiesas sēdē </w:t>
      </w:r>
      <w:proofErr w:type="gramStart"/>
      <w:r w:rsidR="001460E6">
        <w:rPr>
          <w:lang w:eastAsia="lv-LV"/>
        </w:rPr>
        <w:t>2014.gada</w:t>
      </w:r>
      <w:proofErr w:type="gramEnd"/>
      <w:r w:rsidR="001460E6">
        <w:rPr>
          <w:lang w:eastAsia="lv-LV"/>
        </w:rPr>
        <w:t xml:space="preserve"> 5.novembrī. </w:t>
      </w:r>
    </w:p>
    <w:p w:rsidR="0010798B" w:rsidRDefault="00AF2377" w:rsidP="001460E6">
      <w:pPr>
        <w:spacing w:before="240" w:after="240" w:line="360" w:lineRule="auto"/>
        <w:ind w:firstLine="567"/>
        <w:contextualSpacing/>
        <w:jc w:val="both"/>
        <w:rPr>
          <w:lang w:eastAsia="lv-LV"/>
        </w:rPr>
      </w:pPr>
      <w:r>
        <w:rPr>
          <w:lang w:eastAsia="lv-LV"/>
        </w:rPr>
        <w:t>Prasības pieteikumā tiesnesis R.</w:t>
      </w:r>
      <w:r w:rsidR="00F63F9B">
        <w:rPr>
          <w:lang w:eastAsia="lv-LV"/>
        </w:rPr>
        <w:t xml:space="preserve">B. </w:t>
      </w:r>
      <w:r>
        <w:rPr>
          <w:lang w:eastAsia="lv-LV"/>
        </w:rPr>
        <w:t>norādījis, ka AS “</w:t>
      </w:r>
      <w:proofErr w:type="spellStart"/>
      <w:r>
        <w:rPr>
          <w:lang w:eastAsia="lv-LV"/>
        </w:rPr>
        <w:t>Swedbank</w:t>
      </w:r>
      <w:proofErr w:type="spellEnd"/>
      <w:r>
        <w:rPr>
          <w:lang w:eastAsia="lv-LV"/>
        </w:rPr>
        <w:t>”</w:t>
      </w:r>
      <w:r w:rsidR="00BF0C0E">
        <w:rPr>
          <w:lang w:eastAsia="lv-LV"/>
        </w:rPr>
        <w:t xml:space="preserve"> </w:t>
      </w:r>
      <w:r>
        <w:rPr>
          <w:lang w:eastAsia="lv-LV"/>
        </w:rPr>
        <w:t xml:space="preserve">iesniegusi Saeimas </w:t>
      </w:r>
      <w:r w:rsidR="00BD14C4">
        <w:rPr>
          <w:lang w:eastAsia="lv-LV"/>
        </w:rPr>
        <w:t>J</w:t>
      </w:r>
      <w:r>
        <w:rPr>
          <w:lang w:eastAsia="lv-LV"/>
        </w:rPr>
        <w:t>uridiskās komisijas priekšsēdētājai iesniegum</w:t>
      </w:r>
      <w:r w:rsidR="00BF0C0E">
        <w:rPr>
          <w:lang w:eastAsia="lv-LV"/>
        </w:rPr>
        <w:t>u</w:t>
      </w:r>
      <w:r>
        <w:rPr>
          <w:lang w:eastAsia="lv-LV"/>
        </w:rPr>
        <w:t xml:space="preserve">, kurā </w:t>
      </w:r>
      <w:r w:rsidR="0035691C">
        <w:rPr>
          <w:lang w:eastAsia="lv-LV"/>
        </w:rPr>
        <w:t>minēts,</w:t>
      </w:r>
      <w:r>
        <w:rPr>
          <w:lang w:eastAsia="lv-LV"/>
        </w:rPr>
        <w:t xml:space="preserve"> ka</w:t>
      </w:r>
      <w:r w:rsidR="00BF0C0E">
        <w:rPr>
          <w:lang w:eastAsia="lv-LV"/>
        </w:rPr>
        <w:t xml:space="preserve"> piepildījušās bažas par ievērojama apjoma krāpšanas shēmu, kas tiek īstenota</w:t>
      </w:r>
      <w:r>
        <w:rPr>
          <w:lang w:eastAsia="lv-LV"/>
        </w:rPr>
        <w:t xml:space="preserve"> </w:t>
      </w:r>
      <w:r w:rsidR="00BF0C0E">
        <w:rPr>
          <w:lang w:eastAsia="lv-LV"/>
        </w:rPr>
        <w:t>ar Centra rajona tiesas tiesneša R.</w:t>
      </w:r>
      <w:r w:rsidR="00F63F9B">
        <w:rPr>
          <w:lang w:eastAsia="lv-LV"/>
        </w:rPr>
        <w:t xml:space="preserve">B. </w:t>
      </w:r>
      <w:r w:rsidR="00BF0C0E">
        <w:rPr>
          <w:lang w:eastAsia="lv-LV"/>
        </w:rPr>
        <w:t>klaji prettiesiskajiem lēmumiem, likuma garam un burtam neatbilstošu ārpustiesas tiesiskās aizsardzības procesu. Tiesnesis lūdz AS “</w:t>
      </w:r>
      <w:proofErr w:type="spellStart"/>
      <w:r w:rsidR="00BF0C0E">
        <w:rPr>
          <w:lang w:eastAsia="lv-LV"/>
        </w:rPr>
        <w:t>Swedbank</w:t>
      </w:r>
      <w:proofErr w:type="spellEnd"/>
      <w:r w:rsidR="00BF0C0E">
        <w:rPr>
          <w:lang w:eastAsia="lv-LV"/>
        </w:rPr>
        <w:t xml:space="preserve">” šīs nepatiesās ziņas </w:t>
      </w:r>
      <w:r w:rsidR="007578A8">
        <w:rPr>
          <w:lang w:eastAsia="lv-LV"/>
        </w:rPr>
        <w:t>atsaukt un izmaksāt kompensāciju.</w:t>
      </w:r>
    </w:p>
    <w:p w:rsidR="00AF2377" w:rsidRDefault="0010798B" w:rsidP="001460E6">
      <w:pPr>
        <w:spacing w:before="240" w:after="240" w:line="360" w:lineRule="auto"/>
        <w:ind w:firstLine="567"/>
        <w:contextualSpacing/>
        <w:jc w:val="both"/>
        <w:rPr>
          <w:lang w:eastAsia="lv-LV"/>
        </w:rPr>
      </w:pPr>
      <w:r>
        <w:rPr>
          <w:lang w:eastAsia="lv-LV"/>
        </w:rPr>
        <w:t xml:space="preserve">Centra rajona tiesā ierosināta civillieta </w:t>
      </w:r>
      <w:proofErr w:type="spellStart"/>
      <w:r>
        <w:rPr>
          <w:lang w:eastAsia="lv-LV"/>
        </w:rPr>
        <w:t>Nr.</w:t>
      </w:r>
      <w:r w:rsidR="00F63F9B">
        <w:rPr>
          <w:lang w:eastAsia="lv-LV"/>
        </w:rPr>
        <w:t>C</w:t>
      </w:r>
      <w:proofErr w:type="spellEnd"/>
      <w:r w:rsidR="00F63F9B">
        <w:rPr>
          <w:lang w:eastAsia="lv-LV"/>
        </w:rPr>
        <w:t xml:space="preserve">[..] </w:t>
      </w:r>
      <w:r>
        <w:rPr>
          <w:lang w:eastAsia="lv-LV"/>
        </w:rPr>
        <w:t>SIA “Gvano” prasībā pret AS “Swedbank”</w:t>
      </w:r>
      <w:r w:rsidR="00BF0C0E">
        <w:rPr>
          <w:lang w:eastAsia="lv-LV"/>
        </w:rPr>
        <w:t xml:space="preserve"> </w:t>
      </w:r>
      <w:r>
        <w:rPr>
          <w:lang w:eastAsia="lv-LV"/>
        </w:rPr>
        <w:t>par hipotēku un aizlieguma atzīmju ierakstu zemesgrāmatā dzēšanu. Minētajā lietā tiesnesis R.</w:t>
      </w:r>
      <w:r w:rsidR="00F63F9B">
        <w:rPr>
          <w:lang w:eastAsia="lv-LV"/>
        </w:rPr>
        <w:t xml:space="preserve">B. </w:t>
      </w:r>
      <w:r>
        <w:rPr>
          <w:lang w:eastAsia="lv-LV"/>
        </w:rPr>
        <w:t xml:space="preserve">lēmis par prasības nodrošinājuma atcelšanu pēc tam, kad viņš </w:t>
      </w:r>
      <w:proofErr w:type="gramStart"/>
      <w:r>
        <w:rPr>
          <w:lang w:eastAsia="lv-LV"/>
        </w:rPr>
        <w:t>2014.gada</w:t>
      </w:r>
      <w:proofErr w:type="gramEnd"/>
      <w:r>
        <w:rPr>
          <w:lang w:eastAsia="lv-LV"/>
        </w:rPr>
        <w:t xml:space="preserve"> 11.jūlijā bija noraidī</w:t>
      </w:r>
      <w:r w:rsidR="00975F22">
        <w:rPr>
          <w:lang w:eastAsia="lv-LV"/>
        </w:rPr>
        <w:t>jis</w:t>
      </w:r>
      <w:r>
        <w:rPr>
          <w:lang w:eastAsia="lv-LV"/>
        </w:rPr>
        <w:t xml:space="preserve"> AS “Swedbank” pārstāvja pieteikto noraidījumu.</w:t>
      </w:r>
    </w:p>
    <w:p w:rsidR="0010798B" w:rsidRDefault="0010798B" w:rsidP="001460E6">
      <w:pPr>
        <w:spacing w:before="240" w:after="240" w:line="360" w:lineRule="auto"/>
        <w:ind w:firstLine="567"/>
        <w:contextualSpacing/>
        <w:jc w:val="both"/>
        <w:rPr>
          <w:lang w:eastAsia="lv-LV"/>
        </w:rPr>
      </w:pPr>
      <w:r>
        <w:rPr>
          <w:lang w:eastAsia="lv-LV"/>
        </w:rPr>
        <w:t>[4.2] Pastāvot apstākļu kopumam</w:t>
      </w:r>
      <w:r w:rsidR="00986791">
        <w:rPr>
          <w:lang w:eastAsia="lv-LV"/>
        </w:rPr>
        <w:t>, ka tiesneša izspriešanā nonākusi lieta, kurā pret lietas dalībnieku pats tiesnesis ir cēlis prasību citā civillietā, tiesnesim R.</w:t>
      </w:r>
      <w:r w:rsidR="00F63F9B">
        <w:rPr>
          <w:lang w:eastAsia="lv-LV"/>
        </w:rPr>
        <w:t xml:space="preserve">B. </w:t>
      </w:r>
      <w:r w:rsidR="00986791">
        <w:rPr>
          <w:lang w:eastAsia="lv-LV"/>
        </w:rPr>
        <w:t xml:space="preserve">bija pamats sevis atstatīšanai no nolēmuma pieņemšanas neatkarīgi no tā, vai procesa dalībnieki ir izmantojuši savas tiesības pieteikt noraidījumu tiesnesim, jo ir apstākļi, kas nepārprotami rada pamatotas šaubas par tiesneša objektivitāti lietas izskatīšanā ne tikai lietas dalībniekiem, bet arī saprātīgam vērotājam no malas. Neatstatot sevi no lietas </w:t>
      </w:r>
      <w:proofErr w:type="spellStart"/>
      <w:r w:rsidR="00986791">
        <w:rPr>
          <w:lang w:eastAsia="lv-LV"/>
        </w:rPr>
        <w:t>Nr.</w:t>
      </w:r>
      <w:r w:rsidR="00F63F9B">
        <w:rPr>
          <w:lang w:eastAsia="lv-LV"/>
        </w:rPr>
        <w:t>C</w:t>
      </w:r>
      <w:proofErr w:type="spellEnd"/>
      <w:r w:rsidR="00F63F9B">
        <w:rPr>
          <w:lang w:eastAsia="lv-LV"/>
        </w:rPr>
        <w:t xml:space="preserve">[..] </w:t>
      </w:r>
      <w:r w:rsidR="00986791">
        <w:rPr>
          <w:lang w:eastAsia="lv-LV"/>
        </w:rPr>
        <w:t>izskatīšanas, tiesnesis R.</w:t>
      </w:r>
      <w:r w:rsidR="00F63F9B">
        <w:rPr>
          <w:lang w:eastAsia="lv-LV"/>
        </w:rPr>
        <w:t xml:space="preserve">B. </w:t>
      </w:r>
      <w:r w:rsidR="00986791">
        <w:rPr>
          <w:lang w:eastAsia="lv-LV"/>
        </w:rPr>
        <w:t>ir pārkāpis pienākumu būt objektīvam</w:t>
      </w:r>
      <w:r w:rsidR="00267CB0">
        <w:rPr>
          <w:lang w:eastAsia="lv-LV"/>
        </w:rPr>
        <w:t>,</w:t>
      </w:r>
      <w:r w:rsidR="00986791">
        <w:rPr>
          <w:lang w:eastAsia="lv-LV"/>
        </w:rPr>
        <w:t xml:space="preserve"> un šī principa pārkāpums būtiski ietekmē tiesas prestižu.</w:t>
      </w:r>
    </w:p>
    <w:p w:rsidR="002208DF" w:rsidRDefault="00986791" w:rsidP="002208DF">
      <w:pPr>
        <w:spacing w:before="240" w:after="240" w:line="360" w:lineRule="auto"/>
        <w:ind w:firstLine="567"/>
        <w:contextualSpacing/>
        <w:jc w:val="both"/>
      </w:pPr>
      <w:r>
        <w:rPr>
          <w:lang w:eastAsia="lv-LV"/>
        </w:rPr>
        <w:t>[4.3]</w:t>
      </w:r>
      <w:r w:rsidR="002208DF">
        <w:rPr>
          <w:lang w:eastAsia="lv-LV"/>
        </w:rPr>
        <w:t xml:space="preserve"> Saskaņā ar likuma “Par tiesu varu” </w:t>
      </w:r>
      <w:proofErr w:type="gramStart"/>
      <w:r w:rsidR="002208DF">
        <w:rPr>
          <w:lang w:eastAsia="lv-LV"/>
        </w:rPr>
        <w:t>14.panta</w:t>
      </w:r>
      <w:proofErr w:type="gramEnd"/>
      <w:r w:rsidR="002208DF">
        <w:rPr>
          <w:lang w:eastAsia="lv-LV"/>
        </w:rPr>
        <w:t xml:space="preserve"> pirmo daļu t</w:t>
      </w:r>
      <w:r w:rsidR="002208DF" w:rsidRPr="002208DF">
        <w:t xml:space="preserve">iesnesis nevar piedalīties lietas izskatīšanā, ja viņš personiski tieši vai netieši ir ieinteresēts lietas </w:t>
      </w:r>
      <w:r w:rsidR="002208DF" w:rsidRPr="002208DF">
        <w:lastRenderedPageBreak/>
        <w:t>iznākumā vai ja ir citi apstākļi, kas rada šaubas par viņa objektivitāti, kā arī likumā “Par interešu konflikta novēršanu valsts amatpersonu darbībā” paredzētajos gadījumos.</w:t>
      </w:r>
      <w:r w:rsidR="002208DF">
        <w:t xml:space="preserve"> Minētā panta otrā un trešā daļa nosaka pienākumu tiesnesim sevi atstatīt, ja tiesnesis to nav izdarījis, personas, kas piedalās lietā, var pieteikt noraidījumu tiesnesim.</w:t>
      </w:r>
    </w:p>
    <w:p w:rsidR="006C383F" w:rsidRDefault="002208DF" w:rsidP="002208DF">
      <w:pPr>
        <w:spacing w:before="240" w:after="240" w:line="360" w:lineRule="auto"/>
        <w:ind w:firstLine="567"/>
        <w:contextualSpacing/>
        <w:jc w:val="both"/>
      </w:pPr>
      <w:r>
        <w:t xml:space="preserve">[4.4] </w:t>
      </w:r>
      <w:r w:rsidR="00267CB0">
        <w:t>L</w:t>
      </w:r>
      <w:r>
        <w:t>ikuma “Par interešu konflikta novēršanu valsts amatpersonu darbībā”</w:t>
      </w:r>
      <w:r w:rsidR="0027748E">
        <w:t xml:space="preserve"> </w:t>
      </w:r>
      <w:proofErr w:type="gramStart"/>
      <w:r>
        <w:t>11.panta</w:t>
      </w:r>
      <w:proofErr w:type="gramEnd"/>
      <w:r>
        <w:t xml:space="preserve"> pirmā daļa no</w:t>
      </w:r>
      <w:r w:rsidR="00267CB0">
        <w:t>teic</w:t>
      </w:r>
      <w:r>
        <w:t>, ka valsts amatpersonai ir aizliegts, pildot valsts amatpersonas pienākumus, sagatavot vai izdot administratīvos aktus, veikt uzraudzības, kontroles, izziņas vai sodīšanas funkcijas, slēgt līgumus vai veikt citas darbības, kurās šī valsts amatpersona, tās radinieki vai darījumu partneri ir personiski vai mantiski ieinteresēti.</w:t>
      </w:r>
      <w:r w:rsidR="00267CB0">
        <w:t xml:space="preserve"> </w:t>
      </w:r>
      <w:r>
        <w:t>Minētā likuma 22.panta otrā daļa</w:t>
      </w:r>
      <w:r w:rsidR="006C383F">
        <w:t xml:space="preserve"> no</w:t>
      </w:r>
      <w:r w:rsidR="00267CB0">
        <w:t>teic</w:t>
      </w:r>
      <w:r w:rsidR="006C383F">
        <w:t>, ka valsts amatpersona atsakās no tās amata pienākumu veikšanas vai valsts amatpersonas amata savienošanas visos gadījumos, kad ētisku apsvērumu dēļ varētu tikt apšaubīta tās darbības objektivitāte un neitralitāte.</w:t>
      </w:r>
    </w:p>
    <w:p w:rsidR="00A63B36" w:rsidRDefault="006C383F" w:rsidP="002208DF">
      <w:pPr>
        <w:spacing w:before="240" w:after="240" w:line="360" w:lineRule="auto"/>
        <w:ind w:firstLine="567"/>
        <w:contextualSpacing/>
        <w:jc w:val="both"/>
      </w:pPr>
      <w:r>
        <w:t xml:space="preserve">Ievērojot minēto, kolēģija </w:t>
      </w:r>
      <w:r w:rsidR="0027748E">
        <w:t>atzina</w:t>
      </w:r>
      <w:r>
        <w:t xml:space="preserve">, ka saskaņā ar Tiesnešu disciplinārās atbildības likuma </w:t>
      </w:r>
      <w:proofErr w:type="gramStart"/>
      <w:r>
        <w:t>1.panta</w:t>
      </w:r>
      <w:proofErr w:type="gramEnd"/>
      <w:r>
        <w:t xml:space="preserve"> pirmās daļas </w:t>
      </w:r>
      <w:r w:rsidR="00267CB0">
        <w:t>1.</w:t>
      </w:r>
      <w:r>
        <w:t>punktu ir pamats tiesneša R.</w:t>
      </w:r>
      <w:r w:rsidR="00F63F9B">
        <w:t xml:space="preserve">B. </w:t>
      </w:r>
      <w:r>
        <w:t xml:space="preserve">saukšanai pie disciplinārās atbildības par tīšu likuma pārkāpumu tiesas lietas izskatīšanā, jo tiesnesis nav ievērojis Civilprocesa likuma 19.panta pirmās daļas 4.punkta prasības, kas noteic, ka </w:t>
      </w:r>
      <w:r w:rsidR="00A63B36">
        <w:t>tiesnesis nav tiesīgs piedalīties lietas izskatīšanā</w:t>
      </w:r>
      <w:r w:rsidR="00C735A7">
        <w:t xml:space="preserve"> un viņam sevi jāatstata līdz lietas izskatīšanas sākumam</w:t>
      </w:r>
      <w:r w:rsidR="00A63B36">
        <w:t>, ja viņš ir personīgi tieši vai netieši ieinteresēts lietas iznākumā vai ir citi apstākļi, kas rada pamatotas šaubas par viņa objektivitāti.</w:t>
      </w:r>
    </w:p>
    <w:p w:rsidR="00C735A7" w:rsidRDefault="00C735A7" w:rsidP="002208DF">
      <w:pPr>
        <w:spacing w:before="240" w:after="240" w:line="360" w:lineRule="auto"/>
        <w:ind w:firstLine="567"/>
        <w:contextualSpacing/>
        <w:jc w:val="both"/>
      </w:pPr>
      <w:r>
        <w:t xml:space="preserve">[4.5] </w:t>
      </w:r>
      <w:r w:rsidR="002C0B67">
        <w:t>K</w:t>
      </w:r>
      <w:r>
        <w:t>olēģija secināja, ka tiesneša R.</w:t>
      </w:r>
      <w:r w:rsidR="00F63F9B">
        <w:t xml:space="preserve">B. </w:t>
      </w:r>
      <w:r>
        <w:t>rīcība uzskatāma arī par ētikas normu</w:t>
      </w:r>
      <w:r w:rsidR="005E2EA2">
        <w:t xml:space="preserve"> rupju</w:t>
      </w:r>
      <w:r>
        <w:t xml:space="preserve"> pārkāpumu</w:t>
      </w:r>
      <w:proofErr w:type="gramStart"/>
      <w:r>
        <w:t xml:space="preserve"> un</w:t>
      </w:r>
      <w:proofErr w:type="gramEnd"/>
      <w:r>
        <w:t xml:space="preserve"> tā izriet no tīša likuma pārkāpuma izdarīšanas tiesas lietas izskatīšanā.</w:t>
      </w:r>
    </w:p>
    <w:p w:rsidR="00C735A7" w:rsidRDefault="00C735A7" w:rsidP="002208DF">
      <w:pPr>
        <w:spacing w:before="240" w:after="240" w:line="360" w:lineRule="auto"/>
        <w:ind w:firstLine="567"/>
        <w:contextualSpacing/>
        <w:jc w:val="both"/>
      </w:pPr>
      <w:r>
        <w:t>Tiesnesim R.</w:t>
      </w:r>
      <w:r w:rsidR="00F63F9B">
        <w:t>B.</w:t>
      </w:r>
      <w:r>
        <w:t>, saņemot izskatīšanai civillietu, kurā lietas dalībnieks ir persona, pret kuru citā lietā tiesnesis iesniedzis prasību, bija jāapsver,</w:t>
      </w:r>
      <w:r w:rsidR="003B35E8">
        <w:t xml:space="preserve"> </w:t>
      </w:r>
      <w:r>
        <w:t>kā šos konkrētos apstākļus vērtētu informēts</w:t>
      </w:r>
      <w:r w:rsidR="003B35E8">
        <w:t xml:space="preserve"> </w:t>
      </w:r>
      <w:r>
        <w:t>un saprātīgs sabiedrības loceklis, un pat</w:t>
      </w:r>
      <w:r w:rsidR="00AA7577">
        <w:t xml:space="preserve"> </w:t>
      </w:r>
      <w:r>
        <w:t>ja tiesnesis nesaskatīja pamatu sevis atstatīšanai, tad pieteiktais</w:t>
      </w:r>
      <w:r w:rsidR="003B35E8">
        <w:t xml:space="preserve"> noraidījums liecināja par lietas dalībnieku šaubām par tiesneša objektivitāti.</w:t>
      </w:r>
      <w:r>
        <w:t xml:space="preserve"> </w:t>
      </w:r>
    </w:p>
    <w:p w:rsidR="003B35E8" w:rsidRDefault="003B35E8" w:rsidP="002208DF">
      <w:pPr>
        <w:spacing w:before="240" w:after="240" w:line="360" w:lineRule="auto"/>
        <w:ind w:firstLine="567"/>
        <w:contextualSpacing/>
        <w:jc w:val="both"/>
      </w:pPr>
      <w:r>
        <w:t>Atbilstoši tiesnešu ētikas normām tiesnesim jāpilda tiesu varas uzliktie pienākumi objektīvi un taisnīgi.</w:t>
      </w:r>
    </w:p>
    <w:p w:rsidR="006D746C" w:rsidRDefault="003B35E8" w:rsidP="002208DF">
      <w:pPr>
        <w:spacing w:before="240" w:after="240" w:line="360" w:lineRule="auto"/>
        <w:ind w:firstLine="567"/>
        <w:contextualSpacing/>
        <w:jc w:val="both"/>
      </w:pPr>
      <w:r>
        <w:t>Tā kā tiesnesis R.</w:t>
      </w:r>
      <w:r w:rsidR="00F63F9B">
        <w:t xml:space="preserve">B. </w:t>
      </w:r>
      <w:r>
        <w:t xml:space="preserve">neatstatīja sevi no civillietas </w:t>
      </w:r>
      <w:proofErr w:type="spellStart"/>
      <w:r>
        <w:t>Nr.</w:t>
      </w:r>
      <w:r w:rsidR="00F63F9B">
        <w:t>C</w:t>
      </w:r>
      <w:proofErr w:type="spellEnd"/>
      <w:r w:rsidR="00F63F9B">
        <w:t xml:space="preserve">[..] </w:t>
      </w:r>
      <w:r>
        <w:t>izskatīšanas un nepieņēma viņam pieteikto noraidījumu, viņš pārkāpa Tiesnešu ētikas kodeksa 3.kanonu (8.</w:t>
      </w:r>
      <w:r w:rsidR="00267CB0">
        <w:t xml:space="preserve"> </w:t>
      </w:r>
      <w:r>
        <w:t>un</w:t>
      </w:r>
      <w:r w:rsidR="00267CB0">
        <w:t xml:space="preserve"> </w:t>
      </w:r>
      <w:r>
        <w:t>18.punktu), kas noteic</w:t>
      </w:r>
      <w:r w:rsidR="006D746C">
        <w:t xml:space="preserve">, ka tiesnesis pilda tiesu varas uzliktos </w:t>
      </w:r>
      <w:r w:rsidR="006D746C">
        <w:lastRenderedPageBreak/>
        <w:t xml:space="preserve">pienākumus objektīvi un taisnīgi, </w:t>
      </w:r>
      <w:r>
        <w:t>tiesnesis izvairās no vārdiem un runas, žestiem vai citas darbības, ko varētu uzņemt kā neobjektivitāti vai aizspriedumu izpausmi</w:t>
      </w:r>
      <w:r w:rsidR="006D746C">
        <w:t>. Tiesnesis atstata sevi no tiesas procesa, kurā viņam personīgi, dzīvesbiedram vai citiem radiniekiem un ģimenes locekļiem ir ekonomiska interese par izskatāmās lietas būtību vai prāvā iesaistīto pusi.</w:t>
      </w:r>
    </w:p>
    <w:p w:rsidR="007F1370" w:rsidRDefault="002C0B67" w:rsidP="002208DF">
      <w:pPr>
        <w:spacing w:before="240" w:after="240" w:line="360" w:lineRule="auto"/>
        <w:ind w:firstLine="567"/>
        <w:contextualSpacing/>
        <w:jc w:val="both"/>
      </w:pPr>
      <w:r>
        <w:t>K</w:t>
      </w:r>
      <w:r w:rsidR="006D746C">
        <w:t>olēģija uzskatīja, ka ir pamats tiesnesi R.</w:t>
      </w:r>
      <w:r w:rsidR="00F63F9B">
        <w:t xml:space="preserve">B. </w:t>
      </w:r>
      <w:r w:rsidR="006D746C">
        <w:t xml:space="preserve">saukt pie disciplinārās atbildības, saskaņā ar Tiesnešu disciplinārās atbildības likuma </w:t>
      </w:r>
      <w:proofErr w:type="gramStart"/>
      <w:r w:rsidR="007F1370">
        <w:t>1</w:t>
      </w:r>
      <w:r w:rsidR="006D746C">
        <w:t>.panta</w:t>
      </w:r>
      <w:proofErr w:type="gramEnd"/>
      <w:r w:rsidR="006D746C">
        <w:t xml:space="preserve"> pirmās daļas 3.punktu par ties</w:t>
      </w:r>
      <w:r w:rsidR="00433372">
        <w:t>n</w:t>
      </w:r>
      <w:r w:rsidR="006D746C">
        <w:t>ešu ētikas normu rupju pārkāpumu</w:t>
      </w:r>
      <w:r w:rsidR="00433372">
        <w:t>.</w:t>
      </w:r>
    </w:p>
    <w:p w:rsidR="007F1370" w:rsidRDefault="007F1370" w:rsidP="002208DF">
      <w:pPr>
        <w:spacing w:before="240" w:after="240" w:line="360" w:lineRule="auto"/>
        <w:ind w:firstLine="567"/>
        <w:contextualSpacing/>
        <w:jc w:val="both"/>
      </w:pPr>
      <w:r>
        <w:t xml:space="preserve">[4.6] </w:t>
      </w:r>
      <w:r w:rsidR="002C0B67">
        <w:t>K</w:t>
      </w:r>
      <w:r>
        <w:t>olēģija nolēma tiesnesim R.</w:t>
      </w:r>
      <w:r w:rsidR="00F63F9B">
        <w:t xml:space="preserve">B. </w:t>
      </w:r>
      <w:r>
        <w:t>uzlikt disciplinārsodu rājienu.</w:t>
      </w:r>
    </w:p>
    <w:p w:rsidR="007F1370" w:rsidRDefault="007F1370" w:rsidP="002208DF">
      <w:pPr>
        <w:spacing w:before="240" w:after="240" w:line="360" w:lineRule="auto"/>
        <w:ind w:firstLine="567"/>
        <w:contextualSpacing/>
        <w:jc w:val="both"/>
      </w:pPr>
    </w:p>
    <w:p w:rsidR="007F1370" w:rsidRDefault="007F1370" w:rsidP="00205CA6">
      <w:pPr>
        <w:spacing w:line="360" w:lineRule="auto"/>
        <w:ind w:firstLine="567"/>
        <w:jc w:val="both"/>
      </w:pPr>
      <w:r>
        <w:t>[5] Tiesnesis R.</w:t>
      </w:r>
      <w:r w:rsidR="00F63F9B">
        <w:t xml:space="preserve">B. </w:t>
      </w:r>
      <w:r>
        <w:t xml:space="preserve">par </w:t>
      </w:r>
      <w:r w:rsidR="002C0B67">
        <w:t>k</w:t>
      </w:r>
      <w:r>
        <w:t xml:space="preserve">olēģijas </w:t>
      </w:r>
      <w:proofErr w:type="gramStart"/>
      <w:r>
        <w:t>2014.gada</w:t>
      </w:r>
      <w:proofErr w:type="gramEnd"/>
      <w:r>
        <w:t xml:space="preserve"> 24.oktobra lēmumu iesniedza sūdzību, lūdzot lēmumu atcelt</w:t>
      </w:r>
      <w:r w:rsidR="00AD7630">
        <w:t xml:space="preserve"> un izbeigt disciplinārlietas</w:t>
      </w:r>
      <w:r>
        <w:t>. Sūdzībā norādīts turpmāk minētais.</w:t>
      </w:r>
    </w:p>
    <w:p w:rsidR="00AD7630" w:rsidRDefault="00AD7630" w:rsidP="00205CA6">
      <w:pPr>
        <w:spacing w:line="360" w:lineRule="auto"/>
        <w:ind w:firstLine="567"/>
        <w:jc w:val="both"/>
      </w:pPr>
      <w:r>
        <w:t xml:space="preserve">[5.1] </w:t>
      </w:r>
      <w:r w:rsidR="002C0B67">
        <w:t>K</w:t>
      </w:r>
      <w:r>
        <w:t>olēģija lietu izskatīja nelikumīgā sastāvā, jo Vidzemes apgabaltiesas priekšsēdētāja</w:t>
      </w:r>
      <w:r w:rsidR="005A10FA">
        <w:t>, kura piedalījās disciplinārlietas izskatīšanā, nav iecelta priekšsēdētājas amatā likumā "Par tiesu varu” paredzētajā kārtībā.</w:t>
      </w:r>
    </w:p>
    <w:p w:rsidR="00D22BE3" w:rsidRDefault="005A10FA" w:rsidP="00205CA6">
      <w:pPr>
        <w:spacing w:line="360" w:lineRule="auto"/>
        <w:ind w:firstLine="567"/>
        <w:jc w:val="both"/>
      </w:pPr>
      <w:r>
        <w:t xml:space="preserve">[5.2] </w:t>
      </w:r>
      <w:r w:rsidR="00EF0AF0">
        <w:t>Likuma norma, ka tiesnesi var saukt pie disciplinārās atbildības par tīšu likuma pārkāpumu tiesas lietas izskatīšanā, nav tulkojama paplašināti. Tiesnesis piekrīt, ka ir kļūdījies, nepieņemot noraidījumu, tomēr to nav darījis</w:t>
      </w:r>
      <w:r w:rsidR="00AA7577">
        <w:t>,</w:t>
      </w:r>
      <w:r w:rsidR="00EF0AF0">
        <w:t xml:space="preserve"> tīši pārkāpjot likumu.</w:t>
      </w:r>
    </w:p>
    <w:p w:rsidR="005A10FA" w:rsidRDefault="00D22BE3" w:rsidP="00205CA6">
      <w:pPr>
        <w:spacing w:line="360" w:lineRule="auto"/>
        <w:ind w:firstLine="567"/>
        <w:jc w:val="both"/>
      </w:pPr>
      <w:r>
        <w:t xml:space="preserve">[5.3] </w:t>
      </w:r>
      <w:r w:rsidR="002C0B67">
        <w:t>K</w:t>
      </w:r>
      <w:r>
        <w:t>olēģija</w:t>
      </w:r>
      <w:r w:rsidR="00F9610E">
        <w:t>,</w:t>
      </w:r>
      <w:r>
        <w:t xml:space="preserve"> pieņemot lēmumu</w:t>
      </w:r>
      <w:r w:rsidR="00F9610E">
        <w:t>,</w:t>
      </w:r>
      <w:r>
        <w:t xml:space="preserve"> ir ignorējusi</w:t>
      </w:r>
      <w:r w:rsidR="005A10FA">
        <w:t xml:space="preserve"> </w:t>
      </w:r>
      <w:r w:rsidR="00F9610E">
        <w:t>turpmāk minētos apstākļus.</w:t>
      </w:r>
    </w:p>
    <w:p w:rsidR="006D746C" w:rsidRDefault="00F9610E" w:rsidP="00205CA6">
      <w:pPr>
        <w:spacing w:line="360" w:lineRule="auto"/>
        <w:ind w:firstLine="567"/>
        <w:jc w:val="both"/>
      </w:pPr>
      <w:r>
        <w:t xml:space="preserve">[5.3.1] </w:t>
      </w:r>
      <w:r w:rsidR="003432E6">
        <w:t xml:space="preserve">No lietas apstākļiem redzams, ka advokāta </w:t>
      </w:r>
      <w:r w:rsidR="000C6A07">
        <w:t>I.</w:t>
      </w:r>
      <w:r w:rsidR="00F63F9B">
        <w:t xml:space="preserve">B. </w:t>
      </w:r>
      <w:r w:rsidR="003432E6">
        <w:t xml:space="preserve">noraidījuma pamatā ir nepatika un naids pret tiesnesi. </w:t>
      </w:r>
      <w:r>
        <w:t>Noraidījums tiesnesim pieteikts tikai tajā lietā, kur AS “</w:t>
      </w:r>
      <w:proofErr w:type="spellStart"/>
      <w:r>
        <w:t>Swedbank</w:t>
      </w:r>
      <w:proofErr w:type="spellEnd"/>
      <w:r>
        <w:t xml:space="preserve">” pārstāv advokāts </w:t>
      </w:r>
      <w:r w:rsidR="000C6A07">
        <w:t>I.</w:t>
      </w:r>
      <w:r w:rsidR="004037CB">
        <w:t>B.</w:t>
      </w:r>
      <w:r>
        <w:t>. Citās lietās, kur minēto banku pārstāvēja citas personas</w:t>
      </w:r>
      <w:r w:rsidR="000C6A07">
        <w:t>,</w:t>
      </w:r>
      <w:r>
        <w:t xml:space="preserve"> noraidījums </w:t>
      </w:r>
      <w:r w:rsidR="003432E6">
        <w:t xml:space="preserve">tiesnesim </w:t>
      </w:r>
      <w:r>
        <w:t>netika pieteikts.</w:t>
      </w:r>
    </w:p>
    <w:p w:rsidR="00E70E4C" w:rsidRDefault="00E70E4C" w:rsidP="00205CA6">
      <w:pPr>
        <w:spacing w:line="360" w:lineRule="auto"/>
        <w:ind w:firstLine="567"/>
        <w:jc w:val="both"/>
      </w:pPr>
      <w:r>
        <w:t>[5.3.2] Apstāklis, ka tiesnesim septiņās civillietās, kurās minētā banka ir lietas dalībnieks, nebija pieteikts noraidījums, veidoja viņa subjektīvo attieksmi pret spēju izlemt jautājumus objektīvi arī lietā, kurā tika pieteikts noraidījums.</w:t>
      </w:r>
    </w:p>
    <w:p w:rsidR="00E70E4C" w:rsidRDefault="00E70E4C" w:rsidP="00205CA6">
      <w:pPr>
        <w:spacing w:line="360" w:lineRule="auto"/>
        <w:ind w:firstLine="567"/>
        <w:jc w:val="both"/>
      </w:pPr>
      <w:r>
        <w:t>[5.3.</w:t>
      </w:r>
      <w:r w:rsidR="003432E6">
        <w:t>3</w:t>
      </w:r>
      <w:r>
        <w:t xml:space="preserve">] </w:t>
      </w:r>
      <w:r w:rsidR="00DB2FA8">
        <w:t>Pārkāpum</w:t>
      </w:r>
      <w:r w:rsidR="00BD14C4">
        <w:t>a</w:t>
      </w:r>
      <w:r w:rsidR="00DB2FA8">
        <w:t xml:space="preserve">, kurā </w:t>
      </w:r>
      <w:r w:rsidR="0035691C">
        <w:t xml:space="preserve">tiesnesis </w:t>
      </w:r>
      <w:r w:rsidR="00DB2FA8">
        <w:t>tiek vainots,</w:t>
      </w:r>
      <w:r w:rsidR="0035691C">
        <w:t xml:space="preserve"> izdarīšanas laikā,</w:t>
      </w:r>
      <w:r w:rsidR="00DB2FA8">
        <w:t xml:space="preserve"> viņš rajona tiesā bija vienīgais tiesnesis, kas izlēma visus tiesā ienākošos prasības pieteikumus un citas lietas.</w:t>
      </w:r>
    </w:p>
    <w:p w:rsidR="00DB2FA8" w:rsidRDefault="00DB2FA8" w:rsidP="00205CA6">
      <w:pPr>
        <w:spacing w:line="360" w:lineRule="auto"/>
        <w:ind w:firstLine="567"/>
        <w:jc w:val="both"/>
      </w:pPr>
      <w:r>
        <w:t xml:space="preserve">[5.3.4] </w:t>
      </w:r>
      <w:r w:rsidR="002C0B67">
        <w:t>K</w:t>
      </w:r>
      <w:r w:rsidR="00332997">
        <w:t xml:space="preserve">olēģija nav vērtējusi konkrētās civillietas būtību un raksturu, </w:t>
      </w:r>
      <w:r w:rsidR="0035691C">
        <w:t xml:space="preserve">kā arī </w:t>
      </w:r>
      <w:r w:rsidR="00332997">
        <w:t>apstākli, ka tiesnesim bija jāizlemj tikai jautājums par prasības nodrošināšanu.</w:t>
      </w:r>
    </w:p>
    <w:p w:rsidR="00332997" w:rsidRDefault="00E70E4C" w:rsidP="00205CA6">
      <w:pPr>
        <w:spacing w:line="360" w:lineRule="auto"/>
        <w:ind w:firstLine="567"/>
        <w:jc w:val="both"/>
      </w:pPr>
      <w:r>
        <w:lastRenderedPageBreak/>
        <w:t xml:space="preserve">[5.4] </w:t>
      </w:r>
      <w:r w:rsidR="00DB2FA8">
        <w:t>Tiesnesis norāda, ka viņam nav bijusi ne personiska, ne mantiska, ne ekonomiska interese, izskatot minēto civillietu</w:t>
      </w:r>
      <w:r w:rsidR="00332997">
        <w:t xml:space="preserve">. Līdz ar </w:t>
      </w:r>
      <w:r w:rsidR="006A2B68">
        <w:t xml:space="preserve">to </w:t>
      </w:r>
      <w:r w:rsidR="00332997">
        <w:t xml:space="preserve">nepamatots ir apgalvojums, ka viņš pārkāpis likuma “Par interešu konflikta novēršanu valsts amatpersonu darbībā” </w:t>
      </w:r>
      <w:proofErr w:type="gramStart"/>
      <w:r w:rsidR="00332997">
        <w:t>11.panta</w:t>
      </w:r>
      <w:proofErr w:type="gramEnd"/>
      <w:r w:rsidR="00332997">
        <w:t xml:space="preserve"> pirmo daļu un 22.panta otro daļu.</w:t>
      </w:r>
    </w:p>
    <w:p w:rsidR="00D7363D" w:rsidRDefault="00332997" w:rsidP="00205CA6">
      <w:pPr>
        <w:spacing w:line="360" w:lineRule="auto"/>
        <w:ind w:firstLine="567"/>
        <w:jc w:val="both"/>
      </w:pPr>
      <w:r>
        <w:t>[5.</w:t>
      </w:r>
      <w:r w:rsidR="002C0B67">
        <w:t>5</w:t>
      </w:r>
      <w:r>
        <w:t xml:space="preserve">] </w:t>
      </w:r>
      <w:r w:rsidR="00D7363D">
        <w:t>Nepamatots un neatbilstošs disciplinārlietu izskatīšanas praksei ir kolēģijas lēmums vienus un tos pašus faktiskos apstākļus atzīt par tīšu likuma pārkāpumu un rupju ētikas normu pārkāpumu.</w:t>
      </w:r>
    </w:p>
    <w:p w:rsidR="000C6A07" w:rsidRDefault="000C6A07" w:rsidP="00205CA6">
      <w:pPr>
        <w:spacing w:line="360" w:lineRule="auto"/>
        <w:ind w:firstLine="567"/>
        <w:jc w:val="both"/>
      </w:pPr>
    </w:p>
    <w:p w:rsidR="00D7363D" w:rsidRDefault="00D7363D" w:rsidP="00205CA6">
      <w:pPr>
        <w:spacing w:line="360" w:lineRule="auto"/>
        <w:ind w:firstLine="567"/>
        <w:jc w:val="both"/>
      </w:pPr>
      <w:r>
        <w:t xml:space="preserve">[6] </w:t>
      </w:r>
      <w:proofErr w:type="spellStart"/>
      <w:r w:rsidR="00852ACE">
        <w:t>Disciplinārtiesas</w:t>
      </w:r>
      <w:proofErr w:type="spellEnd"/>
      <w:r w:rsidR="00852ACE">
        <w:t xml:space="preserve"> sēdē tiesnesis R.</w:t>
      </w:r>
      <w:r w:rsidR="004037CB">
        <w:t xml:space="preserve">B. </w:t>
      </w:r>
      <w:r w:rsidR="00852ACE">
        <w:t>uzturēja sūdzībā minētos argumentus. Tieslietu ministrijas pārstāvis lūdza noraidīt sūdzību kā nepamatotu.</w:t>
      </w:r>
    </w:p>
    <w:p w:rsidR="00D7363D" w:rsidRDefault="00D7363D" w:rsidP="00F9610E">
      <w:pPr>
        <w:spacing w:line="360" w:lineRule="auto"/>
        <w:ind w:firstLine="720"/>
        <w:jc w:val="both"/>
      </w:pPr>
    </w:p>
    <w:p w:rsidR="00B0565F" w:rsidRDefault="00B0565F" w:rsidP="002125A0">
      <w:pPr>
        <w:spacing w:line="360" w:lineRule="auto"/>
        <w:ind w:firstLine="567"/>
        <w:jc w:val="center"/>
        <w:rPr>
          <w:b/>
        </w:rPr>
      </w:pPr>
      <w:bookmarkStart w:id="1" w:name="OLE_LINK5"/>
      <w:bookmarkStart w:id="2" w:name="OLE_LINK6"/>
      <w:r>
        <w:rPr>
          <w:b/>
        </w:rPr>
        <w:t>Motīvu</w:t>
      </w:r>
      <w:r w:rsidRPr="00430472">
        <w:rPr>
          <w:b/>
        </w:rPr>
        <w:t xml:space="preserve"> daļa</w:t>
      </w:r>
    </w:p>
    <w:p w:rsidR="000C6A07" w:rsidRDefault="000C6A07" w:rsidP="00205CA6">
      <w:pPr>
        <w:spacing w:line="360" w:lineRule="auto"/>
        <w:jc w:val="center"/>
        <w:rPr>
          <w:b/>
        </w:rPr>
      </w:pPr>
      <w:r>
        <w:tab/>
      </w:r>
    </w:p>
    <w:p w:rsidR="00120DA2" w:rsidRDefault="00852ACE" w:rsidP="00205CA6">
      <w:pPr>
        <w:spacing w:line="360" w:lineRule="auto"/>
        <w:ind w:firstLine="567"/>
        <w:jc w:val="both"/>
      </w:pPr>
      <w:r w:rsidRPr="00852ACE">
        <w:t>[7]</w:t>
      </w:r>
      <w:r w:rsidR="00120DA2">
        <w:t xml:space="preserve"> Vispirms </w:t>
      </w:r>
      <w:proofErr w:type="spellStart"/>
      <w:r w:rsidR="00C62580">
        <w:t>D</w:t>
      </w:r>
      <w:r w:rsidR="00120DA2">
        <w:t>isciplinārtiesa</w:t>
      </w:r>
      <w:proofErr w:type="spellEnd"/>
      <w:r w:rsidR="00120DA2">
        <w:t xml:space="preserve"> izvērtēs tiesneša R.</w:t>
      </w:r>
      <w:r w:rsidR="004037CB">
        <w:t xml:space="preserve">B. </w:t>
      </w:r>
      <w:r w:rsidR="000C6A07">
        <w:t>argumentu</w:t>
      </w:r>
      <w:r w:rsidR="00120DA2">
        <w:t xml:space="preserve">, </w:t>
      </w:r>
      <w:proofErr w:type="gramStart"/>
      <w:r w:rsidR="00120DA2">
        <w:t>ka kolēģija lietu</w:t>
      </w:r>
      <w:proofErr w:type="gramEnd"/>
      <w:r w:rsidR="00120DA2">
        <w:t xml:space="preserve"> izskatīja nelikumīgā sastāvā.</w:t>
      </w:r>
    </w:p>
    <w:p w:rsidR="00AD1D0B" w:rsidRPr="00AD1D0B" w:rsidRDefault="00120DA2" w:rsidP="00205CA6">
      <w:pPr>
        <w:spacing w:line="360" w:lineRule="auto"/>
        <w:ind w:firstLine="567"/>
        <w:jc w:val="both"/>
      </w:pPr>
      <w:r>
        <w:t xml:space="preserve">Saskaņā ar Tiesnešu disciplinārās atbildības likuma </w:t>
      </w:r>
      <w:proofErr w:type="gramStart"/>
      <w:r>
        <w:t>2.panta</w:t>
      </w:r>
      <w:proofErr w:type="gramEnd"/>
      <w:r>
        <w:t xml:space="preserve"> otro daļu </w:t>
      </w:r>
      <w:r w:rsidR="00AD1D0B" w:rsidRPr="00AD1D0B">
        <w:t xml:space="preserve"> </w:t>
      </w:r>
      <w:r w:rsidR="002C0B67">
        <w:t>T</w:t>
      </w:r>
      <w:r w:rsidR="00AD1D0B" w:rsidRPr="00AD1D0B">
        <w:t>iesnešu disciplinārkolēģijas sastāvā ir Augstākās tiesas priekšsēdētāja vietnieks, četri Augstākās tiesas tiesneši, divi apgabaltiesu priekšsēdētāji, divi rajonu (pilsētu) tiesu priekšsēdētāji un divi zemesgrāmatu nodaļu priekšnieki. Tiesnešu disciplinārkolēģijas locekļus uz četriem gadiem ievēlē tiesnešu konference, aizklāti balsojot.</w:t>
      </w:r>
    </w:p>
    <w:p w:rsidR="00287239" w:rsidRDefault="004D48B1" w:rsidP="00287239">
      <w:pPr>
        <w:pStyle w:val="NormalWeb"/>
        <w:spacing w:line="360" w:lineRule="auto"/>
        <w:ind w:firstLine="567"/>
        <w:jc w:val="both"/>
        <w:rPr>
          <w:rFonts w:ascii="Korinna LRS" w:hAnsi="Korinna LRS"/>
          <w:noProof/>
        </w:rPr>
      </w:pPr>
      <w:r>
        <w:rPr>
          <w:rStyle w:val="xcharstyle29"/>
          <w:color w:val="000000"/>
        </w:rPr>
        <w:t>Vidzemes apgabaltiesas priekšsēdētāja</w:t>
      </w:r>
      <w:r w:rsidR="00393ECC">
        <w:rPr>
          <w:rStyle w:val="xcharstyle29"/>
          <w:color w:val="000000"/>
        </w:rPr>
        <w:t xml:space="preserve"> E</w:t>
      </w:r>
      <w:r w:rsidR="000C6A07">
        <w:rPr>
          <w:rStyle w:val="xcharstyle29"/>
          <w:color w:val="000000"/>
        </w:rPr>
        <w:t>.</w:t>
      </w:r>
      <w:r w:rsidR="00393ECC">
        <w:rPr>
          <w:rStyle w:val="xcharstyle29"/>
          <w:color w:val="000000"/>
        </w:rPr>
        <w:t xml:space="preserve">Knēgere </w:t>
      </w:r>
      <w:r w:rsidR="00AD1D0B">
        <w:rPr>
          <w:rStyle w:val="xcharstyle29"/>
          <w:color w:val="000000"/>
        </w:rPr>
        <w:t>kolēģijas sastāv</w:t>
      </w:r>
      <w:r>
        <w:rPr>
          <w:rStyle w:val="xcharstyle29"/>
          <w:color w:val="000000"/>
        </w:rPr>
        <w:t>ā</w:t>
      </w:r>
      <w:r w:rsidR="00AD1D0B">
        <w:rPr>
          <w:rStyle w:val="xcharstyle29"/>
          <w:color w:val="000000"/>
        </w:rPr>
        <w:t xml:space="preserve"> ievēlēt</w:t>
      </w:r>
      <w:r>
        <w:rPr>
          <w:rStyle w:val="xcharstyle29"/>
          <w:color w:val="000000"/>
        </w:rPr>
        <w:t>a</w:t>
      </w:r>
      <w:r w:rsidR="00AD1D0B">
        <w:rPr>
          <w:rStyle w:val="xcharstyle29"/>
          <w:color w:val="000000"/>
        </w:rPr>
        <w:t xml:space="preserve"> </w:t>
      </w:r>
      <w:proofErr w:type="gramStart"/>
      <w:r w:rsidR="00AD1D0B">
        <w:rPr>
          <w:rStyle w:val="xcharstyle29"/>
          <w:color w:val="000000"/>
        </w:rPr>
        <w:t>2014.gada</w:t>
      </w:r>
      <w:proofErr w:type="gramEnd"/>
      <w:r w:rsidR="00AD1D0B">
        <w:rPr>
          <w:rStyle w:val="xcharstyle29"/>
          <w:color w:val="000000"/>
        </w:rPr>
        <w:t xml:space="preserve"> 12.septembr</w:t>
      </w:r>
      <w:r w:rsidR="00120DA2">
        <w:rPr>
          <w:rStyle w:val="xcharstyle29"/>
          <w:color w:val="000000"/>
        </w:rPr>
        <w:t>ī</w:t>
      </w:r>
      <w:r w:rsidR="003B2746">
        <w:rPr>
          <w:rStyle w:val="xcharstyle29"/>
          <w:color w:val="000000"/>
        </w:rPr>
        <w:t>.</w:t>
      </w:r>
      <w:r w:rsidR="00287239" w:rsidRPr="00287239">
        <w:rPr>
          <w:rFonts w:ascii="Korinna LRS" w:hAnsi="Korinna LRS"/>
          <w:noProof/>
        </w:rPr>
        <w:t xml:space="preserve"> </w:t>
      </w:r>
      <w:r w:rsidR="00287239">
        <w:rPr>
          <w:rFonts w:ascii="Korinna LRS" w:hAnsi="Korinna LRS"/>
          <w:noProof/>
        </w:rPr>
        <w:t>Savukārt par Vidzemes apgabaltiesas priekšsēdētāju iecelta ar Saeimas 2010.gada 2.septembra lēmumu.</w:t>
      </w:r>
    </w:p>
    <w:p w:rsidR="00AD1D0B" w:rsidRDefault="00AD1D0B" w:rsidP="00852ACE">
      <w:pPr>
        <w:spacing w:line="360" w:lineRule="auto"/>
        <w:ind w:firstLine="567"/>
        <w:jc w:val="both"/>
        <w:rPr>
          <w:rStyle w:val="xcharstyle29"/>
          <w:color w:val="000000"/>
        </w:rPr>
      </w:pPr>
    </w:p>
    <w:p w:rsidR="006E0790" w:rsidRDefault="00287239" w:rsidP="00205CA6">
      <w:pPr>
        <w:spacing w:line="360" w:lineRule="auto"/>
        <w:ind w:firstLine="567"/>
        <w:jc w:val="both"/>
      </w:pPr>
      <w:r>
        <w:rPr>
          <w:rFonts w:ascii="Korinna LRS" w:hAnsi="Korinna LRS"/>
          <w:noProof/>
        </w:rPr>
        <w:t xml:space="preserve">[8] </w:t>
      </w:r>
      <w:r w:rsidR="00A31BBF">
        <w:rPr>
          <w:rFonts w:ascii="Korinna LRS" w:hAnsi="Korinna LRS"/>
          <w:noProof/>
        </w:rPr>
        <w:t xml:space="preserve">Likuma “Par tiesu varu” </w:t>
      </w:r>
      <w:proofErr w:type="gramStart"/>
      <w:r w:rsidR="00A31BBF" w:rsidRPr="003072AB">
        <w:rPr>
          <w:bCs/>
        </w:rPr>
        <w:t>40.pant</w:t>
      </w:r>
      <w:r w:rsidR="00A31BBF">
        <w:rPr>
          <w:bCs/>
        </w:rPr>
        <w:t>a</w:t>
      </w:r>
      <w:proofErr w:type="gramEnd"/>
      <w:r w:rsidR="00A31BBF">
        <w:rPr>
          <w:bCs/>
        </w:rPr>
        <w:t xml:space="preserve"> otrā daļa</w:t>
      </w:r>
      <w:r w:rsidR="00C1525A">
        <w:rPr>
          <w:bCs/>
        </w:rPr>
        <w:t xml:space="preserve">, </w:t>
      </w:r>
      <w:r w:rsidR="008C6C2E">
        <w:t>redakcij</w:t>
      </w:r>
      <w:r w:rsidR="00C1525A">
        <w:t>ā,</w:t>
      </w:r>
      <w:r w:rsidR="008C6C2E">
        <w:t xml:space="preserve"> kas bija spēkā līdz 20</w:t>
      </w:r>
      <w:r w:rsidR="00393ECC">
        <w:t>10.gada 31.jūlijam</w:t>
      </w:r>
      <w:r w:rsidR="00C1525A">
        <w:t>,</w:t>
      </w:r>
      <w:r w:rsidR="008C6C2E">
        <w:t xml:space="preserve"> </w:t>
      </w:r>
      <w:r w:rsidR="00A31BBF">
        <w:rPr>
          <w:bCs/>
        </w:rPr>
        <w:t>noteica, ka a</w:t>
      </w:r>
      <w:r w:rsidR="00A31BBF">
        <w:t>pgabaltiesas priekšsēdētāju pēc tieslietu ministra un Augstākās tiesas priekšsēdētāja kopīga priekšlikuma uz pieciem gadiem ieceļ amatā Saeima.</w:t>
      </w:r>
    </w:p>
    <w:p w:rsidR="006E0790" w:rsidRDefault="00393ECC" w:rsidP="006E0790">
      <w:pPr>
        <w:spacing w:line="360" w:lineRule="auto"/>
        <w:ind w:firstLine="567"/>
        <w:jc w:val="both"/>
      </w:pPr>
      <w:proofErr w:type="gramStart"/>
      <w:r>
        <w:t>2010.gada</w:t>
      </w:r>
      <w:proofErr w:type="gramEnd"/>
      <w:r>
        <w:t xml:space="preserve"> 3.jūnij</w:t>
      </w:r>
      <w:r w:rsidR="00B818C9">
        <w:t>ā Saeima pieņēma likumu „G</w:t>
      </w:r>
      <w:r>
        <w:t>rozījumi</w:t>
      </w:r>
      <w:r w:rsidR="00B818C9">
        <w:t xml:space="preserve"> likumā „Par tiesu varu””,</w:t>
      </w:r>
      <w:r>
        <w:t xml:space="preserve"> kas stāj</w:t>
      </w:r>
      <w:r w:rsidR="000C6A07">
        <w:t>ā</w:t>
      </w:r>
      <w:r>
        <w:t>s spēkā 2010.gada 1.augustā</w:t>
      </w:r>
      <w:r w:rsidR="00B818C9">
        <w:t xml:space="preserve">. </w:t>
      </w:r>
      <w:r w:rsidR="00C1525A">
        <w:t>A</w:t>
      </w:r>
      <w:r w:rsidR="00B818C9">
        <w:t xml:space="preserve">r šiem grozījumiem </w:t>
      </w:r>
      <w:r w:rsidR="00DB5E71">
        <w:rPr>
          <w:rFonts w:ascii="Korinna LRS" w:hAnsi="Korinna LRS"/>
          <w:noProof/>
        </w:rPr>
        <w:t xml:space="preserve">likuma “Par tiesu varu” </w:t>
      </w:r>
      <w:proofErr w:type="gramStart"/>
      <w:r w:rsidR="006E0790" w:rsidRPr="003072AB">
        <w:rPr>
          <w:bCs/>
        </w:rPr>
        <w:t>40.pant</w:t>
      </w:r>
      <w:r w:rsidR="006E0790">
        <w:rPr>
          <w:bCs/>
        </w:rPr>
        <w:t>a</w:t>
      </w:r>
      <w:proofErr w:type="gramEnd"/>
      <w:r w:rsidR="006E0790">
        <w:rPr>
          <w:bCs/>
        </w:rPr>
        <w:t xml:space="preserve"> otr</w:t>
      </w:r>
      <w:r w:rsidR="00B818C9">
        <w:rPr>
          <w:bCs/>
        </w:rPr>
        <w:t>aj</w:t>
      </w:r>
      <w:r w:rsidR="006E0790">
        <w:rPr>
          <w:bCs/>
        </w:rPr>
        <w:t>ā daļ</w:t>
      </w:r>
      <w:r w:rsidR="00B818C9">
        <w:rPr>
          <w:bCs/>
        </w:rPr>
        <w:t xml:space="preserve">ā tika </w:t>
      </w:r>
      <w:r w:rsidR="006E0790">
        <w:rPr>
          <w:bCs/>
        </w:rPr>
        <w:t>no</w:t>
      </w:r>
      <w:r w:rsidR="000C6A07">
        <w:rPr>
          <w:bCs/>
        </w:rPr>
        <w:t>tei</w:t>
      </w:r>
      <w:r w:rsidR="00B818C9">
        <w:rPr>
          <w:bCs/>
        </w:rPr>
        <w:t>kts</w:t>
      </w:r>
      <w:r w:rsidR="006E0790">
        <w:rPr>
          <w:bCs/>
        </w:rPr>
        <w:t>, ka a</w:t>
      </w:r>
      <w:r w:rsidR="006E0790" w:rsidRPr="003072AB">
        <w:t>pgabaltiesas priekšsēdētāju uz pieciem gadiem ieceļ amatā tieslietu ministrs, saskaņojot ar Tieslietu</w:t>
      </w:r>
      <w:r w:rsidR="00DB5E71">
        <w:t xml:space="preserve"> padomi</w:t>
      </w:r>
      <w:r w:rsidR="006E0790" w:rsidRPr="003072AB">
        <w:t>.</w:t>
      </w:r>
      <w:r w:rsidR="00B467ED">
        <w:t xml:space="preserve"> </w:t>
      </w:r>
    </w:p>
    <w:p w:rsidR="005461AF" w:rsidRDefault="006E0790" w:rsidP="00D133E7">
      <w:pPr>
        <w:pStyle w:val="NormalWeb"/>
        <w:spacing w:line="360" w:lineRule="auto"/>
        <w:ind w:firstLine="567"/>
        <w:jc w:val="both"/>
      </w:pPr>
      <w:r>
        <w:t>No minēt</w:t>
      </w:r>
      <w:r w:rsidR="000C6A07">
        <w:t xml:space="preserve">ā </w:t>
      </w:r>
      <w:r>
        <w:t>redzams, ka likumdevējs jautājumu par apgabaltiesas priekšsēdētāja iecelšanu</w:t>
      </w:r>
      <w:r w:rsidR="000F38E2">
        <w:t>,</w:t>
      </w:r>
      <w:r>
        <w:t xml:space="preserve"> </w:t>
      </w:r>
      <w:r w:rsidR="005E44F3">
        <w:t>sākot ar</w:t>
      </w:r>
      <w:r>
        <w:t xml:space="preserve"> </w:t>
      </w:r>
      <w:proofErr w:type="gramStart"/>
      <w:r>
        <w:t>2010.gada</w:t>
      </w:r>
      <w:proofErr w:type="gramEnd"/>
      <w:r>
        <w:t xml:space="preserve"> 1.august</w:t>
      </w:r>
      <w:r w:rsidR="005E44F3">
        <w:t>u</w:t>
      </w:r>
      <w:r>
        <w:t xml:space="preserve"> no Saeimas kompetences nodevis tieslietu </w:t>
      </w:r>
      <w:r>
        <w:lastRenderedPageBreak/>
        <w:t xml:space="preserve">ministram, kuram lēmums ir jāsaskaņo ar Tieslietu padomi. Minētie grozījumi piešķir tieslietu ministram </w:t>
      </w:r>
      <w:r w:rsidR="008B1C10">
        <w:t xml:space="preserve">tiesības ne tikai </w:t>
      </w:r>
      <w:r>
        <w:t>izrau</w:t>
      </w:r>
      <w:r w:rsidR="008B1C10">
        <w:t xml:space="preserve">dzīties, bet arī iecelt apgabaltiesas priekšsēdētāju. </w:t>
      </w:r>
      <w:r w:rsidR="003B2746">
        <w:t>Savukārt Tieslietu padomei, kuras izveidošanas mērķis ir līdzsvarot attiecības starp izpildvaru, tiesu varu</w:t>
      </w:r>
      <w:r w:rsidR="009548C0">
        <w:t xml:space="preserve"> </w:t>
      </w:r>
      <w:r w:rsidR="003B2746">
        <w:t>un likumdevēja varu jautājumos, kas skar tiesu sistēmu</w:t>
      </w:r>
      <w:r w:rsidR="00D133E7">
        <w:t xml:space="preserve">, tiek dotas pilnvaras </w:t>
      </w:r>
      <w:r w:rsidR="00837D4C">
        <w:t>piedalīties apgabaltiesas priekšsēdētāja izvēlē</w:t>
      </w:r>
      <w:r w:rsidR="003B2746">
        <w:t>.</w:t>
      </w:r>
    </w:p>
    <w:p w:rsidR="00B818C9" w:rsidRDefault="00C1525A" w:rsidP="00B818C9">
      <w:pPr>
        <w:spacing w:line="360" w:lineRule="auto"/>
        <w:ind w:firstLine="567"/>
        <w:jc w:val="both"/>
      </w:pPr>
      <w:r>
        <w:t>Vienlaikus m</w:t>
      </w:r>
      <w:r w:rsidR="00837D4C">
        <w:t xml:space="preserve">inētie likuma grozījumi paredzēja Tieslietu padomes izveidošanu un darbību. Proti, </w:t>
      </w:r>
      <w:r w:rsidR="00B818C9">
        <w:t>likums „Par tiesu varu” tika papildināts ar 13.</w:t>
      </w:r>
      <w:r w:rsidR="00B818C9">
        <w:rPr>
          <w:vertAlign w:val="superscript"/>
        </w:rPr>
        <w:t>1</w:t>
      </w:r>
      <w:r w:rsidR="00B818C9">
        <w:t>nodaļu</w:t>
      </w:r>
      <w:r w:rsidR="00837D4C">
        <w:t xml:space="preserve"> „Tieslietu padome”.</w:t>
      </w:r>
      <w:r w:rsidR="00B818C9">
        <w:t xml:space="preserve"> Likuma „Grozījumi likumā „Par tiesu varu”” pārejas noteikumu 25.punkts paredzēja, ka triju mēnešu laikā pēc tam, kad stājas spēkā šā likuma 13.</w:t>
      </w:r>
      <w:r w:rsidR="00B818C9">
        <w:rPr>
          <w:vertAlign w:val="superscript"/>
        </w:rPr>
        <w:t>1</w:t>
      </w:r>
      <w:r w:rsidR="00B818C9">
        <w:t>nodaļa, tieslietu ministrs un Augstākās tiesas priekšsēdētājs sasauc Tiesnešu konferenci Tieslietu padomes locekļ</w:t>
      </w:r>
      <w:r w:rsidR="00837D4C">
        <w:t>u</w:t>
      </w:r>
      <w:r w:rsidR="00B818C9">
        <w:t xml:space="preserve"> ievēlēšanai. Atbilstoši pārejas noteikumu 26.punktam Augstākās tiesas priekšsēdētājam mēneša laikā pēc tam, kad stājās spēkā 13.</w:t>
      </w:r>
      <w:r w:rsidR="00B818C9">
        <w:rPr>
          <w:vertAlign w:val="superscript"/>
        </w:rPr>
        <w:t>1</w:t>
      </w:r>
      <w:r w:rsidR="00B818C9">
        <w:t>nodaļa, jāsasauc Augstākās tiesas plēnum</w:t>
      </w:r>
      <w:r w:rsidR="00837D4C">
        <w:t>s</w:t>
      </w:r>
      <w:r w:rsidR="00B818C9">
        <w:t xml:space="preserve"> Tieslietu padomes locekļa ievēlēšanai no Augstākās tiesas tiesnešiem.</w:t>
      </w:r>
    </w:p>
    <w:p w:rsidR="00B818C9" w:rsidRDefault="00837D4C" w:rsidP="00B818C9">
      <w:pPr>
        <w:spacing w:line="360" w:lineRule="auto"/>
        <w:ind w:firstLine="567"/>
        <w:jc w:val="both"/>
      </w:pPr>
      <w:r>
        <w:t>Augstākās tiesas pl</w:t>
      </w:r>
      <w:r w:rsidR="00C1525A">
        <w:t>ē</w:t>
      </w:r>
      <w:r>
        <w:t xml:space="preserve">nums tika sasaukts </w:t>
      </w:r>
      <w:proofErr w:type="gramStart"/>
      <w:r>
        <w:t>2010.gada</w:t>
      </w:r>
      <w:proofErr w:type="gramEnd"/>
      <w:r>
        <w:t xml:space="preserve"> 30.augustā, savukārt Tiesnešu konference – 2010.gada 3.septembrī. </w:t>
      </w:r>
      <w:r w:rsidR="00287239">
        <w:t>Tādējādi p</w:t>
      </w:r>
      <w:r w:rsidR="00B818C9">
        <w:t xml:space="preserve">irmā Tieslietu padomes sēde </w:t>
      </w:r>
      <w:r w:rsidR="00287239">
        <w:t>(</w:t>
      </w:r>
      <w:proofErr w:type="gramStart"/>
      <w:r w:rsidR="00287239">
        <w:t>2010.gada</w:t>
      </w:r>
      <w:proofErr w:type="gramEnd"/>
      <w:r w:rsidR="00287239">
        <w:t xml:space="preserve"> 4.oktobrī) tika sasaukta </w:t>
      </w:r>
      <w:r w:rsidR="00B818C9">
        <w:t xml:space="preserve">pēc </w:t>
      </w:r>
      <w:r w:rsidR="00287239">
        <w:t>tās izv</w:t>
      </w:r>
      <w:r w:rsidR="00B818C9">
        <w:t>eidošanas atbilstoši minētajām tiesību norm</w:t>
      </w:r>
      <w:r w:rsidR="00287239">
        <w:t>ām</w:t>
      </w:r>
      <w:r w:rsidR="00236C8D">
        <w:t>.</w:t>
      </w:r>
    </w:p>
    <w:p w:rsidR="00236C8D" w:rsidRDefault="00236C8D" w:rsidP="005461AF">
      <w:pPr>
        <w:pStyle w:val="NormalWeb"/>
        <w:spacing w:line="360" w:lineRule="auto"/>
        <w:ind w:firstLine="567"/>
        <w:jc w:val="both"/>
        <w:rPr>
          <w:rFonts w:ascii="Korinna LRS" w:hAnsi="Korinna LRS"/>
          <w:noProof/>
        </w:rPr>
      </w:pPr>
    </w:p>
    <w:p w:rsidR="00552274" w:rsidRDefault="00236C8D" w:rsidP="005461AF">
      <w:pPr>
        <w:pStyle w:val="NormalWeb"/>
        <w:spacing w:line="360" w:lineRule="auto"/>
        <w:ind w:firstLine="567"/>
        <w:jc w:val="both"/>
      </w:pPr>
      <w:r>
        <w:rPr>
          <w:rFonts w:ascii="Korinna LRS" w:hAnsi="Korinna LRS"/>
          <w:noProof/>
        </w:rPr>
        <w:t>[</w:t>
      </w:r>
      <w:r w:rsidR="00287239">
        <w:rPr>
          <w:rFonts w:ascii="Korinna LRS" w:hAnsi="Korinna LRS"/>
          <w:noProof/>
        </w:rPr>
        <w:t>9</w:t>
      </w:r>
      <w:r>
        <w:rPr>
          <w:rFonts w:ascii="Korinna LRS" w:hAnsi="Korinna LRS"/>
          <w:noProof/>
        </w:rPr>
        <w:t>] No minētā secināms, ka līdz Tieslietu padomes izveidošanai un darbības uzsākšanai, ko paredzēja 2010.gada 3.jūnija grozījumi likumā „Par tiesu varu”, lēmums par apgabaltiesas priekšsēdētājas iecelšanu amatā ticis pieņemts iepriekšējā kārtībā</w:t>
      </w:r>
      <w:r w:rsidR="00C1525A">
        <w:rPr>
          <w:rFonts w:ascii="Korinna LRS" w:hAnsi="Korinna LRS"/>
          <w:noProof/>
        </w:rPr>
        <w:t xml:space="preserve">, kas Tieslietu padomes saskaņojumu neparedzēja. </w:t>
      </w:r>
      <w:r>
        <w:rPr>
          <w:rFonts w:ascii="Korinna LRS" w:hAnsi="Korinna LRS"/>
          <w:noProof/>
        </w:rPr>
        <w:t>Tā kā tiesneša iecelšana apgabaltiesas priekšsēdētāja amatā ar Tieslietu padomes saskaņojumu nebija iespējama līdz Tieslietu padomes izveidošanai, atsaukšanās uz tās trūkumu nav pam</w:t>
      </w:r>
      <w:r w:rsidR="00287239">
        <w:rPr>
          <w:rFonts w:ascii="Korinna LRS" w:hAnsi="Korinna LRS"/>
          <w:noProof/>
        </w:rPr>
        <w:t>a</w:t>
      </w:r>
      <w:r>
        <w:rPr>
          <w:rFonts w:ascii="Korinna LRS" w:hAnsi="Korinna LRS"/>
          <w:noProof/>
        </w:rPr>
        <w:t>tota. Disciplinārtiesa</w:t>
      </w:r>
      <w:r w:rsidR="001D4329">
        <w:rPr>
          <w:rFonts w:ascii="Korinna LRS" w:hAnsi="Korinna LRS"/>
          <w:noProof/>
        </w:rPr>
        <w:t>s ies</w:t>
      </w:r>
      <w:r w:rsidR="00AB2E28">
        <w:rPr>
          <w:rFonts w:ascii="Korinna LRS" w:hAnsi="Korinna LRS"/>
          <w:noProof/>
        </w:rPr>
        <w:t>ka</w:t>
      </w:r>
      <w:r w:rsidR="001D4329">
        <w:rPr>
          <w:rFonts w:ascii="Korinna LRS" w:hAnsi="Korinna LRS"/>
          <w:noProof/>
        </w:rPr>
        <w:t>tā</w:t>
      </w:r>
      <w:r w:rsidR="00C1525A">
        <w:rPr>
          <w:rFonts w:ascii="Korinna LRS" w:hAnsi="Korinna LRS"/>
          <w:noProof/>
        </w:rPr>
        <w:t>, apstāklis, ka laikā, kurā atbilstoši 2010.gada 3.jūnija likuma „Grozījumi likumā „Par tiesu varu”” p</w:t>
      </w:r>
      <w:r w:rsidR="0035691C">
        <w:rPr>
          <w:rFonts w:ascii="Korinna LRS" w:hAnsi="Korinna LRS"/>
          <w:noProof/>
        </w:rPr>
        <w:t>ā</w:t>
      </w:r>
      <w:r w:rsidR="00C1525A">
        <w:rPr>
          <w:rFonts w:ascii="Korinna LRS" w:hAnsi="Korinna LRS"/>
          <w:noProof/>
        </w:rPr>
        <w:t>rejas noteikumos paredzētajam tika veidota Tieslietu padome, tika piemērota apgabaltiesas priekš</w:t>
      </w:r>
      <w:r w:rsidR="00AB2E28">
        <w:rPr>
          <w:rFonts w:ascii="Korinna LRS" w:hAnsi="Korinna LRS"/>
          <w:noProof/>
        </w:rPr>
        <w:t>s</w:t>
      </w:r>
      <w:r w:rsidR="00C1525A">
        <w:rPr>
          <w:rFonts w:ascii="Korinna LRS" w:hAnsi="Korinna LRS"/>
          <w:noProof/>
        </w:rPr>
        <w:t>ēdētāj</w:t>
      </w:r>
      <w:r w:rsidR="00AB2E28">
        <w:rPr>
          <w:rFonts w:ascii="Korinna LRS" w:hAnsi="Korinna LRS"/>
          <w:noProof/>
        </w:rPr>
        <w:t>a</w:t>
      </w:r>
      <w:r w:rsidR="00C1525A">
        <w:rPr>
          <w:rFonts w:ascii="Korinna LRS" w:hAnsi="Korinna LRS"/>
          <w:noProof/>
        </w:rPr>
        <w:t xml:space="preserve"> iecelšanas </w:t>
      </w:r>
      <w:r w:rsidR="0027748E">
        <w:rPr>
          <w:rFonts w:ascii="Korinna LRS" w:hAnsi="Korinna LRS"/>
          <w:noProof/>
        </w:rPr>
        <w:t xml:space="preserve">iepriekšējā </w:t>
      </w:r>
      <w:r w:rsidR="00C1525A">
        <w:rPr>
          <w:rFonts w:ascii="Korinna LRS" w:hAnsi="Korinna LRS"/>
          <w:noProof/>
        </w:rPr>
        <w:t xml:space="preserve">kārtība, </w:t>
      </w:r>
      <w:r w:rsidR="001D4329">
        <w:rPr>
          <w:rFonts w:ascii="Korinna LRS" w:hAnsi="Korinna LRS"/>
          <w:noProof/>
        </w:rPr>
        <w:t>ne</w:t>
      </w:r>
      <w:r w:rsidR="00C1525A">
        <w:rPr>
          <w:rFonts w:ascii="Korinna LRS" w:hAnsi="Korinna LRS"/>
          <w:noProof/>
        </w:rPr>
        <w:t>apdraud kolēģijas leģitimitāti.</w:t>
      </w:r>
      <w:r w:rsidR="001D4329">
        <w:rPr>
          <w:rFonts w:ascii="Korinna LRS" w:hAnsi="Korinna LRS"/>
          <w:noProof/>
        </w:rPr>
        <w:t xml:space="preserve"> Turklāt </w:t>
      </w:r>
      <w:r w:rsidR="0027748E">
        <w:rPr>
          <w:rFonts w:ascii="Korinna LRS" w:hAnsi="Korinna LRS"/>
          <w:noProof/>
        </w:rPr>
        <w:t xml:space="preserve">jāņem </w:t>
      </w:r>
      <w:r w:rsidR="001D4329">
        <w:rPr>
          <w:rFonts w:ascii="Korinna LRS" w:hAnsi="Korinna LRS"/>
          <w:noProof/>
        </w:rPr>
        <w:t xml:space="preserve">vērā, ka pēc Tieslietu padomes izveidošanas četru gadu periodā ne tieslietu ministrs, ne Tieslietu padome nav cēlusi iebildumus pret E.Knēgeres atrašanos šajā amatā.  </w:t>
      </w:r>
      <w:r w:rsidR="00C1525A">
        <w:rPr>
          <w:rFonts w:ascii="Korinna LRS" w:hAnsi="Korinna LRS"/>
          <w:noProof/>
        </w:rPr>
        <w:t xml:space="preserve">  </w:t>
      </w:r>
    </w:p>
    <w:p w:rsidR="00D52AD6" w:rsidRDefault="00552274" w:rsidP="00CC6027">
      <w:pPr>
        <w:pStyle w:val="NormalWeb"/>
        <w:spacing w:line="360" w:lineRule="auto"/>
        <w:ind w:firstLine="567"/>
        <w:jc w:val="both"/>
      </w:pPr>
      <w:r>
        <w:t xml:space="preserve">Ņemot vērā minēto, </w:t>
      </w:r>
      <w:proofErr w:type="spellStart"/>
      <w:r w:rsidR="00CC6027">
        <w:t>Disciplinārtiesa</w:t>
      </w:r>
      <w:proofErr w:type="spellEnd"/>
      <w:r w:rsidR="00CC6027">
        <w:t xml:space="preserve"> </w:t>
      </w:r>
      <w:r w:rsidR="00287239">
        <w:t xml:space="preserve">noraida </w:t>
      </w:r>
      <w:r w:rsidR="00CC6027">
        <w:t>tiesneša R.</w:t>
      </w:r>
      <w:r w:rsidR="00B95706">
        <w:t xml:space="preserve">B. </w:t>
      </w:r>
      <w:r w:rsidR="00C61E79">
        <w:t>argumentu par</w:t>
      </w:r>
      <w:r w:rsidR="00CC6027">
        <w:t xml:space="preserve"> disciplinārliet</w:t>
      </w:r>
      <w:r w:rsidR="00C61E79">
        <w:t>as</w:t>
      </w:r>
      <w:r w:rsidR="00CC6027">
        <w:t xml:space="preserve"> izskatī</w:t>
      </w:r>
      <w:r w:rsidR="00C61E79">
        <w:t xml:space="preserve">šanu </w:t>
      </w:r>
      <w:r w:rsidR="00CC6027">
        <w:t xml:space="preserve">nelikumīgā </w:t>
      </w:r>
      <w:r w:rsidR="00C62580">
        <w:t xml:space="preserve">kolēģijas </w:t>
      </w:r>
      <w:r w:rsidR="00CC6027">
        <w:t>sastāvā.</w:t>
      </w:r>
    </w:p>
    <w:p w:rsidR="00287239" w:rsidRDefault="00CC6027" w:rsidP="00C1525A">
      <w:pPr>
        <w:spacing w:before="240" w:after="240" w:line="360" w:lineRule="auto"/>
        <w:ind w:firstLine="567"/>
        <w:contextualSpacing/>
        <w:jc w:val="both"/>
      </w:pPr>
      <w:r>
        <w:lastRenderedPageBreak/>
        <w:t xml:space="preserve">[10] </w:t>
      </w:r>
      <w:r w:rsidR="00287239">
        <w:t xml:space="preserve">Attiecībā uz </w:t>
      </w:r>
      <w:r w:rsidR="00581DA6">
        <w:t xml:space="preserve">Civilprocesa likuma </w:t>
      </w:r>
      <w:proofErr w:type="gramStart"/>
      <w:r w:rsidR="00581DA6">
        <w:t>19.panta</w:t>
      </w:r>
      <w:proofErr w:type="gramEnd"/>
      <w:r w:rsidR="00581DA6">
        <w:t xml:space="preserve"> pirmās daļas 4.punkta </w:t>
      </w:r>
      <w:r w:rsidR="00287239">
        <w:t>pārkāpumu, tiesnesim izskatot lietu, norādāms turpmāk minētais.</w:t>
      </w:r>
    </w:p>
    <w:p w:rsidR="00E073FD" w:rsidRDefault="00E073FD" w:rsidP="00F51591">
      <w:pPr>
        <w:spacing w:line="360" w:lineRule="auto"/>
        <w:ind w:firstLine="567"/>
        <w:jc w:val="both"/>
      </w:pPr>
    </w:p>
    <w:p w:rsidR="00DE294F" w:rsidRDefault="00E073FD" w:rsidP="00F51591">
      <w:pPr>
        <w:spacing w:line="360" w:lineRule="auto"/>
        <w:ind w:firstLine="567"/>
        <w:jc w:val="both"/>
      </w:pPr>
      <w:r>
        <w:t xml:space="preserve">[11] </w:t>
      </w:r>
      <w:r w:rsidR="008651F3">
        <w:t xml:space="preserve">Latvijas Republikas Satversmes </w:t>
      </w:r>
      <w:proofErr w:type="gramStart"/>
      <w:r w:rsidR="008651F3">
        <w:t>92</w:t>
      </w:r>
      <w:r w:rsidR="008651F3">
        <w:rPr>
          <w:b/>
          <w:bCs/>
        </w:rPr>
        <w:t>.</w:t>
      </w:r>
      <w:r w:rsidR="008651F3" w:rsidRPr="008651F3">
        <w:rPr>
          <w:bCs/>
        </w:rPr>
        <w:t>pants</w:t>
      </w:r>
      <w:proofErr w:type="gramEnd"/>
      <w:r w:rsidR="008651F3">
        <w:t xml:space="preserve"> no</w:t>
      </w:r>
      <w:r w:rsidR="00287239">
        <w:t>teic</w:t>
      </w:r>
      <w:r w:rsidR="008651F3">
        <w:t xml:space="preserve">, ka ikviens var aizstāvēt savas tiesības un likumiskās intereses taisnīgā tiesā. Satversmes tiesa ir norādījusi, ka </w:t>
      </w:r>
      <w:r w:rsidR="00DE294F">
        <w:rPr>
          <w:bCs/>
        </w:rPr>
        <w:t xml:space="preserve">tiesības uz taisnīgu tiesu ietver </w:t>
      </w:r>
      <w:r w:rsidR="00B225E5">
        <w:rPr>
          <w:bCs/>
        </w:rPr>
        <w:t xml:space="preserve">arī </w:t>
      </w:r>
      <w:r w:rsidR="00DE294F">
        <w:rPr>
          <w:bCs/>
        </w:rPr>
        <w:t>tiesības uz tiesas objektivitāti</w:t>
      </w:r>
      <w:r w:rsidR="00A76BE9">
        <w:rPr>
          <w:bCs/>
        </w:rPr>
        <w:t xml:space="preserve"> </w:t>
      </w:r>
      <w:r w:rsidR="00A76BE9">
        <w:t>(</w:t>
      </w:r>
      <w:r w:rsidR="00A76BE9" w:rsidRPr="00D101C2">
        <w:rPr>
          <w:i/>
        </w:rPr>
        <w:t xml:space="preserve">sk. Satversmes tiesas </w:t>
      </w:r>
      <w:proofErr w:type="gramStart"/>
      <w:r w:rsidR="00A76BE9" w:rsidRPr="00D101C2">
        <w:rPr>
          <w:i/>
        </w:rPr>
        <w:t>20</w:t>
      </w:r>
      <w:r w:rsidR="00A76BE9">
        <w:rPr>
          <w:i/>
        </w:rPr>
        <w:t>05</w:t>
      </w:r>
      <w:r w:rsidR="00A76BE9" w:rsidRPr="00D101C2">
        <w:rPr>
          <w:i/>
        </w:rPr>
        <w:t>.gada</w:t>
      </w:r>
      <w:proofErr w:type="gramEnd"/>
      <w:r w:rsidR="00A76BE9" w:rsidRPr="00D101C2">
        <w:rPr>
          <w:i/>
        </w:rPr>
        <w:t xml:space="preserve"> </w:t>
      </w:r>
      <w:r w:rsidR="00A76BE9">
        <w:rPr>
          <w:i/>
        </w:rPr>
        <w:t>15.februāra spriedum</w:t>
      </w:r>
      <w:r w:rsidR="005562C3">
        <w:rPr>
          <w:i/>
        </w:rPr>
        <w:t>a</w:t>
      </w:r>
      <w:r w:rsidR="00A76BE9" w:rsidRPr="00D101C2">
        <w:rPr>
          <w:i/>
        </w:rPr>
        <w:t xml:space="preserve"> lietā Nr.20</w:t>
      </w:r>
      <w:r w:rsidR="00A76BE9">
        <w:rPr>
          <w:i/>
        </w:rPr>
        <w:t>04</w:t>
      </w:r>
      <w:r w:rsidR="00A76BE9" w:rsidRPr="00D101C2">
        <w:rPr>
          <w:i/>
        </w:rPr>
        <w:t>-1</w:t>
      </w:r>
      <w:r w:rsidR="00A76BE9">
        <w:rPr>
          <w:i/>
        </w:rPr>
        <w:t>9</w:t>
      </w:r>
      <w:r w:rsidR="00A76BE9" w:rsidRPr="00D101C2">
        <w:rPr>
          <w:i/>
        </w:rPr>
        <w:t>-01</w:t>
      </w:r>
      <w:r w:rsidR="00A76BE9">
        <w:rPr>
          <w:i/>
        </w:rPr>
        <w:t xml:space="preserve"> 6.3.punkt</w:t>
      </w:r>
      <w:r w:rsidR="00287239">
        <w:rPr>
          <w:i/>
        </w:rPr>
        <w:t>u</w:t>
      </w:r>
      <w:r w:rsidR="00A76BE9" w:rsidRPr="0042147C">
        <w:t>).</w:t>
      </w:r>
    </w:p>
    <w:p w:rsidR="00EB1858" w:rsidRDefault="00EB1858" w:rsidP="00EB1858">
      <w:pPr>
        <w:spacing w:line="360" w:lineRule="auto"/>
        <w:ind w:firstLine="567"/>
        <w:jc w:val="both"/>
      </w:pPr>
      <w:r>
        <w:rPr>
          <w:bCs/>
        </w:rPr>
        <w:t xml:space="preserve">Tiesneša objektivitātes prasības nacionālā līmenī </w:t>
      </w:r>
      <w:r w:rsidR="00B225E5">
        <w:rPr>
          <w:bCs/>
        </w:rPr>
        <w:t>regulē</w:t>
      </w:r>
      <w:r>
        <w:rPr>
          <w:bCs/>
        </w:rPr>
        <w:t xml:space="preserve"> likuma “Par tiesu varu” </w:t>
      </w:r>
      <w:proofErr w:type="gramStart"/>
      <w:r>
        <w:rPr>
          <w:bCs/>
        </w:rPr>
        <w:t>14.pant</w:t>
      </w:r>
      <w:r w:rsidR="00B225E5">
        <w:rPr>
          <w:bCs/>
        </w:rPr>
        <w:t>s</w:t>
      </w:r>
      <w:proofErr w:type="gramEnd"/>
      <w:r>
        <w:rPr>
          <w:bCs/>
        </w:rPr>
        <w:t>, k</w:t>
      </w:r>
      <w:r w:rsidR="00B225E5">
        <w:rPr>
          <w:bCs/>
        </w:rPr>
        <w:t>as</w:t>
      </w:r>
      <w:r>
        <w:rPr>
          <w:bCs/>
        </w:rPr>
        <w:t xml:space="preserve"> notei</w:t>
      </w:r>
      <w:r w:rsidR="00B225E5">
        <w:rPr>
          <w:bCs/>
        </w:rPr>
        <w:t>c</w:t>
      </w:r>
      <w:r>
        <w:rPr>
          <w:bCs/>
        </w:rPr>
        <w:t>, ka t</w:t>
      </w:r>
      <w:r w:rsidRPr="002432E6">
        <w:t>iesnesis nevar piedalīties lietas izskatīšanā, ja viņš personiski tieši vai netieši ir ieinteresēts lietas iznākumā vai ja ir citi apstākļi, kas rada šaubas par viņa objektivitāti.</w:t>
      </w:r>
      <w:r>
        <w:t xml:space="preserve"> Šādos gadījumos tiesnesim sevi jāatstata. Ja tiesnesis nav sevi atstatījis, personas, kas piedalās lietā, var pieteikt noraidījumu tiesnesim.</w:t>
      </w:r>
    </w:p>
    <w:p w:rsidR="00EB1858" w:rsidRDefault="00EB1858" w:rsidP="00EB1858">
      <w:pPr>
        <w:spacing w:line="360" w:lineRule="auto"/>
        <w:ind w:firstLine="567"/>
        <w:jc w:val="both"/>
      </w:pPr>
      <w:r>
        <w:rPr>
          <w:bCs/>
        </w:rPr>
        <w:t>Līdzīgs regulējums</w:t>
      </w:r>
      <w:r w:rsidR="00B225E5">
        <w:rPr>
          <w:bCs/>
        </w:rPr>
        <w:t xml:space="preserve">, kas arī detalizē tiesneša atstatīšanās no lietas izskatīšanas un noraidījuma pamatus, </w:t>
      </w:r>
      <w:r w:rsidR="00CF7A02">
        <w:rPr>
          <w:bCs/>
        </w:rPr>
        <w:t>tiesneša pienākumu atstatīt sevi un procesa dalībnieka tiesību pieteikt noraidījumu</w:t>
      </w:r>
      <w:r w:rsidR="001D4329">
        <w:rPr>
          <w:bCs/>
        </w:rPr>
        <w:t>,</w:t>
      </w:r>
      <w:r w:rsidR="00CF7A02">
        <w:rPr>
          <w:bCs/>
        </w:rPr>
        <w:t xml:space="preserve"> </w:t>
      </w:r>
      <w:r>
        <w:rPr>
          <w:bCs/>
        </w:rPr>
        <w:t>ietverts procesuālo tiesību normās. C</w:t>
      </w:r>
      <w:r>
        <w:t xml:space="preserve">ivilprocesa likuma </w:t>
      </w:r>
      <w:proofErr w:type="gramStart"/>
      <w:r>
        <w:t>19.panta</w:t>
      </w:r>
      <w:proofErr w:type="gramEnd"/>
      <w:r>
        <w:t xml:space="preserve"> pirmajā daļā </w:t>
      </w:r>
      <w:r w:rsidR="00CF7A02">
        <w:t>noteikti gadījumi</w:t>
      </w:r>
      <w:r>
        <w:t>, k</w:t>
      </w:r>
      <w:r w:rsidR="00CF7A02">
        <w:t>uros</w:t>
      </w:r>
      <w:r>
        <w:t xml:space="preserve"> t</w:t>
      </w:r>
      <w:r w:rsidRPr="00A75609">
        <w:t>iesnesis nav tiesīgs piedalīties lietas izskatīšanā</w:t>
      </w:r>
      <w:r>
        <w:t xml:space="preserve">, minētā panta otrā daļa nosaka tiesneša pienākumu </w:t>
      </w:r>
      <w:r w:rsidRPr="00A75609">
        <w:t>sevi atstat</w:t>
      </w:r>
      <w:r>
        <w:t>īt</w:t>
      </w:r>
      <w:r w:rsidR="00CF7A02">
        <w:t xml:space="preserve">, bet </w:t>
      </w:r>
      <w:r>
        <w:t>ceturtā daļa no</w:t>
      </w:r>
      <w:r w:rsidR="00CF7A02">
        <w:t>teic</w:t>
      </w:r>
      <w:r>
        <w:t xml:space="preserve">, ka </w:t>
      </w:r>
      <w:r w:rsidRPr="00A75609">
        <w:t>jebkurš lietas dalībnieks var pieteikt noraidījumu tiesnesim</w:t>
      </w:r>
      <w:r>
        <w:t>, j</w:t>
      </w:r>
      <w:r w:rsidRPr="00A75609">
        <w:t>a tiesnesis nav sevi atstatījis.</w:t>
      </w:r>
      <w:r>
        <w:t xml:space="preserve"> Līdzīgs tiesiskais regulējums nostiprināts </w:t>
      </w:r>
      <w:r w:rsidR="00CF7A02">
        <w:t xml:space="preserve">arī </w:t>
      </w:r>
      <w:r>
        <w:t>Kriminālprocesa likumā un Administratīvā procesa likumā.</w:t>
      </w:r>
    </w:p>
    <w:p w:rsidR="00DE294F" w:rsidRDefault="00DC6180" w:rsidP="00F51591">
      <w:pPr>
        <w:spacing w:line="360" w:lineRule="auto"/>
        <w:ind w:firstLine="567"/>
        <w:jc w:val="both"/>
        <w:rPr>
          <w:bCs/>
        </w:rPr>
      </w:pPr>
      <w:r>
        <w:rPr>
          <w:bCs/>
        </w:rPr>
        <w:t>Uz tiesību uz neatkarīgas un objektīvas tiesas garantiju, uz to, ka lieta ir izskatāma, ievērojot visas taisnīguma prasības</w:t>
      </w:r>
      <w:r w:rsidR="00AA7577">
        <w:rPr>
          <w:bCs/>
        </w:rPr>
        <w:t>,</w:t>
      </w:r>
      <w:r>
        <w:rPr>
          <w:bCs/>
        </w:rPr>
        <w:t xml:space="preserve"> norādīts </w:t>
      </w:r>
      <w:r w:rsidR="004E39D9">
        <w:rPr>
          <w:bCs/>
        </w:rPr>
        <w:t xml:space="preserve">Vispārējās cilvēktiesību deklarācijas </w:t>
      </w:r>
      <w:proofErr w:type="gramStart"/>
      <w:r w:rsidR="004E39D9">
        <w:rPr>
          <w:bCs/>
        </w:rPr>
        <w:t>10.pantā</w:t>
      </w:r>
      <w:proofErr w:type="gramEnd"/>
      <w:r w:rsidR="00287239">
        <w:rPr>
          <w:bCs/>
        </w:rPr>
        <w:t xml:space="preserve">. </w:t>
      </w:r>
      <w:r>
        <w:rPr>
          <w:bCs/>
        </w:rPr>
        <w:t xml:space="preserve">Savukārt </w:t>
      </w:r>
      <w:r w:rsidR="004E39D9">
        <w:rPr>
          <w:bCs/>
        </w:rPr>
        <w:t xml:space="preserve">Eiropas Cilvēka tiesību un pamatbrīvību aizsardzības konvencijas </w:t>
      </w:r>
      <w:proofErr w:type="gramStart"/>
      <w:r w:rsidR="004E39D9">
        <w:rPr>
          <w:bCs/>
        </w:rPr>
        <w:t>6.panta</w:t>
      </w:r>
      <w:proofErr w:type="gramEnd"/>
      <w:r w:rsidR="004E39D9">
        <w:rPr>
          <w:bCs/>
        </w:rPr>
        <w:t xml:space="preserve"> pirmajā daļā noteikts, ka ikvienam ir tiesības, nosakot civilo tiesību un pienākumu vai viņam izvirzītās apsūdzības krimināllietā pamatotību, uz taisnīgu un atklātu</w:t>
      </w:r>
      <w:r w:rsidR="0035078B">
        <w:rPr>
          <w:bCs/>
        </w:rPr>
        <w:t xml:space="preserve"> </w:t>
      </w:r>
      <w:r w:rsidR="004E39D9">
        <w:rPr>
          <w:bCs/>
        </w:rPr>
        <w:t>lietas savlaicīgu izskatīšanu neatkarīgā un objektīvā ar likumu noteiktā tiesā</w:t>
      </w:r>
      <w:r w:rsidR="00A76BE9">
        <w:rPr>
          <w:bCs/>
        </w:rPr>
        <w:t>.</w:t>
      </w:r>
    </w:p>
    <w:p w:rsidR="009041D2" w:rsidRDefault="00EB1858" w:rsidP="00F51591">
      <w:pPr>
        <w:spacing w:line="360" w:lineRule="auto"/>
        <w:ind w:firstLine="567"/>
        <w:jc w:val="both"/>
        <w:rPr>
          <w:bCs/>
        </w:rPr>
      </w:pPr>
      <w:r>
        <w:rPr>
          <w:bCs/>
        </w:rPr>
        <w:t xml:space="preserve">Juridiskajā literatūrā, atsaucoties arī uz </w:t>
      </w:r>
      <w:r w:rsidR="00F41DEB">
        <w:rPr>
          <w:bCs/>
        </w:rPr>
        <w:t>Eiropas Cilvēktiesību tiesa</w:t>
      </w:r>
      <w:r>
        <w:rPr>
          <w:bCs/>
        </w:rPr>
        <w:t xml:space="preserve">s atziņām, </w:t>
      </w:r>
      <w:r w:rsidR="00F41DEB">
        <w:rPr>
          <w:bCs/>
        </w:rPr>
        <w:t>ir norādī</w:t>
      </w:r>
      <w:r>
        <w:rPr>
          <w:bCs/>
        </w:rPr>
        <w:t>ts</w:t>
      </w:r>
      <w:r w:rsidR="00F41DEB">
        <w:rPr>
          <w:bCs/>
        </w:rPr>
        <w:t>, ka tiesas (tiesneša) objektivitātes jeb personiskās neieinteresētības prasībai ir divi aspekti – objektīvais un subjektīvais</w:t>
      </w:r>
      <w:r w:rsidR="009041D2">
        <w:rPr>
          <w:bCs/>
        </w:rPr>
        <w:t>. Tiesai jābūt subjektīvi brīvai no personiskiem aizspriedumiem vai personiskās ieinteresētības lietas iznākumā. Turklāt arī šķietamībai var būt zināma nozīme. Tas ir tāpēc, ka uz spēles ir likta sabiedrības un procesa dalībnieku uzticība, kas demokrātiskā sabiedrībā jābauda tiesai</w:t>
      </w:r>
      <w:r w:rsidR="0035078B">
        <w:rPr>
          <w:bCs/>
        </w:rPr>
        <w:t xml:space="preserve"> </w:t>
      </w:r>
      <w:r w:rsidR="00FA2B64">
        <w:rPr>
          <w:color w:val="000000"/>
        </w:rPr>
        <w:t>(</w:t>
      </w:r>
      <w:r w:rsidR="00FA2B64">
        <w:rPr>
          <w:i/>
          <w:color w:val="000000"/>
        </w:rPr>
        <w:t xml:space="preserve">sk. </w:t>
      </w:r>
      <w:r w:rsidR="00FA2B64">
        <w:rPr>
          <w:i/>
          <w:iCs/>
          <w:color w:val="000000"/>
        </w:rPr>
        <w:t>Briede</w:t>
      </w:r>
      <w:r w:rsidR="005562C3">
        <w:rPr>
          <w:i/>
          <w:iCs/>
          <w:color w:val="000000"/>
        </w:rPr>
        <w:t> </w:t>
      </w:r>
      <w:r w:rsidR="00FA2B64">
        <w:rPr>
          <w:i/>
          <w:iCs/>
          <w:color w:val="000000"/>
        </w:rPr>
        <w:t>J</w:t>
      </w:r>
      <w:r w:rsidR="00FA2B64" w:rsidRPr="0014339D">
        <w:rPr>
          <w:i/>
          <w:iCs/>
          <w:color w:val="000000"/>
        </w:rPr>
        <w:t xml:space="preserve">. </w:t>
      </w:r>
      <w:proofErr w:type="gramStart"/>
      <w:r w:rsidR="00FA2B64">
        <w:rPr>
          <w:i/>
          <w:iCs/>
          <w:color w:val="000000"/>
        </w:rPr>
        <w:t>83</w:t>
      </w:r>
      <w:r w:rsidR="00FA2B64" w:rsidRPr="0014339D">
        <w:rPr>
          <w:i/>
          <w:iCs/>
          <w:color w:val="000000"/>
        </w:rPr>
        <w:t>.panta</w:t>
      </w:r>
      <w:proofErr w:type="gramEnd"/>
      <w:r w:rsidR="00FA2B64" w:rsidRPr="0014339D">
        <w:rPr>
          <w:i/>
          <w:iCs/>
          <w:color w:val="000000"/>
        </w:rPr>
        <w:t xml:space="preserve"> komentārs. </w:t>
      </w:r>
      <w:r w:rsidR="00FA2B64">
        <w:rPr>
          <w:i/>
          <w:iCs/>
          <w:color w:val="000000"/>
          <w:lang w:val="en-US"/>
        </w:rPr>
        <w:t xml:space="preserve">Grām.: Latvijas Republikas Satversmes komentāri. VI </w:t>
      </w:r>
      <w:r w:rsidR="00FA2B64">
        <w:rPr>
          <w:i/>
          <w:iCs/>
          <w:color w:val="000000"/>
          <w:lang w:val="en-US"/>
        </w:rPr>
        <w:lastRenderedPageBreak/>
        <w:t xml:space="preserve">nodaļa. Tiesa. Autoru kolektīvs prof. </w:t>
      </w:r>
      <w:proofErr w:type="gramStart"/>
      <w:r w:rsidR="00FA2B64">
        <w:rPr>
          <w:i/>
          <w:iCs/>
          <w:color w:val="000000"/>
          <w:lang w:val="en-US"/>
        </w:rPr>
        <w:t>R.Baloža</w:t>
      </w:r>
      <w:proofErr w:type="gramEnd"/>
      <w:r w:rsidR="00FA2B64">
        <w:rPr>
          <w:i/>
          <w:iCs/>
          <w:color w:val="000000"/>
          <w:lang w:val="en-US"/>
        </w:rPr>
        <w:t xml:space="preserve"> zinātniskā vadībā. Rīga: Latvijas Vēstnesis, 2013, 62.lpp</w:t>
      </w:r>
      <w:r w:rsidR="00FA2B64">
        <w:rPr>
          <w:color w:val="000000"/>
        </w:rPr>
        <w:t xml:space="preserve">.). </w:t>
      </w:r>
    </w:p>
    <w:p w:rsidR="000A28C0" w:rsidRDefault="00CF7A02" w:rsidP="00004713">
      <w:pPr>
        <w:spacing w:line="360" w:lineRule="auto"/>
        <w:ind w:firstLine="567"/>
        <w:jc w:val="both"/>
      </w:pPr>
      <w:r>
        <w:rPr>
          <w:bCs/>
        </w:rPr>
        <w:t xml:space="preserve">Secināms, ka </w:t>
      </w:r>
      <w:r w:rsidR="00DC6180">
        <w:t xml:space="preserve">tiesneša </w:t>
      </w:r>
      <w:r w:rsidR="000A28C0">
        <w:t>atstatīšan</w:t>
      </w:r>
      <w:r w:rsidR="00DC6180">
        <w:t>ā</w:t>
      </w:r>
      <w:r w:rsidR="000A28C0">
        <w:t xml:space="preserve">s </w:t>
      </w:r>
      <w:r w:rsidR="00DC6180">
        <w:t xml:space="preserve">no lietas izskatīšanas </w:t>
      </w:r>
      <w:r w:rsidR="000A28C0">
        <w:t>un noraidījuma institūti ir svarīga garantija tiesas objektivitātes nodrošināšanai</w:t>
      </w:r>
      <w:r>
        <w:t>, par kuru ir atbildīgs tiesnesis</w:t>
      </w:r>
      <w:r w:rsidR="000A28C0">
        <w:t>.</w:t>
      </w:r>
    </w:p>
    <w:p w:rsidR="000A28C0" w:rsidRDefault="000A28C0" w:rsidP="00004713">
      <w:pPr>
        <w:spacing w:line="360" w:lineRule="auto"/>
        <w:ind w:firstLine="567"/>
        <w:jc w:val="both"/>
      </w:pPr>
    </w:p>
    <w:p w:rsidR="0009264F" w:rsidRDefault="000A28C0" w:rsidP="000267C3">
      <w:pPr>
        <w:spacing w:before="240" w:after="240" w:line="360" w:lineRule="auto"/>
        <w:ind w:firstLine="567"/>
        <w:contextualSpacing/>
        <w:jc w:val="both"/>
      </w:pPr>
      <w:r>
        <w:t>[12]</w:t>
      </w:r>
      <w:r w:rsidR="004D35F9">
        <w:t xml:space="preserve"> </w:t>
      </w:r>
      <w:r w:rsidR="0009264F">
        <w:t xml:space="preserve">Tiesnešu disciplinārās atbildības likuma </w:t>
      </w:r>
      <w:proofErr w:type="gramStart"/>
      <w:r w:rsidR="0009264F">
        <w:t>1.pant</w:t>
      </w:r>
      <w:r w:rsidR="00560BA0">
        <w:t>a</w:t>
      </w:r>
      <w:proofErr w:type="gramEnd"/>
      <w:r w:rsidR="00560BA0">
        <w:t xml:space="preserve"> pirmā daļa</w:t>
      </w:r>
      <w:r w:rsidR="0009264F">
        <w:t xml:space="preserve"> noteic pamatus tiesneša saukšanai pie disciplinārās atbildības. Tie ir saistīti ar tīšu likuma pārkāpumu tiesas lietas izskatīšanā (1.punkts), darba pienākumu nepildīšanu un rupju nolaidību lietas izskatīšanā (2.punkts), necienīgu un neētisku rīcību (3.punkts), administratīvu pārkāpumu (4.punkts), piederību pie partijām un politiskām organizācijām </w:t>
      </w:r>
      <w:proofErr w:type="gramStart"/>
      <w:r w:rsidR="0009264F">
        <w:t>(</w:t>
      </w:r>
      <w:proofErr w:type="gramEnd"/>
      <w:r w:rsidR="0009264F">
        <w:t>5.punkts) un likuma „Par interešu konflikta novēršanu valsts amatpersonu darbībā” pārkāpumu (6.punkts).</w:t>
      </w:r>
    </w:p>
    <w:p w:rsidR="00AB2E28" w:rsidRDefault="009E22F8" w:rsidP="000267C3">
      <w:pPr>
        <w:spacing w:before="240" w:after="240" w:line="360" w:lineRule="auto"/>
        <w:ind w:firstLine="567"/>
        <w:contextualSpacing/>
        <w:jc w:val="both"/>
      </w:pPr>
      <w:r>
        <w:t>No minētā redzams, ka tiesnesis var tikt saukts pie disciplinārās atbildības arī tīša likuma pārkāpuma tiesas lietas izskatīšanā gadījumos. Šajā sakarā jāņem vērā, ka j</w:t>
      </w:r>
      <w:r w:rsidR="0009264F">
        <w:t>autājums par tiesneša disciplināro atbildību par likuma pārkāpumu</w:t>
      </w:r>
      <w:r>
        <w:t xml:space="preserve"> </w:t>
      </w:r>
      <w:r w:rsidR="00AB2E28">
        <w:t xml:space="preserve">tiesas lietas izskatīšanā </w:t>
      </w:r>
      <w:r>
        <w:t xml:space="preserve">ir </w:t>
      </w:r>
      <w:r w:rsidR="0009264F">
        <w:t>aplūkojams</w:t>
      </w:r>
      <w:r w:rsidR="001C2A19">
        <w:t xml:space="preserve"> specifiski, ievērojot tiesneša neatkarības principus. Spriežot tiesu, tiesnesis ir neatkarīgs un pakļauts vienīgi likumam un tiesībām. </w:t>
      </w:r>
      <w:r w:rsidR="00AB2E28">
        <w:t>K</w:t>
      </w:r>
      <w:r w:rsidR="001C2A19">
        <w:t xml:space="preserve">ontrole pār to, vai tiesnesis, spriežot tiesu, citstarp pareizi piemērojis tiesību normas, veicama vienīgi likumā noteiktā kārtībā augstākas instances tiesā. </w:t>
      </w:r>
      <w:r w:rsidR="00A673C4">
        <w:t>T</w:t>
      </w:r>
      <w:r w:rsidR="00560BA0">
        <w:t>ādēļ</w:t>
      </w:r>
      <w:r>
        <w:t xml:space="preserve"> vispārīgi </w:t>
      </w:r>
      <w:r w:rsidR="00560BA0">
        <w:t>ti</w:t>
      </w:r>
      <w:r w:rsidR="001C2A19">
        <w:t>esnesis n</w:t>
      </w:r>
      <w:r w:rsidR="00560BA0">
        <w:t>eatbild</w:t>
      </w:r>
      <w:r w:rsidR="001C2A19">
        <w:t xml:space="preserve"> par </w:t>
      </w:r>
      <w:r>
        <w:t>tāda nolēmuma taisīšanu</w:t>
      </w:r>
      <w:r w:rsidR="001C2A19">
        <w:t>, kurš ar augstākas instances tiesas nolēmumu atzīts par nepareizu.</w:t>
      </w:r>
      <w:r w:rsidR="00A673C4">
        <w:t xml:space="preserve"> Tajā pašā laikā n</w:t>
      </w:r>
      <w:r>
        <w:t xml:space="preserve">av </w:t>
      </w:r>
      <w:r w:rsidR="00A673C4">
        <w:t>izslē</w:t>
      </w:r>
      <w:r>
        <w:t xml:space="preserve">dzama </w:t>
      </w:r>
      <w:r w:rsidR="00A673C4">
        <w:t>tiesne</w:t>
      </w:r>
      <w:r w:rsidR="00560BA0">
        <w:t>ša</w:t>
      </w:r>
      <w:r w:rsidR="00A673C4">
        <w:t xml:space="preserve"> atbildīb</w:t>
      </w:r>
      <w:r>
        <w:t>a</w:t>
      </w:r>
      <w:r w:rsidR="00A673C4">
        <w:t>, ja viņš rīkojies</w:t>
      </w:r>
      <w:r w:rsidR="00560BA0">
        <w:t xml:space="preserve"> acīmredzami pretēji likumā noteiktajam. Tiesnesis šādā gadījumā nevar aizbildināties, ka nav zinājis, kā jārīkojas. </w:t>
      </w:r>
    </w:p>
    <w:p w:rsidR="00C30C2A" w:rsidRDefault="00560BA0" w:rsidP="000267C3">
      <w:pPr>
        <w:spacing w:before="240" w:after="240" w:line="360" w:lineRule="auto"/>
        <w:ind w:firstLine="567"/>
        <w:contextualSpacing/>
        <w:jc w:val="both"/>
      </w:pPr>
      <w:r>
        <w:t xml:space="preserve">Ievērojot minēto, Tiesnešu disciplinārās atbildības likuma 1.panta pirmās daļas 1.punkts </w:t>
      </w:r>
      <w:r w:rsidR="000E5B55">
        <w:t>– atbildība par tīšu likuma pārkāpumu tiesas lietas izskatīšanā – var tikt piemērots vienīgi gadījumos, ja tiesiskais regulējums ir pietiekami skaidri saprotams un piemērojams</w:t>
      </w:r>
      <w:r w:rsidR="009E22F8">
        <w:t>, bet tiesnesi</w:t>
      </w:r>
      <w:r w:rsidR="00C30C2A">
        <w:t>s</w:t>
      </w:r>
      <w:r w:rsidR="009E22F8">
        <w:t xml:space="preserve"> rīkojies tam pretēji</w:t>
      </w:r>
      <w:r w:rsidR="000E5B55">
        <w:t xml:space="preserve">. </w:t>
      </w:r>
    </w:p>
    <w:p w:rsidR="00AB2E28" w:rsidRDefault="00AB2E28" w:rsidP="000267C3">
      <w:pPr>
        <w:spacing w:before="240" w:after="240" w:line="360" w:lineRule="auto"/>
        <w:ind w:firstLine="567"/>
        <w:contextualSpacing/>
        <w:jc w:val="both"/>
      </w:pPr>
    </w:p>
    <w:p w:rsidR="00C30C2A" w:rsidRDefault="00AB2E28" w:rsidP="000267C3">
      <w:pPr>
        <w:spacing w:before="240" w:after="240" w:line="360" w:lineRule="auto"/>
        <w:ind w:firstLine="567"/>
        <w:contextualSpacing/>
        <w:jc w:val="both"/>
      </w:pPr>
      <w:r>
        <w:t xml:space="preserve">[13] </w:t>
      </w:r>
      <w:r w:rsidR="00C30C2A">
        <w:t>Atbildot uz tiesneša R.</w:t>
      </w:r>
      <w:r w:rsidR="00B95706">
        <w:t xml:space="preserve">B. </w:t>
      </w:r>
      <w:r w:rsidR="00C30C2A">
        <w:t>iebildumu, ka viņš likumu nav pārkāpis tīši, norādāms, ka tī</w:t>
      </w:r>
      <w:r w:rsidR="000E5B55">
        <w:t xml:space="preserve">ša pārkāpuma </w:t>
      </w:r>
      <w:r w:rsidR="00A80289">
        <w:t>atzīšanas priekšnosacījumi neaprobežojas vienīgi ar personas tieša nodoma panākt kaitīgu seku iestāšanos konstatē</w:t>
      </w:r>
      <w:r w:rsidR="00C30C2A">
        <w:t>šanas nepieciešamību</w:t>
      </w:r>
      <w:r w:rsidR="00A80289">
        <w:t>. Tīšu pārkāpumu var veidot netiešs nodoms, ja persona apzinājusies savas darbības kaitīgumu, paredzējusi kaitīgās sekas, bet</w:t>
      </w:r>
      <w:r w:rsidR="00BB6EBF">
        <w:t>,</w:t>
      </w:r>
      <w:r w:rsidR="00A80289">
        <w:t xml:space="preserve"> lai arī tās nav vēlējusies, tomēr tās apzināti </w:t>
      </w:r>
      <w:r w:rsidR="00A80289">
        <w:lastRenderedPageBreak/>
        <w:t xml:space="preserve">pieļāvusi (sk., piemēram, Krimināllikuma 9.pantu, Administratīvo pārkāpumu kodeksa 10.pantu).  </w:t>
      </w:r>
    </w:p>
    <w:p w:rsidR="0009264F" w:rsidRDefault="00A80289" w:rsidP="000267C3">
      <w:pPr>
        <w:spacing w:before="240" w:after="240" w:line="360" w:lineRule="auto"/>
        <w:ind w:firstLine="567"/>
        <w:contextualSpacing/>
        <w:jc w:val="both"/>
      </w:pPr>
      <w:r>
        <w:t xml:space="preserve"> </w:t>
      </w:r>
      <w:r w:rsidR="000E5B55">
        <w:t xml:space="preserve"> </w:t>
      </w:r>
      <w:r w:rsidR="0009264F">
        <w:t xml:space="preserve">   </w:t>
      </w:r>
    </w:p>
    <w:p w:rsidR="000267C3" w:rsidRDefault="00C466DF" w:rsidP="00C1525A">
      <w:pPr>
        <w:spacing w:before="240" w:after="240" w:line="360" w:lineRule="auto"/>
        <w:ind w:firstLine="567"/>
        <w:contextualSpacing/>
        <w:jc w:val="both"/>
        <w:rPr>
          <w:b/>
        </w:rPr>
      </w:pPr>
      <w:r>
        <w:t>[1</w:t>
      </w:r>
      <w:r w:rsidR="00AB2E28">
        <w:t>4</w:t>
      </w:r>
      <w:r>
        <w:t xml:space="preserve">] </w:t>
      </w:r>
      <w:r w:rsidR="000267C3" w:rsidRPr="005D540D">
        <w:t>Civilprocesa likuma 19.panta pirmās daļas 4.punkt</w:t>
      </w:r>
      <w:r>
        <w:t xml:space="preserve">s noteic, ka </w:t>
      </w:r>
      <w:r w:rsidR="000267C3" w:rsidRPr="005D540D">
        <w:t>tiesnesis nav tiesīgs piedalīties lietas izskatīšanā un viņam sevi jāatstata līdz lietas izskatīšanas sākumam, ja viņš ir personīgi tieši vai netieši ieinteresēts lietas iznākumā</w:t>
      </w:r>
      <w:r w:rsidR="000267C3" w:rsidRPr="00ED0C6E">
        <w:rPr>
          <w:i/>
        </w:rPr>
        <w:t xml:space="preserve"> </w:t>
      </w:r>
      <w:r w:rsidR="000267C3" w:rsidRPr="005D540D">
        <w:rPr>
          <w:b/>
        </w:rPr>
        <w:t>vai ir citi apstākļi, kas rada pamatotas šaubas par viņa objektivitāti.</w:t>
      </w:r>
    </w:p>
    <w:p w:rsidR="00C466DF" w:rsidRPr="00205CA6" w:rsidRDefault="00C466DF" w:rsidP="00C1525A">
      <w:pPr>
        <w:spacing w:before="240" w:after="240" w:line="360" w:lineRule="auto"/>
        <w:ind w:firstLine="567"/>
        <w:contextualSpacing/>
        <w:jc w:val="both"/>
      </w:pPr>
      <w:r w:rsidRPr="00205CA6">
        <w:t>Izsk</w:t>
      </w:r>
      <w:r>
        <w:t>a</w:t>
      </w:r>
      <w:r w:rsidRPr="00205CA6">
        <w:t>tām</w:t>
      </w:r>
      <w:r>
        <w:t>a</w:t>
      </w:r>
      <w:r w:rsidRPr="00205CA6">
        <w:t>jā</w:t>
      </w:r>
      <w:r>
        <w:t xml:space="preserve"> lietā kā par pamatu tiesneša neobjektivitātei jārunā par „citiem apstākļiem, kas rada pamatotas šaubas”. Vispārīgi var teikt, ka norma nenosaka </w:t>
      </w:r>
      <w:r w:rsidR="00AB2E28">
        <w:t>konkrētus</w:t>
      </w:r>
      <w:r>
        <w:t xml:space="preserve"> apstākļus, k</w:t>
      </w:r>
      <w:r w:rsidR="00AB2E28">
        <w:t>uros</w:t>
      </w:r>
      <w:r>
        <w:t xml:space="preserve"> ir apšaubāma tiesneša objektivitāte. Tomēr, Disciplinārtiesas ieskatā, </w:t>
      </w:r>
      <w:r w:rsidR="00A15805">
        <w:t>šāda pieeja un tiesneša atbrīvošana no atbildības jebkurā šīs tiesību normas piemērošanas gadījumā būtu pārāk formāla. Konkrētie apstākļi ir izvērtējami</w:t>
      </w:r>
      <w:r w:rsidR="00F74BE1">
        <w:t>,</w:t>
      </w:r>
      <w:r w:rsidR="00A15805">
        <w:t xml:space="preserve"> un secinājums par to atbilstību minētās normas piem</w:t>
      </w:r>
      <w:r w:rsidR="00F74BE1">
        <w:t>ēr</w:t>
      </w:r>
      <w:r w:rsidR="00A15805">
        <w:t xml:space="preserve">ošanai </w:t>
      </w:r>
      <w:r w:rsidR="00F74BE1">
        <w:t xml:space="preserve">ir izdarāms </w:t>
      </w:r>
      <w:r w:rsidR="00A15805">
        <w:t xml:space="preserve">konkrētā gadījumā. </w:t>
      </w:r>
    </w:p>
    <w:p w:rsidR="00F74BE1" w:rsidRDefault="00F74BE1" w:rsidP="000267C3">
      <w:pPr>
        <w:spacing w:before="240" w:after="240" w:line="360" w:lineRule="auto"/>
        <w:ind w:firstLine="567"/>
        <w:contextualSpacing/>
        <w:jc w:val="both"/>
      </w:pPr>
    </w:p>
    <w:p w:rsidR="00E17A43" w:rsidRDefault="00F74BE1" w:rsidP="00C1525A">
      <w:pPr>
        <w:spacing w:before="240" w:after="240" w:line="360" w:lineRule="auto"/>
        <w:ind w:firstLine="567"/>
        <w:contextualSpacing/>
        <w:jc w:val="both"/>
        <w:rPr>
          <w:lang w:eastAsia="lv-LV"/>
        </w:rPr>
      </w:pPr>
      <w:r>
        <w:t>[1</w:t>
      </w:r>
      <w:r w:rsidR="00AB2E28">
        <w:t>5</w:t>
      </w:r>
      <w:r>
        <w:t xml:space="preserve">] </w:t>
      </w:r>
      <w:r w:rsidR="009564E6">
        <w:t>Disciplinārtiesas ieskatā</w:t>
      </w:r>
      <w:r>
        <w:t>,</w:t>
      </w:r>
      <w:r w:rsidR="009564E6">
        <w:t xml:space="preserve"> pamatotas šaubas par tiesneša objektivitāti radīja apstāklis, ka tiesnesi</w:t>
      </w:r>
      <w:r>
        <w:t xml:space="preserve">m </w:t>
      </w:r>
      <w:r w:rsidR="009564E6">
        <w:t>R.</w:t>
      </w:r>
      <w:r w:rsidR="00B95706">
        <w:t xml:space="preserve">B. </w:t>
      </w:r>
      <w:r w:rsidR="009564E6">
        <w:t xml:space="preserve">ir </w:t>
      </w:r>
      <w:r>
        <w:t xml:space="preserve">civilstrīds tiesā </w:t>
      </w:r>
      <w:r w:rsidR="009564E6">
        <w:t xml:space="preserve">ar </w:t>
      </w:r>
      <w:r w:rsidR="009564E6">
        <w:rPr>
          <w:lang w:eastAsia="lv-LV"/>
        </w:rPr>
        <w:t>AS “Swedbank”</w:t>
      </w:r>
      <w:r>
        <w:rPr>
          <w:lang w:eastAsia="lv-LV"/>
        </w:rPr>
        <w:t xml:space="preserve">, t.i., ar to pašu personu, saistībā ar kuru </w:t>
      </w:r>
      <w:r w:rsidR="009564E6">
        <w:rPr>
          <w:lang w:eastAsia="lv-LV"/>
        </w:rPr>
        <w:t>tiesnesi</w:t>
      </w:r>
      <w:r>
        <w:rPr>
          <w:lang w:eastAsia="lv-LV"/>
        </w:rPr>
        <w:t xml:space="preserve">m bija jāpieņem nolēmums citā tiesas lietā. Proti, </w:t>
      </w:r>
      <w:r w:rsidR="0011736F">
        <w:rPr>
          <w:lang w:eastAsia="lv-LV"/>
        </w:rPr>
        <w:t>tie</w:t>
      </w:r>
      <w:r>
        <w:rPr>
          <w:lang w:eastAsia="lv-LV"/>
        </w:rPr>
        <w:t>s</w:t>
      </w:r>
      <w:r w:rsidR="0011736F">
        <w:rPr>
          <w:lang w:eastAsia="lv-LV"/>
        </w:rPr>
        <w:t>nesim</w:t>
      </w:r>
      <w:r>
        <w:rPr>
          <w:lang w:eastAsia="lv-LV"/>
        </w:rPr>
        <w:t xml:space="preserve"> </w:t>
      </w:r>
      <w:r w:rsidR="0011736F">
        <w:rPr>
          <w:lang w:eastAsia="lv-LV"/>
        </w:rPr>
        <w:t>ir civiltiesisks strīds</w:t>
      </w:r>
      <w:r w:rsidR="00143613">
        <w:rPr>
          <w:lang w:eastAsia="lv-LV"/>
        </w:rPr>
        <w:t xml:space="preserve"> ar minēto banku</w:t>
      </w:r>
      <w:r w:rsidR="0011736F">
        <w:rPr>
          <w:lang w:eastAsia="lv-LV"/>
        </w:rPr>
        <w:t xml:space="preserve"> par tiesneša reputācijai svarīgu jautājumu </w:t>
      </w:r>
      <w:r>
        <w:rPr>
          <w:lang w:eastAsia="lv-LV"/>
        </w:rPr>
        <w:t>–</w:t>
      </w:r>
      <w:r w:rsidR="0011736F">
        <w:rPr>
          <w:lang w:eastAsia="lv-LV"/>
        </w:rPr>
        <w:t xml:space="preserve"> goda un cieņas aizskarošo ziņu atsaukšanu</w:t>
      </w:r>
      <w:r w:rsidR="007536C3">
        <w:rPr>
          <w:lang w:eastAsia="lv-LV"/>
        </w:rPr>
        <w:t xml:space="preserve"> un atlīdzības piedziņu, </w:t>
      </w:r>
      <w:r>
        <w:rPr>
          <w:lang w:eastAsia="lv-LV"/>
        </w:rPr>
        <w:t xml:space="preserve">turklāt tieši </w:t>
      </w:r>
      <w:r w:rsidR="007536C3">
        <w:rPr>
          <w:lang w:eastAsia="lv-LV"/>
        </w:rPr>
        <w:t xml:space="preserve">saistībā ar tiesneša </w:t>
      </w:r>
      <w:r w:rsidR="00104117">
        <w:rPr>
          <w:lang w:eastAsia="lv-LV"/>
        </w:rPr>
        <w:t>darbu.</w:t>
      </w:r>
      <w:r w:rsidR="000601BC">
        <w:rPr>
          <w:lang w:eastAsia="lv-LV"/>
        </w:rPr>
        <w:t xml:space="preserve"> </w:t>
      </w:r>
      <w:r w:rsidR="00067E41">
        <w:rPr>
          <w:lang w:eastAsia="lv-LV"/>
        </w:rPr>
        <w:t>Šādā situācijā tiesneša pienākums</w:t>
      </w:r>
      <w:r>
        <w:rPr>
          <w:lang w:eastAsia="lv-LV"/>
        </w:rPr>
        <w:t xml:space="preserve"> </w:t>
      </w:r>
      <w:r w:rsidR="002B4BD4">
        <w:rPr>
          <w:lang w:eastAsia="lv-LV"/>
        </w:rPr>
        <w:t xml:space="preserve">atbilstoši </w:t>
      </w:r>
      <w:r w:rsidR="002B4BD4" w:rsidRPr="005D540D">
        <w:t>Civilprocesa likuma 19.panta pirmās daļas 4.punkt</w:t>
      </w:r>
      <w:r w:rsidR="002B4BD4">
        <w:t xml:space="preserve">am </w:t>
      </w:r>
      <w:r w:rsidR="002B4BD4">
        <w:rPr>
          <w:lang w:eastAsia="lv-LV"/>
        </w:rPr>
        <w:t xml:space="preserve">bija </w:t>
      </w:r>
      <w:r w:rsidR="000B1A85">
        <w:rPr>
          <w:lang w:eastAsia="lv-LV"/>
        </w:rPr>
        <w:t xml:space="preserve">atstatīt sevi no lietas izskatīšanas vai pieņemt noraidījumu, līdz ar to </w:t>
      </w:r>
      <w:r w:rsidR="00067E41">
        <w:rPr>
          <w:lang w:eastAsia="lv-LV"/>
        </w:rPr>
        <w:t xml:space="preserve">novērst </w:t>
      </w:r>
      <w:r w:rsidR="008F6DD9">
        <w:rPr>
          <w:lang w:eastAsia="lv-LV"/>
        </w:rPr>
        <w:t xml:space="preserve">procesa dalībnieku un sabiedrības </w:t>
      </w:r>
      <w:r w:rsidR="00067E41">
        <w:rPr>
          <w:lang w:eastAsia="lv-LV"/>
        </w:rPr>
        <w:t xml:space="preserve">šaubas par </w:t>
      </w:r>
      <w:r w:rsidR="008F6DD9">
        <w:rPr>
          <w:lang w:eastAsia="lv-LV"/>
        </w:rPr>
        <w:t>tiesas objektivitāti</w:t>
      </w:r>
      <w:r w:rsidR="00A21D28">
        <w:rPr>
          <w:lang w:eastAsia="lv-LV"/>
        </w:rPr>
        <w:t>.</w:t>
      </w:r>
      <w:r w:rsidR="00067E41">
        <w:rPr>
          <w:lang w:eastAsia="lv-LV"/>
        </w:rPr>
        <w:t xml:space="preserve"> </w:t>
      </w:r>
    </w:p>
    <w:p w:rsidR="00E67081" w:rsidRDefault="002B4BD4" w:rsidP="00E67081">
      <w:pPr>
        <w:spacing w:before="240" w:after="240" w:line="360" w:lineRule="auto"/>
        <w:ind w:firstLine="567"/>
        <w:contextualSpacing/>
        <w:jc w:val="both"/>
        <w:rPr>
          <w:lang w:eastAsia="lv-LV"/>
        </w:rPr>
      </w:pPr>
      <w:r>
        <w:t>Jāņem arī vērā, ka t</w:t>
      </w:r>
      <w:r w:rsidR="00EB3E91">
        <w:t>iesnesim</w:t>
      </w:r>
      <w:r w:rsidR="00270AAA">
        <w:t xml:space="preserve"> R.</w:t>
      </w:r>
      <w:r w:rsidR="00B95706">
        <w:t xml:space="preserve">B. </w:t>
      </w:r>
      <w:r w:rsidR="00270AAA">
        <w:t>ir</w:t>
      </w:r>
      <w:r w:rsidR="00EB3E91">
        <w:t xml:space="preserve"> </w:t>
      </w:r>
      <w:r>
        <w:t xml:space="preserve">17 </w:t>
      </w:r>
      <w:r w:rsidR="00E857B4">
        <w:t>gad</w:t>
      </w:r>
      <w:r w:rsidR="00E67081">
        <w:t xml:space="preserve">u </w:t>
      </w:r>
      <w:r w:rsidR="00270AAA">
        <w:t xml:space="preserve">tiesneša </w:t>
      </w:r>
      <w:r w:rsidR="00E67081">
        <w:t>darba pieredz</w:t>
      </w:r>
      <w:r w:rsidR="00270AAA">
        <w:t>e</w:t>
      </w:r>
      <w:r w:rsidR="001F5077">
        <w:t>,</w:t>
      </w:r>
      <w:r w:rsidR="00E67081">
        <w:t xml:space="preserve"> </w:t>
      </w:r>
      <w:r>
        <w:t xml:space="preserve">kas tikai papildus apliecina, ka </w:t>
      </w:r>
      <w:r w:rsidR="00270AAA">
        <w:t xml:space="preserve">viņam </w:t>
      </w:r>
      <w:r w:rsidR="005E2EA2">
        <w:t xml:space="preserve">jābūt </w:t>
      </w:r>
      <w:r w:rsidR="00E67081">
        <w:t>saprotam</w:t>
      </w:r>
      <w:r>
        <w:t>a</w:t>
      </w:r>
      <w:r w:rsidR="005E2EA2">
        <w:t>i</w:t>
      </w:r>
      <w:r w:rsidR="00E67081">
        <w:t xml:space="preserve"> minētās normas </w:t>
      </w:r>
      <w:r>
        <w:t>jēga</w:t>
      </w:r>
      <w:r w:rsidR="005E2EA2">
        <w:t>i</w:t>
      </w:r>
      <w:r>
        <w:t xml:space="preserve"> un </w:t>
      </w:r>
      <w:r w:rsidR="00E67081">
        <w:t>mērķi</w:t>
      </w:r>
      <w:r w:rsidR="005E2EA2">
        <w:t>m</w:t>
      </w:r>
      <w:r w:rsidR="00E67081" w:rsidRPr="00E67081">
        <w:rPr>
          <w:i/>
        </w:rPr>
        <w:t>.</w:t>
      </w:r>
      <w:r w:rsidR="001F5077">
        <w:t xml:space="preserve"> </w:t>
      </w:r>
      <w:r w:rsidR="00106228">
        <w:t xml:space="preserve">Disciplinārlietas materiāliem </w:t>
      </w:r>
      <w:r>
        <w:t xml:space="preserve">ir </w:t>
      </w:r>
      <w:r w:rsidR="00106228">
        <w:t>pievienoti divi lēmumi, no kuriem secināms, ka tiesnesis</w:t>
      </w:r>
      <w:r>
        <w:t>,</w:t>
      </w:r>
      <w:r w:rsidR="00106228">
        <w:t xml:space="preserve"> pamatojoties uz Civilprocesa likuma 19.panta pirmās daļas 4.punkta prasībām</w:t>
      </w:r>
      <w:r w:rsidR="00CB5237">
        <w:t>,</w:t>
      </w:r>
      <w:r w:rsidR="00106228">
        <w:t xml:space="preserve"> līdzīgās lietās ir atstatījis sevi no lietas izskatīšanas. Citās lietās </w:t>
      </w:r>
      <w:r w:rsidR="00935171">
        <w:rPr>
          <w:lang w:eastAsia="lv-LV"/>
        </w:rPr>
        <w:t>tiesnesis ir informējis</w:t>
      </w:r>
      <w:r w:rsidR="00935171" w:rsidRPr="00935171">
        <w:t xml:space="preserve"> </w:t>
      </w:r>
      <w:r w:rsidR="00935171">
        <w:t xml:space="preserve">citu </w:t>
      </w:r>
      <w:r w:rsidR="00935171">
        <w:rPr>
          <w:lang w:eastAsia="lv-LV"/>
        </w:rPr>
        <w:t>AS “Swedbank” pārstāvi</w:t>
      </w:r>
      <w:r w:rsidR="00836D85">
        <w:rPr>
          <w:lang w:eastAsia="lv-LV"/>
        </w:rPr>
        <w:t xml:space="preserve"> par </w:t>
      </w:r>
      <w:r w:rsidR="0039595A">
        <w:rPr>
          <w:lang w:eastAsia="lv-LV"/>
        </w:rPr>
        <w:t xml:space="preserve">viņa </w:t>
      </w:r>
      <w:r w:rsidR="00836D85">
        <w:rPr>
          <w:lang w:eastAsia="lv-LV"/>
        </w:rPr>
        <w:t xml:space="preserve">civiltiesisko strīdu ar banku un lūdzis apsvērt jautājumu par noraidījuma pieteikšanu. No minētā izdarāms secinājums, ka tiesnesis pareizi saprot </w:t>
      </w:r>
      <w:r>
        <w:rPr>
          <w:lang w:eastAsia="lv-LV"/>
        </w:rPr>
        <w:t xml:space="preserve">šīs </w:t>
      </w:r>
      <w:r w:rsidR="00836D85">
        <w:rPr>
          <w:lang w:eastAsia="lv-LV"/>
        </w:rPr>
        <w:t>normas jēgu un citās lietās to</w:t>
      </w:r>
      <w:r w:rsidR="00270AAA">
        <w:rPr>
          <w:lang w:eastAsia="lv-LV"/>
        </w:rPr>
        <w:t xml:space="preserve"> ir </w:t>
      </w:r>
      <w:r w:rsidR="00836D85">
        <w:rPr>
          <w:lang w:eastAsia="lv-LV"/>
        </w:rPr>
        <w:t>piemē</w:t>
      </w:r>
      <w:r w:rsidR="00270AAA">
        <w:rPr>
          <w:lang w:eastAsia="lv-LV"/>
        </w:rPr>
        <w:t>rojis.</w:t>
      </w:r>
    </w:p>
    <w:p w:rsidR="007346CD" w:rsidRDefault="002B4BD4" w:rsidP="00E67081">
      <w:pPr>
        <w:spacing w:before="240" w:after="240" w:line="360" w:lineRule="auto"/>
        <w:ind w:firstLine="567"/>
        <w:contextualSpacing/>
        <w:jc w:val="both"/>
      </w:pPr>
      <w:r>
        <w:rPr>
          <w:lang w:eastAsia="lv-LV"/>
        </w:rPr>
        <w:t xml:space="preserve">Tādējādi, </w:t>
      </w:r>
      <w:r w:rsidR="00191788">
        <w:rPr>
          <w:lang w:eastAsia="lv-LV"/>
        </w:rPr>
        <w:t>līdzīgā situācijā</w:t>
      </w:r>
      <w:r w:rsidR="00ED0C6E" w:rsidRPr="00ED0C6E">
        <w:rPr>
          <w:lang w:eastAsia="lv-LV"/>
        </w:rPr>
        <w:t xml:space="preserve"> </w:t>
      </w:r>
      <w:r w:rsidR="00191788">
        <w:rPr>
          <w:lang w:eastAsia="lv-LV"/>
        </w:rPr>
        <w:t xml:space="preserve">atsakoties pieņemt noraidījumu, </w:t>
      </w:r>
      <w:r w:rsidR="00191788">
        <w:t>tiesnesis R.</w:t>
      </w:r>
      <w:r w:rsidR="00B95706">
        <w:t xml:space="preserve">B. </w:t>
      </w:r>
      <w:r>
        <w:t xml:space="preserve">ir </w:t>
      </w:r>
      <w:r w:rsidR="00191788">
        <w:t>apzināti ignorēj</w:t>
      </w:r>
      <w:r>
        <w:t>is</w:t>
      </w:r>
      <w:r w:rsidR="005F7232">
        <w:t xml:space="preserve"> </w:t>
      </w:r>
      <w:r w:rsidR="00191788">
        <w:t>minētās likuma prasības, paredzēj</w:t>
      </w:r>
      <w:r>
        <w:t>is</w:t>
      </w:r>
      <w:r w:rsidR="00B86811">
        <w:t>,</w:t>
      </w:r>
      <w:r w:rsidR="00191788">
        <w:t xml:space="preserve"> ka šāda tiesneša rīcība negatīvi </w:t>
      </w:r>
      <w:r w:rsidR="00191788">
        <w:lastRenderedPageBreak/>
        <w:t>ietekmē procesa dalībnieku un sabiedrības uzticēšanos objektīvai tiesai</w:t>
      </w:r>
      <w:r w:rsidR="00B86811">
        <w:t xml:space="preserve"> un apzināti pieļāv</w:t>
      </w:r>
      <w:r>
        <w:t>is</w:t>
      </w:r>
      <w:r w:rsidR="00B86811">
        <w:t xml:space="preserve"> šo kaitīgo seku iestāšanos.</w:t>
      </w:r>
      <w:r w:rsidRPr="002B4BD4">
        <w:rPr>
          <w:lang w:eastAsia="lv-LV"/>
        </w:rPr>
        <w:t xml:space="preserve"> </w:t>
      </w:r>
      <w:r>
        <w:rPr>
          <w:lang w:eastAsia="lv-LV"/>
        </w:rPr>
        <w:t>Ievērojot minēto, ir atzīstams, ka, neatstatot sevi no lietas izskatīšanas un nepieņemot noraidījumu, tiesnesis R.</w:t>
      </w:r>
      <w:r w:rsidR="00B95706">
        <w:rPr>
          <w:lang w:eastAsia="lv-LV"/>
        </w:rPr>
        <w:t xml:space="preserve">B. </w:t>
      </w:r>
      <w:r>
        <w:rPr>
          <w:lang w:eastAsia="lv-LV"/>
        </w:rPr>
        <w:t xml:space="preserve">ir pieļāvis tīšu likuma – </w:t>
      </w:r>
      <w:r>
        <w:t>Civilprocesa likuma 19.panta pirmās daļas 4.punkta – pārkāpumu.</w:t>
      </w:r>
    </w:p>
    <w:p w:rsidR="002B4BD4" w:rsidRDefault="002B4BD4" w:rsidP="0098024B">
      <w:pPr>
        <w:spacing w:line="360" w:lineRule="auto"/>
        <w:ind w:firstLine="720"/>
        <w:jc w:val="both"/>
      </w:pPr>
    </w:p>
    <w:p w:rsidR="00A02D02" w:rsidRDefault="002B4BD4" w:rsidP="00205CA6">
      <w:pPr>
        <w:spacing w:line="360" w:lineRule="auto"/>
        <w:ind w:firstLine="567"/>
        <w:jc w:val="both"/>
      </w:pPr>
      <w:r>
        <w:t>[1</w:t>
      </w:r>
      <w:r w:rsidR="00AB2E28">
        <w:t>6</w:t>
      </w:r>
      <w:r>
        <w:t xml:space="preserve">] </w:t>
      </w:r>
      <w:r w:rsidR="0039595A">
        <w:t>Disciplinārtiesas ieskatā</w:t>
      </w:r>
      <w:r>
        <w:t>,</w:t>
      </w:r>
      <w:r w:rsidR="0039595A">
        <w:t xml:space="preserve"> nav izšķirošas nozīmes </w:t>
      </w:r>
      <w:r w:rsidR="008B1874">
        <w:t>apstāklim, ka citās lietās ar to pašu banku, noraidījums tiesnesim netika pieteikts.</w:t>
      </w:r>
      <w:r w:rsidR="0060546F">
        <w:t xml:space="preserve"> </w:t>
      </w:r>
      <w:r w:rsidR="00A02D02">
        <w:t>Primāri par objektīvas tiesas nodrošināšanu ir atbildīgs tieši tiesnesis, kurš pats spēj novērtēt apstākļus</w:t>
      </w:r>
      <w:r w:rsidR="00BB6EBF">
        <w:t>,</w:t>
      </w:r>
      <w:r w:rsidR="00A02D02">
        <w:t xml:space="preserve"> un ko paredz arī Civilprocesa likuma 19.panta pirmās daļas 4.punkts.</w:t>
      </w:r>
    </w:p>
    <w:p w:rsidR="0098024B" w:rsidRDefault="00A02D02" w:rsidP="00205CA6">
      <w:pPr>
        <w:spacing w:line="360" w:lineRule="auto"/>
        <w:ind w:firstLine="567"/>
        <w:jc w:val="both"/>
      </w:pPr>
      <w:r>
        <w:t>T</w:t>
      </w:r>
      <w:r w:rsidR="0098024B">
        <w:t>iesneša disciplināro atbildību nevar ietekmēt R.</w:t>
      </w:r>
      <w:r w:rsidR="00B95706">
        <w:t xml:space="preserve">B. </w:t>
      </w:r>
      <w:r w:rsidR="0098024B">
        <w:t>norāde uz izskatāmās lietas procesuāl</w:t>
      </w:r>
      <w:r w:rsidR="00EC7836">
        <w:t>o</w:t>
      </w:r>
      <w:r w:rsidR="0098024B">
        <w:t xml:space="preserve"> raksturu un darba apstākļiem tiesā. Likumā noteiktās prasības tiesnesim stingri jāievēro neatkarīgi no darba apstākļiem </w:t>
      </w:r>
      <w:r w:rsidR="00EC7836">
        <w:t xml:space="preserve">vai lietas svarīguma. </w:t>
      </w:r>
    </w:p>
    <w:p w:rsidR="0060536F" w:rsidRDefault="0060536F" w:rsidP="00B86811">
      <w:pPr>
        <w:spacing w:before="240" w:after="240" w:line="360" w:lineRule="auto"/>
        <w:ind w:firstLine="567"/>
        <w:contextualSpacing/>
        <w:jc w:val="both"/>
      </w:pPr>
    </w:p>
    <w:p w:rsidR="008B41FB" w:rsidRDefault="0060536F" w:rsidP="003A1EC9">
      <w:pPr>
        <w:spacing w:before="240" w:after="240" w:line="360" w:lineRule="auto"/>
        <w:ind w:firstLine="567"/>
        <w:contextualSpacing/>
        <w:jc w:val="both"/>
      </w:pPr>
      <w:r>
        <w:t>[1</w:t>
      </w:r>
      <w:r w:rsidR="00AB2E28">
        <w:t>7</w:t>
      </w:r>
      <w:r>
        <w:t xml:space="preserve">] </w:t>
      </w:r>
      <w:r w:rsidR="00CB5237">
        <w:t>K</w:t>
      </w:r>
      <w:r w:rsidR="00BD6E1D">
        <w:t>olēģija</w:t>
      </w:r>
      <w:r w:rsidR="003A1EC9">
        <w:t xml:space="preserve">s lēmumā </w:t>
      </w:r>
      <w:r w:rsidR="00A02D02">
        <w:t xml:space="preserve">citstarp ir citēts </w:t>
      </w:r>
      <w:r w:rsidR="00BD6E1D">
        <w:rPr>
          <w:lang w:eastAsia="lv-LV"/>
        </w:rPr>
        <w:t xml:space="preserve">likuma </w:t>
      </w:r>
      <w:r w:rsidR="00BD6E1D">
        <w:t>“Par interešu konflikta novēršanu valsts amatpersonu darbībā”</w:t>
      </w:r>
      <w:r w:rsidR="00A02D02">
        <w:t xml:space="preserve"> </w:t>
      </w:r>
      <w:r w:rsidR="00BD6E1D">
        <w:t>11.panta pirmās daļas un 22.panta otrās daļas</w:t>
      </w:r>
      <w:r w:rsidR="00BD6E1D" w:rsidRPr="008B41FB">
        <w:rPr>
          <w:lang w:eastAsia="lv-LV"/>
        </w:rPr>
        <w:t xml:space="preserve"> </w:t>
      </w:r>
      <w:r w:rsidR="00BD6E1D">
        <w:rPr>
          <w:lang w:eastAsia="lv-LV"/>
        </w:rPr>
        <w:t xml:space="preserve">normas saturs. Tomēr no minētā lēmuma </w:t>
      </w:r>
      <w:r w:rsidR="003A1EC9">
        <w:rPr>
          <w:lang w:eastAsia="lv-LV"/>
        </w:rPr>
        <w:t xml:space="preserve">vispār </w:t>
      </w:r>
      <w:r w:rsidR="00BD6E1D">
        <w:rPr>
          <w:lang w:eastAsia="lv-LV"/>
        </w:rPr>
        <w:t xml:space="preserve">nav </w:t>
      </w:r>
      <w:r w:rsidR="003A1EC9">
        <w:rPr>
          <w:lang w:eastAsia="lv-LV"/>
        </w:rPr>
        <w:t>redzama argumentācija un kolēģijas viedoklis attiecībā uz to</w:t>
      </w:r>
      <w:r w:rsidR="00AB2E28">
        <w:rPr>
          <w:lang w:eastAsia="lv-LV"/>
        </w:rPr>
        <w:t>,</w:t>
      </w:r>
      <w:r w:rsidR="003A1EC9">
        <w:rPr>
          <w:lang w:eastAsia="lv-LV"/>
        </w:rPr>
        <w:t xml:space="preserve"> vai tiesnesis ir izdarījis </w:t>
      </w:r>
      <w:r w:rsidR="00A02D02">
        <w:rPr>
          <w:lang w:eastAsia="lv-LV"/>
        </w:rPr>
        <w:t xml:space="preserve">šo normu </w:t>
      </w:r>
      <w:r w:rsidR="00A02D02">
        <w:t>p</w:t>
      </w:r>
      <w:r w:rsidR="003A1EC9">
        <w:t>ārkāpumu.</w:t>
      </w:r>
    </w:p>
    <w:p w:rsidR="00A02D02" w:rsidRDefault="00A02D02" w:rsidP="003A1EC9">
      <w:pPr>
        <w:spacing w:before="240" w:after="240" w:line="360" w:lineRule="auto"/>
        <w:ind w:firstLine="567"/>
        <w:contextualSpacing/>
        <w:jc w:val="both"/>
      </w:pPr>
      <w:r>
        <w:t xml:space="preserve">Disciplinārtiesa </w:t>
      </w:r>
      <w:r w:rsidR="003A1EC9">
        <w:t>secin</w:t>
      </w:r>
      <w:r>
        <w:t>a</w:t>
      </w:r>
      <w:r w:rsidR="003A1EC9">
        <w:t xml:space="preserve">, ka kolēģija nav atzinusi </w:t>
      </w:r>
      <w:r>
        <w:t xml:space="preserve">minēto normu pārkāpumu </w:t>
      </w:r>
      <w:r w:rsidR="003A1EC9">
        <w:t xml:space="preserve">tiesneša </w:t>
      </w:r>
      <w:r>
        <w:t xml:space="preserve">rīcībā. Tādēļ Disciplinārtiesa to </w:t>
      </w:r>
      <w:r w:rsidR="001237C9">
        <w:t>no jauna nevērtēs</w:t>
      </w:r>
      <w:r>
        <w:t>.</w:t>
      </w:r>
    </w:p>
    <w:p w:rsidR="00CF5FED" w:rsidRDefault="00CF5FED" w:rsidP="003A1EC9">
      <w:pPr>
        <w:spacing w:before="240" w:after="240" w:line="360" w:lineRule="auto"/>
        <w:ind w:firstLine="567"/>
        <w:contextualSpacing/>
        <w:jc w:val="both"/>
      </w:pPr>
    </w:p>
    <w:p w:rsidR="00840338" w:rsidRDefault="00CF5FED" w:rsidP="00840338">
      <w:pPr>
        <w:spacing w:before="240" w:after="240" w:line="360" w:lineRule="auto"/>
        <w:ind w:firstLine="567"/>
        <w:contextualSpacing/>
        <w:jc w:val="both"/>
      </w:pPr>
      <w:r>
        <w:t>[1</w:t>
      </w:r>
      <w:r w:rsidR="00AB2E28">
        <w:t>8</w:t>
      </w:r>
      <w:r>
        <w:t xml:space="preserve">] </w:t>
      </w:r>
      <w:r w:rsidR="00CB5237">
        <w:t>K</w:t>
      </w:r>
      <w:r w:rsidR="00FB7EC2">
        <w:t xml:space="preserve">olēģija atzina, ka </w:t>
      </w:r>
      <w:bookmarkEnd w:id="1"/>
      <w:bookmarkEnd w:id="2"/>
      <w:r w:rsidR="00FB7EC2">
        <w:t>tiesnesis R.</w:t>
      </w:r>
      <w:r w:rsidR="00B95706">
        <w:t xml:space="preserve">B. </w:t>
      </w:r>
      <w:r w:rsidR="00067C4A">
        <w:t>pārkāpa Tiesnešu ētikas kodeksa 3.kanonu (8.</w:t>
      </w:r>
      <w:r w:rsidR="00A02D02">
        <w:t xml:space="preserve"> </w:t>
      </w:r>
      <w:r w:rsidR="00067C4A">
        <w:t>un</w:t>
      </w:r>
      <w:r w:rsidR="00A02D02">
        <w:t xml:space="preserve"> </w:t>
      </w:r>
      <w:r w:rsidR="00067C4A">
        <w:t>18.punktu)</w:t>
      </w:r>
      <w:r w:rsidR="00A02D02">
        <w:t>, tādējādi s</w:t>
      </w:r>
      <w:r w:rsidR="00840338">
        <w:t xml:space="preserve">aucams pie disciplinārās atbildības </w:t>
      </w:r>
      <w:r w:rsidR="00A02D02">
        <w:t xml:space="preserve">arī </w:t>
      </w:r>
      <w:r w:rsidR="00840338">
        <w:t>saskaņā ar Tiesnešu disciplinārās atbildības likuma 1.panta pirmās daļas 3.punktu</w:t>
      </w:r>
      <w:r w:rsidR="00A02D02">
        <w:t>.</w:t>
      </w:r>
    </w:p>
    <w:p w:rsidR="00174207" w:rsidRDefault="00CB5237" w:rsidP="00C1525A">
      <w:pPr>
        <w:spacing w:before="240" w:after="240" w:line="360" w:lineRule="auto"/>
        <w:ind w:firstLine="567"/>
        <w:contextualSpacing/>
        <w:jc w:val="both"/>
      </w:pPr>
      <w:r>
        <w:t>K</w:t>
      </w:r>
      <w:r w:rsidR="00840338">
        <w:t xml:space="preserve">olēģija pareizi ir konstatējusi un savā lēmumā norādījusi, ka </w:t>
      </w:r>
      <w:r w:rsidR="00A02D02">
        <w:t xml:space="preserve">šajā gadījumā </w:t>
      </w:r>
      <w:r w:rsidR="00840338">
        <w:t xml:space="preserve">ētikas normu </w:t>
      </w:r>
      <w:r w:rsidR="0027748E">
        <w:t xml:space="preserve">rupjš </w:t>
      </w:r>
      <w:r w:rsidR="00840338">
        <w:t xml:space="preserve">pārkāpums </w:t>
      </w:r>
      <w:r w:rsidR="00A02D02">
        <w:t xml:space="preserve">tieši </w:t>
      </w:r>
      <w:r w:rsidR="00840338">
        <w:t>izriet no tīša likuma pārkāpuma izdarīšanas.</w:t>
      </w:r>
      <w:r w:rsidR="00A02D02">
        <w:t xml:space="preserve"> </w:t>
      </w:r>
      <w:r w:rsidR="00174207">
        <w:t>Disciplinārtiesa uzskata, ka</w:t>
      </w:r>
      <w:r w:rsidR="00F0303C">
        <w:t xml:space="preserve"> </w:t>
      </w:r>
      <w:r w:rsidR="00C94091">
        <w:t xml:space="preserve">tādējādi </w:t>
      </w:r>
      <w:r w:rsidR="00F0303C">
        <w:t xml:space="preserve">nav pamata </w:t>
      </w:r>
      <w:r w:rsidR="00C94091">
        <w:t xml:space="preserve">par tām pašām darbībām piemērot arī atbildību kā par ētikas </w:t>
      </w:r>
      <w:r w:rsidR="00174207">
        <w:t>normu</w:t>
      </w:r>
      <w:r w:rsidR="0027748E">
        <w:t xml:space="preserve"> rupju</w:t>
      </w:r>
      <w:r w:rsidR="00174207">
        <w:t xml:space="preserve"> pārkāpumu.</w:t>
      </w:r>
    </w:p>
    <w:p w:rsidR="00174207" w:rsidRDefault="00F0303C" w:rsidP="00174207">
      <w:pPr>
        <w:spacing w:before="240" w:after="240" w:line="360" w:lineRule="auto"/>
        <w:ind w:firstLine="567"/>
        <w:contextualSpacing/>
        <w:jc w:val="both"/>
      </w:pPr>
      <w:r>
        <w:t>Līdz ar to kolēģijas lēmums daļā par Tiesnešu disciplinārās atbildības likuma 1.panta pirmās daļas 3.punkta pārkāpumu atceļams un šajā daļā disciplinārlieta izbeidzama.</w:t>
      </w:r>
    </w:p>
    <w:p w:rsidR="00F0303C" w:rsidRDefault="00F0303C" w:rsidP="00174207">
      <w:pPr>
        <w:spacing w:before="240" w:after="240" w:line="360" w:lineRule="auto"/>
        <w:ind w:firstLine="567"/>
        <w:contextualSpacing/>
        <w:jc w:val="both"/>
      </w:pPr>
    </w:p>
    <w:p w:rsidR="00D27671" w:rsidRDefault="00F0303C" w:rsidP="00174207">
      <w:pPr>
        <w:spacing w:before="240" w:after="240" w:line="360" w:lineRule="auto"/>
        <w:ind w:firstLine="567"/>
        <w:contextualSpacing/>
        <w:jc w:val="both"/>
      </w:pPr>
      <w:r>
        <w:t>[1</w:t>
      </w:r>
      <w:r w:rsidR="00AB2E28">
        <w:t>9</w:t>
      </w:r>
      <w:r>
        <w:t xml:space="preserve">] </w:t>
      </w:r>
      <w:r w:rsidR="0098236E">
        <w:t>Tiesnesim R.</w:t>
      </w:r>
      <w:r w:rsidR="00B95706">
        <w:t xml:space="preserve">B. </w:t>
      </w:r>
      <w:r w:rsidR="0098236E">
        <w:t>uzlikts disciplinārsods – rājiens. Disciplinārtiesas ieskatā</w:t>
      </w:r>
      <w:r w:rsidR="008513F5">
        <w:t xml:space="preserve">, neskatoties uz to, ka disciplinārlieta daļā izbeigta, nav pamata </w:t>
      </w:r>
      <w:r w:rsidR="00C94091">
        <w:t>noteikt vieglāku sodu</w:t>
      </w:r>
      <w:r w:rsidR="008513F5">
        <w:t xml:space="preserve">. Disciplinārsods tiesnesim uzlikts pamatoti, ņemot vērā izdarītā disciplinārā </w:t>
      </w:r>
      <w:r w:rsidR="008513F5">
        <w:lastRenderedPageBreak/>
        <w:t xml:space="preserve">pārkāpuma raksturu, radīto seku </w:t>
      </w:r>
      <w:r w:rsidR="0017226C">
        <w:t xml:space="preserve">būtisku </w:t>
      </w:r>
      <w:r w:rsidR="008513F5">
        <w:t xml:space="preserve">ietekmi uz </w:t>
      </w:r>
      <w:r w:rsidR="00D27671">
        <w:t xml:space="preserve">tiesas prestižu un </w:t>
      </w:r>
      <w:r w:rsidR="008513F5">
        <w:t>tiesneša attieksmi pret izdarīto</w:t>
      </w:r>
      <w:r w:rsidR="00D27671">
        <w:t>.</w:t>
      </w:r>
    </w:p>
    <w:p w:rsidR="00D27671" w:rsidRDefault="00D27671" w:rsidP="00174207">
      <w:pPr>
        <w:spacing w:before="240" w:after="240" w:line="360" w:lineRule="auto"/>
        <w:ind w:firstLine="567"/>
        <w:contextualSpacing/>
        <w:jc w:val="both"/>
      </w:pPr>
    </w:p>
    <w:p w:rsidR="00D27671" w:rsidRDefault="00D27671" w:rsidP="00174207">
      <w:pPr>
        <w:spacing w:before="240" w:after="240" w:line="360" w:lineRule="auto"/>
        <w:ind w:firstLine="567"/>
        <w:contextualSpacing/>
        <w:jc w:val="both"/>
      </w:pPr>
      <w:r>
        <w:t xml:space="preserve">  Pamatojoties uz Tiesnešu disciplinārās atbildības likuma 11.</w:t>
      </w:r>
      <w:r>
        <w:rPr>
          <w:vertAlign w:val="superscript"/>
        </w:rPr>
        <w:t>4</w:t>
      </w:r>
      <w:r>
        <w:t>panta otrās daļas 2. un 3.punktu, Disciplinārtiesa</w:t>
      </w:r>
    </w:p>
    <w:p w:rsidR="00D27671" w:rsidRDefault="00D27671" w:rsidP="00174207">
      <w:pPr>
        <w:spacing w:before="240" w:after="240" w:line="360" w:lineRule="auto"/>
        <w:ind w:firstLine="567"/>
        <w:contextualSpacing/>
        <w:jc w:val="both"/>
      </w:pPr>
    </w:p>
    <w:p w:rsidR="00F0303C" w:rsidRDefault="00C94091" w:rsidP="00205CA6">
      <w:pPr>
        <w:spacing w:before="240" w:after="240" w:line="360" w:lineRule="auto"/>
        <w:contextualSpacing/>
        <w:jc w:val="center"/>
        <w:rPr>
          <w:b/>
        </w:rPr>
      </w:pPr>
      <w:r>
        <w:rPr>
          <w:b/>
        </w:rPr>
        <w:t xml:space="preserve">n </w:t>
      </w:r>
      <w:r w:rsidR="00D27671" w:rsidRPr="00D27671">
        <w:rPr>
          <w:b/>
        </w:rPr>
        <w:t>o</w:t>
      </w:r>
      <w:r>
        <w:rPr>
          <w:b/>
        </w:rPr>
        <w:t xml:space="preserve"> </w:t>
      </w:r>
      <w:r w:rsidR="00D27671" w:rsidRPr="00D27671">
        <w:rPr>
          <w:b/>
        </w:rPr>
        <w:t>l</w:t>
      </w:r>
      <w:r>
        <w:rPr>
          <w:b/>
        </w:rPr>
        <w:t xml:space="preserve"> </w:t>
      </w:r>
      <w:r w:rsidR="00D27671" w:rsidRPr="00D27671">
        <w:rPr>
          <w:b/>
        </w:rPr>
        <w:t>ē</w:t>
      </w:r>
      <w:r>
        <w:rPr>
          <w:b/>
        </w:rPr>
        <w:t xml:space="preserve"> </w:t>
      </w:r>
      <w:r w:rsidR="00D27671" w:rsidRPr="00D27671">
        <w:rPr>
          <w:b/>
        </w:rPr>
        <w:t>m</w:t>
      </w:r>
      <w:r>
        <w:rPr>
          <w:b/>
        </w:rPr>
        <w:t xml:space="preserve"> </w:t>
      </w:r>
      <w:r w:rsidR="00D27671" w:rsidRPr="00D27671">
        <w:rPr>
          <w:b/>
        </w:rPr>
        <w:t>a</w:t>
      </w:r>
    </w:p>
    <w:p w:rsidR="00D27671" w:rsidRDefault="00D27671" w:rsidP="00D27671">
      <w:pPr>
        <w:spacing w:before="240" w:after="240" w:line="360" w:lineRule="auto"/>
        <w:ind w:firstLine="567"/>
        <w:contextualSpacing/>
        <w:jc w:val="center"/>
        <w:rPr>
          <w:b/>
        </w:rPr>
      </w:pPr>
    </w:p>
    <w:p w:rsidR="00D27671" w:rsidRDefault="00D27671" w:rsidP="00D27671">
      <w:pPr>
        <w:spacing w:before="240" w:after="240" w:line="360" w:lineRule="auto"/>
        <w:ind w:firstLine="567"/>
        <w:contextualSpacing/>
        <w:jc w:val="both"/>
      </w:pPr>
      <w:r w:rsidRPr="00651DA8">
        <w:t>Tiesnešu disciplinārkolēģijas 2014.gada 24.oktobra lēmumu atcelt daļā par Tiesnešu disciplinārās atbildības likuma</w:t>
      </w:r>
      <w:r w:rsidR="00651DA8" w:rsidRPr="00651DA8">
        <w:t xml:space="preserve"> </w:t>
      </w:r>
      <w:r w:rsidR="00651DA8">
        <w:t>1.panta pirmās daļas 3.punkta pārkāpumu, un šajā daļā disciplinārlietu izbeigt. Pārējā daļā Tiesnešu disciplinārkolēģijas 2014.gada 24.oktobra lēmumu atstāt negrozītu.</w:t>
      </w:r>
    </w:p>
    <w:p w:rsidR="00FB7EC2" w:rsidRDefault="00651DA8" w:rsidP="000E6A40">
      <w:pPr>
        <w:spacing w:before="240" w:after="240" w:line="360" w:lineRule="auto"/>
        <w:ind w:firstLine="567"/>
        <w:contextualSpacing/>
        <w:jc w:val="both"/>
      </w:pPr>
      <w:r>
        <w:t>Lēmums nav</w:t>
      </w:r>
      <w:r w:rsidR="0017226C">
        <w:t xml:space="preserve"> </w:t>
      </w:r>
      <w:r>
        <w:t>pārsūdzams.</w:t>
      </w:r>
    </w:p>
    <w:sectPr w:rsidR="00FB7EC2" w:rsidSect="00B0565F">
      <w:footerReference w:type="default" r:id="rId7"/>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4B3" w:rsidRDefault="008034B3" w:rsidP="007E221B">
      <w:r>
        <w:separator/>
      </w:r>
    </w:p>
  </w:endnote>
  <w:endnote w:type="continuationSeparator" w:id="0">
    <w:p w:rsidR="008034B3" w:rsidRDefault="008034B3" w:rsidP="007E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rinna LR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BA0" w:rsidRPr="00B0565F" w:rsidRDefault="00560BA0" w:rsidP="00B0565F">
    <w:pPr>
      <w:pStyle w:val="Footer"/>
      <w:jc w:val="center"/>
      <w:rPr>
        <w:sz w:val="24"/>
      </w:rPr>
    </w:pPr>
    <w:r w:rsidRPr="00367A89">
      <w:rPr>
        <w:rStyle w:val="PageNumber"/>
        <w:sz w:val="24"/>
      </w:rPr>
      <w:fldChar w:fldCharType="begin"/>
    </w:r>
    <w:r w:rsidRPr="00367A89">
      <w:rPr>
        <w:rStyle w:val="PageNumber"/>
        <w:sz w:val="24"/>
      </w:rPr>
      <w:instrText xml:space="preserve">PAGE  </w:instrText>
    </w:r>
    <w:r w:rsidRPr="00367A89">
      <w:rPr>
        <w:rStyle w:val="PageNumber"/>
        <w:sz w:val="24"/>
      </w:rPr>
      <w:fldChar w:fldCharType="separate"/>
    </w:r>
    <w:r w:rsidR="00AA2859">
      <w:rPr>
        <w:rStyle w:val="PageNumber"/>
        <w:noProof/>
        <w:sz w:val="24"/>
      </w:rPr>
      <w:t>11</w:t>
    </w:r>
    <w:r w:rsidRPr="00367A89">
      <w:rPr>
        <w:rStyle w:val="PageNumber"/>
        <w:sz w:val="24"/>
      </w:rPr>
      <w:fldChar w:fldCharType="end"/>
    </w:r>
    <w:r w:rsidRPr="00367A89">
      <w:rPr>
        <w:rStyle w:val="PageNumber"/>
        <w:sz w:val="24"/>
      </w:rPr>
      <w:t>.lap</w:t>
    </w:r>
    <w:r>
      <w:rPr>
        <w:rStyle w:val="PageNumber"/>
        <w:sz w:val="24"/>
      </w:rPr>
      <w:t>a</w:t>
    </w:r>
    <w:r w:rsidRPr="00367A89">
      <w:rPr>
        <w:rStyle w:val="PageNumber"/>
        <w:sz w:val="24"/>
      </w:rPr>
      <w:t xml:space="preserve"> no </w:t>
    </w:r>
    <w:r w:rsidRPr="00367A89">
      <w:rPr>
        <w:rStyle w:val="PageNumber"/>
        <w:sz w:val="24"/>
      </w:rPr>
      <w:fldChar w:fldCharType="begin"/>
    </w:r>
    <w:r w:rsidRPr="00367A89">
      <w:rPr>
        <w:rStyle w:val="PageNumber"/>
        <w:sz w:val="24"/>
      </w:rPr>
      <w:instrText xml:space="preserve"> NUMPAGES </w:instrText>
    </w:r>
    <w:r w:rsidRPr="00367A89">
      <w:rPr>
        <w:rStyle w:val="PageNumber"/>
        <w:sz w:val="24"/>
      </w:rPr>
      <w:fldChar w:fldCharType="separate"/>
    </w:r>
    <w:r w:rsidR="00AA2859">
      <w:rPr>
        <w:rStyle w:val="PageNumber"/>
        <w:noProof/>
        <w:sz w:val="24"/>
      </w:rPr>
      <w:t>11</w:t>
    </w:r>
    <w:r w:rsidRPr="00367A89">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4B3" w:rsidRDefault="008034B3" w:rsidP="007E221B">
      <w:r>
        <w:separator/>
      </w:r>
    </w:p>
  </w:footnote>
  <w:footnote w:type="continuationSeparator" w:id="0">
    <w:p w:rsidR="008034B3" w:rsidRDefault="008034B3" w:rsidP="007E2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62C6"/>
    <w:multiLevelType w:val="multilevel"/>
    <w:tmpl w:val="C99032D0"/>
    <w:lvl w:ilvl="0">
      <w:start w:val="1"/>
      <w:numFmt w:val="decimal"/>
      <w:lvlText w:val="[%1]"/>
      <w:lvlJc w:val="left"/>
      <w:pPr>
        <w:ind w:left="0" w:firstLine="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1" w15:restartNumberingAfterBreak="0">
    <w:nsid w:val="030D3D1F"/>
    <w:multiLevelType w:val="multilevel"/>
    <w:tmpl w:val="B28C4E2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D0F3B33"/>
    <w:multiLevelType w:val="hybridMultilevel"/>
    <w:tmpl w:val="A3325E18"/>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 w15:restartNumberingAfterBreak="0">
    <w:nsid w:val="1C9658A3"/>
    <w:multiLevelType w:val="hybridMultilevel"/>
    <w:tmpl w:val="42284F68"/>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4"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5" w15:restartNumberingAfterBreak="0">
    <w:nsid w:val="20C31B27"/>
    <w:multiLevelType w:val="hybridMultilevel"/>
    <w:tmpl w:val="B4E89B4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4C13372"/>
    <w:multiLevelType w:val="hybridMultilevel"/>
    <w:tmpl w:val="D1B4978A"/>
    <w:lvl w:ilvl="0" w:tplc="B1766A80">
      <w:start w:val="1"/>
      <w:numFmt w:val="bullet"/>
      <w:lvlText w:val=""/>
      <w:lvlJc w:val="left"/>
      <w:pPr>
        <w:tabs>
          <w:tab w:val="num" w:pos="1440"/>
        </w:tabs>
        <w:ind w:left="1440" w:hanging="360"/>
      </w:pPr>
      <w:rPr>
        <w:rFonts w:ascii="Symbol" w:hAnsi="Symbol" w:hint="default"/>
        <w:sz w:val="20"/>
        <w:szCs w:val="20"/>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CC2F55"/>
    <w:multiLevelType w:val="hybridMultilevel"/>
    <w:tmpl w:val="3CDE9844"/>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8" w15:restartNumberingAfterBreak="0">
    <w:nsid w:val="2F43640F"/>
    <w:multiLevelType w:val="multilevel"/>
    <w:tmpl w:val="B896CFC0"/>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3431CB"/>
    <w:multiLevelType w:val="hybridMultilevel"/>
    <w:tmpl w:val="CB7E467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0" w15:restartNumberingAfterBreak="0">
    <w:nsid w:val="3C856EB8"/>
    <w:multiLevelType w:val="hybridMultilevel"/>
    <w:tmpl w:val="B28C4E28"/>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1" w15:restartNumberingAfterBreak="0">
    <w:nsid w:val="3E44014E"/>
    <w:multiLevelType w:val="hybridMultilevel"/>
    <w:tmpl w:val="83C8031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C775E"/>
    <w:multiLevelType w:val="hybridMultilevel"/>
    <w:tmpl w:val="5FAC9D98"/>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3" w15:restartNumberingAfterBreak="0">
    <w:nsid w:val="4035003C"/>
    <w:multiLevelType w:val="hybridMultilevel"/>
    <w:tmpl w:val="60C022A0"/>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4" w15:restartNumberingAfterBreak="0">
    <w:nsid w:val="4070530F"/>
    <w:multiLevelType w:val="multilevel"/>
    <w:tmpl w:val="716CA2B8"/>
    <w:lvl w:ilvl="0">
      <w:start w:val="1"/>
      <w:numFmt w:val="decimal"/>
      <w:pStyle w:val="Style1"/>
      <w:lvlText w:val="[%1]"/>
      <w:lvlJc w:val="left"/>
      <w:pPr>
        <w:tabs>
          <w:tab w:val="num" w:pos="1778"/>
        </w:tabs>
        <w:ind w:left="360" w:firstLine="720"/>
      </w:pPr>
      <w:rPr>
        <w:rFonts w:hint="default"/>
      </w:rPr>
    </w:lvl>
    <w:lvl w:ilvl="1">
      <w:start w:val="1"/>
      <w:numFmt w:val="decimal"/>
      <w:lvlText w:val="[%1.%2]"/>
      <w:lvlJc w:val="left"/>
      <w:pPr>
        <w:tabs>
          <w:tab w:val="num" w:pos="1598"/>
        </w:tabs>
        <w:ind w:left="180" w:firstLine="720"/>
      </w:pPr>
      <w:rPr>
        <w:rFonts w:hint="default"/>
      </w:rPr>
    </w:lvl>
    <w:lvl w:ilvl="2">
      <w:start w:val="1"/>
      <w:numFmt w:val="decimal"/>
      <w:lvlText w:val="[%1.%2.%3]"/>
      <w:lvlJc w:val="left"/>
      <w:pPr>
        <w:tabs>
          <w:tab w:val="num" w:pos="1598"/>
        </w:tabs>
        <w:ind w:left="180" w:firstLine="720"/>
      </w:pPr>
      <w:rPr>
        <w:rFonts w:hint="default"/>
      </w:rPr>
    </w:lvl>
    <w:lvl w:ilvl="3">
      <w:start w:val="1"/>
      <w:numFmt w:val="decimal"/>
      <w:lvlText w:val="%1.%2.%3.%4."/>
      <w:lvlJc w:val="left"/>
      <w:pPr>
        <w:tabs>
          <w:tab w:val="num" w:pos="306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4140"/>
        </w:tabs>
        <w:ind w:left="3636" w:hanging="936"/>
      </w:pPr>
      <w:rPr>
        <w:rFonts w:hint="default"/>
      </w:rPr>
    </w:lvl>
    <w:lvl w:ilvl="6">
      <w:start w:val="1"/>
      <w:numFmt w:val="decimal"/>
      <w:lvlText w:val="%1.%2.%3.%4.%5.%6.%7."/>
      <w:lvlJc w:val="left"/>
      <w:pPr>
        <w:tabs>
          <w:tab w:val="num" w:pos="4860"/>
        </w:tabs>
        <w:ind w:left="4140" w:hanging="1080"/>
      </w:pPr>
      <w:rPr>
        <w:rFonts w:hint="default"/>
      </w:rPr>
    </w:lvl>
    <w:lvl w:ilvl="7">
      <w:start w:val="1"/>
      <w:numFmt w:val="decimal"/>
      <w:lvlText w:val="%1.%2.%3.%4.%5.%6.%7.%8."/>
      <w:lvlJc w:val="left"/>
      <w:pPr>
        <w:tabs>
          <w:tab w:val="num" w:pos="5220"/>
        </w:tabs>
        <w:ind w:left="4644" w:hanging="1224"/>
      </w:pPr>
      <w:rPr>
        <w:rFonts w:hint="default"/>
      </w:rPr>
    </w:lvl>
    <w:lvl w:ilvl="8">
      <w:start w:val="1"/>
      <w:numFmt w:val="decimal"/>
      <w:lvlText w:val="%1.%2.%3.%4.%5.%6.%7.%8.%9."/>
      <w:lvlJc w:val="left"/>
      <w:pPr>
        <w:tabs>
          <w:tab w:val="num" w:pos="5940"/>
        </w:tabs>
        <w:ind w:left="5220" w:hanging="1440"/>
      </w:pPr>
      <w:rPr>
        <w:rFonts w:hint="default"/>
      </w:rPr>
    </w:lvl>
  </w:abstractNum>
  <w:abstractNum w:abstractNumId="15" w15:restartNumberingAfterBreak="0">
    <w:nsid w:val="52695BE4"/>
    <w:multiLevelType w:val="hybridMultilevel"/>
    <w:tmpl w:val="4BE02984"/>
    <w:lvl w:ilvl="0" w:tplc="37C25F1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52F133AD"/>
    <w:multiLevelType w:val="hybridMultilevel"/>
    <w:tmpl w:val="5D9A560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7" w15:restartNumberingAfterBreak="0">
    <w:nsid w:val="568579CB"/>
    <w:multiLevelType w:val="hybridMultilevel"/>
    <w:tmpl w:val="FC7E18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15:restartNumberingAfterBreak="0">
    <w:nsid w:val="5BE9528D"/>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19" w15:restartNumberingAfterBreak="0">
    <w:nsid w:val="5C207CB5"/>
    <w:multiLevelType w:val="multilevel"/>
    <w:tmpl w:val="C99032D0"/>
    <w:lvl w:ilvl="0">
      <w:start w:val="1"/>
      <w:numFmt w:val="decimal"/>
      <w:lvlText w:val="[%1]"/>
      <w:lvlJc w:val="left"/>
      <w:pPr>
        <w:ind w:left="0" w:firstLine="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0" w15:restartNumberingAfterBreak="0">
    <w:nsid w:val="61EC53FF"/>
    <w:multiLevelType w:val="hybridMultilevel"/>
    <w:tmpl w:val="3D1CB2B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62F40128"/>
    <w:multiLevelType w:val="hybridMultilevel"/>
    <w:tmpl w:val="F6885B2E"/>
    <w:lvl w:ilvl="0" w:tplc="0426000F">
      <w:start w:val="1"/>
      <w:numFmt w:val="decimal"/>
      <w:lvlText w:val="%1."/>
      <w:lvlJc w:val="left"/>
      <w:pPr>
        <w:tabs>
          <w:tab w:val="num" w:pos="1500"/>
        </w:tabs>
        <w:ind w:left="1500" w:hanging="360"/>
      </w:pPr>
    </w:lvl>
    <w:lvl w:ilvl="1" w:tplc="04260019" w:tentative="1">
      <w:start w:val="1"/>
      <w:numFmt w:val="lowerLetter"/>
      <w:lvlText w:val="%2."/>
      <w:lvlJc w:val="left"/>
      <w:pPr>
        <w:tabs>
          <w:tab w:val="num" w:pos="2220"/>
        </w:tabs>
        <w:ind w:left="2220" w:hanging="360"/>
      </w:pPr>
    </w:lvl>
    <w:lvl w:ilvl="2" w:tplc="0426001B" w:tentative="1">
      <w:start w:val="1"/>
      <w:numFmt w:val="lowerRoman"/>
      <w:lvlText w:val="%3."/>
      <w:lvlJc w:val="right"/>
      <w:pPr>
        <w:tabs>
          <w:tab w:val="num" w:pos="2940"/>
        </w:tabs>
        <w:ind w:left="2940" w:hanging="180"/>
      </w:pPr>
    </w:lvl>
    <w:lvl w:ilvl="3" w:tplc="0426000F" w:tentative="1">
      <w:start w:val="1"/>
      <w:numFmt w:val="decimal"/>
      <w:lvlText w:val="%4."/>
      <w:lvlJc w:val="left"/>
      <w:pPr>
        <w:tabs>
          <w:tab w:val="num" w:pos="3660"/>
        </w:tabs>
        <w:ind w:left="3660" w:hanging="360"/>
      </w:pPr>
    </w:lvl>
    <w:lvl w:ilvl="4" w:tplc="04260019" w:tentative="1">
      <w:start w:val="1"/>
      <w:numFmt w:val="lowerLetter"/>
      <w:lvlText w:val="%5."/>
      <w:lvlJc w:val="left"/>
      <w:pPr>
        <w:tabs>
          <w:tab w:val="num" w:pos="4380"/>
        </w:tabs>
        <w:ind w:left="4380" w:hanging="360"/>
      </w:pPr>
    </w:lvl>
    <w:lvl w:ilvl="5" w:tplc="0426001B" w:tentative="1">
      <w:start w:val="1"/>
      <w:numFmt w:val="lowerRoman"/>
      <w:lvlText w:val="%6."/>
      <w:lvlJc w:val="right"/>
      <w:pPr>
        <w:tabs>
          <w:tab w:val="num" w:pos="5100"/>
        </w:tabs>
        <w:ind w:left="5100" w:hanging="180"/>
      </w:pPr>
    </w:lvl>
    <w:lvl w:ilvl="6" w:tplc="0426000F" w:tentative="1">
      <w:start w:val="1"/>
      <w:numFmt w:val="decimal"/>
      <w:lvlText w:val="%7."/>
      <w:lvlJc w:val="left"/>
      <w:pPr>
        <w:tabs>
          <w:tab w:val="num" w:pos="5820"/>
        </w:tabs>
        <w:ind w:left="5820" w:hanging="360"/>
      </w:pPr>
    </w:lvl>
    <w:lvl w:ilvl="7" w:tplc="04260019" w:tentative="1">
      <w:start w:val="1"/>
      <w:numFmt w:val="lowerLetter"/>
      <w:lvlText w:val="%8."/>
      <w:lvlJc w:val="left"/>
      <w:pPr>
        <w:tabs>
          <w:tab w:val="num" w:pos="6540"/>
        </w:tabs>
        <w:ind w:left="6540" w:hanging="360"/>
      </w:pPr>
    </w:lvl>
    <w:lvl w:ilvl="8" w:tplc="0426001B" w:tentative="1">
      <w:start w:val="1"/>
      <w:numFmt w:val="lowerRoman"/>
      <w:lvlText w:val="%9."/>
      <w:lvlJc w:val="right"/>
      <w:pPr>
        <w:tabs>
          <w:tab w:val="num" w:pos="7260"/>
        </w:tabs>
        <w:ind w:left="7260" w:hanging="180"/>
      </w:pPr>
    </w:lvl>
  </w:abstractNum>
  <w:abstractNum w:abstractNumId="22" w15:restartNumberingAfterBreak="0">
    <w:nsid w:val="67173378"/>
    <w:multiLevelType w:val="hybridMultilevel"/>
    <w:tmpl w:val="12E06A42"/>
    <w:lvl w:ilvl="0" w:tplc="3202BEAA">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3" w15:restartNumberingAfterBreak="0">
    <w:nsid w:val="684727B2"/>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4" w15:restartNumberingAfterBreak="0">
    <w:nsid w:val="6B817B65"/>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5" w15:restartNumberingAfterBreak="0">
    <w:nsid w:val="70E84EAF"/>
    <w:multiLevelType w:val="multilevel"/>
    <w:tmpl w:val="C99032D0"/>
    <w:lvl w:ilvl="0">
      <w:start w:val="1"/>
      <w:numFmt w:val="decimal"/>
      <w:lvlText w:val="[%1]"/>
      <w:lvlJc w:val="left"/>
      <w:pPr>
        <w:ind w:left="0" w:firstLine="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6" w15:restartNumberingAfterBreak="0">
    <w:nsid w:val="7261555E"/>
    <w:multiLevelType w:val="multilevel"/>
    <w:tmpl w:val="C99032D0"/>
    <w:lvl w:ilvl="0">
      <w:start w:val="1"/>
      <w:numFmt w:val="decimal"/>
      <w:lvlText w:val="[%1]"/>
      <w:lvlJc w:val="left"/>
      <w:pPr>
        <w:ind w:left="0" w:firstLine="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7" w15:restartNumberingAfterBreak="0">
    <w:nsid w:val="7AE33318"/>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abstractNumId w:val="14"/>
  </w:num>
  <w:num w:numId="2">
    <w:abstractNumId w:val="4"/>
  </w:num>
  <w:num w:numId="3">
    <w:abstractNumId w:val="25"/>
  </w:num>
  <w:num w:numId="4">
    <w:abstractNumId w:val="8"/>
  </w:num>
  <w:num w:numId="5">
    <w:abstractNumId w:val="17"/>
  </w:num>
  <w:num w:numId="6">
    <w:abstractNumId w:val="22"/>
  </w:num>
  <w:num w:numId="7">
    <w:abstractNumId w:val="20"/>
  </w:num>
  <w:num w:numId="8">
    <w:abstractNumId w:val="10"/>
  </w:num>
  <w:num w:numId="9">
    <w:abstractNumId w:val="1"/>
  </w:num>
  <w:num w:numId="10">
    <w:abstractNumId w:val="6"/>
  </w:num>
  <w:num w:numId="11">
    <w:abstractNumId w:val="27"/>
  </w:num>
  <w:num w:numId="12">
    <w:abstractNumId w:val="18"/>
  </w:num>
  <w:num w:numId="13">
    <w:abstractNumId w:val="12"/>
  </w:num>
  <w:num w:numId="14">
    <w:abstractNumId w:val="11"/>
  </w:num>
  <w:num w:numId="15">
    <w:abstractNumId w:val="23"/>
  </w:num>
  <w:num w:numId="16">
    <w:abstractNumId w:val="3"/>
  </w:num>
  <w:num w:numId="17">
    <w:abstractNumId w:val="15"/>
  </w:num>
  <w:num w:numId="18">
    <w:abstractNumId w:val="21"/>
  </w:num>
  <w:num w:numId="19">
    <w:abstractNumId w:val="2"/>
  </w:num>
  <w:num w:numId="20">
    <w:abstractNumId w:val="13"/>
  </w:num>
  <w:num w:numId="21">
    <w:abstractNumId w:val="16"/>
  </w:num>
  <w:num w:numId="22">
    <w:abstractNumId w:val="9"/>
  </w:num>
  <w:num w:numId="23">
    <w:abstractNumId w:val="5"/>
  </w:num>
  <w:num w:numId="24">
    <w:abstractNumId w:val="7"/>
  </w:num>
  <w:num w:numId="25">
    <w:abstractNumId w:val="24"/>
  </w:num>
  <w:num w:numId="26">
    <w:abstractNumId w:val="0"/>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92"/>
    <w:rsid w:val="0000035B"/>
    <w:rsid w:val="00000B3E"/>
    <w:rsid w:val="00001792"/>
    <w:rsid w:val="000029E4"/>
    <w:rsid w:val="00004224"/>
    <w:rsid w:val="00004713"/>
    <w:rsid w:val="00012C69"/>
    <w:rsid w:val="00024621"/>
    <w:rsid w:val="000254A8"/>
    <w:rsid w:val="00025C3A"/>
    <w:rsid w:val="000262EF"/>
    <w:rsid w:val="000267C3"/>
    <w:rsid w:val="000303A0"/>
    <w:rsid w:val="0003257D"/>
    <w:rsid w:val="000325BF"/>
    <w:rsid w:val="00033BC7"/>
    <w:rsid w:val="000341CB"/>
    <w:rsid w:val="000357BD"/>
    <w:rsid w:val="0003614C"/>
    <w:rsid w:val="00042F55"/>
    <w:rsid w:val="00043618"/>
    <w:rsid w:val="00043A3E"/>
    <w:rsid w:val="00045861"/>
    <w:rsid w:val="00052505"/>
    <w:rsid w:val="00054F21"/>
    <w:rsid w:val="000557C8"/>
    <w:rsid w:val="000568F5"/>
    <w:rsid w:val="000601BC"/>
    <w:rsid w:val="00061A66"/>
    <w:rsid w:val="00062E00"/>
    <w:rsid w:val="000671A9"/>
    <w:rsid w:val="00067C4A"/>
    <w:rsid w:val="00067E41"/>
    <w:rsid w:val="00073575"/>
    <w:rsid w:val="000743EF"/>
    <w:rsid w:val="000810DC"/>
    <w:rsid w:val="000839D7"/>
    <w:rsid w:val="00083A5F"/>
    <w:rsid w:val="00087DD7"/>
    <w:rsid w:val="00090440"/>
    <w:rsid w:val="0009264F"/>
    <w:rsid w:val="000943FB"/>
    <w:rsid w:val="000957D3"/>
    <w:rsid w:val="000A274C"/>
    <w:rsid w:val="000A28C0"/>
    <w:rsid w:val="000A29D3"/>
    <w:rsid w:val="000A36F0"/>
    <w:rsid w:val="000A67B0"/>
    <w:rsid w:val="000B1A85"/>
    <w:rsid w:val="000B2F4F"/>
    <w:rsid w:val="000B52A9"/>
    <w:rsid w:val="000B6EED"/>
    <w:rsid w:val="000B74C2"/>
    <w:rsid w:val="000C01A0"/>
    <w:rsid w:val="000C0960"/>
    <w:rsid w:val="000C1931"/>
    <w:rsid w:val="000C5E72"/>
    <w:rsid w:val="000C5EA0"/>
    <w:rsid w:val="000C6A07"/>
    <w:rsid w:val="000D1985"/>
    <w:rsid w:val="000D2E60"/>
    <w:rsid w:val="000D5BD7"/>
    <w:rsid w:val="000D7902"/>
    <w:rsid w:val="000D7ED4"/>
    <w:rsid w:val="000E33BA"/>
    <w:rsid w:val="000E54CC"/>
    <w:rsid w:val="000E5B55"/>
    <w:rsid w:val="000E6A40"/>
    <w:rsid w:val="000F0484"/>
    <w:rsid w:val="000F2841"/>
    <w:rsid w:val="000F38E2"/>
    <w:rsid w:val="000F6019"/>
    <w:rsid w:val="0010159F"/>
    <w:rsid w:val="00104117"/>
    <w:rsid w:val="0010497F"/>
    <w:rsid w:val="00104B58"/>
    <w:rsid w:val="00105055"/>
    <w:rsid w:val="001052D0"/>
    <w:rsid w:val="0010540E"/>
    <w:rsid w:val="00106228"/>
    <w:rsid w:val="00106A8D"/>
    <w:rsid w:val="0010798B"/>
    <w:rsid w:val="00107ADC"/>
    <w:rsid w:val="0011097C"/>
    <w:rsid w:val="00115970"/>
    <w:rsid w:val="0011736F"/>
    <w:rsid w:val="00120DA2"/>
    <w:rsid w:val="0012207A"/>
    <w:rsid w:val="00122539"/>
    <w:rsid w:val="001237C9"/>
    <w:rsid w:val="00124D7B"/>
    <w:rsid w:val="001302A7"/>
    <w:rsid w:val="00130A6F"/>
    <w:rsid w:val="0014062C"/>
    <w:rsid w:val="001432B8"/>
    <w:rsid w:val="00143613"/>
    <w:rsid w:val="001441B3"/>
    <w:rsid w:val="001460E6"/>
    <w:rsid w:val="0014705B"/>
    <w:rsid w:val="00150A6D"/>
    <w:rsid w:val="0015684B"/>
    <w:rsid w:val="001568BF"/>
    <w:rsid w:val="001578DC"/>
    <w:rsid w:val="00162BBC"/>
    <w:rsid w:val="00164A75"/>
    <w:rsid w:val="0016539C"/>
    <w:rsid w:val="00171831"/>
    <w:rsid w:val="0017226C"/>
    <w:rsid w:val="001724CE"/>
    <w:rsid w:val="00174207"/>
    <w:rsid w:val="00175012"/>
    <w:rsid w:val="00175645"/>
    <w:rsid w:val="001773C8"/>
    <w:rsid w:val="001829EF"/>
    <w:rsid w:val="001833EB"/>
    <w:rsid w:val="0018596D"/>
    <w:rsid w:val="00191788"/>
    <w:rsid w:val="00191D1E"/>
    <w:rsid w:val="001947A6"/>
    <w:rsid w:val="00194D42"/>
    <w:rsid w:val="0019553F"/>
    <w:rsid w:val="0019703B"/>
    <w:rsid w:val="001A18C2"/>
    <w:rsid w:val="001A509A"/>
    <w:rsid w:val="001B5862"/>
    <w:rsid w:val="001C2703"/>
    <w:rsid w:val="001C2A19"/>
    <w:rsid w:val="001C37FB"/>
    <w:rsid w:val="001C4ECA"/>
    <w:rsid w:val="001D4329"/>
    <w:rsid w:val="001D6A92"/>
    <w:rsid w:val="001E0F16"/>
    <w:rsid w:val="001E0FB6"/>
    <w:rsid w:val="001E13E7"/>
    <w:rsid w:val="001E203F"/>
    <w:rsid w:val="001E5DA1"/>
    <w:rsid w:val="001F04F8"/>
    <w:rsid w:val="001F5077"/>
    <w:rsid w:val="001F5AA4"/>
    <w:rsid w:val="001F5B91"/>
    <w:rsid w:val="001F615A"/>
    <w:rsid w:val="00201649"/>
    <w:rsid w:val="00202334"/>
    <w:rsid w:val="00205CA6"/>
    <w:rsid w:val="002103F1"/>
    <w:rsid w:val="00210A99"/>
    <w:rsid w:val="002125A0"/>
    <w:rsid w:val="0021286E"/>
    <w:rsid w:val="00213F45"/>
    <w:rsid w:val="002208DF"/>
    <w:rsid w:val="002260A6"/>
    <w:rsid w:val="00226572"/>
    <w:rsid w:val="00226921"/>
    <w:rsid w:val="002275CB"/>
    <w:rsid w:val="002279F5"/>
    <w:rsid w:val="002321A7"/>
    <w:rsid w:val="0023371C"/>
    <w:rsid w:val="00235CB9"/>
    <w:rsid w:val="0023631B"/>
    <w:rsid w:val="00236C8D"/>
    <w:rsid w:val="00237054"/>
    <w:rsid w:val="002375DD"/>
    <w:rsid w:val="00240307"/>
    <w:rsid w:val="00242EC3"/>
    <w:rsid w:val="002432E6"/>
    <w:rsid w:val="00244121"/>
    <w:rsid w:val="002505E5"/>
    <w:rsid w:val="002516F5"/>
    <w:rsid w:val="00251B41"/>
    <w:rsid w:val="00252AB5"/>
    <w:rsid w:val="00255F99"/>
    <w:rsid w:val="0025715A"/>
    <w:rsid w:val="00260F85"/>
    <w:rsid w:val="00262D19"/>
    <w:rsid w:val="002649FE"/>
    <w:rsid w:val="00264D29"/>
    <w:rsid w:val="00265766"/>
    <w:rsid w:val="00266B55"/>
    <w:rsid w:val="00267CB0"/>
    <w:rsid w:val="00270AAA"/>
    <w:rsid w:val="00271796"/>
    <w:rsid w:val="00271AC8"/>
    <w:rsid w:val="00271E72"/>
    <w:rsid w:val="00272D2C"/>
    <w:rsid w:val="0027748E"/>
    <w:rsid w:val="00281298"/>
    <w:rsid w:val="00283704"/>
    <w:rsid w:val="00285F90"/>
    <w:rsid w:val="002869A1"/>
    <w:rsid w:val="00286AC5"/>
    <w:rsid w:val="00287239"/>
    <w:rsid w:val="00287ED5"/>
    <w:rsid w:val="002912EA"/>
    <w:rsid w:val="00297A22"/>
    <w:rsid w:val="002A1BAF"/>
    <w:rsid w:val="002A1D99"/>
    <w:rsid w:val="002A28BC"/>
    <w:rsid w:val="002A2BAD"/>
    <w:rsid w:val="002A332B"/>
    <w:rsid w:val="002A35CE"/>
    <w:rsid w:val="002A39D2"/>
    <w:rsid w:val="002B051A"/>
    <w:rsid w:val="002B1BA7"/>
    <w:rsid w:val="002B29C5"/>
    <w:rsid w:val="002B4BD4"/>
    <w:rsid w:val="002B6CAB"/>
    <w:rsid w:val="002B71AB"/>
    <w:rsid w:val="002C0B67"/>
    <w:rsid w:val="002C0BC3"/>
    <w:rsid w:val="002C1336"/>
    <w:rsid w:val="002C25F5"/>
    <w:rsid w:val="002C3611"/>
    <w:rsid w:val="002C40EC"/>
    <w:rsid w:val="002D1AF3"/>
    <w:rsid w:val="002D4300"/>
    <w:rsid w:val="002D56CB"/>
    <w:rsid w:val="002D5EC5"/>
    <w:rsid w:val="002D6855"/>
    <w:rsid w:val="002E0A8D"/>
    <w:rsid w:val="002E329F"/>
    <w:rsid w:val="002F1C3C"/>
    <w:rsid w:val="002F479A"/>
    <w:rsid w:val="002F7773"/>
    <w:rsid w:val="002F7CA0"/>
    <w:rsid w:val="003051AE"/>
    <w:rsid w:val="0030633E"/>
    <w:rsid w:val="003072AB"/>
    <w:rsid w:val="00307952"/>
    <w:rsid w:val="00313E25"/>
    <w:rsid w:val="00314684"/>
    <w:rsid w:val="003153AB"/>
    <w:rsid w:val="003177B7"/>
    <w:rsid w:val="00320406"/>
    <w:rsid w:val="00320DE5"/>
    <w:rsid w:val="00320E46"/>
    <w:rsid w:val="00323545"/>
    <w:rsid w:val="00325B0F"/>
    <w:rsid w:val="00332997"/>
    <w:rsid w:val="00333B4A"/>
    <w:rsid w:val="00333FCD"/>
    <w:rsid w:val="0033470D"/>
    <w:rsid w:val="00334E54"/>
    <w:rsid w:val="003365D1"/>
    <w:rsid w:val="00336CAC"/>
    <w:rsid w:val="00340CB6"/>
    <w:rsid w:val="00342D43"/>
    <w:rsid w:val="003432E6"/>
    <w:rsid w:val="0034498F"/>
    <w:rsid w:val="0034696B"/>
    <w:rsid w:val="0035078B"/>
    <w:rsid w:val="0035691C"/>
    <w:rsid w:val="00357D1C"/>
    <w:rsid w:val="00360407"/>
    <w:rsid w:val="00361386"/>
    <w:rsid w:val="00362858"/>
    <w:rsid w:val="00362945"/>
    <w:rsid w:val="00362B1E"/>
    <w:rsid w:val="00365CA2"/>
    <w:rsid w:val="00366A95"/>
    <w:rsid w:val="00367A89"/>
    <w:rsid w:val="003703E3"/>
    <w:rsid w:val="003713D5"/>
    <w:rsid w:val="003721E7"/>
    <w:rsid w:val="00373A7E"/>
    <w:rsid w:val="00376FE0"/>
    <w:rsid w:val="003772CB"/>
    <w:rsid w:val="0038098F"/>
    <w:rsid w:val="00381DB2"/>
    <w:rsid w:val="00382F74"/>
    <w:rsid w:val="003830C2"/>
    <w:rsid w:val="00384839"/>
    <w:rsid w:val="0038701C"/>
    <w:rsid w:val="00391ED8"/>
    <w:rsid w:val="0039362C"/>
    <w:rsid w:val="00393BF2"/>
    <w:rsid w:val="00393DA1"/>
    <w:rsid w:val="00393ECC"/>
    <w:rsid w:val="00395648"/>
    <w:rsid w:val="0039595A"/>
    <w:rsid w:val="00396BC0"/>
    <w:rsid w:val="003A0377"/>
    <w:rsid w:val="003A092F"/>
    <w:rsid w:val="003A12AB"/>
    <w:rsid w:val="003A12D3"/>
    <w:rsid w:val="003A15CA"/>
    <w:rsid w:val="003A1EC9"/>
    <w:rsid w:val="003A481C"/>
    <w:rsid w:val="003A4D39"/>
    <w:rsid w:val="003A6AF7"/>
    <w:rsid w:val="003A6E2A"/>
    <w:rsid w:val="003B1323"/>
    <w:rsid w:val="003B1E3F"/>
    <w:rsid w:val="003B1FC1"/>
    <w:rsid w:val="003B2033"/>
    <w:rsid w:val="003B2746"/>
    <w:rsid w:val="003B2C20"/>
    <w:rsid w:val="003B2E9C"/>
    <w:rsid w:val="003B35E8"/>
    <w:rsid w:val="003B5217"/>
    <w:rsid w:val="003B5F0E"/>
    <w:rsid w:val="003B692F"/>
    <w:rsid w:val="003B6C44"/>
    <w:rsid w:val="003C17CB"/>
    <w:rsid w:val="003C1CC7"/>
    <w:rsid w:val="003C2DD2"/>
    <w:rsid w:val="003C31E2"/>
    <w:rsid w:val="003C3CC4"/>
    <w:rsid w:val="003C56BE"/>
    <w:rsid w:val="003C7559"/>
    <w:rsid w:val="003C7A08"/>
    <w:rsid w:val="003D1648"/>
    <w:rsid w:val="003D416A"/>
    <w:rsid w:val="003E4CD8"/>
    <w:rsid w:val="003E53B6"/>
    <w:rsid w:val="003E760D"/>
    <w:rsid w:val="003F1861"/>
    <w:rsid w:val="003F412E"/>
    <w:rsid w:val="003F4C43"/>
    <w:rsid w:val="003F57D1"/>
    <w:rsid w:val="003F5E82"/>
    <w:rsid w:val="003F76A6"/>
    <w:rsid w:val="004024D4"/>
    <w:rsid w:val="00402C8C"/>
    <w:rsid w:val="004037CB"/>
    <w:rsid w:val="00403DF4"/>
    <w:rsid w:val="004044E8"/>
    <w:rsid w:val="0040647E"/>
    <w:rsid w:val="00406A1D"/>
    <w:rsid w:val="004239EA"/>
    <w:rsid w:val="00424542"/>
    <w:rsid w:val="0042476C"/>
    <w:rsid w:val="00426F6B"/>
    <w:rsid w:val="00433372"/>
    <w:rsid w:val="004428B2"/>
    <w:rsid w:val="00444F74"/>
    <w:rsid w:val="00450BCC"/>
    <w:rsid w:val="00456079"/>
    <w:rsid w:val="00460DEC"/>
    <w:rsid w:val="004622D3"/>
    <w:rsid w:val="00464843"/>
    <w:rsid w:val="0046491F"/>
    <w:rsid w:val="00464949"/>
    <w:rsid w:val="00465DBD"/>
    <w:rsid w:val="00467901"/>
    <w:rsid w:val="00467EFF"/>
    <w:rsid w:val="0047273A"/>
    <w:rsid w:val="00472B48"/>
    <w:rsid w:val="00474814"/>
    <w:rsid w:val="004762F8"/>
    <w:rsid w:val="00483B6D"/>
    <w:rsid w:val="00485237"/>
    <w:rsid w:val="004951D7"/>
    <w:rsid w:val="004965A3"/>
    <w:rsid w:val="00497317"/>
    <w:rsid w:val="004A0176"/>
    <w:rsid w:val="004A165A"/>
    <w:rsid w:val="004A2537"/>
    <w:rsid w:val="004A4096"/>
    <w:rsid w:val="004B2F1A"/>
    <w:rsid w:val="004B624E"/>
    <w:rsid w:val="004B76F0"/>
    <w:rsid w:val="004C0F28"/>
    <w:rsid w:val="004C3F38"/>
    <w:rsid w:val="004C44D8"/>
    <w:rsid w:val="004C6168"/>
    <w:rsid w:val="004D22C4"/>
    <w:rsid w:val="004D35F9"/>
    <w:rsid w:val="004D48B1"/>
    <w:rsid w:val="004D5783"/>
    <w:rsid w:val="004D6CD5"/>
    <w:rsid w:val="004E1B3D"/>
    <w:rsid w:val="004E39D9"/>
    <w:rsid w:val="004E6D71"/>
    <w:rsid w:val="004F5CE1"/>
    <w:rsid w:val="004F6047"/>
    <w:rsid w:val="00500F6A"/>
    <w:rsid w:val="00506C83"/>
    <w:rsid w:val="00513A2F"/>
    <w:rsid w:val="00513F60"/>
    <w:rsid w:val="00516023"/>
    <w:rsid w:val="0051708A"/>
    <w:rsid w:val="005202B8"/>
    <w:rsid w:val="005214A6"/>
    <w:rsid w:val="00522592"/>
    <w:rsid w:val="00524968"/>
    <w:rsid w:val="00525247"/>
    <w:rsid w:val="005253AE"/>
    <w:rsid w:val="00526E6C"/>
    <w:rsid w:val="005278D1"/>
    <w:rsid w:val="005306C5"/>
    <w:rsid w:val="00530F13"/>
    <w:rsid w:val="00531C34"/>
    <w:rsid w:val="00536104"/>
    <w:rsid w:val="00542543"/>
    <w:rsid w:val="0054564D"/>
    <w:rsid w:val="005461AF"/>
    <w:rsid w:val="005468DF"/>
    <w:rsid w:val="00547427"/>
    <w:rsid w:val="00552274"/>
    <w:rsid w:val="0055465F"/>
    <w:rsid w:val="00554AEA"/>
    <w:rsid w:val="00554F86"/>
    <w:rsid w:val="005562C3"/>
    <w:rsid w:val="00560A9C"/>
    <w:rsid w:val="00560BA0"/>
    <w:rsid w:val="00565266"/>
    <w:rsid w:val="00567253"/>
    <w:rsid w:val="00571C75"/>
    <w:rsid w:val="00572198"/>
    <w:rsid w:val="00573A39"/>
    <w:rsid w:val="00575BD1"/>
    <w:rsid w:val="00576699"/>
    <w:rsid w:val="00581DA6"/>
    <w:rsid w:val="00582086"/>
    <w:rsid w:val="00582EC2"/>
    <w:rsid w:val="005903EA"/>
    <w:rsid w:val="00590D70"/>
    <w:rsid w:val="00591F01"/>
    <w:rsid w:val="005A0E97"/>
    <w:rsid w:val="005A10FA"/>
    <w:rsid w:val="005A6E81"/>
    <w:rsid w:val="005A7FC8"/>
    <w:rsid w:val="005B22D5"/>
    <w:rsid w:val="005B5291"/>
    <w:rsid w:val="005B5526"/>
    <w:rsid w:val="005B6703"/>
    <w:rsid w:val="005C0767"/>
    <w:rsid w:val="005C14C9"/>
    <w:rsid w:val="005C7A45"/>
    <w:rsid w:val="005D4948"/>
    <w:rsid w:val="005D540D"/>
    <w:rsid w:val="005D679B"/>
    <w:rsid w:val="005E2EA2"/>
    <w:rsid w:val="005E44F3"/>
    <w:rsid w:val="005E4AE8"/>
    <w:rsid w:val="005F2316"/>
    <w:rsid w:val="005F3AFC"/>
    <w:rsid w:val="005F52C5"/>
    <w:rsid w:val="005F6096"/>
    <w:rsid w:val="005F6B2C"/>
    <w:rsid w:val="005F70DC"/>
    <w:rsid w:val="005F7232"/>
    <w:rsid w:val="00602221"/>
    <w:rsid w:val="00604FC3"/>
    <w:rsid w:val="0060536F"/>
    <w:rsid w:val="0060546F"/>
    <w:rsid w:val="00606DC4"/>
    <w:rsid w:val="00611504"/>
    <w:rsid w:val="00613845"/>
    <w:rsid w:val="0062224B"/>
    <w:rsid w:val="00622E9D"/>
    <w:rsid w:val="006277DE"/>
    <w:rsid w:val="00627984"/>
    <w:rsid w:val="00630ADE"/>
    <w:rsid w:val="006348A5"/>
    <w:rsid w:val="00637496"/>
    <w:rsid w:val="006374DF"/>
    <w:rsid w:val="00640337"/>
    <w:rsid w:val="006415ED"/>
    <w:rsid w:val="0064576D"/>
    <w:rsid w:val="006500C0"/>
    <w:rsid w:val="00651A7A"/>
    <w:rsid w:val="00651DA8"/>
    <w:rsid w:val="00654527"/>
    <w:rsid w:val="00655435"/>
    <w:rsid w:val="00660B7C"/>
    <w:rsid w:val="006707A0"/>
    <w:rsid w:val="00670828"/>
    <w:rsid w:val="006709ED"/>
    <w:rsid w:val="00671237"/>
    <w:rsid w:val="00671B37"/>
    <w:rsid w:val="00672B55"/>
    <w:rsid w:val="006733CC"/>
    <w:rsid w:val="00674937"/>
    <w:rsid w:val="0067684F"/>
    <w:rsid w:val="0067686F"/>
    <w:rsid w:val="006851E9"/>
    <w:rsid w:val="00691361"/>
    <w:rsid w:val="0069321E"/>
    <w:rsid w:val="00695424"/>
    <w:rsid w:val="006A2B68"/>
    <w:rsid w:val="006B2FDA"/>
    <w:rsid w:val="006B3126"/>
    <w:rsid w:val="006B3149"/>
    <w:rsid w:val="006B573A"/>
    <w:rsid w:val="006B592B"/>
    <w:rsid w:val="006C1775"/>
    <w:rsid w:val="006C383F"/>
    <w:rsid w:val="006C520F"/>
    <w:rsid w:val="006D10DE"/>
    <w:rsid w:val="006D2FC3"/>
    <w:rsid w:val="006D3779"/>
    <w:rsid w:val="006D4356"/>
    <w:rsid w:val="006D746C"/>
    <w:rsid w:val="006E0790"/>
    <w:rsid w:val="006E22B5"/>
    <w:rsid w:val="006E3815"/>
    <w:rsid w:val="006F3B52"/>
    <w:rsid w:val="006F417F"/>
    <w:rsid w:val="006F429A"/>
    <w:rsid w:val="007043B4"/>
    <w:rsid w:val="00707843"/>
    <w:rsid w:val="007150A3"/>
    <w:rsid w:val="007275C9"/>
    <w:rsid w:val="00731714"/>
    <w:rsid w:val="00732076"/>
    <w:rsid w:val="00733E87"/>
    <w:rsid w:val="00734090"/>
    <w:rsid w:val="007346CD"/>
    <w:rsid w:val="007369A3"/>
    <w:rsid w:val="007400FF"/>
    <w:rsid w:val="00742A8B"/>
    <w:rsid w:val="00747C7B"/>
    <w:rsid w:val="007504E1"/>
    <w:rsid w:val="007511C2"/>
    <w:rsid w:val="00751932"/>
    <w:rsid w:val="007536C3"/>
    <w:rsid w:val="00753961"/>
    <w:rsid w:val="007573D3"/>
    <w:rsid w:val="007578A8"/>
    <w:rsid w:val="0076209B"/>
    <w:rsid w:val="00765047"/>
    <w:rsid w:val="007659B9"/>
    <w:rsid w:val="00767984"/>
    <w:rsid w:val="00767CD5"/>
    <w:rsid w:val="00770CCC"/>
    <w:rsid w:val="007710B4"/>
    <w:rsid w:val="00772079"/>
    <w:rsid w:val="007725EC"/>
    <w:rsid w:val="0077683C"/>
    <w:rsid w:val="00781993"/>
    <w:rsid w:val="00781FA1"/>
    <w:rsid w:val="00786489"/>
    <w:rsid w:val="007879AB"/>
    <w:rsid w:val="00791305"/>
    <w:rsid w:val="00792602"/>
    <w:rsid w:val="007970EF"/>
    <w:rsid w:val="007979A1"/>
    <w:rsid w:val="00797D50"/>
    <w:rsid w:val="007A0337"/>
    <w:rsid w:val="007A1BAD"/>
    <w:rsid w:val="007A36B3"/>
    <w:rsid w:val="007B25AD"/>
    <w:rsid w:val="007B26B7"/>
    <w:rsid w:val="007B2B03"/>
    <w:rsid w:val="007B5608"/>
    <w:rsid w:val="007B5EB7"/>
    <w:rsid w:val="007B70BD"/>
    <w:rsid w:val="007B74FD"/>
    <w:rsid w:val="007C0087"/>
    <w:rsid w:val="007C02E9"/>
    <w:rsid w:val="007C4C44"/>
    <w:rsid w:val="007C69E2"/>
    <w:rsid w:val="007C73FD"/>
    <w:rsid w:val="007D4540"/>
    <w:rsid w:val="007E221B"/>
    <w:rsid w:val="007E2BCA"/>
    <w:rsid w:val="007E7267"/>
    <w:rsid w:val="007E75ED"/>
    <w:rsid w:val="007F1370"/>
    <w:rsid w:val="007F2639"/>
    <w:rsid w:val="007F31F0"/>
    <w:rsid w:val="007F4E5A"/>
    <w:rsid w:val="007F6015"/>
    <w:rsid w:val="008031A4"/>
    <w:rsid w:val="008032D6"/>
    <w:rsid w:val="008034B3"/>
    <w:rsid w:val="00803FF5"/>
    <w:rsid w:val="0080682E"/>
    <w:rsid w:val="00807F4D"/>
    <w:rsid w:val="00815DBE"/>
    <w:rsid w:val="0082388B"/>
    <w:rsid w:val="00826E03"/>
    <w:rsid w:val="0083003D"/>
    <w:rsid w:val="008305CD"/>
    <w:rsid w:val="00831C69"/>
    <w:rsid w:val="00833133"/>
    <w:rsid w:val="00835797"/>
    <w:rsid w:val="00835E69"/>
    <w:rsid w:val="00836D85"/>
    <w:rsid w:val="00837D4C"/>
    <w:rsid w:val="00840338"/>
    <w:rsid w:val="00841B71"/>
    <w:rsid w:val="0084201D"/>
    <w:rsid w:val="00843172"/>
    <w:rsid w:val="00844836"/>
    <w:rsid w:val="00846446"/>
    <w:rsid w:val="00847E8A"/>
    <w:rsid w:val="008513F5"/>
    <w:rsid w:val="00851A6F"/>
    <w:rsid w:val="0085241C"/>
    <w:rsid w:val="00852ACE"/>
    <w:rsid w:val="00854993"/>
    <w:rsid w:val="0085571E"/>
    <w:rsid w:val="008602CA"/>
    <w:rsid w:val="00863E9A"/>
    <w:rsid w:val="00865138"/>
    <w:rsid w:val="008651F3"/>
    <w:rsid w:val="00867251"/>
    <w:rsid w:val="00867481"/>
    <w:rsid w:val="008717A9"/>
    <w:rsid w:val="0087470A"/>
    <w:rsid w:val="00874F05"/>
    <w:rsid w:val="008755BD"/>
    <w:rsid w:val="00877109"/>
    <w:rsid w:val="00877B4D"/>
    <w:rsid w:val="00877BC3"/>
    <w:rsid w:val="00882B19"/>
    <w:rsid w:val="00883D6F"/>
    <w:rsid w:val="00884E90"/>
    <w:rsid w:val="0088588C"/>
    <w:rsid w:val="00887D31"/>
    <w:rsid w:val="00890760"/>
    <w:rsid w:val="0089087A"/>
    <w:rsid w:val="00891D71"/>
    <w:rsid w:val="00892ED1"/>
    <w:rsid w:val="00893BDA"/>
    <w:rsid w:val="0089507D"/>
    <w:rsid w:val="0089624C"/>
    <w:rsid w:val="008A1135"/>
    <w:rsid w:val="008A138C"/>
    <w:rsid w:val="008A39C0"/>
    <w:rsid w:val="008A48B8"/>
    <w:rsid w:val="008A6741"/>
    <w:rsid w:val="008A7836"/>
    <w:rsid w:val="008A7E2C"/>
    <w:rsid w:val="008B1874"/>
    <w:rsid w:val="008B1C10"/>
    <w:rsid w:val="008B203D"/>
    <w:rsid w:val="008B25EF"/>
    <w:rsid w:val="008B2D33"/>
    <w:rsid w:val="008B41FB"/>
    <w:rsid w:val="008B4D0F"/>
    <w:rsid w:val="008B50A4"/>
    <w:rsid w:val="008B5154"/>
    <w:rsid w:val="008B708C"/>
    <w:rsid w:val="008C08A3"/>
    <w:rsid w:val="008C2770"/>
    <w:rsid w:val="008C44AB"/>
    <w:rsid w:val="008C6C2E"/>
    <w:rsid w:val="008C7014"/>
    <w:rsid w:val="008D018D"/>
    <w:rsid w:val="008D447F"/>
    <w:rsid w:val="008D4A6F"/>
    <w:rsid w:val="008D4E5F"/>
    <w:rsid w:val="008D5577"/>
    <w:rsid w:val="008D5792"/>
    <w:rsid w:val="008D6591"/>
    <w:rsid w:val="008D67BC"/>
    <w:rsid w:val="008E04F9"/>
    <w:rsid w:val="008E09F3"/>
    <w:rsid w:val="008E24A1"/>
    <w:rsid w:val="008E2B35"/>
    <w:rsid w:val="008E2BC4"/>
    <w:rsid w:val="008E364B"/>
    <w:rsid w:val="008E6661"/>
    <w:rsid w:val="008E6F78"/>
    <w:rsid w:val="008F05D0"/>
    <w:rsid w:val="008F088F"/>
    <w:rsid w:val="008F2B11"/>
    <w:rsid w:val="008F3A74"/>
    <w:rsid w:val="008F4F25"/>
    <w:rsid w:val="008F6DD9"/>
    <w:rsid w:val="00900861"/>
    <w:rsid w:val="009041D2"/>
    <w:rsid w:val="00910DCE"/>
    <w:rsid w:val="00911D29"/>
    <w:rsid w:val="00912BE5"/>
    <w:rsid w:val="00915917"/>
    <w:rsid w:val="00916118"/>
    <w:rsid w:val="009209C6"/>
    <w:rsid w:val="00922843"/>
    <w:rsid w:val="00923BBC"/>
    <w:rsid w:val="00927A7B"/>
    <w:rsid w:val="00927F35"/>
    <w:rsid w:val="00935171"/>
    <w:rsid w:val="00950B94"/>
    <w:rsid w:val="0095170C"/>
    <w:rsid w:val="0095431D"/>
    <w:rsid w:val="009548C0"/>
    <w:rsid w:val="0095497B"/>
    <w:rsid w:val="009564E6"/>
    <w:rsid w:val="00957BD5"/>
    <w:rsid w:val="009653B3"/>
    <w:rsid w:val="00966CE2"/>
    <w:rsid w:val="00970576"/>
    <w:rsid w:val="00971037"/>
    <w:rsid w:val="00971EEA"/>
    <w:rsid w:val="00975248"/>
    <w:rsid w:val="00975F22"/>
    <w:rsid w:val="009778F3"/>
    <w:rsid w:val="0098024B"/>
    <w:rsid w:val="0098236E"/>
    <w:rsid w:val="00982DB4"/>
    <w:rsid w:val="00982FBB"/>
    <w:rsid w:val="00986791"/>
    <w:rsid w:val="00991A20"/>
    <w:rsid w:val="009923DA"/>
    <w:rsid w:val="00996392"/>
    <w:rsid w:val="00997344"/>
    <w:rsid w:val="009A12DD"/>
    <w:rsid w:val="009A19AC"/>
    <w:rsid w:val="009A7190"/>
    <w:rsid w:val="009B5A89"/>
    <w:rsid w:val="009C18A6"/>
    <w:rsid w:val="009C3042"/>
    <w:rsid w:val="009C55EE"/>
    <w:rsid w:val="009C68FB"/>
    <w:rsid w:val="009C7B12"/>
    <w:rsid w:val="009D2875"/>
    <w:rsid w:val="009D3D8A"/>
    <w:rsid w:val="009E1BD4"/>
    <w:rsid w:val="009E22F8"/>
    <w:rsid w:val="009E3A11"/>
    <w:rsid w:val="009E3ECD"/>
    <w:rsid w:val="009F77CC"/>
    <w:rsid w:val="009F7940"/>
    <w:rsid w:val="00A00128"/>
    <w:rsid w:val="00A01B1E"/>
    <w:rsid w:val="00A02D02"/>
    <w:rsid w:val="00A112EC"/>
    <w:rsid w:val="00A12127"/>
    <w:rsid w:val="00A125B0"/>
    <w:rsid w:val="00A15805"/>
    <w:rsid w:val="00A1697C"/>
    <w:rsid w:val="00A16A5E"/>
    <w:rsid w:val="00A21C0E"/>
    <w:rsid w:val="00A21D28"/>
    <w:rsid w:val="00A24AF3"/>
    <w:rsid w:val="00A261F8"/>
    <w:rsid w:val="00A31BBF"/>
    <w:rsid w:val="00A31C50"/>
    <w:rsid w:val="00A33678"/>
    <w:rsid w:val="00A340FD"/>
    <w:rsid w:val="00A53C42"/>
    <w:rsid w:val="00A56635"/>
    <w:rsid w:val="00A56767"/>
    <w:rsid w:val="00A61865"/>
    <w:rsid w:val="00A62119"/>
    <w:rsid w:val="00A63B36"/>
    <w:rsid w:val="00A63F22"/>
    <w:rsid w:val="00A673C4"/>
    <w:rsid w:val="00A7089B"/>
    <w:rsid w:val="00A70B0E"/>
    <w:rsid w:val="00A739DE"/>
    <w:rsid w:val="00A75609"/>
    <w:rsid w:val="00A76BE9"/>
    <w:rsid w:val="00A80289"/>
    <w:rsid w:val="00A819D0"/>
    <w:rsid w:val="00A83988"/>
    <w:rsid w:val="00A87322"/>
    <w:rsid w:val="00A92787"/>
    <w:rsid w:val="00A92E4D"/>
    <w:rsid w:val="00A93344"/>
    <w:rsid w:val="00A93972"/>
    <w:rsid w:val="00A946D2"/>
    <w:rsid w:val="00A97DC0"/>
    <w:rsid w:val="00AA0503"/>
    <w:rsid w:val="00AA1213"/>
    <w:rsid w:val="00AA203C"/>
    <w:rsid w:val="00AA2859"/>
    <w:rsid w:val="00AA2FD6"/>
    <w:rsid w:val="00AA3875"/>
    <w:rsid w:val="00AA717C"/>
    <w:rsid w:val="00AA7577"/>
    <w:rsid w:val="00AB0598"/>
    <w:rsid w:val="00AB2E28"/>
    <w:rsid w:val="00AB30DD"/>
    <w:rsid w:val="00AC6257"/>
    <w:rsid w:val="00AD1D0B"/>
    <w:rsid w:val="00AD2047"/>
    <w:rsid w:val="00AD7630"/>
    <w:rsid w:val="00AF219E"/>
    <w:rsid w:val="00AF2377"/>
    <w:rsid w:val="00AF2AAF"/>
    <w:rsid w:val="00AF561E"/>
    <w:rsid w:val="00B000CE"/>
    <w:rsid w:val="00B0069F"/>
    <w:rsid w:val="00B00ADB"/>
    <w:rsid w:val="00B0565F"/>
    <w:rsid w:val="00B05A16"/>
    <w:rsid w:val="00B10FC5"/>
    <w:rsid w:val="00B141C4"/>
    <w:rsid w:val="00B15D41"/>
    <w:rsid w:val="00B16AA4"/>
    <w:rsid w:val="00B2008B"/>
    <w:rsid w:val="00B21C95"/>
    <w:rsid w:val="00B225E5"/>
    <w:rsid w:val="00B244C4"/>
    <w:rsid w:val="00B268F6"/>
    <w:rsid w:val="00B26F41"/>
    <w:rsid w:val="00B27439"/>
    <w:rsid w:val="00B30F37"/>
    <w:rsid w:val="00B31E80"/>
    <w:rsid w:val="00B32C54"/>
    <w:rsid w:val="00B336A6"/>
    <w:rsid w:val="00B33B51"/>
    <w:rsid w:val="00B35079"/>
    <w:rsid w:val="00B41E49"/>
    <w:rsid w:val="00B4537C"/>
    <w:rsid w:val="00B467ED"/>
    <w:rsid w:val="00B504EF"/>
    <w:rsid w:val="00B521F7"/>
    <w:rsid w:val="00B54D3C"/>
    <w:rsid w:val="00B61CAA"/>
    <w:rsid w:val="00B6237B"/>
    <w:rsid w:val="00B62E4D"/>
    <w:rsid w:val="00B63048"/>
    <w:rsid w:val="00B65407"/>
    <w:rsid w:val="00B66154"/>
    <w:rsid w:val="00B7081B"/>
    <w:rsid w:val="00B75407"/>
    <w:rsid w:val="00B75982"/>
    <w:rsid w:val="00B75BC5"/>
    <w:rsid w:val="00B75BC8"/>
    <w:rsid w:val="00B818C9"/>
    <w:rsid w:val="00B854A8"/>
    <w:rsid w:val="00B86811"/>
    <w:rsid w:val="00B90741"/>
    <w:rsid w:val="00B93A8E"/>
    <w:rsid w:val="00B94FD4"/>
    <w:rsid w:val="00B95706"/>
    <w:rsid w:val="00B96E55"/>
    <w:rsid w:val="00BA0EFB"/>
    <w:rsid w:val="00BA2606"/>
    <w:rsid w:val="00BA4EB0"/>
    <w:rsid w:val="00BA67A4"/>
    <w:rsid w:val="00BA7ADC"/>
    <w:rsid w:val="00BB1F1D"/>
    <w:rsid w:val="00BB6EBF"/>
    <w:rsid w:val="00BB78DC"/>
    <w:rsid w:val="00BC02F0"/>
    <w:rsid w:val="00BC37BD"/>
    <w:rsid w:val="00BC3DB0"/>
    <w:rsid w:val="00BD0604"/>
    <w:rsid w:val="00BD06BC"/>
    <w:rsid w:val="00BD14C4"/>
    <w:rsid w:val="00BD2801"/>
    <w:rsid w:val="00BD34B7"/>
    <w:rsid w:val="00BD671E"/>
    <w:rsid w:val="00BD6E1D"/>
    <w:rsid w:val="00BE01AE"/>
    <w:rsid w:val="00BE088E"/>
    <w:rsid w:val="00BE09CD"/>
    <w:rsid w:val="00BE2C6F"/>
    <w:rsid w:val="00BE30D5"/>
    <w:rsid w:val="00BF0C0E"/>
    <w:rsid w:val="00BF0C73"/>
    <w:rsid w:val="00BF2E17"/>
    <w:rsid w:val="00BF345C"/>
    <w:rsid w:val="00BF4FFC"/>
    <w:rsid w:val="00C0241B"/>
    <w:rsid w:val="00C05DDE"/>
    <w:rsid w:val="00C1128D"/>
    <w:rsid w:val="00C1375C"/>
    <w:rsid w:val="00C14993"/>
    <w:rsid w:val="00C1525A"/>
    <w:rsid w:val="00C17590"/>
    <w:rsid w:val="00C30B18"/>
    <w:rsid w:val="00C30C2A"/>
    <w:rsid w:val="00C37E0C"/>
    <w:rsid w:val="00C4028F"/>
    <w:rsid w:val="00C45D9D"/>
    <w:rsid w:val="00C466DF"/>
    <w:rsid w:val="00C4729D"/>
    <w:rsid w:val="00C477E9"/>
    <w:rsid w:val="00C538E3"/>
    <w:rsid w:val="00C54AF7"/>
    <w:rsid w:val="00C550B5"/>
    <w:rsid w:val="00C61112"/>
    <w:rsid w:val="00C61E79"/>
    <w:rsid w:val="00C62580"/>
    <w:rsid w:val="00C66759"/>
    <w:rsid w:val="00C714C8"/>
    <w:rsid w:val="00C71E65"/>
    <w:rsid w:val="00C72AA9"/>
    <w:rsid w:val="00C735A7"/>
    <w:rsid w:val="00C8163C"/>
    <w:rsid w:val="00C83F86"/>
    <w:rsid w:val="00C85BD6"/>
    <w:rsid w:val="00C86C88"/>
    <w:rsid w:val="00C870EF"/>
    <w:rsid w:val="00C87919"/>
    <w:rsid w:val="00C87BF1"/>
    <w:rsid w:val="00C90EF6"/>
    <w:rsid w:val="00C91637"/>
    <w:rsid w:val="00C92E4E"/>
    <w:rsid w:val="00C93040"/>
    <w:rsid w:val="00C933DC"/>
    <w:rsid w:val="00C94091"/>
    <w:rsid w:val="00C9434F"/>
    <w:rsid w:val="00C94695"/>
    <w:rsid w:val="00C957EA"/>
    <w:rsid w:val="00C9596C"/>
    <w:rsid w:val="00C96398"/>
    <w:rsid w:val="00CA2B6B"/>
    <w:rsid w:val="00CA4584"/>
    <w:rsid w:val="00CA4A0D"/>
    <w:rsid w:val="00CA7650"/>
    <w:rsid w:val="00CB0707"/>
    <w:rsid w:val="00CB13C2"/>
    <w:rsid w:val="00CB2347"/>
    <w:rsid w:val="00CB3F85"/>
    <w:rsid w:val="00CB5237"/>
    <w:rsid w:val="00CB5362"/>
    <w:rsid w:val="00CB694A"/>
    <w:rsid w:val="00CB7006"/>
    <w:rsid w:val="00CB7895"/>
    <w:rsid w:val="00CC0348"/>
    <w:rsid w:val="00CC284D"/>
    <w:rsid w:val="00CC2B51"/>
    <w:rsid w:val="00CC2BE1"/>
    <w:rsid w:val="00CC3DA2"/>
    <w:rsid w:val="00CC6027"/>
    <w:rsid w:val="00CC7752"/>
    <w:rsid w:val="00CC7CC5"/>
    <w:rsid w:val="00CD080D"/>
    <w:rsid w:val="00CD25BC"/>
    <w:rsid w:val="00CD3B03"/>
    <w:rsid w:val="00CD66C8"/>
    <w:rsid w:val="00CE28CF"/>
    <w:rsid w:val="00CE51CF"/>
    <w:rsid w:val="00CE5480"/>
    <w:rsid w:val="00CF0A84"/>
    <w:rsid w:val="00CF1035"/>
    <w:rsid w:val="00CF2DA3"/>
    <w:rsid w:val="00CF5FED"/>
    <w:rsid w:val="00CF7A02"/>
    <w:rsid w:val="00CF7FBE"/>
    <w:rsid w:val="00D01200"/>
    <w:rsid w:val="00D03BDB"/>
    <w:rsid w:val="00D05F94"/>
    <w:rsid w:val="00D06CF9"/>
    <w:rsid w:val="00D12B48"/>
    <w:rsid w:val="00D133E7"/>
    <w:rsid w:val="00D14137"/>
    <w:rsid w:val="00D15D8A"/>
    <w:rsid w:val="00D16F38"/>
    <w:rsid w:val="00D21A4D"/>
    <w:rsid w:val="00D22BE3"/>
    <w:rsid w:val="00D2638A"/>
    <w:rsid w:val="00D263A3"/>
    <w:rsid w:val="00D2677F"/>
    <w:rsid w:val="00D27671"/>
    <w:rsid w:val="00D33D8F"/>
    <w:rsid w:val="00D35DEC"/>
    <w:rsid w:val="00D35FC6"/>
    <w:rsid w:val="00D423F5"/>
    <w:rsid w:val="00D42C51"/>
    <w:rsid w:val="00D43694"/>
    <w:rsid w:val="00D503A2"/>
    <w:rsid w:val="00D52AD6"/>
    <w:rsid w:val="00D52E64"/>
    <w:rsid w:val="00D550FF"/>
    <w:rsid w:val="00D573B7"/>
    <w:rsid w:val="00D57D42"/>
    <w:rsid w:val="00D66EFF"/>
    <w:rsid w:val="00D66F7E"/>
    <w:rsid w:val="00D7069D"/>
    <w:rsid w:val="00D70BBC"/>
    <w:rsid w:val="00D7363D"/>
    <w:rsid w:val="00D74B2F"/>
    <w:rsid w:val="00D75D40"/>
    <w:rsid w:val="00D76B57"/>
    <w:rsid w:val="00D76DD6"/>
    <w:rsid w:val="00D776F5"/>
    <w:rsid w:val="00D80598"/>
    <w:rsid w:val="00D80677"/>
    <w:rsid w:val="00D85AED"/>
    <w:rsid w:val="00D86732"/>
    <w:rsid w:val="00D86A36"/>
    <w:rsid w:val="00D94413"/>
    <w:rsid w:val="00D94E29"/>
    <w:rsid w:val="00D97D67"/>
    <w:rsid w:val="00DA1D6D"/>
    <w:rsid w:val="00DA397D"/>
    <w:rsid w:val="00DB2FA8"/>
    <w:rsid w:val="00DB3471"/>
    <w:rsid w:val="00DB5E71"/>
    <w:rsid w:val="00DB78D6"/>
    <w:rsid w:val="00DC6180"/>
    <w:rsid w:val="00DD367F"/>
    <w:rsid w:val="00DD3703"/>
    <w:rsid w:val="00DD7831"/>
    <w:rsid w:val="00DE294F"/>
    <w:rsid w:val="00DE463D"/>
    <w:rsid w:val="00DF150C"/>
    <w:rsid w:val="00DF1DAD"/>
    <w:rsid w:val="00DF534B"/>
    <w:rsid w:val="00DF593F"/>
    <w:rsid w:val="00DF7685"/>
    <w:rsid w:val="00DF7A75"/>
    <w:rsid w:val="00E01012"/>
    <w:rsid w:val="00E017E8"/>
    <w:rsid w:val="00E02878"/>
    <w:rsid w:val="00E06227"/>
    <w:rsid w:val="00E073FD"/>
    <w:rsid w:val="00E076E7"/>
    <w:rsid w:val="00E10695"/>
    <w:rsid w:val="00E11BCA"/>
    <w:rsid w:val="00E138F6"/>
    <w:rsid w:val="00E144DE"/>
    <w:rsid w:val="00E147BF"/>
    <w:rsid w:val="00E177AD"/>
    <w:rsid w:val="00E17A43"/>
    <w:rsid w:val="00E27571"/>
    <w:rsid w:val="00E3033F"/>
    <w:rsid w:val="00E33CBA"/>
    <w:rsid w:val="00E351DA"/>
    <w:rsid w:val="00E406D1"/>
    <w:rsid w:val="00E430AA"/>
    <w:rsid w:val="00E47C67"/>
    <w:rsid w:val="00E52C57"/>
    <w:rsid w:val="00E53515"/>
    <w:rsid w:val="00E53FBC"/>
    <w:rsid w:val="00E56289"/>
    <w:rsid w:val="00E61256"/>
    <w:rsid w:val="00E6551D"/>
    <w:rsid w:val="00E67081"/>
    <w:rsid w:val="00E67CA8"/>
    <w:rsid w:val="00E70E4C"/>
    <w:rsid w:val="00E80D91"/>
    <w:rsid w:val="00E848E0"/>
    <w:rsid w:val="00E854F2"/>
    <w:rsid w:val="00E857B4"/>
    <w:rsid w:val="00E90BD2"/>
    <w:rsid w:val="00E9422E"/>
    <w:rsid w:val="00EA024E"/>
    <w:rsid w:val="00EA18E3"/>
    <w:rsid w:val="00EA2C16"/>
    <w:rsid w:val="00EA6095"/>
    <w:rsid w:val="00EB1178"/>
    <w:rsid w:val="00EB1858"/>
    <w:rsid w:val="00EB31A0"/>
    <w:rsid w:val="00EB3E91"/>
    <w:rsid w:val="00EB40D8"/>
    <w:rsid w:val="00EB4EF6"/>
    <w:rsid w:val="00EC1231"/>
    <w:rsid w:val="00EC22F9"/>
    <w:rsid w:val="00EC7836"/>
    <w:rsid w:val="00ED0C6E"/>
    <w:rsid w:val="00ED6387"/>
    <w:rsid w:val="00ED6D7A"/>
    <w:rsid w:val="00EE0776"/>
    <w:rsid w:val="00EE215A"/>
    <w:rsid w:val="00EE3B00"/>
    <w:rsid w:val="00EE3EF4"/>
    <w:rsid w:val="00EE6FC1"/>
    <w:rsid w:val="00EF0AF0"/>
    <w:rsid w:val="00EF0E5B"/>
    <w:rsid w:val="00EF393C"/>
    <w:rsid w:val="00EF4223"/>
    <w:rsid w:val="00EF7DD0"/>
    <w:rsid w:val="00F008AE"/>
    <w:rsid w:val="00F0303C"/>
    <w:rsid w:val="00F056AA"/>
    <w:rsid w:val="00F1037C"/>
    <w:rsid w:val="00F12D86"/>
    <w:rsid w:val="00F13C32"/>
    <w:rsid w:val="00F157FD"/>
    <w:rsid w:val="00F2198C"/>
    <w:rsid w:val="00F31A9E"/>
    <w:rsid w:val="00F403B7"/>
    <w:rsid w:val="00F41DEB"/>
    <w:rsid w:val="00F42B52"/>
    <w:rsid w:val="00F45CB9"/>
    <w:rsid w:val="00F51591"/>
    <w:rsid w:val="00F52D0B"/>
    <w:rsid w:val="00F54767"/>
    <w:rsid w:val="00F634E5"/>
    <w:rsid w:val="00F63F9B"/>
    <w:rsid w:val="00F656C3"/>
    <w:rsid w:val="00F6616E"/>
    <w:rsid w:val="00F66418"/>
    <w:rsid w:val="00F66F3F"/>
    <w:rsid w:val="00F70E84"/>
    <w:rsid w:val="00F7288A"/>
    <w:rsid w:val="00F72BB8"/>
    <w:rsid w:val="00F74BE1"/>
    <w:rsid w:val="00F753DF"/>
    <w:rsid w:val="00F7575E"/>
    <w:rsid w:val="00F76AB4"/>
    <w:rsid w:val="00F81A5E"/>
    <w:rsid w:val="00F8233C"/>
    <w:rsid w:val="00F82714"/>
    <w:rsid w:val="00F844B2"/>
    <w:rsid w:val="00F84DC7"/>
    <w:rsid w:val="00F8502B"/>
    <w:rsid w:val="00F85EEF"/>
    <w:rsid w:val="00F910A7"/>
    <w:rsid w:val="00F912ED"/>
    <w:rsid w:val="00F913ED"/>
    <w:rsid w:val="00F9603A"/>
    <w:rsid w:val="00F9610E"/>
    <w:rsid w:val="00FA2152"/>
    <w:rsid w:val="00FA2B64"/>
    <w:rsid w:val="00FA2FE6"/>
    <w:rsid w:val="00FA3802"/>
    <w:rsid w:val="00FA42BA"/>
    <w:rsid w:val="00FA6261"/>
    <w:rsid w:val="00FA68BE"/>
    <w:rsid w:val="00FA6ED7"/>
    <w:rsid w:val="00FB082B"/>
    <w:rsid w:val="00FB0C7D"/>
    <w:rsid w:val="00FB0EB8"/>
    <w:rsid w:val="00FB1A21"/>
    <w:rsid w:val="00FB4143"/>
    <w:rsid w:val="00FB6D81"/>
    <w:rsid w:val="00FB7EC2"/>
    <w:rsid w:val="00FC6369"/>
    <w:rsid w:val="00FC66CF"/>
    <w:rsid w:val="00FC7432"/>
    <w:rsid w:val="00FD2165"/>
    <w:rsid w:val="00FD21A6"/>
    <w:rsid w:val="00FD2A12"/>
    <w:rsid w:val="00FD3380"/>
    <w:rsid w:val="00FD3A73"/>
    <w:rsid w:val="00FD560F"/>
    <w:rsid w:val="00FD776D"/>
    <w:rsid w:val="00FE0F9B"/>
    <w:rsid w:val="00FE368C"/>
    <w:rsid w:val="00FE5440"/>
    <w:rsid w:val="00FF02C0"/>
    <w:rsid w:val="00FF0983"/>
    <w:rsid w:val="00FF4378"/>
    <w:rsid w:val="00FF4D48"/>
    <w:rsid w:val="00FF524D"/>
    <w:rsid w:val="00FF5A38"/>
    <w:rsid w:val="00FF6249"/>
    <w:rsid w:val="00FF6A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792"/>
    <w:rPr>
      <w:rFonts w:eastAsia="Times New Roman"/>
      <w:sz w:val="24"/>
      <w:szCs w:val="24"/>
      <w:lang w:eastAsia="en-US"/>
    </w:rPr>
  </w:style>
  <w:style w:type="paragraph" w:styleId="Heading1">
    <w:name w:val="heading 1"/>
    <w:basedOn w:val="Normal"/>
    <w:next w:val="Normal"/>
    <w:link w:val="Heading1Char"/>
    <w:qFormat/>
    <w:rsid w:val="00001792"/>
    <w:pPr>
      <w:keepNext/>
      <w:jc w:val="center"/>
      <w:outlineLvl w:val="0"/>
    </w:pPr>
    <w:rPr>
      <w:b/>
      <w:caps/>
      <w:sz w:val="32"/>
      <w:szCs w:val="28"/>
      <w:lang w:eastAsia="x-none"/>
    </w:rPr>
  </w:style>
  <w:style w:type="paragraph" w:styleId="Heading2">
    <w:name w:val="heading 2"/>
    <w:basedOn w:val="Normal"/>
    <w:next w:val="Normal"/>
    <w:link w:val="Heading2Char"/>
    <w:qFormat/>
    <w:rsid w:val="00001792"/>
    <w:pPr>
      <w:keepNext/>
      <w:spacing w:before="240" w:after="60"/>
      <w:outlineLvl w:val="1"/>
    </w:pPr>
    <w:rPr>
      <w:rFonts w:ascii="Arial" w:hAnsi="Arial"/>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792"/>
    <w:rPr>
      <w:rFonts w:eastAsia="Times New Roman" w:cs="Times New Roman"/>
      <w:b/>
      <w:caps/>
      <w:sz w:val="32"/>
      <w:szCs w:val="28"/>
      <w:lang w:val="lv-LV"/>
    </w:rPr>
  </w:style>
  <w:style w:type="character" w:customStyle="1" w:styleId="Heading2Char">
    <w:name w:val="Heading 2 Char"/>
    <w:link w:val="Heading2"/>
    <w:rsid w:val="00001792"/>
    <w:rPr>
      <w:rFonts w:ascii="Arial" w:eastAsia="Times New Roman" w:hAnsi="Arial" w:cs="Arial"/>
      <w:b/>
      <w:bCs/>
      <w:i/>
      <w:iCs/>
      <w:sz w:val="28"/>
      <w:szCs w:val="28"/>
      <w:lang w:val="lv-LV"/>
    </w:rPr>
  </w:style>
  <w:style w:type="paragraph" w:customStyle="1" w:styleId="CharCharCharChar">
    <w:name w:val=" Char Char Char Char"/>
    <w:basedOn w:val="Normal"/>
    <w:rsid w:val="00001792"/>
    <w:pPr>
      <w:spacing w:after="160" w:line="240" w:lineRule="exact"/>
    </w:pPr>
    <w:rPr>
      <w:rFonts w:ascii="Tahoma" w:hAnsi="Tahoma"/>
      <w:sz w:val="20"/>
      <w:szCs w:val="20"/>
      <w:lang w:val="en-US"/>
    </w:rPr>
  </w:style>
  <w:style w:type="paragraph" w:customStyle="1" w:styleId="naisf">
    <w:name w:val="naisf"/>
    <w:basedOn w:val="Normal"/>
    <w:rsid w:val="0000035B"/>
    <w:pPr>
      <w:spacing w:before="64" w:after="64"/>
      <w:ind w:firstLine="321"/>
      <w:jc w:val="both"/>
    </w:pPr>
    <w:rPr>
      <w:sz w:val="28"/>
      <w:lang w:eastAsia="lv-LV"/>
    </w:rPr>
  </w:style>
  <w:style w:type="paragraph" w:customStyle="1" w:styleId="Style1">
    <w:name w:val="Style1"/>
    <w:basedOn w:val="Normal"/>
    <w:rsid w:val="0000035B"/>
    <w:pPr>
      <w:numPr>
        <w:numId w:val="1"/>
      </w:numPr>
    </w:pPr>
    <w:rPr>
      <w:sz w:val="28"/>
      <w:lang w:eastAsia="lv-LV"/>
    </w:rPr>
  </w:style>
  <w:style w:type="paragraph" w:customStyle="1" w:styleId="nais1">
    <w:name w:val="nais1"/>
    <w:basedOn w:val="Normal"/>
    <w:rsid w:val="0000035B"/>
    <w:pPr>
      <w:spacing w:before="50" w:after="50"/>
      <w:ind w:left="300" w:firstLine="250"/>
      <w:jc w:val="both"/>
    </w:pPr>
    <w:rPr>
      <w:lang w:val="en-US"/>
    </w:rPr>
  </w:style>
  <w:style w:type="paragraph" w:styleId="ListParagraph">
    <w:name w:val="List Paragraph"/>
    <w:basedOn w:val="Normal"/>
    <w:qFormat/>
    <w:rsid w:val="00884E90"/>
    <w:pPr>
      <w:ind w:left="720"/>
      <w:contextualSpacing/>
    </w:pPr>
  </w:style>
  <w:style w:type="paragraph" w:customStyle="1" w:styleId="NormalWeb14pt">
    <w:name w:val="Normal (Web) + 14 pt"/>
    <w:aliases w:val="First line:  0&quot;"/>
    <w:basedOn w:val="NormalWeb"/>
    <w:rsid w:val="00384839"/>
    <w:pPr>
      <w:spacing w:before="75" w:after="75"/>
      <w:jc w:val="both"/>
    </w:pPr>
    <w:rPr>
      <w:sz w:val="28"/>
      <w:szCs w:val="28"/>
      <w:lang w:eastAsia="lv-LV"/>
    </w:rPr>
  </w:style>
  <w:style w:type="paragraph" w:styleId="NormalWeb">
    <w:name w:val="Normal (Web)"/>
    <w:basedOn w:val="Normal"/>
    <w:uiPriority w:val="99"/>
    <w:unhideWhenUsed/>
    <w:rsid w:val="00384839"/>
  </w:style>
  <w:style w:type="character" w:customStyle="1" w:styleId="apple-style-span">
    <w:name w:val="apple-style-span"/>
    <w:basedOn w:val="DefaultParagraphFont"/>
    <w:rsid w:val="006277DE"/>
  </w:style>
  <w:style w:type="character" w:customStyle="1" w:styleId="apple-converted-space">
    <w:name w:val="apple-converted-space"/>
    <w:basedOn w:val="DefaultParagraphFont"/>
    <w:rsid w:val="006277DE"/>
  </w:style>
  <w:style w:type="paragraph" w:styleId="Header">
    <w:name w:val="header"/>
    <w:basedOn w:val="Normal"/>
    <w:link w:val="HeaderChar"/>
    <w:uiPriority w:val="99"/>
    <w:unhideWhenUsed/>
    <w:rsid w:val="007E221B"/>
    <w:pPr>
      <w:tabs>
        <w:tab w:val="center" w:pos="4320"/>
        <w:tab w:val="right" w:pos="8640"/>
      </w:tabs>
    </w:pPr>
    <w:rPr>
      <w:sz w:val="20"/>
      <w:lang w:eastAsia="x-none"/>
    </w:rPr>
  </w:style>
  <w:style w:type="character" w:customStyle="1" w:styleId="HeaderChar">
    <w:name w:val="Header Char"/>
    <w:link w:val="Header"/>
    <w:uiPriority w:val="99"/>
    <w:rsid w:val="007E221B"/>
    <w:rPr>
      <w:rFonts w:eastAsia="Times New Roman" w:cs="Times New Roman"/>
      <w:szCs w:val="24"/>
      <w:lang w:val="lv-LV"/>
    </w:rPr>
  </w:style>
  <w:style w:type="paragraph" w:styleId="Footer">
    <w:name w:val="footer"/>
    <w:basedOn w:val="Normal"/>
    <w:link w:val="FooterChar"/>
    <w:uiPriority w:val="99"/>
    <w:unhideWhenUsed/>
    <w:rsid w:val="007E221B"/>
    <w:pPr>
      <w:tabs>
        <w:tab w:val="center" w:pos="4320"/>
        <w:tab w:val="right" w:pos="8640"/>
      </w:tabs>
    </w:pPr>
    <w:rPr>
      <w:sz w:val="20"/>
      <w:lang w:eastAsia="x-none"/>
    </w:rPr>
  </w:style>
  <w:style w:type="character" w:customStyle="1" w:styleId="FooterChar">
    <w:name w:val="Footer Char"/>
    <w:link w:val="Footer"/>
    <w:uiPriority w:val="99"/>
    <w:semiHidden/>
    <w:rsid w:val="007E221B"/>
    <w:rPr>
      <w:rFonts w:eastAsia="Times New Roman" w:cs="Times New Roman"/>
      <w:szCs w:val="24"/>
      <w:lang w:val="lv-LV"/>
    </w:rPr>
  </w:style>
  <w:style w:type="character" w:styleId="PageNumber">
    <w:name w:val="page number"/>
    <w:basedOn w:val="DefaultParagraphFont"/>
    <w:rsid w:val="007E221B"/>
  </w:style>
  <w:style w:type="paragraph" w:customStyle="1" w:styleId="CharCharChar1CharCharCharCharCharCharCharCharCharCharCharCharCharCharCharCharCharCharCharCharCharCharChar">
    <w:name w:val=" Char Char Char1 Char Char Char Char Char Char Char Char Char Char Char Char Char Char Char Char Char Char Char Char Char Char Char"/>
    <w:basedOn w:val="Normal"/>
    <w:rsid w:val="00DD367F"/>
    <w:pPr>
      <w:spacing w:after="160" w:line="240" w:lineRule="exact"/>
    </w:pPr>
    <w:rPr>
      <w:rFonts w:ascii="Tahoma" w:hAnsi="Tahoma"/>
      <w:sz w:val="20"/>
      <w:szCs w:val="20"/>
      <w:lang w:val="en-US"/>
    </w:rPr>
  </w:style>
  <w:style w:type="paragraph" w:customStyle="1" w:styleId="CharCharCharCharCharChar1CharCharCharChar">
    <w:name w:val=" Char Char Char Char Char Char1 Char Char Char Char"/>
    <w:basedOn w:val="Normal"/>
    <w:rsid w:val="00867251"/>
    <w:pPr>
      <w:spacing w:after="160" w:line="240" w:lineRule="exact"/>
    </w:pPr>
    <w:rPr>
      <w:rFonts w:ascii="Tahoma" w:hAnsi="Tahoma"/>
      <w:sz w:val="20"/>
      <w:szCs w:val="20"/>
      <w:lang w:val="en-US"/>
    </w:rPr>
  </w:style>
  <w:style w:type="paragraph" w:styleId="BodyText2">
    <w:name w:val="Body Text 2"/>
    <w:basedOn w:val="Normal"/>
    <w:link w:val="BodyText2Char"/>
    <w:rsid w:val="00B2008B"/>
    <w:pPr>
      <w:jc w:val="right"/>
    </w:pPr>
    <w:rPr>
      <w:rFonts w:ascii="Garamond" w:hAnsi="Garamond"/>
      <w:sz w:val="28"/>
      <w:szCs w:val="28"/>
      <w:lang w:eastAsia="x-none"/>
    </w:rPr>
  </w:style>
  <w:style w:type="character" w:customStyle="1" w:styleId="BodyText2Char">
    <w:name w:val="Body Text 2 Char"/>
    <w:link w:val="BodyText2"/>
    <w:rsid w:val="00B2008B"/>
    <w:rPr>
      <w:rFonts w:ascii="Garamond" w:eastAsia="Times New Roman" w:hAnsi="Garamond"/>
      <w:sz w:val="28"/>
      <w:szCs w:val="28"/>
      <w:lang w:val="lv-LV"/>
    </w:rPr>
  </w:style>
  <w:style w:type="character" w:styleId="CommentReference">
    <w:name w:val="annotation reference"/>
    <w:uiPriority w:val="99"/>
    <w:semiHidden/>
    <w:unhideWhenUsed/>
    <w:rsid w:val="00554F86"/>
    <w:rPr>
      <w:sz w:val="16"/>
      <w:szCs w:val="16"/>
    </w:rPr>
  </w:style>
  <w:style w:type="paragraph" w:styleId="CommentText">
    <w:name w:val="annotation text"/>
    <w:basedOn w:val="Normal"/>
    <w:link w:val="CommentTextChar"/>
    <w:uiPriority w:val="99"/>
    <w:semiHidden/>
    <w:unhideWhenUsed/>
    <w:rsid w:val="00554F86"/>
    <w:rPr>
      <w:sz w:val="20"/>
      <w:szCs w:val="20"/>
      <w:lang w:eastAsia="x-none"/>
    </w:rPr>
  </w:style>
  <w:style w:type="character" w:customStyle="1" w:styleId="CommentTextChar">
    <w:name w:val="Comment Text Char"/>
    <w:link w:val="CommentText"/>
    <w:uiPriority w:val="99"/>
    <w:semiHidden/>
    <w:rsid w:val="00554F86"/>
    <w:rPr>
      <w:rFonts w:eastAsia="Times New Roman"/>
      <w:lang w:val="lv-LV"/>
    </w:rPr>
  </w:style>
  <w:style w:type="paragraph" w:styleId="CommentSubject">
    <w:name w:val="annotation subject"/>
    <w:basedOn w:val="CommentText"/>
    <w:next w:val="CommentText"/>
    <w:link w:val="CommentSubjectChar"/>
    <w:uiPriority w:val="99"/>
    <w:semiHidden/>
    <w:unhideWhenUsed/>
    <w:rsid w:val="00554F86"/>
    <w:rPr>
      <w:b/>
      <w:bCs/>
    </w:rPr>
  </w:style>
  <w:style w:type="character" w:customStyle="1" w:styleId="CommentSubjectChar">
    <w:name w:val="Comment Subject Char"/>
    <w:link w:val="CommentSubject"/>
    <w:uiPriority w:val="99"/>
    <w:semiHidden/>
    <w:rsid w:val="00554F86"/>
    <w:rPr>
      <w:rFonts w:eastAsia="Times New Roman"/>
      <w:b/>
      <w:bCs/>
      <w:lang w:val="lv-LV"/>
    </w:rPr>
  </w:style>
  <w:style w:type="paragraph" w:styleId="BalloonText">
    <w:name w:val="Balloon Text"/>
    <w:basedOn w:val="Normal"/>
    <w:link w:val="BalloonTextChar"/>
    <w:uiPriority w:val="99"/>
    <w:semiHidden/>
    <w:unhideWhenUsed/>
    <w:rsid w:val="00554F86"/>
    <w:rPr>
      <w:rFonts w:ascii="Tahoma" w:hAnsi="Tahoma"/>
      <w:sz w:val="16"/>
      <w:szCs w:val="16"/>
      <w:lang w:eastAsia="x-none"/>
    </w:rPr>
  </w:style>
  <w:style w:type="character" w:customStyle="1" w:styleId="BalloonTextChar">
    <w:name w:val="Balloon Text Char"/>
    <w:link w:val="BalloonText"/>
    <w:uiPriority w:val="99"/>
    <w:semiHidden/>
    <w:rsid w:val="00554F86"/>
    <w:rPr>
      <w:rFonts w:ascii="Tahoma" w:eastAsia="Times New Roman" w:hAnsi="Tahoma" w:cs="Tahoma"/>
      <w:sz w:val="16"/>
      <w:szCs w:val="16"/>
      <w:lang w:val="lv-LV"/>
    </w:rPr>
  </w:style>
  <w:style w:type="character" w:styleId="Hyperlink">
    <w:name w:val="Hyperlink"/>
    <w:rsid w:val="00DB78D6"/>
    <w:rPr>
      <w:color w:val="0000FF"/>
      <w:u w:val="single"/>
    </w:rPr>
  </w:style>
  <w:style w:type="paragraph" w:customStyle="1" w:styleId="tv213">
    <w:name w:val="tv213"/>
    <w:basedOn w:val="Normal"/>
    <w:rsid w:val="00F008AE"/>
    <w:pPr>
      <w:spacing w:before="100" w:beforeAutospacing="1" w:after="100" w:afterAutospacing="1"/>
    </w:pPr>
    <w:rPr>
      <w:lang w:val="en-US"/>
    </w:rPr>
  </w:style>
  <w:style w:type="paragraph" w:styleId="BodyText">
    <w:name w:val="Body Text"/>
    <w:basedOn w:val="Normal"/>
    <w:link w:val="BodyTextChar"/>
    <w:uiPriority w:val="99"/>
    <w:unhideWhenUsed/>
    <w:rsid w:val="0040647E"/>
    <w:pPr>
      <w:spacing w:after="120"/>
    </w:pPr>
    <w:rPr>
      <w:lang w:eastAsia="x-none"/>
    </w:rPr>
  </w:style>
  <w:style w:type="character" w:customStyle="1" w:styleId="BodyTextChar">
    <w:name w:val="Body Text Char"/>
    <w:link w:val="BodyText"/>
    <w:uiPriority w:val="99"/>
    <w:rsid w:val="0040647E"/>
    <w:rPr>
      <w:rFonts w:eastAsia="Times New Roman"/>
      <w:sz w:val="24"/>
      <w:szCs w:val="24"/>
      <w:lang w:val="lv-LV"/>
    </w:rPr>
  </w:style>
  <w:style w:type="paragraph" w:styleId="FootnoteText">
    <w:name w:val="footnote text"/>
    <w:basedOn w:val="Normal"/>
    <w:link w:val="FootnoteTextChar"/>
    <w:semiHidden/>
    <w:rsid w:val="0040647E"/>
    <w:rPr>
      <w:noProof/>
      <w:sz w:val="20"/>
      <w:szCs w:val="20"/>
      <w:lang w:val="cs-CZ" w:eastAsia="x-none"/>
    </w:rPr>
  </w:style>
  <w:style w:type="character" w:customStyle="1" w:styleId="FootnoteTextChar">
    <w:name w:val="Footnote Text Char"/>
    <w:link w:val="FootnoteText"/>
    <w:semiHidden/>
    <w:rsid w:val="0040647E"/>
    <w:rPr>
      <w:rFonts w:eastAsia="Times New Roman"/>
      <w:noProof/>
      <w:lang w:val="cs-CZ"/>
    </w:rPr>
  </w:style>
  <w:style w:type="character" w:styleId="FootnoteReference">
    <w:name w:val="footnote reference"/>
    <w:semiHidden/>
    <w:rsid w:val="0040647E"/>
    <w:rPr>
      <w:vertAlign w:val="superscript"/>
    </w:rPr>
  </w:style>
  <w:style w:type="character" w:customStyle="1" w:styleId="xcharstyle29">
    <w:name w:val="xcharstyle29"/>
    <w:rsid w:val="00AD1D0B"/>
  </w:style>
  <w:style w:type="character" w:customStyle="1" w:styleId="xcharstyle38">
    <w:name w:val="xcharstyle38"/>
    <w:rsid w:val="00AD1D0B"/>
  </w:style>
  <w:style w:type="character" w:customStyle="1" w:styleId="xcharstyle39">
    <w:name w:val="xcharstyle39"/>
    <w:rsid w:val="00AD1D0B"/>
  </w:style>
  <w:style w:type="character" w:styleId="Strong">
    <w:name w:val="Strong"/>
    <w:uiPriority w:val="22"/>
    <w:qFormat/>
    <w:rsid w:val="008B1C10"/>
    <w:rPr>
      <w:b/>
      <w:bCs/>
    </w:rPr>
  </w:style>
  <w:style w:type="paragraph" w:customStyle="1" w:styleId="labojumupamats">
    <w:name w:val="labojumu_pamats"/>
    <w:basedOn w:val="Normal"/>
    <w:rsid w:val="00A7560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2570">
      <w:bodyDiv w:val="1"/>
      <w:marLeft w:val="0"/>
      <w:marRight w:val="0"/>
      <w:marTop w:val="0"/>
      <w:marBottom w:val="0"/>
      <w:divBdr>
        <w:top w:val="none" w:sz="0" w:space="0" w:color="auto"/>
        <w:left w:val="none" w:sz="0" w:space="0" w:color="auto"/>
        <w:bottom w:val="none" w:sz="0" w:space="0" w:color="auto"/>
        <w:right w:val="none" w:sz="0" w:space="0" w:color="auto"/>
      </w:divBdr>
    </w:div>
    <w:div w:id="130905835">
      <w:bodyDiv w:val="1"/>
      <w:marLeft w:val="0"/>
      <w:marRight w:val="0"/>
      <w:marTop w:val="0"/>
      <w:marBottom w:val="0"/>
      <w:divBdr>
        <w:top w:val="none" w:sz="0" w:space="0" w:color="auto"/>
        <w:left w:val="none" w:sz="0" w:space="0" w:color="auto"/>
        <w:bottom w:val="none" w:sz="0" w:space="0" w:color="auto"/>
        <w:right w:val="none" w:sz="0" w:space="0" w:color="auto"/>
      </w:divBdr>
    </w:div>
    <w:div w:id="262762674">
      <w:bodyDiv w:val="1"/>
      <w:marLeft w:val="0"/>
      <w:marRight w:val="0"/>
      <w:marTop w:val="0"/>
      <w:marBottom w:val="0"/>
      <w:divBdr>
        <w:top w:val="none" w:sz="0" w:space="0" w:color="auto"/>
        <w:left w:val="none" w:sz="0" w:space="0" w:color="auto"/>
        <w:bottom w:val="none" w:sz="0" w:space="0" w:color="auto"/>
        <w:right w:val="none" w:sz="0" w:space="0" w:color="auto"/>
      </w:divBdr>
    </w:div>
    <w:div w:id="384649202">
      <w:bodyDiv w:val="1"/>
      <w:marLeft w:val="0"/>
      <w:marRight w:val="0"/>
      <w:marTop w:val="0"/>
      <w:marBottom w:val="0"/>
      <w:divBdr>
        <w:top w:val="none" w:sz="0" w:space="0" w:color="auto"/>
        <w:left w:val="none" w:sz="0" w:space="0" w:color="auto"/>
        <w:bottom w:val="none" w:sz="0" w:space="0" w:color="auto"/>
        <w:right w:val="none" w:sz="0" w:space="0" w:color="auto"/>
      </w:divBdr>
    </w:div>
    <w:div w:id="390932464">
      <w:bodyDiv w:val="1"/>
      <w:marLeft w:val="0"/>
      <w:marRight w:val="0"/>
      <w:marTop w:val="0"/>
      <w:marBottom w:val="0"/>
      <w:divBdr>
        <w:top w:val="none" w:sz="0" w:space="0" w:color="auto"/>
        <w:left w:val="none" w:sz="0" w:space="0" w:color="auto"/>
        <w:bottom w:val="none" w:sz="0" w:space="0" w:color="auto"/>
        <w:right w:val="none" w:sz="0" w:space="0" w:color="auto"/>
      </w:divBdr>
    </w:div>
    <w:div w:id="394596044">
      <w:bodyDiv w:val="1"/>
      <w:marLeft w:val="0"/>
      <w:marRight w:val="0"/>
      <w:marTop w:val="0"/>
      <w:marBottom w:val="0"/>
      <w:divBdr>
        <w:top w:val="none" w:sz="0" w:space="0" w:color="auto"/>
        <w:left w:val="none" w:sz="0" w:space="0" w:color="auto"/>
        <w:bottom w:val="none" w:sz="0" w:space="0" w:color="auto"/>
        <w:right w:val="none" w:sz="0" w:space="0" w:color="auto"/>
      </w:divBdr>
    </w:div>
    <w:div w:id="462892136">
      <w:bodyDiv w:val="1"/>
      <w:marLeft w:val="0"/>
      <w:marRight w:val="0"/>
      <w:marTop w:val="0"/>
      <w:marBottom w:val="0"/>
      <w:divBdr>
        <w:top w:val="none" w:sz="0" w:space="0" w:color="auto"/>
        <w:left w:val="none" w:sz="0" w:space="0" w:color="auto"/>
        <w:bottom w:val="none" w:sz="0" w:space="0" w:color="auto"/>
        <w:right w:val="none" w:sz="0" w:space="0" w:color="auto"/>
      </w:divBdr>
    </w:div>
    <w:div w:id="478576623">
      <w:bodyDiv w:val="1"/>
      <w:marLeft w:val="0"/>
      <w:marRight w:val="0"/>
      <w:marTop w:val="0"/>
      <w:marBottom w:val="0"/>
      <w:divBdr>
        <w:top w:val="none" w:sz="0" w:space="0" w:color="auto"/>
        <w:left w:val="none" w:sz="0" w:space="0" w:color="auto"/>
        <w:bottom w:val="none" w:sz="0" w:space="0" w:color="auto"/>
        <w:right w:val="none" w:sz="0" w:space="0" w:color="auto"/>
      </w:divBdr>
    </w:div>
    <w:div w:id="1069497645">
      <w:bodyDiv w:val="1"/>
      <w:marLeft w:val="0"/>
      <w:marRight w:val="0"/>
      <w:marTop w:val="0"/>
      <w:marBottom w:val="0"/>
      <w:divBdr>
        <w:top w:val="none" w:sz="0" w:space="0" w:color="auto"/>
        <w:left w:val="none" w:sz="0" w:space="0" w:color="auto"/>
        <w:bottom w:val="none" w:sz="0" w:space="0" w:color="auto"/>
        <w:right w:val="none" w:sz="0" w:space="0" w:color="auto"/>
      </w:divBdr>
    </w:div>
    <w:div w:id="1619600015">
      <w:bodyDiv w:val="1"/>
      <w:marLeft w:val="0"/>
      <w:marRight w:val="0"/>
      <w:marTop w:val="0"/>
      <w:marBottom w:val="0"/>
      <w:divBdr>
        <w:top w:val="none" w:sz="0" w:space="0" w:color="auto"/>
        <w:left w:val="none" w:sz="0" w:space="0" w:color="auto"/>
        <w:bottom w:val="none" w:sz="0" w:space="0" w:color="auto"/>
        <w:right w:val="none" w:sz="0" w:space="0" w:color="auto"/>
      </w:divBdr>
      <w:divsChild>
        <w:div w:id="1490750033">
          <w:marLeft w:val="0"/>
          <w:marRight w:val="0"/>
          <w:marTop w:val="0"/>
          <w:marBottom w:val="0"/>
          <w:divBdr>
            <w:top w:val="none" w:sz="0" w:space="0" w:color="auto"/>
            <w:left w:val="none" w:sz="0" w:space="0" w:color="auto"/>
            <w:bottom w:val="none" w:sz="0" w:space="0" w:color="auto"/>
            <w:right w:val="none" w:sz="0" w:space="0" w:color="auto"/>
          </w:divBdr>
          <w:divsChild>
            <w:div w:id="1328095577">
              <w:marLeft w:val="0"/>
              <w:marRight w:val="0"/>
              <w:marTop w:val="0"/>
              <w:marBottom w:val="0"/>
              <w:divBdr>
                <w:top w:val="none" w:sz="0" w:space="0" w:color="auto"/>
                <w:left w:val="none" w:sz="0" w:space="0" w:color="auto"/>
                <w:bottom w:val="none" w:sz="0" w:space="0" w:color="auto"/>
                <w:right w:val="none" w:sz="0" w:space="0" w:color="auto"/>
              </w:divBdr>
              <w:divsChild>
                <w:div w:id="2008316048">
                  <w:marLeft w:val="3525"/>
                  <w:marRight w:val="3525"/>
                  <w:marTop w:val="0"/>
                  <w:marBottom w:val="0"/>
                  <w:divBdr>
                    <w:top w:val="none" w:sz="0" w:space="0" w:color="auto"/>
                    <w:left w:val="none" w:sz="0" w:space="0" w:color="auto"/>
                    <w:bottom w:val="none" w:sz="0" w:space="0" w:color="auto"/>
                    <w:right w:val="none" w:sz="0" w:space="0" w:color="auto"/>
                  </w:divBdr>
                  <w:divsChild>
                    <w:div w:id="15037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97470">
      <w:bodyDiv w:val="1"/>
      <w:marLeft w:val="0"/>
      <w:marRight w:val="0"/>
      <w:marTop w:val="0"/>
      <w:marBottom w:val="0"/>
      <w:divBdr>
        <w:top w:val="none" w:sz="0" w:space="0" w:color="auto"/>
        <w:left w:val="none" w:sz="0" w:space="0" w:color="auto"/>
        <w:bottom w:val="none" w:sz="0" w:space="0" w:color="auto"/>
        <w:right w:val="none" w:sz="0" w:space="0" w:color="auto"/>
      </w:divBdr>
    </w:div>
    <w:div w:id="1858930048">
      <w:bodyDiv w:val="1"/>
      <w:marLeft w:val="45"/>
      <w:marRight w:val="45"/>
      <w:marTop w:val="90"/>
      <w:marBottom w:val="90"/>
      <w:divBdr>
        <w:top w:val="none" w:sz="0" w:space="0" w:color="auto"/>
        <w:left w:val="none" w:sz="0" w:space="0" w:color="auto"/>
        <w:bottom w:val="none" w:sz="0" w:space="0" w:color="auto"/>
        <w:right w:val="none" w:sz="0" w:space="0" w:color="auto"/>
      </w:divBdr>
      <w:divsChild>
        <w:div w:id="960258671">
          <w:marLeft w:val="0"/>
          <w:marRight w:val="0"/>
          <w:marTop w:val="0"/>
          <w:marBottom w:val="567"/>
          <w:divBdr>
            <w:top w:val="none" w:sz="0" w:space="0" w:color="auto"/>
            <w:left w:val="none" w:sz="0" w:space="0" w:color="auto"/>
            <w:bottom w:val="none" w:sz="0" w:space="0" w:color="auto"/>
            <w:right w:val="none" w:sz="0" w:space="0" w:color="auto"/>
          </w:divBdr>
        </w:div>
      </w:divsChild>
    </w:div>
    <w:div w:id="2044474819">
      <w:bodyDiv w:val="1"/>
      <w:marLeft w:val="0"/>
      <w:marRight w:val="0"/>
      <w:marTop w:val="0"/>
      <w:marBottom w:val="0"/>
      <w:divBdr>
        <w:top w:val="none" w:sz="0" w:space="0" w:color="auto"/>
        <w:left w:val="none" w:sz="0" w:space="0" w:color="auto"/>
        <w:bottom w:val="none" w:sz="0" w:space="0" w:color="auto"/>
        <w:right w:val="none" w:sz="0" w:space="0" w:color="auto"/>
      </w:divBdr>
    </w:div>
    <w:div w:id="20714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14916</Words>
  <Characters>8503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2019-07-16T05:38:00Z</dcterms:created>
  <dcterms:modified xsi:type="dcterms:W3CDTF">2019-07-16T05:38:00Z</dcterms:modified>
</cp:coreProperties>
</file>