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5343" w14:textId="72F506AF" w:rsidR="00BE71D9" w:rsidRPr="00A16303" w:rsidRDefault="007F04A1" w:rsidP="00BE71D9">
      <w:pPr>
        <w:pStyle w:val="BodyText2"/>
        <w:spacing w:after="160"/>
        <w:jc w:val="both"/>
        <w:rPr>
          <w:rFonts w:ascii="Times New Roman" w:hAnsi="Times New Roman"/>
          <w:b/>
          <w:bCs/>
        </w:rPr>
      </w:pPr>
      <w:r>
        <w:rPr>
          <w:rFonts w:ascii="Times New Roman" w:hAnsi="Times New Roman"/>
          <w:b/>
          <w:bCs/>
          <w:szCs w:val="32"/>
        </w:rPr>
        <w:t xml:space="preserve">Darba pienākumu nepildīšana </w:t>
      </w:r>
      <w:r w:rsidR="00BE71D9" w:rsidRPr="00A07807">
        <w:rPr>
          <w:rFonts w:ascii="Times New Roman" w:hAnsi="Times New Roman"/>
          <w:b/>
          <w:bCs/>
          <w:szCs w:val="32"/>
        </w:rPr>
        <w:t xml:space="preserve">– </w:t>
      </w:r>
      <w:r>
        <w:rPr>
          <w:rFonts w:ascii="Times New Roman" w:hAnsi="Times New Roman"/>
          <w:b/>
          <w:bCs/>
          <w:szCs w:val="32"/>
        </w:rPr>
        <w:t>nolēmuma neparakstīšana</w:t>
      </w:r>
    </w:p>
    <w:p w14:paraId="0EFDE23E" w14:textId="77777777" w:rsidR="007F04A1" w:rsidRPr="007F04A1" w:rsidRDefault="007F04A1" w:rsidP="007F04A1">
      <w:pPr>
        <w:jc w:val="both"/>
        <w:rPr>
          <w:i/>
          <w:iCs/>
        </w:rPr>
      </w:pPr>
      <w:r w:rsidRPr="007F04A1">
        <w:rPr>
          <w:i/>
          <w:iCs/>
        </w:rPr>
        <w:t>Nolēmuma neparakstīšana kā darba pienākumu nepildīšana</w:t>
      </w:r>
    </w:p>
    <w:p w14:paraId="3CDD1B5F" w14:textId="77777777" w:rsidR="007F04A1" w:rsidRPr="007F04A1" w:rsidRDefault="007F04A1" w:rsidP="007F04A1">
      <w:pPr>
        <w:jc w:val="both"/>
      </w:pPr>
      <w:r w:rsidRPr="007F04A1">
        <w:t>Lietas izskatīšanas (tiesneša amata pienākuma) sastāvdaļa ir arī nolēmuma parakstīšana</w:t>
      </w:r>
      <w:r>
        <w:t>, t</w:t>
      </w:r>
      <w:r w:rsidRPr="007F04A1">
        <w:t>āpēc nolēmuma neparakstīšana var veidot disciplinārā pārkāpuma – darba pienākumu nepildīšanas – būtību.</w:t>
      </w:r>
    </w:p>
    <w:p w14:paraId="7D9459D3" w14:textId="77777777" w:rsidR="007F04A1" w:rsidRPr="007F04A1" w:rsidRDefault="007F04A1" w:rsidP="007F04A1">
      <w:pPr>
        <w:jc w:val="both"/>
        <w:rPr>
          <w:i/>
          <w:iCs/>
        </w:rPr>
      </w:pPr>
      <w:r w:rsidRPr="007F04A1">
        <w:rPr>
          <w:i/>
          <w:iCs/>
        </w:rPr>
        <w:t>Tiesneša pienākums būt sasniedzamam tiesas darba laikā</w:t>
      </w:r>
    </w:p>
    <w:p w14:paraId="3F46E877" w14:textId="77777777" w:rsidR="007F04A1" w:rsidRPr="007F04A1" w:rsidRDefault="007F04A1" w:rsidP="007F04A1">
      <w:pPr>
        <w:jc w:val="both"/>
      </w:pPr>
      <w:r w:rsidRPr="007F04A1">
        <w:t>Negodprātīga attieksme pret amata pienākumiem un pret kolēģiem var izpausties arī kā tiesneša nesasniedzamība tiesas iestādes darba laikā.</w:t>
      </w:r>
    </w:p>
    <w:p w14:paraId="70E3A857" w14:textId="77777777" w:rsidR="007F04A1" w:rsidRPr="007F04A1" w:rsidRDefault="007F04A1" w:rsidP="007F04A1">
      <w:pPr>
        <w:jc w:val="both"/>
        <w:rPr>
          <w:i/>
          <w:iCs/>
        </w:rPr>
      </w:pPr>
      <w:r w:rsidRPr="007F04A1">
        <w:rPr>
          <w:i/>
          <w:iCs/>
        </w:rPr>
        <w:t>Amatalgas samazinājums kā disciplinārsods</w:t>
      </w:r>
    </w:p>
    <w:p w14:paraId="68BDF40F" w14:textId="77777777" w:rsidR="007F04A1" w:rsidRPr="007F04A1" w:rsidRDefault="007F04A1" w:rsidP="007F04A1">
      <w:pPr>
        <w:jc w:val="both"/>
      </w:pPr>
      <w:r w:rsidRPr="007F04A1">
        <w:t>Par disciplināru pārkāpumu sodīti un nesodīti tiesneši neatrodas vienādos un pēc noteiktiem kritērijiem salīdzināmos apstākļos, tāpēc atšķirīga amatalga šajā gadījumā nepārkāpj vienlīdzības principu.</w:t>
      </w:r>
    </w:p>
    <w:p w14:paraId="5A48D75D" w14:textId="77777777" w:rsidR="007F04A1" w:rsidRPr="007F04A1" w:rsidRDefault="007F04A1" w:rsidP="007F04A1">
      <w:pPr>
        <w:jc w:val="both"/>
      </w:pPr>
      <w:r w:rsidRPr="007F04A1">
        <w:t>Turklāt, pat ja pieņemtu, ka apstākļi ir salīdzināmi, atšķirīgā attieksme būtu attaisnojama, jo tai ir leģitīms mērķis un tā ir samērīga. Iespēja disciplināri sodīt tiesnesi ir nepieciešama, lai sekmētu tiesneša  pienākumu pienācīgu izpildi, tādējādi sekmējot citu personu tiesību uz taisnīgu tiesu ievērošanu un sabiedrības uzticēšanos tiesu varai, kas ir būtisks priekšnoteikums tiesiskas valsts darbībai.</w:t>
      </w:r>
    </w:p>
    <w:p w14:paraId="377AE48D" w14:textId="77777777" w:rsidR="007F04A1" w:rsidRPr="007F04A1" w:rsidRDefault="007F04A1" w:rsidP="007F04A1">
      <w:pPr>
        <w:jc w:val="both"/>
      </w:pPr>
      <w:r w:rsidRPr="007F04A1">
        <w:t xml:space="preserve">Turklāt sabiedrības ieguvums salīdzinājumā ar tiesnesim radīto kaitējumu ir būtisks, jo tiek paredzēta iespēja reaģēt uz tiesnešu pārkāpumiem atbilstoši to kaitīgumam, par nopietnākiem pārkāpumiem nosakot bargāku disciplinārsodu par piezīmi un rājienu. </w:t>
      </w:r>
    </w:p>
    <w:p w14:paraId="009EBFEE" w14:textId="77777777" w:rsidR="007F04A1" w:rsidRPr="007F04A1" w:rsidRDefault="007F04A1" w:rsidP="007F04A1">
      <w:pPr>
        <w:jc w:val="both"/>
      </w:pPr>
      <w:r w:rsidRPr="007F04A1">
        <w:t>Vērtējot ar atšķirīgu amatalgu nodarīto kaitējumu tiesnesim, jāņem vērā, ka šāds disciplinārsoda veids neapdraud tiesneša neatkarību, tas nosakāms individuāli atbilstoši izdarītajam pārkāpumam.</w:t>
      </w:r>
    </w:p>
    <w:p w14:paraId="25DFF698" w14:textId="3F623FAA" w:rsidR="00B97DBC" w:rsidRDefault="00BE71D9" w:rsidP="007F04A1">
      <w:pPr>
        <w:jc w:val="both"/>
        <w:rPr>
          <w:rFonts w:cs="Times New Roman"/>
          <w:szCs w:val="24"/>
        </w:rPr>
      </w:pPr>
      <w:r w:rsidRPr="00CF5B7A">
        <w:rPr>
          <w:b/>
          <w:bCs/>
          <w:i/>
          <w:iCs/>
        </w:rPr>
        <w:t>Atslēgvārdi:</w:t>
      </w:r>
      <w:r w:rsidRPr="00CF5B7A">
        <w:rPr>
          <w:i/>
          <w:iCs/>
        </w:rPr>
        <w:t xml:space="preserve"> </w:t>
      </w:r>
      <w:r w:rsidR="00967547">
        <w:rPr>
          <w:i/>
          <w:iCs/>
        </w:rPr>
        <w:t>a</w:t>
      </w:r>
      <w:r w:rsidR="007F04A1" w:rsidRPr="007F04A1">
        <w:rPr>
          <w:i/>
          <w:iCs/>
        </w:rPr>
        <w:t>tšķirīga attieksme, disciplinārsoda noteikšana, nepiedalīšanās lietas izskatīšanā, tiesneša neatkarība</w:t>
      </w:r>
    </w:p>
    <w:p w14:paraId="6A1C7D86" w14:textId="77777777" w:rsidR="00B97DBC" w:rsidRDefault="00B97DBC" w:rsidP="008A3B24">
      <w:pPr>
        <w:widowControl w:val="0"/>
        <w:spacing w:after="0" w:line="276" w:lineRule="auto"/>
        <w:ind w:firstLine="720"/>
        <w:jc w:val="right"/>
        <w:rPr>
          <w:rFonts w:cs="Times New Roman"/>
          <w:szCs w:val="24"/>
        </w:rPr>
      </w:pPr>
    </w:p>
    <w:p w14:paraId="325B8C38" w14:textId="54700FD7" w:rsidR="00B33C41" w:rsidRPr="00306252" w:rsidRDefault="00DE358B" w:rsidP="008A3B24">
      <w:pPr>
        <w:widowControl w:val="0"/>
        <w:spacing w:after="0" w:line="276" w:lineRule="auto"/>
        <w:ind w:firstLine="720"/>
        <w:jc w:val="right"/>
        <w:rPr>
          <w:rFonts w:cs="Times New Roman"/>
          <w:b/>
          <w:bCs/>
          <w:szCs w:val="24"/>
        </w:rPr>
      </w:pPr>
      <w:r w:rsidRPr="00306252">
        <w:rPr>
          <w:rFonts w:cs="Times New Roman"/>
          <w:b/>
          <w:bCs/>
          <w:szCs w:val="24"/>
        </w:rPr>
        <w:t>Lieta Nr. DT-1/2026</w:t>
      </w:r>
    </w:p>
    <w:p w14:paraId="7D1F0653" w14:textId="77777777" w:rsidR="00B33C41" w:rsidRPr="001F5DF9" w:rsidRDefault="00B33C41" w:rsidP="008A3B24">
      <w:pPr>
        <w:widowControl w:val="0"/>
        <w:spacing w:after="0" w:line="276" w:lineRule="auto"/>
        <w:jc w:val="center"/>
        <w:rPr>
          <w:rFonts w:cs="Times New Roman"/>
          <w:szCs w:val="24"/>
        </w:rPr>
      </w:pPr>
    </w:p>
    <w:p w14:paraId="2A429105" w14:textId="77777777" w:rsidR="00306FB1" w:rsidRPr="001F5DF9" w:rsidRDefault="00B33C41" w:rsidP="008A3B24">
      <w:pPr>
        <w:widowControl w:val="0"/>
        <w:spacing w:after="0" w:line="276" w:lineRule="auto"/>
        <w:jc w:val="center"/>
        <w:rPr>
          <w:rFonts w:cs="Times New Roman"/>
          <w:szCs w:val="24"/>
        </w:rPr>
      </w:pPr>
      <w:r w:rsidRPr="001F5DF9">
        <w:rPr>
          <w:rFonts w:cs="Times New Roman"/>
          <w:b/>
          <w:bCs/>
          <w:szCs w:val="24"/>
        </w:rPr>
        <w:t>LĒMUMS</w:t>
      </w:r>
    </w:p>
    <w:p w14:paraId="56C231D3" w14:textId="1AEA668A" w:rsidR="00B33C41" w:rsidRPr="001F5DF9" w:rsidRDefault="00B33C41" w:rsidP="008A3B24">
      <w:pPr>
        <w:widowControl w:val="0"/>
        <w:spacing w:after="0" w:line="276" w:lineRule="auto"/>
        <w:jc w:val="center"/>
        <w:rPr>
          <w:rFonts w:cs="Times New Roman"/>
          <w:szCs w:val="24"/>
        </w:rPr>
      </w:pPr>
      <w:r w:rsidRPr="001F5DF9">
        <w:rPr>
          <w:rFonts w:cs="Times New Roman"/>
          <w:szCs w:val="24"/>
        </w:rPr>
        <w:t xml:space="preserve">Rīgā 2026. gada </w:t>
      </w:r>
      <w:r w:rsidR="00757A2E" w:rsidRPr="001F5DF9">
        <w:rPr>
          <w:rFonts w:cs="Times New Roman"/>
          <w:szCs w:val="24"/>
        </w:rPr>
        <w:t>8. maijā</w:t>
      </w:r>
    </w:p>
    <w:p w14:paraId="72FE50A7" w14:textId="77777777" w:rsidR="00B33C41" w:rsidRPr="001F5DF9" w:rsidRDefault="00B33C41" w:rsidP="008A3B24">
      <w:pPr>
        <w:widowControl w:val="0"/>
        <w:spacing w:after="0" w:line="276" w:lineRule="auto"/>
        <w:jc w:val="center"/>
        <w:rPr>
          <w:rFonts w:cs="Times New Roman"/>
          <w:szCs w:val="24"/>
        </w:rPr>
      </w:pPr>
    </w:p>
    <w:p w14:paraId="2169112E" w14:textId="3082F17E" w:rsidR="00B33C41" w:rsidRPr="001F5DF9" w:rsidRDefault="00B33C41" w:rsidP="008A3B24">
      <w:pPr>
        <w:pStyle w:val="NoSpacing"/>
        <w:widowControl w:val="0"/>
        <w:spacing w:line="276" w:lineRule="auto"/>
        <w:ind w:firstLine="720"/>
        <w:jc w:val="both"/>
        <w:rPr>
          <w:rFonts w:cs="Times New Roman"/>
          <w:szCs w:val="24"/>
        </w:rPr>
      </w:pPr>
      <w:proofErr w:type="spellStart"/>
      <w:r w:rsidRPr="001F5DF9">
        <w:rPr>
          <w:rFonts w:cs="Times New Roman"/>
          <w:szCs w:val="24"/>
        </w:rPr>
        <w:t>Disciplinārtiesa</w:t>
      </w:r>
      <w:proofErr w:type="spellEnd"/>
      <w:r w:rsidRPr="001F5DF9">
        <w:rPr>
          <w:rFonts w:cs="Times New Roman"/>
          <w:szCs w:val="24"/>
        </w:rPr>
        <w:t xml:space="preserve"> šādā sastāvā: tiesas sēdes priekšsēdētāja senatore Vēsma Kakste, senatores Anita Kovaļevska, Anita Poļakova un Inguna Radzeviča,</w:t>
      </w:r>
    </w:p>
    <w:p w14:paraId="56C4C496" w14:textId="2A773642" w:rsidR="00B33C41" w:rsidRPr="001F5DF9" w:rsidRDefault="00B33C41" w:rsidP="008A3B24">
      <w:pPr>
        <w:pStyle w:val="NoSpacing"/>
        <w:widowControl w:val="0"/>
        <w:spacing w:line="276" w:lineRule="auto"/>
        <w:ind w:firstLine="720"/>
        <w:jc w:val="both"/>
        <w:rPr>
          <w:rFonts w:cs="Times New Roman"/>
          <w:szCs w:val="24"/>
        </w:rPr>
      </w:pPr>
      <w:r w:rsidRPr="001F5DF9">
        <w:rPr>
          <w:rFonts w:cs="Times New Roman"/>
          <w:szCs w:val="24"/>
        </w:rPr>
        <w:t>ar sekretāri Eviju Veidi,</w:t>
      </w:r>
    </w:p>
    <w:p w14:paraId="55B69525" w14:textId="77C36C85" w:rsidR="00B33C41" w:rsidRPr="001F5DF9" w:rsidRDefault="00B33C41" w:rsidP="008A3B24">
      <w:pPr>
        <w:pStyle w:val="NoSpacing"/>
        <w:widowControl w:val="0"/>
        <w:spacing w:line="276" w:lineRule="auto"/>
        <w:ind w:firstLine="720"/>
        <w:jc w:val="both"/>
        <w:rPr>
          <w:rFonts w:cs="Times New Roman"/>
          <w:szCs w:val="24"/>
        </w:rPr>
      </w:pPr>
      <w:r w:rsidRPr="001F5DF9">
        <w:rPr>
          <w:rFonts w:cs="Times New Roman"/>
          <w:szCs w:val="24"/>
        </w:rPr>
        <w:t xml:space="preserve">piedaloties </w:t>
      </w:r>
      <w:r w:rsidR="00755AF3" w:rsidRPr="001F5DF9">
        <w:rPr>
          <w:rFonts w:cs="Times New Roman"/>
          <w:szCs w:val="24"/>
        </w:rPr>
        <w:t xml:space="preserve">disciplinārlietas ierosinātājam </w:t>
      </w:r>
      <w:r w:rsidRPr="001F5DF9">
        <w:rPr>
          <w:rFonts w:cs="Times New Roman"/>
          <w:szCs w:val="24"/>
        </w:rPr>
        <w:t xml:space="preserve">Augstākās tiesas priekšsēdētājam </w:t>
      </w:r>
      <w:r w:rsidR="00B97DBC">
        <w:rPr>
          <w:rFonts w:cs="Times New Roman"/>
          <w:szCs w:val="24"/>
        </w:rPr>
        <w:t>[B]</w:t>
      </w:r>
      <w:r w:rsidRPr="001F5DF9">
        <w:rPr>
          <w:rFonts w:cs="Times New Roman"/>
          <w:szCs w:val="24"/>
        </w:rPr>
        <w:t xml:space="preserve"> un</w:t>
      </w:r>
    </w:p>
    <w:p w14:paraId="5884806F" w14:textId="62087663" w:rsidR="00B33C41" w:rsidRPr="001F5DF9" w:rsidRDefault="00755AF3" w:rsidP="008A3B24">
      <w:pPr>
        <w:pStyle w:val="NoSpacing"/>
        <w:widowControl w:val="0"/>
        <w:spacing w:line="276" w:lineRule="auto"/>
        <w:ind w:firstLine="720"/>
        <w:jc w:val="both"/>
        <w:rPr>
          <w:rFonts w:cs="Times New Roman"/>
          <w:szCs w:val="24"/>
        </w:rPr>
      </w:pPr>
      <w:r w:rsidRPr="001F5DF9">
        <w:rPr>
          <w:rFonts w:cs="Times New Roman"/>
          <w:szCs w:val="24"/>
        </w:rPr>
        <w:t xml:space="preserve">sūdzības iesniedzējam </w:t>
      </w:r>
      <w:r w:rsidR="00856C51" w:rsidRPr="001F5DF9">
        <w:rPr>
          <w:rFonts w:cs="Times New Roman"/>
          <w:szCs w:val="24"/>
        </w:rPr>
        <w:t xml:space="preserve">Augstākās tiesas </w:t>
      </w:r>
      <w:r w:rsidR="00B97DBC">
        <w:rPr>
          <w:rFonts w:cs="Times New Roman"/>
          <w:szCs w:val="24"/>
        </w:rPr>
        <w:t>[nosaukums]</w:t>
      </w:r>
      <w:r w:rsidR="00B33C41" w:rsidRPr="001F5DF9">
        <w:rPr>
          <w:rFonts w:cs="Times New Roman"/>
          <w:szCs w:val="24"/>
        </w:rPr>
        <w:t xml:space="preserve"> departamenta senatoram </w:t>
      </w:r>
      <w:r w:rsidR="00B97DBC">
        <w:rPr>
          <w:rFonts w:cs="Times New Roman"/>
          <w:szCs w:val="24"/>
        </w:rPr>
        <w:t>[A]</w:t>
      </w:r>
      <w:r w:rsidR="00B33C41" w:rsidRPr="001F5DF9">
        <w:rPr>
          <w:rFonts w:cs="Times New Roman"/>
          <w:szCs w:val="24"/>
        </w:rPr>
        <w:t>,</w:t>
      </w:r>
    </w:p>
    <w:p w14:paraId="6E4013EA" w14:textId="77777777" w:rsidR="00B33C41" w:rsidRPr="001F5DF9" w:rsidRDefault="00B33C41" w:rsidP="008A3B24">
      <w:pPr>
        <w:pStyle w:val="NoSpacing"/>
        <w:widowControl w:val="0"/>
        <w:spacing w:line="276" w:lineRule="auto"/>
        <w:ind w:firstLine="720"/>
        <w:jc w:val="both"/>
        <w:rPr>
          <w:rFonts w:cs="Times New Roman"/>
          <w:szCs w:val="24"/>
        </w:rPr>
      </w:pPr>
    </w:p>
    <w:p w14:paraId="2B48DFEF" w14:textId="025EE655" w:rsidR="00B33C41" w:rsidRPr="001F5DF9" w:rsidRDefault="00B33C41" w:rsidP="008A3B24">
      <w:pPr>
        <w:pStyle w:val="NoSpacing"/>
        <w:widowControl w:val="0"/>
        <w:spacing w:line="276" w:lineRule="auto"/>
        <w:ind w:firstLine="720"/>
        <w:jc w:val="both"/>
        <w:rPr>
          <w:rFonts w:cs="Times New Roman"/>
          <w:szCs w:val="24"/>
        </w:rPr>
      </w:pPr>
      <w:r w:rsidRPr="001F5DF9">
        <w:rPr>
          <w:rFonts w:cs="Times New Roman"/>
          <w:szCs w:val="24"/>
        </w:rPr>
        <w:t xml:space="preserve">slēgtā sēdē izskatīja disciplinārlietu sakarā ar </w:t>
      </w:r>
      <w:r w:rsidR="00856C51" w:rsidRPr="001F5DF9">
        <w:rPr>
          <w:rFonts w:cs="Times New Roman"/>
          <w:szCs w:val="24"/>
        </w:rPr>
        <w:t xml:space="preserve">Augstākās tiesas </w:t>
      </w:r>
      <w:r w:rsidR="00B97DBC">
        <w:rPr>
          <w:rFonts w:cs="Times New Roman"/>
          <w:szCs w:val="24"/>
        </w:rPr>
        <w:t xml:space="preserve">[nosaukums] </w:t>
      </w:r>
      <w:r w:rsidRPr="001F5DF9">
        <w:rPr>
          <w:rFonts w:cs="Times New Roman"/>
          <w:szCs w:val="24"/>
        </w:rPr>
        <w:t xml:space="preserve">departamenta senatora </w:t>
      </w:r>
      <w:r w:rsidR="00B97DBC">
        <w:rPr>
          <w:rFonts w:cs="Times New Roman"/>
          <w:szCs w:val="24"/>
        </w:rPr>
        <w:t>[A]</w:t>
      </w:r>
      <w:r w:rsidRPr="001F5DF9">
        <w:rPr>
          <w:rFonts w:cs="Times New Roman"/>
          <w:szCs w:val="24"/>
        </w:rPr>
        <w:t xml:space="preserve"> sūdzību par Tiesnešu disciplinārkolēģijas 2026. gada </w:t>
      </w:r>
      <w:r w:rsidRPr="001F5DF9">
        <w:rPr>
          <w:rFonts w:cs="Times New Roman"/>
          <w:szCs w:val="24"/>
        </w:rPr>
        <w:lastRenderedPageBreak/>
        <w:t xml:space="preserve">20. februāra lēmumu lietā Nr. D-3/2026, ar kuru senatoram </w:t>
      </w:r>
      <w:r w:rsidR="00B97DBC">
        <w:rPr>
          <w:rFonts w:cs="Times New Roman"/>
          <w:szCs w:val="24"/>
        </w:rPr>
        <w:t xml:space="preserve">[A] </w:t>
      </w:r>
      <w:r w:rsidRPr="001F5DF9">
        <w:rPr>
          <w:rFonts w:cs="Times New Roman"/>
          <w:szCs w:val="24"/>
        </w:rPr>
        <w:t xml:space="preserve">uzlikts disciplinārsods – amatalgas samazināšana uz </w:t>
      </w:r>
      <w:r w:rsidR="00990CC7" w:rsidRPr="001F5DF9">
        <w:rPr>
          <w:rFonts w:cs="Times New Roman"/>
          <w:szCs w:val="24"/>
        </w:rPr>
        <w:t>vienu</w:t>
      </w:r>
      <w:r w:rsidRPr="001F5DF9">
        <w:rPr>
          <w:rFonts w:cs="Times New Roman"/>
          <w:szCs w:val="24"/>
        </w:rPr>
        <w:t xml:space="preserve"> gadu, ieturot 20 procentus no amatalgas.</w:t>
      </w:r>
    </w:p>
    <w:p w14:paraId="25C3AB44" w14:textId="77777777" w:rsidR="00B33C41" w:rsidRPr="001F5DF9" w:rsidRDefault="00B33C41" w:rsidP="008A3B24">
      <w:pPr>
        <w:pStyle w:val="NoSpacing"/>
        <w:widowControl w:val="0"/>
        <w:spacing w:line="276" w:lineRule="auto"/>
        <w:ind w:firstLine="720"/>
        <w:jc w:val="both"/>
        <w:rPr>
          <w:rFonts w:cs="Times New Roman"/>
          <w:szCs w:val="24"/>
        </w:rPr>
      </w:pPr>
    </w:p>
    <w:p w14:paraId="5E8E2891" w14:textId="77777777" w:rsidR="00B33C41" w:rsidRPr="001F5DF9" w:rsidRDefault="00B33C41" w:rsidP="008A3B24">
      <w:pPr>
        <w:pStyle w:val="NoSpacing"/>
        <w:widowControl w:val="0"/>
        <w:spacing w:line="276" w:lineRule="auto"/>
        <w:jc w:val="center"/>
        <w:rPr>
          <w:rFonts w:cs="Times New Roman"/>
          <w:b/>
          <w:bCs/>
          <w:szCs w:val="24"/>
        </w:rPr>
      </w:pPr>
      <w:r w:rsidRPr="001F5DF9">
        <w:rPr>
          <w:rFonts w:cs="Times New Roman"/>
          <w:b/>
          <w:bCs/>
          <w:szCs w:val="24"/>
        </w:rPr>
        <w:t>Aprakstošā daļa</w:t>
      </w:r>
    </w:p>
    <w:p w14:paraId="0EB72CDA" w14:textId="77777777" w:rsidR="00B33C41" w:rsidRPr="001F5DF9" w:rsidRDefault="00B33C41" w:rsidP="008A3B24">
      <w:pPr>
        <w:pStyle w:val="NoSpacing"/>
        <w:widowControl w:val="0"/>
        <w:spacing w:line="276" w:lineRule="auto"/>
        <w:ind w:firstLine="720"/>
        <w:jc w:val="both"/>
        <w:rPr>
          <w:rFonts w:cs="Times New Roman"/>
          <w:b/>
          <w:bCs/>
          <w:szCs w:val="24"/>
        </w:rPr>
      </w:pPr>
    </w:p>
    <w:p w14:paraId="2440696F" w14:textId="5FB3DD25" w:rsidR="00B33C41" w:rsidRPr="001F5DF9" w:rsidRDefault="00B33C41" w:rsidP="008A3B24">
      <w:pPr>
        <w:pStyle w:val="NoSpacing"/>
        <w:widowControl w:val="0"/>
        <w:spacing w:line="276" w:lineRule="auto"/>
        <w:ind w:firstLine="720"/>
        <w:jc w:val="both"/>
        <w:rPr>
          <w:rFonts w:cs="Times New Roman"/>
          <w:szCs w:val="24"/>
        </w:rPr>
      </w:pPr>
      <w:r w:rsidRPr="001F5DF9">
        <w:rPr>
          <w:rFonts w:cs="Times New Roman"/>
          <w:szCs w:val="24"/>
        </w:rPr>
        <w:t>[1]</w:t>
      </w:r>
      <w:r w:rsidR="00DB1650" w:rsidRPr="001F5DF9">
        <w:rPr>
          <w:rFonts w:cs="Times New Roman"/>
          <w:szCs w:val="24"/>
        </w:rPr>
        <w:t> </w:t>
      </w:r>
      <w:r w:rsidRPr="001F5DF9">
        <w:rPr>
          <w:rFonts w:cs="Times New Roman"/>
          <w:szCs w:val="24"/>
        </w:rPr>
        <w:t xml:space="preserve">Ar Augstākās tiesas priekšsēdētāja </w:t>
      </w:r>
      <w:r w:rsidR="00B97DBC">
        <w:rPr>
          <w:rFonts w:cs="Times New Roman"/>
          <w:szCs w:val="24"/>
        </w:rPr>
        <w:t>[B]</w:t>
      </w:r>
      <w:r w:rsidRPr="001F5DF9">
        <w:rPr>
          <w:rFonts w:cs="Times New Roman"/>
          <w:szCs w:val="24"/>
        </w:rPr>
        <w:t xml:space="preserve"> 2026. gada 26. janvāra lēmumu pret senatoru </w:t>
      </w:r>
      <w:r w:rsidR="00B97DBC">
        <w:rPr>
          <w:rFonts w:cs="Times New Roman"/>
          <w:szCs w:val="24"/>
        </w:rPr>
        <w:t>[A]</w:t>
      </w:r>
      <w:r w:rsidRPr="001F5DF9">
        <w:rPr>
          <w:rFonts w:cs="Times New Roman"/>
          <w:szCs w:val="24"/>
        </w:rPr>
        <w:t xml:space="preserve"> ierosināta disciplinārlieta par darba pienākumu nepildīšanu.</w:t>
      </w:r>
    </w:p>
    <w:p w14:paraId="561990AE" w14:textId="5808CB9E" w:rsidR="008D7393" w:rsidRPr="001F5DF9" w:rsidRDefault="008D7393" w:rsidP="008A3B24">
      <w:pPr>
        <w:pStyle w:val="NoSpacing"/>
        <w:widowControl w:val="0"/>
        <w:spacing w:line="276" w:lineRule="auto"/>
        <w:ind w:firstLine="720"/>
        <w:jc w:val="both"/>
        <w:rPr>
          <w:rFonts w:cs="Times New Roman"/>
          <w:szCs w:val="24"/>
        </w:rPr>
      </w:pPr>
      <w:r w:rsidRPr="001F5DF9">
        <w:rPr>
          <w:rFonts w:cs="Times New Roman"/>
          <w:szCs w:val="24"/>
        </w:rPr>
        <w:t xml:space="preserve">Lēmumā norādīts, ka 2025. gada 22. decembrī Augstākās tiesas priekšsēdētājs saņēma </w:t>
      </w:r>
      <w:r w:rsidR="00856C51" w:rsidRPr="001F5DF9">
        <w:rPr>
          <w:rFonts w:cs="Times New Roman"/>
          <w:szCs w:val="24"/>
        </w:rPr>
        <w:t xml:space="preserve">Augstākās tiesas </w:t>
      </w:r>
      <w:r w:rsidR="00B97DBC">
        <w:rPr>
          <w:rFonts w:cs="Times New Roman"/>
          <w:szCs w:val="24"/>
        </w:rPr>
        <w:t xml:space="preserve">[nosaukums] </w:t>
      </w:r>
      <w:r w:rsidR="00856C51" w:rsidRPr="001F5DF9">
        <w:rPr>
          <w:rFonts w:cs="Times New Roman"/>
          <w:szCs w:val="24"/>
        </w:rPr>
        <w:t xml:space="preserve">departamenta priekšsēdētāja </w:t>
      </w:r>
      <w:r w:rsidR="00B97DBC">
        <w:rPr>
          <w:rFonts w:cs="Times New Roman"/>
          <w:szCs w:val="24"/>
        </w:rPr>
        <w:t>[C]</w:t>
      </w:r>
      <w:r w:rsidR="00856C51" w:rsidRPr="001F5DF9">
        <w:rPr>
          <w:rFonts w:cs="Times New Roman"/>
          <w:szCs w:val="24"/>
        </w:rPr>
        <w:t xml:space="preserve"> ziņojumu, ka senators </w:t>
      </w:r>
      <w:r w:rsidR="00B97DBC">
        <w:rPr>
          <w:rFonts w:cs="Times New Roman"/>
          <w:szCs w:val="24"/>
        </w:rPr>
        <w:t xml:space="preserve">[A] </w:t>
      </w:r>
      <w:r w:rsidR="00856C51" w:rsidRPr="001F5DF9">
        <w:rPr>
          <w:rFonts w:cs="Times New Roman"/>
          <w:szCs w:val="24"/>
        </w:rPr>
        <w:t>laikā no 2025. gada 16. decembra līdz 19. decembrim nav atradies darba vietā, nav pildījis darba pienākumus un nav bijis pienācīgi sasniedzams, tādēļ 2025. gada 16. decembrī no izskatīšanas tika noņemtas trīs lietas.</w:t>
      </w:r>
    </w:p>
    <w:p w14:paraId="2DD03662" w14:textId="369D8B96" w:rsidR="0011168D" w:rsidRPr="001F5DF9" w:rsidRDefault="00856C51" w:rsidP="008A3B24">
      <w:pPr>
        <w:pStyle w:val="NoSpacing"/>
        <w:widowControl w:val="0"/>
        <w:spacing w:line="276" w:lineRule="auto"/>
        <w:ind w:firstLine="720"/>
        <w:jc w:val="both"/>
        <w:rPr>
          <w:rFonts w:cs="Times New Roman"/>
          <w:szCs w:val="24"/>
        </w:rPr>
      </w:pPr>
      <w:r w:rsidRPr="001F5DF9">
        <w:rPr>
          <w:rFonts w:cs="Times New Roman"/>
          <w:szCs w:val="24"/>
        </w:rPr>
        <w:t xml:space="preserve">Izvērtējis lietas apstākļus un senatora </w:t>
      </w:r>
      <w:r w:rsidR="00B97DBC">
        <w:rPr>
          <w:rFonts w:cs="Times New Roman"/>
          <w:szCs w:val="24"/>
        </w:rPr>
        <w:t>[A]</w:t>
      </w:r>
      <w:r w:rsidRPr="001F5DF9">
        <w:rPr>
          <w:rFonts w:cs="Times New Roman"/>
          <w:szCs w:val="24"/>
        </w:rPr>
        <w:t xml:space="preserve"> paskaidrojumu, Augstākās tiesas priekšsēdētājs atzina, ka ir pamats ierosināt disciplinārlietu saskaņā ar </w:t>
      </w:r>
      <w:r w:rsidR="0011168D" w:rsidRPr="001F5DF9">
        <w:rPr>
          <w:rFonts w:cs="Times New Roman"/>
          <w:szCs w:val="24"/>
        </w:rPr>
        <w:t>Tiesnešu disciplinārās atbildības likuma 1. panta pirmās daļas 2. punktu</w:t>
      </w:r>
      <w:r w:rsidR="00650E6A" w:rsidRPr="001F5DF9">
        <w:rPr>
          <w:rFonts w:cs="Times New Roman"/>
          <w:szCs w:val="24"/>
        </w:rPr>
        <w:t xml:space="preserve"> </w:t>
      </w:r>
      <w:r w:rsidR="0011168D" w:rsidRPr="001F5DF9">
        <w:rPr>
          <w:rFonts w:cs="Times New Roman"/>
          <w:szCs w:val="24"/>
        </w:rPr>
        <w:t xml:space="preserve">par darba pienākumu nepildīšanu, kas izpaudās tādējādi, ka senators </w:t>
      </w:r>
      <w:r w:rsidR="00B97DBC">
        <w:rPr>
          <w:rFonts w:cs="Times New Roman"/>
          <w:szCs w:val="24"/>
        </w:rPr>
        <w:t xml:space="preserve">[A] </w:t>
      </w:r>
      <w:r w:rsidR="0011168D" w:rsidRPr="001F5DF9">
        <w:rPr>
          <w:rFonts w:cs="Times New Roman"/>
          <w:szCs w:val="24"/>
        </w:rPr>
        <w:t>bez attaisnojoša iemesla nepildīja savus darba pienākumus un nepiedalījās trīs 2025. gada 16. decembrī rakstveida procesā noteikto lietu izskatīšanā, tādēļ šīs lietas tika noņemtas no izskatīšanas.</w:t>
      </w:r>
    </w:p>
    <w:p w14:paraId="27C318E8" w14:textId="77777777" w:rsidR="0011168D" w:rsidRPr="001F5DF9" w:rsidRDefault="0011168D" w:rsidP="008A3B24">
      <w:pPr>
        <w:pStyle w:val="NoSpacing"/>
        <w:widowControl w:val="0"/>
        <w:spacing w:line="276" w:lineRule="auto"/>
        <w:ind w:firstLine="720"/>
        <w:jc w:val="both"/>
        <w:rPr>
          <w:rFonts w:cs="Times New Roman"/>
          <w:szCs w:val="24"/>
        </w:rPr>
      </w:pPr>
    </w:p>
    <w:p w14:paraId="029F44D1" w14:textId="6BF45EEE" w:rsidR="00680072" w:rsidRPr="001F5DF9" w:rsidRDefault="0011168D" w:rsidP="008A3B24">
      <w:pPr>
        <w:pStyle w:val="NoSpacing"/>
        <w:widowControl w:val="0"/>
        <w:spacing w:line="276" w:lineRule="auto"/>
        <w:ind w:firstLine="720"/>
        <w:jc w:val="both"/>
        <w:rPr>
          <w:rFonts w:cs="Times New Roman"/>
          <w:szCs w:val="24"/>
        </w:rPr>
      </w:pPr>
      <w:r w:rsidRPr="001F5DF9">
        <w:rPr>
          <w:rFonts w:cs="Times New Roman"/>
          <w:szCs w:val="24"/>
        </w:rPr>
        <w:t>[2]</w:t>
      </w:r>
      <w:r w:rsidR="003C5F6E" w:rsidRPr="001F5DF9">
        <w:rPr>
          <w:rFonts w:cs="Times New Roman"/>
          <w:szCs w:val="24"/>
        </w:rPr>
        <w:t> </w:t>
      </w:r>
      <w:r w:rsidRPr="001F5DF9">
        <w:rPr>
          <w:rFonts w:cs="Times New Roman"/>
          <w:szCs w:val="24"/>
        </w:rPr>
        <w:t xml:space="preserve">Ar </w:t>
      </w:r>
      <w:r w:rsidR="004621D7" w:rsidRPr="001F5DF9">
        <w:rPr>
          <w:rFonts w:cs="Times New Roman"/>
          <w:szCs w:val="24"/>
        </w:rPr>
        <w:t>t</w:t>
      </w:r>
      <w:r w:rsidRPr="001F5DF9">
        <w:rPr>
          <w:rFonts w:cs="Times New Roman"/>
          <w:szCs w:val="24"/>
        </w:rPr>
        <w:t>iesnešu disciplinārkolēģijas</w:t>
      </w:r>
      <w:r w:rsidR="00650E6A" w:rsidRPr="001F5DF9">
        <w:rPr>
          <w:rFonts w:cs="Times New Roman"/>
          <w:szCs w:val="24"/>
        </w:rPr>
        <w:t xml:space="preserve"> (turpmāk </w:t>
      </w:r>
      <w:r w:rsidR="00D8073B" w:rsidRPr="001F5DF9">
        <w:rPr>
          <w:rFonts w:cs="Times New Roman"/>
          <w:szCs w:val="24"/>
        </w:rPr>
        <w:t xml:space="preserve">arī </w:t>
      </w:r>
      <w:r w:rsidR="00650E6A" w:rsidRPr="001F5DF9">
        <w:rPr>
          <w:rFonts w:cs="Times New Roman"/>
          <w:szCs w:val="24"/>
        </w:rPr>
        <w:t>– Disciplinārkolēģija)</w:t>
      </w:r>
      <w:r w:rsidRPr="001F5DF9">
        <w:rPr>
          <w:rFonts w:cs="Times New Roman"/>
          <w:szCs w:val="24"/>
        </w:rPr>
        <w:t xml:space="preserve"> 2026. gada 20. februāra lēmumu</w:t>
      </w:r>
      <w:r w:rsidR="00AC0044" w:rsidRPr="001F5DF9">
        <w:rPr>
          <w:rFonts w:cs="Times New Roman"/>
          <w:szCs w:val="24"/>
        </w:rPr>
        <w:t xml:space="preserve"> (turpmāk</w:t>
      </w:r>
      <w:r w:rsidR="002729FD" w:rsidRPr="001F5DF9">
        <w:rPr>
          <w:rFonts w:cs="Times New Roman"/>
          <w:szCs w:val="24"/>
        </w:rPr>
        <w:t xml:space="preserve"> arī</w:t>
      </w:r>
      <w:r w:rsidR="00AC0044" w:rsidRPr="001F5DF9">
        <w:rPr>
          <w:rFonts w:cs="Times New Roman"/>
          <w:szCs w:val="24"/>
        </w:rPr>
        <w:t xml:space="preserve"> – Disciplinārkolēģijas lēmums)</w:t>
      </w:r>
      <w:r w:rsidRPr="001F5DF9">
        <w:rPr>
          <w:rFonts w:cs="Times New Roman"/>
          <w:szCs w:val="24"/>
        </w:rPr>
        <w:t>, pamatojoties uz Tiesnešu disciplinārās atbildības likuma 1. panta pirmās daļas 2. punktu</w:t>
      </w:r>
      <w:r w:rsidR="00A94F36">
        <w:rPr>
          <w:rFonts w:cs="Times New Roman"/>
          <w:szCs w:val="24"/>
        </w:rPr>
        <w:t>,</w:t>
      </w:r>
      <w:r w:rsidRPr="001F5DF9">
        <w:rPr>
          <w:rFonts w:cs="Times New Roman"/>
          <w:szCs w:val="24"/>
        </w:rPr>
        <w:t xml:space="preserve"> </w:t>
      </w:r>
      <w:r w:rsidR="002C2969">
        <w:rPr>
          <w:rFonts w:cs="Times New Roman"/>
          <w:szCs w:val="24"/>
        </w:rPr>
        <w:t xml:space="preserve">7. panta </w:t>
      </w:r>
      <w:r w:rsidR="007C50AD">
        <w:rPr>
          <w:rFonts w:cs="Times New Roman"/>
          <w:szCs w:val="24"/>
        </w:rPr>
        <w:t xml:space="preserve">otrās daļas 1. punktu un </w:t>
      </w:r>
      <w:r w:rsidRPr="001F5DF9">
        <w:rPr>
          <w:rFonts w:cs="Times New Roman"/>
          <w:szCs w:val="24"/>
        </w:rPr>
        <w:t>ceturtās daļas 3. punktu</w:t>
      </w:r>
      <w:r w:rsidR="00A94F36">
        <w:rPr>
          <w:rFonts w:cs="Times New Roman"/>
          <w:szCs w:val="24"/>
        </w:rPr>
        <w:t xml:space="preserve"> un</w:t>
      </w:r>
      <w:r w:rsidRPr="001F5DF9">
        <w:rPr>
          <w:rFonts w:cs="Times New Roman"/>
          <w:szCs w:val="24"/>
        </w:rPr>
        <w:t xml:space="preserve"> 11.</w:t>
      </w:r>
      <w:r w:rsidRPr="001F5DF9">
        <w:rPr>
          <w:rFonts w:cs="Times New Roman"/>
          <w:szCs w:val="24"/>
          <w:vertAlign w:val="superscript"/>
        </w:rPr>
        <w:t>1</w:t>
      </w:r>
      <w:r w:rsidRPr="001F5DF9">
        <w:rPr>
          <w:rFonts w:cs="Times New Roman"/>
          <w:szCs w:val="24"/>
        </w:rPr>
        <w:t xml:space="preserve"> panta pirmo daļu, </w:t>
      </w:r>
      <w:r w:rsidR="00680072" w:rsidRPr="001F5DF9">
        <w:rPr>
          <w:rFonts w:cs="Times New Roman"/>
          <w:szCs w:val="24"/>
        </w:rPr>
        <w:t xml:space="preserve">par darba pienākumu nepildīšanu </w:t>
      </w:r>
      <w:r w:rsidRPr="001F5DF9">
        <w:rPr>
          <w:rFonts w:cs="Times New Roman"/>
          <w:szCs w:val="24"/>
        </w:rPr>
        <w:t xml:space="preserve">senatoram </w:t>
      </w:r>
      <w:r w:rsidR="00B97DBC">
        <w:rPr>
          <w:rFonts w:cs="Times New Roman"/>
          <w:szCs w:val="24"/>
        </w:rPr>
        <w:t>[A]</w:t>
      </w:r>
      <w:r w:rsidRPr="001F5DF9">
        <w:rPr>
          <w:rFonts w:cs="Times New Roman"/>
          <w:szCs w:val="24"/>
        </w:rPr>
        <w:t xml:space="preserve"> uzlikts disciplinārsods – </w:t>
      </w:r>
      <w:r w:rsidR="00680072" w:rsidRPr="001F5DF9">
        <w:rPr>
          <w:rFonts w:cs="Times New Roman"/>
          <w:szCs w:val="24"/>
        </w:rPr>
        <w:t xml:space="preserve">amatalgas samazināšana uz </w:t>
      </w:r>
      <w:r w:rsidR="001F6185" w:rsidRPr="001F5DF9">
        <w:rPr>
          <w:rFonts w:cs="Times New Roman"/>
          <w:szCs w:val="24"/>
        </w:rPr>
        <w:t>vienu</w:t>
      </w:r>
      <w:r w:rsidR="00680072" w:rsidRPr="001F5DF9">
        <w:rPr>
          <w:rFonts w:cs="Times New Roman"/>
          <w:szCs w:val="24"/>
        </w:rPr>
        <w:t xml:space="preserve"> gadu, ieturot 20 procentus no amatalgas.</w:t>
      </w:r>
    </w:p>
    <w:p w14:paraId="331FB2CF" w14:textId="77777777" w:rsidR="00680072" w:rsidRPr="001F5DF9" w:rsidRDefault="00680072" w:rsidP="008A3B24">
      <w:pPr>
        <w:pStyle w:val="NoSpacing"/>
        <w:widowControl w:val="0"/>
        <w:spacing w:line="276" w:lineRule="auto"/>
        <w:ind w:firstLine="720"/>
        <w:jc w:val="both"/>
        <w:rPr>
          <w:rFonts w:cs="Times New Roman"/>
          <w:szCs w:val="24"/>
        </w:rPr>
      </w:pPr>
    </w:p>
    <w:p w14:paraId="621B8179" w14:textId="51FC670E" w:rsidR="00680072" w:rsidRPr="001F5DF9" w:rsidRDefault="00680072" w:rsidP="008A3B24">
      <w:pPr>
        <w:pStyle w:val="NoSpacing"/>
        <w:widowControl w:val="0"/>
        <w:spacing w:line="276" w:lineRule="auto"/>
        <w:ind w:firstLine="720"/>
        <w:jc w:val="both"/>
        <w:rPr>
          <w:rFonts w:cs="Times New Roman"/>
          <w:szCs w:val="24"/>
        </w:rPr>
      </w:pPr>
      <w:r w:rsidRPr="001F5DF9">
        <w:rPr>
          <w:rFonts w:cs="Times New Roman"/>
          <w:szCs w:val="24"/>
        </w:rPr>
        <w:t>[3]</w:t>
      </w:r>
      <w:r w:rsidR="003C5F6E" w:rsidRPr="001F5DF9">
        <w:rPr>
          <w:rFonts w:cs="Times New Roman"/>
          <w:szCs w:val="24"/>
        </w:rPr>
        <w:t> </w:t>
      </w:r>
      <w:r w:rsidRPr="001F5DF9">
        <w:rPr>
          <w:rFonts w:cs="Times New Roman"/>
          <w:szCs w:val="24"/>
        </w:rPr>
        <w:t xml:space="preserve">Par </w:t>
      </w:r>
      <w:r w:rsidR="00650E6A" w:rsidRPr="001F5DF9">
        <w:rPr>
          <w:rFonts w:cs="Times New Roman"/>
          <w:szCs w:val="24"/>
        </w:rPr>
        <w:t>D</w:t>
      </w:r>
      <w:r w:rsidRPr="001F5DF9">
        <w:rPr>
          <w:rFonts w:cs="Times New Roman"/>
          <w:szCs w:val="24"/>
        </w:rPr>
        <w:t xml:space="preserve">isciplinārkolēģijas 2026. gada 20. februāra lēmumu senators </w:t>
      </w:r>
      <w:r w:rsidR="00B97DBC">
        <w:rPr>
          <w:rFonts w:cs="Times New Roman"/>
          <w:szCs w:val="24"/>
        </w:rPr>
        <w:t xml:space="preserve">[A] </w:t>
      </w:r>
      <w:r w:rsidRPr="001F5DF9">
        <w:rPr>
          <w:rFonts w:cs="Times New Roman"/>
          <w:szCs w:val="24"/>
        </w:rPr>
        <w:t xml:space="preserve">iesniedzis sūdzību, kurā lūdz </w:t>
      </w:r>
      <w:proofErr w:type="spellStart"/>
      <w:r w:rsidRPr="001F5DF9">
        <w:rPr>
          <w:rFonts w:cs="Times New Roman"/>
          <w:szCs w:val="24"/>
        </w:rPr>
        <w:t>Disciplinārtiesu</w:t>
      </w:r>
      <w:proofErr w:type="spellEnd"/>
      <w:r w:rsidRPr="001F5DF9">
        <w:rPr>
          <w:rFonts w:cs="Times New Roman"/>
          <w:szCs w:val="24"/>
        </w:rPr>
        <w:t xml:space="preserve"> par izdarīto pārkāpumu piemērot pārkāpuma raksturam un radītajām sekām atbilstošu sodu.</w:t>
      </w:r>
    </w:p>
    <w:p w14:paraId="5442DA5E" w14:textId="49DDE5CD" w:rsidR="00680072" w:rsidRPr="001F5DF9" w:rsidRDefault="00680072" w:rsidP="008A3B24">
      <w:pPr>
        <w:pStyle w:val="NoSpacing"/>
        <w:widowControl w:val="0"/>
        <w:spacing w:line="276" w:lineRule="auto"/>
        <w:ind w:firstLine="720"/>
        <w:jc w:val="both"/>
        <w:rPr>
          <w:rFonts w:cs="Times New Roman"/>
          <w:szCs w:val="24"/>
        </w:rPr>
      </w:pPr>
      <w:r w:rsidRPr="001F5DF9">
        <w:rPr>
          <w:rFonts w:cs="Times New Roman"/>
          <w:szCs w:val="24"/>
        </w:rPr>
        <w:t>Savu lūgumu senators pamatojis ar šādiem argumentiem.</w:t>
      </w:r>
    </w:p>
    <w:p w14:paraId="23C03911" w14:textId="0FDC878F" w:rsidR="008200B7" w:rsidRPr="001F5DF9" w:rsidRDefault="00680072" w:rsidP="008A3B24">
      <w:pPr>
        <w:pStyle w:val="NoSpacing"/>
        <w:widowControl w:val="0"/>
        <w:spacing w:line="276" w:lineRule="auto"/>
        <w:ind w:firstLine="720"/>
        <w:jc w:val="both"/>
        <w:rPr>
          <w:rFonts w:cs="Times New Roman"/>
          <w:szCs w:val="24"/>
        </w:rPr>
      </w:pPr>
      <w:r w:rsidRPr="001F5DF9">
        <w:rPr>
          <w:rFonts w:cs="Times New Roman"/>
          <w:szCs w:val="24"/>
        </w:rPr>
        <w:t>[3.1]</w:t>
      </w:r>
      <w:r w:rsidR="003C5F6E" w:rsidRPr="001F5DF9">
        <w:rPr>
          <w:rFonts w:cs="Times New Roman"/>
          <w:szCs w:val="24"/>
        </w:rPr>
        <w:t> </w:t>
      </w:r>
      <w:r w:rsidR="00650E6A" w:rsidRPr="001F5DF9">
        <w:rPr>
          <w:rFonts w:cs="Times New Roman"/>
          <w:szCs w:val="24"/>
        </w:rPr>
        <w:t xml:space="preserve">No disciplinārlietas ierosinātāja lēmuma izriet, ka </w:t>
      </w:r>
      <w:r w:rsidR="0085610B" w:rsidRPr="001F5DF9">
        <w:rPr>
          <w:rFonts w:cs="Times New Roman"/>
          <w:szCs w:val="24"/>
        </w:rPr>
        <w:t>disciplinār</w:t>
      </w:r>
      <w:r w:rsidR="00840A39">
        <w:rPr>
          <w:rFonts w:cs="Times New Roman"/>
          <w:szCs w:val="24"/>
        </w:rPr>
        <w:t xml:space="preserve">ais </w:t>
      </w:r>
      <w:r w:rsidR="00650E6A" w:rsidRPr="001F5DF9">
        <w:rPr>
          <w:rFonts w:cs="Times New Roman"/>
          <w:szCs w:val="24"/>
        </w:rPr>
        <w:t>pārkāpums ir izpaudies kā</w:t>
      </w:r>
      <w:r w:rsidR="00AD162F" w:rsidRPr="001F5DF9">
        <w:rPr>
          <w:rFonts w:cs="Times New Roman"/>
          <w:szCs w:val="24"/>
        </w:rPr>
        <w:t xml:space="preserve"> darba pienākumu ne</w:t>
      </w:r>
      <w:r w:rsidR="008200B7" w:rsidRPr="001F5DF9">
        <w:rPr>
          <w:rFonts w:cs="Times New Roman"/>
          <w:szCs w:val="24"/>
        </w:rPr>
        <w:t>pildīšana</w:t>
      </w:r>
      <w:r w:rsidR="00AD162F" w:rsidRPr="001F5DF9">
        <w:rPr>
          <w:rFonts w:cs="Times New Roman"/>
          <w:szCs w:val="24"/>
        </w:rPr>
        <w:t xml:space="preserve">, 2025. gada 16. decembrī neparakstot </w:t>
      </w:r>
      <w:r w:rsidR="008200B7" w:rsidRPr="001F5DF9">
        <w:rPr>
          <w:rFonts w:cs="Times New Roman"/>
          <w:szCs w:val="24"/>
        </w:rPr>
        <w:t xml:space="preserve">vairākus </w:t>
      </w:r>
      <w:r w:rsidR="00AD162F" w:rsidRPr="001F5DF9">
        <w:rPr>
          <w:rFonts w:cs="Times New Roman"/>
          <w:szCs w:val="24"/>
        </w:rPr>
        <w:t xml:space="preserve">tiesas nolēmumus, </w:t>
      </w:r>
      <w:r w:rsidR="008200B7" w:rsidRPr="001F5DF9">
        <w:rPr>
          <w:rFonts w:cs="Times New Roman"/>
          <w:szCs w:val="24"/>
        </w:rPr>
        <w:t xml:space="preserve">kuru pieejamība bija noteikta šajā dienā, </w:t>
      </w:r>
      <w:r w:rsidR="00AD162F" w:rsidRPr="001F5DF9">
        <w:rPr>
          <w:rFonts w:cs="Times New Roman"/>
          <w:szCs w:val="24"/>
        </w:rPr>
        <w:t>taču Disciplinārkolēģija nepamatoti vispārinājusi pārkāpuma būtību, norādot, ka tas izpaudies</w:t>
      </w:r>
      <w:r w:rsidR="00486ECE" w:rsidRPr="001F5DF9">
        <w:rPr>
          <w:rFonts w:cs="Times New Roman"/>
          <w:szCs w:val="24"/>
        </w:rPr>
        <w:t xml:space="preserve"> kā nepiedalīšan</w:t>
      </w:r>
      <w:r w:rsidR="0085610B" w:rsidRPr="001F5DF9">
        <w:rPr>
          <w:rFonts w:cs="Times New Roman"/>
          <w:szCs w:val="24"/>
        </w:rPr>
        <w:t xml:space="preserve">ās </w:t>
      </w:r>
      <w:r w:rsidR="00357AF9" w:rsidRPr="001F5DF9">
        <w:rPr>
          <w:rFonts w:cs="Times New Roman"/>
          <w:szCs w:val="24"/>
        </w:rPr>
        <w:t xml:space="preserve">to </w:t>
      </w:r>
      <w:r w:rsidR="0085610B" w:rsidRPr="001F5DF9">
        <w:rPr>
          <w:rFonts w:cs="Times New Roman"/>
          <w:szCs w:val="24"/>
        </w:rPr>
        <w:t>lietu</w:t>
      </w:r>
      <w:r w:rsidR="00357AF9" w:rsidRPr="001F5DF9">
        <w:rPr>
          <w:rFonts w:cs="Times New Roman"/>
          <w:szCs w:val="24"/>
        </w:rPr>
        <w:t xml:space="preserve"> izskatīšanā</w:t>
      </w:r>
      <w:r w:rsidR="0085610B" w:rsidRPr="001F5DF9">
        <w:rPr>
          <w:rFonts w:cs="Times New Roman"/>
          <w:szCs w:val="24"/>
        </w:rPr>
        <w:t>, kurās pieņemti šie nolēmumi</w:t>
      </w:r>
      <w:r w:rsidR="008200B7" w:rsidRPr="001F5DF9">
        <w:rPr>
          <w:rFonts w:cs="Times New Roman"/>
          <w:szCs w:val="24"/>
        </w:rPr>
        <w:t xml:space="preserve">, </w:t>
      </w:r>
      <w:r w:rsidR="00AD162F" w:rsidRPr="001F5DF9">
        <w:rPr>
          <w:rFonts w:cs="Times New Roman"/>
          <w:szCs w:val="24"/>
        </w:rPr>
        <w:t>lai gan nolēmumu projekti bija</w:t>
      </w:r>
      <w:r w:rsidR="008200B7" w:rsidRPr="001F5DF9">
        <w:rPr>
          <w:rFonts w:cs="Times New Roman"/>
          <w:szCs w:val="24"/>
        </w:rPr>
        <w:t xml:space="preserve"> saskaņoti un sagatavoti tiesas sastāva kopīgā darbā vēl pirms 2025. gada 16. decembra.</w:t>
      </w:r>
    </w:p>
    <w:p w14:paraId="205A10C0" w14:textId="6C1454AD" w:rsidR="00486ECE" w:rsidRPr="001F5DF9" w:rsidRDefault="008200B7" w:rsidP="008A3B24">
      <w:pPr>
        <w:pStyle w:val="NoSpacing"/>
        <w:widowControl w:val="0"/>
        <w:spacing w:line="276" w:lineRule="auto"/>
        <w:ind w:firstLine="720"/>
        <w:jc w:val="both"/>
        <w:rPr>
          <w:rFonts w:cs="Times New Roman"/>
          <w:szCs w:val="24"/>
        </w:rPr>
      </w:pPr>
      <w:r w:rsidRPr="001F5DF9">
        <w:rPr>
          <w:rFonts w:cs="Times New Roman"/>
          <w:szCs w:val="24"/>
        </w:rPr>
        <w:t>[3.2]</w:t>
      </w:r>
      <w:r w:rsidR="003C5F6E" w:rsidRPr="001F5DF9">
        <w:rPr>
          <w:rFonts w:cs="Times New Roman"/>
          <w:szCs w:val="24"/>
        </w:rPr>
        <w:t> </w:t>
      </w:r>
      <w:r w:rsidR="00486ECE" w:rsidRPr="001F5DF9">
        <w:rPr>
          <w:rFonts w:cs="Times New Roman"/>
          <w:szCs w:val="24"/>
        </w:rPr>
        <w:t>Disciplinārkolēģijas atzinums, ka senatora rīcībā ir saskatāma negodprātīga attieksme pret amata pienākumiem</w:t>
      </w:r>
      <w:r w:rsidR="00673F61" w:rsidRPr="001F5DF9">
        <w:rPr>
          <w:rFonts w:cs="Times New Roman"/>
          <w:szCs w:val="24"/>
        </w:rPr>
        <w:t xml:space="preserve"> un </w:t>
      </w:r>
      <w:r w:rsidR="00486ECE" w:rsidRPr="001F5DF9">
        <w:rPr>
          <w:rFonts w:cs="Times New Roman"/>
          <w:szCs w:val="24"/>
        </w:rPr>
        <w:t>pret kolēģiem, ir izteikts apgalvojuma formā</w:t>
      </w:r>
      <w:r w:rsidR="009D790E" w:rsidRPr="001F5DF9">
        <w:rPr>
          <w:rFonts w:cs="Times New Roman"/>
          <w:szCs w:val="24"/>
        </w:rPr>
        <w:t xml:space="preserve"> </w:t>
      </w:r>
      <w:r w:rsidR="00486ECE" w:rsidRPr="001F5DF9">
        <w:rPr>
          <w:rFonts w:cs="Times New Roman"/>
          <w:szCs w:val="24"/>
        </w:rPr>
        <w:t>– bez faktiska un tiesiska pamata –, turklāt tiesas nolēmumu neparakstīšanas iemesls nevar būt vienīg</w:t>
      </w:r>
      <w:r w:rsidR="00673F61" w:rsidRPr="001F5DF9">
        <w:rPr>
          <w:rFonts w:cs="Times New Roman"/>
          <w:szCs w:val="24"/>
        </w:rPr>
        <w:t>ais</w:t>
      </w:r>
      <w:r w:rsidR="00486ECE" w:rsidRPr="001F5DF9">
        <w:rPr>
          <w:rFonts w:cs="Times New Roman"/>
          <w:szCs w:val="24"/>
        </w:rPr>
        <w:t xml:space="preserve"> priekšnoteikum</w:t>
      </w:r>
      <w:r w:rsidR="00673F61" w:rsidRPr="001F5DF9">
        <w:rPr>
          <w:rFonts w:cs="Times New Roman"/>
          <w:szCs w:val="24"/>
        </w:rPr>
        <w:t xml:space="preserve">s </w:t>
      </w:r>
      <w:r w:rsidR="0085610B" w:rsidRPr="001F5DF9">
        <w:rPr>
          <w:rFonts w:cs="Times New Roman"/>
          <w:szCs w:val="24"/>
        </w:rPr>
        <w:t xml:space="preserve">šādam </w:t>
      </w:r>
      <w:r w:rsidR="00673F61" w:rsidRPr="001F5DF9">
        <w:rPr>
          <w:rFonts w:cs="Times New Roman"/>
          <w:szCs w:val="24"/>
        </w:rPr>
        <w:t>secinājumam</w:t>
      </w:r>
      <w:r w:rsidR="0085610B" w:rsidRPr="001F5DF9">
        <w:rPr>
          <w:rFonts w:cs="Times New Roman"/>
          <w:szCs w:val="24"/>
        </w:rPr>
        <w:t>. Arī lēmumā norādītās senatora personību raksturojošās ziņas neapstiprina Disciplinārkolēģijas secinājumu par senatora negodprātīgo attieksmi pret amata pienākumiem un kolēģiem.</w:t>
      </w:r>
    </w:p>
    <w:p w14:paraId="3A416BD8" w14:textId="72A7399E" w:rsidR="00B9058B" w:rsidRPr="001F5DF9" w:rsidRDefault="0085610B" w:rsidP="008A3B24">
      <w:pPr>
        <w:pStyle w:val="NoSpacing"/>
        <w:widowControl w:val="0"/>
        <w:spacing w:line="276" w:lineRule="auto"/>
        <w:ind w:firstLine="720"/>
        <w:jc w:val="both"/>
        <w:rPr>
          <w:rFonts w:cs="Times New Roman"/>
          <w:szCs w:val="24"/>
        </w:rPr>
      </w:pPr>
      <w:r w:rsidRPr="001F5DF9">
        <w:rPr>
          <w:rFonts w:cs="Times New Roman"/>
          <w:szCs w:val="24"/>
        </w:rPr>
        <w:t>[3.3]</w:t>
      </w:r>
      <w:r w:rsidR="009D790E" w:rsidRPr="001F5DF9">
        <w:rPr>
          <w:rFonts w:cs="Times New Roman"/>
          <w:szCs w:val="24"/>
        </w:rPr>
        <w:t> </w:t>
      </w:r>
      <w:r w:rsidRPr="001F5DF9">
        <w:rPr>
          <w:rFonts w:cs="Times New Roman"/>
          <w:szCs w:val="24"/>
        </w:rPr>
        <w:t>Senatora pieļautā disciplinār</w:t>
      </w:r>
      <w:r w:rsidR="00C6168D" w:rsidRPr="001F5DF9">
        <w:rPr>
          <w:rFonts w:cs="Times New Roman"/>
          <w:szCs w:val="24"/>
        </w:rPr>
        <w:t xml:space="preserve">ā </w:t>
      </w:r>
      <w:r w:rsidRPr="001F5DF9">
        <w:rPr>
          <w:rFonts w:cs="Times New Roman"/>
          <w:szCs w:val="24"/>
        </w:rPr>
        <w:t>pārkāpuma sekas</w:t>
      </w:r>
      <w:r w:rsidR="0087159D" w:rsidRPr="001F5DF9">
        <w:rPr>
          <w:rFonts w:cs="Times New Roman"/>
          <w:szCs w:val="24"/>
        </w:rPr>
        <w:t xml:space="preserve">, </w:t>
      </w:r>
      <w:r w:rsidR="005C7ECD" w:rsidRPr="001F5DF9">
        <w:rPr>
          <w:rFonts w:cs="Times New Roman"/>
          <w:szCs w:val="24"/>
        </w:rPr>
        <w:t>ne</w:t>
      </w:r>
      <w:r w:rsidR="0087159D" w:rsidRPr="001F5DF9">
        <w:rPr>
          <w:rFonts w:cs="Times New Roman"/>
          <w:szCs w:val="24"/>
        </w:rPr>
        <w:t>nodrošinot tiesas nolēmumu pieejamību, tika novērstas divu un trīs nedēļu laikā, proti, vēl pirms disciplinārlietas ierosināšanas</w:t>
      </w:r>
      <w:r w:rsidR="00B9058B" w:rsidRPr="001F5DF9">
        <w:rPr>
          <w:rFonts w:cs="Times New Roman"/>
          <w:szCs w:val="24"/>
        </w:rPr>
        <w:t>, taču Disciplinārkolēģija noteikusi viņam smagāko sod</w:t>
      </w:r>
      <w:r w:rsidR="002024D2" w:rsidRPr="001F5DF9">
        <w:rPr>
          <w:rFonts w:cs="Times New Roman"/>
          <w:szCs w:val="24"/>
        </w:rPr>
        <w:t>u</w:t>
      </w:r>
      <w:r w:rsidR="00B9058B" w:rsidRPr="001F5DF9">
        <w:rPr>
          <w:rFonts w:cs="Times New Roman"/>
          <w:szCs w:val="24"/>
        </w:rPr>
        <w:t xml:space="preserve"> – </w:t>
      </w:r>
      <w:r w:rsidR="00E9417D" w:rsidRPr="001F5DF9">
        <w:rPr>
          <w:rFonts w:cs="Times New Roman"/>
          <w:szCs w:val="24"/>
        </w:rPr>
        <w:lastRenderedPageBreak/>
        <w:t>amatalgas samazināšan</w:t>
      </w:r>
      <w:r w:rsidR="00E9417D">
        <w:rPr>
          <w:rFonts w:cs="Times New Roman"/>
          <w:szCs w:val="24"/>
        </w:rPr>
        <w:t>u</w:t>
      </w:r>
      <w:r w:rsidR="00E9417D" w:rsidRPr="001F5DF9">
        <w:rPr>
          <w:rFonts w:cs="Times New Roman"/>
          <w:szCs w:val="24"/>
        </w:rPr>
        <w:t xml:space="preserve"> uz </w:t>
      </w:r>
      <w:r w:rsidR="00E9417D">
        <w:rPr>
          <w:rFonts w:cs="Times New Roman"/>
          <w:szCs w:val="24"/>
        </w:rPr>
        <w:t>vienu</w:t>
      </w:r>
      <w:r w:rsidR="00E9417D" w:rsidRPr="001F5DF9">
        <w:rPr>
          <w:rFonts w:cs="Times New Roman"/>
          <w:szCs w:val="24"/>
        </w:rPr>
        <w:t xml:space="preserve"> gadu, ieturot 20</w:t>
      </w:r>
      <w:r w:rsidR="00E9417D">
        <w:rPr>
          <w:rFonts w:cs="Times New Roman"/>
          <w:szCs w:val="24"/>
        </w:rPr>
        <w:t> </w:t>
      </w:r>
      <w:r w:rsidR="00E9417D" w:rsidRPr="001F5DF9">
        <w:rPr>
          <w:rFonts w:cs="Times New Roman"/>
          <w:szCs w:val="24"/>
        </w:rPr>
        <w:t>procentus no amatalgas</w:t>
      </w:r>
      <w:r w:rsidR="00E9417D">
        <w:rPr>
          <w:rFonts w:cs="Times New Roman"/>
          <w:szCs w:val="24"/>
        </w:rPr>
        <w:t xml:space="preserve">, tas ir, </w:t>
      </w:r>
      <w:r w:rsidR="00B97DBC">
        <w:rPr>
          <w:rFonts w:cs="Times New Roman"/>
          <w:szCs w:val="24"/>
        </w:rPr>
        <w:t>[summa] </w:t>
      </w:r>
      <w:proofErr w:type="spellStart"/>
      <w:r w:rsidR="00B9058B" w:rsidRPr="001F5DF9">
        <w:rPr>
          <w:rFonts w:cs="Times New Roman"/>
          <w:i/>
          <w:iCs/>
          <w:szCs w:val="24"/>
        </w:rPr>
        <w:t>euro</w:t>
      </w:r>
      <w:proofErr w:type="spellEnd"/>
      <w:r w:rsidR="00B9058B" w:rsidRPr="001F5DF9">
        <w:rPr>
          <w:rFonts w:cs="Times New Roman"/>
          <w:szCs w:val="24"/>
        </w:rPr>
        <w:t xml:space="preserve">. </w:t>
      </w:r>
      <w:r w:rsidR="0087159D" w:rsidRPr="001F5DF9">
        <w:rPr>
          <w:rFonts w:cs="Times New Roman"/>
          <w:szCs w:val="24"/>
        </w:rPr>
        <w:t>Savukārt disciplinārlietā Nr. D-6/2025</w:t>
      </w:r>
      <w:r w:rsidR="009B379E" w:rsidRPr="001F5DF9">
        <w:rPr>
          <w:rFonts w:cs="Times New Roman"/>
          <w:szCs w:val="24"/>
        </w:rPr>
        <w:t xml:space="preserve"> par ilgstošu pārkāpumu</w:t>
      </w:r>
      <w:r w:rsidR="0087159D" w:rsidRPr="001F5DF9">
        <w:rPr>
          <w:rFonts w:cs="Times New Roman"/>
          <w:szCs w:val="24"/>
        </w:rPr>
        <w:t>, kad pilns tiesas spriedums krimināllietā nebija sagatavots gadu un četrus mēnešus no noteiktā pieejamības datuma, turklāt</w:t>
      </w:r>
      <w:r w:rsidR="009B379E" w:rsidRPr="001F5DF9">
        <w:rPr>
          <w:rFonts w:cs="Times New Roman"/>
          <w:szCs w:val="24"/>
        </w:rPr>
        <w:t xml:space="preserve"> </w:t>
      </w:r>
      <w:r w:rsidR="0087159D" w:rsidRPr="001F5DF9">
        <w:rPr>
          <w:rFonts w:cs="Times New Roman"/>
          <w:szCs w:val="24"/>
        </w:rPr>
        <w:t xml:space="preserve">pārkāpums netika novērsts </w:t>
      </w:r>
      <w:r w:rsidR="009B379E" w:rsidRPr="001F5DF9">
        <w:rPr>
          <w:rFonts w:cs="Times New Roman"/>
          <w:szCs w:val="24"/>
        </w:rPr>
        <w:t xml:space="preserve">līdz disciplinārlietas ierosināšanai, un disciplinārlietā Nr. D-5/2025 par vairākiem pārkāpumiem, tajā skaitā par lēmuma pieņemšanu rezolūcijas veidā gadījumā, kad likums to neparedz, Disciplinārkolēģija </w:t>
      </w:r>
      <w:r w:rsidR="00B9058B" w:rsidRPr="001F5DF9">
        <w:rPr>
          <w:rFonts w:cs="Times New Roman"/>
          <w:szCs w:val="24"/>
        </w:rPr>
        <w:t xml:space="preserve">nekonstatēja tādas sekas, kas varētu būt par pamatu </w:t>
      </w:r>
      <w:r w:rsidR="009B379E" w:rsidRPr="001F5DF9">
        <w:rPr>
          <w:rFonts w:cs="Times New Roman"/>
          <w:szCs w:val="24"/>
        </w:rPr>
        <w:t>smagākā soda</w:t>
      </w:r>
      <w:r w:rsidR="00B9058B" w:rsidRPr="001F5DF9">
        <w:rPr>
          <w:rFonts w:cs="Times New Roman"/>
          <w:szCs w:val="24"/>
        </w:rPr>
        <w:t xml:space="preserve"> piemērošanai, pēdējā gadījumā aprobežojoties ar disciplinārsodu – piezīmi. Šāda būtiski atšķirīga pieeja pārkāpuma rakstura un seku novērtēšanā, </w:t>
      </w:r>
      <w:r w:rsidR="00C035AE" w:rsidRPr="001F5DF9">
        <w:rPr>
          <w:rFonts w:cs="Times New Roman"/>
          <w:szCs w:val="24"/>
        </w:rPr>
        <w:t>kā arī soda noteikšanā, liecina par pamatojuma un vienlīdzības principa pārkāpumu.</w:t>
      </w:r>
    </w:p>
    <w:p w14:paraId="7AD30BFE" w14:textId="631AD305" w:rsidR="004D3945" w:rsidRPr="001F5DF9" w:rsidRDefault="00C035AE" w:rsidP="008A3B24">
      <w:pPr>
        <w:pStyle w:val="NoSpacing"/>
        <w:widowControl w:val="0"/>
        <w:spacing w:line="276" w:lineRule="auto"/>
        <w:ind w:firstLine="720"/>
        <w:jc w:val="both"/>
        <w:rPr>
          <w:rFonts w:cs="Times New Roman"/>
          <w:szCs w:val="24"/>
        </w:rPr>
      </w:pPr>
      <w:r w:rsidRPr="001F5DF9">
        <w:rPr>
          <w:rFonts w:cs="Times New Roman"/>
          <w:szCs w:val="24"/>
        </w:rPr>
        <w:t>[3.4]</w:t>
      </w:r>
      <w:r w:rsidR="009D790E" w:rsidRPr="001F5DF9">
        <w:rPr>
          <w:rFonts w:cs="Times New Roman"/>
          <w:szCs w:val="24"/>
        </w:rPr>
        <w:t> </w:t>
      </w:r>
      <w:r w:rsidRPr="001F5DF9">
        <w:rPr>
          <w:rFonts w:cs="Times New Roman"/>
          <w:szCs w:val="24"/>
        </w:rPr>
        <w:t>Lai arī senators ir saukts pie disciplināratbildības pirmo reizi, Disciplinārkolēģija, nosakot sodu, pretēji Tiesnešu disciplinārās atbil</w:t>
      </w:r>
      <w:r w:rsidR="009D790E" w:rsidRPr="001F5DF9">
        <w:rPr>
          <w:rFonts w:cs="Times New Roman"/>
          <w:szCs w:val="24"/>
        </w:rPr>
        <w:t>d</w:t>
      </w:r>
      <w:r w:rsidRPr="001F5DF9">
        <w:rPr>
          <w:rFonts w:cs="Times New Roman"/>
          <w:szCs w:val="24"/>
        </w:rPr>
        <w:t>ības likuma 7. panta piektajai daļai un 8. panta otrajai daļai nav ņēmusi vērā senatora personību pozitīvi raksturojošās ziņas, tajā skaitā iepriekšējo darbību tiesneša amatā un pienesumu judikatūras veidošanā. Turklāt Disciplinārkolēģija pārkāpumu – darba pienākumu nepildīšanu –, nav nošķīrusi no citiem apstākļiem, par k</w:t>
      </w:r>
      <w:r w:rsidR="004D3945" w:rsidRPr="001F5DF9">
        <w:rPr>
          <w:rFonts w:cs="Times New Roman"/>
          <w:szCs w:val="24"/>
        </w:rPr>
        <w:t>o atsevišķi no pārkāpuma sods nepienākas.</w:t>
      </w:r>
    </w:p>
    <w:p w14:paraId="0D7FF6E7" w14:textId="10C6E6F7" w:rsidR="00C035AE" w:rsidRPr="001F5DF9" w:rsidRDefault="004D3945" w:rsidP="008A3B24">
      <w:pPr>
        <w:pStyle w:val="NoSpacing"/>
        <w:widowControl w:val="0"/>
        <w:spacing w:line="276" w:lineRule="auto"/>
        <w:ind w:firstLine="720"/>
        <w:jc w:val="both"/>
        <w:rPr>
          <w:rFonts w:cs="Times New Roman"/>
          <w:szCs w:val="24"/>
        </w:rPr>
      </w:pPr>
      <w:r w:rsidRPr="001F5DF9">
        <w:rPr>
          <w:rFonts w:cs="Times New Roman"/>
          <w:szCs w:val="24"/>
        </w:rPr>
        <w:t>[3.5]</w:t>
      </w:r>
      <w:r w:rsidR="009D790E" w:rsidRPr="001F5DF9">
        <w:rPr>
          <w:rFonts w:cs="Times New Roman"/>
          <w:szCs w:val="24"/>
        </w:rPr>
        <w:t> </w:t>
      </w:r>
      <w:r w:rsidR="00F135EF" w:rsidRPr="001F5DF9">
        <w:rPr>
          <w:rFonts w:cs="Times New Roman"/>
          <w:szCs w:val="24"/>
        </w:rPr>
        <w:t>Ievērojot to, ka senators tuvākajā laikā plāno doties speciālajā pensijā, kuras apmērs tiek aprēķināt</w:t>
      </w:r>
      <w:r w:rsidR="001F6185" w:rsidRPr="001F5DF9">
        <w:rPr>
          <w:rFonts w:cs="Times New Roman"/>
          <w:szCs w:val="24"/>
        </w:rPr>
        <w:t>s</w:t>
      </w:r>
      <w:r w:rsidR="00F135EF" w:rsidRPr="001F5DF9">
        <w:rPr>
          <w:rFonts w:cs="Times New Roman"/>
          <w:szCs w:val="24"/>
        </w:rPr>
        <w:t xml:space="preserve"> no amatalgas par pēdējiem pieciem gadiem, Disciplinārkolēģijas piemērotais sods – amatalgas samazināšana </w:t>
      </w:r>
      <w:r w:rsidR="00E9417D">
        <w:rPr>
          <w:rFonts w:cs="Times New Roman"/>
          <w:szCs w:val="24"/>
        </w:rPr>
        <w:t xml:space="preserve">– </w:t>
      </w:r>
      <w:r w:rsidR="00F135EF" w:rsidRPr="001F5DF9">
        <w:rPr>
          <w:rFonts w:cs="Times New Roman"/>
          <w:szCs w:val="24"/>
        </w:rPr>
        <w:t xml:space="preserve">tik lielā apmērā un uz tik ilgu laiku neaprobežosies tikai ar </w:t>
      </w:r>
      <w:r w:rsidR="00B97DBC">
        <w:rPr>
          <w:rFonts w:cs="Times New Roman"/>
          <w:szCs w:val="24"/>
        </w:rPr>
        <w:t>[summa] </w:t>
      </w:r>
      <w:proofErr w:type="spellStart"/>
      <w:r w:rsidR="00F135EF" w:rsidRPr="001F5DF9">
        <w:rPr>
          <w:rFonts w:cs="Times New Roman"/>
          <w:i/>
          <w:iCs/>
          <w:szCs w:val="24"/>
        </w:rPr>
        <w:t>euro</w:t>
      </w:r>
      <w:proofErr w:type="spellEnd"/>
      <w:r w:rsidR="00F135EF" w:rsidRPr="001F5DF9">
        <w:rPr>
          <w:rFonts w:cs="Times New Roman"/>
          <w:i/>
          <w:iCs/>
          <w:szCs w:val="24"/>
        </w:rPr>
        <w:t xml:space="preserve">, </w:t>
      </w:r>
      <w:r w:rsidR="00F135EF" w:rsidRPr="001F5DF9">
        <w:rPr>
          <w:rFonts w:cs="Times New Roman"/>
          <w:szCs w:val="24"/>
        </w:rPr>
        <w:t xml:space="preserve">bet atstās būtisku negatīvu ietekmi </w:t>
      </w:r>
      <w:r w:rsidR="00755AF3" w:rsidRPr="001F5DF9">
        <w:rPr>
          <w:rFonts w:cs="Times New Roman"/>
          <w:szCs w:val="24"/>
        </w:rPr>
        <w:t xml:space="preserve">arī </w:t>
      </w:r>
      <w:r w:rsidR="00F135EF" w:rsidRPr="001F5DF9">
        <w:rPr>
          <w:rFonts w:cs="Times New Roman"/>
          <w:szCs w:val="24"/>
        </w:rPr>
        <w:t>uz pensijas aprēķinu</w:t>
      </w:r>
      <w:r w:rsidR="00755AF3" w:rsidRPr="001F5DF9">
        <w:rPr>
          <w:rFonts w:cs="Times New Roman"/>
          <w:szCs w:val="24"/>
        </w:rPr>
        <w:t xml:space="preserve">, proti, saņemot speciālo pensiju, piemērotais sods </w:t>
      </w:r>
      <w:r w:rsidR="00105170">
        <w:rPr>
          <w:rFonts w:cs="Times New Roman"/>
          <w:szCs w:val="24"/>
        </w:rPr>
        <w:t xml:space="preserve">naudas </w:t>
      </w:r>
      <w:r w:rsidR="00E9417D">
        <w:rPr>
          <w:rFonts w:cs="Times New Roman"/>
          <w:szCs w:val="24"/>
        </w:rPr>
        <w:t>izteiksmē</w:t>
      </w:r>
      <w:r w:rsidR="00E9417D" w:rsidRPr="001F5DF9">
        <w:rPr>
          <w:rFonts w:cs="Times New Roman"/>
          <w:szCs w:val="24"/>
        </w:rPr>
        <w:t xml:space="preserve"> </w:t>
      </w:r>
      <w:r w:rsidR="00755AF3" w:rsidRPr="001F5DF9">
        <w:rPr>
          <w:rFonts w:cs="Times New Roman"/>
          <w:szCs w:val="24"/>
        </w:rPr>
        <w:t>faktiski ik mēnesi turpinās pieaugt neierobežoti ilgu laiku un neatkarīgi no disciplinārsoda dzēšanas vai noņemšanas. Šāda soda piemērošanu nevar atzīt par saprātīgu un taisnīgu noregulējumu.</w:t>
      </w:r>
    </w:p>
    <w:p w14:paraId="012FB77D" w14:textId="42C94A6D" w:rsidR="00755AF3" w:rsidRPr="001F5DF9" w:rsidRDefault="00755AF3" w:rsidP="008A3B24">
      <w:pPr>
        <w:pStyle w:val="NoSpacing"/>
        <w:widowControl w:val="0"/>
        <w:spacing w:line="276" w:lineRule="auto"/>
        <w:ind w:firstLine="720"/>
        <w:jc w:val="both"/>
        <w:rPr>
          <w:rFonts w:cs="Times New Roman"/>
          <w:szCs w:val="24"/>
        </w:rPr>
      </w:pPr>
    </w:p>
    <w:p w14:paraId="40A441FA" w14:textId="2D93E706" w:rsidR="00AC0044" w:rsidRPr="001F5DF9" w:rsidRDefault="00755AF3" w:rsidP="008A3B24">
      <w:pPr>
        <w:pStyle w:val="NoSpacing"/>
        <w:widowControl w:val="0"/>
        <w:spacing w:line="276" w:lineRule="auto"/>
        <w:ind w:firstLine="720"/>
        <w:jc w:val="both"/>
        <w:rPr>
          <w:rFonts w:cs="Times New Roman"/>
          <w:szCs w:val="24"/>
        </w:rPr>
      </w:pPr>
      <w:r w:rsidRPr="001F5DF9">
        <w:rPr>
          <w:rFonts w:cs="Times New Roman"/>
          <w:szCs w:val="24"/>
        </w:rPr>
        <w:t>[4]</w:t>
      </w:r>
      <w:r w:rsidR="009D790E" w:rsidRPr="001F5DF9">
        <w:rPr>
          <w:rFonts w:cs="Times New Roman"/>
          <w:szCs w:val="24"/>
        </w:rPr>
        <w:t> </w:t>
      </w:r>
      <w:r w:rsidR="00CB13E7" w:rsidRPr="001F5DF9">
        <w:rPr>
          <w:rFonts w:cs="Times New Roman"/>
          <w:szCs w:val="24"/>
        </w:rPr>
        <w:t xml:space="preserve">2026. gada 7. aprīlī </w:t>
      </w:r>
      <w:proofErr w:type="spellStart"/>
      <w:r w:rsidR="00CB13E7" w:rsidRPr="001F5DF9">
        <w:rPr>
          <w:rFonts w:cs="Times New Roman"/>
          <w:szCs w:val="24"/>
        </w:rPr>
        <w:t>Disciplinārtiesā</w:t>
      </w:r>
      <w:proofErr w:type="spellEnd"/>
      <w:r w:rsidR="00CB13E7" w:rsidRPr="001F5DF9">
        <w:rPr>
          <w:rFonts w:cs="Times New Roman"/>
          <w:szCs w:val="24"/>
        </w:rPr>
        <w:t xml:space="preserve"> saņemts senatora </w:t>
      </w:r>
      <w:r w:rsidR="00B97DBC">
        <w:rPr>
          <w:rFonts w:cs="Times New Roman"/>
          <w:szCs w:val="24"/>
        </w:rPr>
        <w:t>[A] </w:t>
      </w:r>
      <w:r w:rsidR="00CB13E7" w:rsidRPr="001F5DF9">
        <w:rPr>
          <w:rFonts w:cs="Times New Roman"/>
          <w:szCs w:val="24"/>
        </w:rPr>
        <w:t xml:space="preserve">papildu paskaidrojums par Disciplinārkolēģijas lēmumu, kurā senators lūdz </w:t>
      </w:r>
      <w:proofErr w:type="spellStart"/>
      <w:r w:rsidR="00CB13E7" w:rsidRPr="001F5DF9">
        <w:rPr>
          <w:rFonts w:cs="Times New Roman"/>
          <w:szCs w:val="24"/>
        </w:rPr>
        <w:t>Disciplinārtiesu</w:t>
      </w:r>
      <w:proofErr w:type="spellEnd"/>
      <w:r w:rsidR="00CB13E7" w:rsidRPr="001F5DF9">
        <w:rPr>
          <w:rFonts w:cs="Times New Roman"/>
          <w:szCs w:val="24"/>
        </w:rPr>
        <w:t xml:space="preserve"> vērsties Eiropas </w:t>
      </w:r>
      <w:r w:rsidR="00AC0044" w:rsidRPr="001F5DF9">
        <w:rPr>
          <w:rFonts w:cs="Times New Roman"/>
          <w:szCs w:val="24"/>
        </w:rPr>
        <w:t>S</w:t>
      </w:r>
      <w:r w:rsidR="00CB13E7" w:rsidRPr="001F5DF9">
        <w:rPr>
          <w:rFonts w:cs="Times New Roman"/>
          <w:szCs w:val="24"/>
        </w:rPr>
        <w:t xml:space="preserve">avienības Tiesā ar prejudiciālo jautājumu </w:t>
      </w:r>
      <w:r w:rsidR="00AC0044" w:rsidRPr="001F5DF9">
        <w:rPr>
          <w:rFonts w:cs="Times New Roman"/>
          <w:szCs w:val="24"/>
        </w:rPr>
        <w:t>par Tiesnešu disciplinārās atbildības likuma 7. panta ceturtās daļas 3. punktā paredzētā disciplinārsoda – amatalgas samazināšana</w:t>
      </w:r>
      <w:r w:rsidR="00AA56E0" w:rsidRPr="001F5DF9">
        <w:rPr>
          <w:rFonts w:cs="Times New Roman"/>
          <w:szCs w:val="24"/>
        </w:rPr>
        <w:t>s</w:t>
      </w:r>
      <w:r w:rsidR="00AC0044" w:rsidRPr="001F5DF9">
        <w:rPr>
          <w:rFonts w:cs="Times New Roman"/>
          <w:szCs w:val="24"/>
        </w:rPr>
        <w:t xml:space="preserve"> uz </w:t>
      </w:r>
      <w:r w:rsidR="00E9417D">
        <w:rPr>
          <w:rFonts w:cs="Times New Roman"/>
          <w:szCs w:val="24"/>
        </w:rPr>
        <w:t>vienu</w:t>
      </w:r>
      <w:r w:rsidR="00AC0044" w:rsidRPr="001F5DF9">
        <w:rPr>
          <w:rFonts w:cs="Times New Roman"/>
          <w:szCs w:val="24"/>
        </w:rPr>
        <w:t xml:space="preserve"> gadu, ieturot 20 procentus no amatalgas</w:t>
      </w:r>
      <w:r w:rsidR="00D235EB" w:rsidRPr="001F5DF9">
        <w:rPr>
          <w:rFonts w:cs="Times New Roman"/>
          <w:szCs w:val="24"/>
        </w:rPr>
        <w:t>,</w:t>
      </w:r>
      <w:r w:rsidR="00AC0044" w:rsidRPr="001F5DF9">
        <w:rPr>
          <w:rFonts w:cs="Times New Roman"/>
          <w:szCs w:val="24"/>
        </w:rPr>
        <w:t xml:space="preserve"> – atbilstību Līguma par Eiropas Savienīb</w:t>
      </w:r>
      <w:r w:rsidR="000B7358" w:rsidRPr="001F5DF9">
        <w:rPr>
          <w:rFonts w:cs="Times New Roman"/>
          <w:szCs w:val="24"/>
        </w:rPr>
        <w:t>u</w:t>
      </w:r>
      <w:r w:rsidR="00AC0044" w:rsidRPr="001F5DF9">
        <w:rPr>
          <w:rFonts w:cs="Times New Roman"/>
          <w:szCs w:val="24"/>
        </w:rPr>
        <w:t xml:space="preserve"> 19. pantam.</w:t>
      </w:r>
    </w:p>
    <w:p w14:paraId="705C3B48" w14:textId="5F33A78C" w:rsidR="0042127E" w:rsidRPr="001F5DF9" w:rsidRDefault="00AC0044" w:rsidP="008A3B24">
      <w:pPr>
        <w:pStyle w:val="NoSpacing"/>
        <w:widowControl w:val="0"/>
        <w:spacing w:line="276" w:lineRule="auto"/>
        <w:ind w:firstLine="720"/>
        <w:jc w:val="both"/>
        <w:rPr>
          <w:rFonts w:cs="Times New Roman"/>
          <w:szCs w:val="24"/>
        </w:rPr>
      </w:pPr>
      <w:r w:rsidRPr="001F5DF9">
        <w:rPr>
          <w:rFonts w:cs="Times New Roman"/>
          <w:szCs w:val="24"/>
        </w:rPr>
        <w:t xml:space="preserve">Pamatojot savu lūgumu, senators </w:t>
      </w:r>
      <w:r w:rsidR="00AA56E0" w:rsidRPr="001F5DF9">
        <w:rPr>
          <w:rFonts w:cs="Times New Roman"/>
          <w:szCs w:val="24"/>
        </w:rPr>
        <w:t xml:space="preserve">atsaucies uz Eiropas Tiesnešu konsultatīvās padomes 2024. gada 6. decembra atzinumu Nr. 27 (2024) par tiesnešu disciplināratbildību, kurā norādīts, ka Eiropas Tiesnešu konsultatīvā padome iestājas pret darba samaksas samazināšanu kā disciplinārsodu, jo par līdzvērtīgu darbu tiesnešiem jāsaņem vienlīdzīga atlīdzība. </w:t>
      </w:r>
      <w:r w:rsidR="00F2501F" w:rsidRPr="001F5DF9">
        <w:rPr>
          <w:rFonts w:cs="Times New Roman"/>
          <w:szCs w:val="24"/>
        </w:rPr>
        <w:t xml:space="preserve">Turklāt senators norādījis, ka saskaņā ar Līguma par Eiropas Savienību 19. pantu un 1998. gada Eiropas Tiesnešu statūtu hartas 6.1. pantu </w:t>
      </w:r>
      <w:r w:rsidR="00E066C4" w:rsidRPr="001F5DF9">
        <w:rPr>
          <w:rFonts w:cs="Times New Roman"/>
          <w:szCs w:val="24"/>
        </w:rPr>
        <w:t xml:space="preserve">nesamērīga disciplinārā sankcija </w:t>
      </w:r>
      <w:r w:rsidR="006D214A" w:rsidRPr="001F5DF9">
        <w:rPr>
          <w:rFonts w:cs="Times New Roman"/>
          <w:szCs w:val="24"/>
        </w:rPr>
        <w:t>var būt apdraudējums tiesneša neatkarībai, kas nav pieļaujams. Savukārt atsaucoties uz Eiropas Savienības Tiesas 2018.</w:t>
      </w:r>
      <w:r w:rsidR="004325DB" w:rsidRPr="001F5DF9">
        <w:rPr>
          <w:rFonts w:cs="Times New Roman"/>
          <w:szCs w:val="24"/>
        </w:rPr>
        <w:t> </w:t>
      </w:r>
      <w:r w:rsidR="006D214A" w:rsidRPr="001F5DF9">
        <w:rPr>
          <w:rFonts w:cs="Times New Roman"/>
          <w:szCs w:val="24"/>
        </w:rPr>
        <w:t>gada 27. februāra spriedum</w:t>
      </w:r>
      <w:r w:rsidR="005D53C4" w:rsidRPr="001F5DF9">
        <w:rPr>
          <w:rFonts w:cs="Times New Roman"/>
          <w:szCs w:val="24"/>
        </w:rPr>
        <w:t>u</w:t>
      </w:r>
      <w:r w:rsidR="00086E08" w:rsidRPr="001F5DF9">
        <w:rPr>
          <w:rFonts w:cs="Times New Roman"/>
          <w:szCs w:val="24"/>
        </w:rPr>
        <w:t xml:space="preserve"> lietā</w:t>
      </w:r>
      <w:r w:rsidR="005D53C4" w:rsidRPr="001F5DF9">
        <w:rPr>
          <w:rFonts w:cs="Times New Roman"/>
          <w:szCs w:val="24"/>
        </w:rPr>
        <w:t xml:space="preserve"> </w:t>
      </w:r>
      <w:r w:rsidR="004325DB" w:rsidRPr="001F5DF9">
        <w:rPr>
          <w:rFonts w:cs="Times New Roman"/>
          <w:szCs w:val="24"/>
        </w:rPr>
        <w:t>„</w:t>
      </w:r>
      <w:proofErr w:type="spellStart"/>
      <w:r w:rsidR="00E27524" w:rsidRPr="001F5DF9">
        <w:rPr>
          <w:rFonts w:cs="Times New Roman"/>
          <w:szCs w:val="24"/>
        </w:rPr>
        <w:t>Associação</w:t>
      </w:r>
      <w:proofErr w:type="spellEnd"/>
      <w:r w:rsidR="00E27524" w:rsidRPr="001F5DF9">
        <w:rPr>
          <w:rFonts w:cs="Times New Roman"/>
          <w:szCs w:val="24"/>
        </w:rPr>
        <w:t xml:space="preserve"> </w:t>
      </w:r>
      <w:proofErr w:type="spellStart"/>
      <w:r w:rsidR="00E27524" w:rsidRPr="001F5DF9">
        <w:rPr>
          <w:rFonts w:cs="Times New Roman"/>
          <w:szCs w:val="24"/>
        </w:rPr>
        <w:t>Sindical</w:t>
      </w:r>
      <w:proofErr w:type="spellEnd"/>
      <w:r w:rsidR="00E27524" w:rsidRPr="001F5DF9">
        <w:rPr>
          <w:rFonts w:cs="Times New Roman"/>
          <w:szCs w:val="24"/>
        </w:rPr>
        <w:t xml:space="preserve"> dos </w:t>
      </w:r>
      <w:proofErr w:type="spellStart"/>
      <w:r w:rsidR="00E27524" w:rsidRPr="001F5DF9">
        <w:rPr>
          <w:rFonts w:cs="Times New Roman"/>
          <w:szCs w:val="24"/>
        </w:rPr>
        <w:t>Juízes</w:t>
      </w:r>
      <w:proofErr w:type="spellEnd"/>
      <w:r w:rsidR="00E27524" w:rsidRPr="001F5DF9">
        <w:rPr>
          <w:rFonts w:cs="Times New Roman"/>
          <w:szCs w:val="24"/>
        </w:rPr>
        <w:t xml:space="preserve"> </w:t>
      </w:r>
      <w:proofErr w:type="spellStart"/>
      <w:r w:rsidR="00E27524" w:rsidRPr="001F5DF9">
        <w:rPr>
          <w:rFonts w:cs="Times New Roman"/>
          <w:szCs w:val="24"/>
        </w:rPr>
        <w:t>Portugueses</w:t>
      </w:r>
      <w:proofErr w:type="spellEnd"/>
      <w:r w:rsidR="004325DB" w:rsidRPr="001F5DF9">
        <w:rPr>
          <w:rFonts w:cs="Times New Roman"/>
          <w:szCs w:val="24"/>
        </w:rPr>
        <w:t>”, C</w:t>
      </w:r>
      <w:r w:rsidR="004325DB" w:rsidRPr="001F5DF9">
        <w:rPr>
          <w:rFonts w:cs="Times New Roman"/>
          <w:szCs w:val="24"/>
        </w:rPr>
        <w:noBreakHyphen/>
        <w:t xml:space="preserve">64/16, </w:t>
      </w:r>
      <w:hyperlink r:id="rId8" w:history="1">
        <w:r w:rsidR="004325DB" w:rsidRPr="001F5DF9">
          <w:rPr>
            <w:rStyle w:val="Hyperlink"/>
            <w:rFonts w:cs="Times New Roman"/>
            <w:szCs w:val="24"/>
          </w:rPr>
          <w:t>ECLI:EU:C:2018:117</w:t>
        </w:r>
      </w:hyperlink>
      <w:r w:rsidR="004325DB" w:rsidRPr="001F5DF9">
        <w:rPr>
          <w:rFonts w:cs="Times New Roman"/>
          <w:szCs w:val="24"/>
        </w:rPr>
        <w:t>,</w:t>
      </w:r>
      <w:r w:rsidR="00E27524" w:rsidRPr="001F5DF9">
        <w:rPr>
          <w:rFonts w:cs="Times New Roman"/>
          <w:szCs w:val="24"/>
        </w:rPr>
        <w:t> </w:t>
      </w:r>
      <w:r w:rsidR="00D961D0" w:rsidRPr="001F5DF9">
        <w:rPr>
          <w:rFonts w:cs="Times New Roman"/>
          <w:szCs w:val="24"/>
        </w:rPr>
        <w:t xml:space="preserve"> </w:t>
      </w:r>
      <w:r w:rsidR="005D53C4" w:rsidRPr="001F5DF9">
        <w:rPr>
          <w:rFonts w:cs="Times New Roman"/>
          <w:szCs w:val="24"/>
        </w:rPr>
        <w:t xml:space="preserve">un </w:t>
      </w:r>
      <w:r w:rsidR="00B3583C" w:rsidRPr="001F5DF9">
        <w:rPr>
          <w:rFonts w:cs="Times New Roman"/>
          <w:szCs w:val="24"/>
        </w:rPr>
        <w:t xml:space="preserve">2023. gada 13. jūlija spriedumu </w:t>
      </w:r>
      <w:r w:rsidR="00046FCB" w:rsidRPr="001F5DF9">
        <w:rPr>
          <w:rFonts w:cs="Times New Roman"/>
          <w:szCs w:val="24"/>
        </w:rPr>
        <w:t xml:space="preserve">apvienotajā lietā </w:t>
      </w:r>
      <w:r w:rsidR="004325DB" w:rsidRPr="001F5DF9">
        <w:rPr>
          <w:rFonts w:cs="Times New Roman"/>
          <w:szCs w:val="24"/>
        </w:rPr>
        <w:t>„</w:t>
      </w:r>
      <w:r w:rsidR="00237FE1" w:rsidRPr="001F5DF9">
        <w:rPr>
          <w:rFonts w:cs="Times New Roman"/>
          <w:szCs w:val="24"/>
        </w:rPr>
        <w:t xml:space="preserve">YP u.c. (Tiesnešu imunitātes atcelšana un viņa atstādināšana no amata)”, </w:t>
      </w:r>
      <w:r w:rsidR="004325DB" w:rsidRPr="001F5DF9">
        <w:rPr>
          <w:rFonts w:cs="Times New Roman"/>
          <w:szCs w:val="24"/>
        </w:rPr>
        <w:t>C</w:t>
      </w:r>
      <w:r w:rsidR="004325DB" w:rsidRPr="001F5DF9">
        <w:rPr>
          <w:rFonts w:cs="Times New Roman"/>
          <w:szCs w:val="24"/>
        </w:rPr>
        <w:noBreakHyphen/>
        <w:t>615/20 un C-671/20,</w:t>
      </w:r>
      <w:r w:rsidR="00823C48" w:rsidRPr="001F5DF9">
        <w:rPr>
          <w:rFonts w:cs="Times New Roman"/>
          <w:szCs w:val="24"/>
        </w:rPr>
        <w:t xml:space="preserve"> </w:t>
      </w:r>
      <w:hyperlink r:id="rId9" w:history="1">
        <w:r w:rsidR="00823C48" w:rsidRPr="001F5DF9">
          <w:rPr>
            <w:rStyle w:val="Hyperlink"/>
            <w:rFonts w:cs="Times New Roman"/>
            <w:szCs w:val="24"/>
          </w:rPr>
          <w:t>ECLI:EU:C:2023:562</w:t>
        </w:r>
      </w:hyperlink>
      <w:r w:rsidR="00823C48" w:rsidRPr="001F5DF9">
        <w:rPr>
          <w:rFonts w:cs="Times New Roman"/>
          <w:szCs w:val="24"/>
        </w:rPr>
        <w:t>,</w:t>
      </w:r>
      <w:r w:rsidR="004325DB" w:rsidRPr="001F5DF9">
        <w:rPr>
          <w:rFonts w:cs="Times New Roman"/>
          <w:szCs w:val="24"/>
        </w:rPr>
        <w:t xml:space="preserve"> </w:t>
      </w:r>
      <w:r w:rsidR="0042127E" w:rsidRPr="001F5DF9">
        <w:rPr>
          <w:rFonts w:cs="Times New Roman"/>
          <w:szCs w:val="24"/>
        </w:rPr>
        <w:t>senators</w:t>
      </w:r>
      <w:r w:rsidR="00237FE1" w:rsidRPr="001F5DF9">
        <w:rPr>
          <w:rFonts w:cs="Times New Roman"/>
          <w:szCs w:val="24"/>
        </w:rPr>
        <w:t xml:space="preserve"> norādījis, ka </w:t>
      </w:r>
      <w:r w:rsidR="0042127E" w:rsidRPr="001F5DF9">
        <w:rPr>
          <w:rFonts w:cs="Times New Roman"/>
          <w:szCs w:val="24"/>
        </w:rPr>
        <w:t>atalgojums ir būtisks tiesneša neatkarības garants, un secinājis, ka Tiesnešu disciplinārās atbildības likumā ietvertā iespēja noteikt amatalgas samazinājumu uz noteiktu periodu</w:t>
      </w:r>
      <w:r w:rsidR="00426356">
        <w:rPr>
          <w:rFonts w:cs="Times New Roman"/>
          <w:szCs w:val="24"/>
        </w:rPr>
        <w:t>, nevis kā naudas sodu,</w:t>
      </w:r>
      <w:r w:rsidR="0042127E" w:rsidRPr="001F5DF9">
        <w:rPr>
          <w:rFonts w:cs="Times New Roman"/>
          <w:szCs w:val="24"/>
        </w:rPr>
        <w:t xml:space="preserve"> neatbilst Eiropas </w:t>
      </w:r>
      <w:r w:rsidR="0042127E" w:rsidRPr="001F5DF9">
        <w:rPr>
          <w:rFonts w:cs="Times New Roman"/>
          <w:szCs w:val="24"/>
        </w:rPr>
        <w:lastRenderedPageBreak/>
        <w:t>Savienības tiesībās izvirzītajām neatkarības garantijām.</w:t>
      </w:r>
    </w:p>
    <w:p w14:paraId="798CAA09" w14:textId="4267197C" w:rsidR="00F37FC3" w:rsidRPr="001F5DF9" w:rsidRDefault="0042127E" w:rsidP="008A3B24">
      <w:pPr>
        <w:pStyle w:val="NoSpacing"/>
        <w:widowControl w:val="0"/>
        <w:spacing w:line="276" w:lineRule="auto"/>
        <w:ind w:firstLine="720"/>
        <w:jc w:val="both"/>
        <w:rPr>
          <w:rFonts w:cs="Times New Roman"/>
          <w:szCs w:val="24"/>
        </w:rPr>
      </w:pPr>
      <w:r w:rsidRPr="001F5DF9">
        <w:rPr>
          <w:rFonts w:cs="Times New Roman"/>
          <w:szCs w:val="24"/>
        </w:rPr>
        <w:t>I</w:t>
      </w:r>
      <w:r w:rsidR="00225ECB" w:rsidRPr="001F5DF9">
        <w:rPr>
          <w:rFonts w:cs="Times New Roman"/>
          <w:szCs w:val="24"/>
        </w:rPr>
        <w:t>e</w:t>
      </w:r>
      <w:r w:rsidRPr="001F5DF9">
        <w:rPr>
          <w:rFonts w:cs="Times New Roman"/>
          <w:szCs w:val="24"/>
        </w:rPr>
        <w:t>vērojot Eiropas Savienības Tiesas judikatūru</w:t>
      </w:r>
      <w:r w:rsidR="00225ECB" w:rsidRPr="001F5DF9">
        <w:rPr>
          <w:rFonts w:cs="Times New Roman"/>
          <w:szCs w:val="24"/>
        </w:rPr>
        <w:t xml:space="preserve"> par to, ka, piemērojot disciplinārsodu tiesnešiem, ir jāievēro pienākumi, kas dalībvalstīm izriet it īpaši no Līguma par</w:t>
      </w:r>
      <w:r w:rsidR="004D78F5" w:rsidRPr="001F5DF9">
        <w:rPr>
          <w:rFonts w:cs="Times New Roman"/>
          <w:szCs w:val="24"/>
        </w:rPr>
        <w:t xml:space="preserve"> Eiropas Savienī</w:t>
      </w:r>
      <w:r w:rsidR="0029478E" w:rsidRPr="001F5DF9">
        <w:rPr>
          <w:rFonts w:cs="Times New Roman"/>
          <w:szCs w:val="24"/>
        </w:rPr>
        <w:t>bu</w:t>
      </w:r>
      <w:r w:rsidR="004D78F5" w:rsidRPr="001F5DF9">
        <w:rPr>
          <w:rFonts w:cs="Times New Roman"/>
          <w:szCs w:val="24"/>
        </w:rPr>
        <w:t xml:space="preserve"> 2. </w:t>
      </w:r>
      <w:r w:rsidR="00565866" w:rsidRPr="001F5DF9">
        <w:rPr>
          <w:rFonts w:cs="Times New Roman"/>
          <w:szCs w:val="24"/>
        </w:rPr>
        <w:t>un 19.</w:t>
      </w:r>
      <w:r w:rsidR="00823C48" w:rsidRPr="001F5DF9">
        <w:rPr>
          <w:rFonts w:cs="Times New Roman"/>
          <w:szCs w:val="24"/>
        </w:rPr>
        <w:t> </w:t>
      </w:r>
      <w:r w:rsidR="00565866" w:rsidRPr="001F5DF9">
        <w:rPr>
          <w:rFonts w:cs="Times New Roman"/>
          <w:szCs w:val="24"/>
        </w:rPr>
        <w:t xml:space="preserve">panta, </w:t>
      </w:r>
      <w:proofErr w:type="spellStart"/>
      <w:r w:rsidR="00565866" w:rsidRPr="001F5DF9">
        <w:rPr>
          <w:rFonts w:cs="Times New Roman"/>
          <w:szCs w:val="24"/>
        </w:rPr>
        <w:t>Disciplinārtiesai</w:t>
      </w:r>
      <w:proofErr w:type="spellEnd"/>
      <w:r w:rsidR="00565866" w:rsidRPr="001F5DF9">
        <w:rPr>
          <w:rFonts w:cs="Times New Roman"/>
          <w:szCs w:val="24"/>
        </w:rPr>
        <w:t xml:space="preserve"> kā tiesai, kuras nolēmumi nav pārsūdzami, saskaņā ar Līguma par Eiropas Savienības darbību 267. pantu ir pienākums vērsties Eiropas Savienības Tiesā ar prejudiciālu jautājumu par attiecīgās disciplinārās sankcijas atbilstību Līguma par Eiropas Savienīb</w:t>
      </w:r>
      <w:r w:rsidR="000B7358" w:rsidRPr="001F5DF9">
        <w:rPr>
          <w:rFonts w:cs="Times New Roman"/>
          <w:szCs w:val="24"/>
        </w:rPr>
        <w:t>u</w:t>
      </w:r>
      <w:r w:rsidR="00565866" w:rsidRPr="001F5DF9">
        <w:rPr>
          <w:rFonts w:cs="Times New Roman"/>
          <w:szCs w:val="24"/>
        </w:rPr>
        <w:t xml:space="preserve"> 19. pantam.</w:t>
      </w:r>
    </w:p>
    <w:p w14:paraId="2EB2ABD0" w14:textId="77777777" w:rsidR="00F37FC3" w:rsidRPr="001F5DF9" w:rsidRDefault="00F37FC3" w:rsidP="008A3B24">
      <w:pPr>
        <w:pStyle w:val="NoSpacing"/>
        <w:widowControl w:val="0"/>
        <w:spacing w:line="276" w:lineRule="auto"/>
        <w:ind w:firstLine="720"/>
        <w:jc w:val="both"/>
        <w:rPr>
          <w:rFonts w:cs="Times New Roman"/>
          <w:szCs w:val="24"/>
        </w:rPr>
      </w:pPr>
    </w:p>
    <w:p w14:paraId="3850886A" w14:textId="5C15815F" w:rsidR="003A1E69" w:rsidRPr="001F5DF9" w:rsidRDefault="003A1E69" w:rsidP="008A3B24">
      <w:pPr>
        <w:pStyle w:val="NoSpacing"/>
        <w:widowControl w:val="0"/>
        <w:spacing w:line="276" w:lineRule="auto"/>
        <w:ind w:firstLine="720"/>
        <w:jc w:val="both"/>
        <w:rPr>
          <w:rFonts w:cs="Times New Roman"/>
          <w:szCs w:val="24"/>
        </w:rPr>
      </w:pPr>
      <w:r w:rsidRPr="001F5DF9">
        <w:rPr>
          <w:rFonts w:cs="Times New Roman"/>
          <w:szCs w:val="24"/>
        </w:rPr>
        <w:t>[5]</w:t>
      </w:r>
      <w:r w:rsidR="00823C48" w:rsidRPr="001F5DF9">
        <w:rPr>
          <w:rFonts w:cs="Times New Roman"/>
          <w:szCs w:val="24"/>
        </w:rPr>
        <w:t> </w:t>
      </w:r>
      <w:proofErr w:type="spellStart"/>
      <w:r w:rsidR="00755AF3" w:rsidRPr="001F5DF9">
        <w:rPr>
          <w:rFonts w:cs="Times New Roman"/>
          <w:szCs w:val="24"/>
        </w:rPr>
        <w:t>Disciplinārtiesas</w:t>
      </w:r>
      <w:proofErr w:type="spellEnd"/>
      <w:r w:rsidR="00755AF3" w:rsidRPr="001F5DF9">
        <w:rPr>
          <w:rFonts w:cs="Times New Roman"/>
          <w:szCs w:val="24"/>
        </w:rPr>
        <w:t xml:space="preserve"> sēdē senators </w:t>
      </w:r>
      <w:r w:rsidR="00B97DBC">
        <w:rPr>
          <w:rFonts w:cs="Times New Roman"/>
          <w:szCs w:val="24"/>
        </w:rPr>
        <w:t>[A] </w:t>
      </w:r>
      <w:r w:rsidR="00755AF3" w:rsidRPr="001F5DF9">
        <w:rPr>
          <w:rFonts w:cs="Times New Roman"/>
          <w:szCs w:val="24"/>
        </w:rPr>
        <w:t>savu sūdzību</w:t>
      </w:r>
      <w:r w:rsidR="00225ECB" w:rsidRPr="001F5DF9">
        <w:rPr>
          <w:rFonts w:cs="Times New Roman"/>
          <w:szCs w:val="24"/>
        </w:rPr>
        <w:t xml:space="preserve"> un papildu paskaidrojumu</w:t>
      </w:r>
      <w:r w:rsidR="00755AF3" w:rsidRPr="001F5DF9">
        <w:rPr>
          <w:rFonts w:cs="Times New Roman"/>
          <w:szCs w:val="24"/>
        </w:rPr>
        <w:t xml:space="preserve"> </w:t>
      </w:r>
      <w:r w:rsidR="00C6168D" w:rsidRPr="001F5DF9">
        <w:rPr>
          <w:rFonts w:cs="Times New Roman"/>
          <w:szCs w:val="24"/>
        </w:rPr>
        <w:t xml:space="preserve">par Disciplinārkolēģijas lēmumu </w:t>
      </w:r>
      <w:r w:rsidR="00755AF3" w:rsidRPr="001F5DF9">
        <w:rPr>
          <w:rFonts w:cs="Times New Roman"/>
          <w:szCs w:val="24"/>
        </w:rPr>
        <w:t>uzturēja</w:t>
      </w:r>
      <w:r w:rsidR="00757A2E" w:rsidRPr="001F5DF9">
        <w:rPr>
          <w:rFonts w:cs="Times New Roman"/>
          <w:szCs w:val="24"/>
        </w:rPr>
        <w:t>, pamatojoties uz ta</w:t>
      </w:r>
      <w:r w:rsidRPr="001F5DF9">
        <w:rPr>
          <w:rFonts w:cs="Times New Roman"/>
          <w:szCs w:val="24"/>
        </w:rPr>
        <w:t>j</w:t>
      </w:r>
      <w:r w:rsidR="00225ECB" w:rsidRPr="001F5DF9">
        <w:rPr>
          <w:rFonts w:cs="Times New Roman"/>
          <w:szCs w:val="24"/>
        </w:rPr>
        <w:t>os</w:t>
      </w:r>
      <w:r w:rsidR="00757A2E" w:rsidRPr="001F5DF9">
        <w:rPr>
          <w:rFonts w:cs="Times New Roman"/>
          <w:szCs w:val="24"/>
        </w:rPr>
        <w:t xml:space="preserve"> izklāstītajiem argumentiem.</w:t>
      </w:r>
    </w:p>
    <w:p w14:paraId="2E9FB9DC" w14:textId="77777777" w:rsidR="00F37FC3" w:rsidRPr="001F5DF9" w:rsidRDefault="00F37FC3" w:rsidP="008A3B24">
      <w:pPr>
        <w:pStyle w:val="NoSpacing"/>
        <w:widowControl w:val="0"/>
        <w:spacing w:line="276" w:lineRule="auto"/>
        <w:ind w:firstLine="720"/>
        <w:jc w:val="both"/>
        <w:rPr>
          <w:rFonts w:cs="Times New Roman"/>
          <w:szCs w:val="24"/>
        </w:rPr>
      </w:pPr>
    </w:p>
    <w:p w14:paraId="1E9EF966" w14:textId="41C36103" w:rsidR="00755AF3" w:rsidRPr="00A94F36" w:rsidRDefault="003A1E69" w:rsidP="008A3B24">
      <w:pPr>
        <w:pStyle w:val="NoSpacing"/>
        <w:widowControl w:val="0"/>
        <w:spacing w:line="276" w:lineRule="auto"/>
        <w:ind w:firstLine="720"/>
        <w:jc w:val="both"/>
        <w:rPr>
          <w:rFonts w:cs="Times New Roman"/>
          <w:szCs w:val="24"/>
        </w:rPr>
      </w:pPr>
      <w:r w:rsidRPr="001F5DF9">
        <w:rPr>
          <w:rFonts w:cs="Times New Roman"/>
          <w:szCs w:val="24"/>
        </w:rPr>
        <w:t>[6]</w:t>
      </w:r>
      <w:r w:rsidR="00823C48" w:rsidRPr="001F5DF9">
        <w:rPr>
          <w:rFonts w:cs="Times New Roman"/>
          <w:szCs w:val="24"/>
        </w:rPr>
        <w:t> </w:t>
      </w:r>
      <w:r w:rsidRPr="001F5DF9">
        <w:rPr>
          <w:rFonts w:cs="Times New Roman"/>
          <w:szCs w:val="24"/>
        </w:rPr>
        <w:t xml:space="preserve">Disciplinārlietas ierosinātājs – Augstākās tiesas priekšsēdētājs </w:t>
      </w:r>
      <w:r w:rsidR="00B97DBC">
        <w:rPr>
          <w:rFonts w:cs="Times New Roman"/>
          <w:szCs w:val="24"/>
        </w:rPr>
        <w:t>[B] </w:t>
      </w:r>
      <w:r w:rsidRPr="001F5DF9">
        <w:rPr>
          <w:rFonts w:cs="Times New Roman"/>
          <w:szCs w:val="24"/>
        </w:rPr>
        <w:t xml:space="preserve">– </w:t>
      </w:r>
      <w:proofErr w:type="spellStart"/>
      <w:r w:rsidR="00565866" w:rsidRPr="001F5DF9">
        <w:rPr>
          <w:rFonts w:cs="Times New Roman"/>
          <w:szCs w:val="24"/>
        </w:rPr>
        <w:t>D</w:t>
      </w:r>
      <w:r w:rsidRPr="001F5DF9">
        <w:rPr>
          <w:rFonts w:cs="Times New Roman"/>
          <w:szCs w:val="24"/>
        </w:rPr>
        <w:t>isciplinārtiesas</w:t>
      </w:r>
      <w:proofErr w:type="spellEnd"/>
      <w:r w:rsidRPr="001F5DF9">
        <w:rPr>
          <w:rFonts w:cs="Times New Roman"/>
          <w:szCs w:val="24"/>
        </w:rPr>
        <w:t xml:space="preserve"> sēdē </w:t>
      </w:r>
      <w:r w:rsidR="008F67C8" w:rsidRPr="001F5DF9">
        <w:rPr>
          <w:rFonts w:cs="Times New Roman"/>
          <w:szCs w:val="24"/>
        </w:rPr>
        <w:t>norādīja, ka senatora lūgums par prejudiciālā jautājuma uzdošanu Eiropas Savienības Tiesai nav pamatots, jo apgalvojumu par piemērotā disciplinārsoda ietekmi uz senatora neatkarību senators ir paudis hipotētiska pieņēmuma v</w:t>
      </w:r>
      <w:r w:rsidR="00823C48" w:rsidRPr="001F5DF9">
        <w:rPr>
          <w:rFonts w:cs="Times New Roman"/>
          <w:szCs w:val="24"/>
        </w:rPr>
        <w:t>e</w:t>
      </w:r>
      <w:r w:rsidR="008F67C8" w:rsidRPr="001F5DF9">
        <w:rPr>
          <w:rFonts w:cs="Times New Roman"/>
          <w:szCs w:val="24"/>
        </w:rPr>
        <w:t xml:space="preserve">idā un nav pamatojis to ar konkrētiem lietas apstākļiem. </w:t>
      </w:r>
      <w:r w:rsidR="00F37FC3" w:rsidRPr="001F5DF9">
        <w:rPr>
          <w:rFonts w:cs="Times New Roman"/>
          <w:szCs w:val="24"/>
        </w:rPr>
        <w:t xml:space="preserve">Arī Eiropas Savienības Tiesas lēmumi, uz kuriem senators atsaucies, pamatojot savu lūgumu, neapstiprina senatora apgalvojumu, ka Tiesnešu disciplinārās atbildības likumā ietvertā iespēja noteikt amatalgas samazinājumu uz noteiktu periodu neatbilst Eiropas Savienības tiesībās izvirzītajām </w:t>
      </w:r>
      <w:r w:rsidR="0065069D" w:rsidRPr="001F5DF9">
        <w:rPr>
          <w:rFonts w:cs="Times New Roman"/>
          <w:szCs w:val="24"/>
        </w:rPr>
        <w:t xml:space="preserve">tiesneša </w:t>
      </w:r>
      <w:r w:rsidR="00F37FC3" w:rsidRPr="001F5DF9">
        <w:rPr>
          <w:rFonts w:cs="Times New Roman"/>
          <w:szCs w:val="24"/>
        </w:rPr>
        <w:t>neatkarības garantijām.</w:t>
      </w:r>
    </w:p>
    <w:p w14:paraId="53D2805E" w14:textId="77777777" w:rsidR="00755AF3" w:rsidRPr="00A94F36" w:rsidRDefault="00755AF3" w:rsidP="008A3B24">
      <w:pPr>
        <w:pStyle w:val="NoSpacing"/>
        <w:widowControl w:val="0"/>
        <w:spacing w:line="276" w:lineRule="auto"/>
        <w:ind w:firstLine="720"/>
        <w:jc w:val="both"/>
        <w:rPr>
          <w:rFonts w:cs="Times New Roman"/>
          <w:szCs w:val="24"/>
        </w:rPr>
      </w:pPr>
    </w:p>
    <w:p w14:paraId="2C883B1E" w14:textId="293D3BC8" w:rsidR="00755AF3" w:rsidRPr="00A94F36" w:rsidRDefault="00755AF3" w:rsidP="008A3B24">
      <w:pPr>
        <w:pStyle w:val="NoSpacing"/>
        <w:widowControl w:val="0"/>
        <w:spacing w:line="276" w:lineRule="auto"/>
        <w:jc w:val="center"/>
        <w:rPr>
          <w:rFonts w:cs="Times New Roman"/>
          <w:b/>
          <w:bCs/>
          <w:szCs w:val="24"/>
        </w:rPr>
      </w:pPr>
      <w:r w:rsidRPr="00A94F36">
        <w:rPr>
          <w:rFonts w:cs="Times New Roman"/>
          <w:b/>
          <w:bCs/>
          <w:szCs w:val="24"/>
        </w:rPr>
        <w:t>M</w:t>
      </w:r>
      <w:r w:rsidR="00D0287C" w:rsidRPr="00A94F36">
        <w:rPr>
          <w:rFonts w:cs="Times New Roman"/>
          <w:b/>
          <w:bCs/>
          <w:szCs w:val="24"/>
        </w:rPr>
        <w:t>otīvu daļa</w:t>
      </w:r>
    </w:p>
    <w:p w14:paraId="703185F5" w14:textId="77777777" w:rsidR="00347DDC" w:rsidRPr="00A94F36" w:rsidRDefault="00347DDC" w:rsidP="008A3B24">
      <w:pPr>
        <w:pStyle w:val="NoSpacing"/>
        <w:widowControl w:val="0"/>
        <w:spacing w:line="276" w:lineRule="auto"/>
        <w:ind w:firstLine="720"/>
        <w:jc w:val="both"/>
        <w:rPr>
          <w:rFonts w:cs="Times New Roman"/>
          <w:b/>
          <w:bCs/>
          <w:szCs w:val="24"/>
        </w:rPr>
      </w:pPr>
    </w:p>
    <w:p w14:paraId="209BB9DB" w14:textId="13D7899A" w:rsidR="00220089" w:rsidRPr="001F5DF9" w:rsidRDefault="00347DDC" w:rsidP="008A3B24">
      <w:pPr>
        <w:pStyle w:val="NoSpacing"/>
        <w:widowControl w:val="0"/>
        <w:spacing w:line="276" w:lineRule="auto"/>
        <w:ind w:firstLine="720"/>
        <w:jc w:val="both"/>
        <w:rPr>
          <w:rFonts w:cs="Times New Roman"/>
          <w:szCs w:val="24"/>
        </w:rPr>
      </w:pPr>
      <w:r w:rsidRPr="00A94F36">
        <w:rPr>
          <w:rFonts w:cs="Times New Roman"/>
          <w:szCs w:val="24"/>
        </w:rPr>
        <w:t>[7]</w:t>
      </w:r>
      <w:r w:rsidR="00390751" w:rsidRPr="00A94F36">
        <w:rPr>
          <w:rFonts w:cs="Times New Roman"/>
          <w:szCs w:val="24"/>
        </w:rPr>
        <w:t> </w:t>
      </w:r>
      <w:r w:rsidR="00575AFC" w:rsidRPr="00A94F36">
        <w:rPr>
          <w:rFonts w:cs="Times New Roman"/>
          <w:szCs w:val="24"/>
        </w:rPr>
        <w:t xml:space="preserve">Ņemot vērā senatora </w:t>
      </w:r>
      <w:r w:rsidR="00B97DBC">
        <w:rPr>
          <w:rFonts w:cs="Times New Roman"/>
          <w:szCs w:val="24"/>
        </w:rPr>
        <w:t>[A]</w:t>
      </w:r>
      <w:r w:rsidR="00575AFC" w:rsidRPr="00A94F36">
        <w:rPr>
          <w:rFonts w:cs="Times New Roman"/>
          <w:szCs w:val="24"/>
        </w:rPr>
        <w:t xml:space="preserve"> sūdzībā un papildu paskaidrojumā par Disciplinārkolēģijas lēmumu norādīto, </w:t>
      </w:r>
      <w:proofErr w:type="spellStart"/>
      <w:r w:rsidR="00575AFC" w:rsidRPr="00A94F36">
        <w:rPr>
          <w:rFonts w:cs="Times New Roman"/>
          <w:szCs w:val="24"/>
        </w:rPr>
        <w:t>Disciplinārtiesa</w:t>
      </w:r>
      <w:proofErr w:type="spellEnd"/>
      <w:r w:rsidR="00575AFC" w:rsidRPr="00A94F36">
        <w:rPr>
          <w:rFonts w:cs="Times New Roman"/>
          <w:szCs w:val="24"/>
        </w:rPr>
        <w:t xml:space="preserve"> vispirms vērtēs, vai jautājumā par Tiesnešu disciplinārās atbildības likuma 7.</w:t>
      </w:r>
      <w:r w:rsidR="00390751" w:rsidRPr="00A94F36">
        <w:rPr>
          <w:rFonts w:cs="Times New Roman"/>
          <w:szCs w:val="24"/>
        </w:rPr>
        <w:t> </w:t>
      </w:r>
      <w:r w:rsidR="00575AFC" w:rsidRPr="00A94F36">
        <w:rPr>
          <w:rFonts w:cs="Times New Roman"/>
          <w:szCs w:val="24"/>
        </w:rPr>
        <w:t>panta ceturtās daļas 3.</w:t>
      </w:r>
      <w:r w:rsidR="00390751" w:rsidRPr="00A94F36">
        <w:rPr>
          <w:rFonts w:cs="Times New Roman"/>
          <w:szCs w:val="24"/>
        </w:rPr>
        <w:t> </w:t>
      </w:r>
      <w:r w:rsidR="00575AFC" w:rsidRPr="00A94F36">
        <w:rPr>
          <w:rFonts w:cs="Times New Roman"/>
          <w:szCs w:val="24"/>
        </w:rPr>
        <w:t xml:space="preserve">punkta, kurā paredzēts disciplinārsods – amatalgas samazināšana uz laiku līdz </w:t>
      </w:r>
      <w:r w:rsidR="001F6185" w:rsidRPr="00A94F36">
        <w:rPr>
          <w:rFonts w:cs="Times New Roman"/>
          <w:szCs w:val="24"/>
        </w:rPr>
        <w:t>vienam</w:t>
      </w:r>
      <w:r w:rsidR="00575AFC" w:rsidRPr="001F5DF9">
        <w:rPr>
          <w:rFonts w:cs="Times New Roman"/>
          <w:szCs w:val="24"/>
        </w:rPr>
        <w:t xml:space="preserve"> gadam, ieturot līdz 20</w:t>
      </w:r>
      <w:r w:rsidR="00A94F36">
        <w:rPr>
          <w:rFonts w:cs="Times New Roman"/>
          <w:szCs w:val="24"/>
        </w:rPr>
        <w:t> </w:t>
      </w:r>
      <w:r w:rsidR="00575AFC" w:rsidRPr="001F5DF9">
        <w:rPr>
          <w:rFonts w:cs="Times New Roman"/>
          <w:szCs w:val="24"/>
        </w:rPr>
        <w:t>procentiem no amatalgas –</w:t>
      </w:r>
      <w:r w:rsidR="0018141E" w:rsidRPr="001F5DF9">
        <w:rPr>
          <w:rFonts w:cs="Times New Roman"/>
          <w:szCs w:val="24"/>
        </w:rPr>
        <w:t>, atbilstību Līguma par Eiropas Savienību 19.</w:t>
      </w:r>
      <w:r w:rsidR="00390751" w:rsidRPr="001F5DF9">
        <w:rPr>
          <w:rFonts w:cs="Times New Roman"/>
          <w:szCs w:val="24"/>
        </w:rPr>
        <w:t> </w:t>
      </w:r>
      <w:r w:rsidR="0018141E" w:rsidRPr="001F5DF9">
        <w:rPr>
          <w:rFonts w:cs="Times New Roman"/>
          <w:szCs w:val="24"/>
        </w:rPr>
        <w:t>pantam, tai ir nepieciešams vērsties Eiropas Savienības Tiesā ar prejudiciāliem jautājumiem.</w:t>
      </w:r>
    </w:p>
    <w:p w14:paraId="2F0F5C3D" w14:textId="41BA2E83" w:rsidR="00D263F7" w:rsidRPr="001F5DF9" w:rsidRDefault="00494870" w:rsidP="008A3B24">
      <w:pPr>
        <w:pStyle w:val="NoSpacing"/>
        <w:widowControl w:val="0"/>
        <w:spacing w:line="276" w:lineRule="auto"/>
        <w:ind w:firstLine="720"/>
        <w:jc w:val="both"/>
        <w:rPr>
          <w:rFonts w:cs="Times New Roman"/>
          <w:i/>
          <w:iCs/>
          <w:szCs w:val="24"/>
        </w:rPr>
      </w:pPr>
      <w:r w:rsidRPr="001F5DF9">
        <w:rPr>
          <w:rFonts w:cs="Times New Roman"/>
          <w:szCs w:val="24"/>
        </w:rPr>
        <w:t>Eiropas Savienības tiesībās nav konkretizēti tiesu kā institūciju darba organizācijas jautājumi, proti, tieslietu organizācija dalībvalstīs ir šo dalībvalstu kompetencē (sk.</w:t>
      </w:r>
      <w:r w:rsidR="00390751" w:rsidRPr="001F5DF9">
        <w:rPr>
          <w:rFonts w:cs="Times New Roman"/>
          <w:szCs w:val="24"/>
        </w:rPr>
        <w:t> </w:t>
      </w:r>
      <w:r w:rsidRPr="001F5DF9">
        <w:rPr>
          <w:rFonts w:cs="Times New Roman"/>
          <w:i/>
          <w:iCs/>
          <w:szCs w:val="24"/>
        </w:rPr>
        <w:t xml:space="preserve">Eiropas Savienības Tiesas 2021. gada 15. jūlija sprieduma lietā „Komisija/Polija (Disciplinārie pasākumi pret tiesnešiem)”, C-791/19, </w:t>
      </w:r>
      <w:hyperlink r:id="rId10" w:history="1">
        <w:r w:rsidRPr="001F5DF9">
          <w:rPr>
            <w:rStyle w:val="Hyperlink"/>
            <w:rFonts w:cs="Times New Roman"/>
            <w:i/>
            <w:iCs/>
            <w:szCs w:val="24"/>
          </w:rPr>
          <w:t>ECLI:EU:C:2021:596</w:t>
        </w:r>
      </w:hyperlink>
      <w:r w:rsidRPr="001F5DF9">
        <w:rPr>
          <w:rFonts w:cs="Times New Roman"/>
          <w:i/>
          <w:iCs/>
          <w:szCs w:val="24"/>
        </w:rPr>
        <w:t>, 56.</w:t>
      </w:r>
      <w:r w:rsidR="00390751" w:rsidRPr="001F5DF9">
        <w:rPr>
          <w:rFonts w:cs="Times New Roman"/>
          <w:i/>
          <w:iCs/>
          <w:szCs w:val="24"/>
        </w:rPr>
        <w:t> </w:t>
      </w:r>
      <w:r w:rsidRPr="001F5DF9">
        <w:rPr>
          <w:rFonts w:cs="Times New Roman"/>
          <w:i/>
          <w:iCs/>
          <w:szCs w:val="24"/>
        </w:rPr>
        <w:t>punktu</w:t>
      </w:r>
      <w:r w:rsidRPr="001F5DF9">
        <w:rPr>
          <w:rFonts w:cs="Times New Roman"/>
          <w:szCs w:val="24"/>
        </w:rPr>
        <w:t>). Vienlaikus Eiropas Savienības Tiesas judikatūrā norādīts, ka tiesnešiem piemērojamajam disciplinārajam režīmam jāsniedz tiesnesim nepieciešamās</w:t>
      </w:r>
      <w:r w:rsidR="00357AF9" w:rsidRPr="001F5DF9">
        <w:rPr>
          <w:rFonts w:cs="Times New Roman"/>
          <w:szCs w:val="24"/>
        </w:rPr>
        <w:t xml:space="preserve"> neatkarības</w:t>
      </w:r>
      <w:r w:rsidRPr="001F5DF9">
        <w:rPr>
          <w:rFonts w:cs="Times New Roman"/>
          <w:szCs w:val="24"/>
        </w:rPr>
        <w:t xml:space="preserve"> garantijas (sk. </w:t>
      </w:r>
      <w:r w:rsidRPr="001F5DF9">
        <w:rPr>
          <w:rFonts w:cs="Times New Roman"/>
          <w:i/>
          <w:iCs/>
          <w:szCs w:val="24"/>
        </w:rPr>
        <w:t>Eiropas Savienības Tiesas 2021. gada 18. maija sprieduma apvienotajās lietās „</w:t>
      </w:r>
      <w:proofErr w:type="spellStart"/>
      <w:r w:rsidRPr="001F5DF9">
        <w:rPr>
          <w:rFonts w:cs="Times New Roman"/>
          <w:i/>
          <w:iCs/>
          <w:szCs w:val="24"/>
        </w:rPr>
        <w:t>Asociaţia</w:t>
      </w:r>
      <w:proofErr w:type="spellEnd"/>
      <w:r w:rsidR="001F6185" w:rsidRPr="001F5DF9">
        <w:rPr>
          <w:rFonts w:cs="Times New Roman"/>
          <w:i/>
          <w:iCs/>
          <w:szCs w:val="24"/>
        </w:rPr>
        <w:t>” –</w:t>
      </w:r>
      <w:r w:rsidRPr="001F5DF9">
        <w:rPr>
          <w:rFonts w:cs="Times New Roman"/>
          <w:i/>
          <w:iCs/>
          <w:szCs w:val="24"/>
        </w:rPr>
        <w:t xml:space="preserve"> “</w:t>
      </w:r>
      <w:proofErr w:type="spellStart"/>
      <w:r w:rsidRPr="001F5DF9">
        <w:rPr>
          <w:rFonts w:cs="Times New Roman"/>
          <w:i/>
          <w:iCs/>
          <w:szCs w:val="24"/>
        </w:rPr>
        <w:t>Forumul</w:t>
      </w:r>
      <w:proofErr w:type="spellEnd"/>
      <w:r w:rsidRPr="001F5DF9">
        <w:rPr>
          <w:rFonts w:cs="Times New Roman"/>
          <w:i/>
          <w:iCs/>
          <w:szCs w:val="24"/>
        </w:rPr>
        <w:t xml:space="preserve"> </w:t>
      </w:r>
      <w:proofErr w:type="spellStart"/>
      <w:r w:rsidRPr="001F5DF9">
        <w:rPr>
          <w:rFonts w:cs="Times New Roman"/>
          <w:i/>
          <w:iCs/>
          <w:szCs w:val="24"/>
        </w:rPr>
        <w:t>Judecătorilor</w:t>
      </w:r>
      <w:proofErr w:type="spellEnd"/>
      <w:r w:rsidRPr="001F5DF9">
        <w:rPr>
          <w:rFonts w:cs="Times New Roman"/>
          <w:i/>
          <w:iCs/>
          <w:szCs w:val="24"/>
        </w:rPr>
        <w:t xml:space="preserve"> </w:t>
      </w:r>
      <w:proofErr w:type="spellStart"/>
      <w:r w:rsidRPr="001F5DF9">
        <w:rPr>
          <w:rFonts w:cs="Times New Roman"/>
          <w:i/>
          <w:iCs/>
          <w:szCs w:val="24"/>
        </w:rPr>
        <w:t>din</w:t>
      </w:r>
      <w:proofErr w:type="spellEnd"/>
      <w:r w:rsidRPr="001F5DF9">
        <w:rPr>
          <w:rFonts w:cs="Times New Roman"/>
          <w:i/>
          <w:iCs/>
          <w:szCs w:val="24"/>
        </w:rPr>
        <w:t xml:space="preserve"> </w:t>
      </w:r>
      <w:proofErr w:type="spellStart"/>
      <w:r w:rsidRPr="001F5DF9">
        <w:rPr>
          <w:rFonts w:cs="Times New Roman"/>
          <w:i/>
          <w:iCs/>
          <w:szCs w:val="24"/>
        </w:rPr>
        <w:t>România</w:t>
      </w:r>
      <w:proofErr w:type="spellEnd"/>
      <w:r w:rsidRPr="001F5DF9">
        <w:rPr>
          <w:rFonts w:cs="Times New Roman"/>
          <w:i/>
          <w:iCs/>
          <w:szCs w:val="24"/>
        </w:rPr>
        <w:t xml:space="preserve">””, C-83/19, u.c., </w:t>
      </w:r>
      <w:hyperlink r:id="rId11" w:history="1">
        <w:r w:rsidRPr="001F5DF9">
          <w:rPr>
            <w:rStyle w:val="Hyperlink"/>
            <w:rFonts w:cs="Times New Roman"/>
            <w:i/>
            <w:iCs/>
            <w:szCs w:val="24"/>
          </w:rPr>
          <w:t>ECLI:EU:C:2021:393</w:t>
        </w:r>
      </w:hyperlink>
      <w:r w:rsidRPr="001F5DF9">
        <w:rPr>
          <w:rFonts w:cs="Times New Roman"/>
          <w:i/>
          <w:iCs/>
          <w:szCs w:val="24"/>
        </w:rPr>
        <w:t>, 61. punktu</w:t>
      </w:r>
      <w:r w:rsidRPr="001F5DF9">
        <w:rPr>
          <w:rFonts w:cs="Times New Roman"/>
          <w:szCs w:val="24"/>
        </w:rPr>
        <w:t>).</w:t>
      </w:r>
    </w:p>
    <w:p w14:paraId="2B0F9B04" w14:textId="21892568" w:rsidR="005B61D3" w:rsidRPr="001F5DF9" w:rsidRDefault="00494870" w:rsidP="008A3B24">
      <w:pPr>
        <w:pStyle w:val="NoSpacing"/>
        <w:widowControl w:val="0"/>
        <w:spacing w:line="276" w:lineRule="auto"/>
        <w:ind w:firstLine="720"/>
        <w:jc w:val="both"/>
        <w:rPr>
          <w:rFonts w:cs="Times New Roman"/>
          <w:szCs w:val="24"/>
        </w:rPr>
      </w:pPr>
      <w:r w:rsidRPr="001F5DF9">
        <w:rPr>
          <w:rFonts w:cs="Times New Roman"/>
          <w:szCs w:val="24"/>
        </w:rPr>
        <w:t>Tātad tiesnešiem piemērojamo disciplinārsodu veidu un apmēra izvēle nav Eiropas Savienības tiesību jautājums</w:t>
      </w:r>
      <w:r w:rsidR="0028381A">
        <w:rPr>
          <w:rFonts w:cs="Times New Roman"/>
          <w:szCs w:val="24"/>
        </w:rPr>
        <w:t>,</w:t>
      </w:r>
      <w:r w:rsidRPr="001F5DF9">
        <w:rPr>
          <w:rFonts w:cs="Times New Roman"/>
          <w:szCs w:val="24"/>
        </w:rPr>
        <w:t xml:space="preserve"> un kā tāds neietilpst Eiropas Savienības Tiesai ar Līgumu par Eiropas Savienības darbību 267. panta otrajā daļā noteiktajā kompetencē</w:t>
      </w:r>
      <w:r w:rsidR="00E351E0" w:rsidRPr="001F5DF9">
        <w:rPr>
          <w:rFonts w:cs="Times New Roman"/>
          <w:szCs w:val="24"/>
        </w:rPr>
        <w:t>, ja vien tas neskar tiesneša neatkarību.</w:t>
      </w:r>
    </w:p>
    <w:p w14:paraId="3C88880F" w14:textId="681D42C9" w:rsidR="00AB280E" w:rsidRPr="001F5DF9" w:rsidRDefault="00AB280E" w:rsidP="008A3B24">
      <w:pPr>
        <w:pStyle w:val="NoSpacing"/>
        <w:widowControl w:val="0"/>
        <w:spacing w:line="276" w:lineRule="auto"/>
        <w:ind w:firstLine="720"/>
        <w:jc w:val="both"/>
        <w:rPr>
          <w:rFonts w:cs="Times New Roman"/>
          <w:szCs w:val="24"/>
        </w:rPr>
      </w:pPr>
      <w:r w:rsidRPr="001F5DF9">
        <w:rPr>
          <w:rFonts w:cs="Times New Roman"/>
          <w:szCs w:val="24"/>
        </w:rPr>
        <w:t xml:space="preserve">Eiropas Savienības Tiesa, kā tas </w:t>
      </w:r>
      <w:r w:rsidR="008465E9" w:rsidRPr="001F5DF9">
        <w:rPr>
          <w:rFonts w:cs="Times New Roman"/>
          <w:szCs w:val="24"/>
        </w:rPr>
        <w:t>senatora papildu paskaidrojumā</w:t>
      </w:r>
      <w:r w:rsidRPr="001F5DF9">
        <w:rPr>
          <w:rFonts w:cs="Times New Roman"/>
          <w:szCs w:val="24"/>
        </w:rPr>
        <w:t xml:space="preserve"> </w:t>
      </w:r>
      <w:r w:rsidR="00692C38" w:rsidRPr="001F5DF9">
        <w:rPr>
          <w:rFonts w:cs="Times New Roman"/>
          <w:szCs w:val="24"/>
        </w:rPr>
        <w:t xml:space="preserve">par Disciplinārkolēģijas lēmumu </w:t>
      </w:r>
      <w:r w:rsidRPr="001F5DF9">
        <w:rPr>
          <w:rFonts w:cs="Times New Roman"/>
          <w:szCs w:val="24"/>
        </w:rPr>
        <w:t xml:space="preserve">pareizi atzīmēts, ir norādījusi, ka darba samaksas saņemšana atbilstoši tiesnešu veikto funkciju nozīmei ir ar tiesnešu neatkarību nedalāmi </w:t>
      </w:r>
      <w:r w:rsidRPr="001F5DF9">
        <w:rPr>
          <w:rFonts w:cs="Times New Roman"/>
          <w:szCs w:val="24"/>
        </w:rPr>
        <w:lastRenderedPageBreak/>
        <w:t>saistīta garantija (sk.</w:t>
      </w:r>
      <w:r w:rsidR="001F5DF9" w:rsidRPr="001F5DF9">
        <w:rPr>
          <w:rFonts w:cs="Times New Roman"/>
          <w:szCs w:val="24"/>
        </w:rPr>
        <w:t> </w:t>
      </w:r>
      <w:r w:rsidRPr="001F5DF9">
        <w:rPr>
          <w:rFonts w:cs="Times New Roman"/>
          <w:i/>
          <w:iCs/>
          <w:szCs w:val="24"/>
        </w:rPr>
        <w:t>Eiropas Savienības Tiesa 2018. gada 27. februāra sprieduma lietā „</w:t>
      </w:r>
      <w:proofErr w:type="spellStart"/>
      <w:r w:rsidRPr="001F5DF9">
        <w:rPr>
          <w:rFonts w:cs="Times New Roman"/>
          <w:i/>
          <w:iCs/>
          <w:szCs w:val="24"/>
        </w:rPr>
        <w:t>Associação</w:t>
      </w:r>
      <w:proofErr w:type="spellEnd"/>
      <w:r w:rsidRPr="001F5DF9">
        <w:rPr>
          <w:rFonts w:cs="Times New Roman"/>
          <w:i/>
          <w:iCs/>
          <w:szCs w:val="24"/>
        </w:rPr>
        <w:t xml:space="preserve"> </w:t>
      </w:r>
      <w:proofErr w:type="spellStart"/>
      <w:r w:rsidRPr="001F5DF9">
        <w:rPr>
          <w:rFonts w:cs="Times New Roman"/>
          <w:i/>
          <w:iCs/>
          <w:szCs w:val="24"/>
        </w:rPr>
        <w:t>Sindical</w:t>
      </w:r>
      <w:proofErr w:type="spellEnd"/>
      <w:r w:rsidRPr="001F5DF9">
        <w:rPr>
          <w:rFonts w:cs="Times New Roman"/>
          <w:i/>
          <w:iCs/>
          <w:szCs w:val="24"/>
        </w:rPr>
        <w:t xml:space="preserve"> dos </w:t>
      </w:r>
      <w:proofErr w:type="spellStart"/>
      <w:r w:rsidRPr="001F5DF9">
        <w:rPr>
          <w:rFonts w:cs="Times New Roman"/>
          <w:i/>
          <w:iCs/>
          <w:szCs w:val="24"/>
        </w:rPr>
        <w:t>Juízes</w:t>
      </w:r>
      <w:proofErr w:type="spellEnd"/>
      <w:r w:rsidRPr="001F5DF9">
        <w:rPr>
          <w:rFonts w:cs="Times New Roman"/>
          <w:i/>
          <w:iCs/>
          <w:szCs w:val="24"/>
        </w:rPr>
        <w:t xml:space="preserve"> </w:t>
      </w:r>
      <w:proofErr w:type="spellStart"/>
      <w:r w:rsidRPr="001F5DF9">
        <w:rPr>
          <w:rFonts w:cs="Times New Roman"/>
          <w:i/>
          <w:iCs/>
          <w:szCs w:val="24"/>
        </w:rPr>
        <w:t>Portugueses</w:t>
      </w:r>
      <w:proofErr w:type="spellEnd"/>
      <w:r w:rsidRPr="001F5DF9">
        <w:rPr>
          <w:rFonts w:cs="Times New Roman"/>
          <w:i/>
          <w:iCs/>
          <w:szCs w:val="24"/>
        </w:rPr>
        <w:t xml:space="preserve">”, C-64/16, </w:t>
      </w:r>
      <w:hyperlink r:id="rId12" w:history="1">
        <w:r w:rsidRPr="001F5DF9">
          <w:rPr>
            <w:rStyle w:val="Hyperlink"/>
            <w:rFonts w:cs="Times New Roman"/>
            <w:i/>
            <w:iCs/>
            <w:szCs w:val="24"/>
          </w:rPr>
          <w:t>ECLI:EU:C:2018:117</w:t>
        </w:r>
      </w:hyperlink>
      <w:r w:rsidRPr="001F5DF9">
        <w:rPr>
          <w:rFonts w:cs="Times New Roman"/>
          <w:i/>
          <w:iCs/>
          <w:szCs w:val="24"/>
        </w:rPr>
        <w:t xml:space="preserve">, 45.punktu </w:t>
      </w:r>
      <w:r w:rsidRPr="001F5DF9">
        <w:rPr>
          <w:rFonts w:cs="Times New Roman"/>
          <w:szCs w:val="24"/>
        </w:rPr>
        <w:t>un</w:t>
      </w:r>
      <w:r w:rsidRPr="001F5DF9">
        <w:rPr>
          <w:rFonts w:cs="Times New Roman"/>
          <w:i/>
          <w:iCs/>
          <w:szCs w:val="24"/>
        </w:rPr>
        <w:t xml:space="preserve"> 2025. gada 5. jūnija sprieduma</w:t>
      </w:r>
      <w:r w:rsidR="0031614A">
        <w:rPr>
          <w:rFonts w:cs="Times New Roman"/>
          <w:i/>
          <w:iCs/>
          <w:szCs w:val="24"/>
        </w:rPr>
        <w:t xml:space="preserve"> lietā</w:t>
      </w:r>
      <w:r w:rsidRPr="001F5DF9">
        <w:rPr>
          <w:rFonts w:cs="Times New Roman"/>
          <w:i/>
          <w:iCs/>
          <w:szCs w:val="24"/>
        </w:rPr>
        <w:t xml:space="preserve"> </w:t>
      </w:r>
      <w:r w:rsidR="0031614A">
        <w:rPr>
          <w:rFonts w:cs="Times New Roman"/>
          <w:i/>
          <w:iCs/>
          <w:szCs w:val="24"/>
        </w:rPr>
        <w:t>„</w:t>
      </w:r>
      <w:proofErr w:type="spellStart"/>
      <w:r w:rsidRPr="001F5DF9">
        <w:rPr>
          <w:rFonts w:cs="Times New Roman"/>
          <w:i/>
          <w:iCs/>
          <w:szCs w:val="24"/>
        </w:rPr>
        <w:t>Curtea</w:t>
      </w:r>
      <w:proofErr w:type="spellEnd"/>
      <w:r w:rsidRPr="001F5DF9">
        <w:rPr>
          <w:rFonts w:cs="Times New Roman"/>
          <w:i/>
          <w:iCs/>
          <w:szCs w:val="24"/>
        </w:rPr>
        <w:t xml:space="preserve"> </w:t>
      </w:r>
      <w:proofErr w:type="spellStart"/>
      <w:r w:rsidRPr="001F5DF9">
        <w:rPr>
          <w:rFonts w:cs="Times New Roman"/>
          <w:i/>
          <w:iCs/>
          <w:szCs w:val="24"/>
        </w:rPr>
        <w:t>de</w:t>
      </w:r>
      <w:proofErr w:type="spellEnd"/>
      <w:r w:rsidRPr="001F5DF9">
        <w:rPr>
          <w:rFonts w:cs="Times New Roman"/>
          <w:i/>
          <w:iCs/>
          <w:szCs w:val="24"/>
        </w:rPr>
        <w:t xml:space="preserve"> </w:t>
      </w:r>
      <w:proofErr w:type="spellStart"/>
      <w:r w:rsidRPr="001F5DF9">
        <w:rPr>
          <w:rFonts w:cs="Times New Roman"/>
          <w:i/>
          <w:iCs/>
          <w:szCs w:val="24"/>
        </w:rPr>
        <w:t>Apel</w:t>
      </w:r>
      <w:proofErr w:type="spellEnd"/>
      <w:r w:rsidRPr="001F5DF9">
        <w:rPr>
          <w:rFonts w:cs="Times New Roman"/>
          <w:i/>
          <w:iCs/>
          <w:szCs w:val="24"/>
        </w:rPr>
        <w:t xml:space="preserve"> </w:t>
      </w:r>
      <w:proofErr w:type="spellStart"/>
      <w:r w:rsidRPr="001F5DF9">
        <w:rPr>
          <w:rFonts w:cs="Times New Roman"/>
          <w:i/>
          <w:iCs/>
          <w:szCs w:val="24"/>
        </w:rPr>
        <w:t>Bucureşti</w:t>
      </w:r>
      <w:proofErr w:type="spellEnd"/>
      <w:r w:rsidRPr="001F5DF9">
        <w:rPr>
          <w:rFonts w:cs="Times New Roman"/>
          <w:i/>
          <w:iCs/>
          <w:szCs w:val="24"/>
        </w:rPr>
        <w:t xml:space="preserve"> (Tiesnešu pensionēšanās pabalsta atcelšana)</w:t>
      </w:r>
      <w:r w:rsidR="0031614A">
        <w:rPr>
          <w:rFonts w:cs="Times New Roman"/>
          <w:i/>
          <w:iCs/>
          <w:szCs w:val="24"/>
        </w:rPr>
        <w:t>”</w:t>
      </w:r>
      <w:r w:rsidRPr="001F5DF9">
        <w:rPr>
          <w:rFonts w:cs="Times New Roman"/>
          <w:i/>
          <w:iCs/>
          <w:szCs w:val="24"/>
        </w:rPr>
        <w:t xml:space="preserve">, C-762/23, </w:t>
      </w:r>
      <w:hyperlink r:id="rId13" w:history="1">
        <w:r w:rsidRPr="001F5DF9">
          <w:rPr>
            <w:rStyle w:val="Hyperlink"/>
            <w:rFonts w:cs="Times New Roman"/>
            <w:i/>
            <w:iCs/>
            <w:szCs w:val="24"/>
          </w:rPr>
          <w:t>ECLI:EU:C:2025:400</w:t>
        </w:r>
      </w:hyperlink>
      <w:r w:rsidRPr="001F5DF9">
        <w:rPr>
          <w:rFonts w:cs="Times New Roman"/>
          <w:i/>
          <w:iCs/>
          <w:szCs w:val="24"/>
        </w:rPr>
        <w:t>, 21. punktu</w:t>
      </w:r>
      <w:r w:rsidRPr="001F5DF9">
        <w:rPr>
          <w:rFonts w:cs="Times New Roman"/>
          <w:szCs w:val="24"/>
        </w:rPr>
        <w:t>).</w:t>
      </w:r>
    </w:p>
    <w:p w14:paraId="184FFE6C" w14:textId="17CF46B4" w:rsidR="005B61D3" w:rsidRPr="001F5DF9" w:rsidRDefault="005B61D3" w:rsidP="008A3B24">
      <w:pPr>
        <w:pStyle w:val="NoSpacing"/>
        <w:widowControl w:val="0"/>
        <w:spacing w:line="276" w:lineRule="auto"/>
        <w:ind w:firstLine="720"/>
        <w:jc w:val="both"/>
        <w:rPr>
          <w:rFonts w:cs="Times New Roman"/>
          <w:szCs w:val="24"/>
        </w:rPr>
      </w:pPr>
      <w:proofErr w:type="spellStart"/>
      <w:r w:rsidRPr="001F5DF9">
        <w:rPr>
          <w:rFonts w:cs="Times New Roman"/>
          <w:szCs w:val="24"/>
        </w:rPr>
        <w:t>Disciplinārtiesa</w:t>
      </w:r>
      <w:proofErr w:type="spellEnd"/>
      <w:r w:rsidR="001F6185" w:rsidRPr="001F5DF9">
        <w:rPr>
          <w:rFonts w:cs="Times New Roman"/>
          <w:szCs w:val="24"/>
        </w:rPr>
        <w:t xml:space="preserve"> norāda, ka</w:t>
      </w:r>
      <w:r w:rsidRPr="001F5DF9">
        <w:rPr>
          <w:rFonts w:cs="Times New Roman"/>
          <w:szCs w:val="24"/>
        </w:rPr>
        <w:t xml:space="preserve"> tiesnešu disciplinārās atbildības institūts Latvijā nerada bažas, ka tiesneši, pret kuriem tiek ierosinātas vai izskatītas disciplinārlietas, zaudētu neatkarību, kāda tiem nepieciešama pamattiesību uz efektīvu tiesisko aizsardzību nodrošināšanai (sk. </w:t>
      </w:r>
      <w:r w:rsidR="001F5DF9" w:rsidRPr="00476961">
        <w:rPr>
          <w:rFonts w:cs="Times New Roman"/>
          <w:i/>
          <w:iCs/>
          <w:szCs w:val="24"/>
        </w:rPr>
        <w:t>2007. gada 13. decembra</w:t>
      </w:r>
      <w:r w:rsidR="001F5DF9" w:rsidRPr="001F5DF9">
        <w:rPr>
          <w:rFonts w:cs="Times New Roman"/>
          <w:i/>
          <w:iCs/>
          <w:szCs w:val="24"/>
        </w:rPr>
        <w:t xml:space="preserve"> </w:t>
      </w:r>
      <w:hyperlink r:id="rId14" w:history="1">
        <w:r w:rsidRPr="00476961">
          <w:rPr>
            <w:rStyle w:val="Hyperlink"/>
            <w:rFonts w:cs="Times New Roman"/>
            <w:i/>
            <w:iCs/>
            <w:szCs w:val="24"/>
          </w:rPr>
          <w:t>Līguma par Eiropas Savienības darbību</w:t>
        </w:r>
      </w:hyperlink>
      <w:r w:rsidRPr="00476961">
        <w:rPr>
          <w:rFonts w:cs="Times New Roman"/>
          <w:i/>
          <w:iCs/>
          <w:szCs w:val="24"/>
        </w:rPr>
        <w:t xml:space="preserve"> 19. panta 2. punkta trešo daļu</w:t>
      </w:r>
      <w:r w:rsidRPr="001F5DF9">
        <w:rPr>
          <w:rFonts w:cs="Times New Roman"/>
          <w:szCs w:val="24"/>
        </w:rPr>
        <w:t>) vai ka šāds režīms varētu tikt izmantots kā tiesu nolēmumu satura politiskās kontroles sistēma (sk. </w:t>
      </w:r>
      <w:r w:rsidRPr="001F5DF9">
        <w:rPr>
          <w:rFonts w:cs="Times New Roman"/>
          <w:i/>
          <w:iCs/>
          <w:szCs w:val="24"/>
        </w:rPr>
        <w:t>Eiropas Savienības Tiesas 2021. gada 18. maija sprieduma apvienotajās lietās „</w:t>
      </w:r>
      <w:proofErr w:type="spellStart"/>
      <w:r w:rsidRPr="001F5DF9">
        <w:rPr>
          <w:rFonts w:cs="Times New Roman"/>
          <w:i/>
          <w:iCs/>
          <w:szCs w:val="24"/>
        </w:rPr>
        <w:t>Asociaţia</w:t>
      </w:r>
      <w:proofErr w:type="spellEnd"/>
      <w:r w:rsidRPr="001F5DF9">
        <w:rPr>
          <w:rFonts w:cs="Times New Roman"/>
          <w:i/>
          <w:iCs/>
          <w:szCs w:val="24"/>
        </w:rPr>
        <w:t xml:space="preserve"> “</w:t>
      </w:r>
      <w:proofErr w:type="spellStart"/>
      <w:r w:rsidRPr="001F5DF9">
        <w:rPr>
          <w:rFonts w:cs="Times New Roman"/>
          <w:i/>
          <w:iCs/>
          <w:szCs w:val="24"/>
        </w:rPr>
        <w:t>Forumul</w:t>
      </w:r>
      <w:proofErr w:type="spellEnd"/>
      <w:r w:rsidRPr="001F5DF9">
        <w:rPr>
          <w:rFonts w:cs="Times New Roman"/>
          <w:i/>
          <w:iCs/>
          <w:szCs w:val="24"/>
        </w:rPr>
        <w:t xml:space="preserve"> </w:t>
      </w:r>
      <w:proofErr w:type="spellStart"/>
      <w:r w:rsidRPr="001F5DF9">
        <w:rPr>
          <w:rFonts w:cs="Times New Roman"/>
          <w:i/>
          <w:iCs/>
          <w:szCs w:val="24"/>
        </w:rPr>
        <w:t>Judecătorilor</w:t>
      </w:r>
      <w:proofErr w:type="spellEnd"/>
      <w:r w:rsidRPr="001F5DF9">
        <w:rPr>
          <w:rFonts w:cs="Times New Roman"/>
          <w:i/>
          <w:iCs/>
          <w:szCs w:val="24"/>
        </w:rPr>
        <w:t xml:space="preserve"> </w:t>
      </w:r>
      <w:proofErr w:type="spellStart"/>
      <w:r w:rsidRPr="001F5DF9">
        <w:rPr>
          <w:rFonts w:cs="Times New Roman"/>
          <w:i/>
          <w:iCs/>
          <w:szCs w:val="24"/>
        </w:rPr>
        <w:t>din</w:t>
      </w:r>
      <w:proofErr w:type="spellEnd"/>
      <w:r w:rsidRPr="001F5DF9">
        <w:rPr>
          <w:rFonts w:cs="Times New Roman"/>
          <w:i/>
          <w:iCs/>
          <w:szCs w:val="24"/>
        </w:rPr>
        <w:t xml:space="preserve"> </w:t>
      </w:r>
      <w:proofErr w:type="spellStart"/>
      <w:r w:rsidRPr="001F5DF9">
        <w:rPr>
          <w:rFonts w:cs="Times New Roman"/>
          <w:i/>
          <w:iCs/>
          <w:szCs w:val="24"/>
        </w:rPr>
        <w:t>România</w:t>
      </w:r>
      <w:proofErr w:type="spellEnd"/>
      <w:r w:rsidRPr="001F5DF9">
        <w:rPr>
          <w:rFonts w:cs="Times New Roman"/>
          <w:i/>
          <w:iCs/>
          <w:szCs w:val="24"/>
        </w:rPr>
        <w:t>””, C</w:t>
      </w:r>
      <w:r w:rsidR="00476961">
        <w:rPr>
          <w:rFonts w:cs="Times New Roman"/>
          <w:i/>
          <w:iCs/>
          <w:szCs w:val="24"/>
        </w:rPr>
        <w:noBreakHyphen/>
      </w:r>
      <w:r w:rsidRPr="001F5DF9">
        <w:rPr>
          <w:rFonts w:cs="Times New Roman"/>
          <w:i/>
          <w:iCs/>
          <w:szCs w:val="24"/>
        </w:rPr>
        <w:t xml:space="preserve">83/19, u.c., </w:t>
      </w:r>
      <w:hyperlink r:id="rId15" w:history="1">
        <w:r w:rsidR="00476961" w:rsidRPr="001F5DF9">
          <w:rPr>
            <w:rStyle w:val="Hyperlink"/>
            <w:rFonts w:cs="Times New Roman"/>
            <w:i/>
            <w:iCs/>
            <w:szCs w:val="24"/>
          </w:rPr>
          <w:t>ECLI:EU:C:2021:393</w:t>
        </w:r>
      </w:hyperlink>
      <w:r w:rsidRPr="001F5DF9">
        <w:rPr>
          <w:rFonts w:cs="Times New Roman"/>
          <w:i/>
          <w:iCs/>
          <w:szCs w:val="24"/>
        </w:rPr>
        <w:t>, 61. punktu</w:t>
      </w:r>
      <w:r w:rsidRPr="001F5DF9">
        <w:rPr>
          <w:rFonts w:cs="Times New Roman"/>
          <w:szCs w:val="24"/>
        </w:rPr>
        <w:t>).</w:t>
      </w:r>
    </w:p>
    <w:p w14:paraId="2D0E7497" w14:textId="5CF90A04" w:rsidR="00494870" w:rsidRPr="001F5DF9" w:rsidRDefault="005B61D3" w:rsidP="008A3B24">
      <w:pPr>
        <w:pStyle w:val="NoSpacing"/>
        <w:widowControl w:val="0"/>
        <w:spacing w:line="276" w:lineRule="auto"/>
        <w:ind w:firstLine="720"/>
        <w:jc w:val="both"/>
        <w:rPr>
          <w:rFonts w:cs="Times New Roman"/>
          <w:szCs w:val="24"/>
        </w:rPr>
      </w:pPr>
      <w:r w:rsidRPr="001F5DF9">
        <w:rPr>
          <w:rFonts w:cs="Times New Roman"/>
          <w:szCs w:val="24"/>
        </w:rPr>
        <w:t xml:space="preserve">Izskatāmajā gadījumā amatalgas samazināšana uz </w:t>
      </w:r>
      <w:r w:rsidR="001F6185" w:rsidRPr="001F5DF9">
        <w:rPr>
          <w:rFonts w:cs="Times New Roman"/>
          <w:szCs w:val="24"/>
        </w:rPr>
        <w:t>vienu</w:t>
      </w:r>
      <w:r w:rsidRPr="001F5DF9">
        <w:rPr>
          <w:rFonts w:cs="Times New Roman"/>
          <w:szCs w:val="24"/>
        </w:rPr>
        <w:t xml:space="preserve"> gadu, ieturot</w:t>
      </w:r>
      <w:r w:rsidR="001F6185" w:rsidRPr="001F5DF9">
        <w:rPr>
          <w:rFonts w:cs="Times New Roman"/>
          <w:szCs w:val="24"/>
        </w:rPr>
        <w:t xml:space="preserve"> </w:t>
      </w:r>
      <w:r w:rsidR="00204DAE" w:rsidRPr="001F5DF9">
        <w:rPr>
          <w:rFonts w:cs="Times New Roman"/>
          <w:szCs w:val="24"/>
        </w:rPr>
        <w:t>20</w:t>
      </w:r>
      <w:r w:rsidR="00476961">
        <w:rPr>
          <w:rFonts w:cs="Times New Roman"/>
          <w:szCs w:val="24"/>
        </w:rPr>
        <w:t> </w:t>
      </w:r>
      <w:r w:rsidR="001F6185" w:rsidRPr="001F5DF9">
        <w:rPr>
          <w:rFonts w:cs="Times New Roman"/>
          <w:szCs w:val="24"/>
        </w:rPr>
        <w:t>procentus</w:t>
      </w:r>
      <w:r w:rsidRPr="001F5DF9">
        <w:rPr>
          <w:rFonts w:cs="Times New Roman"/>
          <w:szCs w:val="24"/>
        </w:rPr>
        <w:t xml:space="preserve"> no amatalgas, piemērota kā disciplinārsods, kuru </w:t>
      </w:r>
      <w:r w:rsidR="00DB7B63" w:rsidRPr="001F5DF9">
        <w:rPr>
          <w:rFonts w:cs="Times New Roman"/>
          <w:szCs w:val="24"/>
        </w:rPr>
        <w:t xml:space="preserve">par konkrētu izdarīto disciplināro pārkāpumu </w:t>
      </w:r>
      <w:r w:rsidRPr="001F5DF9">
        <w:rPr>
          <w:rFonts w:cs="Times New Roman"/>
          <w:szCs w:val="24"/>
        </w:rPr>
        <w:t>uzlikus</w:t>
      </w:r>
      <w:r w:rsidR="00BF0036">
        <w:rPr>
          <w:rFonts w:cs="Times New Roman"/>
          <w:szCs w:val="24"/>
        </w:rPr>
        <w:t>i</w:t>
      </w:r>
      <w:r w:rsidR="00105170">
        <w:rPr>
          <w:rFonts w:cs="Times New Roman"/>
          <w:szCs w:val="24"/>
        </w:rPr>
        <w:t xml:space="preserve"> tam</w:t>
      </w:r>
      <w:r w:rsidRPr="001F5DF9">
        <w:rPr>
          <w:rFonts w:cs="Times New Roman"/>
          <w:szCs w:val="24"/>
        </w:rPr>
        <w:t xml:space="preserve"> ar Tiesnešu disciplinārās atbildības likumu izveidota tiesnešu pašpārvaldes institūcija – tiesnešu disciplinārkolēģija</w:t>
      </w:r>
      <w:r w:rsidR="00357AF9" w:rsidRPr="001F5DF9">
        <w:rPr>
          <w:rFonts w:cs="Times New Roman"/>
          <w:szCs w:val="24"/>
        </w:rPr>
        <w:t>. U</w:t>
      </w:r>
      <w:r w:rsidRPr="001F5DF9">
        <w:rPr>
          <w:rFonts w:cs="Times New Roman"/>
          <w:szCs w:val="24"/>
        </w:rPr>
        <w:t>zliktais soda veids un mērs ir paredzēts tieši likumā (</w:t>
      </w:r>
      <w:r w:rsidRPr="00476961">
        <w:rPr>
          <w:rFonts w:cs="Times New Roman"/>
          <w:i/>
          <w:iCs/>
          <w:szCs w:val="24"/>
        </w:rPr>
        <w:t>Tiesnešu disciplinārās atbildības likuma 7. panta ceturtās daļas 3.</w:t>
      </w:r>
      <w:r w:rsidR="00DB7B63" w:rsidRPr="00476961">
        <w:rPr>
          <w:rFonts w:cs="Times New Roman"/>
          <w:i/>
          <w:iCs/>
          <w:szCs w:val="24"/>
        </w:rPr>
        <w:t> </w:t>
      </w:r>
      <w:r w:rsidRPr="00476961">
        <w:rPr>
          <w:rFonts w:cs="Times New Roman"/>
          <w:i/>
          <w:iCs/>
          <w:szCs w:val="24"/>
        </w:rPr>
        <w:t>punkts</w:t>
      </w:r>
      <w:r w:rsidRPr="001F5DF9">
        <w:rPr>
          <w:rFonts w:cs="Times New Roman"/>
          <w:szCs w:val="24"/>
        </w:rPr>
        <w:t>), tas ir ierobežots gan laik</w:t>
      </w:r>
      <w:r w:rsidR="00DB7B63" w:rsidRPr="001F5DF9">
        <w:rPr>
          <w:rFonts w:cs="Times New Roman"/>
          <w:szCs w:val="24"/>
        </w:rPr>
        <w:t>a</w:t>
      </w:r>
      <w:r w:rsidRPr="001F5DF9">
        <w:rPr>
          <w:rFonts w:cs="Times New Roman"/>
          <w:szCs w:val="24"/>
        </w:rPr>
        <w:t>, gan apmēr</w:t>
      </w:r>
      <w:r w:rsidR="00DB7B63" w:rsidRPr="001F5DF9">
        <w:rPr>
          <w:rFonts w:cs="Times New Roman"/>
          <w:szCs w:val="24"/>
        </w:rPr>
        <w:t>a ziņā</w:t>
      </w:r>
      <w:r w:rsidR="008465E9" w:rsidRPr="001F5DF9">
        <w:rPr>
          <w:rFonts w:cs="Times New Roman"/>
          <w:szCs w:val="24"/>
        </w:rPr>
        <w:t>,</w:t>
      </w:r>
      <w:r w:rsidR="00AB280E" w:rsidRPr="001F5DF9">
        <w:rPr>
          <w:rFonts w:cs="Times New Roman"/>
          <w:szCs w:val="24"/>
        </w:rPr>
        <w:t xml:space="preserve"> un uzlikts procedūrā, kuras atbilstība taisnīgas tiesas principam nav apšaubīta.</w:t>
      </w:r>
    </w:p>
    <w:p w14:paraId="55DA3905" w14:textId="403EF5EB" w:rsidR="000C4C18" w:rsidRPr="001F5DF9" w:rsidRDefault="008465E9" w:rsidP="008A3B24">
      <w:pPr>
        <w:pStyle w:val="NoSpacing"/>
        <w:widowControl w:val="0"/>
        <w:spacing w:line="276" w:lineRule="auto"/>
        <w:ind w:firstLine="720"/>
        <w:jc w:val="both"/>
        <w:rPr>
          <w:rFonts w:cs="Times New Roman"/>
          <w:szCs w:val="24"/>
        </w:rPr>
      </w:pPr>
      <w:proofErr w:type="spellStart"/>
      <w:r w:rsidRPr="001F5DF9">
        <w:rPr>
          <w:rFonts w:cs="Times New Roman"/>
          <w:szCs w:val="24"/>
        </w:rPr>
        <w:t>Disciplinārtiesa</w:t>
      </w:r>
      <w:proofErr w:type="spellEnd"/>
      <w:r w:rsidRPr="001F5DF9">
        <w:rPr>
          <w:rFonts w:cs="Times New Roman"/>
          <w:szCs w:val="24"/>
        </w:rPr>
        <w:t xml:space="preserve"> atzīst, ka konkrētais piemērotais sods – amatalgas samazināšana uz </w:t>
      </w:r>
      <w:r w:rsidR="001F6185" w:rsidRPr="001F5DF9">
        <w:rPr>
          <w:rFonts w:cs="Times New Roman"/>
          <w:szCs w:val="24"/>
        </w:rPr>
        <w:t>vienu</w:t>
      </w:r>
      <w:r w:rsidRPr="001F5DF9">
        <w:rPr>
          <w:rFonts w:cs="Times New Roman"/>
          <w:szCs w:val="24"/>
        </w:rPr>
        <w:t xml:space="preserve"> gadu, ieturot 20</w:t>
      </w:r>
      <w:r w:rsidR="00476961">
        <w:rPr>
          <w:rFonts w:cs="Times New Roman"/>
          <w:szCs w:val="24"/>
        </w:rPr>
        <w:t> </w:t>
      </w:r>
      <w:r w:rsidRPr="001F5DF9">
        <w:rPr>
          <w:rFonts w:cs="Times New Roman"/>
          <w:szCs w:val="24"/>
        </w:rPr>
        <w:t>procentus no amatalgas –, nenoliedzami ietekmē darba samaksas apmēru, kuru senators saņems noteiktajā laikā (vienu gadu), tomēr senatora atlikušās amatalgas apmērs (80</w:t>
      </w:r>
      <w:r w:rsidR="00476961">
        <w:rPr>
          <w:rFonts w:cs="Times New Roman"/>
          <w:szCs w:val="24"/>
        </w:rPr>
        <w:t> </w:t>
      </w:r>
      <w:r w:rsidRPr="001F5DF9">
        <w:rPr>
          <w:rFonts w:cs="Times New Roman"/>
          <w:szCs w:val="24"/>
        </w:rPr>
        <w:t xml:space="preserve">procenti) </w:t>
      </w:r>
      <w:r w:rsidR="001F6185" w:rsidRPr="001F5DF9">
        <w:rPr>
          <w:rFonts w:cs="Times New Roman"/>
          <w:szCs w:val="24"/>
        </w:rPr>
        <w:t xml:space="preserve">pats par sevi </w:t>
      </w:r>
      <w:proofErr w:type="spellStart"/>
      <w:r w:rsidRPr="001F5DF9">
        <w:rPr>
          <w:rFonts w:cs="Times New Roman"/>
          <w:szCs w:val="24"/>
        </w:rPr>
        <w:t>Disciplinārtiesai</w:t>
      </w:r>
      <w:proofErr w:type="spellEnd"/>
      <w:r w:rsidRPr="001F5DF9">
        <w:rPr>
          <w:rFonts w:cs="Times New Roman"/>
          <w:szCs w:val="24"/>
        </w:rPr>
        <w:t xml:space="preserve"> nerada šaubas</w:t>
      </w:r>
      <w:r w:rsidR="00692C38" w:rsidRPr="001F5DF9">
        <w:rPr>
          <w:rFonts w:cs="Times New Roman"/>
          <w:szCs w:val="24"/>
        </w:rPr>
        <w:t>, ka atalgojuma apmērs varētu ietekmēt senatora neatkarību tiesas spriešanā.</w:t>
      </w:r>
    </w:p>
    <w:p w14:paraId="6008A5FD" w14:textId="2BDC9FD3" w:rsidR="009F22D9" w:rsidRPr="001F5DF9" w:rsidRDefault="00692C38" w:rsidP="008A3B24">
      <w:pPr>
        <w:pStyle w:val="NoSpacing"/>
        <w:widowControl w:val="0"/>
        <w:spacing w:line="276" w:lineRule="auto"/>
        <w:ind w:firstLine="720"/>
        <w:jc w:val="both"/>
        <w:rPr>
          <w:rFonts w:cs="Times New Roman"/>
          <w:szCs w:val="24"/>
        </w:rPr>
      </w:pPr>
      <w:r w:rsidRPr="001F5DF9">
        <w:rPr>
          <w:rFonts w:cs="Times New Roman"/>
          <w:szCs w:val="24"/>
        </w:rPr>
        <w:t xml:space="preserve">Arī pats senators ne sūdzībā, ne papildu paskaidrojumos par Disciplinārkolēģijas lēmumu nav norādījis konkrētus apsvērumus, kas liktu domāt, ka Latvijā esošā disciplinārsodu sistēma kā tāda vai konkrēti piemērotais disciplinārsods var apdraudēt tiesneša neatkarību, </w:t>
      </w:r>
      <w:r w:rsidR="00301A4A" w:rsidRPr="001F5DF9">
        <w:rPr>
          <w:rFonts w:cs="Times New Roman"/>
          <w:szCs w:val="24"/>
        </w:rPr>
        <w:t xml:space="preserve">bet </w:t>
      </w:r>
      <w:r w:rsidRPr="001F5DF9">
        <w:rPr>
          <w:rFonts w:cs="Times New Roman"/>
          <w:szCs w:val="24"/>
        </w:rPr>
        <w:t>aprobežoj</w:t>
      </w:r>
      <w:r w:rsidR="00301A4A" w:rsidRPr="001F5DF9">
        <w:rPr>
          <w:rFonts w:cs="Times New Roman"/>
          <w:szCs w:val="24"/>
        </w:rPr>
        <w:t>ies</w:t>
      </w:r>
      <w:r w:rsidRPr="001F5DF9">
        <w:rPr>
          <w:rFonts w:cs="Times New Roman"/>
          <w:szCs w:val="24"/>
        </w:rPr>
        <w:t xml:space="preserve"> vienīgi ar vispārīg</w:t>
      </w:r>
      <w:r w:rsidR="00666D8F" w:rsidRPr="001F5DF9">
        <w:rPr>
          <w:rFonts w:cs="Times New Roman"/>
          <w:szCs w:val="24"/>
        </w:rPr>
        <w:t>iem</w:t>
      </w:r>
      <w:r w:rsidRPr="001F5DF9">
        <w:rPr>
          <w:rFonts w:cs="Times New Roman"/>
          <w:szCs w:val="24"/>
        </w:rPr>
        <w:t xml:space="preserve"> apgalvojum</w:t>
      </w:r>
      <w:r w:rsidR="00666D8F" w:rsidRPr="001F5DF9">
        <w:rPr>
          <w:rFonts w:cs="Times New Roman"/>
          <w:szCs w:val="24"/>
        </w:rPr>
        <w:t xml:space="preserve">iem, ka tiesnešu atalgojums ir būtisks tiesnešu neatkarības garants, </w:t>
      </w:r>
      <w:r w:rsidR="00301A4A" w:rsidRPr="001F5DF9">
        <w:rPr>
          <w:rFonts w:cs="Times New Roman"/>
          <w:szCs w:val="24"/>
        </w:rPr>
        <w:t>savukārt</w:t>
      </w:r>
      <w:r w:rsidR="00666D8F" w:rsidRPr="001F5DF9">
        <w:rPr>
          <w:rFonts w:cs="Times New Roman"/>
          <w:szCs w:val="24"/>
        </w:rPr>
        <w:t xml:space="preserve"> nesamērīga disciplinārā sankcija var būt apdraudējums tiesneša neatkarībai, kā arī</w:t>
      </w:r>
      <w:r w:rsidR="00301A4A" w:rsidRPr="001F5DF9">
        <w:rPr>
          <w:rFonts w:cs="Times New Roman"/>
          <w:szCs w:val="24"/>
        </w:rPr>
        <w:t>, pamatojoties uz Eiropas Tiesnešu konsultatīvās padomes 2024. gada 6.</w:t>
      </w:r>
      <w:r w:rsidR="009624F1">
        <w:rPr>
          <w:rFonts w:cs="Times New Roman"/>
          <w:szCs w:val="24"/>
        </w:rPr>
        <w:t> </w:t>
      </w:r>
      <w:r w:rsidR="00301A4A" w:rsidRPr="001F5DF9">
        <w:rPr>
          <w:rFonts w:cs="Times New Roman"/>
          <w:szCs w:val="24"/>
        </w:rPr>
        <w:t>decembra viedoklī Nr. 27 (2024)</w:t>
      </w:r>
      <w:r w:rsidR="009F22D9" w:rsidRPr="001F5DF9">
        <w:rPr>
          <w:rFonts w:cs="Times New Roman"/>
          <w:szCs w:val="24"/>
        </w:rPr>
        <w:t xml:space="preserve"> par tiesnešu disciplināratbildību pausto atziņu,</w:t>
      </w:r>
      <w:r w:rsidR="00301A4A" w:rsidRPr="001F5DF9">
        <w:rPr>
          <w:rFonts w:cs="Times New Roman"/>
          <w:szCs w:val="24"/>
        </w:rPr>
        <w:t xml:space="preserve"> </w:t>
      </w:r>
      <w:r w:rsidR="00666D8F" w:rsidRPr="001F5DF9">
        <w:rPr>
          <w:rFonts w:cs="Times New Roman"/>
          <w:szCs w:val="24"/>
        </w:rPr>
        <w:t>norādījis uz vienlīdzības principa pārkāpumu</w:t>
      </w:r>
      <w:r w:rsidR="009F22D9" w:rsidRPr="001F5DF9">
        <w:rPr>
          <w:rFonts w:cs="Times New Roman"/>
          <w:szCs w:val="24"/>
        </w:rPr>
        <w:t>.</w:t>
      </w:r>
    </w:p>
    <w:p w14:paraId="6905FD5D" w14:textId="38DA22BF" w:rsidR="00A736CF" w:rsidRPr="001F5DF9" w:rsidRDefault="00A736CF" w:rsidP="008A3B24">
      <w:pPr>
        <w:pStyle w:val="NoSpacing"/>
        <w:widowControl w:val="0"/>
        <w:spacing w:line="276" w:lineRule="auto"/>
        <w:ind w:firstLine="720"/>
        <w:jc w:val="both"/>
        <w:rPr>
          <w:rFonts w:cs="Times New Roman"/>
          <w:szCs w:val="24"/>
        </w:rPr>
      </w:pPr>
      <w:r w:rsidRPr="001F5DF9">
        <w:rPr>
          <w:rFonts w:cs="Times New Roman"/>
          <w:szCs w:val="24"/>
        </w:rPr>
        <w:t xml:space="preserve">Ievērojot minēto, </w:t>
      </w:r>
      <w:proofErr w:type="spellStart"/>
      <w:r w:rsidRPr="001F5DF9">
        <w:rPr>
          <w:rFonts w:cs="Times New Roman"/>
          <w:szCs w:val="24"/>
        </w:rPr>
        <w:t>Disciplinārtiesa</w:t>
      </w:r>
      <w:proofErr w:type="spellEnd"/>
      <w:r w:rsidRPr="001F5DF9">
        <w:rPr>
          <w:rFonts w:cs="Times New Roman"/>
          <w:szCs w:val="24"/>
        </w:rPr>
        <w:t xml:space="preserve"> atzīst, ka</w:t>
      </w:r>
      <w:r w:rsidR="009624F1">
        <w:rPr>
          <w:rFonts w:cs="Times New Roman"/>
          <w:szCs w:val="24"/>
        </w:rPr>
        <w:t xml:space="preserve"> </w:t>
      </w:r>
      <w:r w:rsidRPr="009624F1">
        <w:rPr>
          <w:rFonts w:cs="Times New Roman"/>
          <w:szCs w:val="24"/>
        </w:rPr>
        <w:t>izvirzītajam Eiropas Savienības tiesību jautājumam nav nozīmes strīda atrisināšanā, līdz ar to nav konstatējams pamats vērsties Eiropas Savienības Tiesā.</w:t>
      </w:r>
    </w:p>
    <w:p w14:paraId="080D804F" w14:textId="14ADC386" w:rsidR="00A736CF" w:rsidRPr="001F5DF9" w:rsidRDefault="00A736CF" w:rsidP="008A3B24">
      <w:pPr>
        <w:pStyle w:val="NoSpacing"/>
        <w:widowControl w:val="0"/>
        <w:spacing w:line="276" w:lineRule="auto"/>
        <w:ind w:firstLine="720"/>
        <w:jc w:val="both"/>
        <w:rPr>
          <w:rFonts w:cs="Times New Roman"/>
          <w:szCs w:val="24"/>
        </w:rPr>
      </w:pPr>
    </w:p>
    <w:p w14:paraId="396DA973" w14:textId="2A0C4EF0" w:rsidR="00347DDC" w:rsidRPr="001F5DF9" w:rsidRDefault="00666D8F" w:rsidP="008A3B24">
      <w:pPr>
        <w:pStyle w:val="NoSpacing"/>
        <w:widowControl w:val="0"/>
        <w:spacing w:line="276" w:lineRule="auto"/>
        <w:ind w:firstLine="720"/>
        <w:jc w:val="both"/>
        <w:rPr>
          <w:rFonts w:cs="Times New Roman"/>
          <w:szCs w:val="24"/>
        </w:rPr>
      </w:pPr>
      <w:r w:rsidRPr="009624F1">
        <w:rPr>
          <w:rFonts w:cs="Times New Roman"/>
          <w:szCs w:val="24"/>
        </w:rPr>
        <w:t>[8]</w:t>
      </w:r>
      <w:r w:rsidR="009624F1">
        <w:rPr>
          <w:rFonts w:cs="Times New Roman"/>
          <w:szCs w:val="24"/>
        </w:rPr>
        <w:t> </w:t>
      </w:r>
      <w:proofErr w:type="spellStart"/>
      <w:r w:rsidR="002729FD" w:rsidRPr="00A94F36">
        <w:rPr>
          <w:rFonts w:cs="Times New Roman"/>
          <w:szCs w:val="24"/>
        </w:rPr>
        <w:t>Disciplinārtiesa</w:t>
      </w:r>
      <w:proofErr w:type="spellEnd"/>
      <w:r w:rsidR="002729FD" w:rsidRPr="00A94F36">
        <w:rPr>
          <w:rFonts w:cs="Times New Roman"/>
          <w:szCs w:val="24"/>
        </w:rPr>
        <w:t xml:space="preserve"> atzīst, ka </w:t>
      </w:r>
      <w:r w:rsidR="004621D7" w:rsidRPr="00A94F36">
        <w:rPr>
          <w:rFonts w:cs="Times New Roman"/>
          <w:szCs w:val="24"/>
        </w:rPr>
        <w:t>t</w:t>
      </w:r>
      <w:r w:rsidR="002729FD" w:rsidRPr="00A94F36">
        <w:rPr>
          <w:rFonts w:cs="Times New Roman"/>
          <w:szCs w:val="24"/>
        </w:rPr>
        <w:t xml:space="preserve">iesnešu disciplinārkolēģijas 2026. gada 20. februāra lēmums atstājams negrozīts, bet senatora </w:t>
      </w:r>
      <w:r w:rsidR="00B97DBC">
        <w:rPr>
          <w:rFonts w:cs="Times New Roman"/>
          <w:szCs w:val="24"/>
        </w:rPr>
        <w:t xml:space="preserve">[A] </w:t>
      </w:r>
      <w:r w:rsidR="002729FD" w:rsidRPr="00A94F36">
        <w:rPr>
          <w:rFonts w:cs="Times New Roman"/>
          <w:szCs w:val="24"/>
        </w:rPr>
        <w:t>sūdzība noraidāma.</w:t>
      </w:r>
    </w:p>
    <w:p w14:paraId="701250FE" w14:textId="5C3E9A73" w:rsidR="00840AAF" w:rsidRPr="001F5DF9" w:rsidRDefault="002729FD" w:rsidP="008A3B24">
      <w:pPr>
        <w:pStyle w:val="NoSpacing"/>
        <w:widowControl w:val="0"/>
        <w:spacing w:line="276" w:lineRule="auto"/>
        <w:ind w:firstLine="720"/>
        <w:jc w:val="both"/>
        <w:rPr>
          <w:rFonts w:cs="Times New Roman"/>
          <w:szCs w:val="24"/>
        </w:rPr>
      </w:pPr>
      <w:r w:rsidRPr="009624F1">
        <w:rPr>
          <w:rFonts w:cs="Times New Roman"/>
          <w:szCs w:val="24"/>
        </w:rPr>
        <w:t>[</w:t>
      </w:r>
      <w:r w:rsidR="00666D8F" w:rsidRPr="009624F1">
        <w:rPr>
          <w:rFonts w:cs="Times New Roman"/>
          <w:szCs w:val="24"/>
        </w:rPr>
        <w:t>8</w:t>
      </w:r>
      <w:r w:rsidRPr="009624F1">
        <w:rPr>
          <w:rFonts w:cs="Times New Roman"/>
          <w:szCs w:val="24"/>
        </w:rPr>
        <w:t>.</w:t>
      </w:r>
      <w:r w:rsidR="00666D8F" w:rsidRPr="009624F1">
        <w:rPr>
          <w:rFonts w:cs="Times New Roman"/>
          <w:szCs w:val="24"/>
        </w:rPr>
        <w:t>1</w:t>
      </w:r>
      <w:r w:rsidRPr="009624F1">
        <w:rPr>
          <w:rFonts w:cs="Times New Roman"/>
          <w:szCs w:val="24"/>
        </w:rPr>
        <w:t>]</w:t>
      </w:r>
      <w:r w:rsidR="009624F1">
        <w:rPr>
          <w:rFonts w:cs="Times New Roman"/>
          <w:szCs w:val="24"/>
        </w:rPr>
        <w:t> </w:t>
      </w:r>
      <w:r w:rsidR="004621D7" w:rsidRPr="009624F1">
        <w:rPr>
          <w:rFonts w:cs="Times New Roman"/>
          <w:szCs w:val="24"/>
        </w:rPr>
        <w:t>Saskaņā ar Tiesnešu disciplinārās atbildības likuma 1. </w:t>
      </w:r>
      <w:r w:rsidR="004621D7" w:rsidRPr="001F5DF9">
        <w:rPr>
          <w:rFonts w:cs="Times New Roman"/>
          <w:szCs w:val="24"/>
        </w:rPr>
        <w:t>panta pirmās daļas 2. punktu viens no pamatiem tiesneša saukšanai pie disciplināratbildības ir darba pienākumu nepildīšana.</w:t>
      </w:r>
      <w:r w:rsidR="00D1601C" w:rsidRPr="001F5DF9">
        <w:rPr>
          <w:rFonts w:cs="Times New Roman"/>
          <w:szCs w:val="24"/>
        </w:rPr>
        <w:t xml:space="preserve"> Atbilstoši šā likuma 7. panta ceturtajai daļai tiesnešu disciplinārkolēģija par </w:t>
      </w:r>
      <w:r w:rsidR="00840AAF" w:rsidRPr="001F5DF9">
        <w:rPr>
          <w:rFonts w:cs="Times New Roman"/>
          <w:szCs w:val="24"/>
        </w:rPr>
        <w:t>disciplināro</w:t>
      </w:r>
      <w:r w:rsidR="00D1601C" w:rsidRPr="001F5DF9">
        <w:rPr>
          <w:rFonts w:cs="Times New Roman"/>
          <w:szCs w:val="24"/>
        </w:rPr>
        <w:t xml:space="preserve"> pārkāpumu var uzlikt tiesnesim vienu no šādiem disciplinārsodiem: 1) piezīme; 2) rājiens; 3) amatalgas samazināšana uz laiku līdz vienam gadam, ieturot līdz 20 procentiem no amatalgas. Savukārt šā panta </w:t>
      </w:r>
      <w:r w:rsidR="00840AAF" w:rsidRPr="001F5DF9">
        <w:rPr>
          <w:rFonts w:cs="Times New Roman"/>
          <w:szCs w:val="24"/>
        </w:rPr>
        <w:t xml:space="preserve">piektā daļa noteic, ka, uzliekot disciplinārsodu, tiesnešu disciplinārkolēģijai jāņem vērā disciplinārā pārkāpuma raksturs, tā sekas, tiesneša vainas pakāpe nodarījumā, kā arī ziņas, kas raksturo viņa </w:t>
      </w:r>
      <w:r w:rsidR="00840AAF" w:rsidRPr="001F5DF9">
        <w:rPr>
          <w:rFonts w:cs="Times New Roman"/>
          <w:szCs w:val="24"/>
        </w:rPr>
        <w:lastRenderedPageBreak/>
        <w:t>personību un iepriekšējo darbību tiesneša amatā.</w:t>
      </w:r>
    </w:p>
    <w:p w14:paraId="7B417B21" w14:textId="65F62A99" w:rsidR="00BA4838" w:rsidRPr="001F5DF9" w:rsidRDefault="00840AAF" w:rsidP="008A3B24">
      <w:pPr>
        <w:pStyle w:val="NoSpacing"/>
        <w:widowControl w:val="0"/>
        <w:spacing w:line="276" w:lineRule="auto"/>
        <w:ind w:firstLine="720"/>
        <w:jc w:val="both"/>
        <w:rPr>
          <w:rFonts w:cs="Times New Roman"/>
          <w:szCs w:val="24"/>
        </w:rPr>
      </w:pPr>
      <w:r w:rsidRPr="001F5DF9">
        <w:rPr>
          <w:rFonts w:cs="Times New Roman"/>
          <w:szCs w:val="24"/>
        </w:rPr>
        <w:t>[</w:t>
      </w:r>
      <w:r w:rsidR="00666D8F" w:rsidRPr="001F5DF9">
        <w:rPr>
          <w:rFonts w:cs="Times New Roman"/>
          <w:szCs w:val="24"/>
        </w:rPr>
        <w:t>8</w:t>
      </w:r>
      <w:r w:rsidRPr="001F5DF9">
        <w:rPr>
          <w:rFonts w:cs="Times New Roman"/>
          <w:szCs w:val="24"/>
        </w:rPr>
        <w:t>.2]</w:t>
      </w:r>
      <w:r w:rsidR="009624F1">
        <w:rPr>
          <w:rFonts w:cs="Times New Roman"/>
          <w:szCs w:val="24"/>
        </w:rPr>
        <w:t> </w:t>
      </w:r>
      <w:r w:rsidRPr="001F5DF9">
        <w:rPr>
          <w:rFonts w:cs="Times New Roman"/>
          <w:szCs w:val="24"/>
        </w:rPr>
        <w:t xml:space="preserve">Ar pārsūdzēto Disciplinārkolēģijas lēmumu senatoram </w:t>
      </w:r>
      <w:r w:rsidR="00B97DBC">
        <w:rPr>
          <w:rFonts w:cs="Times New Roman"/>
          <w:szCs w:val="24"/>
        </w:rPr>
        <w:t>[A] </w:t>
      </w:r>
      <w:r w:rsidRPr="001F5DF9">
        <w:rPr>
          <w:rFonts w:cs="Times New Roman"/>
          <w:szCs w:val="24"/>
        </w:rPr>
        <w:t>par darba pienākumu nepildīšanu bez attaisnojoša iemesla uzlikts disciplinārsods – amatalgas samazināšana uz vienu gadu, ieturot 20</w:t>
      </w:r>
      <w:r w:rsidR="009624F1">
        <w:rPr>
          <w:rFonts w:cs="Times New Roman"/>
          <w:szCs w:val="24"/>
        </w:rPr>
        <w:t> </w:t>
      </w:r>
      <w:r w:rsidRPr="001F5DF9">
        <w:rPr>
          <w:rFonts w:cs="Times New Roman"/>
          <w:szCs w:val="24"/>
        </w:rPr>
        <w:t>procentus no amatalgas.</w:t>
      </w:r>
      <w:r w:rsidR="00BA4838" w:rsidRPr="001F5DF9">
        <w:rPr>
          <w:rFonts w:cs="Times New Roman"/>
          <w:szCs w:val="24"/>
        </w:rPr>
        <w:t xml:space="preserve"> Senatora sūdzībā ietvertās norādes par piemērotā disciplinārsoda iespējamo ietekmi uz nākotnē saņemamās speciālās pensijas apmēru konkrētajā gadījumā ir vērtējamas kā piemērotā disciplinārsoda sekas, kuras nav iespējams novērst, ja speciālā pensija tiek pieprasīta tuvāko piecu gadu laikā pēc disciplinārsoda piemērošanas. Vienlaikus </w:t>
      </w:r>
      <w:proofErr w:type="spellStart"/>
      <w:r w:rsidR="00BA4838" w:rsidRPr="001F5DF9">
        <w:rPr>
          <w:rFonts w:cs="Times New Roman"/>
          <w:szCs w:val="24"/>
        </w:rPr>
        <w:t>Disciplinārtiesa</w:t>
      </w:r>
      <w:proofErr w:type="spellEnd"/>
      <w:r w:rsidR="00BA4838" w:rsidRPr="001F5DF9">
        <w:rPr>
          <w:rFonts w:cs="Times New Roman"/>
          <w:szCs w:val="24"/>
        </w:rPr>
        <w:t xml:space="preserve"> norāda, ka došanās speciālajā pensijā tuvāko piecu gadu laikā pēc disciplinārsoda piemērošanas konkrētajā gadījumā ir senatora izvēles jautājums, jo tā nav noteikta ne ar likumā </w:t>
      </w:r>
      <w:r w:rsidR="009624F1">
        <w:rPr>
          <w:rFonts w:cs="Times New Roman"/>
          <w:szCs w:val="24"/>
        </w:rPr>
        <w:t>„</w:t>
      </w:r>
      <w:r w:rsidR="00BA4838" w:rsidRPr="001F5DF9">
        <w:rPr>
          <w:rFonts w:cs="Times New Roman"/>
          <w:szCs w:val="24"/>
        </w:rPr>
        <w:t>Par tiesu varu” norādītā amata pildīšanas maksimālā vecuma sasniegšanu, ne ar citiem no senatora gribas neatkarīgiem apstākļiem.</w:t>
      </w:r>
    </w:p>
    <w:p w14:paraId="2705F9A0" w14:textId="13A5AA33" w:rsidR="006433FC" w:rsidRPr="001F5DF9" w:rsidRDefault="006433FC" w:rsidP="008A3B24">
      <w:pPr>
        <w:pStyle w:val="NoSpacing"/>
        <w:widowControl w:val="0"/>
        <w:spacing w:line="276" w:lineRule="auto"/>
        <w:ind w:firstLine="720"/>
        <w:jc w:val="both"/>
        <w:rPr>
          <w:rFonts w:cs="Times New Roman"/>
          <w:szCs w:val="24"/>
        </w:rPr>
      </w:pPr>
      <w:r w:rsidRPr="001F5DF9">
        <w:rPr>
          <w:rFonts w:cs="Times New Roman"/>
          <w:szCs w:val="24"/>
        </w:rPr>
        <w:t>[</w:t>
      </w:r>
      <w:r w:rsidR="00666D8F" w:rsidRPr="001F5DF9">
        <w:rPr>
          <w:rFonts w:cs="Times New Roman"/>
          <w:szCs w:val="24"/>
        </w:rPr>
        <w:t>8</w:t>
      </w:r>
      <w:r w:rsidRPr="001F5DF9">
        <w:rPr>
          <w:rFonts w:cs="Times New Roman"/>
          <w:szCs w:val="24"/>
        </w:rPr>
        <w:t>.3]</w:t>
      </w:r>
      <w:r w:rsidR="009624F1">
        <w:rPr>
          <w:rFonts w:cs="Times New Roman"/>
          <w:szCs w:val="24"/>
        </w:rPr>
        <w:t> </w:t>
      </w:r>
      <w:proofErr w:type="spellStart"/>
      <w:r w:rsidR="00840AAF" w:rsidRPr="001F5DF9">
        <w:rPr>
          <w:rFonts w:cs="Times New Roman"/>
          <w:szCs w:val="24"/>
        </w:rPr>
        <w:t>Disciplinārtiesa</w:t>
      </w:r>
      <w:proofErr w:type="spellEnd"/>
      <w:r w:rsidR="00840AAF" w:rsidRPr="001F5DF9">
        <w:rPr>
          <w:rFonts w:cs="Times New Roman"/>
          <w:szCs w:val="24"/>
        </w:rPr>
        <w:t xml:space="preserve"> atzīst, ka par pieļauto disciplināro pārkāpumu senatoram </w:t>
      </w:r>
      <w:r w:rsidR="00B97DBC">
        <w:rPr>
          <w:rFonts w:cs="Times New Roman"/>
          <w:szCs w:val="24"/>
        </w:rPr>
        <w:t>[A] </w:t>
      </w:r>
      <w:r w:rsidR="00840AAF" w:rsidRPr="001F5DF9">
        <w:rPr>
          <w:rFonts w:cs="Times New Roman"/>
          <w:szCs w:val="24"/>
        </w:rPr>
        <w:t>noteikts tiesisks, pamatots</w:t>
      </w:r>
      <w:r w:rsidR="00554A48" w:rsidRPr="001F5DF9">
        <w:rPr>
          <w:rFonts w:cs="Times New Roman"/>
          <w:szCs w:val="24"/>
        </w:rPr>
        <w:t xml:space="preserve">, </w:t>
      </w:r>
      <w:r w:rsidR="00840AAF" w:rsidRPr="001F5DF9">
        <w:rPr>
          <w:rFonts w:cs="Times New Roman"/>
          <w:szCs w:val="24"/>
        </w:rPr>
        <w:t>taisnīgs</w:t>
      </w:r>
      <w:r w:rsidR="00554A48" w:rsidRPr="001F5DF9">
        <w:rPr>
          <w:rFonts w:cs="Times New Roman"/>
          <w:szCs w:val="24"/>
        </w:rPr>
        <w:t xml:space="preserve"> un samērīgs</w:t>
      </w:r>
      <w:r w:rsidR="00840AAF" w:rsidRPr="001F5DF9">
        <w:rPr>
          <w:rFonts w:cs="Times New Roman"/>
          <w:szCs w:val="24"/>
        </w:rPr>
        <w:t xml:space="preserve"> disciplinārsods, ievērojot Tiesnešu disciplinārās atbildības likuma 7.</w:t>
      </w:r>
      <w:r w:rsidR="009624F1">
        <w:rPr>
          <w:rFonts w:cs="Times New Roman"/>
          <w:szCs w:val="24"/>
        </w:rPr>
        <w:t> </w:t>
      </w:r>
      <w:r w:rsidR="00840AAF" w:rsidRPr="001F5DF9">
        <w:rPr>
          <w:rFonts w:cs="Times New Roman"/>
          <w:szCs w:val="24"/>
        </w:rPr>
        <w:t xml:space="preserve">panta piektajā daļā norādītos disciplinārsoda noteikšanas vispārīgos principus un ņemot vērā </w:t>
      </w:r>
      <w:r w:rsidRPr="001F5DF9">
        <w:rPr>
          <w:rFonts w:cs="Times New Roman"/>
          <w:szCs w:val="24"/>
        </w:rPr>
        <w:t xml:space="preserve">disciplinārsoda </w:t>
      </w:r>
      <w:r w:rsidR="00422E42" w:rsidRPr="001F5DF9">
        <w:rPr>
          <w:rFonts w:cs="Times New Roman"/>
          <w:szCs w:val="24"/>
        </w:rPr>
        <w:t>represīvo un preventīvo mērķi.</w:t>
      </w:r>
    </w:p>
    <w:p w14:paraId="4CBD77A2" w14:textId="6D4EF87D" w:rsidR="00FE005D" w:rsidRPr="001F5DF9" w:rsidRDefault="006433FC" w:rsidP="008A3B24">
      <w:pPr>
        <w:pStyle w:val="NoSpacing"/>
        <w:widowControl w:val="0"/>
        <w:spacing w:line="276" w:lineRule="auto"/>
        <w:ind w:firstLine="720"/>
        <w:jc w:val="both"/>
        <w:rPr>
          <w:rFonts w:cs="Times New Roman"/>
          <w:szCs w:val="24"/>
        </w:rPr>
      </w:pPr>
      <w:r w:rsidRPr="001F5DF9">
        <w:rPr>
          <w:rFonts w:cs="Times New Roman"/>
          <w:szCs w:val="24"/>
        </w:rPr>
        <w:t>[</w:t>
      </w:r>
      <w:r w:rsidR="00666D8F" w:rsidRPr="001F5DF9">
        <w:rPr>
          <w:rFonts w:cs="Times New Roman"/>
          <w:szCs w:val="24"/>
        </w:rPr>
        <w:t>8</w:t>
      </w:r>
      <w:r w:rsidRPr="001F5DF9">
        <w:rPr>
          <w:rFonts w:cs="Times New Roman"/>
          <w:szCs w:val="24"/>
        </w:rPr>
        <w:t>.3.1]</w:t>
      </w:r>
      <w:r w:rsidR="009624F1">
        <w:rPr>
          <w:rFonts w:cs="Times New Roman"/>
          <w:szCs w:val="24"/>
        </w:rPr>
        <w:t> </w:t>
      </w:r>
      <w:r w:rsidRPr="001F5DF9">
        <w:rPr>
          <w:rFonts w:cs="Times New Roman"/>
          <w:szCs w:val="24"/>
        </w:rPr>
        <w:t xml:space="preserve">Senators </w:t>
      </w:r>
      <w:r w:rsidR="00B97DBC">
        <w:rPr>
          <w:rFonts w:cs="Times New Roman"/>
          <w:szCs w:val="24"/>
        </w:rPr>
        <w:t>[A] </w:t>
      </w:r>
      <w:r w:rsidRPr="001F5DF9">
        <w:rPr>
          <w:rFonts w:cs="Times New Roman"/>
          <w:szCs w:val="24"/>
        </w:rPr>
        <w:t>sūdzībā nav apstrīdējis Disciplinārkolēģijas konstatētos disciplinārā pārkāpuma faktiskos apstākļus</w:t>
      </w:r>
      <w:r w:rsidR="000B7358" w:rsidRPr="001F5DF9">
        <w:rPr>
          <w:rFonts w:cs="Times New Roman"/>
          <w:szCs w:val="24"/>
        </w:rPr>
        <w:t xml:space="preserve">, proti, to, ka laikā no 2025. gada 16. decembra līdz 19. decembrim senators nav atradies darba vietā, nav pildījis </w:t>
      </w:r>
      <w:r w:rsidR="0014669D">
        <w:rPr>
          <w:rFonts w:cs="Times New Roman"/>
          <w:szCs w:val="24"/>
        </w:rPr>
        <w:t>amata</w:t>
      </w:r>
      <w:r w:rsidR="0014669D" w:rsidRPr="001F5DF9">
        <w:rPr>
          <w:rFonts w:cs="Times New Roman"/>
          <w:szCs w:val="24"/>
        </w:rPr>
        <w:t xml:space="preserve"> </w:t>
      </w:r>
      <w:r w:rsidR="000B7358" w:rsidRPr="001F5DF9">
        <w:rPr>
          <w:rFonts w:cs="Times New Roman"/>
          <w:szCs w:val="24"/>
        </w:rPr>
        <w:t xml:space="preserve">pienākumus un nav bijis pienācīgi sasniedzams, tādēļ 2025. gada 16. decembrī no izskatīšanas tika noņemtas trīs lietas, </w:t>
      </w:r>
      <w:r w:rsidR="00FE005D" w:rsidRPr="001F5DF9">
        <w:rPr>
          <w:rFonts w:cs="Times New Roman"/>
          <w:szCs w:val="24"/>
        </w:rPr>
        <w:t xml:space="preserve">kuru izskatīšana rakstveida procesā bija noteikta 2025. gada 16. decembrī. Tāpat senators nav apstrīdējis arī to, ka </w:t>
      </w:r>
      <w:r w:rsidR="0014669D">
        <w:rPr>
          <w:rFonts w:cs="Times New Roman"/>
          <w:szCs w:val="24"/>
        </w:rPr>
        <w:t>amata</w:t>
      </w:r>
      <w:r w:rsidR="0014669D" w:rsidRPr="001F5DF9">
        <w:rPr>
          <w:rFonts w:cs="Times New Roman"/>
          <w:szCs w:val="24"/>
        </w:rPr>
        <w:t xml:space="preserve"> </w:t>
      </w:r>
      <w:r w:rsidR="00FE005D" w:rsidRPr="001F5DF9">
        <w:rPr>
          <w:rFonts w:cs="Times New Roman"/>
          <w:szCs w:val="24"/>
        </w:rPr>
        <w:t>pienākumus nav pildījis bez attaisnojoša iemesla – pārmērīgas alkoholisko dzērienu lietošanas dēļ.</w:t>
      </w:r>
    </w:p>
    <w:p w14:paraId="6B6759E5" w14:textId="51D3FC91" w:rsidR="00694218" w:rsidRPr="001F5DF9" w:rsidRDefault="00FE005D" w:rsidP="008A3B24">
      <w:pPr>
        <w:pStyle w:val="NoSpacing"/>
        <w:widowControl w:val="0"/>
        <w:spacing w:line="276" w:lineRule="auto"/>
        <w:ind w:firstLine="720"/>
        <w:jc w:val="both"/>
        <w:rPr>
          <w:rFonts w:cs="Times New Roman"/>
          <w:szCs w:val="24"/>
        </w:rPr>
      </w:pPr>
      <w:r w:rsidRPr="001F5DF9">
        <w:rPr>
          <w:rFonts w:cs="Times New Roman"/>
          <w:szCs w:val="24"/>
        </w:rPr>
        <w:t>Disciplinārkolēģija pamatoti norādījusi, ka senator</w:t>
      </w:r>
      <w:r w:rsidR="00357AF9" w:rsidRPr="001F5DF9">
        <w:rPr>
          <w:rFonts w:cs="Times New Roman"/>
          <w:szCs w:val="24"/>
        </w:rPr>
        <w:t>am</w:t>
      </w:r>
      <w:r w:rsidRPr="001F5DF9">
        <w:rPr>
          <w:rFonts w:cs="Times New Roman"/>
          <w:szCs w:val="24"/>
        </w:rPr>
        <w:t xml:space="preserve"> ar savu profesionālo darbību ir </w:t>
      </w:r>
      <w:r w:rsidR="00357AF9" w:rsidRPr="001F5DF9">
        <w:rPr>
          <w:rFonts w:cs="Times New Roman"/>
          <w:szCs w:val="24"/>
        </w:rPr>
        <w:t xml:space="preserve">jābūt </w:t>
      </w:r>
      <w:r w:rsidRPr="001F5DF9">
        <w:rPr>
          <w:rFonts w:cs="Times New Roman"/>
          <w:szCs w:val="24"/>
        </w:rPr>
        <w:t>paraug</w:t>
      </w:r>
      <w:r w:rsidR="00357AF9" w:rsidRPr="001F5DF9">
        <w:rPr>
          <w:rFonts w:cs="Times New Roman"/>
          <w:szCs w:val="24"/>
        </w:rPr>
        <w:t>am</w:t>
      </w:r>
      <w:r w:rsidRPr="001F5DF9">
        <w:rPr>
          <w:rFonts w:cs="Times New Roman"/>
          <w:szCs w:val="24"/>
        </w:rPr>
        <w:t xml:space="preserve"> </w:t>
      </w:r>
      <w:r w:rsidR="00FA02FE" w:rsidRPr="001F5DF9">
        <w:rPr>
          <w:rFonts w:cs="Times New Roman"/>
          <w:szCs w:val="24"/>
        </w:rPr>
        <w:t>pārējo instanču tiesu tiesnešiem, tādēļ no senatora ir pamats sagaidīt augstu profesionalitāti, godprātīgu darba pienākumu pildīšanu un precīzu darba kārtības ievērošanu.</w:t>
      </w:r>
    </w:p>
    <w:p w14:paraId="276EB240" w14:textId="56B18C5D" w:rsidR="00694218" w:rsidRPr="001F5DF9" w:rsidRDefault="00694218" w:rsidP="008A3B24">
      <w:pPr>
        <w:pStyle w:val="NoSpacing"/>
        <w:widowControl w:val="0"/>
        <w:spacing w:line="276" w:lineRule="auto"/>
        <w:ind w:firstLine="720"/>
        <w:jc w:val="both"/>
        <w:rPr>
          <w:rFonts w:cs="Times New Roman"/>
          <w:szCs w:val="24"/>
        </w:rPr>
      </w:pPr>
      <w:r w:rsidRPr="001F5DF9">
        <w:rPr>
          <w:rFonts w:cs="Times New Roman"/>
          <w:szCs w:val="24"/>
        </w:rPr>
        <w:t>Nav pamata apšaubīt, ka tiesneša darbs ir radošs process, kuru nevar ierobežot tikai ar tiesas darba laiku un saistīt tikai ar vienu vietu – tiesas telpām</w:t>
      </w:r>
      <w:r w:rsidR="00175408" w:rsidRPr="001F5DF9">
        <w:rPr>
          <w:rFonts w:cs="Times New Roman"/>
          <w:szCs w:val="24"/>
        </w:rPr>
        <w:t xml:space="preserve"> –</w:t>
      </w:r>
      <w:r w:rsidRPr="001F5DF9">
        <w:rPr>
          <w:rFonts w:cs="Times New Roman"/>
          <w:szCs w:val="24"/>
        </w:rPr>
        <w:t>, tādēļ tiesas iestādē noteiktais darba laiks</w:t>
      </w:r>
      <w:r w:rsidR="00175408" w:rsidRPr="001F5DF9">
        <w:rPr>
          <w:rFonts w:cs="Times New Roman"/>
          <w:szCs w:val="24"/>
        </w:rPr>
        <w:t xml:space="preserve"> uz tiesnesi nav attiecināms formāli, bet elastīgi, ņemot vērā konkrētos apstākļus </w:t>
      </w:r>
      <w:r w:rsidRPr="009624F1">
        <w:rPr>
          <w:rFonts w:cs="Times New Roman"/>
          <w:szCs w:val="24"/>
        </w:rPr>
        <w:t>(sk</w:t>
      </w:r>
      <w:r w:rsidRPr="009624F1">
        <w:rPr>
          <w:rFonts w:cs="Times New Roman"/>
          <w:i/>
          <w:iCs/>
          <w:szCs w:val="24"/>
        </w:rPr>
        <w:t>.</w:t>
      </w:r>
      <w:r w:rsidR="009624F1">
        <w:rPr>
          <w:rFonts w:cs="Times New Roman"/>
          <w:i/>
          <w:iCs/>
          <w:szCs w:val="24"/>
        </w:rPr>
        <w:t> </w:t>
      </w:r>
      <w:r w:rsidRPr="009624F1">
        <w:rPr>
          <w:rFonts w:cs="Times New Roman"/>
          <w:i/>
          <w:iCs/>
          <w:szCs w:val="24"/>
        </w:rPr>
        <w:t xml:space="preserve">Tiesnešu ētikas komisijas </w:t>
      </w:r>
      <w:hyperlink r:id="rId16" w:history="1">
        <w:r w:rsidRPr="009624F1">
          <w:rPr>
            <w:rStyle w:val="Hyperlink"/>
            <w:rFonts w:cs="Times New Roman"/>
            <w:i/>
            <w:iCs/>
            <w:szCs w:val="24"/>
          </w:rPr>
          <w:t>2016. gada 14. oktobra skaidrojumu</w:t>
        </w:r>
      </w:hyperlink>
      <w:r w:rsidRPr="009624F1">
        <w:rPr>
          <w:rFonts w:cs="Times New Roman"/>
          <w:szCs w:val="24"/>
        </w:rPr>
        <w:t>).</w:t>
      </w:r>
    </w:p>
    <w:p w14:paraId="41742B02" w14:textId="011ABF1D" w:rsidR="00694218" w:rsidRPr="009624F1" w:rsidRDefault="00694218" w:rsidP="008A3B24">
      <w:pPr>
        <w:pStyle w:val="NoSpacing"/>
        <w:widowControl w:val="0"/>
        <w:spacing w:line="276" w:lineRule="auto"/>
        <w:ind w:firstLine="720"/>
        <w:jc w:val="both"/>
        <w:rPr>
          <w:rFonts w:cs="Times New Roman"/>
          <w:szCs w:val="24"/>
        </w:rPr>
      </w:pPr>
      <w:r w:rsidRPr="009624F1">
        <w:rPr>
          <w:rFonts w:cs="Times New Roman"/>
          <w:szCs w:val="24"/>
        </w:rPr>
        <w:t xml:space="preserve">Vienlaikus </w:t>
      </w:r>
      <w:r w:rsidR="00175408" w:rsidRPr="009624F1">
        <w:rPr>
          <w:rFonts w:cs="Times New Roman"/>
          <w:szCs w:val="24"/>
        </w:rPr>
        <w:t xml:space="preserve">jāņem vērā, ka </w:t>
      </w:r>
      <w:r w:rsidRPr="009624F1">
        <w:rPr>
          <w:rFonts w:cs="Times New Roman"/>
          <w:szCs w:val="24"/>
        </w:rPr>
        <w:t>tiesnesis, pildot tiesneša amata pienākumus, pilda valsts dienestu</w:t>
      </w:r>
      <w:r w:rsidR="00B81FB6" w:rsidRPr="009624F1">
        <w:rPr>
          <w:rFonts w:cs="Times New Roman"/>
          <w:szCs w:val="24"/>
        </w:rPr>
        <w:t xml:space="preserve">, un tiesneša darba pienākumu veiksmīga izpilde nereti ir atkarīga no sadarbības ar </w:t>
      </w:r>
      <w:r w:rsidR="003B5415" w:rsidRPr="009624F1">
        <w:rPr>
          <w:rFonts w:cs="Times New Roman"/>
          <w:szCs w:val="24"/>
        </w:rPr>
        <w:t xml:space="preserve">tiesas darbiniekiem, kolēģiem un tiesas priekšsēdētāju, tādēļ, lai arī </w:t>
      </w:r>
      <w:r w:rsidRPr="009624F1">
        <w:rPr>
          <w:rFonts w:cs="Times New Roman"/>
          <w:szCs w:val="24"/>
        </w:rPr>
        <w:t>likums „Par tiesu varu</w:t>
      </w:r>
      <w:r w:rsidR="009624F1">
        <w:rPr>
          <w:rFonts w:cs="Times New Roman"/>
          <w:szCs w:val="24"/>
        </w:rPr>
        <w:t>”</w:t>
      </w:r>
      <w:r w:rsidRPr="009624F1">
        <w:rPr>
          <w:rFonts w:cs="Times New Roman"/>
          <w:szCs w:val="24"/>
        </w:rPr>
        <w:t xml:space="preserve"> tiešā veidā nenoteic tiesneša darba laiku, tiesnesis, pildot valsts dienestu, nenoliedzami ir saistīts ar noteikumiem par darba laiku tiesas iestādē </w:t>
      </w:r>
      <w:r w:rsidRPr="009624F1">
        <w:rPr>
          <w:rFonts w:cs="Times New Roman"/>
          <w:i/>
          <w:iCs/>
          <w:szCs w:val="24"/>
        </w:rPr>
        <w:t>(</w:t>
      </w:r>
      <w:r w:rsidRPr="009624F1">
        <w:rPr>
          <w:rFonts w:cs="Times New Roman"/>
          <w:szCs w:val="24"/>
        </w:rPr>
        <w:t>sk</w:t>
      </w:r>
      <w:r w:rsidRPr="009624F1">
        <w:rPr>
          <w:rFonts w:cs="Times New Roman"/>
          <w:i/>
          <w:iCs/>
          <w:szCs w:val="24"/>
        </w:rPr>
        <w:t>.</w:t>
      </w:r>
      <w:r w:rsidR="009624F1">
        <w:rPr>
          <w:rFonts w:cs="Times New Roman"/>
          <w:i/>
          <w:iCs/>
          <w:szCs w:val="24"/>
        </w:rPr>
        <w:t> </w:t>
      </w:r>
      <w:r w:rsidRPr="009624F1">
        <w:rPr>
          <w:rFonts w:cs="Times New Roman"/>
          <w:i/>
          <w:iCs/>
          <w:szCs w:val="24"/>
        </w:rPr>
        <w:t xml:space="preserve">Tiesnešu ētikas komisijas </w:t>
      </w:r>
      <w:hyperlink r:id="rId17" w:history="1">
        <w:r w:rsidRPr="009624F1">
          <w:rPr>
            <w:rStyle w:val="Hyperlink"/>
            <w:rFonts w:cs="Times New Roman"/>
            <w:i/>
            <w:iCs/>
            <w:szCs w:val="24"/>
          </w:rPr>
          <w:t>2016. gada 14. oktobra skaidrojumu</w:t>
        </w:r>
      </w:hyperlink>
      <w:r w:rsidR="00A94F36">
        <w:rPr>
          <w:rFonts w:cs="Times New Roman"/>
          <w:i/>
          <w:iCs/>
          <w:szCs w:val="24"/>
        </w:rPr>
        <w:t>,</w:t>
      </w:r>
      <w:r w:rsidRPr="009624F1">
        <w:rPr>
          <w:rFonts w:cs="Times New Roman"/>
          <w:i/>
          <w:iCs/>
          <w:szCs w:val="24"/>
        </w:rPr>
        <w:t xml:space="preserve"> </w:t>
      </w:r>
      <w:hyperlink r:id="rId18" w:history="1">
        <w:r w:rsidRPr="009624F1">
          <w:rPr>
            <w:rStyle w:val="Hyperlink"/>
            <w:rFonts w:cs="Times New Roman"/>
            <w:i/>
            <w:iCs/>
            <w:szCs w:val="24"/>
          </w:rPr>
          <w:t>2018. gada 16. marta skaidrojumu</w:t>
        </w:r>
      </w:hyperlink>
      <w:r w:rsidRPr="009624F1">
        <w:rPr>
          <w:rFonts w:cs="Times New Roman"/>
          <w:szCs w:val="24"/>
        </w:rPr>
        <w:t>).</w:t>
      </w:r>
    </w:p>
    <w:p w14:paraId="20A2CB1D" w14:textId="7E6DFA1A" w:rsidR="00694218" w:rsidRPr="009624F1" w:rsidRDefault="00DB160E" w:rsidP="008A3B24">
      <w:pPr>
        <w:pStyle w:val="NoSpacing"/>
        <w:widowControl w:val="0"/>
        <w:spacing w:line="276" w:lineRule="auto"/>
        <w:ind w:firstLine="720"/>
        <w:jc w:val="both"/>
        <w:rPr>
          <w:rFonts w:cs="Times New Roman"/>
          <w:szCs w:val="24"/>
        </w:rPr>
      </w:pPr>
      <w:r w:rsidRPr="009624F1">
        <w:rPr>
          <w:rFonts w:cs="Times New Roman"/>
          <w:szCs w:val="24"/>
        </w:rPr>
        <w:t>Tiesnešu ētikas kodeksa 2.</w:t>
      </w:r>
      <w:r w:rsidR="00AA32BA">
        <w:rPr>
          <w:rFonts w:cs="Times New Roman"/>
          <w:szCs w:val="24"/>
        </w:rPr>
        <w:t> </w:t>
      </w:r>
      <w:r w:rsidRPr="009624F1">
        <w:rPr>
          <w:rFonts w:cs="Times New Roman"/>
          <w:szCs w:val="24"/>
        </w:rPr>
        <w:t>kanona 1.</w:t>
      </w:r>
      <w:r w:rsidR="00AA32BA">
        <w:rPr>
          <w:rFonts w:cs="Times New Roman"/>
          <w:szCs w:val="24"/>
        </w:rPr>
        <w:t> </w:t>
      </w:r>
      <w:r w:rsidRPr="009624F1">
        <w:rPr>
          <w:rFonts w:cs="Times New Roman"/>
          <w:szCs w:val="24"/>
        </w:rPr>
        <w:t xml:space="preserve">punkts noteic, ka </w:t>
      </w:r>
      <w:r w:rsidR="00694218" w:rsidRPr="009624F1">
        <w:rPr>
          <w:rFonts w:cs="Times New Roman"/>
          <w:szCs w:val="24"/>
        </w:rPr>
        <w:t>tiesnesis ciena un ievēro likumu, godprātīgi un ar cieņu attiecas pret savu amatu, amata pienākumiem, procesa dalībniekiem, kolēģiem un sabiedrību kopumā.</w:t>
      </w:r>
    </w:p>
    <w:p w14:paraId="3E0754A2" w14:textId="47ACE60E" w:rsidR="00694218" w:rsidRPr="00AA32BA" w:rsidRDefault="00694218" w:rsidP="008A3B24">
      <w:pPr>
        <w:pStyle w:val="NoSpacing"/>
        <w:widowControl w:val="0"/>
        <w:spacing w:line="276" w:lineRule="auto"/>
        <w:ind w:firstLine="720"/>
        <w:jc w:val="both"/>
        <w:rPr>
          <w:rFonts w:cs="Times New Roman"/>
          <w:i/>
          <w:iCs/>
          <w:szCs w:val="24"/>
        </w:rPr>
      </w:pPr>
      <w:r w:rsidRPr="009624F1">
        <w:rPr>
          <w:rFonts w:cs="Times New Roman"/>
          <w:szCs w:val="24"/>
        </w:rPr>
        <w:t>No minētā izriet, ka tiesnesim</w:t>
      </w:r>
      <w:r w:rsidR="00DB160E" w:rsidRPr="009624F1">
        <w:rPr>
          <w:rFonts w:cs="Times New Roman"/>
          <w:szCs w:val="24"/>
        </w:rPr>
        <w:t xml:space="preserve"> ir </w:t>
      </w:r>
      <w:r w:rsidRPr="009624F1">
        <w:rPr>
          <w:rFonts w:cs="Times New Roman"/>
          <w:szCs w:val="24"/>
        </w:rPr>
        <w:t>jārēķinās ar to, ka viņam dažādu ar tiešo pienākumu pildīšanu saistītu jautājumu risināšanai</w:t>
      </w:r>
      <w:r w:rsidR="00DB160E" w:rsidRPr="009624F1">
        <w:rPr>
          <w:rFonts w:cs="Times New Roman"/>
          <w:szCs w:val="24"/>
        </w:rPr>
        <w:t xml:space="preserve"> tiesas iestādes darba laikā</w:t>
      </w:r>
      <w:r w:rsidRPr="009624F1">
        <w:rPr>
          <w:rFonts w:cs="Times New Roman"/>
          <w:szCs w:val="24"/>
        </w:rPr>
        <w:t xml:space="preserve"> ir jābūt pieejamam gan tiesas darbiniekiem, gan kolēģiem</w:t>
      </w:r>
      <w:r w:rsidR="00DB160E" w:rsidRPr="009624F1">
        <w:rPr>
          <w:rFonts w:cs="Times New Roman"/>
          <w:szCs w:val="24"/>
        </w:rPr>
        <w:t xml:space="preserve">, </w:t>
      </w:r>
      <w:r w:rsidRPr="009624F1">
        <w:rPr>
          <w:rFonts w:cs="Times New Roman"/>
          <w:szCs w:val="24"/>
        </w:rPr>
        <w:t xml:space="preserve">gan arī tiesas priekšsēdētājam, </w:t>
      </w:r>
      <w:r w:rsidR="00DB160E" w:rsidRPr="009624F1">
        <w:rPr>
          <w:rFonts w:cs="Times New Roman"/>
          <w:szCs w:val="24"/>
        </w:rPr>
        <w:t xml:space="preserve">un tiesneša rīcība </w:t>
      </w:r>
      <w:r w:rsidRPr="009624F1">
        <w:rPr>
          <w:rFonts w:cs="Times New Roman"/>
          <w:szCs w:val="24"/>
        </w:rPr>
        <w:t>nedrīkst traucēt vai kavēt to tiesas darbinieku, kolēģu un tiesas priekšsēdētāja pienākumu izpildi, kas ir atkarīg</w:t>
      </w:r>
      <w:r w:rsidR="00DB160E" w:rsidRPr="009624F1">
        <w:rPr>
          <w:rFonts w:cs="Times New Roman"/>
          <w:szCs w:val="24"/>
        </w:rPr>
        <w:t>a</w:t>
      </w:r>
      <w:r w:rsidRPr="009624F1">
        <w:rPr>
          <w:rFonts w:cs="Times New Roman"/>
          <w:szCs w:val="24"/>
        </w:rPr>
        <w:t xml:space="preserve"> arī no konkrētā tiesneša (sk. </w:t>
      </w:r>
      <w:r w:rsidRPr="009624F1">
        <w:rPr>
          <w:rFonts w:cs="Times New Roman"/>
          <w:i/>
          <w:iCs/>
          <w:szCs w:val="24"/>
        </w:rPr>
        <w:t xml:space="preserve">Tiesnešu </w:t>
      </w:r>
      <w:r w:rsidRPr="009624F1">
        <w:rPr>
          <w:rFonts w:cs="Times New Roman"/>
          <w:i/>
          <w:iCs/>
          <w:szCs w:val="24"/>
        </w:rPr>
        <w:lastRenderedPageBreak/>
        <w:t xml:space="preserve">ētikas komisijas </w:t>
      </w:r>
      <w:hyperlink r:id="rId19" w:history="1">
        <w:r w:rsidRPr="00AA32BA">
          <w:rPr>
            <w:rStyle w:val="Hyperlink"/>
            <w:rFonts w:cs="Times New Roman"/>
            <w:i/>
            <w:iCs/>
            <w:szCs w:val="24"/>
          </w:rPr>
          <w:t>2018. gada 16. marta skaidrojumu</w:t>
        </w:r>
      </w:hyperlink>
      <w:r w:rsidRPr="00AA32BA">
        <w:rPr>
          <w:rFonts w:cs="Times New Roman"/>
          <w:szCs w:val="24"/>
        </w:rPr>
        <w:t>)</w:t>
      </w:r>
      <w:r w:rsidRPr="00AA32BA">
        <w:rPr>
          <w:rFonts w:cs="Times New Roman"/>
          <w:i/>
          <w:iCs/>
          <w:szCs w:val="24"/>
        </w:rPr>
        <w:t xml:space="preserve">. </w:t>
      </w:r>
      <w:r w:rsidRPr="00AA32BA">
        <w:rPr>
          <w:rFonts w:cs="Times New Roman"/>
          <w:szCs w:val="24"/>
        </w:rPr>
        <w:t xml:space="preserve">Tiesneša pienākums saskaņot savu rīcību un prombūtni tiesas iestādes darba laikā izriet arī </w:t>
      </w:r>
      <w:r w:rsidR="000D0FD4">
        <w:rPr>
          <w:rFonts w:cs="Times New Roman"/>
          <w:szCs w:val="24"/>
        </w:rPr>
        <w:t xml:space="preserve">no </w:t>
      </w:r>
      <w:r w:rsidRPr="00AA32BA">
        <w:rPr>
          <w:rFonts w:cs="Times New Roman"/>
          <w:szCs w:val="24"/>
        </w:rPr>
        <w:t>godprātības principa (</w:t>
      </w:r>
      <w:r w:rsidR="00A94F36">
        <w:rPr>
          <w:rFonts w:cs="Times New Roman"/>
          <w:szCs w:val="24"/>
        </w:rPr>
        <w:t>sk. </w:t>
      </w:r>
      <w:proofErr w:type="spellStart"/>
      <w:r>
        <w:fldChar w:fldCharType="begin"/>
      </w:r>
      <w:r>
        <w:instrText>HYPERLINK "https://www.tieslietupadome.lv/lv/media/6327/download?attachment"</w:instrText>
      </w:r>
      <w:r>
        <w:fldChar w:fldCharType="separate"/>
      </w:r>
      <w:r w:rsidRPr="00AA32BA">
        <w:rPr>
          <w:rStyle w:val="Hyperlink"/>
          <w:rFonts w:cs="Times New Roman"/>
          <w:i/>
          <w:iCs/>
          <w:szCs w:val="24"/>
        </w:rPr>
        <w:t>Bangaloras</w:t>
      </w:r>
      <w:proofErr w:type="spellEnd"/>
      <w:r w:rsidRPr="00AA32BA">
        <w:rPr>
          <w:rStyle w:val="Hyperlink"/>
          <w:rFonts w:cs="Times New Roman"/>
          <w:i/>
          <w:iCs/>
          <w:szCs w:val="24"/>
        </w:rPr>
        <w:t xml:space="preserve"> principu</w:t>
      </w:r>
      <w:r>
        <w:fldChar w:fldCharType="end"/>
      </w:r>
      <w:r w:rsidRPr="00AA32BA">
        <w:rPr>
          <w:rFonts w:cs="Times New Roman"/>
          <w:i/>
          <w:iCs/>
          <w:szCs w:val="24"/>
        </w:rPr>
        <w:t xml:space="preserve"> 3.1. un 3.2. apakšpunkt</w:t>
      </w:r>
      <w:r w:rsidR="0014669D">
        <w:rPr>
          <w:rFonts w:cs="Times New Roman"/>
          <w:i/>
          <w:iCs/>
          <w:szCs w:val="24"/>
        </w:rPr>
        <w:t>u</w:t>
      </w:r>
      <w:r w:rsidRPr="00AA32BA">
        <w:rPr>
          <w:rFonts w:cs="Times New Roman"/>
          <w:szCs w:val="24"/>
        </w:rPr>
        <w:t>)</w:t>
      </w:r>
      <w:r w:rsidRPr="00AA32BA">
        <w:rPr>
          <w:rFonts w:cs="Times New Roman"/>
          <w:i/>
          <w:iCs/>
          <w:szCs w:val="24"/>
        </w:rPr>
        <w:t>.</w:t>
      </w:r>
    </w:p>
    <w:p w14:paraId="4176BA27" w14:textId="27F96E0B" w:rsidR="00441C44" w:rsidRPr="00AA32BA" w:rsidRDefault="0033284A" w:rsidP="008A3B24">
      <w:pPr>
        <w:pStyle w:val="NoSpacing"/>
        <w:widowControl w:val="0"/>
        <w:spacing w:line="276" w:lineRule="auto"/>
        <w:ind w:firstLine="720"/>
        <w:jc w:val="both"/>
        <w:rPr>
          <w:rFonts w:cs="Times New Roman"/>
          <w:szCs w:val="24"/>
        </w:rPr>
      </w:pPr>
      <w:r w:rsidRPr="00AA32BA">
        <w:rPr>
          <w:rFonts w:cs="Times New Roman"/>
          <w:szCs w:val="24"/>
        </w:rPr>
        <w:t>Ievērojot minēto, Disciplinārkolēģija pamatoti atzinusi, ka senatora rīcībā</w:t>
      </w:r>
      <w:r w:rsidR="00611A8F" w:rsidRPr="00AA32BA">
        <w:rPr>
          <w:rFonts w:cs="Times New Roman"/>
          <w:szCs w:val="24"/>
        </w:rPr>
        <w:t xml:space="preserve"> </w:t>
      </w:r>
      <w:r w:rsidRPr="00AA32BA">
        <w:rPr>
          <w:rFonts w:cs="Times New Roman"/>
          <w:szCs w:val="24"/>
        </w:rPr>
        <w:t>ir saskatāma negodprātīga attieksme pret amata pienākumiem un pret kolēģiem</w:t>
      </w:r>
      <w:r w:rsidR="002A31B2" w:rsidRPr="00AA32BA">
        <w:rPr>
          <w:rFonts w:cs="Times New Roman"/>
          <w:szCs w:val="24"/>
        </w:rPr>
        <w:t xml:space="preserve">, turklāt senatora rīcība, kas bijusi par pamatu šādam atzinumam, nav aprobežojama </w:t>
      </w:r>
      <w:r w:rsidR="00611A8F" w:rsidRPr="00AA32BA">
        <w:rPr>
          <w:rFonts w:cs="Times New Roman"/>
          <w:szCs w:val="24"/>
        </w:rPr>
        <w:t>tikai</w:t>
      </w:r>
      <w:r w:rsidR="002A31B2" w:rsidRPr="00AA32BA">
        <w:rPr>
          <w:rFonts w:cs="Times New Roman"/>
          <w:szCs w:val="24"/>
        </w:rPr>
        <w:t xml:space="preserve"> ar trīs tiesas nolēmumu neparakstīšanu</w:t>
      </w:r>
      <w:r w:rsidR="00611A8F" w:rsidRPr="00AA32BA">
        <w:rPr>
          <w:rFonts w:cs="Times New Roman"/>
          <w:szCs w:val="24"/>
        </w:rPr>
        <w:t>,</w:t>
      </w:r>
      <w:r w:rsidR="00B209E0" w:rsidRPr="00AA32BA">
        <w:rPr>
          <w:rFonts w:cs="Times New Roman"/>
          <w:szCs w:val="24"/>
        </w:rPr>
        <w:t xml:space="preserve"> </w:t>
      </w:r>
      <w:r w:rsidR="00611A8F" w:rsidRPr="00AA32BA">
        <w:rPr>
          <w:rFonts w:cs="Times New Roman"/>
          <w:szCs w:val="24"/>
        </w:rPr>
        <w:t>jo tās ir vienīgi šīs rīcības acīmredzamās sekas</w:t>
      </w:r>
      <w:r w:rsidR="00B209E0" w:rsidRPr="00AA32BA">
        <w:rPr>
          <w:rFonts w:cs="Times New Roman"/>
          <w:szCs w:val="24"/>
        </w:rPr>
        <w:t xml:space="preserve">, bet to </w:t>
      </w:r>
      <w:r w:rsidR="00611A8F" w:rsidRPr="00AA32BA">
        <w:rPr>
          <w:rFonts w:cs="Times New Roman"/>
          <w:szCs w:val="24"/>
        </w:rPr>
        <w:t>veido arī fakts, ka tiesnesis ilgstoši nav bijis pienācīgi sasniedzams</w:t>
      </w:r>
      <w:r w:rsidR="00B209E0" w:rsidRPr="00AA32BA">
        <w:rPr>
          <w:rFonts w:cs="Times New Roman"/>
          <w:szCs w:val="24"/>
        </w:rPr>
        <w:t xml:space="preserve">, pakļaujot ar viņu vienā tiesas sastāvā esošos kolēģus neziņai </w:t>
      </w:r>
      <w:r w:rsidR="001F6185" w:rsidRPr="00AA32BA">
        <w:rPr>
          <w:rFonts w:cs="Times New Roman"/>
          <w:szCs w:val="24"/>
        </w:rPr>
        <w:t xml:space="preserve">par </w:t>
      </w:r>
      <w:r w:rsidR="00B209E0" w:rsidRPr="00AA32BA">
        <w:rPr>
          <w:rFonts w:cs="Times New Roman"/>
          <w:szCs w:val="24"/>
        </w:rPr>
        <w:t>minēto lietu turpmāko virzību.</w:t>
      </w:r>
    </w:p>
    <w:p w14:paraId="1E9499A9" w14:textId="74EE7CE7" w:rsidR="00B62EAE" w:rsidRPr="00AA32BA" w:rsidRDefault="0033284A" w:rsidP="008A3B24">
      <w:pPr>
        <w:pStyle w:val="NoSpacing"/>
        <w:widowControl w:val="0"/>
        <w:spacing w:line="276" w:lineRule="auto"/>
        <w:ind w:firstLine="720"/>
        <w:jc w:val="both"/>
        <w:rPr>
          <w:rFonts w:cs="Times New Roman"/>
          <w:szCs w:val="24"/>
        </w:rPr>
      </w:pPr>
      <w:r w:rsidRPr="00AA32BA">
        <w:rPr>
          <w:rFonts w:cs="Times New Roman"/>
          <w:szCs w:val="24"/>
        </w:rPr>
        <w:t xml:space="preserve">Pretēji senatora sūdzībā norādītajam Disciplinārkolēģija </w:t>
      </w:r>
      <w:r w:rsidR="00B209E0" w:rsidRPr="00AA32BA">
        <w:rPr>
          <w:rFonts w:cs="Times New Roman"/>
          <w:szCs w:val="24"/>
        </w:rPr>
        <w:t xml:space="preserve">savu </w:t>
      </w:r>
      <w:r w:rsidR="00395EEA" w:rsidRPr="00AA32BA">
        <w:rPr>
          <w:rFonts w:cs="Times New Roman"/>
          <w:szCs w:val="24"/>
        </w:rPr>
        <w:t>atzinumu</w:t>
      </w:r>
      <w:r w:rsidR="00B209E0" w:rsidRPr="00AA32BA">
        <w:rPr>
          <w:rFonts w:cs="Times New Roman"/>
          <w:szCs w:val="24"/>
        </w:rPr>
        <w:t xml:space="preserve"> par senatora negodprātīgo rīcību </w:t>
      </w:r>
      <w:r w:rsidR="00395EEA" w:rsidRPr="00AA32BA">
        <w:rPr>
          <w:rFonts w:cs="Times New Roman"/>
          <w:szCs w:val="24"/>
        </w:rPr>
        <w:t xml:space="preserve">ir attiecinājusi vienīgi uz izskatāmo gadījumu, nevis uz senatora attieksmi pret saviem amata pienākumiem un pret kolēģiem vispār, lai arī no Augstākās tiesas priekšsēdētāja paskaidrojumiem Disciplinārkolēģijas un </w:t>
      </w:r>
      <w:proofErr w:type="spellStart"/>
      <w:r w:rsidR="00395EEA" w:rsidRPr="00AA32BA">
        <w:rPr>
          <w:rFonts w:cs="Times New Roman"/>
          <w:szCs w:val="24"/>
        </w:rPr>
        <w:t>Disciplinārtiesas</w:t>
      </w:r>
      <w:proofErr w:type="spellEnd"/>
      <w:r w:rsidR="00395EEA" w:rsidRPr="00AA32BA">
        <w:rPr>
          <w:rFonts w:cs="Times New Roman"/>
          <w:szCs w:val="24"/>
        </w:rPr>
        <w:t xml:space="preserve"> sēdēs izriet, ka </w:t>
      </w:r>
      <w:r w:rsidR="00924FAA" w:rsidRPr="00AA32BA">
        <w:rPr>
          <w:rFonts w:cs="Times New Roman"/>
          <w:szCs w:val="24"/>
        </w:rPr>
        <w:t>senators</w:t>
      </w:r>
      <w:r w:rsidR="00395EEA" w:rsidRPr="00AA32BA">
        <w:rPr>
          <w:rFonts w:cs="Times New Roman"/>
          <w:szCs w:val="24"/>
        </w:rPr>
        <w:t xml:space="preserve"> jau iepriekš pārmērīgas alkoholisko dzērienu lietošanas dēļ vairākkārt un ilgstoši nav pildījis savus </w:t>
      </w:r>
      <w:r w:rsidR="00AA32BA">
        <w:rPr>
          <w:rFonts w:cs="Times New Roman"/>
          <w:szCs w:val="24"/>
        </w:rPr>
        <w:t>amata</w:t>
      </w:r>
      <w:r w:rsidR="00AA32BA" w:rsidRPr="00AA32BA">
        <w:rPr>
          <w:rFonts w:cs="Times New Roman"/>
          <w:szCs w:val="24"/>
        </w:rPr>
        <w:t xml:space="preserve"> </w:t>
      </w:r>
      <w:r w:rsidR="00395EEA" w:rsidRPr="00AA32BA">
        <w:rPr>
          <w:rFonts w:cs="Times New Roman"/>
          <w:szCs w:val="24"/>
        </w:rPr>
        <w:t>pienākumus</w:t>
      </w:r>
      <w:r w:rsidR="00990CC7" w:rsidRPr="00AA32BA">
        <w:rPr>
          <w:rFonts w:cs="Times New Roman"/>
          <w:szCs w:val="24"/>
        </w:rPr>
        <w:t xml:space="preserve"> un nav bijis kolēģiem sasniedzams, </w:t>
      </w:r>
      <w:r w:rsidR="00395EEA" w:rsidRPr="00AA32BA">
        <w:rPr>
          <w:rFonts w:cs="Times New Roman"/>
          <w:szCs w:val="24"/>
        </w:rPr>
        <w:t xml:space="preserve">turklāt </w:t>
      </w:r>
      <w:r w:rsidR="00A94F36">
        <w:rPr>
          <w:rFonts w:cs="Times New Roman"/>
          <w:szCs w:val="24"/>
        </w:rPr>
        <w:t>iepriekš veiktās</w:t>
      </w:r>
      <w:r w:rsidR="00990CC7" w:rsidRPr="00AA32BA">
        <w:rPr>
          <w:rFonts w:cs="Times New Roman"/>
          <w:szCs w:val="24"/>
        </w:rPr>
        <w:t xml:space="preserve"> </w:t>
      </w:r>
      <w:r w:rsidR="00395EEA" w:rsidRPr="00AA32BA">
        <w:rPr>
          <w:rFonts w:cs="Times New Roman"/>
          <w:szCs w:val="24"/>
        </w:rPr>
        <w:t xml:space="preserve">pārrunas ar senatoru par </w:t>
      </w:r>
      <w:r w:rsidR="00990CC7" w:rsidRPr="00AA32BA">
        <w:rPr>
          <w:rFonts w:cs="Times New Roman"/>
          <w:szCs w:val="24"/>
        </w:rPr>
        <w:t xml:space="preserve">nepieciešamību mainīt savu attieksmi nav </w:t>
      </w:r>
      <w:r w:rsidR="00AA32BA">
        <w:rPr>
          <w:rFonts w:cs="Times New Roman"/>
          <w:szCs w:val="24"/>
        </w:rPr>
        <w:t xml:space="preserve">bijušas </w:t>
      </w:r>
      <w:r w:rsidR="000D0FD4">
        <w:rPr>
          <w:rFonts w:cs="Times New Roman"/>
          <w:szCs w:val="24"/>
        </w:rPr>
        <w:t>sekmīgas</w:t>
      </w:r>
      <w:r w:rsidR="00990CC7" w:rsidRPr="00AA32BA">
        <w:rPr>
          <w:rFonts w:cs="Times New Roman"/>
          <w:szCs w:val="24"/>
        </w:rPr>
        <w:t xml:space="preserve">. Šos faktus </w:t>
      </w:r>
      <w:proofErr w:type="spellStart"/>
      <w:r w:rsidR="00990CC7" w:rsidRPr="00AA32BA">
        <w:rPr>
          <w:rFonts w:cs="Times New Roman"/>
          <w:szCs w:val="24"/>
        </w:rPr>
        <w:t>Disciplinārtiesas</w:t>
      </w:r>
      <w:proofErr w:type="spellEnd"/>
      <w:r w:rsidR="00990CC7" w:rsidRPr="00AA32BA">
        <w:rPr>
          <w:rFonts w:cs="Times New Roman"/>
          <w:szCs w:val="24"/>
        </w:rPr>
        <w:t xml:space="preserve"> sēdē nenoliedza arī pats senators.</w:t>
      </w:r>
    </w:p>
    <w:p w14:paraId="70242AF0" w14:textId="69C94519" w:rsidR="00582B50" w:rsidRPr="00AA32BA" w:rsidRDefault="00B62EAE" w:rsidP="008A3B24">
      <w:pPr>
        <w:pStyle w:val="NoSpacing"/>
        <w:widowControl w:val="0"/>
        <w:spacing w:line="276" w:lineRule="auto"/>
        <w:ind w:firstLine="720"/>
        <w:jc w:val="both"/>
        <w:rPr>
          <w:rFonts w:cs="Times New Roman"/>
          <w:szCs w:val="24"/>
        </w:rPr>
      </w:pPr>
      <w:r w:rsidRPr="00AA32BA">
        <w:rPr>
          <w:rFonts w:cs="Times New Roman"/>
          <w:szCs w:val="24"/>
        </w:rPr>
        <w:t>[</w:t>
      </w:r>
      <w:r w:rsidR="00666D8F" w:rsidRPr="00AA32BA">
        <w:rPr>
          <w:rFonts w:cs="Times New Roman"/>
          <w:szCs w:val="24"/>
        </w:rPr>
        <w:t>8</w:t>
      </w:r>
      <w:r w:rsidRPr="00AA32BA">
        <w:rPr>
          <w:rFonts w:cs="Times New Roman"/>
          <w:szCs w:val="24"/>
        </w:rPr>
        <w:t>.3.2]</w:t>
      </w:r>
      <w:r w:rsidR="00AA32BA">
        <w:rPr>
          <w:rFonts w:cs="Times New Roman"/>
          <w:szCs w:val="24"/>
        </w:rPr>
        <w:t> </w:t>
      </w:r>
      <w:r w:rsidRPr="00AA32BA">
        <w:rPr>
          <w:rFonts w:cs="Times New Roman"/>
          <w:szCs w:val="24"/>
        </w:rPr>
        <w:t xml:space="preserve">Raksturojot senatora </w:t>
      </w:r>
      <w:r w:rsidR="00B97DBC">
        <w:rPr>
          <w:rFonts w:cs="Times New Roman"/>
          <w:szCs w:val="24"/>
        </w:rPr>
        <w:t xml:space="preserve">[A] </w:t>
      </w:r>
      <w:r w:rsidRPr="00AA32BA">
        <w:rPr>
          <w:rFonts w:cs="Times New Roman"/>
          <w:szCs w:val="24"/>
        </w:rPr>
        <w:t xml:space="preserve">pieļautā disciplinārā pārkāpuma būtību, Disciplinārkolēģija pamatoti norādījusi, </w:t>
      </w:r>
      <w:r w:rsidR="003A31B9" w:rsidRPr="00AA32BA">
        <w:rPr>
          <w:rFonts w:cs="Times New Roman"/>
          <w:szCs w:val="24"/>
        </w:rPr>
        <w:t xml:space="preserve">ka </w:t>
      </w:r>
      <w:r w:rsidR="00C33427" w:rsidRPr="00AA32BA">
        <w:rPr>
          <w:rFonts w:cs="Times New Roman"/>
          <w:szCs w:val="24"/>
        </w:rPr>
        <w:t xml:space="preserve">tas izpaudies </w:t>
      </w:r>
      <w:r w:rsidRPr="00AA32BA">
        <w:rPr>
          <w:rFonts w:cs="Times New Roman"/>
          <w:szCs w:val="24"/>
        </w:rPr>
        <w:t>kā nepiedalīšanās lietu</w:t>
      </w:r>
      <w:r w:rsidR="00C33427" w:rsidRPr="00AA32BA">
        <w:rPr>
          <w:rFonts w:cs="Times New Roman"/>
          <w:szCs w:val="24"/>
        </w:rPr>
        <w:t xml:space="preserve"> izskatīšanā, jo lietas izskatīšana nenoslēdzas ar senatoru apspriedi, bet tai seko </w:t>
      </w:r>
      <w:r w:rsidR="00AA32BA">
        <w:rPr>
          <w:rFonts w:cs="Times New Roman"/>
          <w:szCs w:val="24"/>
        </w:rPr>
        <w:t>nolēmuma</w:t>
      </w:r>
      <w:r w:rsidR="00AA32BA" w:rsidRPr="00AA32BA">
        <w:rPr>
          <w:rFonts w:cs="Times New Roman"/>
          <w:szCs w:val="24"/>
        </w:rPr>
        <w:t xml:space="preserve"> </w:t>
      </w:r>
      <w:r w:rsidR="00C33427" w:rsidRPr="00AA32BA">
        <w:rPr>
          <w:rFonts w:cs="Times New Roman"/>
          <w:szCs w:val="24"/>
        </w:rPr>
        <w:t>sagatavošana un parakstīšana, līdz ar to, neparakstot</w:t>
      </w:r>
      <w:r w:rsidR="003A31B9" w:rsidRPr="00AA32BA">
        <w:rPr>
          <w:rFonts w:cs="Times New Roman"/>
          <w:szCs w:val="24"/>
        </w:rPr>
        <w:t xml:space="preserve"> sagatavoto</w:t>
      </w:r>
      <w:r w:rsidR="00AA32BA">
        <w:rPr>
          <w:rFonts w:cs="Times New Roman"/>
          <w:szCs w:val="24"/>
        </w:rPr>
        <w:t>s</w:t>
      </w:r>
      <w:r w:rsidR="003A31B9" w:rsidRPr="00AA32BA">
        <w:rPr>
          <w:rFonts w:cs="Times New Roman"/>
          <w:szCs w:val="24"/>
        </w:rPr>
        <w:t xml:space="preserve"> </w:t>
      </w:r>
      <w:r w:rsidR="00AA32BA">
        <w:rPr>
          <w:rFonts w:cs="Times New Roman"/>
          <w:szCs w:val="24"/>
        </w:rPr>
        <w:t>nolēmumus</w:t>
      </w:r>
      <w:r w:rsidR="003A31B9" w:rsidRPr="00AA32BA">
        <w:rPr>
          <w:rFonts w:cs="Times New Roman"/>
          <w:szCs w:val="24"/>
        </w:rPr>
        <w:t>, senators ir ietekmējis liet</w:t>
      </w:r>
      <w:r w:rsidR="0047463E">
        <w:rPr>
          <w:rFonts w:cs="Times New Roman"/>
          <w:szCs w:val="24"/>
        </w:rPr>
        <w:t>u</w:t>
      </w:r>
      <w:r w:rsidR="003A31B9" w:rsidRPr="00AA32BA">
        <w:rPr>
          <w:rFonts w:cs="Times New Roman"/>
          <w:szCs w:val="24"/>
        </w:rPr>
        <w:t xml:space="preserve"> izskatīšanas gaitu un termiņu. </w:t>
      </w:r>
      <w:r w:rsidR="00934352" w:rsidRPr="00AA32BA">
        <w:rPr>
          <w:rFonts w:cs="Times New Roman"/>
          <w:szCs w:val="24"/>
        </w:rPr>
        <w:t>Arī pats senators savā sūdzībā ir atzinis, ka nolēmuma parakstīšanu vispārīgi var aplūkot kā lietas izskatīšanas sastāvdaļu. Vienlaikus Disciplinār</w:t>
      </w:r>
      <w:r w:rsidR="00EE6ECA" w:rsidRPr="00AA32BA">
        <w:rPr>
          <w:rFonts w:cs="Times New Roman"/>
          <w:szCs w:val="24"/>
        </w:rPr>
        <w:t>kolēģija</w:t>
      </w:r>
      <w:r w:rsidR="00934352" w:rsidRPr="00AA32BA">
        <w:rPr>
          <w:rFonts w:cs="Times New Roman"/>
          <w:szCs w:val="24"/>
        </w:rPr>
        <w:t xml:space="preserve"> savu atzinumu par pārkāpuma būtību nav vispārinājusi, proti, nav </w:t>
      </w:r>
      <w:r w:rsidR="009C1E75" w:rsidRPr="00AA32BA">
        <w:rPr>
          <w:rFonts w:cs="Times New Roman"/>
          <w:szCs w:val="24"/>
        </w:rPr>
        <w:t>secinājusi</w:t>
      </w:r>
      <w:r w:rsidR="00934352" w:rsidRPr="00AA32BA">
        <w:rPr>
          <w:rFonts w:cs="Times New Roman"/>
          <w:szCs w:val="24"/>
        </w:rPr>
        <w:t>, ka senators n</w:t>
      </w:r>
      <w:r w:rsidR="009C1E75" w:rsidRPr="00AA32BA">
        <w:rPr>
          <w:rFonts w:cs="Times New Roman"/>
          <w:szCs w:val="24"/>
        </w:rPr>
        <w:t>av</w:t>
      </w:r>
      <w:r w:rsidR="00934352" w:rsidRPr="00AA32BA">
        <w:rPr>
          <w:rFonts w:cs="Times New Roman"/>
          <w:szCs w:val="24"/>
        </w:rPr>
        <w:t xml:space="preserve"> piedalījies senatoru aps</w:t>
      </w:r>
      <w:r w:rsidR="009C1E75" w:rsidRPr="00AA32BA">
        <w:rPr>
          <w:rFonts w:cs="Times New Roman"/>
          <w:szCs w:val="24"/>
        </w:rPr>
        <w:t xml:space="preserve">priedē un spriedumu projektu saskaņošanā, bet konstatējusi disciplināro pārkāpumu un noteikusi sodu par to, ka senators nav </w:t>
      </w:r>
      <w:r w:rsidR="00582B50" w:rsidRPr="00AA32BA">
        <w:rPr>
          <w:rFonts w:cs="Times New Roman"/>
          <w:szCs w:val="24"/>
        </w:rPr>
        <w:t>piedalījies lietu izskatīšanā tādējādi, ka n</w:t>
      </w:r>
      <w:r w:rsidR="009C1E75" w:rsidRPr="00AA32BA">
        <w:rPr>
          <w:rFonts w:cs="Times New Roman"/>
          <w:szCs w:val="24"/>
        </w:rPr>
        <w:t>av parakstījis</w:t>
      </w:r>
      <w:r w:rsidR="00582B50" w:rsidRPr="00AA32BA">
        <w:rPr>
          <w:rFonts w:cs="Times New Roman"/>
          <w:szCs w:val="24"/>
        </w:rPr>
        <w:t xml:space="preserve"> šajās lietās pieņemtos </w:t>
      </w:r>
      <w:r w:rsidR="0047463E">
        <w:rPr>
          <w:rFonts w:cs="Times New Roman"/>
          <w:szCs w:val="24"/>
        </w:rPr>
        <w:t>nolēmumus</w:t>
      </w:r>
      <w:r w:rsidR="00582B50" w:rsidRPr="00AA32BA">
        <w:rPr>
          <w:rFonts w:cs="Times New Roman"/>
          <w:szCs w:val="24"/>
        </w:rPr>
        <w:t>.</w:t>
      </w:r>
    </w:p>
    <w:p w14:paraId="52558F3B" w14:textId="4BC2C31C" w:rsidR="00924FAA" w:rsidRPr="00AA32BA" w:rsidRDefault="00582B50" w:rsidP="008A3B24">
      <w:pPr>
        <w:pStyle w:val="NoSpacing"/>
        <w:widowControl w:val="0"/>
        <w:spacing w:line="276" w:lineRule="auto"/>
        <w:ind w:firstLine="720"/>
        <w:jc w:val="both"/>
        <w:rPr>
          <w:rFonts w:cs="Times New Roman"/>
          <w:szCs w:val="24"/>
        </w:rPr>
      </w:pPr>
      <w:r w:rsidRPr="008A3B24">
        <w:rPr>
          <w:rFonts w:cs="Times New Roman"/>
          <w:szCs w:val="24"/>
        </w:rPr>
        <w:t>[</w:t>
      </w:r>
      <w:r w:rsidR="00666D8F" w:rsidRPr="008A3B24">
        <w:rPr>
          <w:rFonts w:cs="Times New Roman"/>
          <w:szCs w:val="24"/>
        </w:rPr>
        <w:t>8</w:t>
      </w:r>
      <w:r w:rsidRPr="008A3B24">
        <w:rPr>
          <w:rFonts w:cs="Times New Roman"/>
          <w:szCs w:val="24"/>
        </w:rPr>
        <w:t>.3.</w:t>
      </w:r>
      <w:r w:rsidR="00AA7DF1" w:rsidRPr="008A3B24">
        <w:rPr>
          <w:rFonts w:cs="Times New Roman"/>
          <w:szCs w:val="24"/>
        </w:rPr>
        <w:t>3</w:t>
      </w:r>
      <w:r w:rsidRPr="008A3B24">
        <w:rPr>
          <w:rFonts w:cs="Times New Roman"/>
          <w:szCs w:val="24"/>
        </w:rPr>
        <w:t>]</w:t>
      </w:r>
      <w:r w:rsidR="0047463E">
        <w:rPr>
          <w:rFonts w:cs="Times New Roman"/>
          <w:szCs w:val="24"/>
        </w:rPr>
        <w:t> </w:t>
      </w:r>
      <w:proofErr w:type="spellStart"/>
      <w:r w:rsidRPr="00AA32BA">
        <w:rPr>
          <w:rFonts w:cs="Times New Roman"/>
          <w:szCs w:val="24"/>
        </w:rPr>
        <w:t>Disciplinārtiesa</w:t>
      </w:r>
      <w:proofErr w:type="spellEnd"/>
      <w:r w:rsidRPr="00AA32BA">
        <w:rPr>
          <w:rFonts w:cs="Times New Roman"/>
          <w:szCs w:val="24"/>
        </w:rPr>
        <w:t xml:space="preserve"> atzīst par nepamatotu senatora </w:t>
      </w:r>
      <w:r w:rsidR="00B97DBC">
        <w:rPr>
          <w:rFonts w:cs="Times New Roman"/>
          <w:szCs w:val="24"/>
        </w:rPr>
        <w:t>[A]</w:t>
      </w:r>
      <w:r w:rsidRPr="00AA32BA">
        <w:rPr>
          <w:rFonts w:cs="Times New Roman"/>
          <w:szCs w:val="24"/>
        </w:rPr>
        <w:t xml:space="preserve"> sūdzībā pausto apgalvojumu, ka Disciplinārkolēģija, nosakot sodu par pieļauto disciplināro pārkāpumu, nepamatoti ņēmusi vērā disciplinārā pārkāpuma</w:t>
      </w:r>
      <w:r w:rsidR="00751420" w:rsidRPr="00AA32BA">
        <w:rPr>
          <w:rFonts w:cs="Times New Roman"/>
          <w:szCs w:val="24"/>
        </w:rPr>
        <w:t xml:space="preserve"> cēloni. </w:t>
      </w:r>
      <w:proofErr w:type="spellStart"/>
      <w:r w:rsidR="00751420" w:rsidRPr="00AA32BA">
        <w:rPr>
          <w:rFonts w:cs="Times New Roman"/>
          <w:szCs w:val="24"/>
        </w:rPr>
        <w:t>Disciplinārtiesa</w:t>
      </w:r>
      <w:proofErr w:type="spellEnd"/>
      <w:r w:rsidR="00751420" w:rsidRPr="00AA32BA">
        <w:rPr>
          <w:rFonts w:cs="Times New Roman"/>
          <w:szCs w:val="24"/>
        </w:rPr>
        <w:t xml:space="preserve"> norāda, ka disciplinārā pārkāpuma cēlonis ir viens no apstākļiem, kas raksturo gan vainīgā personību, gan pašu disciplināro pārkāpumu, ļaujot norobežot to no citiem disciplinārajiem pārkāpumiem un individualizēt vainīgajai personai nosakāmo sodu.</w:t>
      </w:r>
      <w:r w:rsidRPr="00AA32BA">
        <w:rPr>
          <w:rFonts w:cs="Times New Roman"/>
          <w:szCs w:val="24"/>
        </w:rPr>
        <w:t xml:space="preserve"> </w:t>
      </w:r>
      <w:r w:rsidR="00751420" w:rsidRPr="00AA32BA">
        <w:rPr>
          <w:rFonts w:cs="Times New Roman"/>
          <w:szCs w:val="24"/>
        </w:rPr>
        <w:t xml:space="preserve">Situācija, kad senators nav pildījis savus </w:t>
      </w:r>
      <w:r w:rsidR="0014669D">
        <w:rPr>
          <w:rFonts w:cs="Times New Roman"/>
          <w:szCs w:val="24"/>
        </w:rPr>
        <w:t>amata</w:t>
      </w:r>
      <w:r w:rsidR="0014669D" w:rsidRPr="00AA32BA">
        <w:rPr>
          <w:rFonts w:cs="Times New Roman"/>
          <w:szCs w:val="24"/>
        </w:rPr>
        <w:t xml:space="preserve"> </w:t>
      </w:r>
      <w:r w:rsidR="00751420" w:rsidRPr="00AA32BA">
        <w:rPr>
          <w:rFonts w:cs="Times New Roman"/>
          <w:szCs w:val="24"/>
        </w:rPr>
        <w:t xml:space="preserve">pienākumus pārmērīgas alkoholisko dzērienu lietošanas dēļ, </w:t>
      </w:r>
      <w:r w:rsidR="00A27CF6" w:rsidRPr="00AA32BA">
        <w:rPr>
          <w:rFonts w:cs="Times New Roman"/>
          <w:szCs w:val="24"/>
        </w:rPr>
        <w:t>ne tikai pārkāpj konkrēto p</w:t>
      </w:r>
      <w:r w:rsidR="00220089" w:rsidRPr="00AA32BA">
        <w:rPr>
          <w:rFonts w:cs="Times New Roman"/>
          <w:szCs w:val="24"/>
        </w:rPr>
        <w:t>rocesa dalībnieku</w:t>
      </w:r>
      <w:r w:rsidR="00A27CF6" w:rsidRPr="00AA32BA">
        <w:rPr>
          <w:rFonts w:cs="Times New Roman"/>
          <w:szCs w:val="24"/>
        </w:rPr>
        <w:t xml:space="preserve"> tiesības uz lietas iztiesāšanu tiesā likumā noteiktajā procesuālajā kārtībā, bet rada</w:t>
      </w:r>
      <w:r w:rsidR="00F05D36" w:rsidRPr="00AA32BA">
        <w:rPr>
          <w:rFonts w:cs="Times New Roman"/>
          <w:szCs w:val="24"/>
        </w:rPr>
        <w:t xml:space="preserve"> </w:t>
      </w:r>
      <w:r w:rsidR="00A27CF6" w:rsidRPr="00AA32BA">
        <w:rPr>
          <w:rFonts w:cs="Times New Roman"/>
          <w:szCs w:val="24"/>
        </w:rPr>
        <w:t xml:space="preserve">grūti kompensējamu kaitējumu Augstākās tiesas tēlam un visai tiesu sistēmai kopumā, mazinot sabiedrības uzticēšanos tiesām. </w:t>
      </w:r>
      <w:r w:rsidR="00F05D36" w:rsidRPr="00AA32BA">
        <w:rPr>
          <w:rFonts w:cs="Times New Roman"/>
          <w:szCs w:val="24"/>
        </w:rPr>
        <w:t xml:space="preserve">Senatora sūdzībā paustie apgalvojumi par to, ka viņa pieļautā disciplinārā pārkāpuma kaitīgās sekas izpaudušās vienīgi kā procesa dalībnieku tiesību laikus saņemt </w:t>
      </w:r>
      <w:r w:rsidR="00196349" w:rsidRPr="00AA32BA">
        <w:rPr>
          <w:rFonts w:cs="Times New Roman"/>
          <w:szCs w:val="24"/>
        </w:rPr>
        <w:t xml:space="preserve">tiesas </w:t>
      </w:r>
      <w:r w:rsidR="008A3B24">
        <w:rPr>
          <w:rFonts w:cs="Times New Roman"/>
          <w:szCs w:val="24"/>
        </w:rPr>
        <w:t>nolēmumu</w:t>
      </w:r>
      <w:r w:rsidR="008A3B24" w:rsidRPr="00AA32BA">
        <w:rPr>
          <w:rFonts w:cs="Times New Roman"/>
          <w:szCs w:val="24"/>
        </w:rPr>
        <w:t xml:space="preserve"> </w:t>
      </w:r>
      <w:r w:rsidR="00196349" w:rsidRPr="00AA32BA">
        <w:rPr>
          <w:rFonts w:cs="Times New Roman"/>
          <w:szCs w:val="24"/>
        </w:rPr>
        <w:t xml:space="preserve">aizskārums, kurš ticis novērsts divu un trīs nedēļu laikā, liecina par to, ka senators </w:t>
      </w:r>
      <w:r w:rsidR="00EE6ECA" w:rsidRPr="00AA32BA">
        <w:rPr>
          <w:rFonts w:cs="Times New Roman"/>
          <w:szCs w:val="24"/>
        </w:rPr>
        <w:t>faktiski</w:t>
      </w:r>
      <w:r w:rsidR="008710A8" w:rsidRPr="00AA32BA">
        <w:rPr>
          <w:rFonts w:cs="Times New Roman"/>
          <w:szCs w:val="24"/>
        </w:rPr>
        <w:t xml:space="preserve"> </w:t>
      </w:r>
      <w:r w:rsidR="00196349" w:rsidRPr="00AA32BA">
        <w:rPr>
          <w:rFonts w:cs="Times New Roman"/>
          <w:szCs w:val="24"/>
        </w:rPr>
        <w:t>n</w:t>
      </w:r>
      <w:r w:rsidR="00924FAA" w:rsidRPr="00AA32BA">
        <w:rPr>
          <w:rFonts w:cs="Times New Roman"/>
          <w:szCs w:val="24"/>
        </w:rPr>
        <w:t>av izpratis</w:t>
      </w:r>
      <w:r w:rsidR="00196349" w:rsidRPr="00AA32BA">
        <w:rPr>
          <w:rFonts w:cs="Times New Roman"/>
          <w:szCs w:val="24"/>
        </w:rPr>
        <w:t xml:space="preserve"> pieļautā disciplinārā pārkāpuma būtību un radīto seku smagumu.</w:t>
      </w:r>
    </w:p>
    <w:p w14:paraId="34A8A07B" w14:textId="74E6E575" w:rsidR="00AA7DF1" w:rsidRPr="00AA32BA" w:rsidRDefault="00924FAA" w:rsidP="008A3B24">
      <w:pPr>
        <w:pStyle w:val="NoSpacing"/>
        <w:widowControl w:val="0"/>
        <w:spacing w:line="276" w:lineRule="auto"/>
        <w:ind w:firstLine="720"/>
        <w:jc w:val="both"/>
        <w:rPr>
          <w:rFonts w:cs="Times New Roman"/>
          <w:szCs w:val="24"/>
        </w:rPr>
      </w:pPr>
      <w:r w:rsidRPr="00AA32BA">
        <w:rPr>
          <w:rFonts w:cs="Times New Roman"/>
          <w:szCs w:val="24"/>
        </w:rPr>
        <w:t>[</w:t>
      </w:r>
      <w:r w:rsidR="00666D8F" w:rsidRPr="00AA32BA">
        <w:rPr>
          <w:rFonts w:cs="Times New Roman"/>
          <w:szCs w:val="24"/>
        </w:rPr>
        <w:t>8</w:t>
      </w:r>
      <w:r w:rsidRPr="00AA32BA">
        <w:rPr>
          <w:rFonts w:cs="Times New Roman"/>
          <w:szCs w:val="24"/>
        </w:rPr>
        <w:t>.3.4]</w:t>
      </w:r>
      <w:r w:rsidR="000869A8">
        <w:rPr>
          <w:rFonts w:cs="Times New Roman"/>
          <w:szCs w:val="24"/>
        </w:rPr>
        <w:t> </w:t>
      </w:r>
      <w:r w:rsidR="00CA45BE" w:rsidRPr="00AA32BA">
        <w:rPr>
          <w:rFonts w:cs="Times New Roman"/>
          <w:szCs w:val="24"/>
        </w:rPr>
        <w:t xml:space="preserve">Nav šaubu par to, ka arī disciplinārajā pārkāpumā vainīgā personību raksturojošās ziņas ļauj individualizēt vainīgajam nosakāmo sodu, tādēļ šo ziņu rūpīgam </w:t>
      </w:r>
      <w:r w:rsidR="00CA45BE" w:rsidRPr="00AA32BA">
        <w:rPr>
          <w:rFonts w:cs="Times New Roman"/>
          <w:szCs w:val="24"/>
        </w:rPr>
        <w:lastRenderedPageBreak/>
        <w:t xml:space="preserve">izvērtējumam ir būtiska nozīme taisnīga disciplinārsoda noteikšanā. </w:t>
      </w:r>
      <w:proofErr w:type="spellStart"/>
      <w:r w:rsidR="00CA45BE" w:rsidRPr="00AA32BA">
        <w:rPr>
          <w:rFonts w:cs="Times New Roman"/>
          <w:szCs w:val="24"/>
        </w:rPr>
        <w:t>Disciplinārtiesa</w:t>
      </w:r>
      <w:proofErr w:type="spellEnd"/>
      <w:r w:rsidR="00CA45BE" w:rsidRPr="00AA32BA">
        <w:rPr>
          <w:rFonts w:cs="Times New Roman"/>
          <w:szCs w:val="24"/>
        </w:rPr>
        <w:t xml:space="preserve"> konstatē, ka Disciplinārkolēģija ir izvērtējusi un, nosakot disciplinārsodu, ņēmusi vērā tās rīcībā esošās senatora </w:t>
      </w:r>
      <w:r w:rsidR="00B97DBC">
        <w:rPr>
          <w:rFonts w:cs="Times New Roman"/>
          <w:szCs w:val="24"/>
        </w:rPr>
        <w:t>[A]</w:t>
      </w:r>
      <w:r w:rsidR="00CA45BE" w:rsidRPr="00AA32BA">
        <w:rPr>
          <w:rFonts w:cs="Times New Roman"/>
          <w:szCs w:val="24"/>
        </w:rPr>
        <w:t xml:space="preserve"> personību raksturojošās ziņas – to, ka</w:t>
      </w:r>
      <w:r w:rsidR="008710A8" w:rsidRPr="00AA32BA">
        <w:rPr>
          <w:rFonts w:cs="Times New Roman"/>
          <w:szCs w:val="24"/>
        </w:rPr>
        <w:t xml:space="preserve"> šāda veida pārkāpums – darba pienākumu nepildīšana, kuras rezultātā pārkāptas procesa dalībnieku tiesības, – ir konstatēts pirmo reizi un citas sūdzības par senatoru nav saņemtas. Nekādas citas senatora personību pozitīvi raksturojošas ziņas, kuras varētu ietekmēt nosakāmo disciplinārsodu, senators</w:t>
      </w:r>
      <w:r w:rsidR="00874569" w:rsidRPr="00AA32BA">
        <w:rPr>
          <w:rFonts w:cs="Times New Roman"/>
          <w:szCs w:val="24"/>
        </w:rPr>
        <w:t xml:space="preserve"> ne</w:t>
      </w:r>
      <w:r w:rsidR="008710A8" w:rsidRPr="00AA32BA">
        <w:rPr>
          <w:rFonts w:cs="Times New Roman"/>
          <w:szCs w:val="24"/>
        </w:rPr>
        <w:t xml:space="preserve"> Disciplinārkolēģijai, ne </w:t>
      </w:r>
      <w:proofErr w:type="spellStart"/>
      <w:r w:rsidR="008710A8" w:rsidRPr="00AA32BA">
        <w:rPr>
          <w:rFonts w:cs="Times New Roman"/>
          <w:szCs w:val="24"/>
        </w:rPr>
        <w:t>Disciplinārtiesai</w:t>
      </w:r>
      <w:proofErr w:type="spellEnd"/>
      <w:r w:rsidR="008710A8" w:rsidRPr="00AA32BA">
        <w:rPr>
          <w:rFonts w:cs="Times New Roman"/>
          <w:szCs w:val="24"/>
        </w:rPr>
        <w:t xml:space="preserve"> nav iesniedzis. </w:t>
      </w:r>
      <w:r w:rsidR="008F126D" w:rsidRPr="00AA32BA">
        <w:rPr>
          <w:rFonts w:cs="Times New Roman"/>
          <w:szCs w:val="24"/>
        </w:rPr>
        <w:t>Senatora sūdzībā ietvertās norādes pa</w:t>
      </w:r>
      <w:r w:rsidR="008A3B24">
        <w:rPr>
          <w:rFonts w:cs="Times New Roman"/>
          <w:szCs w:val="24"/>
        </w:rPr>
        <w:t>r</w:t>
      </w:r>
      <w:r w:rsidR="008F126D" w:rsidRPr="00AA32BA">
        <w:rPr>
          <w:rFonts w:cs="Times New Roman"/>
          <w:szCs w:val="24"/>
        </w:rPr>
        <w:t xml:space="preserve"> to, ka </w:t>
      </w:r>
      <w:proofErr w:type="spellStart"/>
      <w:r w:rsidR="008F126D" w:rsidRPr="00AA32BA">
        <w:rPr>
          <w:rFonts w:cs="Times New Roman"/>
          <w:szCs w:val="24"/>
        </w:rPr>
        <w:t>Disciplinārtiesa</w:t>
      </w:r>
      <w:proofErr w:type="spellEnd"/>
      <w:r w:rsidR="008F126D" w:rsidRPr="00AA32BA">
        <w:rPr>
          <w:rFonts w:cs="Times New Roman"/>
          <w:szCs w:val="24"/>
        </w:rPr>
        <w:t xml:space="preserve">, nosakot disciplinārsodu, nav ņēmusi vērā ziņas par senatora iepriekšējo darbību tiesneša amatā, tostarp ziņas par senatora pienesumu judikatūras veidošanā, atzīstamas par nepamatotām, jo </w:t>
      </w:r>
      <w:r w:rsidR="00425A71" w:rsidRPr="00AA32BA">
        <w:rPr>
          <w:rFonts w:cs="Times New Roman"/>
          <w:szCs w:val="24"/>
        </w:rPr>
        <w:t>šīs darbības ietilpst jebkura senatora profesionālajos pienākumos un veido viņa darba ikdienu. Nekādas ziņas par īpašiem sasniegumiem šajās jomās, kas varētu ietekmēt piemērojamo disciplinārsodu, senators nav norādījis. Savukārt ziņas par to, ka, izņemot izskatāmo gadījumu, nekādas citas sūdzības par senatora darbu nav saņemtas,</w:t>
      </w:r>
      <w:r w:rsidR="00EE39CF" w:rsidRPr="00AA32BA">
        <w:rPr>
          <w:rFonts w:cs="Times New Roman"/>
          <w:szCs w:val="24"/>
        </w:rPr>
        <w:t xml:space="preserve"> </w:t>
      </w:r>
      <w:r w:rsidR="00425A71" w:rsidRPr="00AA32BA">
        <w:rPr>
          <w:rFonts w:cs="Times New Roman"/>
          <w:szCs w:val="24"/>
        </w:rPr>
        <w:t>Disciplinārkolēģija ir izvērtējusi.</w:t>
      </w:r>
    </w:p>
    <w:p w14:paraId="0D84F427" w14:textId="402BC112" w:rsidR="00522666" w:rsidRPr="00AA32BA" w:rsidRDefault="00522666" w:rsidP="008A3B24">
      <w:pPr>
        <w:pStyle w:val="NoSpacing"/>
        <w:widowControl w:val="0"/>
        <w:spacing w:line="276" w:lineRule="auto"/>
        <w:ind w:firstLine="720"/>
        <w:jc w:val="both"/>
        <w:rPr>
          <w:rFonts w:cs="Times New Roman"/>
          <w:szCs w:val="24"/>
        </w:rPr>
      </w:pPr>
      <w:r w:rsidRPr="00AA32BA">
        <w:rPr>
          <w:rFonts w:cs="Times New Roman"/>
          <w:szCs w:val="24"/>
        </w:rPr>
        <w:t>[</w:t>
      </w:r>
      <w:r w:rsidR="00666D8F" w:rsidRPr="00AA32BA">
        <w:rPr>
          <w:rFonts w:cs="Times New Roman"/>
          <w:szCs w:val="24"/>
        </w:rPr>
        <w:t>8</w:t>
      </w:r>
      <w:r w:rsidRPr="00AA32BA">
        <w:rPr>
          <w:rFonts w:cs="Times New Roman"/>
          <w:szCs w:val="24"/>
        </w:rPr>
        <w:t>.3.</w:t>
      </w:r>
      <w:r w:rsidR="00EE39CF" w:rsidRPr="00AA32BA">
        <w:rPr>
          <w:rFonts w:cs="Times New Roman"/>
          <w:szCs w:val="24"/>
        </w:rPr>
        <w:t>5</w:t>
      </w:r>
      <w:r w:rsidRPr="00AA32BA">
        <w:rPr>
          <w:rFonts w:cs="Times New Roman"/>
          <w:szCs w:val="24"/>
        </w:rPr>
        <w:t>]</w:t>
      </w:r>
      <w:r w:rsidR="000869A8">
        <w:rPr>
          <w:rFonts w:cs="Times New Roman"/>
          <w:szCs w:val="24"/>
        </w:rPr>
        <w:t> </w:t>
      </w:r>
      <w:proofErr w:type="spellStart"/>
      <w:r w:rsidRPr="00AA32BA">
        <w:rPr>
          <w:rFonts w:cs="Times New Roman"/>
          <w:szCs w:val="24"/>
        </w:rPr>
        <w:t>Disciplinārtiesa</w:t>
      </w:r>
      <w:proofErr w:type="spellEnd"/>
      <w:r w:rsidRPr="00AA32BA">
        <w:rPr>
          <w:rFonts w:cs="Times New Roman"/>
          <w:szCs w:val="24"/>
        </w:rPr>
        <w:t xml:space="preserve"> atzīst par nepamatotām senatora sūdzībā ietvertās norādes par pamatojuma </w:t>
      </w:r>
      <w:r w:rsidR="000122F0" w:rsidRPr="00AA32BA">
        <w:rPr>
          <w:rFonts w:cs="Times New Roman"/>
          <w:szCs w:val="24"/>
        </w:rPr>
        <w:t xml:space="preserve">principa pārkāpumu un </w:t>
      </w:r>
      <w:r w:rsidR="00A52B6E" w:rsidRPr="00AA32BA">
        <w:rPr>
          <w:rFonts w:cs="Times New Roman"/>
          <w:szCs w:val="24"/>
        </w:rPr>
        <w:t xml:space="preserve">par </w:t>
      </w:r>
      <w:r w:rsidR="000122F0" w:rsidRPr="00AA32BA">
        <w:rPr>
          <w:rFonts w:cs="Times New Roman"/>
          <w:szCs w:val="24"/>
        </w:rPr>
        <w:t xml:space="preserve">vienlīdzības </w:t>
      </w:r>
      <w:r w:rsidRPr="00AA32BA">
        <w:rPr>
          <w:rFonts w:cs="Times New Roman"/>
          <w:szCs w:val="24"/>
        </w:rPr>
        <w:t>principa pārkāpumu</w:t>
      </w:r>
      <w:r w:rsidR="00A52B6E" w:rsidRPr="00AA32BA">
        <w:rPr>
          <w:rFonts w:cs="Times New Roman"/>
          <w:szCs w:val="24"/>
        </w:rPr>
        <w:t>, salīdzinot senatora pieļautā disciplinārā pārkāpuma raksturu un sekas ar divās citās disciplinārlietās uzrādītajiem apstākļiem.</w:t>
      </w:r>
    </w:p>
    <w:p w14:paraId="7BE74481" w14:textId="213EBAD5" w:rsidR="00A52B6E" w:rsidRPr="00AA32BA" w:rsidRDefault="00522666" w:rsidP="008A3B24">
      <w:pPr>
        <w:pStyle w:val="NoSpacing"/>
        <w:widowControl w:val="0"/>
        <w:spacing w:line="276" w:lineRule="auto"/>
        <w:ind w:firstLine="720"/>
        <w:jc w:val="both"/>
        <w:rPr>
          <w:rFonts w:cs="Times New Roman"/>
          <w:szCs w:val="24"/>
        </w:rPr>
      </w:pPr>
      <w:r w:rsidRPr="00AA32BA">
        <w:rPr>
          <w:rFonts w:cs="Times New Roman"/>
          <w:szCs w:val="24"/>
        </w:rPr>
        <w:t xml:space="preserve">Pamatojuma princips ir viens no procesuālā taisnīguma nodrošināšanas </w:t>
      </w:r>
      <w:r w:rsidR="008A3B24">
        <w:rPr>
          <w:rFonts w:cs="Times New Roman"/>
          <w:szCs w:val="24"/>
        </w:rPr>
        <w:t>līdzekļiem</w:t>
      </w:r>
      <w:r w:rsidRPr="00AA32BA">
        <w:rPr>
          <w:rFonts w:cs="Times New Roman"/>
          <w:szCs w:val="24"/>
        </w:rPr>
        <w:t>.</w:t>
      </w:r>
      <w:r w:rsidR="00874569" w:rsidRPr="00AA32BA">
        <w:rPr>
          <w:rFonts w:cs="Times New Roman"/>
          <w:szCs w:val="24"/>
        </w:rPr>
        <w:t xml:space="preserve"> Motivēta nolēmuma mērķis ir nodrošināt, lai gan lietas dalībnieki, gan sabiedrība varētu saprast, kā </w:t>
      </w:r>
      <w:r w:rsidR="00105170">
        <w:rPr>
          <w:rFonts w:cs="Times New Roman"/>
          <w:szCs w:val="24"/>
        </w:rPr>
        <w:t xml:space="preserve">Disciplinārkolēģija </w:t>
      </w:r>
      <w:r w:rsidR="00874569" w:rsidRPr="00AA32BA">
        <w:rPr>
          <w:rFonts w:cs="Times New Roman"/>
          <w:szCs w:val="24"/>
        </w:rPr>
        <w:t>nonākusi pie tieši tāda un ne citāda lietas iznākuma</w:t>
      </w:r>
      <w:r w:rsidR="000122F0" w:rsidRPr="00AA32BA">
        <w:rPr>
          <w:rFonts w:cs="Times New Roman"/>
          <w:szCs w:val="24"/>
        </w:rPr>
        <w:t>,</w:t>
      </w:r>
      <w:r w:rsidR="00874569" w:rsidRPr="00AA32BA">
        <w:rPr>
          <w:rFonts w:cs="Times New Roman"/>
          <w:szCs w:val="24"/>
        </w:rPr>
        <w:t xml:space="preserve"> un tādējādi izslēgt</w:t>
      </w:r>
      <w:r w:rsidR="008A3B24">
        <w:rPr>
          <w:rFonts w:cs="Times New Roman"/>
          <w:szCs w:val="24"/>
        </w:rPr>
        <w:t>u</w:t>
      </w:r>
      <w:r w:rsidR="00874569" w:rsidRPr="00AA32BA">
        <w:rPr>
          <w:rFonts w:cs="Times New Roman"/>
          <w:szCs w:val="24"/>
        </w:rPr>
        <w:t xml:space="preserve"> </w:t>
      </w:r>
      <w:r w:rsidR="00105170">
        <w:rPr>
          <w:rFonts w:cs="Times New Roman"/>
          <w:szCs w:val="24"/>
        </w:rPr>
        <w:t>tās</w:t>
      </w:r>
      <w:r w:rsidR="00874569" w:rsidRPr="00AA32BA">
        <w:rPr>
          <w:rFonts w:cs="Times New Roman"/>
          <w:szCs w:val="24"/>
        </w:rPr>
        <w:t xml:space="preserve"> patvaļas iespējamību</w:t>
      </w:r>
      <w:r w:rsidR="008A3B24">
        <w:rPr>
          <w:rFonts w:cs="Times New Roman"/>
          <w:szCs w:val="24"/>
        </w:rPr>
        <w:t>.</w:t>
      </w:r>
      <w:r w:rsidR="00874569" w:rsidRPr="00AA32BA">
        <w:rPr>
          <w:rFonts w:cs="Times New Roman"/>
          <w:szCs w:val="24"/>
        </w:rPr>
        <w:t xml:space="preserve"> Motīvu norādīšana nolēmumā ir </w:t>
      </w:r>
      <w:r w:rsidR="000122F0" w:rsidRPr="00AA32BA">
        <w:rPr>
          <w:rFonts w:cs="Times New Roman"/>
          <w:szCs w:val="24"/>
        </w:rPr>
        <w:t xml:space="preserve">arī </w:t>
      </w:r>
      <w:r w:rsidR="00874569" w:rsidRPr="00AA32BA">
        <w:rPr>
          <w:rFonts w:cs="Times New Roman"/>
          <w:szCs w:val="24"/>
        </w:rPr>
        <w:t>viens no līdzekļiem, kas ļauj personai pārliecināties, ka tā ir uzklausīta un tās sniegtie argumenti ir izvērtēti</w:t>
      </w:r>
      <w:r w:rsidR="000122F0" w:rsidRPr="00AA32BA">
        <w:rPr>
          <w:rFonts w:cs="Times New Roman"/>
          <w:szCs w:val="24"/>
        </w:rPr>
        <w:t xml:space="preserve">. Disciplinārkolēģijas pienākums </w:t>
      </w:r>
      <w:r w:rsidR="00D62429" w:rsidRPr="00AA32BA">
        <w:rPr>
          <w:rFonts w:cs="Times New Roman"/>
          <w:szCs w:val="24"/>
        </w:rPr>
        <w:t>pamatot</w:t>
      </w:r>
      <w:r w:rsidR="000122F0" w:rsidRPr="00AA32BA">
        <w:rPr>
          <w:rFonts w:cs="Times New Roman"/>
          <w:szCs w:val="24"/>
        </w:rPr>
        <w:t xml:space="preserve"> lēmumu ir tieši no</w:t>
      </w:r>
      <w:r w:rsidR="00D62429" w:rsidRPr="00AA32BA">
        <w:rPr>
          <w:rFonts w:cs="Times New Roman"/>
          <w:szCs w:val="24"/>
        </w:rPr>
        <w:t>rādīts Tiesnešu disciplinārās atbildības likuma 8. panta otrajā daļā, kas noteic, ka disciplinārlietā pieņemta</w:t>
      </w:r>
      <w:r w:rsidR="00A52B6E" w:rsidRPr="00AA32BA">
        <w:rPr>
          <w:rFonts w:cs="Times New Roman"/>
          <w:szCs w:val="24"/>
        </w:rPr>
        <w:t>jā lēmumā norāda arī disciplinārā pārkāpuma izdarīšanas apstākļus un pamatu tiesneša saukšanai pie disciplinārās atbildības</w:t>
      </w:r>
      <w:r w:rsidR="00D832E1">
        <w:rPr>
          <w:rFonts w:cs="Times New Roman"/>
          <w:szCs w:val="24"/>
        </w:rPr>
        <w:t>,</w:t>
      </w:r>
      <w:r w:rsidR="00A52B6E" w:rsidRPr="00AA32BA">
        <w:rPr>
          <w:rFonts w:cs="Times New Roman"/>
          <w:szCs w:val="24"/>
        </w:rPr>
        <w:t xml:space="preserve"> tiesneša paskaidrojumus un ziņas, kas raksturo viņa personību un iepriekšējo darbību tiesneša amatā</w:t>
      </w:r>
      <w:r w:rsidR="00D832E1">
        <w:rPr>
          <w:rFonts w:cs="Times New Roman"/>
          <w:szCs w:val="24"/>
        </w:rPr>
        <w:t>,</w:t>
      </w:r>
      <w:r w:rsidR="00A52B6E" w:rsidRPr="00AA32BA">
        <w:rPr>
          <w:rFonts w:cs="Times New Roman"/>
          <w:szCs w:val="24"/>
        </w:rPr>
        <w:t xml:space="preserve"> pieņemtā lēmuma </w:t>
      </w:r>
      <w:r w:rsidR="00823E53">
        <w:rPr>
          <w:rFonts w:cs="Times New Roman"/>
          <w:szCs w:val="24"/>
        </w:rPr>
        <w:t xml:space="preserve">ar pierādījumiem pamatotus </w:t>
      </w:r>
      <w:r w:rsidR="00A52B6E" w:rsidRPr="00AA32BA">
        <w:rPr>
          <w:rFonts w:cs="Times New Roman"/>
          <w:szCs w:val="24"/>
        </w:rPr>
        <w:t>mot</w:t>
      </w:r>
      <w:r w:rsidR="00823E53">
        <w:rPr>
          <w:rFonts w:cs="Times New Roman"/>
          <w:szCs w:val="24"/>
        </w:rPr>
        <w:t>īvus</w:t>
      </w:r>
      <w:r w:rsidR="00D832E1">
        <w:rPr>
          <w:rFonts w:cs="Times New Roman"/>
          <w:szCs w:val="24"/>
        </w:rPr>
        <w:t xml:space="preserve"> un</w:t>
      </w:r>
      <w:r w:rsidR="00A52B6E" w:rsidRPr="00AA32BA">
        <w:rPr>
          <w:rFonts w:cs="Times New Roman"/>
          <w:szCs w:val="24"/>
        </w:rPr>
        <w:t xml:space="preserve"> tiesnešu disciplinārkolēģijas secinājumus par uzlikto disciplinārsodu.</w:t>
      </w:r>
    </w:p>
    <w:p w14:paraId="5BECEB58" w14:textId="20142B59" w:rsidR="00522666" w:rsidRPr="00AA32BA" w:rsidRDefault="00522666" w:rsidP="008A3B24">
      <w:pPr>
        <w:pStyle w:val="NoSpacing"/>
        <w:widowControl w:val="0"/>
        <w:spacing w:line="276" w:lineRule="auto"/>
        <w:ind w:firstLine="720"/>
        <w:jc w:val="both"/>
        <w:rPr>
          <w:rFonts w:cs="Times New Roman"/>
          <w:szCs w:val="24"/>
        </w:rPr>
      </w:pPr>
      <w:proofErr w:type="spellStart"/>
      <w:r w:rsidRPr="00AA32BA">
        <w:rPr>
          <w:rFonts w:cs="Times New Roman"/>
          <w:szCs w:val="24"/>
        </w:rPr>
        <w:t>Disciplinārtiesa</w:t>
      </w:r>
      <w:proofErr w:type="spellEnd"/>
      <w:r w:rsidRPr="00AA32BA">
        <w:rPr>
          <w:rFonts w:cs="Times New Roman"/>
          <w:szCs w:val="24"/>
        </w:rPr>
        <w:t xml:space="preserve"> atzīst</w:t>
      </w:r>
      <w:r w:rsidR="00EE6ECA" w:rsidRPr="00AA32BA">
        <w:rPr>
          <w:rFonts w:cs="Times New Roman"/>
          <w:szCs w:val="24"/>
        </w:rPr>
        <w:t>, ka</w:t>
      </w:r>
      <w:r w:rsidRPr="00AA32BA">
        <w:rPr>
          <w:rFonts w:cs="Times New Roman"/>
          <w:szCs w:val="24"/>
        </w:rPr>
        <w:t xml:space="preserve"> Disciplinārkolēģijas lēmums atbilst prasībai par motivētu nolēmumu. Visus būtiskos atzinumus, kuriem ir nozīme disciplinārlietas taisnīgā izlemšanā, Disciplinārkolēģija ir motivējusi, un motīvu izklāsta apjoms ļauj saprast,</w:t>
      </w:r>
      <w:r w:rsidR="00E979B9" w:rsidRPr="00AA32BA">
        <w:rPr>
          <w:rFonts w:cs="Times New Roman"/>
          <w:szCs w:val="24"/>
        </w:rPr>
        <w:t xml:space="preserve"> </w:t>
      </w:r>
      <w:r w:rsidRPr="00AA32BA">
        <w:rPr>
          <w:rFonts w:cs="Times New Roman"/>
          <w:szCs w:val="24"/>
        </w:rPr>
        <w:t>kā Disciplinārkolēģija nonākusi pie šiem atzinumiem. Fakts, ka senators nepiekrīt Disciplinārkolēģijas norādītaj</w:t>
      </w:r>
      <w:r w:rsidR="00D832E1">
        <w:rPr>
          <w:rFonts w:cs="Times New Roman"/>
          <w:szCs w:val="24"/>
        </w:rPr>
        <w:t>iem</w:t>
      </w:r>
      <w:r w:rsidRPr="00AA32BA">
        <w:rPr>
          <w:rFonts w:cs="Times New Roman"/>
          <w:szCs w:val="24"/>
        </w:rPr>
        <w:t xml:space="preserve"> </w:t>
      </w:r>
      <w:r w:rsidR="00823E53">
        <w:rPr>
          <w:rFonts w:cs="Times New Roman"/>
          <w:szCs w:val="24"/>
        </w:rPr>
        <w:t>argument</w:t>
      </w:r>
      <w:r w:rsidR="00D832E1">
        <w:rPr>
          <w:rFonts w:cs="Times New Roman"/>
          <w:szCs w:val="24"/>
        </w:rPr>
        <w:t>iem</w:t>
      </w:r>
      <w:r w:rsidRPr="00AA32BA">
        <w:rPr>
          <w:rFonts w:cs="Times New Roman"/>
          <w:szCs w:val="24"/>
        </w:rPr>
        <w:t>, nevar būt par pamatu</w:t>
      </w:r>
      <w:r w:rsidR="00823E53">
        <w:rPr>
          <w:rFonts w:cs="Times New Roman"/>
          <w:szCs w:val="24"/>
        </w:rPr>
        <w:t xml:space="preserve"> secinājumam</w:t>
      </w:r>
      <w:r w:rsidRPr="00AA32BA">
        <w:rPr>
          <w:rFonts w:cs="Times New Roman"/>
          <w:szCs w:val="24"/>
        </w:rPr>
        <w:t>, ka Disciplinārkolēģijas lēmums pieņemts, pārkāpjot pamatojuma principu.</w:t>
      </w:r>
    </w:p>
    <w:p w14:paraId="39E16711" w14:textId="30827C29" w:rsidR="00E118C8" w:rsidRPr="00AA32BA" w:rsidRDefault="00522666" w:rsidP="008A3B24">
      <w:pPr>
        <w:pStyle w:val="NoSpacing"/>
        <w:widowControl w:val="0"/>
        <w:spacing w:line="276" w:lineRule="auto"/>
        <w:ind w:firstLine="720"/>
        <w:jc w:val="both"/>
        <w:rPr>
          <w:rFonts w:cs="Times New Roman"/>
          <w:szCs w:val="24"/>
        </w:rPr>
      </w:pPr>
      <w:r w:rsidRPr="00AA32BA">
        <w:rPr>
          <w:rFonts w:cs="Times New Roman"/>
          <w:szCs w:val="24"/>
        </w:rPr>
        <w:t>Pamatojot savu sūdzību daļā par vienlīdzības principa</w:t>
      </w:r>
      <w:r w:rsidR="00E118C8" w:rsidRPr="00AA32BA">
        <w:rPr>
          <w:rFonts w:cs="Times New Roman"/>
          <w:szCs w:val="24"/>
        </w:rPr>
        <w:t xml:space="preserve"> pārkāpumu, senators</w:t>
      </w:r>
      <w:r w:rsidR="00B035BD" w:rsidRPr="00AA32BA">
        <w:rPr>
          <w:rFonts w:cs="Times New Roman"/>
          <w:szCs w:val="24"/>
        </w:rPr>
        <w:t xml:space="preserve"> </w:t>
      </w:r>
      <w:r w:rsidR="00E118C8" w:rsidRPr="00AA32BA">
        <w:rPr>
          <w:rFonts w:cs="Times New Roman"/>
          <w:szCs w:val="24"/>
        </w:rPr>
        <w:t>atsaucies uz Disciplinārkolēģijas iepriekš pieņemtajiem lēmumiem lietās Nr.</w:t>
      </w:r>
      <w:r w:rsidR="000869A8">
        <w:rPr>
          <w:rFonts w:cs="Times New Roman"/>
          <w:szCs w:val="24"/>
        </w:rPr>
        <w:t> </w:t>
      </w:r>
      <w:r w:rsidR="00481034" w:rsidRPr="00AA32BA">
        <w:rPr>
          <w:rFonts w:cs="Times New Roman"/>
          <w:szCs w:val="24"/>
        </w:rPr>
        <w:t>D-5/2025 un Nr.</w:t>
      </w:r>
      <w:r w:rsidR="000869A8">
        <w:rPr>
          <w:rFonts w:cs="Times New Roman"/>
          <w:szCs w:val="24"/>
        </w:rPr>
        <w:t> </w:t>
      </w:r>
      <w:r w:rsidR="00481034" w:rsidRPr="00AA32BA">
        <w:rPr>
          <w:rFonts w:cs="Times New Roman"/>
          <w:szCs w:val="24"/>
        </w:rPr>
        <w:t>D-6/202</w:t>
      </w:r>
      <w:r w:rsidR="000D0FD4">
        <w:rPr>
          <w:rFonts w:cs="Times New Roman"/>
          <w:szCs w:val="24"/>
        </w:rPr>
        <w:t>5</w:t>
      </w:r>
      <w:r w:rsidR="00481034" w:rsidRPr="00AA32BA">
        <w:rPr>
          <w:rFonts w:cs="Times New Roman"/>
          <w:szCs w:val="24"/>
        </w:rPr>
        <w:t>.</w:t>
      </w:r>
    </w:p>
    <w:p w14:paraId="59B79B13" w14:textId="3D3F18F9" w:rsidR="00307ED7" w:rsidRPr="00AA32BA" w:rsidRDefault="00481034" w:rsidP="008A3B24">
      <w:pPr>
        <w:pStyle w:val="NoSpacing"/>
        <w:widowControl w:val="0"/>
        <w:spacing w:line="276" w:lineRule="auto"/>
        <w:ind w:firstLine="720"/>
        <w:jc w:val="both"/>
        <w:rPr>
          <w:rFonts w:cs="Times New Roman"/>
          <w:szCs w:val="24"/>
        </w:rPr>
      </w:pPr>
      <w:proofErr w:type="spellStart"/>
      <w:r w:rsidRPr="00AA32BA">
        <w:rPr>
          <w:rFonts w:cs="Times New Roman"/>
          <w:szCs w:val="24"/>
        </w:rPr>
        <w:t>Disciplinārtiesa</w:t>
      </w:r>
      <w:proofErr w:type="spellEnd"/>
      <w:r w:rsidRPr="00AA32BA">
        <w:rPr>
          <w:rFonts w:cs="Times New Roman"/>
          <w:szCs w:val="24"/>
        </w:rPr>
        <w:t xml:space="preserve"> atzīst, ka šajās lietās konstatējami atšķirīgi tiesiskie un faktiskie apstākļi, jo īpaši attiecībā uz disciplinārā pārkāpuma subjektu</w:t>
      </w:r>
      <w:r w:rsidR="00EE6ECA" w:rsidRPr="00AA32BA">
        <w:rPr>
          <w:rFonts w:cs="Times New Roman"/>
          <w:szCs w:val="24"/>
        </w:rPr>
        <w:t xml:space="preserve">, cēloni un sekām. </w:t>
      </w:r>
      <w:r w:rsidR="008300E3" w:rsidRPr="00AA32BA">
        <w:rPr>
          <w:rFonts w:cs="Times New Roman"/>
          <w:szCs w:val="24"/>
        </w:rPr>
        <w:t>Lietā Nr. D-5/2025</w:t>
      </w:r>
      <w:r w:rsidR="0003079A" w:rsidRPr="00AA32BA">
        <w:rPr>
          <w:rFonts w:cs="Times New Roman"/>
          <w:szCs w:val="24"/>
        </w:rPr>
        <w:t xml:space="preserve"> par disciplināro pārkāpumu, kas izpaudies lēmuma pieņemšanā rezolūcijas veidā gadījumā, kad likums to neparedz, un tiesas sēdes noteikšanā, neņemot vērā zvērināta advokāta noslodzes kalendāru, pirmās instances tiesas tiesnesei uzlikts disciplinārsods – piezīme. Disciplinārkolēģija </w:t>
      </w:r>
      <w:r w:rsidR="00EE6ECA" w:rsidRPr="00AA32BA">
        <w:rPr>
          <w:rFonts w:cs="Times New Roman"/>
          <w:szCs w:val="24"/>
        </w:rPr>
        <w:t xml:space="preserve">konstatējusi, ka laikā, kad pārkāpums tika pieļauts, tiesnese strādājusi ar nenokomplektētu sastāvu, un tiesneses rīcība bija </w:t>
      </w:r>
      <w:r w:rsidR="006F2E6F" w:rsidRPr="00AA32BA">
        <w:rPr>
          <w:rFonts w:cs="Times New Roman"/>
          <w:szCs w:val="24"/>
        </w:rPr>
        <w:t>saistīta</w:t>
      </w:r>
      <w:r w:rsidR="00EE6ECA" w:rsidRPr="00AA32BA">
        <w:rPr>
          <w:rFonts w:cs="Times New Roman"/>
          <w:szCs w:val="24"/>
        </w:rPr>
        <w:t xml:space="preserve"> </w:t>
      </w:r>
      <w:r w:rsidR="00823E53">
        <w:rPr>
          <w:rFonts w:cs="Times New Roman"/>
          <w:szCs w:val="24"/>
        </w:rPr>
        <w:lastRenderedPageBreak/>
        <w:t>a</w:t>
      </w:r>
      <w:r w:rsidR="00EE6ECA" w:rsidRPr="00AA32BA">
        <w:rPr>
          <w:rFonts w:cs="Times New Roman"/>
          <w:szCs w:val="24"/>
        </w:rPr>
        <w:t xml:space="preserve">r vēlmi </w:t>
      </w:r>
      <w:r w:rsidR="006F2E6F" w:rsidRPr="00AA32BA">
        <w:rPr>
          <w:rFonts w:cs="Times New Roman"/>
          <w:szCs w:val="24"/>
        </w:rPr>
        <w:t xml:space="preserve">pabeigt </w:t>
      </w:r>
      <w:r w:rsidR="000D0FD4">
        <w:rPr>
          <w:rFonts w:cs="Times New Roman"/>
          <w:szCs w:val="24"/>
        </w:rPr>
        <w:t>noteikt</w:t>
      </w:r>
      <w:r w:rsidR="00D832E1">
        <w:rPr>
          <w:rFonts w:cs="Times New Roman"/>
          <w:szCs w:val="24"/>
        </w:rPr>
        <w:t>ā</w:t>
      </w:r>
      <w:r w:rsidR="000D0FD4">
        <w:rPr>
          <w:rFonts w:cs="Times New Roman"/>
          <w:szCs w:val="24"/>
        </w:rPr>
        <w:t xml:space="preserve">s </w:t>
      </w:r>
      <w:r w:rsidR="006F2E6F" w:rsidRPr="00AA32BA">
        <w:rPr>
          <w:rFonts w:cs="Times New Roman"/>
          <w:szCs w:val="24"/>
        </w:rPr>
        <w:t>civillietas izskatīšanu</w:t>
      </w:r>
      <w:r w:rsidR="008C005C" w:rsidRPr="00AA32BA">
        <w:rPr>
          <w:rFonts w:cs="Times New Roman"/>
          <w:szCs w:val="24"/>
        </w:rPr>
        <w:t xml:space="preserve"> pirms pārcelšanās darbā uz augstākas instances tiesu. Disciplinārkolēģija arī secinājusi, ka pieļautais disciplinārais pārkāpums nav izraisījis smagas sekas. Savukārt lietā Nr. D-6/2025 par disciplināro pārkāpumu, kas izpaudies</w:t>
      </w:r>
      <w:r w:rsidR="005346AE" w:rsidRPr="00AA32BA">
        <w:rPr>
          <w:rFonts w:cs="Times New Roman"/>
          <w:szCs w:val="24"/>
        </w:rPr>
        <w:t xml:space="preserve"> pilna tiesas sprieduma sagatavošanas atlikšanā uz laiku, ilgāku par sešiem mēnešiem</w:t>
      </w:r>
      <w:r w:rsidR="00307ED7" w:rsidRPr="00AA32BA">
        <w:rPr>
          <w:rFonts w:cs="Times New Roman"/>
          <w:szCs w:val="24"/>
        </w:rPr>
        <w:t>,</w:t>
      </w:r>
      <w:r w:rsidR="00EE39CF" w:rsidRPr="00AA32BA">
        <w:rPr>
          <w:rFonts w:cs="Times New Roman"/>
          <w:szCs w:val="24"/>
        </w:rPr>
        <w:t xml:space="preserve"> kā arī</w:t>
      </w:r>
      <w:r w:rsidR="00307ED7" w:rsidRPr="00AA32BA">
        <w:rPr>
          <w:rFonts w:cs="Times New Roman"/>
          <w:szCs w:val="24"/>
        </w:rPr>
        <w:t xml:space="preserve"> ilgstošā pilna sprieduma nesagatavošanā, pirmās instances tiesas tiesnesim uzlikts disciplinārsods – amatalgas samazināšana uz </w:t>
      </w:r>
      <w:r w:rsidR="00C661C1" w:rsidRPr="00AA32BA">
        <w:rPr>
          <w:rFonts w:cs="Times New Roman"/>
          <w:szCs w:val="24"/>
        </w:rPr>
        <w:t>sešiem</w:t>
      </w:r>
      <w:r w:rsidR="00307ED7" w:rsidRPr="00AA32BA">
        <w:rPr>
          <w:rFonts w:cs="Times New Roman"/>
          <w:szCs w:val="24"/>
        </w:rPr>
        <w:t xml:space="preserve"> mēnešiem, ieturot 20 procentus no amatalgas. Disciplinārkolēģija konstatējusi, ka</w:t>
      </w:r>
      <w:r w:rsidR="00774DED" w:rsidRPr="00AA32BA">
        <w:rPr>
          <w:rFonts w:cs="Times New Roman"/>
          <w:szCs w:val="24"/>
        </w:rPr>
        <w:t xml:space="preserve"> </w:t>
      </w:r>
      <w:r w:rsidR="006C1DDD" w:rsidRPr="00AA32BA">
        <w:rPr>
          <w:rFonts w:cs="Times New Roman"/>
          <w:szCs w:val="24"/>
        </w:rPr>
        <w:t>tiesnesis līdztekus saviem amata pienākumiem pildījis arī tiesas priekšsēdētāja pienākumus</w:t>
      </w:r>
      <w:r w:rsidR="00774DED" w:rsidRPr="00AA32BA">
        <w:rPr>
          <w:rFonts w:cs="Times New Roman"/>
          <w:szCs w:val="24"/>
        </w:rPr>
        <w:t>, un nav spējis savu un tiesas darbu organizēt tā, lai nepārkāptu personu tiesības uz taisnīgu tiesu. Disciplinārkolēģija atzinusi, ka tiesneša pieļautais disciplinārais pārkāpums ir vērtējams kā smags.</w:t>
      </w:r>
    </w:p>
    <w:p w14:paraId="08F7E023" w14:textId="30BD6CF2" w:rsidR="00EE39CF" w:rsidRPr="00AA32BA" w:rsidRDefault="00F31C6B" w:rsidP="008A3B24">
      <w:pPr>
        <w:pStyle w:val="NoSpacing"/>
        <w:widowControl w:val="0"/>
        <w:spacing w:line="276" w:lineRule="auto"/>
        <w:ind w:firstLine="720"/>
        <w:jc w:val="both"/>
        <w:rPr>
          <w:rFonts w:cs="Times New Roman"/>
          <w:szCs w:val="24"/>
        </w:rPr>
      </w:pPr>
      <w:r w:rsidRPr="00AA32BA">
        <w:rPr>
          <w:rFonts w:cs="Times New Roman"/>
          <w:szCs w:val="24"/>
        </w:rPr>
        <w:t>Ievērojot to, ka minētajās lietās un izskatāmajā lietā konstatētie apstākļi ir atšķirīgi, Disciplinār</w:t>
      </w:r>
      <w:r w:rsidR="007C315A" w:rsidRPr="00AA32BA">
        <w:rPr>
          <w:rFonts w:cs="Times New Roman"/>
          <w:szCs w:val="24"/>
        </w:rPr>
        <w:t>kolēģija</w:t>
      </w:r>
      <w:r w:rsidRPr="00AA32BA">
        <w:rPr>
          <w:rFonts w:cs="Times New Roman"/>
          <w:szCs w:val="24"/>
        </w:rPr>
        <w:t xml:space="preserve">, </w:t>
      </w:r>
      <w:r w:rsidR="007C315A" w:rsidRPr="00AA32BA">
        <w:rPr>
          <w:rFonts w:cs="Times New Roman"/>
          <w:szCs w:val="24"/>
        </w:rPr>
        <w:t>par pieļautajiem disciplinārajiem pārkāpumiem nosakot tiesnešiem atšķirīgu sodu, vienlīdzības principu nav pārkāpusi.</w:t>
      </w:r>
    </w:p>
    <w:p w14:paraId="72EFA360" w14:textId="50940F5F" w:rsidR="00260397" w:rsidRPr="00AA32BA" w:rsidRDefault="007C315A" w:rsidP="008A3B24">
      <w:pPr>
        <w:pStyle w:val="NoSpacing"/>
        <w:widowControl w:val="0"/>
        <w:spacing w:line="276" w:lineRule="auto"/>
        <w:ind w:firstLine="720"/>
        <w:jc w:val="both"/>
        <w:rPr>
          <w:rFonts w:cs="Times New Roman"/>
          <w:szCs w:val="24"/>
        </w:rPr>
      </w:pPr>
      <w:r w:rsidRPr="00AA32BA">
        <w:rPr>
          <w:rFonts w:cs="Times New Roman"/>
          <w:szCs w:val="24"/>
        </w:rPr>
        <w:t>[</w:t>
      </w:r>
      <w:r w:rsidR="00666D8F" w:rsidRPr="00AA32BA">
        <w:rPr>
          <w:rFonts w:cs="Times New Roman"/>
          <w:szCs w:val="24"/>
        </w:rPr>
        <w:t>8</w:t>
      </w:r>
      <w:r w:rsidRPr="00AA32BA">
        <w:rPr>
          <w:rFonts w:cs="Times New Roman"/>
          <w:szCs w:val="24"/>
        </w:rPr>
        <w:t>.3.6]</w:t>
      </w:r>
      <w:r w:rsidR="000869A8">
        <w:rPr>
          <w:rFonts w:cs="Times New Roman"/>
          <w:szCs w:val="24"/>
        </w:rPr>
        <w:t> </w:t>
      </w:r>
      <w:r w:rsidR="00260397" w:rsidRPr="00AA32BA">
        <w:rPr>
          <w:rFonts w:cs="Times New Roman"/>
          <w:szCs w:val="24"/>
        </w:rPr>
        <w:t xml:space="preserve">Disciplinārsods ir likumdevēja noteikts piespiedu ietekmēšanas līdzeklis, ko piemēro tiesnesim, kurš izdarījis disciplināru pārkāpumu. </w:t>
      </w:r>
      <w:r w:rsidR="00422E42" w:rsidRPr="00AA32BA">
        <w:rPr>
          <w:rFonts w:cs="Times New Roman"/>
          <w:szCs w:val="24"/>
        </w:rPr>
        <w:t xml:space="preserve">Šāda soda mērķis ir sodīt vainīgo tiesnesi, kā arī panākt, lai tiesnesis ievērotu normatīvo aktu prasības un turpmāk atturētos no disciplināru pārkāpumu izdarīšanas. </w:t>
      </w:r>
      <w:r w:rsidR="00260397" w:rsidRPr="00AA32BA">
        <w:rPr>
          <w:rFonts w:cs="Times New Roman"/>
          <w:szCs w:val="24"/>
        </w:rPr>
        <w:t>Jāņem vērā, ka sods vienmēr ir saistīts ar vainīgās personas piespiedu ietekmēšanu, radot dažād</w:t>
      </w:r>
      <w:r w:rsidR="0079635C" w:rsidRPr="00AA32BA">
        <w:rPr>
          <w:rFonts w:cs="Times New Roman"/>
          <w:szCs w:val="24"/>
        </w:rPr>
        <w:t xml:space="preserve">us </w:t>
      </w:r>
      <w:r w:rsidR="008F156A" w:rsidRPr="00AA32BA">
        <w:rPr>
          <w:rFonts w:cs="Times New Roman"/>
          <w:szCs w:val="24"/>
        </w:rPr>
        <w:t>ierobežojumus</w:t>
      </w:r>
      <w:r w:rsidR="00260397" w:rsidRPr="00AA32BA">
        <w:rPr>
          <w:rFonts w:cs="Times New Roman"/>
          <w:szCs w:val="24"/>
        </w:rPr>
        <w:t xml:space="preserve">, tostarp arī </w:t>
      </w:r>
      <w:r w:rsidR="008F156A" w:rsidRPr="00AA32BA">
        <w:rPr>
          <w:rFonts w:cs="Times New Roman"/>
          <w:szCs w:val="24"/>
        </w:rPr>
        <w:t>materiālajā ziņā.</w:t>
      </w:r>
    </w:p>
    <w:p w14:paraId="52413E73" w14:textId="7CFF8E1F" w:rsidR="003F302C" w:rsidRPr="001F5DF9" w:rsidRDefault="008F156A" w:rsidP="008A3B24">
      <w:pPr>
        <w:pStyle w:val="NoSpacing"/>
        <w:widowControl w:val="0"/>
        <w:spacing w:line="276" w:lineRule="auto"/>
        <w:ind w:firstLine="720"/>
        <w:jc w:val="both"/>
        <w:rPr>
          <w:rFonts w:cs="Times New Roman"/>
          <w:szCs w:val="24"/>
        </w:rPr>
      </w:pPr>
      <w:proofErr w:type="spellStart"/>
      <w:r w:rsidRPr="00AA32BA">
        <w:rPr>
          <w:rFonts w:cs="Times New Roman"/>
          <w:szCs w:val="24"/>
        </w:rPr>
        <w:t>Disciplinārtiesa</w:t>
      </w:r>
      <w:proofErr w:type="spellEnd"/>
      <w:r w:rsidRPr="00AA32BA">
        <w:rPr>
          <w:rFonts w:cs="Times New Roman"/>
          <w:szCs w:val="24"/>
        </w:rPr>
        <w:t xml:space="preserve"> atzīst, ka senatoram </w:t>
      </w:r>
      <w:r w:rsidR="00B97DBC">
        <w:rPr>
          <w:rFonts w:cs="Times New Roman"/>
          <w:szCs w:val="24"/>
        </w:rPr>
        <w:t>[A]</w:t>
      </w:r>
      <w:r w:rsidRPr="00AA32BA">
        <w:rPr>
          <w:rFonts w:cs="Times New Roman"/>
          <w:szCs w:val="24"/>
        </w:rPr>
        <w:t xml:space="preserve"> </w:t>
      </w:r>
      <w:r w:rsidR="003F302C" w:rsidRPr="00AA32BA">
        <w:rPr>
          <w:rFonts w:cs="Times New Roman"/>
          <w:szCs w:val="24"/>
        </w:rPr>
        <w:t xml:space="preserve">noteiktais </w:t>
      </w:r>
      <w:r w:rsidR="00422E42" w:rsidRPr="00AA32BA">
        <w:rPr>
          <w:rFonts w:cs="Times New Roman"/>
          <w:szCs w:val="24"/>
        </w:rPr>
        <w:t>disciplinār</w:t>
      </w:r>
      <w:r w:rsidR="003F302C" w:rsidRPr="00AA32BA">
        <w:rPr>
          <w:rFonts w:cs="Times New Roman"/>
          <w:szCs w:val="24"/>
        </w:rPr>
        <w:t xml:space="preserve">sods – amatalgas samazināšana uz </w:t>
      </w:r>
      <w:r w:rsidR="00C661C1" w:rsidRPr="00AA32BA">
        <w:rPr>
          <w:rFonts w:cs="Times New Roman"/>
          <w:szCs w:val="24"/>
        </w:rPr>
        <w:t>vienu</w:t>
      </w:r>
      <w:r w:rsidR="003F302C" w:rsidRPr="00AA32BA">
        <w:rPr>
          <w:rFonts w:cs="Times New Roman"/>
          <w:szCs w:val="24"/>
        </w:rPr>
        <w:t xml:space="preserve"> gadu, ieturot 20</w:t>
      </w:r>
      <w:r w:rsidR="00A94F36">
        <w:rPr>
          <w:rFonts w:cs="Times New Roman"/>
          <w:szCs w:val="24"/>
        </w:rPr>
        <w:t> </w:t>
      </w:r>
      <w:r w:rsidR="003F302C" w:rsidRPr="00AA32BA">
        <w:rPr>
          <w:rFonts w:cs="Times New Roman"/>
          <w:szCs w:val="24"/>
        </w:rPr>
        <w:t xml:space="preserve">procentus no amatalgas – atbilst izdarītā disciplinārā pārkāpuma raksturam, sekām un senatora </w:t>
      </w:r>
      <w:r w:rsidR="003F302C" w:rsidRPr="001F5DF9">
        <w:rPr>
          <w:rFonts w:cs="Times New Roman"/>
          <w:szCs w:val="24"/>
        </w:rPr>
        <w:t xml:space="preserve">vainas pakāpei, ņemot vērā lietā iegūtās ziņas, kas raksturo senatora personību un iepriekšējo darbību tiesneša amatā. </w:t>
      </w:r>
      <w:r w:rsidR="00301A4A" w:rsidRPr="001F5DF9">
        <w:rPr>
          <w:rFonts w:cs="Times New Roman"/>
          <w:szCs w:val="24"/>
        </w:rPr>
        <w:t xml:space="preserve">Sods noteikts, ievērojot pamatojuma un piemērojamās sankcijas samērīguma principu. </w:t>
      </w:r>
      <w:proofErr w:type="spellStart"/>
      <w:r w:rsidR="003F302C" w:rsidRPr="001F5DF9">
        <w:rPr>
          <w:rFonts w:cs="Times New Roman"/>
          <w:szCs w:val="24"/>
        </w:rPr>
        <w:t>Disciplinārtiesa</w:t>
      </w:r>
      <w:proofErr w:type="spellEnd"/>
      <w:r w:rsidR="003F302C" w:rsidRPr="001F5DF9">
        <w:rPr>
          <w:rFonts w:cs="Times New Roman"/>
          <w:szCs w:val="24"/>
        </w:rPr>
        <w:t xml:space="preserve"> pievienojas Disciplinārkolēģijas atzinumam, ka, lai arī lietā nav iegūtas senatora personību un viņa iepriekšējo darbību tiesneša amatā negatīvi raksturojošas ziņas, pieļautā disciplinārā pārkāpuma raksturs</w:t>
      </w:r>
      <w:r w:rsidR="00422E42" w:rsidRPr="001F5DF9">
        <w:rPr>
          <w:rFonts w:cs="Times New Roman"/>
          <w:szCs w:val="24"/>
        </w:rPr>
        <w:t xml:space="preserve"> liedz noteikt senatoram kādu no likumā norādītajiem vieglāk</w:t>
      </w:r>
      <w:r w:rsidR="00D832E1">
        <w:rPr>
          <w:rFonts w:cs="Times New Roman"/>
          <w:szCs w:val="24"/>
        </w:rPr>
        <w:t>iem</w:t>
      </w:r>
      <w:r w:rsidR="00422E42" w:rsidRPr="001F5DF9">
        <w:rPr>
          <w:rFonts w:cs="Times New Roman"/>
          <w:szCs w:val="24"/>
        </w:rPr>
        <w:t xml:space="preserve"> soda veidiem. Lai arī senatoram </w:t>
      </w:r>
      <w:r w:rsidR="00B97DBC">
        <w:rPr>
          <w:rFonts w:cs="Times New Roman"/>
          <w:szCs w:val="24"/>
        </w:rPr>
        <w:t>[A]</w:t>
      </w:r>
      <w:r w:rsidR="00422E42" w:rsidRPr="001F5DF9">
        <w:rPr>
          <w:rFonts w:cs="Times New Roman"/>
          <w:szCs w:val="24"/>
        </w:rPr>
        <w:t xml:space="preserve"> ir noteikts smagākais likumā paredzētais disciplinārsods, </w:t>
      </w:r>
      <w:proofErr w:type="spellStart"/>
      <w:r w:rsidR="00EF2BB7" w:rsidRPr="001F5DF9">
        <w:rPr>
          <w:rFonts w:cs="Times New Roman"/>
          <w:szCs w:val="24"/>
        </w:rPr>
        <w:t>Disciplinārtiesa</w:t>
      </w:r>
      <w:proofErr w:type="spellEnd"/>
      <w:r w:rsidR="007A1ECE" w:rsidRPr="001F5DF9">
        <w:rPr>
          <w:rFonts w:cs="Times New Roman"/>
          <w:szCs w:val="24"/>
        </w:rPr>
        <w:t xml:space="preserve"> atzīst par nepieciešamu norādīt</w:t>
      </w:r>
      <w:r w:rsidR="00EF2BB7" w:rsidRPr="001F5DF9">
        <w:rPr>
          <w:rFonts w:cs="Times New Roman"/>
          <w:szCs w:val="24"/>
        </w:rPr>
        <w:t xml:space="preserve">, ka </w:t>
      </w:r>
      <w:r w:rsidR="00422E42" w:rsidRPr="001F5DF9">
        <w:rPr>
          <w:rFonts w:cs="Times New Roman"/>
          <w:szCs w:val="24"/>
        </w:rPr>
        <w:t>tās tomēr nav visbargākās sekas, kuras tiesnesim var piemērot par izdarīto disciplināro pārkāpumu.</w:t>
      </w:r>
      <w:r w:rsidR="00326ADE" w:rsidRPr="001F5DF9">
        <w:rPr>
          <w:rFonts w:cs="Times New Roman"/>
          <w:szCs w:val="24"/>
        </w:rPr>
        <w:t xml:space="preserve"> </w:t>
      </w:r>
      <w:r w:rsidR="00422E42" w:rsidRPr="001F5DF9">
        <w:rPr>
          <w:rFonts w:cs="Times New Roman"/>
          <w:szCs w:val="24"/>
        </w:rPr>
        <w:t>Tiesnešu disciplinārās atbildības likuma</w:t>
      </w:r>
      <w:r w:rsidR="0006364C" w:rsidRPr="001F5DF9">
        <w:rPr>
          <w:rFonts w:cs="Times New Roman"/>
          <w:szCs w:val="24"/>
        </w:rPr>
        <w:t xml:space="preserve"> 7. panta otrās daļas 3. punkts noteic, ka tiesnešu disciplinārkolēģija var pieņemt lēmumu ierosināt tiesnesi atcelt no amata. </w:t>
      </w:r>
      <w:proofErr w:type="spellStart"/>
      <w:r w:rsidR="00A52B6E" w:rsidRPr="001F5DF9">
        <w:rPr>
          <w:rFonts w:cs="Times New Roman"/>
          <w:szCs w:val="24"/>
        </w:rPr>
        <w:t>Disciplinārtiesa</w:t>
      </w:r>
      <w:proofErr w:type="spellEnd"/>
      <w:r w:rsidR="00A52B6E" w:rsidRPr="001F5DF9">
        <w:rPr>
          <w:rFonts w:cs="Times New Roman"/>
          <w:szCs w:val="24"/>
        </w:rPr>
        <w:t xml:space="preserve"> atgādina, ka </w:t>
      </w:r>
      <w:r w:rsidR="0006364C" w:rsidRPr="001F5DF9">
        <w:rPr>
          <w:rFonts w:cs="Times New Roman"/>
          <w:szCs w:val="24"/>
        </w:rPr>
        <w:t>likum</w:t>
      </w:r>
      <w:r w:rsidR="00554A48" w:rsidRPr="001F5DF9">
        <w:rPr>
          <w:rFonts w:cs="Times New Roman"/>
          <w:szCs w:val="24"/>
        </w:rPr>
        <w:t xml:space="preserve">a </w:t>
      </w:r>
      <w:r w:rsidR="000D0FD4">
        <w:rPr>
          <w:rFonts w:cs="Times New Roman"/>
          <w:szCs w:val="24"/>
        </w:rPr>
        <w:t>„</w:t>
      </w:r>
      <w:r w:rsidR="00554A48" w:rsidRPr="001F5DF9">
        <w:rPr>
          <w:rFonts w:cs="Times New Roman"/>
          <w:szCs w:val="24"/>
        </w:rPr>
        <w:t>Par tiesu varu” 51. panta pirmās daļas 4. punktā izvirzīt</w:t>
      </w:r>
      <w:r w:rsidR="00A94F36">
        <w:rPr>
          <w:rFonts w:cs="Times New Roman"/>
          <w:szCs w:val="24"/>
        </w:rPr>
        <w:t>ā</w:t>
      </w:r>
      <w:r w:rsidR="00554A48" w:rsidRPr="001F5DF9">
        <w:rPr>
          <w:rFonts w:cs="Times New Roman"/>
          <w:szCs w:val="24"/>
        </w:rPr>
        <w:t xml:space="preserve"> prasība pēc nevainojamas reputācijas ir obligāts priekšnosacījums, lai persona varētu būt tiesnesi</w:t>
      </w:r>
      <w:r w:rsidR="000D0FD4">
        <w:rPr>
          <w:rFonts w:cs="Times New Roman"/>
          <w:szCs w:val="24"/>
        </w:rPr>
        <w:t>s</w:t>
      </w:r>
      <w:r w:rsidR="00554A48" w:rsidRPr="001F5DF9">
        <w:rPr>
          <w:rFonts w:cs="Times New Roman"/>
          <w:szCs w:val="24"/>
        </w:rPr>
        <w:t>.</w:t>
      </w:r>
    </w:p>
    <w:p w14:paraId="3846A714" w14:textId="77777777" w:rsidR="00DC67A4" w:rsidRDefault="00DC67A4" w:rsidP="008A3B24">
      <w:pPr>
        <w:pStyle w:val="NoSpacing"/>
        <w:widowControl w:val="0"/>
        <w:spacing w:line="276" w:lineRule="auto"/>
        <w:ind w:firstLine="720"/>
        <w:jc w:val="both"/>
        <w:rPr>
          <w:rFonts w:cs="Times New Roman"/>
          <w:szCs w:val="24"/>
        </w:rPr>
      </w:pPr>
    </w:p>
    <w:p w14:paraId="0976C2DB" w14:textId="637FC8C9" w:rsidR="00735926" w:rsidRPr="00F437AC" w:rsidRDefault="00326ADE" w:rsidP="008A3B24">
      <w:pPr>
        <w:pStyle w:val="NoSpacing"/>
        <w:widowControl w:val="0"/>
        <w:spacing w:line="276" w:lineRule="auto"/>
        <w:ind w:firstLine="720"/>
        <w:jc w:val="both"/>
        <w:rPr>
          <w:rFonts w:cs="Times New Roman"/>
          <w:szCs w:val="24"/>
        </w:rPr>
      </w:pPr>
      <w:r w:rsidRPr="00F437AC">
        <w:rPr>
          <w:rFonts w:cs="Times New Roman"/>
          <w:szCs w:val="24"/>
        </w:rPr>
        <w:t>[</w:t>
      </w:r>
      <w:r w:rsidR="00DC67A4">
        <w:rPr>
          <w:rFonts w:cs="Times New Roman"/>
          <w:szCs w:val="24"/>
        </w:rPr>
        <w:t>9</w:t>
      </w:r>
      <w:r w:rsidRPr="00F437AC">
        <w:rPr>
          <w:rFonts w:cs="Times New Roman"/>
          <w:szCs w:val="24"/>
        </w:rPr>
        <w:t>]</w:t>
      </w:r>
      <w:r w:rsidR="000D0FD4">
        <w:rPr>
          <w:rFonts w:cs="Times New Roman"/>
          <w:szCs w:val="24"/>
        </w:rPr>
        <w:t> </w:t>
      </w:r>
      <w:proofErr w:type="spellStart"/>
      <w:r w:rsidR="00735926" w:rsidRPr="00F437AC">
        <w:rPr>
          <w:rFonts w:cs="Times New Roman"/>
          <w:szCs w:val="24"/>
        </w:rPr>
        <w:t>Disciplinārtiesa</w:t>
      </w:r>
      <w:proofErr w:type="spellEnd"/>
      <w:r w:rsidR="00735926" w:rsidRPr="00F437AC">
        <w:rPr>
          <w:rFonts w:cs="Times New Roman"/>
          <w:szCs w:val="24"/>
        </w:rPr>
        <w:t xml:space="preserve"> atzīst par nepamatotiem senatora sūdzībā paustos apgalvojumus arī par to, ka Disciplinārkolēģija, nosakot senatoram </w:t>
      </w:r>
      <w:r w:rsidR="000D0FD4">
        <w:rPr>
          <w:rFonts w:cs="Times New Roman"/>
          <w:szCs w:val="24"/>
        </w:rPr>
        <w:t>disciplinār</w:t>
      </w:r>
      <w:r w:rsidR="00735926" w:rsidRPr="00F437AC">
        <w:rPr>
          <w:rFonts w:cs="Times New Roman"/>
          <w:szCs w:val="24"/>
        </w:rPr>
        <w:t>sodu – amatalgas samazināšanu uz vienu gadu, ieturot 20 procentus no amatalgas – ir pārkāpusi vienlīdzības principu saņemt vienlīdzīgu samaksu par līdzvērtīgu darbu.</w:t>
      </w:r>
    </w:p>
    <w:p w14:paraId="7E4F51A9" w14:textId="754A6188" w:rsidR="00326ADE" w:rsidRPr="00F437AC" w:rsidRDefault="00326ADE" w:rsidP="008A3B24">
      <w:pPr>
        <w:pStyle w:val="NoSpacing"/>
        <w:widowControl w:val="0"/>
        <w:spacing w:line="276" w:lineRule="auto"/>
        <w:ind w:firstLine="720"/>
        <w:jc w:val="both"/>
        <w:rPr>
          <w:rFonts w:cs="Times New Roman"/>
          <w:szCs w:val="24"/>
        </w:rPr>
      </w:pPr>
      <w:r w:rsidRPr="00F437AC">
        <w:rPr>
          <w:rFonts w:cs="Times New Roman"/>
          <w:szCs w:val="24"/>
        </w:rPr>
        <w:t>Satversmes tiesa norādījusi</w:t>
      </w:r>
      <w:r w:rsidR="00E7015F">
        <w:rPr>
          <w:rFonts w:cs="Times New Roman"/>
          <w:szCs w:val="24"/>
        </w:rPr>
        <w:t>, ka</w:t>
      </w:r>
      <w:r w:rsidRPr="00F437AC">
        <w:rPr>
          <w:rFonts w:cs="Times New Roman"/>
          <w:szCs w:val="24"/>
        </w:rPr>
        <w:t xml:space="preserve"> </w:t>
      </w:r>
      <w:r w:rsidR="00E7015F">
        <w:rPr>
          <w:rFonts w:cs="Times New Roman"/>
          <w:szCs w:val="24"/>
        </w:rPr>
        <w:t>Latvijas Republikas Satversmes 91. panta pirmajā teikumā nostiprinātais t</w:t>
      </w:r>
      <w:r w:rsidRPr="00F437AC">
        <w:rPr>
          <w:rFonts w:cs="Times New Roman"/>
          <w:szCs w:val="24"/>
        </w:rPr>
        <w:t>iesiskās vienlīdzības princips ir atvasināts no vispārējā taisnīguma principa, kas ir demokrātiskas tiesiskas valsts pamatvērtība. Tiesiskās vienlīdzības princips nozīmē, ka vienādos faktiskajos un tiesiskajos apstākļos izturēšanās ir vienāda, savukārt atšķirīgos apstākļos – atšķirīga</w:t>
      </w:r>
      <w:r w:rsidR="00E7015F">
        <w:rPr>
          <w:rFonts w:cs="Times New Roman"/>
          <w:szCs w:val="24"/>
        </w:rPr>
        <w:t>, un tas</w:t>
      </w:r>
      <w:r w:rsidRPr="00F437AC">
        <w:rPr>
          <w:rFonts w:cs="Times New Roman"/>
          <w:szCs w:val="24"/>
        </w:rPr>
        <w:t xml:space="preserve"> liedz valsts institūcijām izdot tādas </w:t>
      </w:r>
      <w:r w:rsidRPr="00F437AC">
        <w:rPr>
          <w:rFonts w:cs="Times New Roman"/>
          <w:szCs w:val="24"/>
        </w:rPr>
        <w:lastRenderedPageBreak/>
        <w:t>normas, kas bez saprātīga pamata pieļauj atšķirīgu attieksmi pret personām, kuras atrodas pēc noteiktiem kritērijiem salīdzināmos apstākļos (</w:t>
      </w:r>
      <w:r w:rsidRPr="007336C6">
        <w:rPr>
          <w:rFonts w:cs="Times New Roman"/>
          <w:szCs w:val="24"/>
        </w:rPr>
        <w:t>sk</w:t>
      </w:r>
      <w:r w:rsidRPr="00F437AC">
        <w:rPr>
          <w:rFonts w:cs="Times New Roman"/>
          <w:i/>
          <w:iCs/>
          <w:szCs w:val="24"/>
        </w:rPr>
        <w:t>.</w:t>
      </w:r>
      <w:r w:rsidR="002D5166">
        <w:rPr>
          <w:rFonts w:cs="Times New Roman"/>
          <w:i/>
          <w:iCs/>
          <w:szCs w:val="24"/>
        </w:rPr>
        <w:t> </w:t>
      </w:r>
      <w:r w:rsidR="002D5166" w:rsidRPr="007336C6">
        <w:rPr>
          <w:rFonts w:cs="Times New Roman"/>
          <w:i/>
          <w:iCs/>
          <w:szCs w:val="24"/>
        </w:rPr>
        <w:t>Satversmes tiesas 2023. gada 18. oktobra sprieduma lietā Nr. </w:t>
      </w:r>
      <w:hyperlink r:id="rId20" w:history="1">
        <w:r w:rsidR="002D5166" w:rsidRPr="007336C6">
          <w:rPr>
            <w:rStyle w:val="Hyperlink"/>
            <w:rFonts w:cs="Times New Roman"/>
            <w:i/>
            <w:iCs/>
            <w:szCs w:val="24"/>
          </w:rPr>
          <w:t>2022-33-01</w:t>
        </w:r>
      </w:hyperlink>
      <w:r w:rsidR="002D5166" w:rsidRPr="007336C6">
        <w:rPr>
          <w:rFonts w:cs="Times New Roman"/>
          <w:i/>
          <w:iCs/>
          <w:szCs w:val="24"/>
        </w:rPr>
        <w:t xml:space="preserve">, 17. punktu, </w:t>
      </w:r>
      <w:r w:rsidRPr="00F437AC">
        <w:rPr>
          <w:rFonts w:cs="Times New Roman"/>
          <w:i/>
          <w:iCs/>
          <w:szCs w:val="24"/>
        </w:rPr>
        <w:t>2022.</w:t>
      </w:r>
      <w:r w:rsidR="002D5166">
        <w:rPr>
          <w:rFonts w:cs="Times New Roman"/>
          <w:i/>
          <w:iCs/>
          <w:szCs w:val="24"/>
        </w:rPr>
        <w:t> </w:t>
      </w:r>
      <w:r w:rsidRPr="00F437AC">
        <w:rPr>
          <w:rFonts w:cs="Times New Roman"/>
          <w:i/>
          <w:iCs/>
          <w:szCs w:val="24"/>
        </w:rPr>
        <w:t>gada 15.</w:t>
      </w:r>
      <w:r w:rsidR="002D5166">
        <w:rPr>
          <w:rFonts w:cs="Times New Roman"/>
          <w:i/>
          <w:iCs/>
          <w:szCs w:val="24"/>
        </w:rPr>
        <w:t> </w:t>
      </w:r>
      <w:r w:rsidRPr="00F437AC">
        <w:rPr>
          <w:rFonts w:cs="Times New Roman"/>
          <w:i/>
          <w:iCs/>
          <w:szCs w:val="24"/>
        </w:rPr>
        <w:t>decembra sprieduma lietā Nr.</w:t>
      </w:r>
      <w:r w:rsidR="002D5166">
        <w:rPr>
          <w:rFonts w:cs="Times New Roman"/>
          <w:i/>
          <w:iCs/>
          <w:szCs w:val="24"/>
        </w:rPr>
        <w:t> </w:t>
      </w:r>
      <w:r w:rsidRPr="00F437AC">
        <w:rPr>
          <w:rFonts w:cs="Times New Roman"/>
          <w:i/>
          <w:iCs/>
          <w:szCs w:val="24"/>
        </w:rPr>
        <w:t>2021</w:t>
      </w:r>
      <w:r w:rsidRPr="00F437AC">
        <w:rPr>
          <w:rFonts w:cs="Times New Roman"/>
          <w:i/>
          <w:iCs/>
          <w:szCs w:val="24"/>
        </w:rPr>
        <w:noBreakHyphen/>
        <w:t>36</w:t>
      </w:r>
      <w:r w:rsidRPr="00F437AC">
        <w:rPr>
          <w:rFonts w:cs="Times New Roman"/>
          <w:i/>
          <w:iCs/>
          <w:szCs w:val="24"/>
        </w:rPr>
        <w:noBreakHyphen/>
        <w:t>01 12.1.</w:t>
      </w:r>
      <w:r w:rsidR="002D5166">
        <w:rPr>
          <w:rFonts w:cs="Times New Roman"/>
          <w:i/>
          <w:iCs/>
          <w:szCs w:val="24"/>
        </w:rPr>
        <w:t> </w:t>
      </w:r>
      <w:r w:rsidRPr="00F437AC">
        <w:rPr>
          <w:rFonts w:cs="Times New Roman"/>
          <w:i/>
          <w:iCs/>
          <w:szCs w:val="24"/>
        </w:rPr>
        <w:t>punktu</w:t>
      </w:r>
      <w:r w:rsidRPr="00F437AC">
        <w:rPr>
          <w:rFonts w:cs="Times New Roman"/>
          <w:szCs w:val="24"/>
        </w:rPr>
        <w:t>).</w:t>
      </w:r>
    </w:p>
    <w:p w14:paraId="26D79AAE" w14:textId="58E7F8F5" w:rsidR="00326ADE" w:rsidRPr="007336C6" w:rsidRDefault="00E7015F" w:rsidP="008A3B24">
      <w:pPr>
        <w:pStyle w:val="NoSpacing"/>
        <w:widowControl w:val="0"/>
        <w:spacing w:line="276" w:lineRule="auto"/>
        <w:ind w:firstLine="720"/>
        <w:jc w:val="both"/>
        <w:rPr>
          <w:rFonts w:cs="Times New Roman"/>
          <w:szCs w:val="24"/>
        </w:rPr>
      </w:pPr>
      <w:r>
        <w:rPr>
          <w:rFonts w:cs="Times New Roman"/>
          <w:szCs w:val="24"/>
        </w:rPr>
        <w:t>Savukārt,</w:t>
      </w:r>
      <w:r w:rsidR="00735926" w:rsidRPr="00F437AC">
        <w:rPr>
          <w:rFonts w:cs="Times New Roman"/>
          <w:szCs w:val="24"/>
        </w:rPr>
        <w:t xml:space="preserve"> l</w:t>
      </w:r>
      <w:r w:rsidR="00326ADE" w:rsidRPr="00F437AC">
        <w:rPr>
          <w:rFonts w:cs="Times New Roman"/>
          <w:szCs w:val="24"/>
        </w:rPr>
        <w:t>ai izvērtētu, vai apstrīdētās normas atbilst</w:t>
      </w:r>
      <w:r w:rsidR="00BF0036">
        <w:rPr>
          <w:rFonts w:cs="Times New Roman"/>
          <w:szCs w:val="24"/>
        </w:rPr>
        <w:t xml:space="preserve"> </w:t>
      </w:r>
      <w:r w:rsidR="00326ADE" w:rsidRPr="007336C6">
        <w:rPr>
          <w:rFonts w:cs="Times New Roman"/>
          <w:szCs w:val="24"/>
        </w:rPr>
        <w:t xml:space="preserve">tiesiskās vienlīdzības principam, </w:t>
      </w:r>
      <w:r w:rsidR="00735926" w:rsidRPr="007336C6">
        <w:rPr>
          <w:rFonts w:cs="Times New Roman"/>
          <w:szCs w:val="24"/>
        </w:rPr>
        <w:t>ir</w:t>
      </w:r>
      <w:r w:rsidR="00326ADE" w:rsidRPr="007336C6">
        <w:rPr>
          <w:rFonts w:cs="Times New Roman"/>
          <w:szCs w:val="24"/>
        </w:rPr>
        <w:t xml:space="preserve"> jānoskaidro: 1) vai un kuras personas (personu grupas) atrodas vienādos un pēc noteiktiem kritērijiem salīdzināmos apstākļos; 2)</w:t>
      </w:r>
      <w:r>
        <w:rPr>
          <w:rFonts w:cs="Times New Roman"/>
          <w:szCs w:val="24"/>
        </w:rPr>
        <w:t> </w:t>
      </w:r>
      <w:r w:rsidR="00326ADE" w:rsidRPr="00BF0036">
        <w:rPr>
          <w:rFonts w:cs="Times New Roman"/>
          <w:szCs w:val="24"/>
        </w:rPr>
        <w:t>vai apstrīdētā norma paredz vienādu vai atšķirīgu attieksmi pret šīm personām (personu grupām); 3)</w:t>
      </w:r>
      <w:r>
        <w:rPr>
          <w:rFonts w:cs="Times New Roman"/>
          <w:szCs w:val="24"/>
        </w:rPr>
        <w:t> </w:t>
      </w:r>
      <w:r w:rsidR="00326ADE" w:rsidRPr="00BF0036">
        <w:rPr>
          <w:rFonts w:cs="Times New Roman"/>
          <w:szCs w:val="24"/>
        </w:rPr>
        <w:t>vai šāda attieksme ir noteikta ar pienācīgā kārtībā pieņemtu likumu; 4)</w:t>
      </w:r>
      <w:r>
        <w:rPr>
          <w:rFonts w:cs="Times New Roman"/>
          <w:szCs w:val="24"/>
        </w:rPr>
        <w:t> </w:t>
      </w:r>
      <w:r w:rsidR="00326ADE" w:rsidRPr="00BF0036">
        <w:rPr>
          <w:rFonts w:cs="Times New Roman"/>
          <w:szCs w:val="24"/>
        </w:rPr>
        <w:t>vai šādai attieksmei ir objektīvs un saprātīgs pamats, proti, vai tai ir leģitīms mērķis un vai ir ievērots samērīguma princips (</w:t>
      </w:r>
      <w:r w:rsidR="00326ADE" w:rsidRPr="007336C6">
        <w:rPr>
          <w:rFonts w:cs="Times New Roman"/>
          <w:szCs w:val="24"/>
        </w:rPr>
        <w:t>sk</w:t>
      </w:r>
      <w:r w:rsidR="00326ADE" w:rsidRPr="007336C6">
        <w:rPr>
          <w:rFonts w:cs="Times New Roman"/>
          <w:i/>
          <w:iCs/>
          <w:szCs w:val="24"/>
        </w:rPr>
        <w:t>.</w:t>
      </w:r>
      <w:r>
        <w:rPr>
          <w:rFonts w:cs="Times New Roman"/>
          <w:i/>
          <w:iCs/>
          <w:szCs w:val="24"/>
        </w:rPr>
        <w:t> </w:t>
      </w:r>
      <w:r w:rsidR="00326ADE" w:rsidRPr="007336C6">
        <w:rPr>
          <w:rFonts w:cs="Times New Roman"/>
          <w:i/>
          <w:iCs/>
          <w:szCs w:val="24"/>
        </w:rPr>
        <w:t>Satversmes tiesas 2018.</w:t>
      </w:r>
      <w:r>
        <w:rPr>
          <w:rFonts w:cs="Times New Roman"/>
          <w:i/>
          <w:iCs/>
          <w:szCs w:val="24"/>
        </w:rPr>
        <w:t> </w:t>
      </w:r>
      <w:r w:rsidR="00326ADE" w:rsidRPr="007336C6">
        <w:rPr>
          <w:rFonts w:cs="Times New Roman"/>
          <w:i/>
          <w:iCs/>
          <w:szCs w:val="24"/>
        </w:rPr>
        <w:t>gada 29.</w:t>
      </w:r>
      <w:r>
        <w:rPr>
          <w:rFonts w:cs="Times New Roman"/>
          <w:i/>
          <w:iCs/>
          <w:szCs w:val="24"/>
        </w:rPr>
        <w:t> </w:t>
      </w:r>
      <w:r w:rsidR="00326ADE" w:rsidRPr="007336C6">
        <w:rPr>
          <w:rFonts w:cs="Times New Roman"/>
          <w:i/>
          <w:iCs/>
          <w:szCs w:val="24"/>
        </w:rPr>
        <w:t>jūnija sprieduma lietā Nr.</w:t>
      </w:r>
      <w:r>
        <w:rPr>
          <w:rFonts w:cs="Times New Roman"/>
          <w:i/>
          <w:iCs/>
          <w:szCs w:val="24"/>
        </w:rPr>
        <w:t> </w:t>
      </w:r>
      <w:hyperlink r:id="rId21" w:anchor="search=" w:history="1">
        <w:r w:rsidR="00326ADE" w:rsidRPr="007336C6">
          <w:rPr>
            <w:rStyle w:val="Hyperlink"/>
            <w:rFonts w:cs="Times New Roman"/>
            <w:i/>
            <w:iCs/>
            <w:szCs w:val="24"/>
          </w:rPr>
          <w:t>2017</w:t>
        </w:r>
        <w:r w:rsidR="00326ADE" w:rsidRPr="007336C6">
          <w:rPr>
            <w:rStyle w:val="Hyperlink"/>
            <w:rFonts w:cs="Times New Roman"/>
            <w:i/>
            <w:iCs/>
            <w:szCs w:val="24"/>
          </w:rPr>
          <w:noBreakHyphen/>
          <w:t>28</w:t>
        </w:r>
        <w:r w:rsidR="00326ADE" w:rsidRPr="007336C6">
          <w:rPr>
            <w:rStyle w:val="Hyperlink"/>
            <w:rFonts w:cs="Times New Roman"/>
            <w:i/>
            <w:iCs/>
            <w:szCs w:val="24"/>
          </w:rPr>
          <w:noBreakHyphen/>
          <w:t>0306</w:t>
        </w:r>
      </w:hyperlink>
      <w:r w:rsidR="00326ADE" w:rsidRPr="007336C6">
        <w:rPr>
          <w:rFonts w:cs="Times New Roman"/>
          <w:i/>
          <w:iCs/>
          <w:szCs w:val="24"/>
        </w:rPr>
        <w:t xml:space="preserve"> 11.</w:t>
      </w:r>
      <w:r>
        <w:rPr>
          <w:rFonts w:cs="Times New Roman"/>
          <w:i/>
          <w:iCs/>
          <w:szCs w:val="24"/>
        </w:rPr>
        <w:t> </w:t>
      </w:r>
      <w:r w:rsidR="00326ADE" w:rsidRPr="007336C6">
        <w:rPr>
          <w:rFonts w:cs="Times New Roman"/>
          <w:i/>
          <w:iCs/>
          <w:szCs w:val="24"/>
        </w:rPr>
        <w:t>punktu</w:t>
      </w:r>
      <w:r w:rsidR="00326ADE" w:rsidRPr="007336C6">
        <w:rPr>
          <w:rFonts w:cs="Times New Roman"/>
          <w:szCs w:val="24"/>
        </w:rPr>
        <w:t>).</w:t>
      </w:r>
    </w:p>
    <w:p w14:paraId="3050EC50" w14:textId="5E3CDBB5" w:rsidR="00871EEE" w:rsidRPr="001F5DF9" w:rsidRDefault="00871EEE" w:rsidP="00C46277">
      <w:pPr>
        <w:pStyle w:val="NoSpacing"/>
        <w:widowControl w:val="0"/>
        <w:spacing w:line="276" w:lineRule="auto"/>
        <w:ind w:firstLine="720"/>
        <w:jc w:val="both"/>
        <w:rPr>
          <w:rFonts w:cs="Times New Roman"/>
          <w:szCs w:val="24"/>
        </w:rPr>
      </w:pPr>
      <w:proofErr w:type="spellStart"/>
      <w:r w:rsidRPr="001F5DF9">
        <w:rPr>
          <w:rFonts w:cs="Times New Roman"/>
          <w:szCs w:val="24"/>
        </w:rPr>
        <w:t>Disciplinārtiesa</w:t>
      </w:r>
      <w:proofErr w:type="spellEnd"/>
      <w:r w:rsidRPr="001F5DF9">
        <w:rPr>
          <w:rFonts w:cs="Times New Roman"/>
          <w:szCs w:val="24"/>
        </w:rPr>
        <w:t xml:space="preserve"> uzskata, ka par disciplināru pārkāpumu sodīti </w:t>
      </w:r>
      <w:r w:rsidR="00504E8C" w:rsidRPr="001F5DF9">
        <w:rPr>
          <w:rFonts w:cs="Times New Roman"/>
          <w:szCs w:val="24"/>
        </w:rPr>
        <w:t xml:space="preserve">un </w:t>
      </w:r>
      <w:r w:rsidRPr="001F5DF9">
        <w:rPr>
          <w:rFonts w:cs="Times New Roman"/>
          <w:szCs w:val="24"/>
        </w:rPr>
        <w:t>nesodīti tiesneši neatrodas vienādos</w:t>
      </w:r>
      <w:r w:rsidR="00C46277">
        <w:rPr>
          <w:rFonts w:cs="Times New Roman"/>
          <w:szCs w:val="24"/>
        </w:rPr>
        <w:t xml:space="preserve"> un pēc noteiktiem kritērijiem salīdzināmos</w:t>
      </w:r>
      <w:r w:rsidRPr="001F5DF9">
        <w:rPr>
          <w:rFonts w:cs="Times New Roman"/>
          <w:szCs w:val="24"/>
        </w:rPr>
        <w:t xml:space="preserve"> apstākļos, tāpēc atšķirīga </w:t>
      </w:r>
      <w:r w:rsidR="00354273">
        <w:rPr>
          <w:rFonts w:cs="Times New Roman"/>
          <w:szCs w:val="24"/>
        </w:rPr>
        <w:t>amat</w:t>
      </w:r>
      <w:r w:rsidRPr="001F5DF9">
        <w:rPr>
          <w:rFonts w:cs="Times New Roman"/>
          <w:szCs w:val="24"/>
        </w:rPr>
        <w:t>alga</w:t>
      </w:r>
      <w:r w:rsidR="00504E8C" w:rsidRPr="001F5DF9">
        <w:rPr>
          <w:rFonts w:cs="Times New Roman"/>
          <w:szCs w:val="24"/>
        </w:rPr>
        <w:t xml:space="preserve"> šajā gadījumā</w:t>
      </w:r>
      <w:r w:rsidRPr="001F5DF9">
        <w:rPr>
          <w:rFonts w:cs="Times New Roman"/>
          <w:szCs w:val="24"/>
        </w:rPr>
        <w:t xml:space="preserve"> nepārkāpj vienlīdzības principu</w:t>
      </w:r>
      <w:r w:rsidR="00504E8C" w:rsidRPr="001F5DF9">
        <w:rPr>
          <w:rFonts w:cs="Times New Roman"/>
          <w:szCs w:val="24"/>
        </w:rPr>
        <w:t>. Turklāt</w:t>
      </w:r>
      <w:r w:rsidR="00DC67A4">
        <w:rPr>
          <w:rFonts w:cs="Times New Roman"/>
          <w:szCs w:val="24"/>
        </w:rPr>
        <w:t>,</w:t>
      </w:r>
      <w:r w:rsidR="00504E8C" w:rsidRPr="001F5DF9">
        <w:rPr>
          <w:rFonts w:cs="Times New Roman"/>
          <w:szCs w:val="24"/>
        </w:rPr>
        <w:t xml:space="preserve"> pat </w:t>
      </w:r>
      <w:r w:rsidRPr="001F5DF9">
        <w:rPr>
          <w:rFonts w:cs="Times New Roman"/>
          <w:szCs w:val="24"/>
        </w:rPr>
        <w:t xml:space="preserve">ja pieņemtu, ka </w:t>
      </w:r>
      <w:r w:rsidR="00504E8C" w:rsidRPr="001F5DF9">
        <w:rPr>
          <w:rFonts w:cs="Times New Roman"/>
          <w:szCs w:val="24"/>
        </w:rPr>
        <w:t xml:space="preserve">apstākļi ir salīdzināmi, </w:t>
      </w:r>
      <w:r w:rsidRPr="001F5DF9">
        <w:rPr>
          <w:rFonts w:cs="Times New Roman"/>
          <w:szCs w:val="24"/>
        </w:rPr>
        <w:t>atšķirīgā attieksme būtu attaisnojama, jo tai ir leģitīms mērķis un tā ir samērīga.</w:t>
      </w:r>
      <w:r w:rsidR="00504E8C" w:rsidRPr="001F5DF9">
        <w:rPr>
          <w:rFonts w:cs="Times New Roman"/>
          <w:szCs w:val="24"/>
        </w:rPr>
        <w:t xml:space="preserve"> </w:t>
      </w:r>
      <w:r w:rsidRPr="001F5DF9">
        <w:rPr>
          <w:rFonts w:cs="Times New Roman"/>
          <w:szCs w:val="24"/>
        </w:rPr>
        <w:t>Iespēja disciplināri sodīt tiesnesi ir nepieciešama, lai sekmētu tiesneš</w:t>
      </w:r>
      <w:r w:rsidR="00354273">
        <w:rPr>
          <w:rFonts w:cs="Times New Roman"/>
          <w:szCs w:val="24"/>
        </w:rPr>
        <w:t>a</w:t>
      </w:r>
      <w:r w:rsidR="003536F8">
        <w:rPr>
          <w:rFonts w:cs="Times New Roman"/>
          <w:szCs w:val="24"/>
        </w:rPr>
        <w:t xml:space="preserve">  pienākumu</w:t>
      </w:r>
      <w:r w:rsidRPr="001F5DF9">
        <w:rPr>
          <w:rFonts w:cs="Times New Roman"/>
          <w:szCs w:val="24"/>
        </w:rPr>
        <w:t xml:space="preserve"> pienācīg</w:t>
      </w:r>
      <w:r w:rsidR="003536F8">
        <w:rPr>
          <w:rFonts w:cs="Times New Roman"/>
          <w:szCs w:val="24"/>
        </w:rPr>
        <w:t>u</w:t>
      </w:r>
      <w:r w:rsidRPr="001F5DF9">
        <w:rPr>
          <w:rFonts w:cs="Times New Roman"/>
          <w:szCs w:val="24"/>
        </w:rPr>
        <w:t xml:space="preserve"> </w:t>
      </w:r>
      <w:r w:rsidR="003536F8">
        <w:rPr>
          <w:rFonts w:cs="Times New Roman"/>
          <w:szCs w:val="24"/>
        </w:rPr>
        <w:t>iz</w:t>
      </w:r>
      <w:r w:rsidRPr="001F5DF9">
        <w:rPr>
          <w:rFonts w:cs="Times New Roman"/>
          <w:szCs w:val="24"/>
        </w:rPr>
        <w:t>pild</w:t>
      </w:r>
      <w:r w:rsidR="003536F8">
        <w:rPr>
          <w:rFonts w:cs="Times New Roman"/>
          <w:szCs w:val="24"/>
        </w:rPr>
        <w:t>i,</w:t>
      </w:r>
      <w:r w:rsidRPr="001F5DF9">
        <w:rPr>
          <w:rFonts w:cs="Times New Roman"/>
          <w:szCs w:val="24"/>
        </w:rPr>
        <w:t xml:space="preserve"> tādējādi </w:t>
      </w:r>
      <w:r w:rsidR="00C46277">
        <w:rPr>
          <w:rFonts w:cs="Times New Roman"/>
          <w:szCs w:val="24"/>
        </w:rPr>
        <w:t>sekmējot</w:t>
      </w:r>
      <w:r w:rsidRPr="001F5DF9">
        <w:rPr>
          <w:rFonts w:cs="Times New Roman"/>
          <w:szCs w:val="24"/>
        </w:rPr>
        <w:t xml:space="preserve"> citu personu tiesīb</w:t>
      </w:r>
      <w:r w:rsidR="00C46277">
        <w:rPr>
          <w:rFonts w:cs="Times New Roman"/>
          <w:szCs w:val="24"/>
        </w:rPr>
        <w:t>u</w:t>
      </w:r>
      <w:r w:rsidRPr="001F5DF9">
        <w:rPr>
          <w:rFonts w:cs="Times New Roman"/>
          <w:szCs w:val="24"/>
        </w:rPr>
        <w:t xml:space="preserve"> uz taisnīgu tiesu</w:t>
      </w:r>
      <w:r w:rsidR="00C46277">
        <w:rPr>
          <w:rFonts w:cs="Times New Roman"/>
          <w:szCs w:val="24"/>
        </w:rPr>
        <w:t xml:space="preserve"> ievērošanu</w:t>
      </w:r>
      <w:r w:rsidR="00F13646" w:rsidRPr="001F5DF9">
        <w:rPr>
          <w:rFonts w:cs="Times New Roman"/>
          <w:szCs w:val="24"/>
        </w:rPr>
        <w:t xml:space="preserve"> un </w:t>
      </w:r>
      <w:r w:rsidRPr="001F5DF9">
        <w:rPr>
          <w:rFonts w:cs="Times New Roman"/>
          <w:szCs w:val="24"/>
        </w:rPr>
        <w:t>sabiedrības uzticēšan</w:t>
      </w:r>
      <w:r w:rsidR="00354273">
        <w:rPr>
          <w:rFonts w:cs="Times New Roman"/>
          <w:szCs w:val="24"/>
        </w:rPr>
        <w:t>o</w:t>
      </w:r>
      <w:r w:rsidRPr="001F5DF9">
        <w:rPr>
          <w:rFonts w:cs="Times New Roman"/>
          <w:szCs w:val="24"/>
        </w:rPr>
        <w:t xml:space="preserve">s tiesu varai, kas ir būtisks priekšnoteikums tiesiskas valsts darbībai. Līdz ar to </w:t>
      </w:r>
      <w:r w:rsidR="00426356">
        <w:rPr>
          <w:rFonts w:cs="Times New Roman"/>
          <w:szCs w:val="24"/>
        </w:rPr>
        <w:t xml:space="preserve">šādas attieksmes </w:t>
      </w:r>
      <w:r w:rsidRPr="001F5DF9">
        <w:rPr>
          <w:rFonts w:cs="Times New Roman"/>
          <w:szCs w:val="24"/>
        </w:rPr>
        <w:t>leģitīm</w:t>
      </w:r>
      <w:r w:rsidR="007336C6">
        <w:rPr>
          <w:rFonts w:cs="Times New Roman"/>
          <w:szCs w:val="24"/>
        </w:rPr>
        <w:t>ais</w:t>
      </w:r>
      <w:r w:rsidRPr="001F5DF9">
        <w:rPr>
          <w:rFonts w:cs="Times New Roman"/>
          <w:szCs w:val="24"/>
        </w:rPr>
        <w:t xml:space="preserve"> mērķi</w:t>
      </w:r>
      <w:r w:rsidR="007336C6">
        <w:rPr>
          <w:rFonts w:cs="Times New Roman"/>
          <w:szCs w:val="24"/>
        </w:rPr>
        <w:t>s</w:t>
      </w:r>
      <w:r w:rsidRPr="001F5DF9">
        <w:rPr>
          <w:rFonts w:cs="Times New Roman"/>
          <w:szCs w:val="24"/>
        </w:rPr>
        <w:t xml:space="preserve"> ir citu personu tiesību un demokrātiskas valsts iekārtas aizsardzība</w:t>
      </w:r>
      <w:r w:rsidR="00504E8C" w:rsidRPr="001F5DF9">
        <w:rPr>
          <w:rFonts w:cs="Times New Roman"/>
          <w:szCs w:val="24"/>
        </w:rPr>
        <w:t xml:space="preserve">. </w:t>
      </w:r>
      <w:r w:rsidR="003536F8">
        <w:rPr>
          <w:rFonts w:cs="Times New Roman"/>
          <w:szCs w:val="24"/>
        </w:rPr>
        <w:t>Paredzot</w:t>
      </w:r>
      <w:r w:rsidR="003536F8" w:rsidRPr="001F5DF9">
        <w:rPr>
          <w:rFonts w:cs="Times New Roman"/>
          <w:szCs w:val="24"/>
        </w:rPr>
        <w:t xml:space="preserve"> </w:t>
      </w:r>
      <w:r w:rsidR="003536F8">
        <w:rPr>
          <w:rFonts w:cs="Times New Roman"/>
          <w:szCs w:val="24"/>
        </w:rPr>
        <w:t>amatalgas samazināšanu kā</w:t>
      </w:r>
      <w:r w:rsidR="003536F8" w:rsidRPr="001F5DF9">
        <w:rPr>
          <w:rFonts w:cs="Times New Roman"/>
          <w:szCs w:val="24"/>
        </w:rPr>
        <w:t xml:space="preserve"> </w:t>
      </w:r>
      <w:r w:rsidR="003536F8">
        <w:rPr>
          <w:rFonts w:cs="Times New Roman"/>
          <w:szCs w:val="24"/>
        </w:rPr>
        <w:t>disciplinār</w:t>
      </w:r>
      <w:r w:rsidRPr="001F5DF9">
        <w:rPr>
          <w:rFonts w:cs="Times New Roman"/>
          <w:szCs w:val="24"/>
        </w:rPr>
        <w:t>sodu, likumdevējs ir ievērojis samērīguma principu, jo šāds soda veids ļauj sasniegt leģitīmo mērķi – motivē</w:t>
      </w:r>
      <w:r w:rsidR="003536F8">
        <w:rPr>
          <w:rFonts w:cs="Times New Roman"/>
          <w:szCs w:val="24"/>
        </w:rPr>
        <w:t>t</w:t>
      </w:r>
      <w:r w:rsidRPr="001F5DF9">
        <w:rPr>
          <w:rFonts w:cs="Times New Roman"/>
          <w:szCs w:val="24"/>
        </w:rPr>
        <w:t xml:space="preserve"> tiesnešus </w:t>
      </w:r>
      <w:r w:rsidR="003536F8" w:rsidRPr="001F5DF9">
        <w:rPr>
          <w:rFonts w:cs="Times New Roman"/>
          <w:szCs w:val="24"/>
        </w:rPr>
        <w:t xml:space="preserve">pienācīgi </w:t>
      </w:r>
      <w:r w:rsidRPr="001F5DF9">
        <w:rPr>
          <w:rFonts w:cs="Times New Roman"/>
          <w:szCs w:val="24"/>
        </w:rPr>
        <w:t xml:space="preserve">pildīt </w:t>
      </w:r>
      <w:r w:rsidR="00F13646" w:rsidRPr="001F5DF9">
        <w:rPr>
          <w:rFonts w:cs="Times New Roman"/>
          <w:szCs w:val="24"/>
        </w:rPr>
        <w:t xml:space="preserve">savus </w:t>
      </w:r>
      <w:r w:rsidRPr="001F5DF9">
        <w:rPr>
          <w:rFonts w:cs="Times New Roman"/>
          <w:szCs w:val="24"/>
        </w:rPr>
        <w:t>pienākumus</w:t>
      </w:r>
      <w:r w:rsidR="00504E8C" w:rsidRPr="001F5DF9">
        <w:rPr>
          <w:rFonts w:cs="Times New Roman"/>
          <w:szCs w:val="24"/>
        </w:rPr>
        <w:t>.</w:t>
      </w:r>
      <w:r w:rsidR="00F13646" w:rsidRPr="001F5DF9">
        <w:rPr>
          <w:rFonts w:cs="Times New Roman"/>
          <w:szCs w:val="24"/>
        </w:rPr>
        <w:t xml:space="preserve"> Vieglāki </w:t>
      </w:r>
      <w:r w:rsidR="003536F8">
        <w:rPr>
          <w:rFonts w:cs="Times New Roman"/>
          <w:szCs w:val="24"/>
        </w:rPr>
        <w:t>disciplinār</w:t>
      </w:r>
      <w:r w:rsidR="00F13646" w:rsidRPr="001F5DF9">
        <w:rPr>
          <w:rFonts w:cs="Times New Roman"/>
          <w:szCs w:val="24"/>
        </w:rPr>
        <w:t xml:space="preserve">soda veidi – piezīme un rājiens – </w:t>
      </w:r>
      <w:r w:rsidR="00146CC3" w:rsidRPr="001F5DF9">
        <w:rPr>
          <w:rFonts w:cs="Times New Roman"/>
          <w:szCs w:val="24"/>
        </w:rPr>
        <w:t xml:space="preserve">atsevišķos gadījumos </w:t>
      </w:r>
      <w:r w:rsidR="00F13646" w:rsidRPr="001F5DF9">
        <w:rPr>
          <w:rFonts w:cs="Times New Roman"/>
          <w:szCs w:val="24"/>
        </w:rPr>
        <w:t>varētu būt nepietiekami ietekmēšanas līdzekļi.</w:t>
      </w:r>
      <w:r w:rsidR="00387141" w:rsidRPr="001F5DF9">
        <w:rPr>
          <w:rFonts w:cs="Times New Roman"/>
          <w:szCs w:val="24"/>
        </w:rPr>
        <w:t xml:space="preserve"> </w:t>
      </w:r>
      <w:r w:rsidR="00C46277">
        <w:rPr>
          <w:rFonts w:cs="Times New Roman"/>
          <w:szCs w:val="24"/>
        </w:rPr>
        <w:t xml:space="preserve">Savukārt </w:t>
      </w:r>
      <w:r w:rsidR="00C46277" w:rsidRPr="001F5DF9">
        <w:rPr>
          <w:rFonts w:cs="Times New Roman"/>
          <w:szCs w:val="24"/>
        </w:rPr>
        <w:t xml:space="preserve">par disciplināro pārkāpumu noteikta soda nauda tiesnesi </w:t>
      </w:r>
      <w:r w:rsidR="00C46277">
        <w:rPr>
          <w:rFonts w:cs="Times New Roman"/>
          <w:szCs w:val="24"/>
        </w:rPr>
        <w:t xml:space="preserve">neierobežotu </w:t>
      </w:r>
      <w:r w:rsidR="00C46277" w:rsidRPr="001F5DF9">
        <w:rPr>
          <w:rFonts w:cs="Times New Roman"/>
          <w:szCs w:val="24"/>
        </w:rPr>
        <w:t>mazāk nekā amatalgas samazināšana, jo abu soda veidu mantiskā ietekme ir līdzīga.</w:t>
      </w:r>
      <w:r w:rsidR="00C46277">
        <w:rPr>
          <w:rFonts w:cs="Times New Roman"/>
          <w:szCs w:val="24"/>
        </w:rPr>
        <w:t xml:space="preserve"> Turklāt </w:t>
      </w:r>
      <w:r w:rsidR="00F13646" w:rsidRPr="001F5DF9">
        <w:rPr>
          <w:rFonts w:cs="Times New Roman"/>
          <w:szCs w:val="24"/>
        </w:rPr>
        <w:t>sabiedrības ieguvums</w:t>
      </w:r>
      <w:r w:rsidR="00387141" w:rsidRPr="001F5DF9">
        <w:rPr>
          <w:rFonts w:cs="Times New Roman"/>
          <w:szCs w:val="24"/>
        </w:rPr>
        <w:t xml:space="preserve"> salīdzin</w:t>
      </w:r>
      <w:r w:rsidR="003536F8">
        <w:rPr>
          <w:rFonts w:cs="Times New Roman"/>
          <w:szCs w:val="24"/>
        </w:rPr>
        <w:t>ājumā</w:t>
      </w:r>
      <w:r w:rsidR="00387141" w:rsidRPr="001F5DF9">
        <w:rPr>
          <w:rFonts w:cs="Times New Roman"/>
          <w:szCs w:val="24"/>
        </w:rPr>
        <w:t xml:space="preserve"> ar tiesnesim radīto kaitējumu</w:t>
      </w:r>
      <w:r w:rsidR="00F13646" w:rsidRPr="001F5DF9">
        <w:rPr>
          <w:rFonts w:cs="Times New Roman"/>
          <w:szCs w:val="24"/>
        </w:rPr>
        <w:t xml:space="preserve"> ir būtisks, jo </w:t>
      </w:r>
      <w:r w:rsidR="003536F8">
        <w:rPr>
          <w:rFonts w:cs="Times New Roman"/>
          <w:szCs w:val="24"/>
        </w:rPr>
        <w:t>tiek paredzēta</w:t>
      </w:r>
      <w:r w:rsidR="00F13646" w:rsidRPr="001F5DF9">
        <w:rPr>
          <w:rFonts w:cs="Times New Roman"/>
          <w:szCs w:val="24"/>
        </w:rPr>
        <w:t xml:space="preserve"> iespēja reaģēt uz tiesnešu pārkāpumiem </w:t>
      </w:r>
      <w:r w:rsidR="002C2969" w:rsidRPr="001F5DF9">
        <w:rPr>
          <w:rFonts w:cs="Times New Roman"/>
          <w:szCs w:val="24"/>
        </w:rPr>
        <w:t xml:space="preserve">atbilstoši </w:t>
      </w:r>
      <w:r w:rsidR="002C2969">
        <w:rPr>
          <w:rFonts w:cs="Times New Roman"/>
          <w:szCs w:val="24"/>
        </w:rPr>
        <w:t xml:space="preserve">to kaitīgumam, </w:t>
      </w:r>
      <w:r w:rsidR="00F13646" w:rsidRPr="001F5DF9">
        <w:rPr>
          <w:rFonts w:cs="Times New Roman"/>
          <w:szCs w:val="24"/>
        </w:rPr>
        <w:t>par nopietnākiem pārkāpumiem no</w:t>
      </w:r>
      <w:r w:rsidR="002C2969">
        <w:rPr>
          <w:rFonts w:cs="Times New Roman"/>
          <w:szCs w:val="24"/>
        </w:rPr>
        <w:t>sakot</w:t>
      </w:r>
      <w:r w:rsidR="00F13646" w:rsidRPr="001F5DF9">
        <w:rPr>
          <w:rFonts w:cs="Times New Roman"/>
          <w:szCs w:val="24"/>
        </w:rPr>
        <w:t xml:space="preserve"> </w:t>
      </w:r>
      <w:r w:rsidR="003536F8" w:rsidRPr="001F5DF9">
        <w:rPr>
          <w:rFonts w:cs="Times New Roman"/>
          <w:szCs w:val="24"/>
        </w:rPr>
        <w:t>bargāku</w:t>
      </w:r>
      <w:r w:rsidR="00DC67A4">
        <w:rPr>
          <w:rFonts w:cs="Times New Roman"/>
          <w:szCs w:val="24"/>
        </w:rPr>
        <w:t xml:space="preserve"> </w:t>
      </w:r>
      <w:r w:rsidR="003536F8">
        <w:rPr>
          <w:rFonts w:cs="Times New Roman"/>
          <w:szCs w:val="24"/>
        </w:rPr>
        <w:t>disciplinār</w:t>
      </w:r>
      <w:r w:rsidR="00F13646" w:rsidRPr="001F5DF9">
        <w:rPr>
          <w:rFonts w:cs="Times New Roman"/>
          <w:szCs w:val="24"/>
        </w:rPr>
        <w:t>sodu</w:t>
      </w:r>
      <w:r w:rsidR="00DC67A4">
        <w:rPr>
          <w:rFonts w:cs="Times New Roman"/>
          <w:szCs w:val="24"/>
        </w:rPr>
        <w:t xml:space="preserve"> par piezīmi un rājienu.</w:t>
      </w:r>
      <w:r w:rsidR="00F13646" w:rsidRPr="001F5DF9">
        <w:rPr>
          <w:rFonts w:cs="Times New Roman"/>
          <w:szCs w:val="24"/>
        </w:rPr>
        <w:t xml:space="preserve"> Vērtējot ar atšķirīgu </w:t>
      </w:r>
      <w:r w:rsidR="002C2969">
        <w:rPr>
          <w:rFonts w:cs="Times New Roman"/>
          <w:szCs w:val="24"/>
        </w:rPr>
        <w:t>amat</w:t>
      </w:r>
      <w:r w:rsidR="00F13646" w:rsidRPr="001F5DF9">
        <w:rPr>
          <w:rFonts w:cs="Times New Roman"/>
          <w:szCs w:val="24"/>
        </w:rPr>
        <w:t xml:space="preserve">algu nodarīto kaitējumu tiesnesim, jāņem vērā, ka šāds </w:t>
      </w:r>
      <w:r w:rsidR="002C2969">
        <w:rPr>
          <w:rFonts w:cs="Times New Roman"/>
          <w:szCs w:val="24"/>
        </w:rPr>
        <w:t>disciplinār</w:t>
      </w:r>
      <w:r w:rsidR="00F13646" w:rsidRPr="001F5DF9">
        <w:rPr>
          <w:rFonts w:cs="Times New Roman"/>
          <w:szCs w:val="24"/>
        </w:rPr>
        <w:t>soda veids neapdraud tiesneša neatkarību</w:t>
      </w:r>
      <w:r w:rsidR="002C2969">
        <w:rPr>
          <w:rFonts w:cs="Times New Roman"/>
          <w:szCs w:val="24"/>
        </w:rPr>
        <w:t xml:space="preserve"> (sk. 7. punktu)</w:t>
      </w:r>
      <w:r w:rsidR="00F13646" w:rsidRPr="001F5DF9">
        <w:rPr>
          <w:rFonts w:cs="Times New Roman"/>
          <w:szCs w:val="24"/>
        </w:rPr>
        <w:t>, t</w:t>
      </w:r>
      <w:r w:rsidR="002C2969">
        <w:rPr>
          <w:rFonts w:cs="Times New Roman"/>
          <w:szCs w:val="24"/>
        </w:rPr>
        <w:t>as nosakāms</w:t>
      </w:r>
      <w:r w:rsidR="00F13646" w:rsidRPr="001F5DF9">
        <w:rPr>
          <w:rFonts w:cs="Times New Roman"/>
          <w:szCs w:val="24"/>
        </w:rPr>
        <w:t xml:space="preserve"> individuāli atbilstoši </w:t>
      </w:r>
      <w:r w:rsidR="002C2969">
        <w:rPr>
          <w:rFonts w:cs="Times New Roman"/>
          <w:szCs w:val="24"/>
        </w:rPr>
        <w:t>izdarītajam</w:t>
      </w:r>
      <w:r w:rsidR="002C2969" w:rsidRPr="001F5DF9">
        <w:rPr>
          <w:rFonts w:cs="Times New Roman"/>
          <w:szCs w:val="24"/>
        </w:rPr>
        <w:t xml:space="preserve"> </w:t>
      </w:r>
      <w:r w:rsidR="00F13646" w:rsidRPr="001F5DF9">
        <w:rPr>
          <w:rFonts w:cs="Times New Roman"/>
          <w:szCs w:val="24"/>
        </w:rPr>
        <w:t xml:space="preserve">pārkāpumam, kā tas ir darīts arī </w:t>
      </w:r>
      <w:r w:rsidR="002C2969">
        <w:rPr>
          <w:rFonts w:cs="Times New Roman"/>
          <w:szCs w:val="24"/>
        </w:rPr>
        <w:t>izskatāmajā</w:t>
      </w:r>
      <w:r w:rsidR="002C2969" w:rsidRPr="001F5DF9">
        <w:rPr>
          <w:rFonts w:cs="Times New Roman"/>
          <w:szCs w:val="24"/>
        </w:rPr>
        <w:t xml:space="preserve"> </w:t>
      </w:r>
      <w:r w:rsidR="00F13646" w:rsidRPr="001F5DF9">
        <w:rPr>
          <w:rFonts w:cs="Times New Roman"/>
          <w:szCs w:val="24"/>
        </w:rPr>
        <w:t>gadījumā, un atsevišķos gadījumos tas ļau</w:t>
      </w:r>
      <w:r w:rsidR="002C2969">
        <w:rPr>
          <w:rFonts w:cs="Times New Roman"/>
          <w:szCs w:val="24"/>
        </w:rPr>
        <w:t>j</w:t>
      </w:r>
      <w:r w:rsidR="00F13646" w:rsidRPr="001F5DF9">
        <w:rPr>
          <w:rFonts w:cs="Times New Roman"/>
          <w:szCs w:val="24"/>
        </w:rPr>
        <w:t xml:space="preserve"> izvairīties no nepieciešamības rosināt tiesneša atcelšanu no amata. </w:t>
      </w:r>
    </w:p>
    <w:p w14:paraId="2231813B" w14:textId="77777777" w:rsidR="00871EEE" w:rsidRPr="002C2969" w:rsidRDefault="00871EEE" w:rsidP="008A3B24">
      <w:pPr>
        <w:pStyle w:val="NoSpacing"/>
        <w:widowControl w:val="0"/>
        <w:spacing w:line="276" w:lineRule="auto"/>
        <w:ind w:firstLine="720"/>
        <w:jc w:val="both"/>
        <w:rPr>
          <w:rFonts w:cs="Times New Roman"/>
          <w:szCs w:val="24"/>
        </w:rPr>
      </w:pPr>
    </w:p>
    <w:p w14:paraId="6422D82D" w14:textId="64DAF7CE" w:rsidR="00D8073B" w:rsidRPr="002C2969" w:rsidRDefault="00D8073B" w:rsidP="008A3B24">
      <w:pPr>
        <w:pStyle w:val="NoSpacing"/>
        <w:widowControl w:val="0"/>
        <w:spacing w:line="276" w:lineRule="auto"/>
        <w:jc w:val="center"/>
        <w:rPr>
          <w:rFonts w:cs="Times New Roman"/>
          <w:szCs w:val="24"/>
        </w:rPr>
      </w:pPr>
      <w:r w:rsidRPr="002C2969">
        <w:rPr>
          <w:rFonts w:cs="Times New Roman"/>
          <w:b/>
          <w:szCs w:val="24"/>
        </w:rPr>
        <w:t>Rezolutīvā daļa</w:t>
      </w:r>
    </w:p>
    <w:p w14:paraId="27CC2C70" w14:textId="77777777" w:rsidR="00D8073B" w:rsidRPr="002C2969" w:rsidRDefault="00D8073B" w:rsidP="008A3B24">
      <w:pPr>
        <w:pStyle w:val="NoSpacing"/>
        <w:widowControl w:val="0"/>
        <w:spacing w:line="276" w:lineRule="auto"/>
        <w:ind w:firstLine="720"/>
        <w:jc w:val="both"/>
        <w:rPr>
          <w:rFonts w:cs="Times New Roman"/>
          <w:szCs w:val="24"/>
        </w:rPr>
      </w:pPr>
    </w:p>
    <w:p w14:paraId="5ED1825A" w14:textId="64444159" w:rsidR="00D8073B" w:rsidRPr="002C2969" w:rsidRDefault="00D8073B" w:rsidP="008A3B24">
      <w:pPr>
        <w:pStyle w:val="NoSpacing"/>
        <w:widowControl w:val="0"/>
        <w:spacing w:line="276" w:lineRule="auto"/>
        <w:ind w:firstLine="720"/>
        <w:jc w:val="both"/>
        <w:rPr>
          <w:rFonts w:cs="Times New Roman"/>
          <w:szCs w:val="24"/>
        </w:rPr>
      </w:pPr>
      <w:r w:rsidRPr="002C2969">
        <w:rPr>
          <w:rFonts w:cs="Times New Roman"/>
          <w:szCs w:val="24"/>
        </w:rPr>
        <w:t>Pamatojoties uz Tiesnešu disciplinārās atbildības likuma 11.</w:t>
      </w:r>
      <w:r w:rsidRPr="002C2969">
        <w:rPr>
          <w:rFonts w:cs="Times New Roman"/>
          <w:szCs w:val="24"/>
          <w:vertAlign w:val="superscript"/>
        </w:rPr>
        <w:t>4 </w:t>
      </w:r>
      <w:r w:rsidRPr="002C2969">
        <w:rPr>
          <w:rFonts w:cs="Times New Roman"/>
          <w:szCs w:val="24"/>
        </w:rPr>
        <w:t xml:space="preserve">panta otrās daļas 1. punktu, </w:t>
      </w:r>
      <w:proofErr w:type="spellStart"/>
      <w:r w:rsidRPr="002C2969">
        <w:rPr>
          <w:rFonts w:cs="Times New Roman"/>
          <w:szCs w:val="24"/>
        </w:rPr>
        <w:t>Disciplinārtiesa</w:t>
      </w:r>
      <w:proofErr w:type="spellEnd"/>
    </w:p>
    <w:p w14:paraId="2682A358" w14:textId="77777777" w:rsidR="00D8073B" w:rsidRPr="002C2969" w:rsidRDefault="00D8073B" w:rsidP="008A3B24">
      <w:pPr>
        <w:pStyle w:val="NoSpacing"/>
        <w:widowControl w:val="0"/>
        <w:spacing w:line="276" w:lineRule="auto"/>
        <w:ind w:firstLine="720"/>
        <w:jc w:val="both"/>
        <w:rPr>
          <w:rFonts w:cs="Times New Roman"/>
          <w:szCs w:val="24"/>
        </w:rPr>
      </w:pPr>
    </w:p>
    <w:p w14:paraId="7CC128FA" w14:textId="77777777" w:rsidR="00D8073B" w:rsidRPr="002C2969" w:rsidRDefault="00D8073B" w:rsidP="008A3B24">
      <w:pPr>
        <w:pStyle w:val="NoSpacing"/>
        <w:widowControl w:val="0"/>
        <w:spacing w:line="276" w:lineRule="auto"/>
        <w:jc w:val="center"/>
        <w:rPr>
          <w:rFonts w:cs="Times New Roman"/>
          <w:b/>
          <w:szCs w:val="24"/>
        </w:rPr>
      </w:pPr>
      <w:r w:rsidRPr="002C2969">
        <w:rPr>
          <w:rFonts w:cs="Times New Roman"/>
          <w:b/>
          <w:szCs w:val="24"/>
        </w:rPr>
        <w:t>nolēma</w:t>
      </w:r>
    </w:p>
    <w:p w14:paraId="194E0000" w14:textId="77777777" w:rsidR="00D8073B" w:rsidRPr="002C2969" w:rsidRDefault="00D8073B" w:rsidP="008A3B24">
      <w:pPr>
        <w:pStyle w:val="NoSpacing"/>
        <w:widowControl w:val="0"/>
        <w:spacing w:line="276" w:lineRule="auto"/>
        <w:ind w:firstLine="720"/>
        <w:jc w:val="both"/>
        <w:rPr>
          <w:rFonts w:cs="Times New Roman"/>
          <w:b/>
          <w:szCs w:val="24"/>
        </w:rPr>
      </w:pPr>
    </w:p>
    <w:p w14:paraId="6062B92B" w14:textId="7AF4740A" w:rsidR="00D8073B" w:rsidRPr="002C2969" w:rsidRDefault="00D8073B" w:rsidP="008A3B24">
      <w:pPr>
        <w:pStyle w:val="NoSpacing"/>
        <w:widowControl w:val="0"/>
        <w:spacing w:line="276" w:lineRule="auto"/>
        <w:ind w:firstLine="720"/>
        <w:jc w:val="both"/>
        <w:rPr>
          <w:rFonts w:cs="Times New Roman"/>
          <w:szCs w:val="24"/>
        </w:rPr>
      </w:pPr>
      <w:r w:rsidRPr="002C2969">
        <w:rPr>
          <w:rFonts w:cs="Times New Roman"/>
          <w:szCs w:val="24"/>
        </w:rPr>
        <w:t xml:space="preserve">atstāt negrozītu </w:t>
      </w:r>
      <w:r w:rsidR="00554A48" w:rsidRPr="002C2969">
        <w:rPr>
          <w:rFonts w:cs="Times New Roman"/>
          <w:szCs w:val="24"/>
        </w:rPr>
        <w:t>t</w:t>
      </w:r>
      <w:r w:rsidRPr="002C2969">
        <w:rPr>
          <w:rFonts w:cs="Times New Roman"/>
          <w:szCs w:val="24"/>
        </w:rPr>
        <w:t xml:space="preserve">iesnešu disciplinārkolēģijas 2026. gada 20. februāra lēmumu, bet senatora </w:t>
      </w:r>
      <w:r w:rsidR="00B97DBC">
        <w:rPr>
          <w:rFonts w:cs="Times New Roman"/>
          <w:szCs w:val="24"/>
        </w:rPr>
        <w:t xml:space="preserve">[A] </w:t>
      </w:r>
      <w:r w:rsidRPr="002C2969">
        <w:rPr>
          <w:rFonts w:cs="Times New Roman"/>
          <w:szCs w:val="24"/>
        </w:rPr>
        <w:t>sūdzību noraidīt.</w:t>
      </w:r>
    </w:p>
    <w:p w14:paraId="18F360C8" w14:textId="77777777" w:rsidR="00DB1650" w:rsidRPr="002C2969" w:rsidRDefault="00DB1650" w:rsidP="008A3B24">
      <w:pPr>
        <w:pStyle w:val="NoSpacing"/>
        <w:widowControl w:val="0"/>
        <w:spacing w:line="276" w:lineRule="auto"/>
        <w:ind w:firstLine="720"/>
        <w:jc w:val="both"/>
        <w:rPr>
          <w:rFonts w:cs="Times New Roman"/>
          <w:szCs w:val="24"/>
        </w:rPr>
      </w:pPr>
    </w:p>
    <w:p w14:paraId="7487DC64" w14:textId="5109F326" w:rsidR="00D8073B" w:rsidRPr="002C2969" w:rsidRDefault="00D8073B" w:rsidP="007F04A1">
      <w:pPr>
        <w:pStyle w:val="NoSpacing"/>
        <w:widowControl w:val="0"/>
        <w:spacing w:line="276" w:lineRule="auto"/>
        <w:ind w:firstLine="720"/>
        <w:jc w:val="both"/>
        <w:rPr>
          <w:rFonts w:cs="Times New Roman"/>
          <w:szCs w:val="24"/>
        </w:rPr>
      </w:pPr>
      <w:r w:rsidRPr="002C2969">
        <w:rPr>
          <w:rFonts w:cs="Times New Roman"/>
          <w:szCs w:val="24"/>
        </w:rPr>
        <w:t>Lēmums nav pārsūdzams.</w:t>
      </w:r>
    </w:p>
    <w:sectPr w:rsidR="00D8073B" w:rsidRPr="002C2969" w:rsidSect="00B52579">
      <w:footerReference w:type="default" r:id="rId2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4323" w14:textId="77777777" w:rsidR="00DE1FA7" w:rsidRDefault="00DE1FA7" w:rsidP="004325DB">
      <w:pPr>
        <w:spacing w:after="0" w:line="240" w:lineRule="auto"/>
      </w:pPr>
      <w:r>
        <w:separator/>
      </w:r>
    </w:p>
  </w:endnote>
  <w:endnote w:type="continuationSeparator" w:id="0">
    <w:p w14:paraId="1CCB5995" w14:textId="77777777" w:rsidR="00DE1FA7" w:rsidRDefault="00DE1FA7" w:rsidP="0043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770252"/>
      <w:docPartObj>
        <w:docPartGallery w:val="Page Numbers (Bottom of Page)"/>
        <w:docPartUnique/>
      </w:docPartObj>
    </w:sdtPr>
    <w:sdtEndPr/>
    <w:sdtContent>
      <w:sdt>
        <w:sdtPr>
          <w:id w:val="1728636285"/>
          <w:docPartObj>
            <w:docPartGallery w:val="Page Numbers (Top of Page)"/>
            <w:docPartUnique/>
          </w:docPartObj>
        </w:sdtPr>
        <w:sdtEndPr/>
        <w:sdtContent>
          <w:p w14:paraId="07221FAB" w14:textId="2158D364" w:rsidR="004325DB" w:rsidRDefault="004325DB" w:rsidP="004325DB">
            <w:pPr>
              <w:pStyle w:val="Footer"/>
              <w:jc w:val="center"/>
            </w:pPr>
            <w:r w:rsidRPr="004325DB">
              <w:rPr>
                <w:sz w:val="20"/>
                <w:szCs w:val="20"/>
              </w:rPr>
              <w:fldChar w:fldCharType="begin"/>
            </w:r>
            <w:r w:rsidRPr="004325DB">
              <w:rPr>
                <w:sz w:val="20"/>
                <w:szCs w:val="20"/>
              </w:rPr>
              <w:instrText xml:space="preserve"> PAGE </w:instrText>
            </w:r>
            <w:r w:rsidRPr="004325DB">
              <w:rPr>
                <w:sz w:val="20"/>
                <w:szCs w:val="20"/>
              </w:rPr>
              <w:fldChar w:fldCharType="separate"/>
            </w:r>
            <w:r w:rsidRPr="004325DB">
              <w:rPr>
                <w:noProof/>
                <w:sz w:val="20"/>
                <w:szCs w:val="20"/>
              </w:rPr>
              <w:t>2</w:t>
            </w:r>
            <w:r w:rsidRPr="004325DB">
              <w:rPr>
                <w:sz w:val="20"/>
                <w:szCs w:val="20"/>
              </w:rPr>
              <w:fldChar w:fldCharType="end"/>
            </w:r>
            <w:r w:rsidRPr="004325DB">
              <w:rPr>
                <w:sz w:val="20"/>
                <w:szCs w:val="20"/>
              </w:rPr>
              <w:t xml:space="preserve"> no </w:t>
            </w:r>
            <w:r w:rsidRPr="004325DB">
              <w:rPr>
                <w:sz w:val="20"/>
                <w:szCs w:val="20"/>
              </w:rPr>
              <w:fldChar w:fldCharType="begin"/>
            </w:r>
            <w:r w:rsidRPr="004325DB">
              <w:rPr>
                <w:sz w:val="20"/>
                <w:szCs w:val="20"/>
              </w:rPr>
              <w:instrText xml:space="preserve"> NUMPAGES  </w:instrText>
            </w:r>
            <w:r w:rsidRPr="004325DB">
              <w:rPr>
                <w:sz w:val="20"/>
                <w:szCs w:val="20"/>
              </w:rPr>
              <w:fldChar w:fldCharType="separate"/>
            </w:r>
            <w:r w:rsidRPr="004325DB">
              <w:rPr>
                <w:noProof/>
                <w:sz w:val="20"/>
                <w:szCs w:val="20"/>
              </w:rPr>
              <w:t>2</w:t>
            </w:r>
            <w:r w:rsidRPr="004325DB">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5C171" w14:textId="77777777" w:rsidR="00DE1FA7" w:rsidRDefault="00DE1FA7" w:rsidP="004325DB">
      <w:pPr>
        <w:spacing w:after="0" w:line="240" w:lineRule="auto"/>
      </w:pPr>
      <w:r>
        <w:separator/>
      </w:r>
    </w:p>
  </w:footnote>
  <w:footnote w:type="continuationSeparator" w:id="0">
    <w:p w14:paraId="5948A5AF" w14:textId="77777777" w:rsidR="00DE1FA7" w:rsidRDefault="00DE1FA7" w:rsidP="00432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5246E"/>
    <w:multiLevelType w:val="hybridMultilevel"/>
    <w:tmpl w:val="CA90AD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66549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E7"/>
    <w:rsid w:val="00000D20"/>
    <w:rsid w:val="000122F0"/>
    <w:rsid w:val="00020981"/>
    <w:rsid w:val="0003079A"/>
    <w:rsid w:val="000336E5"/>
    <w:rsid w:val="00046FCB"/>
    <w:rsid w:val="0006364C"/>
    <w:rsid w:val="00075FF4"/>
    <w:rsid w:val="000869A8"/>
    <w:rsid w:val="00086E08"/>
    <w:rsid w:val="000B7358"/>
    <w:rsid w:val="000C4C18"/>
    <w:rsid w:val="000D0FD4"/>
    <w:rsid w:val="000D1EEC"/>
    <w:rsid w:val="000D5D63"/>
    <w:rsid w:val="00105170"/>
    <w:rsid w:val="0011168D"/>
    <w:rsid w:val="00135DCB"/>
    <w:rsid w:val="0014669D"/>
    <w:rsid w:val="00146CC3"/>
    <w:rsid w:val="00175408"/>
    <w:rsid w:val="0018141E"/>
    <w:rsid w:val="001950C4"/>
    <w:rsid w:val="00196349"/>
    <w:rsid w:val="001C4FB1"/>
    <w:rsid w:val="001C5C42"/>
    <w:rsid w:val="001F5DF9"/>
    <w:rsid w:val="001F6185"/>
    <w:rsid w:val="001F66E7"/>
    <w:rsid w:val="002024D2"/>
    <w:rsid w:val="00204DAE"/>
    <w:rsid w:val="00220089"/>
    <w:rsid w:val="00225ECB"/>
    <w:rsid w:val="00237692"/>
    <w:rsid w:val="00237FE1"/>
    <w:rsid w:val="00260397"/>
    <w:rsid w:val="00265931"/>
    <w:rsid w:val="002729FD"/>
    <w:rsid w:val="00281A85"/>
    <w:rsid w:val="0028381A"/>
    <w:rsid w:val="00285237"/>
    <w:rsid w:val="002862D9"/>
    <w:rsid w:val="00290A2E"/>
    <w:rsid w:val="0029478E"/>
    <w:rsid w:val="00297D21"/>
    <w:rsid w:val="002A31B2"/>
    <w:rsid w:val="002A3B82"/>
    <w:rsid w:val="002C2969"/>
    <w:rsid w:val="002C35E0"/>
    <w:rsid w:val="002D064D"/>
    <w:rsid w:val="002D5166"/>
    <w:rsid w:val="00301A4A"/>
    <w:rsid w:val="00306252"/>
    <w:rsid w:val="00306FB1"/>
    <w:rsid w:val="00307ED7"/>
    <w:rsid w:val="0031614A"/>
    <w:rsid w:val="00326ADE"/>
    <w:rsid w:val="0033284A"/>
    <w:rsid w:val="00344F2E"/>
    <w:rsid w:val="0034638D"/>
    <w:rsid w:val="003468C2"/>
    <w:rsid w:val="00347DDC"/>
    <w:rsid w:val="003536F8"/>
    <w:rsid w:val="00354273"/>
    <w:rsid w:val="00357AF9"/>
    <w:rsid w:val="00384221"/>
    <w:rsid w:val="00387141"/>
    <w:rsid w:val="00390751"/>
    <w:rsid w:val="00395EEA"/>
    <w:rsid w:val="00397C5F"/>
    <w:rsid w:val="003A10D7"/>
    <w:rsid w:val="003A1E69"/>
    <w:rsid w:val="003A31B9"/>
    <w:rsid w:val="003A44A5"/>
    <w:rsid w:val="003B318E"/>
    <w:rsid w:val="003B5415"/>
    <w:rsid w:val="003C5F6E"/>
    <w:rsid w:val="003D3DF7"/>
    <w:rsid w:val="003D7FC7"/>
    <w:rsid w:val="003E5709"/>
    <w:rsid w:val="003F302C"/>
    <w:rsid w:val="00415D4C"/>
    <w:rsid w:val="0042127E"/>
    <w:rsid w:val="00422E42"/>
    <w:rsid w:val="00425A71"/>
    <w:rsid w:val="00426356"/>
    <w:rsid w:val="00426D1E"/>
    <w:rsid w:val="004325DB"/>
    <w:rsid w:val="00441C44"/>
    <w:rsid w:val="004423C8"/>
    <w:rsid w:val="004621D7"/>
    <w:rsid w:val="004673FB"/>
    <w:rsid w:val="0047463E"/>
    <w:rsid w:val="00476961"/>
    <w:rsid w:val="00481034"/>
    <w:rsid w:val="00481255"/>
    <w:rsid w:val="00482EBF"/>
    <w:rsid w:val="00482FB0"/>
    <w:rsid w:val="00486ECE"/>
    <w:rsid w:val="00493131"/>
    <w:rsid w:val="00494870"/>
    <w:rsid w:val="004C79E3"/>
    <w:rsid w:val="004D3945"/>
    <w:rsid w:val="004D78F5"/>
    <w:rsid w:val="004E3BBE"/>
    <w:rsid w:val="004E4F60"/>
    <w:rsid w:val="00501B35"/>
    <w:rsid w:val="00504E8C"/>
    <w:rsid w:val="005076DF"/>
    <w:rsid w:val="00522666"/>
    <w:rsid w:val="005346AE"/>
    <w:rsid w:val="00554A48"/>
    <w:rsid w:val="005618DD"/>
    <w:rsid w:val="00565866"/>
    <w:rsid w:val="00575AFC"/>
    <w:rsid w:val="00582B50"/>
    <w:rsid w:val="005B0029"/>
    <w:rsid w:val="005B61D3"/>
    <w:rsid w:val="005C7ECD"/>
    <w:rsid w:val="005D53C4"/>
    <w:rsid w:val="005E159B"/>
    <w:rsid w:val="00611A8F"/>
    <w:rsid w:val="006433FC"/>
    <w:rsid w:val="0065069D"/>
    <w:rsid w:val="00650E6A"/>
    <w:rsid w:val="006573AF"/>
    <w:rsid w:val="00663498"/>
    <w:rsid w:val="00666D8F"/>
    <w:rsid w:val="006703B1"/>
    <w:rsid w:val="00673F61"/>
    <w:rsid w:val="006747F1"/>
    <w:rsid w:val="006749C4"/>
    <w:rsid w:val="00675577"/>
    <w:rsid w:val="00676F27"/>
    <w:rsid w:val="00680072"/>
    <w:rsid w:val="00692C38"/>
    <w:rsid w:val="00694218"/>
    <w:rsid w:val="006A14FC"/>
    <w:rsid w:val="006C0ECC"/>
    <w:rsid w:val="006C1DDD"/>
    <w:rsid w:val="006D214A"/>
    <w:rsid w:val="006E1B96"/>
    <w:rsid w:val="006E31E2"/>
    <w:rsid w:val="006F2E6F"/>
    <w:rsid w:val="006F3F0D"/>
    <w:rsid w:val="006F51DF"/>
    <w:rsid w:val="006F6883"/>
    <w:rsid w:val="00700B3C"/>
    <w:rsid w:val="00703BFB"/>
    <w:rsid w:val="007336C6"/>
    <w:rsid w:val="00735926"/>
    <w:rsid w:val="00737112"/>
    <w:rsid w:val="00751420"/>
    <w:rsid w:val="00753A4B"/>
    <w:rsid w:val="00755AF3"/>
    <w:rsid w:val="00757A2E"/>
    <w:rsid w:val="007652DC"/>
    <w:rsid w:val="00774DED"/>
    <w:rsid w:val="0079635C"/>
    <w:rsid w:val="007A1ECE"/>
    <w:rsid w:val="007A5AF7"/>
    <w:rsid w:val="007C315A"/>
    <w:rsid w:val="007C50AD"/>
    <w:rsid w:val="007F04A1"/>
    <w:rsid w:val="007F5265"/>
    <w:rsid w:val="00802174"/>
    <w:rsid w:val="00811988"/>
    <w:rsid w:val="008200B7"/>
    <w:rsid w:val="00823C48"/>
    <w:rsid w:val="00823E53"/>
    <w:rsid w:val="008300E3"/>
    <w:rsid w:val="00840A39"/>
    <w:rsid w:val="00840AAF"/>
    <w:rsid w:val="008465E9"/>
    <w:rsid w:val="0085610B"/>
    <w:rsid w:val="00856C51"/>
    <w:rsid w:val="008710A8"/>
    <w:rsid w:val="0087159D"/>
    <w:rsid w:val="00871EEE"/>
    <w:rsid w:val="00874569"/>
    <w:rsid w:val="00897F98"/>
    <w:rsid w:val="008A3B24"/>
    <w:rsid w:val="008B6C20"/>
    <w:rsid w:val="008C005C"/>
    <w:rsid w:val="008C33D9"/>
    <w:rsid w:val="008D7393"/>
    <w:rsid w:val="008F126D"/>
    <w:rsid w:val="008F156A"/>
    <w:rsid w:val="008F67C8"/>
    <w:rsid w:val="00924FAA"/>
    <w:rsid w:val="00934352"/>
    <w:rsid w:val="0094149C"/>
    <w:rsid w:val="00951DD7"/>
    <w:rsid w:val="009624F1"/>
    <w:rsid w:val="00967547"/>
    <w:rsid w:val="00990CC7"/>
    <w:rsid w:val="009A70B6"/>
    <w:rsid w:val="009B173D"/>
    <w:rsid w:val="009B379E"/>
    <w:rsid w:val="009B6107"/>
    <w:rsid w:val="009C1E75"/>
    <w:rsid w:val="009C6914"/>
    <w:rsid w:val="009D790E"/>
    <w:rsid w:val="009F22D9"/>
    <w:rsid w:val="00A27CF6"/>
    <w:rsid w:val="00A406EA"/>
    <w:rsid w:val="00A52B6E"/>
    <w:rsid w:val="00A53772"/>
    <w:rsid w:val="00A736CF"/>
    <w:rsid w:val="00A94F36"/>
    <w:rsid w:val="00AA32BA"/>
    <w:rsid w:val="00AA56E0"/>
    <w:rsid w:val="00AA7DF1"/>
    <w:rsid w:val="00AB280E"/>
    <w:rsid w:val="00AC0044"/>
    <w:rsid w:val="00AC728A"/>
    <w:rsid w:val="00AD162F"/>
    <w:rsid w:val="00AE1099"/>
    <w:rsid w:val="00AE2E0C"/>
    <w:rsid w:val="00AE4DF3"/>
    <w:rsid w:val="00AE5063"/>
    <w:rsid w:val="00B02E02"/>
    <w:rsid w:val="00B035BD"/>
    <w:rsid w:val="00B1459C"/>
    <w:rsid w:val="00B209E0"/>
    <w:rsid w:val="00B21AD0"/>
    <w:rsid w:val="00B24FBC"/>
    <w:rsid w:val="00B32A83"/>
    <w:rsid w:val="00B33C41"/>
    <w:rsid w:val="00B3583C"/>
    <w:rsid w:val="00B52579"/>
    <w:rsid w:val="00B62EAE"/>
    <w:rsid w:val="00B81FB6"/>
    <w:rsid w:val="00B86FBA"/>
    <w:rsid w:val="00B9058B"/>
    <w:rsid w:val="00B97DBC"/>
    <w:rsid w:val="00BA4838"/>
    <w:rsid w:val="00BB2DA0"/>
    <w:rsid w:val="00BD0137"/>
    <w:rsid w:val="00BE71D9"/>
    <w:rsid w:val="00BF0036"/>
    <w:rsid w:val="00C035AE"/>
    <w:rsid w:val="00C10592"/>
    <w:rsid w:val="00C110F9"/>
    <w:rsid w:val="00C17089"/>
    <w:rsid w:val="00C33427"/>
    <w:rsid w:val="00C46277"/>
    <w:rsid w:val="00C6168D"/>
    <w:rsid w:val="00C661C1"/>
    <w:rsid w:val="00C735E4"/>
    <w:rsid w:val="00C736A1"/>
    <w:rsid w:val="00CA45BE"/>
    <w:rsid w:val="00CA6095"/>
    <w:rsid w:val="00CA674E"/>
    <w:rsid w:val="00CB13E7"/>
    <w:rsid w:val="00CF096E"/>
    <w:rsid w:val="00D0287C"/>
    <w:rsid w:val="00D1601C"/>
    <w:rsid w:val="00D235EB"/>
    <w:rsid w:val="00D263F7"/>
    <w:rsid w:val="00D367A9"/>
    <w:rsid w:val="00D442CF"/>
    <w:rsid w:val="00D529AA"/>
    <w:rsid w:val="00D54F5A"/>
    <w:rsid w:val="00D57E45"/>
    <w:rsid w:val="00D62429"/>
    <w:rsid w:val="00D767B2"/>
    <w:rsid w:val="00D8073B"/>
    <w:rsid w:val="00D832E1"/>
    <w:rsid w:val="00D961D0"/>
    <w:rsid w:val="00DA7928"/>
    <w:rsid w:val="00DB160E"/>
    <w:rsid w:val="00DB1650"/>
    <w:rsid w:val="00DB7B63"/>
    <w:rsid w:val="00DC67A4"/>
    <w:rsid w:val="00DE1FA7"/>
    <w:rsid w:val="00DE358B"/>
    <w:rsid w:val="00DF3D3D"/>
    <w:rsid w:val="00E04146"/>
    <w:rsid w:val="00E066C4"/>
    <w:rsid w:val="00E118C8"/>
    <w:rsid w:val="00E25BE8"/>
    <w:rsid w:val="00E27524"/>
    <w:rsid w:val="00E351E0"/>
    <w:rsid w:val="00E367C2"/>
    <w:rsid w:val="00E57F34"/>
    <w:rsid w:val="00E618D8"/>
    <w:rsid w:val="00E67D05"/>
    <w:rsid w:val="00E7015F"/>
    <w:rsid w:val="00E9417D"/>
    <w:rsid w:val="00E979B9"/>
    <w:rsid w:val="00EA6122"/>
    <w:rsid w:val="00EC1DBC"/>
    <w:rsid w:val="00EC2D25"/>
    <w:rsid w:val="00EE39CF"/>
    <w:rsid w:val="00EE3C10"/>
    <w:rsid w:val="00EE4E75"/>
    <w:rsid w:val="00EE6ECA"/>
    <w:rsid w:val="00EF2BB7"/>
    <w:rsid w:val="00F05D36"/>
    <w:rsid w:val="00F135EF"/>
    <w:rsid w:val="00F13646"/>
    <w:rsid w:val="00F1648C"/>
    <w:rsid w:val="00F2501F"/>
    <w:rsid w:val="00F31C6B"/>
    <w:rsid w:val="00F335CA"/>
    <w:rsid w:val="00F37FC3"/>
    <w:rsid w:val="00F432D6"/>
    <w:rsid w:val="00F437AC"/>
    <w:rsid w:val="00F557A9"/>
    <w:rsid w:val="00FA02FE"/>
    <w:rsid w:val="00FE005D"/>
    <w:rsid w:val="00FE0E55"/>
    <w:rsid w:val="00FF139B"/>
    <w:rsid w:val="00FF23C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232BD"/>
  <w15:chartTrackingRefBased/>
  <w15:docId w15:val="{9BA215C9-6F37-45BC-A88E-5A73CA08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6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6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66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66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6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6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6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6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6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6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6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66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66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6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6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6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6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6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6E7"/>
    <w:pPr>
      <w:spacing w:before="160"/>
      <w:jc w:val="center"/>
    </w:pPr>
    <w:rPr>
      <w:i/>
      <w:iCs/>
      <w:color w:val="404040" w:themeColor="text1" w:themeTint="BF"/>
    </w:rPr>
  </w:style>
  <w:style w:type="character" w:customStyle="1" w:styleId="QuoteChar">
    <w:name w:val="Quote Char"/>
    <w:basedOn w:val="DefaultParagraphFont"/>
    <w:link w:val="Quote"/>
    <w:uiPriority w:val="29"/>
    <w:rsid w:val="001F66E7"/>
    <w:rPr>
      <w:i/>
      <w:iCs/>
      <w:color w:val="404040" w:themeColor="text1" w:themeTint="BF"/>
    </w:rPr>
  </w:style>
  <w:style w:type="paragraph" w:styleId="ListParagraph">
    <w:name w:val="List Paragraph"/>
    <w:basedOn w:val="Normal"/>
    <w:uiPriority w:val="34"/>
    <w:qFormat/>
    <w:rsid w:val="001F66E7"/>
    <w:pPr>
      <w:ind w:left="720"/>
      <w:contextualSpacing/>
    </w:pPr>
  </w:style>
  <w:style w:type="character" w:styleId="IntenseEmphasis">
    <w:name w:val="Intense Emphasis"/>
    <w:basedOn w:val="DefaultParagraphFont"/>
    <w:uiPriority w:val="21"/>
    <w:qFormat/>
    <w:rsid w:val="001F66E7"/>
    <w:rPr>
      <w:i/>
      <w:iCs/>
      <w:color w:val="2F5496" w:themeColor="accent1" w:themeShade="BF"/>
    </w:rPr>
  </w:style>
  <w:style w:type="paragraph" w:styleId="IntenseQuote">
    <w:name w:val="Intense Quote"/>
    <w:basedOn w:val="Normal"/>
    <w:next w:val="Normal"/>
    <w:link w:val="IntenseQuoteChar"/>
    <w:uiPriority w:val="30"/>
    <w:qFormat/>
    <w:rsid w:val="001F6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6E7"/>
    <w:rPr>
      <w:i/>
      <w:iCs/>
      <w:color w:val="2F5496" w:themeColor="accent1" w:themeShade="BF"/>
    </w:rPr>
  </w:style>
  <w:style w:type="character" w:styleId="IntenseReference">
    <w:name w:val="Intense Reference"/>
    <w:basedOn w:val="DefaultParagraphFont"/>
    <w:uiPriority w:val="32"/>
    <w:qFormat/>
    <w:rsid w:val="001F66E7"/>
    <w:rPr>
      <w:b/>
      <w:bCs/>
      <w:smallCaps/>
      <w:color w:val="2F5496" w:themeColor="accent1" w:themeShade="BF"/>
      <w:spacing w:val="5"/>
    </w:rPr>
  </w:style>
  <w:style w:type="paragraph" w:styleId="NoSpacing">
    <w:name w:val="No Spacing"/>
    <w:uiPriority w:val="1"/>
    <w:qFormat/>
    <w:rsid w:val="00B33C41"/>
    <w:pPr>
      <w:spacing w:after="0" w:line="240" w:lineRule="auto"/>
    </w:pPr>
  </w:style>
  <w:style w:type="table" w:styleId="TableGrid">
    <w:name w:val="Table Grid"/>
    <w:basedOn w:val="TableNormal"/>
    <w:uiPriority w:val="39"/>
    <w:rsid w:val="00C7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0D20"/>
    <w:rPr>
      <w:color w:val="0563C1" w:themeColor="hyperlink"/>
      <w:u w:val="single"/>
    </w:rPr>
  </w:style>
  <w:style w:type="character" w:styleId="UnresolvedMention">
    <w:name w:val="Unresolved Mention"/>
    <w:basedOn w:val="DefaultParagraphFont"/>
    <w:uiPriority w:val="99"/>
    <w:semiHidden/>
    <w:unhideWhenUsed/>
    <w:rsid w:val="00000D20"/>
    <w:rPr>
      <w:color w:val="605E5C"/>
      <w:shd w:val="clear" w:color="auto" w:fill="E1DFDD"/>
    </w:rPr>
  </w:style>
  <w:style w:type="paragraph" w:styleId="Revision">
    <w:name w:val="Revision"/>
    <w:hidden/>
    <w:uiPriority w:val="99"/>
    <w:semiHidden/>
    <w:rsid w:val="00DB1650"/>
    <w:pPr>
      <w:spacing w:after="0" w:line="240" w:lineRule="auto"/>
    </w:pPr>
  </w:style>
  <w:style w:type="character" w:styleId="CommentReference">
    <w:name w:val="annotation reference"/>
    <w:basedOn w:val="DefaultParagraphFont"/>
    <w:uiPriority w:val="99"/>
    <w:semiHidden/>
    <w:unhideWhenUsed/>
    <w:rsid w:val="003C5F6E"/>
    <w:rPr>
      <w:sz w:val="16"/>
      <w:szCs w:val="16"/>
    </w:rPr>
  </w:style>
  <w:style w:type="paragraph" w:styleId="CommentText">
    <w:name w:val="annotation text"/>
    <w:basedOn w:val="Normal"/>
    <w:link w:val="CommentTextChar"/>
    <w:uiPriority w:val="99"/>
    <w:semiHidden/>
    <w:unhideWhenUsed/>
    <w:rsid w:val="003C5F6E"/>
    <w:pPr>
      <w:spacing w:line="240" w:lineRule="auto"/>
    </w:pPr>
    <w:rPr>
      <w:sz w:val="20"/>
      <w:szCs w:val="20"/>
    </w:rPr>
  </w:style>
  <w:style w:type="character" w:customStyle="1" w:styleId="CommentTextChar">
    <w:name w:val="Comment Text Char"/>
    <w:basedOn w:val="DefaultParagraphFont"/>
    <w:link w:val="CommentText"/>
    <w:uiPriority w:val="99"/>
    <w:semiHidden/>
    <w:rsid w:val="003C5F6E"/>
    <w:rPr>
      <w:sz w:val="20"/>
      <w:szCs w:val="20"/>
    </w:rPr>
  </w:style>
  <w:style w:type="paragraph" w:styleId="CommentSubject">
    <w:name w:val="annotation subject"/>
    <w:basedOn w:val="CommentText"/>
    <w:next w:val="CommentText"/>
    <w:link w:val="CommentSubjectChar"/>
    <w:uiPriority w:val="99"/>
    <w:semiHidden/>
    <w:unhideWhenUsed/>
    <w:rsid w:val="003C5F6E"/>
    <w:rPr>
      <w:b/>
      <w:bCs/>
    </w:rPr>
  </w:style>
  <w:style w:type="character" w:customStyle="1" w:styleId="CommentSubjectChar">
    <w:name w:val="Comment Subject Char"/>
    <w:basedOn w:val="CommentTextChar"/>
    <w:link w:val="CommentSubject"/>
    <w:uiPriority w:val="99"/>
    <w:semiHidden/>
    <w:rsid w:val="003C5F6E"/>
    <w:rPr>
      <w:b/>
      <w:bCs/>
      <w:sz w:val="20"/>
      <w:szCs w:val="20"/>
    </w:rPr>
  </w:style>
  <w:style w:type="paragraph" w:customStyle="1" w:styleId="tv213">
    <w:name w:val="tv213"/>
    <w:basedOn w:val="Normal"/>
    <w:rsid w:val="003C5F6E"/>
    <w:pPr>
      <w:spacing w:before="100" w:beforeAutospacing="1" w:after="100" w:afterAutospacing="1" w:line="240" w:lineRule="auto"/>
    </w:pPr>
    <w:rPr>
      <w:rFonts w:eastAsia="Times New Roman" w:cs="Times New Roman"/>
      <w:kern w:val="0"/>
      <w:szCs w:val="24"/>
      <w:lang w:val="en-US"/>
      <w14:ligatures w14:val="none"/>
    </w:rPr>
  </w:style>
  <w:style w:type="character" w:customStyle="1" w:styleId="fontsize2">
    <w:name w:val="fontsize2"/>
    <w:basedOn w:val="DefaultParagraphFont"/>
    <w:rsid w:val="003C5F6E"/>
  </w:style>
  <w:style w:type="paragraph" w:styleId="Header">
    <w:name w:val="header"/>
    <w:basedOn w:val="Normal"/>
    <w:link w:val="HeaderChar"/>
    <w:uiPriority w:val="99"/>
    <w:unhideWhenUsed/>
    <w:rsid w:val="0043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5DB"/>
  </w:style>
  <w:style w:type="paragraph" w:styleId="Footer">
    <w:name w:val="footer"/>
    <w:basedOn w:val="Normal"/>
    <w:link w:val="FooterChar"/>
    <w:uiPriority w:val="99"/>
    <w:unhideWhenUsed/>
    <w:rsid w:val="0043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5DB"/>
  </w:style>
  <w:style w:type="character" w:styleId="FollowedHyperlink">
    <w:name w:val="FollowedHyperlink"/>
    <w:basedOn w:val="DefaultParagraphFont"/>
    <w:uiPriority w:val="99"/>
    <w:semiHidden/>
    <w:unhideWhenUsed/>
    <w:rsid w:val="00390751"/>
    <w:rPr>
      <w:color w:val="954F72" w:themeColor="followedHyperlink"/>
      <w:u w:val="single"/>
    </w:rPr>
  </w:style>
  <w:style w:type="character" w:customStyle="1" w:styleId="dictsensenumber">
    <w:name w:val="dict_sensenumber"/>
    <w:basedOn w:val="DefaultParagraphFont"/>
    <w:rsid w:val="00823E53"/>
  </w:style>
  <w:style w:type="character" w:customStyle="1" w:styleId="dictgloss">
    <w:name w:val="dict_gloss"/>
    <w:basedOn w:val="DefaultParagraphFont"/>
    <w:rsid w:val="00823E53"/>
  </w:style>
  <w:style w:type="paragraph" w:styleId="BodyText2">
    <w:name w:val="Body Text 2"/>
    <w:basedOn w:val="Normal"/>
    <w:link w:val="BodyText2Char"/>
    <w:rsid w:val="00BE71D9"/>
    <w:pPr>
      <w:spacing w:after="0" w:line="240" w:lineRule="auto"/>
      <w:jc w:val="right"/>
    </w:pPr>
    <w:rPr>
      <w:rFonts w:ascii="Garamond" w:eastAsia="Times New Roman" w:hAnsi="Garamond" w:cs="Times New Roman"/>
      <w:kern w:val="0"/>
      <w:sz w:val="28"/>
      <w:szCs w:val="28"/>
      <w14:ligatures w14:val="none"/>
    </w:rPr>
  </w:style>
  <w:style w:type="character" w:customStyle="1" w:styleId="BodyText2Char">
    <w:name w:val="Body Text 2 Char"/>
    <w:basedOn w:val="DefaultParagraphFont"/>
    <w:link w:val="BodyText2"/>
    <w:rsid w:val="00BE71D9"/>
    <w:rPr>
      <w:rFonts w:ascii="Garamond" w:eastAsia="Times New Roman" w:hAnsi="Garamond"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HTML/?uri=CELEX:62016CJ0064" TargetMode="External"/><Relationship Id="rId13" Type="http://schemas.openxmlformats.org/officeDocument/2006/relationships/hyperlink" Target="https://eur-lex.europa.eu/legal-content/LV/TXT/PDF/?uri=CELEX:62023CJ0762" TargetMode="External"/><Relationship Id="rId18" Type="http://schemas.openxmlformats.org/officeDocument/2006/relationships/hyperlink" Target="https://www.tieslietupadome.lv/lv/media/6408/download?attachment" TargetMode="External"/><Relationship Id="rId3" Type="http://schemas.openxmlformats.org/officeDocument/2006/relationships/styles" Target="styles.xml"/><Relationship Id="rId21" Type="http://schemas.openxmlformats.org/officeDocument/2006/relationships/hyperlink" Target="https://www.satv.tiesa.gov.lv/web/viewer.html?file=/wp-content/uploads/2017/11/2017-28-0306_Spriedums.pdf" TargetMode="External"/><Relationship Id="rId7" Type="http://schemas.openxmlformats.org/officeDocument/2006/relationships/endnotes" Target="endnotes.xml"/><Relationship Id="rId12" Type="http://schemas.openxmlformats.org/officeDocument/2006/relationships/hyperlink" Target="https://eur-lex.europa.eu/legal-content/LV/TXT/PDF/?uri=ecli:ECLI:EU:C:2018:117" TargetMode="External"/><Relationship Id="rId17" Type="http://schemas.openxmlformats.org/officeDocument/2006/relationships/hyperlink" Target="https://www.tieslietupadome.lv/lv/media/6453/download?attachment" TargetMode="External"/><Relationship Id="rId2" Type="http://schemas.openxmlformats.org/officeDocument/2006/relationships/numbering" Target="numbering.xml"/><Relationship Id="rId16" Type="http://schemas.openxmlformats.org/officeDocument/2006/relationships/hyperlink" Target="https://www.tieslietupadome.lv/lv/media/6453/download?attachment" TargetMode="External"/><Relationship Id="rId20" Type="http://schemas.openxmlformats.org/officeDocument/2006/relationships/hyperlink" Target="https://likumi.lv/ta/id/3466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V/TXT/?uri=CELEX:62019CJ008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LV/TXT/?uri=CELEX:62019CJ0083" TargetMode="External"/><Relationship Id="rId23" Type="http://schemas.openxmlformats.org/officeDocument/2006/relationships/fontTable" Target="fontTable.xml"/><Relationship Id="rId10" Type="http://schemas.openxmlformats.org/officeDocument/2006/relationships/hyperlink" Target="https://eur-lex.europa.eu/legal-content/LV/TXT/PDF/?uri=CELEX:62019CJ0791" TargetMode="External"/><Relationship Id="rId19" Type="http://schemas.openxmlformats.org/officeDocument/2006/relationships/hyperlink" Target="https://www.tieslietupadome.lv/lv/media/6408/download?attachment" TargetMode="External"/><Relationship Id="rId4" Type="http://schemas.openxmlformats.org/officeDocument/2006/relationships/settings" Target="settings.xml"/><Relationship Id="rId9" Type="http://schemas.openxmlformats.org/officeDocument/2006/relationships/hyperlink" Target="https://eur-lex.europa.eu/legal-content/LV/TXT/HTML/?uri=CELEX:62020CJ0615" TargetMode="External"/><Relationship Id="rId14" Type="http://schemas.openxmlformats.org/officeDocument/2006/relationships/hyperlink" Target="https://eur-lex.europa.eu/legal-content/LV/TXT/?uri=celex%3A12016ME%2FTX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4FA4-CF32-41D9-BFC2-65E430CA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5185</Words>
  <Characters>29556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Anita Zikmane</cp:lastModifiedBy>
  <cp:revision>8</cp:revision>
  <dcterms:created xsi:type="dcterms:W3CDTF">2026-05-11T12:57:00Z</dcterms:created>
  <dcterms:modified xsi:type="dcterms:W3CDTF">2026-05-12T10:41:00Z</dcterms:modified>
</cp:coreProperties>
</file>