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B968A" w14:textId="77777777" w:rsidR="00592DD9" w:rsidRPr="00074EAB" w:rsidRDefault="00592DD9" w:rsidP="00B41EA7">
      <w:pPr>
        <w:spacing w:after="0"/>
        <w:jc w:val="center"/>
        <w:rPr>
          <w:rFonts w:cs="Arial"/>
          <w:b/>
          <w:szCs w:val="28"/>
          <w:u w:val="single"/>
          <w:lang w:val="en-GB"/>
        </w:rPr>
      </w:pPr>
      <w:r>
        <w:rPr>
          <w:rFonts w:cs="Arial"/>
          <w:b/>
          <w:bCs/>
          <w:szCs w:val="28"/>
          <w:u w:val="single"/>
          <w:lang w:val="en-GB"/>
        </w:rPr>
        <w:t>Vortrag für Riga</w:t>
      </w:r>
    </w:p>
    <w:p w14:paraId="0A1B14F6" w14:textId="449397D2" w:rsidR="00592DD9" w:rsidRPr="00D12B01" w:rsidRDefault="00C116C4" w:rsidP="00B41EA7">
      <w:pPr>
        <w:spacing w:after="0"/>
        <w:rPr>
          <w:rFonts w:cs="Arial"/>
          <w:sz w:val="16"/>
          <w:szCs w:val="16"/>
          <w:lang w:val="en-GB"/>
        </w:rPr>
      </w:pPr>
      <w:r w:rsidRPr="00D12B01">
        <w:rPr>
          <w:rFonts w:cs="Arial"/>
          <w:sz w:val="16"/>
          <w:szCs w:val="16"/>
          <w:lang w:val="en-GB"/>
        </w:rPr>
        <w:t xml:space="preserve">Supervision of national measures </w:t>
      </w:r>
      <w:r w:rsidR="00310D92" w:rsidRPr="00D12B01">
        <w:rPr>
          <w:rFonts w:cs="Arial"/>
          <w:sz w:val="16"/>
          <w:szCs w:val="16"/>
          <w:lang w:val="en-GB"/>
        </w:rPr>
        <w:t>for the</w:t>
      </w:r>
      <w:r w:rsidRPr="00D12B01">
        <w:rPr>
          <w:rFonts w:cs="Arial"/>
          <w:sz w:val="16"/>
          <w:szCs w:val="16"/>
          <w:lang w:val="en-GB"/>
        </w:rPr>
        <w:t xml:space="preserve"> execution of judgments of </w:t>
      </w:r>
      <w:r w:rsidR="00310D92" w:rsidRPr="00D12B01">
        <w:rPr>
          <w:rFonts w:cs="Arial"/>
          <w:sz w:val="16"/>
          <w:szCs w:val="16"/>
          <w:lang w:val="en-GB"/>
        </w:rPr>
        <w:t xml:space="preserve">the </w:t>
      </w:r>
      <w:r w:rsidR="00F76499" w:rsidRPr="00D12B01">
        <w:rPr>
          <w:rFonts w:cs="Arial"/>
          <w:sz w:val="16"/>
          <w:szCs w:val="16"/>
          <w:lang w:val="en-GB"/>
        </w:rPr>
        <w:t>Court</w:t>
      </w:r>
      <w:r w:rsidRPr="00D12B01">
        <w:rPr>
          <w:rFonts w:cs="Arial"/>
          <w:sz w:val="16"/>
          <w:szCs w:val="16"/>
          <w:lang w:val="en-GB"/>
        </w:rPr>
        <w:t xml:space="preserve"> and separation of powers</w:t>
      </w:r>
      <w:r w:rsidR="00310D92" w:rsidRPr="00D12B01">
        <w:rPr>
          <w:rFonts w:cs="Arial"/>
          <w:sz w:val="16"/>
          <w:szCs w:val="16"/>
          <w:lang w:val="en-GB"/>
        </w:rPr>
        <w:t xml:space="preserve">: </w:t>
      </w:r>
      <w:r w:rsidRPr="00D12B01">
        <w:rPr>
          <w:rFonts w:cs="Arial"/>
          <w:sz w:val="16"/>
          <w:szCs w:val="16"/>
          <w:lang w:val="en-GB"/>
        </w:rPr>
        <w:t>national identity as an obstacle to execution</w:t>
      </w:r>
    </w:p>
    <w:p w14:paraId="0AAEC7E6" w14:textId="77777777" w:rsidR="00C116C4" w:rsidRPr="00D12B01" w:rsidRDefault="00C116C4" w:rsidP="00B41EA7">
      <w:pPr>
        <w:spacing w:after="0"/>
        <w:rPr>
          <w:rFonts w:cs="Arial"/>
          <w:sz w:val="16"/>
          <w:szCs w:val="16"/>
          <w:lang w:val="en-GB"/>
        </w:rPr>
      </w:pPr>
    </w:p>
    <w:p w14:paraId="6E377B59" w14:textId="77777777" w:rsidR="00592DD9" w:rsidRDefault="00592DD9" w:rsidP="00F76499">
      <w:pPr>
        <w:pStyle w:val="StandardmitZhlung"/>
        <w:numPr>
          <w:ilvl w:val="0"/>
          <w:numId w:val="0"/>
        </w:numPr>
        <w:rPr>
          <w:lang w:val="en-GB"/>
        </w:rPr>
      </w:pPr>
      <w:r>
        <w:rPr>
          <w:lang w:val="en-GB"/>
        </w:rPr>
        <w:t>President of the Constitutional Court of Latvia</w:t>
      </w:r>
      <w:r w:rsidR="00A372A3">
        <w:rPr>
          <w:lang w:val="en-GB"/>
        </w:rPr>
        <w:t>,</w:t>
      </w:r>
      <w:r>
        <w:rPr>
          <w:lang w:val="en-GB"/>
        </w:rPr>
        <w:t xml:space="preserve"> ladies and gentlemen</w:t>
      </w:r>
    </w:p>
    <w:p w14:paraId="01139FC9" w14:textId="77777777" w:rsidR="00592DD9" w:rsidRPr="00B41EA7" w:rsidRDefault="00592DD9" w:rsidP="00B86ED9">
      <w:pPr>
        <w:pStyle w:val="berschrift1"/>
      </w:pPr>
      <w:r>
        <w:rPr>
          <w:lang w:val="en-GB"/>
        </w:rPr>
        <w:t> </w:t>
      </w:r>
      <w:bookmarkStart w:id="0" w:name="_Toc145665974"/>
      <w:r>
        <w:rPr>
          <w:lang w:val="en-GB"/>
        </w:rPr>
        <w:t>Introduction</w:t>
      </w:r>
      <w:bookmarkEnd w:id="0"/>
    </w:p>
    <w:p w14:paraId="68E59DCF" w14:textId="480DB977" w:rsidR="0045236D" w:rsidRPr="00074EAB" w:rsidRDefault="0045236D" w:rsidP="00F76499">
      <w:pPr>
        <w:pStyle w:val="StandardmitZhlung"/>
        <w:numPr>
          <w:ilvl w:val="0"/>
          <w:numId w:val="0"/>
        </w:numPr>
        <w:rPr>
          <w:lang w:val="en-GB"/>
        </w:rPr>
      </w:pPr>
      <w:r>
        <w:rPr>
          <w:lang w:val="en-GB"/>
        </w:rPr>
        <w:t xml:space="preserve">It is an honour to be here again today. I </w:t>
      </w:r>
      <w:r w:rsidR="004738A1">
        <w:rPr>
          <w:lang w:val="en-GB"/>
        </w:rPr>
        <w:t xml:space="preserve">vividly </w:t>
      </w:r>
      <w:r>
        <w:rPr>
          <w:lang w:val="en-GB"/>
        </w:rPr>
        <w:t xml:space="preserve">remember speaking to you </w:t>
      </w:r>
      <w:r w:rsidR="008F3E6A">
        <w:rPr>
          <w:lang w:val="en-GB"/>
        </w:rPr>
        <w:t xml:space="preserve">last year </w:t>
      </w:r>
      <w:r>
        <w:rPr>
          <w:lang w:val="en-GB"/>
        </w:rPr>
        <w:t>on the occasion of the anniversary of the Constitution</w:t>
      </w:r>
      <w:r w:rsidR="00BB4FA6">
        <w:rPr>
          <w:lang w:val="en-GB"/>
        </w:rPr>
        <w:t xml:space="preserve"> and the Constitu</w:t>
      </w:r>
      <w:r w:rsidR="001F7834">
        <w:rPr>
          <w:lang w:val="en-GB"/>
        </w:rPr>
        <w:t>t</w:t>
      </w:r>
      <w:r w:rsidR="00BB4FA6">
        <w:rPr>
          <w:lang w:val="en-GB"/>
        </w:rPr>
        <w:t>ional</w:t>
      </w:r>
      <w:r w:rsidR="009D28E1">
        <w:rPr>
          <w:lang w:val="en-GB"/>
        </w:rPr>
        <w:t xml:space="preserve"> Court</w:t>
      </w:r>
      <w:r>
        <w:rPr>
          <w:lang w:val="en-GB"/>
        </w:rPr>
        <w:t xml:space="preserve">. I </w:t>
      </w:r>
      <w:r w:rsidR="009D28E1">
        <w:rPr>
          <w:lang w:val="en-GB"/>
        </w:rPr>
        <w:t xml:space="preserve">had </w:t>
      </w:r>
      <w:r>
        <w:rPr>
          <w:lang w:val="en-GB"/>
        </w:rPr>
        <w:t xml:space="preserve">mentioned how an Irish friend of mine said that my English is so funny, I could make a lot of money </w:t>
      </w:r>
      <w:r w:rsidR="009D28E1">
        <w:rPr>
          <w:lang w:val="en-GB"/>
        </w:rPr>
        <w:t xml:space="preserve">appearing </w:t>
      </w:r>
      <w:r>
        <w:rPr>
          <w:lang w:val="en-GB"/>
        </w:rPr>
        <w:t xml:space="preserve">on television, </w:t>
      </w:r>
      <w:r w:rsidR="009D28E1">
        <w:rPr>
          <w:lang w:val="en-GB"/>
        </w:rPr>
        <w:t>so long as</w:t>
      </w:r>
      <w:r>
        <w:rPr>
          <w:lang w:val="en-GB"/>
        </w:rPr>
        <w:t xml:space="preserve"> I did not improve my English skills. As I might need that money in the future after all, I have </w:t>
      </w:r>
      <w:r w:rsidR="00861C93">
        <w:rPr>
          <w:lang w:val="en-GB"/>
        </w:rPr>
        <w:t xml:space="preserve">done my best </w:t>
      </w:r>
      <w:r>
        <w:rPr>
          <w:lang w:val="en-GB"/>
        </w:rPr>
        <w:t>to comply with this condition. Therefore, I must once again ask</w:t>
      </w:r>
      <w:r w:rsidR="00861C93">
        <w:rPr>
          <w:lang w:val="en-GB"/>
        </w:rPr>
        <w:t xml:space="preserve"> for </w:t>
      </w:r>
      <w:r>
        <w:rPr>
          <w:lang w:val="en-GB"/>
        </w:rPr>
        <w:t>you</w:t>
      </w:r>
      <w:r w:rsidR="00861C93">
        <w:rPr>
          <w:lang w:val="en-GB"/>
        </w:rPr>
        <w:t>r</w:t>
      </w:r>
      <w:r>
        <w:rPr>
          <w:lang w:val="en-GB"/>
        </w:rPr>
        <w:t xml:space="preserve"> patience with my English skills.</w:t>
      </w:r>
    </w:p>
    <w:p w14:paraId="4BE40C74" w14:textId="4B52F699" w:rsidR="0045236D" w:rsidRPr="00074EAB" w:rsidRDefault="0045236D" w:rsidP="00D12B01">
      <w:pPr>
        <w:spacing w:after="0"/>
        <w:rPr>
          <w:lang w:val="en-GB"/>
        </w:rPr>
      </w:pPr>
      <w:r>
        <w:rPr>
          <w:lang w:val="en-GB"/>
        </w:rPr>
        <w:t xml:space="preserve">Last year I was shocked by the big countdown timer showing the remaining speaking time. This year I have come prepared. I have ten minutes to elaborate on the topic of </w:t>
      </w:r>
      <w:r w:rsidR="006D1C75">
        <w:rPr>
          <w:lang w:val="en-GB"/>
        </w:rPr>
        <w:t>‘</w:t>
      </w:r>
      <w:r w:rsidR="00D12B01">
        <w:rPr>
          <w:rFonts w:cs="Arial"/>
          <w:szCs w:val="28"/>
          <w:lang w:val="en-GB"/>
        </w:rPr>
        <w:t>Supervision of national measures for the execution of judgments of the Court and separation of powers: national identity as an obstacle to execution</w:t>
      </w:r>
      <w:r w:rsidR="006D1C75">
        <w:rPr>
          <w:rFonts w:cs="Arial"/>
          <w:szCs w:val="28"/>
          <w:lang w:val="en-GB"/>
        </w:rPr>
        <w:t>’</w:t>
      </w:r>
      <w:r>
        <w:rPr>
          <w:lang w:val="en-GB"/>
        </w:rPr>
        <w:t xml:space="preserve">, </w:t>
      </w:r>
      <w:r w:rsidR="00861C93">
        <w:rPr>
          <w:lang w:val="en-GB"/>
        </w:rPr>
        <w:t xml:space="preserve">or, at this point, </w:t>
      </w:r>
      <w:r w:rsidR="0002259D">
        <w:rPr>
          <w:lang w:val="en-GB"/>
        </w:rPr>
        <w:t>9</w:t>
      </w:r>
      <w:r>
        <w:rPr>
          <w:lang w:val="en-GB"/>
        </w:rPr>
        <w:t xml:space="preserve"> minutes</w:t>
      </w:r>
      <w:r w:rsidR="002F626C">
        <w:rPr>
          <w:lang w:val="en-GB"/>
        </w:rPr>
        <w:t xml:space="preserve"> </w:t>
      </w:r>
      <w:r w:rsidR="00B67A3D">
        <w:rPr>
          <w:lang w:val="en-GB"/>
        </w:rPr>
        <w:t>an</w:t>
      </w:r>
      <w:r w:rsidR="00BF1CA6">
        <w:rPr>
          <w:lang w:val="en-GB"/>
        </w:rPr>
        <w:t>d</w:t>
      </w:r>
      <w:r w:rsidR="00B67A3D">
        <w:rPr>
          <w:lang w:val="en-GB"/>
        </w:rPr>
        <w:t xml:space="preserve"> 10</w:t>
      </w:r>
      <w:r w:rsidR="00B67A3D">
        <w:rPr>
          <w:lang w:val="en-GB"/>
        </w:rPr>
        <w:t xml:space="preserve"> seconds </w:t>
      </w:r>
      <w:r w:rsidR="002F626C">
        <w:rPr>
          <w:lang w:val="en-GB"/>
        </w:rPr>
        <w:t>to be exact.</w:t>
      </w:r>
    </w:p>
    <w:p w14:paraId="06BEA5EC" w14:textId="77777777" w:rsidR="00C116C4" w:rsidRDefault="00833565" w:rsidP="00C116C4">
      <w:pPr>
        <w:pStyle w:val="berschrift1"/>
      </w:pPr>
      <w:r>
        <w:rPr>
          <w:lang w:val="en-GB"/>
        </w:rPr>
        <w:t xml:space="preserve"> </w:t>
      </w:r>
      <w:bookmarkStart w:id="1" w:name="_Toc145665975"/>
      <w:r>
        <w:rPr>
          <w:lang w:val="en-GB"/>
        </w:rPr>
        <w:t>Foundations</w:t>
      </w:r>
      <w:bookmarkEnd w:id="1"/>
    </w:p>
    <w:p w14:paraId="5AEFF1CD" w14:textId="5678DB54" w:rsidR="00C116C4" w:rsidRPr="00074EAB" w:rsidRDefault="00D035B4" w:rsidP="00BF1CA6">
      <w:pPr>
        <w:pStyle w:val="berschrift2"/>
        <w:rPr>
          <w:lang w:val="en-GB"/>
        </w:rPr>
      </w:pPr>
      <w:r>
        <w:rPr>
          <w:lang w:val="en-GB"/>
        </w:rPr>
        <w:t xml:space="preserve"> </w:t>
      </w:r>
      <w:bookmarkStart w:id="2" w:name="_Toc145665976"/>
      <w:r>
        <w:rPr>
          <w:lang w:val="en-GB"/>
        </w:rPr>
        <w:t xml:space="preserve">The legal status of the </w:t>
      </w:r>
      <w:r w:rsidR="001F7834">
        <w:rPr>
          <w:lang w:val="en-GB"/>
        </w:rPr>
        <w:t>Convention</w:t>
      </w:r>
      <w:r>
        <w:rPr>
          <w:lang w:val="en-GB"/>
        </w:rPr>
        <w:t xml:space="preserve"> in Germany</w:t>
      </w:r>
      <w:bookmarkEnd w:id="2"/>
    </w:p>
    <w:p w14:paraId="421C1F9D" w14:textId="746D1A4D" w:rsidR="00833565" w:rsidRPr="00074EAB" w:rsidRDefault="00833565" w:rsidP="00691011">
      <w:pPr>
        <w:rPr>
          <w:rFonts w:cs="Arial"/>
          <w:lang w:val="en-GB"/>
        </w:rPr>
      </w:pPr>
      <w:r>
        <w:rPr>
          <w:lang w:val="en-GB"/>
        </w:rPr>
        <w:t>The European Convention of Human Rights (</w:t>
      </w:r>
      <w:r w:rsidR="00F76499">
        <w:rPr>
          <w:lang w:val="en-GB"/>
        </w:rPr>
        <w:t xml:space="preserve">from now on abbreviated </w:t>
      </w:r>
      <w:r w:rsidR="00B204F7">
        <w:rPr>
          <w:lang w:val="en-GB"/>
        </w:rPr>
        <w:t>‘Convention’</w:t>
      </w:r>
      <w:r>
        <w:rPr>
          <w:lang w:val="en-GB"/>
        </w:rPr>
        <w:t xml:space="preserve">) leaves it to the </w:t>
      </w:r>
      <w:r w:rsidR="0039083F">
        <w:rPr>
          <w:lang w:val="en-GB"/>
        </w:rPr>
        <w:t>c</w:t>
      </w:r>
      <w:r>
        <w:rPr>
          <w:lang w:val="en-GB"/>
        </w:rPr>
        <w:t xml:space="preserve">ontracting </w:t>
      </w:r>
      <w:r w:rsidR="0039083F">
        <w:rPr>
          <w:lang w:val="en-GB"/>
        </w:rPr>
        <w:t>p</w:t>
      </w:r>
      <w:r>
        <w:rPr>
          <w:lang w:val="en-GB"/>
        </w:rPr>
        <w:t xml:space="preserve">arties to decide in what way </w:t>
      </w:r>
      <w:r w:rsidR="0030369A">
        <w:rPr>
          <w:lang w:val="en-GB"/>
        </w:rPr>
        <w:t>they will</w:t>
      </w:r>
      <w:r>
        <w:rPr>
          <w:lang w:val="en-GB"/>
        </w:rPr>
        <w:t xml:space="preserve"> comply with their duty to observe the provisions of the Convention.</w:t>
      </w:r>
      <w:r>
        <w:rPr>
          <w:rStyle w:val="Endnotenzeichen"/>
          <w:rFonts w:cs="Arial"/>
          <w:lang w:val="en-GB"/>
        </w:rPr>
        <w:endnoteReference w:id="2"/>
      </w:r>
      <w:r>
        <w:rPr>
          <w:lang w:val="en-GB"/>
        </w:rPr>
        <w:t xml:space="preserve"> In Germany the </w:t>
      </w:r>
      <w:r w:rsidR="00B204F7">
        <w:rPr>
          <w:lang w:val="en-GB"/>
        </w:rPr>
        <w:t xml:space="preserve">Convention </w:t>
      </w:r>
      <w:r>
        <w:rPr>
          <w:lang w:val="en-GB"/>
        </w:rPr>
        <w:t>is directly applicable federal law.</w:t>
      </w:r>
      <w:r>
        <w:rPr>
          <w:rStyle w:val="Endnotenzeichen"/>
          <w:rFonts w:cs="Arial"/>
          <w:lang w:val="en-GB"/>
        </w:rPr>
        <w:endnoteReference w:id="3"/>
      </w:r>
      <w:r>
        <w:rPr>
          <w:lang w:val="en-GB"/>
        </w:rPr>
        <w:t xml:space="preserve"> However, it only has the rank of ordinary federal law. </w:t>
      </w:r>
      <w:r w:rsidR="00B204F7">
        <w:rPr>
          <w:lang w:val="en-GB"/>
        </w:rPr>
        <w:t>Consequently</w:t>
      </w:r>
      <w:r>
        <w:rPr>
          <w:lang w:val="en-GB"/>
        </w:rPr>
        <w:t xml:space="preserve">, the </w:t>
      </w:r>
      <w:r w:rsidR="00B204F7">
        <w:rPr>
          <w:lang w:val="en-GB"/>
        </w:rPr>
        <w:t xml:space="preserve">Convention generally </w:t>
      </w:r>
      <w:r>
        <w:rPr>
          <w:lang w:val="en-GB"/>
        </w:rPr>
        <w:t>cannot take precedence over other federal law that is newer or more specific.</w:t>
      </w:r>
      <w:r>
        <w:rPr>
          <w:rStyle w:val="Endnotenzeichen"/>
          <w:rFonts w:cs="Arial"/>
          <w:lang w:val="en-GB"/>
        </w:rPr>
        <w:endnoteReference w:id="4"/>
      </w:r>
      <w:r>
        <w:rPr>
          <w:lang w:val="en-GB"/>
        </w:rPr>
        <w:t xml:space="preserve"> </w:t>
      </w:r>
      <w:r w:rsidR="00D12B01">
        <w:rPr>
          <w:lang w:val="en-GB"/>
        </w:rPr>
        <w:t xml:space="preserve">The German </w:t>
      </w:r>
      <w:r w:rsidR="00245CA8">
        <w:rPr>
          <w:lang w:val="en-GB"/>
        </w:rPr>
        <w:t>C</w:t>
      </w:r>
      <w:r w:rsidR="00D12B01">
        <w:rPr>
          <w:lang w:val="en-GB"/>
        </w:rPr>
        <w:t>onstitu</w:t>
      </w:r>
      <w:r w:rsidR="00245CA8">
        <w:rPr>
          <w:lang w:val="en-GB"/>
        </w:rPr>
        <w:t>tion</w:t>
      </w:r>
      <w:r w:rsidR="00D12B01">
        <w:rPr>
          <w:lang w:val="en-GB"/>
        </w:rPr>
        <w:t>al Court</w:t>
      </w:r>
      <w:r>
        <w:rPr>
          <w:lang w:val="en-GB"/>
        </w:rPr>
        <w:t xml:space="preserve"> tr</w:t>
      </w:r>
      <w:r w:rsidR="00245CA8">
        <w:rPr>
          <w:lang w:val="en-GB"/>
        </w:rPr>
        <w:t>ies</w:t>
      </w:r>
      <w:r>
        <w:rPr>
          <w:lang w:val="en-GB"/>
        </w:rPr>
        <w:t xml:space="preserve"> to compensate for </w:t>
      </w:r>
      <w:r>
        <w:rPr>
          <w:lang w:val="en-GB"/>
        </w:rPr>
        <w:lastRenderedPageBreak/>
        <w:t xml:space="preserve">this somewhat </w:t>
      </w:r>
      <w:r w:rsidR="00BB7501">
        <w:rPr>
          <w:lang w:val="en-GB"/>
        </w:rPr>
        <w:t xml:space="preserve">awkward predicament </w:t>
      </w:r>
      <w:r>
        <w:rPr>
          <w:lang w:val="en-GB"/>
        </w:rPr>
        <w:t xml:space="preserve">by, firstly, interpreting newer federal law in light of the </w:t>
      </w:r>
      <w:r w:rsidR="0030369A">
        <w:rPr>
          <w:lang w:val="en-GB"/>
        </w:rPr>
        <w:t>Convention</w:t>
      </w:r>
      <w:r w:rsidR="00AB3571">
        <w:rPr>
          <w:lang w:val="en-GB"/>
        </w:rPr>
        <w:t>,</w:t>
      </w:r>
      <w:r>
        <w:rPr>
          <w:lang w:val="en-GB"/>
        </w:rPr>
        <w:t xml:space="preserve"> </w:t>
      </w:r>
      <w:r w:rsidR="00AB3571">
        <w:rPr>
          <w:lang w:val="en-GB"/>
        </w:rPr>
        <w:t xml:space="preserve">and </w:t>
      </w:r>
      <w:r>
        <w:rPr>
          <w:lang w:val="en-GB"/>
        </w:rPr>
        <w:t xml:space="preserve">secondly, interpreting German fundamental rights in light of the </w:t>
      </w:r>
      <w:r w:rsidR="00EC3D9B">
        <w:rPr>
          <w:lang w:val="en-GB"/>
        </w:rPr>
        <w:t xml:space="preserve">Convention </w:t>
      </w:r>
      <w:r>
        <w:rPr>
          <w:lang w:val="en-GB"/>
        </w:rPr>
        <w:t>and measuring the law in question against this adjusted standard of review.</w:t>
      </w:r>
      <w:r>
        <w:rPr>
          <w:rStyle w:val="Endnotenzeichen"/>
          <w:rFonts w:cs="Arial"/>
          <w:lang w:val="en-GB"/>
        </w:rPr>
        <w:endnoteReference w:id="5"/>
      </w:r>
      <w:r>
        <w:rPr>
          <w:lang w:val="en-GB"/>
        </w:rPr>
        <w:t xml:space="preserve"> In practice, the interpretation of German fundamental rights in light of the </w:t>
      </w:r>
      <w:r w:rsidR="00EC3D9B">
        <w:rPr>
          <w:lang w:val="en-GB"/>
        </w:rPr>
        <w:t xml:space="preserve">Convention </w:t>
      </w:r>
      <w:r>
        <w:rPr>
          <w:lang w:val="en-GB"/>
        </w:rPr>
        <w:t xml:space="preserve">often results in the Federal Constitutional Court assessing whether </w:t>
      </w:r>
      <w:r w:rsidR="000C59FF">
        <w:rPr>
          <w:lang w:val="en-GB"/>
        </w:rPr>
        <w:t xml:space="preserve">its </w:t>
      </w:r>
      <w:r>
        <w:rPr>
          <w:lang w:val="en-GB"/>
        </w:rPr>
        <w:t>result</w:t>
      </w:r>
      <w:r w:rsidR="000C59FF">
        <w:rPr>
          <w:lang w:val="en-GB"/>
        </w:rPr>
        <w:t xml:space="preserve"> </w:t>
      </w:r>
      <w:r>
        <w:rPr>
          <w:lang w:val="en-GB"/>
        </w:rPr>
        <w:t xml:space="preserve">arrived at on the basis of German fundamental rights is compatible with the </w:t>
      </w:r>
      <w:r w:rsidR="00B67A3D">
        <w:rPr>
          <w:lang w:val="en-GB"/>
        </w:rPr>
        <w:t>European Court of Human Rights</w:t>
      </w:r>
      <w:r w:rsidR="00AB3571">
        <w:rPr>
          <w:lang w:val="en-GB"/>
        </w:rPr>
        <w:t>’</w:t>
      </w:r>
      <w:r w:rsidR="00B67A3D">
        <w:rPr>
          <w:lang w:val="en-GB"/>
        </w:rPr>
        <w:t xml:space="preserve"> </w:t>
      </w:r>
      <w:r>
        <w:rPr>
          <w:lang w:val="en-GB"/>
        </w:rPr>
        <w:t>case-law</w:t>
      </w:r>
      <w:r w:rsidR="00B67A3D">
        <w:rPr>
          <w:rStyle w:val="Endnotenzeichen"/>
          <w:rFonts w:cs="Arial"/>
          <w:lang w:val="en-GB"/>
        </w:rPr>
        <w:endnoteReference w:id="6"/>
      </w:r>
      <w:r w:rsidR="00B67A3D">
        <w:rPr>
          <w:lang w:val="en-GB"/>
        </w:rPr>
        <w:t xml:space="preserve"> (from now on abbreviated </w:t>
      </w:r>
      <w:r w:rsidR="00AB3571">
        <w:rPr>
          <w:lang w:val="en-GB"/>
        </w:rPr>
        <w:t>‘C</w:t>
      </w:r>
      <w:r w:rsidR="00B67A3D">
        <w:rPr>
          <w:lang w:val="en-GB"/>
        </w:rPr>
        <w:t>ourt</w:t>
      </w:r>
      <w:r w:rsidR="00AB3571">
        <w:rPr>
          <w:lang w:val="en-GB"/>
        </w:rPr>
        <w:t>’</w:t>
      </w:r>
      <w:r w:rsidR="00B67A3D">
        <w:rPr>
          <w:lang w:val="en-GB"/>
        </w:rPr>
        <w:t>)</w:t>
      </w:r>
      <w:r>
        <w:rPr>
          <w:lang w:val="en-GB"/>
        </w:rPr>
        <w:t>.</w:t>
      </w:r>
      <w:r>
        <w:rPr>
          <w:lang w:val="en-GB"/>
        </w:rPr>
        <w:t xml:space="preserve"> Moreover, the Federal Constitutional Court will ‘read between the lines’ to uncover guarantees that are not explicitly laid down in the German Basic Law, such as</w:t>
      </w:r>
      <w:r w:rsidR="00EC3D9B">
        <w:rPr>
          <w:lang w:val="en-GB"/>
        </w:rPr>
        <w:t>,</w:t>
      </w:r>
      <w:r>
        <w:rPr>
          <w:lang w:val="en-GB"/>
        </w:rPr>
        <w:t xml:space="preserve"> in particular</w:t>
      </w:r>
      <w:r w:rsidR="00EC3D9B">
        <w:rPr>
          <w:lang w:val="en-GB"/>
        </w:rPr>
        <w:t>,</w:t>
      </w:r>
      <w:r>
        <w:rPr>
          <w:lang w:val="en-GB"/>
        </w:rPr>
        <w:t xml:space="preserve"> the presumption of innocence,</w:t>
      </w:r>
      <w:r>
        <w:rPr>
          <w:rStyle w:val="Endnotenzeichen"/>
          <w:rFonts w:cs="Arial"/>
          <w:lang w:val="en-GB"/>
        </w:rPr>
        <w:endnoteReference w:id="7"/>
      </w:r>
      <w:r>
        <w:rPr>
          <w:lang w:val="en-GB"/>
        </w:rPr>
        <w:t xml:space="preserve"> the right to a fair trial</w:t>
      </w:r>
      <w:r>
        <w:rPr>
          <w:rStyle w:val="Endnotenzeichen"/>
          <w:rFonts w:cs="Arial"/>
          <w:lang w:val="en-GB"/>
        </w:rPr>
        <w:endnoteReference w:id="8"/>
      </w:r>
      <w:r>
        <w:rPr>
          <w:lang w:val="en-GB"/>
        </w:rPr>
        <w:t xml:space="preserve"> and the prohibition of excessively lengthy court proceedings.</w:t>
      </w:r>
      <w:r>
        <w:rPr>
          <w:rStyle w:val="Endnotenzeichen"/>
          <w:rFonts w:cs="Arial"/>
          <w:lang w:val="en-GB"/>
        </w:rPr>
        <w:endnoteReference w:id="9"/>
      </w:r>
    </w:p>
    <w:p w14:paraId="4BF59137" w14:textId="3CCC31BC" w:rsidR="00691011" w:rsidRPr="00074EAB" w:rsidRDefault="00F76499" w:rsidP="00691011">
      <w:pPr>
        <w:pStyle w:val="berschrift2"/>
        <w:rPr>
          <w:lang w:val="en-GB"/>
        </w:rPr>
      </w:pPr>
      <w:r>
        <w:rPr>
          <w:lang w:val="en-GB"/>
        </w:rPr>
        <w:t xml:space="preserve"> </w:t>
      </w:r>
      <w:bookmarkStart w:id="3" w:name="_Toc145665977"/>
      <w:r w:rsidR="00691011">
        <w:rPr>
          <w:lang w:val="en-GB"/>
        </w:rPr>
        <w:t xml:space="preserve">Cases where the </w:t>
      </w:r>
      <w:r>
        <w:rPr>
          <w:lang w:val="en-GB"/>
        </w:rPr>
        <w:t>Court</w:t>
      </w:r>
      <w:r w:rsidR="00691011">
        <w:rPr>
          <w:lang w:val="en-GB"/>
        </w:rPr>
        <w:t xml:space="preserve"> ruled against Germany</w:t>
      </w:r>
      <w:bookmarkEnd w:id="3"/>
    </w:p>
    <w:p w14:paraId="26D0DA40" w14:textId="5BD41716" w:rsidR="00C116C4" w:rsidRPr="00074EAB" w:rsidRDefault="00691011" w:rsidP="00C116C4">
      <w:pPr>
        <w:rPr>
          <w:rFonts w:cs="Arial"/>
          <w:lang w:val="en-GB"/>
        </w:rPr>
      </w:pPr>
      <w:r>
        <w:rPr>
          <w:rFonts w:cs="Arial"/>
          <w:lang w:val="en-GB"/>
        </w:rPr>
        <w:t xml:space="preserve">The question of the legal status </w:t>
      </w:r>
      <w:r w:rsidR="00EC3D9B">
        <w:rPr>
          <w:rFonts w:cs="Arial"/>
          <w:lang w:val="en-GB"/>
        </w:rPr>
        <w:t xml:space="preserve">of the Convention </w:t>
      </w:r>
      <w:r>
        <w:rPr>
          <w:rFonts w:cs="Arial"/>
          <w:lang w:val="en-GB"/>
        </w:rPr>
        <w:t xml:space="preserve">in German law is of some relevance as - despite substantial similarities - differences remain both with regard to the wording and the interpretation. The </w:t>
      </w:r>
      <w:r w:rsidR="00F76499">
        <w:rPr>
          <w:rFonts w:cs="Arial"/>
          <w:lang w:val="en-GB"/>
        </w:rPr>
        <w:t>Court</w:t>
      </w:r>
      <w:r>
        <w:rPr>
          <w:rFonts w:cs="Arial"/>
          <w:lang w:val="en-GB"/>
        </w:rPr>
        <w:t xml:space="preserve">, in particular, </w:t>
      </w:r>
      <w:r w:rsidR="00EC3D9B">
        <w:rPr>
          <w:rFonts w:cs="Arial"/>
          <w:lang w:val="en-GB"/>
        </w:rPr>
        <w:t xml:space="preserve">has </w:t>
      </w:r>
      <w:r>
        <w:rPr>
          <w:rFonts w:cs="Arial"/>
          <w:lang w:val="en-GB"/>
        </w:rPr>
        <w:t xml:space="preserve">ruled against Germany </w:t>
      </w:r>
      <w:r w:rsidR="00703C3E">
        <w:rPr>
          <w:rFonts w:cs="Arial"/>
          <w:lang w:val="en-GB"/>
        </w:rPr>
        <w:t>in</w:t>
      </w:r>
      <w:r w:rsidR="00EC3D9B">
        <w:rPr>
          <w:rFonts w:cs="Arial"/>
          <w:lang w:val="en-GB"/>
        </w:rPr>
        <w:t>, among other</w:t>
      </w:r>
      <w:r w:rsidR="00703C3E">
        <w:rPr>
          <w:rFonts w:cs="Arial"/>
          <w:lang w:val="en-GB"/>
        </w:rPr>
        <w:t xml:space="preserve"> cases</w:t>
      </w:r>
      <w:r w:rsidR="00EC3D9B">
        <w:rPr>
          <w:rFonts w:cs="Arial"/>
          <w:lang w:val="en-GB"/>
        </w:rPr>
        <w:t>, those</w:t>
      </w:r>
      <w:r w:rsidR="00703C3E">
        <w:rPr>
          <w:rFonts w:cs="Arial"/>
          <w:lang w:val="en-GB"/>
        </w:rPr>
        <w:t xml:space="preserve"> concerning:</w:t>
      </w:r>
    </w:p>
    <w:p w14:paraId="355198FA" w14:textId="6C9A4EB2" w:rsidR="00C116C4" w:rsidRPr="00074EAB" w:rsidRDefault="00C116C4" w:rsidP="00C116C4">
      <w:pPr>
        <w:ind w:left="709" w:hanging="709"/>
        <w:rPr>
          <w:rFonts w:cs="Arial"/>
          <w:lang w:val="en-GB"/>
        </w:rPr>
      </w:pPr>
      <w:r>
        <w:rPr>
          <w:rFonts w:cs="Arial"/>
          <w:lang w:val="en-GB"/>
        </w:rPr>
        <w:t>-</w:t>
      </w:r>
      <w:r>
        <w:rPr>
          <w:rFonts w:cs="Arial"/>
          <w:lang w:val="en-GB"/>
        </w:rPr>
        <w:tab/>
      </w:r>
      <w:r w:rsidR="00EC3D9B">
        <w:rPr>
          <w:rFonts w:cs="Arial"/>
          <w:lang w:val="en-GB"/>
        </w:rPr>
        <w:t>quite</w:t>
      </w:r>
      <w:r>
        <w:rPr>
          <w:rFonts w:cs="Arial"/>
          <w:lang w:val="en-GB"/>
        </w:rPr>
        <w:t xml:space="preserve"> often</w:t>
      </w:r>
      <w:r w:rsidR="00EC3D9B">
        <w:rPr>
          <w:rFonts w:cs="Arial"/>
          <w:lang w:val="en-GB"/>
        </w:rPr>
        <w:t>,</w:t>
      </w:r>
      <w:r>
        <w:rPr>
          <w:rFonts w:cs="Arial"/>
          <w:lang w:val="en-GB"/>
        </w:rPr>
        <w:t xml:space="preserve"> the excessive length of proceedings, </w:t>
      </w:r>
    </w:p>
    <w:p w14:paraId="16666C7D" w14:textId="77777777" w:rsidR="00C116C4" w:rsidRPr="00074EAB" w:rsidRDefault="00C116C4" w:rsidP="00C116C4">
      <w:pPr>
        <w:ind w:left="709" w:hanging="709"/>
        <w:rPr>
          <w:rFonts w:cs="Arial"/>
          <w:lang w:val="en-GB"/>
        </w:rPr>
      </w:pPr>
      <w:r>
        <w:rPr>
          <w:rFonts w:cs="Arial"/>
          <w:lang w:val="en-GB"/>
        </w:rPr>
        <w:t>-</w:t>
      </w:r>
      <w:r>
        <w:rPr>
          <w:rFonts w:cs="Arial"/>
          <w:lang w:val="en-GB"/>
        </w:rPr>
        <w:tab/>
        <w:t>further, the strict duty of loyalty to the Constitution owed by members of the German public service,</w:t>
      </w:r>
      <w:r>
        <w:rPr>
          <w:rStyle w:val="Endnotenzeichen"/>
          <w:rFonts w:cs="Arial"/>
          <w:lang w:val="en-GB"/>
        </w:rPr>
        <w:endnoteReference w:id="10"/>
      </w:r>
      <w:r>
        <w:rPr>
          <w:rFonts w:cs="Arial"/>
          <w:lang w:val="en-GB"/>
        </w:rPr>
        <w:t xml:space="preserve"> </w:t>
      </w:r>
    </w:p>
    <w:p w14:paraId="725CBDB1" w14:textId="5E9E81D0" w:rsidR="00C116C4" w:rsidRPr="00074EAB" w:rsidRDefault="00C116C4" w:rsidP="00C116C4">
      <w:pPr>
        <w:ind w:left="709" w:hanging="709"/>
        <w:rPr>
          <w:rFonts w:cs="Arial"/>
          <w:lang w:val="en-GB"/>
        </w:rPr>
      </w:pPr>
      <w:r>
        <w:rPr>
          <w:rFonts w:cs="Arial"/>
          <w:lang w:val="en-GB"/>
        </w:rPr>
        <w:t>-</w:t>
      </w:r>
      <w:r>
        <w:rPr>
          <w:rFonts w:cs="Arial"/>
          <w:lang w:val="en-GB"/>
        </w:rPr>
        <w:tab/>
        <w:t>the weak position of the biological, but not legal,</w:t>
      </w:r>
      <w:r w:rsidR="00B67A3D">
        <w:rPr>
          <w:rFonts w:cs="Arial"/>
          <w:lang w:val="en-GB"/>
        </w:rPr>
        <w:t xml:space="preserve"> father under German family law</w:t>
      </w:r>
      <w:r>
        <w:rPr>
          <w:rFonts w:cs="Arial"/>
          <w:lang w:val="en-GB"/>
        </w:rPr>
        <w:t>;</w:t>
      </w:r>
      <w:r>
        <w:rPr>
          <w:rStyle w:val="Endnotenzeichen"/>
          <w:rFonts w:cs="Arial"/>
          <w:lang w:val="en-GB"/>
        </w:rPr>
        <w:endnoteReference w:id="11"/>
      </w:r>
    </w:p>
    <w:p w14:paraId="6AE617AC" w14:textId="77777777" w:rsidR="00C116C4" w:rsidRPr="00074EAB" w:rsidRDefault="00C116C4" w:rsidP="00C116C4">
      <w:pPr>
        <w:ind w:left="709" w:hanging="709"/>
        <w:rPr>
          <w:rFonts w:cs="Arial"/>
          <w:lang w:val="en-GB"/>
        </w:rPr>
      </w:pPr>
      <w:r>
        <w:rPr>
          <w:rFonts w:cs="Arial"/>
          <w:lang w:val="en-GB"/>
        </w:rPr>
        <w:t>-</w:t>
      </w:r>
      <w:r>
        <w:rPr>
          <w:rFonts w:cs="Arial"/>
          <w:lang w:val="en-GB"/>
        </w:rPr>
        <w:tab/>
        <w:t>the protection of personality rights of celebrities,</w:t>
      </w:r>
      <w:r>
        <w:rPr>
          <w:rStyle w:val="Endnotenzeichen"/>
          <w:rFonts w:cs="Arial"/>
          <w:lang w:val="en-GB"/>
        </w:rPr>
        <w:endnoteReference w:id="12"/>
      </w:r>
    </w:p>
    <w:p w14:paraId="182722BD" w14:textId="2E9AA2E2" w:rsidR="00C116C4" w:rsidRPr="00074EAB" w:rsidRDefault="00C116C4" w:rsidP="00C116C4">
      <w:pPr>
        <w:ind w:left="709" w:hanging="709"/>
        <w:rPr>
          <w:rFonts w:cs="Arial"/>
          <w:lang w:val="en-GB"/>
        </w:rPr>
      </w:pPr>
      <w:r>
        <w:rPr>
          <w:rFonts w:cs="Arial"/>
          <w:lang w:val="en-GB"/>
        </w:rPr>
        <w:lastRenderedPageBreak/>
        <w:noBreakHyphen/>
      </w:r>
      <w:r>
        <w:rPr>
          <w:rFonts w:cs="Arial"/>
          <w:lang w:val="en-GB"/>
        </w:rPr>
        <w:tab/>
        <w:t xml:space="preserve">the protection against retrospective </w:t>
      </w:r>
      <w:r w:rsidR="00624467">
        <w:rPr>
          <w:rFonts w:cs="Arial"/>
          <w:lang w:val="en-GB"/>
        </w:rPr>
        <w:t>imposition</w:t>
      </w:r>
      <w:r>
        <w:rPr>
          <w:rFonts w:cs="Arial"/>
          <w:lang w:val="en-GB"/>
        </w:rPr>
        <w:t xml:space="preserve"> of </w:t>
      </w:r>
      <w:hyperlink r:id="rId8" w:anchor="p0421" w:history="1">
        <w:r w:rsidR="00EC6876">
          <w:rPr>
            <w:rFonts w:cs="Arial"/>
            <w:bCs/>
            <w:lang w:val="en-GB"/>
          </w:rPr>
          <w:t>m</w:t>
        </w:r>
        <w:r w:rsidR="00935B13" w:rsidRPr="00935B13">
          <w:rPr>
            <w:rFonts w:cs="Arial"/>
            <w:bCs/>
            <w:lang w:val="en-GB"/>
          </w:rPr>
          <w:t>easures of reform and prevention</w:t>
        </w:r>
      </w:hyperlink>
      <w:r w:rsidR="00935B13" w:rsidRPr="00935B13">
        <w:rPr>
          <w:rFonts w:cs="Arial"/>
          <w:lang w:val="en-GB"/>
        </w:rPr>
        <w:t xml:space="preserve"> </w:t>
      </w:r>
      <w:r w:rsidR="00BB4FA6">
        <w:rPr>
          <w:rFonts w:cs="Arial"/>
          <w:lang w:val="en-GB"/>
        </w:rPr>
        <w:t>on offenders</w:t>
      </w:r>
      <w:r>
        <w:rPr>
          <w:rFonts w:cs="Arial"/>
          <w:lang w:val="en-GB"/>
        </w:rPr>
        <w:t>,</w:t>
      </w:r>
      <w:r>
        <w:rPr>
          <w:rStyle w:val="Endnotenzeichen"/>
          <w:rFonts w:cs="Arial"/>
          <w:lang w:val="en-GB"/>
        </w:rPr>
        <w:endnoteReference w:id="13"/>
      </w:r>
    </w:p>
    <w:p w14:paraId="306C6CE0" w14:textId="6AEAEEA7" w:rsidR="00C116C4" w:rsidRPr="00074EAB" w:rsidRDefault="00C116C4" w:rsidP="00C116C4">
      <w:pPr>
        <w:ind w:left="709" w:hanging="709"/>
        <w:rPr>
          <w:lang w:val="en-GB"/>
        </w:rPr>
      </w:pPr>
      <w:r>
        <w:rPr>
          <w:rFonts w:cs="Arial"/>
          <w:lang w:val="en-GB"/>
        </w:rPr>
        <w:noBreakHyphen/>
      </w:r>
      <w:r>
        <w:rPr>
          <w:rFonts w:cs="Arial"/>
          <w:lang w:val="en-GB"/>
        </w:rPr>
        <w:tab/>
      </w:r>
      <w:r w:rsidR="00935B13" w:rsidRPr="00935B13">
        <w:rPr>
          <w:rFonts w:cs="Arial"/>
          <w:lang w:val="en-GB"/>
        </w:rPr>
        <w:t xml:space="preserve">the consequences of the unlawful use </w:t>
      </w:r>
      <w:r w:rsidR="00935B13">
        <w:rPr>
          <w:rFonts w:cs="Arial"/>
          <w:lang w:val="en-GB"/>
        </w:rPr>
        <w:t>of undercover police officers and agents provocateurs</w:t>
      </w:r>
      <w:r w:rsidR="00935B13" w:rsidRPr="00935B13">
        <w:rPr>
          <w:rFonts w:cs="Arial"/>
          <w:lang w:val="en-GB"/>
        </w:rPr>
        <w:t xml:space="preserve"> for criminal proceedings</w:t>
      </w:r>
      <w:r w:rsidR="00935B13">
        <w:rPr>
          <w:rFonts w:cs="Arial"/>
          <w:lang w:val="en-GB"/>
        </w:rPr>
        <w:t>,</w:t>
      </w:r>
      <w:r>
        <w:rPr>
          <w:rStyle w:val="Endnotenzeichen"/>
          <w:rFonts w:cs="Arial"/>
          <w:lang w:val="en-GB"/>
        </w:rPr>
        <w:endnoteReference w:id="14"/>
      </w:r>
    </w:p>
    <w:p w14:paraId="4A999A67" w14:textId="3939A604" w:rsidR="00C116C4" w:rsidRPr="00074EAB" w:rsidRDefault="00C116C4" w:rsidP="00C116C4">
      <w:pPr>
        <w:ind w:left="709" w:hanging="709"/>
        <w:rPr>
          <w:lang w:val="en-GB"/>
        </w:rPr>
      </w:pPr>
      <w:r>
        <w:rPr>
          <w:lang w:val="en-GB"/>
        </w:rPr>
        <w:t>-</w:t>
      </w:r>
      <w:r>
        <w:rPr>
          <w:lang w:val="en-GB"/>
        </w:rPr>
        <w:tab/>
        <w:t>the inadmissibility of the forced administration of emetics to potential drug dealers</w:t>
      </w:r>
      <w:r>
        <w:rPr>
          <w:rStyle w:val="Endnotenzeichen"/>
          <w:lang w:val="en-GB"/>
        </w:rPr>
        <w:endnoteReference w:id="15"/>
      </w:r>
      <w:r>
        <w:rPr>
          <w:lang w:val="en-GB"/>
        </w:rPr>
        <w:t xml:space="preserve"> </w:t>
      </w:r>
    </w:p>
    <w:p w14:paraId="01C530C5" w14:textId="0EB4B108" w:rsidR="00C116C4" w:rsidRPr="00074EAB" w:rsidRDefault="00C116C4" w:rsidP="00691011">
      <w:pPr>
        <w:rPr>
          <w:lang w:val="en-GB"/>
        </w:rPr>
      </w:pPr>
      <w:r>
        <w:rPr>
          <w:lang w:val="en-GB"/>
        </w:rPr>
        <w:t>-</w:t>
      </w:r>
      <w:r w:rsidR="00BB4FA6">
        <w:rPr>
          <w:lang w:val="en-GB"/>
        </w:rPr>
        <w:tab/>
      </w:r>
      <w:r>
        <w:rPr>
          <w:lang w:val="en-GB"/>
        </w:rPr>
        <w:t>and</w:t>
      </w:r>
      <w:r w:rsidR="00624467">
        <w:rPr>
          <w:lang w:val="en-GB"/>
        </w:rPr>
        <w:t>,</w:t>
      </w:r>
      <w:r>
        <w:rPr>
          <w:lang w:val="en-GB"/>
        </w:rPr>
        <w:t xml:space="preserve"> in </w:t>
      </w:r>
      <w:r w:rsidR="00624467">
        <w:rPr>
          <w:lang w:val="en-GB"/>
        </w:rPr>
        <w:t xml:space="preserve">the </w:t>
      </w:r>
      <w:r>
        <w:rPr>
          <w:lang w:val="en-GB"/>
        </w:rPr>
        <w:t>future</w:t>
      </w:r>
      <w:r w:rsidR="00624467">
        <w:rPr>
          <w:lang w:val="en-GB"/>
        </w:rPr>
        <w:t>,</w:t>
      </w:r>
      <w:r>
        <w:rPr>
          <w:lang w:val="en-GB"/>
        </w:rPr>
        <w:t xml:space="preserve"> potentially also with regard to strike actions </w:t>
      </w:r>
      <w:r w:rsidR="00624467">
        <w:rPr>
          <w:lang w:val="en-GB"/>
        </w:rPr>
        <w:t xml:space="preserve">by </w:t>
      </w:r>
      <w:r>
        <w:rPr>
          <w:lang w:val="en-GB"/>
        </w:rPr>
        <w:t>civil servants.</w:t>
      </w:r>
    </w:p>
    <w:p w14:paraId="04ECB6C2" w14:textId="5B191857" w:rsidR="00C116C4" w:rsidRPr="00074EAB" w:rsidRDefault="00691011" w:rsidP="00691011">
      <w:pPr>
        <w:pStyle w:val="berschrift2"/>
        <w:rPr>
          <w:lang w:val="en-GB"/>
        </w:rPr>
      </w:pPr>
      <w:r>
        <w:rPr>
          <w:lang w:val="en-GB"/>
        </w:rPr>
        <w:t xml:space="preserve"> </w:t>
      </w:r>
      <w:bookmarkStart w:id="4" w:name="_Toc145665978"/>
      <w:r>
        <w:rPr>
          <w:lang w:val="en-GB"/>
        </w:rPr>
        <w:t xml:space="preserve">Duty to </w:t>
      </w:r>
      <w:r w:rsidR="008B455F">
        <w:rPr>
          <w:lang w:val="en-GB"/>
        </w:rPr>
        <w:t>abide by</w:t>
      </w:r>
      <w:r>
        <w:rPr>
          <w:lang w:val="en-GB"/>
        </w:rPr>
        <w:t xml:space="preserve"> the case-law of the </w:t>
      </w:r>
      <w:r w:rsidR="00F76499">
        <w:rPr>
          <w:lang w:val="en-GB"/>
        </w:rPr>
        <w:t>Court</w:t>
      </w:r>
      <w:bookmarkEnd w:id="4"/>
    </w:p>
    <w:p w14:paraId="082BE502" w14:textId="7887A33C" w:rsidR="002809D5" w:rsidRPr="00074EAB" w:rsidRDefault="00691011" w:rsidP="00691011">
      <w:pPr>
        <w:rPr>
          <w:lang w:val="en-GB"/>
        </w:rPr>
      </w:pPr>
      <w:r>
        <w:rPr>
          <w:lang w:val="en-GB"/>
        </w:rPr>
        <w:t xml:space="preserve">If the </w:t>
      </w:r>
      <w:r w:rsidR="00F76499">
        <w:rPr>
          <w:lang w:val="en-GB"/>
        </w:rPr>
        <w:t>Court</w:t>
      </w:r>
      <w:r>
        <w:rPr>
          <w:lang w:val="en-GB"/>
        </w:rPr>
        <w:t xml:space="preserve"> </w:t>
      </w:r>
      <w:r w:rsidR="0024679E">
        <w:rPr>
          <w:lang w:val="en-GB"/>
        </w:rPr>
        <w:t>determines</w:t>
      </w:r>
      <w:r>
        <w:rPr>
          <w:lang w:val="en-GB"/>
        </w:rPr>
        <w:t xml:space="preserve"> that the decision of a German court is incompatible with the </w:t>
      </w:r>
      <w:r w:rsidR="001F7834">
        <w:rPr>
          <w:lang w:val="en-GB"/>
        </w:rPr>
        <w:t>Convention</w:t>
      </w:r>
      <w:r>
        <w:rPr>
          <w:lang w:val="en-GB"/>
        </w:rPr>
        <w:t xml:space="preserve">, this alone does not signify that the decision becomes void at the national level. The reason for this is that the judgments of the </w:t>
      </w:r>
      <w:r w:rsidR="00F76499">
        <w:rPr>
          <w:lang w:val="en-GB"/>
        </w:rPr>
        <w:t>Court</w:t>
      </w:r>
      <w:r>
        <w:rPr>
          <w:lang w:val="en-GB"/>
        </w:rPr>
        <w:t xml:space="preserve"> are declaratory in nature and addressed to the Federal Republic of Germany as a </w:t>
      </w:r>
      <w:r w:rsidR="0024679E">
        <w:rPr>
          <w:lang w:val="en-GB"/>
        </w:rPr>
        <w:t>contracting party</w:t>
      </w:r>
      <w:r>
        <w:rPr>
          <w:lang w:val="en-GB"/>
        </w:rPr>
        <w:t>.</w:t>
      </w:r>
    </w:p>
    <w:p w14:paraId="16FD2E80" w14:textId="239710F6" w:rsidR="00DD5432" w:rsidRPr="00074EAB" w:rsidRDefault="009E033A" w:rsidP="00691011">
      <w:pPr>
        <w:rPr>
          <w:lang w:val="en-GB"/>
        </w:rPr>
      </w:pPr>
      <w:r>
        <w:rPr>
          <w:lang w:val="en-GB"/>
        </w:rPr>
        <w:t xml:space="preserve">However, there is room for compliance with the </w:t>
      </w:r>
      <w:r w:rsidR="00F76499">
        <w:rPr>
          <w:lang w:val="en-GB"/>
        </w:rPr>
        <w:t>Court</w:t>
      </w:r>
      <w:r>
        <w:rPr>
          <w:lang w:val="en-GB"/>
        </w:rPr>
        <w:t xml:space="preserve">’s decision </w:t>
      </w:r>
      <w:r w:rsidR="0024679E">
        <w:rPr>
          <w:lang w:val="en-GB"/>
        </w:rPr>
        <w:t xml:space="preserve">in spite of </w:t>
      </w:r>
      <w:r>
        <w:rPr>
          <w:lang w:val="en-GB"/>
        </w:rPr>
        <w:t xml:space="preserve">the fact that the concrete court proceedings had </w:t>
      </w:r>
      <w:r w:rsidR="0024679E">
        <w:rPr>
          <w:lang w:val="en-GB"/>
        </w:rPr>
        <w:t>be</w:t>
      </w:r>
      <w:r>
        <w:rPr>
          <w:lang w:val="en-GB"/>
        </w:rPr>
        <w:t xml:space="preserve">come </w:t>
      </w:r>
      <w:r w:rsidR="0024679E">
        <w:rPr>
          <w:lang w:val="en-GB"/>
        </w:rPr>
        <w:t>final</w:t>
      </w:r>
      <w:r>
        <w:rPr>
          <w:lang w:val="en-GB"/>
        </w:rPr>
        <w:t xml:space="preserve"> at the national level</w:t>
      </w:r>
      <w:r w:rsidR="0024679E">
        <w:rPr>
          <w:lang w:val="en-GB"/>
        </w:rPr>
        <w:t>,</w:t>
      </w:r>
      <w:r>
        <w:rPr>
          <w:lang w:val="en-GB"/>
        </w:rPr>
        <w:t xml:space="preserve"> because German </w:t>
      </w:r>
      <w:r w:rsidR="0024679E">
        <w:rPr>
          <w:lang w:val="en-GB"/>
        </w:rPr>
        <w:t>procedural law</w:t>
      </w:r>
      <w:r>
        <w:rPr>
          <w:lang w:val="en-GB"/>
        </w:rPr>
        <w:t xml:space="preserve"> provide</w:t>
      </w:r>
      <w:r w:rsidR="0024679E">
        <w:rPr>
          <w:lang w:val="en-GB"/>
        </w:rPr>
        <w:t>s</w:t>
      </w:r>
      <w:r>
        <w:rPr>
          <w:lang w:val="en-GB"/>
        </w:rPr>
        <w:t xml:space="preserve"> a corresponding legal basis for reopening proceedings.</w:t>
      </w:r>
      <w:r>
        <w:rPr>
          <w:rStyle w:val="Endnotenzeichen"/>
          <w:lang w:val="en-GB"/>
        </w:rPr>
        <w:endnoteReference w:id="16"/>
      </w:r>
    </w:p>
    <w:p w14:paraId="09ED923D" w14:textId="124F0D39" w:rsidR="00C116C4" w:rsidRPr="00074EAB" w:rsidRDefault="0024679E" w:rsidP="002809D5">
      <w:pPr>
        <w:rPr>
          <w:rFonts w:cs="Arial"/>
          <w:lang w:val="en-GB"/>
        </w:rPr>
      </w:pPr>
      <w:r>
        <w:rPr>
          <w:lang w:val="en-GB"/>
        </w:rPr>
        <w:t>In addition</w:t>
      </w:r>
      <w:r w:rsidR="00CE1E35">
        <w:rPr>
          <w:lang w:val="en-GB"/>
        </w:rPr>
        <w:t xml:space="preserve">, the Federal Constitutional Court has introduced a constitutional duty to </w:t>
      </w:r>
      <w:r>
        <w:rPr>
          <w:lang w:val="en-GB"/>
        </w:rPr>
        <w:t xml:space="preserve">take </w:t>
      </w:r>
      <w:r w:rsidR="00CE1E35">
        <w:rPr>
          <w:lang w:val="en-GB"/>
        </w:rPr>
        <w:t xml:space="preserve">decisions of the </w:t>
      </w:r>
      <w:r w:rsidR="00F76499">
        <w:rPr>
          <w:lang w:val="en-GB"/>
        </w:rPr>
        <w:t>Court</w:t>
      </w:r>
      <w:r>
        <w:rPr>
          <w:lang w:val="en-GB"/>
        </w:rPr>
        <w:t xml:space="preserve"> into </w:t>
      </w:r>
      <w:r w:rsidR="008B455F">
        <w:rPr>
          <w:lang w:val="en-GB"/>
        </w:rPr>
        <w:t>account</w:t>
      </w:r>
      <w:r w:rsidR="00CE1E35">
        <w:rPr>
          <w:lang w:val="en-GB"/>
        </w:rPr>
        <w:t>.</w:t>
      </w:r>
      <w:r w:rsidR="00CE1E35">
        <w:rPr>
          <w:rStyle w:val="Endnotenzeichen"/>
          <w:rFonts w:cs="Arial"/>
          <w:lang w:val="en-GB"/>
        </w:rPr>
        <w:endnoteReference w:id="17"/>
      </w:r>
      <w:r w:rsidR="00CE1E35">
        <w:rPr>
          <w:lang w:val="en-GB"/>
        </w:rPr>
        <w:t xml:space="preserve"> If a German court does not pay due regard to relevant case-law of the </w:t>
      </w:r>
      <w:r w:rsidR="00F76499">
        <w:rPr>
          <w:lang w:val="en-GB"/>
        </w:rPr>
        <w:t>Court</w:t>
      </w:r>
      <w:r w:rsidR="00CE1E35">
        <w:rPr>
          <w:lang w:val="en-GB"/>
        </w:rPr>
        <w:t xml:space="preserve"> in a way that complies with the principle of openness to international law, this can constitute an independent violation of fundamental rights that can be the subject of a constitutional complaint before the Federal Constitutional Court.</w:t>
      </w:r>
      <w:r w:rsidR="00CE1E35">
        <w:rPr>
          <w:rStyle w:val="Endnotenzeichen"/>
          <w:rFonts w:cs="Arial"/>
          <w:lang w:val="en-GB"/>
        </w:rPr>
        <w:endnoteReference w:id="18"/>
      </w:r>
      <w:r w:rsidR="00CE1E35">
        <w:rPr>
          <w:lang w:val="en-GB"/>
        </w:rPr>
        <w:t xml:space="preserve"> This duty to </w:t>
      </w:r>
      <w:r w:rsidR="007D13D0">
        <w:rPr>
          <w:lang w:val="en-GB"/>
        </w:rPr>
        <w:t xml:space="preserve">take into account </w:t>
      </w:r>
      <w:r w:rsidR="00CE1E35">
        <w:rPr>
          <w:lang w:val="en-GB"/>
        </w:rPr>
        <w:t xml:space="preserve">the </w:t>
      </w:r>
      <w:r w:rsidR="00F76499">
        <w:rPr>
          <w:lang w:val="en-GB"/>
        </w:rPr>
        <w:t>Court</w:t>
      </w:r>
      <w:r w:rsidR="00CE1E35">
        <w:rPr>
          <w:lang w:val="en-GB"/>
        </w:rPr>
        <w:t xml:space="preserve">’s case-law </w:t>
      </w:r>
      <w:r w:rsidR="00CE1E35">
        <w:rPr>
          <w:lang w:val="en-GB"/>
        </w:rPr>
        <w:lastRenderedPageBreak/>
        <w:t xml:space="preserve">varies in rigour, depending on how relevant </w:t>
      </w:r>
      <w:r w:rsidR="007D13D0">
        <w:rPr>
          <w:lang w:val="en-GB"/>
        </w:rPr>
        <w:t xml:space="preserve">the case-law </w:t>
      </w:r>
      <w:r w:rsidR="00CE1E35">
        <w:rPr>
          <w:lang w:val="en-GB"/>
        </w:rPr>
        <w:t xml:space="preserve">is </w:t>
      </w:r>
      <w:r w:rsidR="007D13D0">
        <w:rPr>
          <w:lang w:val="en-GB"/>
        </w:rPr>
        <w:t>to</w:t>
      </w:r>
      <w:r w:rsidR="00CE1E35">
        <w:rPr>
          <w:lang w:val="en-GB"/>
        </w:rPr>
        <w:t xml:space="preserve"> the </w:t>
      </w:r>
      <w:r w:rsidR="007D13D0">
        <w:rPr>
          <w:lang w:val="en-GB"/>
        </w:rPr>
        <w:t>matter</w:t>
      </w:r>
      <w:r w:rsidR="00CE1E35">
        <w:rPr>
          <w:lang w:val="en-GB"/>
        </w:rPr>
        <w:t xml:space="preserve"> at hand.</w:t>
      </w:r>
      <w:r w:rsidR="00CE1E35">
        <w:rPr>
          <w:rStyle w:val="Endnotenzeichen"/>
          <w:rFonts w:cs="Arial"/>
          <w:lang w:val="en-GB"/>
        </w:rPr>
        <w:endnoteReference w:id="19"/>
      </w:r>
    </w:p>
    <w:p w14:paraId="7A0FE168" w14:textId="07869F10" w:rsidR="00CE1E35" w:rsidRPr="00074EAB" w:rsidRDefault="00F76499" w:rsidP="00F76499">
      <w:pPr>
        <w:pStyle w:val="berschrift1"/>
        <w:rPr>
          <w:lang w:val="en-GB"/>
        </w:rPr>
      </w:pPr>
      <w:r>
        <w:rPr>
          <w:lang w:val="en-GB"/>
        </w:rPr>
        <w:t xml:space="preserve"> </w:t>
      </w:r>
      <w:bookmarkStart w:id="5" w:name="_Toc145665979"/>
      <w:r w:rsidR="00CE1E35">
        <w:rPr>
          <w:lang w:val="en-GB"/>
        </w:rPr>
        <w:t xml:space="preserve">Limits of the duty to </w:t>
      </w:r>
      <w:r w:rsidR="007D13D0">
        <w:rPr>
          <w:lang w:val="en-GB"/>
        </w:rPr>
        <w:t>take into account</w:t>
      </w:r>
      <w:r w:rsidR="00CE1E35">
        <w:rPr>
          <w:lang w:val="en-GB"/>
        </w:rPr>
        <w:t xml:space="preserve"> the case-law of the </w:t>
      </w:r>
      <w:r>
        <w:rPr>
          <w:lang w:val="en-GB"/>
        </w:rPr>
        <w:t>Court</w:t>
      </w:r>
      <w:bookmarkEnd w:id="5"/>
    </w:p>
    <w:p w14:paraId="4E475C46" w14:textId="21F9EB25" w:rsidR="00CE1E35" w:rsidRPr="00074EAB" w:rsidRDefault="00CE1E35" w:rsidP="00CE1E35">
      <w:pPr>
        <w:rPr>
          <w:lang w:val="en-GB"/>
        </w:rPr>
      </w:pPr>
      <w:r>
        <w:rPr>
          <w:lang w:val="en-GB"/>
        </w:rPr>
        <w:t xml:space="preserve">With regard to the limits of the duty to observe the stipulations of the </w:t>
      </w:r>
      <w:r w:rsidR="007D13D0">
        <w:rPr>
          <w:lang w:val="en-GB"/>
        </w:rPr>
        <w:t>Convention</w:t>
      </w:r>
      <w:r>
        <w:rPr>
          <w:lang w:val="en-GB"/>
        </w:rPr>
        <w:t xml:space="preserve"> and the decisions of the </w:t>
      </w:r>
      <w:r w:rsidR="00F76499">
        <w:rPr>
          <w:lang w:val="en-GB"/>
        </w:rPr>
        <w:t>Court</w:t>
      </w:r>
      <w:r>
        <w:rPr>
          <w:lang w:val="en-GB"/>
        </w:rPr>
        <w:t xml:space="preserve">, one can distinguish between soft and hard relativisations of </w:t>
      </w:r>
      <w:r w:rsidR="007D13D0">
        <w:rPr>
          <w:lang w:val="en-GB"/>
        </w:rPr>
        <w:t xml:space="preserve">this </w:t>
      </w:r>
      <w:r>
        <w:rPr>
          <w:lang w:val="en-GB"/>
        </w:rPr>
        <w:t>duty.</w:t>
      </w:r>
    </w:p>
    <w:p w14:paraId="22ABCF42" w14:textId="44D84EA8" w:rsidR="00DD5432" w:rsidRPr="00CE1E35" w:rsidRDefault="00F76499" w:rsidP="00DD5432">
      <w:pPr>
        <w:pStyle w:val="berschrift2"/>
      </w:pPr>
      <w:r>
        <w:rPr>
          <w:lang w:val="en-GB"/>
        </w:rPr>
        <w:t xml:space="preserve"> </w:t>
      </w:r>
      <w:bookmarkStart w:id="6" w:name="_Toc145665980"/>
      <w:r w:rsidR="00DD5432">
        <w:rPr>
          <w:lang w:val="en-GB"/>
        </w:rPr>
        <w:t>Soft means of adaptation</w:t>
      </w:r>
      <w:bookmarkEnd w:id="6"/>
    </w:p>
    <w:p w14:paraId="343AEB0C" w14:textId="2138FA89" w:rsidR="00C116C4" w:rsidRPr="008B455F" w:rsidRDefault="00A55671" w:rsidP="00DD5432">
      <w:pPr>
        <w:pStyle w:val="berschrift3"/>
        <w:rPr>
          <w:lang w:val="en-GB"/>
        </w:rPr>
      </w:pPr>
      <w:bookmarkStart w:id="7" w:name="_Toc145665981"/>
      <w:r>
        <w:rPr>
          <w:lang w:val="en-GB"/>
        </w:rPr>
        <w:t>A</w:t>
      </w:r>
      <w:r w:rsidR="001F2234">
        <w:rPr>
          <w:lang w:val="en-GB"/>
        </w:rPr>
        <w:t xml:space="preserve">lignment </w:t>
      </w:r>
      <w:r w:rsidR="00C116C4">
        <w:rPr>
          <w:lang w:val="en-GB"/>
        </w:rPr>
        <w:t>focuss</w:t>
      </w:r>
      <w:r>
        <w:rPr>
          <w:lang w:val="en-GB"/>
        </w:rPr>
        <w:t>ed</w:t>
      </w:r>
      <w:r w:rsidR="00C116C4">
        <w:rPr>
          <w:lang w:val="en-GB"/>
        </w:rPr>
        <w:t xml:space="preserve"> on the outcome</w:t>
      </w:r>
      <w:bookmarkEnd w:id="7"/>
    </w:p>
    <w:p w14:paraId="5357FD8E" w14:textId="6CD5133D" w:rsidR="00C116C4" w:rsidRPr="00074EAB" w:rsidRDefault="00CE1E35" w:rsidP="00C116C4">
      <w:pPr>
        <w:rPr>
          <w:rFonts w:cs="Arial"/>
          <w:lang w:val="en-GB"/>
        </w:rPr>
      </w:pPr>
      <w:r>
        <w:rPr>
          <w:rFonts w:cs="Arial"/>
          <w:lang w:val="en-GB"/>
        </w:rPr>
        <w:t xml:space="preserve">As far as the </w:t>
      </w:r>
      <w:r w:rsidR="001F2234">
        <w:rPr>
          <w:rFonts w:cs="Arial"/>
          <w:lang w:val="en-GB"/>
        </w:rPr>
        <w:t>Convention</w:t>
      </w:r>
      <w:r>
        <w:rPr>
          <w:rFonts w:cs="Arial"/>
          <w:lang w:val="en-GB"/>
        </w:rPr>
        <w:t xml:space="preserve"> is binding</w:t>
      </w:r>
      <w:r w:rsidR="00A55671">
        <w:rPr>
          <w:rFonts w:cs="Arial"/>
          <w:lang w:val="en-GB"/>
        </w:rPr>
        <w:t xml:space="preserve">, it is crucial </w:t>
      </w:r>
      <w:r>
        <w:rPr>
          <w:rFonts w:cs="Arial"/>
          <w:lang w:val="en-GB"/>
        </w:rPr>
        <w:t>to avoid</w:t>
      </w:r>
      <w:r w:rsidR="00A55671">
        <w:rPr>
          <w:rFonts w:cs="Arial"/>
          <w:lang w:val="en-GB"/>
        </w:rPr>
        <w:t>, as far as is possible,</w:t>
      </w:r>
      <w:r>
        <w:rPr>
          <w:rFonts w:cs="Arial"/>
          <w:lang w:val="en-GB"/>
        </w:rPr>
        <w:t xml:space="preserve"> </w:t>
      </w:r>
      <w:r w:rsidR="00A55671">
        <w:rPr>
          <w:rFonts w:cs="Arial"/>
          <w:lang w:val="en-GB"/>
        </w:rPr>
        <w:t xml:space="preserve">any </w:t>
      </w:r>
      <w:r>
        <w:rPr>
          <w:rFonts w:cs="Arial"/>
          <w:lang w:val="en-GB"/>
        </w:rPr>
        <w:t xml:space="preserve">contradictions with regard to the </w:t>
      </w:r>
      <w:r w:rsidR="00A55671">
        <w:rPr>
          <w:rFonts w:cs="Arial"/>
          <w:lang w:val="en-GB"/>
        </w:rPr>
        <w:t>end result</w:t>
      </w:r>
      <w:r>
        <w:rPr>
          <w:rFonts w:cs="Arial"/>
          <w:lang w:val="en-GB"/>
        </w:rPr>
        <w:t>. This does, however, not require harmony or identity of terms or legal doctrines. The Federal Constitutional Court uses the phras</w:t>
      </w:r>
      <w:bookmarkStart w:id="8" w:name="_GoBack"/>
      <w:bookmarkEnd w:id="8"/>
      <w:r>
        <w:rPr>
          <w:rFonts w:cs="Arial"/>
          <w:lang w:val="en-GB"/>
        </w:rPr>
        <w:t>e that the a</w:t>
      </w:r>
      <w:r w:rsidR="00270934">
        <w:rPr>
          <w:rFonts w:cs="Arial"/>
          <w:lang w:val="en-GB"/>
        </w:rPr>
        <w:t>lignment</w:t>
      </w:r>
      <w:r>
        <w:rPr>
          <w:rFonts w:cs="Arial"/>
          <w:lang w:val="en-GB"/>
        </w:rPr>
        <w:t xml:space="preserve"> is ‘focussed on the outcome’.</w:t>
      </w:r>
      <w:r>
        <w:rPr>
          <w:rStyle w:val="Endnotenzeichen"/>
          <w:rFonts w:cs="Arial"/>
          <w:lang w:val="en-GB"/>
        </w:rPr>
        <w:endnoteReference w:id="20"/>
      </w:r>
      <w:r>
        <w:rPr>
          <w:rFonts w:cs="Arial"/>
          <w:lang w:val="en-GB"/>
        </w:rPr>
        <w:t xml:space="preserve"> The primary aim is to avoid a violation of international treaties.</w:t>
      </w:r>
      <w:r>
        <w:rPr>
          <w:rStyle w:val="Endnotenzeichen"/>
          <w:rFonts w:cs="Arial"/>
          <w:lang w:val="en-GB"/>
        </w:rPr>
        <w:endnoteReference w:id="21"/>
      </w:r>
    </w:p>
    <w:p w14:paraId="71A71463" w14:textId="69AEB729" w:rsidR="00C116C4" w:rsidRPr="00074EAB" w:rsidRDefault="00C116C4" w:rsidP="00C116C4">
      <w:pPr>
        <w:rPr>
          <w:rFonts w:cs="Arial"/>
          <w:lang w:val="en-GB"/>
        </w:rPr>
      </w:pPr>
      <w:r>
        <w:rPr>
          <w:rFonts w:cs="Arial"/>
          <w:lang w:val="en-GB"/>
        </w:rPr>
        <w:t xml:space="preserve">This is of particular relevance when the Federal Constitutional Court attempts to retrospectively adapt constitutional stipulations after the </w:t>
      </w:r>
      <w:r w:rsidR="00F76499">
        <w:rPr>
          <w:rFonts w:cs="Arial"/>
          <w:lang w:val="en-GB"/>
        </w:rPr>
        <w:t>Court</w:t>
      </w:r>
      <w:r w:rsidR="009B7759">
        <w:rPr>
          <w:rFonts w:cs="Arial"/>
          <w:lang w:val="en-GB"/>
        </w:rPr>
        <w:t xml:space="preserve"> has ruled against </w:t>
      </w:r>
      <w:r w:rsidR="00284226">
        <w:rPr>
          <w:rFonts w:cs="Arial"/>
          <w:lang w:val="en-GB"/>
        </w:rPr>
        <w:t>Germany</w:t>
      </w:r>
      <w:r>
        <w:rPr>
          <w:rFonts w:cs="Arial"/>
          <w:lang w:val="en-GB"/>
        </w:rPr>
        <w:t xml:space="preserve"> in order to avoid a repeated condemnation. For example, the fact that the </w:t>
      </w:r>
      <w:r w:rsidR="00F76499">
        <w:rPr>
          <w:rFonts w:cs="Arial"/>
          <w:lang w:val="en-GB"/>
        </w:rPr>
        <w:t>Court</w:t>
      </w:r>
      <w:r>
        <w:rPr>
          <w:rFonts w:cs="Arial"/>
          <w:lang w:val="en-GB"/>
        </w:rPr>
        <w:t xml:space="preserve"> </w:t>
      </w:r>
      <w:r w:rsidR="009B7759" w:rsidRPr="00D64F98">
        <w:rPr>
          <w:rFonts w:cs="Arial"/>
          <w:lang w:val="en-GB"/>
        </w:rPr>
        <w:t xml:space="preserve">found </w:t>
      </w:r>
      <w:r w:rsidRPr="00D64F98">
        <w:rPr>
          <w:rFonts w:cs="Arial"/>
          <w:lang w:val="en-GB"/>
        </w:rPr>
        <w:t xml:space="preserve">the retrospective extension of </w:t>
      </w:r>
      <w:hyperlink r:id="rId9" w:anchor="p0421" w:history="1">
        <w:r w:rsidR="00EC6876" w:rsidRPr="00D64F98">
          <w:rPr>
            <w:rFonts w:cs="Arial"/>
            <w:bCs/>
            <w:lang w:val="en-GB"/>
          </w:rPr>
          <w:t>measures of reform and prevention</w:t>
        </w:r>
      </w:hyperlink>
      <w:r w:rsidR="00EC6876" w:rsidRPr="00D64F98">
        <w:rPr>
          <w:rFonts w:cs="Arial"/>
          <w:lang w:val="en-GB"/>
        </w:rPr>
        <w:t xml:space="preserve"> </w:t>
      </w:r>
      <w:r w:rsidR="00175B3D" w:rsidRPr="00D64F98">
        <w:rPr>
          <w:rFonts w:cs="Arial"/>
          <w:lang w:val="en-GB"/>
        </w:rPr>
        <w:t xml:space="preserve">imposed </w:t>
      </w:r>
      <w:r w:rsidRPr="00D64F98">
        <w:rPr>
          <w:rFonts w:cs="Arial"/>
          <w:lang w:val="en-GB"/>
        </w:rPr>
        <w:t>o</w:t>
      </w:r>
      <w:r w:rsidR="00175B3D" w:rsidRPr="00D64F98">
        <w:rPr>
          <w:rFonts w:cs="Arial"/>
          <w:lang w:val="en-GB"/>
        </w:rPr>
        <w:t>n</w:t>
      </w:r>
      <w:r w:rsidRPr="00D64F98">
        <w:rPr>
          <w:rFonts w:cs="Arial"/>
          <w:lang w:val="en-GB"/>
        </w:rPr>
        <w:t xml:space="preserve"> offenders </w:t>
      </w:r>
      <w:r w:rsidR="009B7759" w:rsidRPr="00D64F98">
        <w:rPr>
          <w:rFonts w:cs="Arial"/>
          <w:lang w:val="en-GB"/>
        </w:rPr>
        <w:t xml:space="preserve">to </w:t>
      </w:r>
      <w:r w:rsidRPr="00D64F98">
        <w:rPr>
          <w:rFonts w:cs="Arial"/>
          <w:lang w:val="en-GB"/>
        </w:rPr>
        <w:t>violat</w:t>
      </w:r>
      <w:r w:rsidR="009B7759" w:rsidRPr="00D64F98">
        <w:rPr>
          <w:rFonts w:cs="Arial"/>
          <w:lang w:val="en-GB"/>
        </w:rPr>
        <w:t>e</w:t>
      </w:r>
      <w:r w:rsidRPr="00D64F98">
        <w:rPr>
          <w:rFonts w:cs="Arial"/>
          <w:lang w:val="en-GB"/>
        </w:rPr>
        <w:t xml:space="preserve"> the prohibition of retrospective penalties pursuant to Art. 7 </w:t>
      </w:r>
      <w:r w:rsidR="001F7834" w:rsidRPr="00D64F98">
        <w:rPr>
          <w:rFonts w:cs="Arial"/>
          <w:lang w:val="en-GB"/>
        </w:rPr>
        <w:t>of the Convention</w:t>
      </w:r>
      <w:r w:rsidRPr="00D64F98">
        <w:rPr>
          <w:rStyle w:val="Endnotenzeichen"/>
          <w:rFonts w:cs="Arial"/>
          <w:lang w:val="en-GB"/>
        </w:rPr>
        <w:endnoteReference w:id="22"/>
      </w:r>
      <w:r w:rsidRPr="00D64F98">
        <w:rPr>
          <w:rFonts w:cs="Arial"/>
          <w:lang w:val="en-GB"/>
        </w:rPr>
        <w:t xml:space="preserve"> did not cause the Federal Constitutional Court to qualify </w:t>
      </w:r>
      <w:hyperlink r:id="rId10" w:anchor="p0421" w:history="1">
        <w:r w:rsidR="00EC6876" w:rsidRPr="00D64F98">
          <w:rPr>
            <w:rFonts w:cs="Arial"/>
            <w:bCs/>
            <w:lang w:val="en-GB"/>
          </w:rPr>
          <w:t>measures of reform and prevention</w:t>
        </w:r>
      </w:hyperlink>
      <w:r w:rsidR="00EC6876" w:rsidRPr="00D64F98">
        <w:rPr>
          <w:rFonts w:cs="Arial"/>
          <w:lang w:val="en-GB"/>
        </w:rPr>
        <w:t xml:space="preserve"> </w:t>
      </w:r>
      <w:r w:rsidRPr="00D64F98">
        <w:rPr>
          <w:rFonts w:cs="Arial"/>
          <w:lang w:val="en-GB"/>
        </w:rPr>
        <w:t xml:space="preserve">as a penalty. Rather, it applied the </w:t>
      </w:r>
      <w:r w:rsidR="00943156" w:rsidRPr="00D64F98">
        <w:rPr>
          <w:rFonts w:cs="Arial"/>
          <w:lang w:val="en-GB"/>
        </w:rPr>
        <w:t xml:space="preserve">general </w:t>
      </w:r>
      <w:r w:rsidRPr="00D64F98">
        <w:rPr>
          <w:rFonts w:cs="Arial"/>
          <w:lang w:val="en-GB"/>
        </w:rPr>
        <w:t xml:space="preserve">prohibition </w:t>
      </w:r>
      <w:r w:rsidR="00943156" w:rsidRPr="00D64F98">
        <w:rPr>
          <w:rFonts w:cs="Arial"/>
          <w:lang w:val="en-GB"/>
        </w:rPr>
        <w:t xml:space="preserve">on retroactivity, which arises from the rule of law and applies to all intrusive measures, </w:t>
      </w:r>
      <w:r w:rsidRPr="00D64F98">
        <w:rPr>
          <w:rFonts w:cs="Arial"/>
          <w:lang w:val="en-GB"/>
        </w:rPr>
        <w:t xml:space="preserve">in a particularly strict fashion to </w:t>
      </w:r>
      <w:hyperlink r:id="rId11" w:anchor="p0421" w:history="1">
        <w:r w:rsidR="00EC6876" w:rsidRPr="00D64F98">
          <w:rPr>
            <w:rFonts w:cs="Arial"/>
            <w:bCs/>
            <w:lang w:val="en-GB"/>
          </w:rPr>
          <w:t>measures of reform and prevention</w:t>
        </w:r>
      </w:hyperlink>
      <w:r w:rsidRPr="00D64F98">
        <w:rPr>
          <w:rFonts w:cs="Arial"/>
          <w:lang w:val="en-GB"/>
        </w:rPr>
        <w:t>,</w:t>
      </w:r>
      <w:r>
        <w:rPr>
          <w:rFonts w:cs="Arial"/>
          <w:lang w:val="en-GB"/>
        </w:rPr>
        <w:t xml:space="preserve"> thereby arriving at the same conclusion it would have reached had </w:t>
      </w:r>
      <w:r w:rsidR="001A610C">
        <w:rPr>
          <w:rFonts w:cs="Arial"/>
          <w:lang w:val="en-GB"/>
        </w:rPr>
        <w:t xml:space="preserve">the </w:t>
      </w:r>
      <w:r>
        <w:rPr>
          <w:rFonts w:cs="Arial"/>
          <w:lang w:val="en-GB"/>
        </w:rPr>
        <w:t>prohibition of retrospective criminal laws been applicable.</w:t>
      </w:r>
      <w:r>
        <w:rPr>
          <w:rStyle w:val="Endnotenzeichen"/>
          <w:rFonts w:cs="Arial"/>
          <w:lang w:val="en-GB"/>
        </w:rPr>
        <w:endnoteReference w:id="23"/>
      </w:r>
    </w:p>
    <w:p w14:paraId="31C61812" w14:textId="77777777" w:rsidR="00C116C4" w:rsidRDefault="00C116C4" w:rsidP="00DD5432">
      <w:pPr>
        <w:pStyle w:val="berschrift3"/>
      </w:pPr>
      <w:bookmarkStart w:id="9" w:name="_Toc145665982"/>
      <w:r>
        <w:rPr>
          <w:lang w:val="en-GB"/>
        </w:rPr>
        <w:lastRenderedPageBreak/>
        <w:t>Context-specific interpretation</w:t>
      </w:r>
      <w:bookmarkEnd w:id="9"/>
    </w:p>
    <w:p w14:paraId="179638FE" w14:textId="17E0C89B" w:rsidR="00C116C4" w:rsidRPr="00074EAB" w:rsidRDefault="00B67A3D" w:rsidP="00C116C4">
      <w:pPr>
        <w:rPr>
          <w:rFonts w:cs="Arial"/>
          <w:lang w:val="en-GB"/>
        </w:rPr>
      </w:pPr>
      <w:r>
        <w:rPr>
          <w:rFonts w:cs="Arial"/>
          <w:lang w:val="en-GB"/>
        </w:rPr>
        <w:t>In addition</w:t>
      </w:r>
      <w:r w:rsidR="00AB3571">
        <w:rPr>
          <w:rFonts w:cs="Arial"/>
          <w:lang w:val="en-GB"/>
        </w:rPr>
        <w:t>,</w:t>
      </w:r>
      <w:r w:rsidR="00C116C4">
        <w:rPr>
          <w:rFonts w:cs="Arial"/>
          <w:lang w:val="en-GB"/>
        </w:rPr>
        <w:t xml:space="preserve"> the Federal Constitutional Court also points out that any adaptation must be assessed on a context-specific basis.</w:t>
      </w:r>
      <w:r w:rsidR="00C116C4">
        <w:rPr>
          <w:rStyle w:val="Endnotenzeichen"/>
          <w:rFonts w:cs="Arial"/>
          <w:lang w:val="en-GB"/>
        </w:rPr>
        <w:endnoteReference w:id="24"/>
      </w:r>
      <w:r w:rsidR="00C116C4">
        <w:rPr>
          <w:rFonts w:cs="Arial"/>
          <w:lang w:val="en-GB"/>
        </w:rPr>
        <w:t xml:space="preserve"> This means that the case-law of the Court must be integrated as carefully as possible into the existing national legal system.</w:t>
      </w:r>
      <w:r w:rsidR="00C116C4">
        <w:rPr>
          <w:rFonts w:cs="Arial"/>
          <w:vertAlign w:val="superscript"/>
          <w:lang w:val="en-GB"/>
        </w:rPr>
        <w:endnoteReference w:id="25"/>
      </w:r>
      <w:r w:rsidR="00C116C4">
        <w:rPr>
          <w:rFonts w:cs="Arial"/>
          <w:vertAlign w:val="superscript"/>
          <w:lang w:val="en-GB"/>
        </w:rPr>
        <w:t xml:space="preserve"> </w:t>
      </w:r>
    </w:p>
    <w:p w14:paraId="79152291" w14:textId="3F8F41B1" w:rsidR="00C116C4" w:rsidRPr="00074EAB" w:rsidRDefault="00C116C4" w:rsidP="00C116C4">
      <w:pPr>
        <w:rPr>
          <w:lang w:val="en-GB"/>
        </w:rPr>
      </w:pPr>
      <w:r>
        <w:rPr>
          <w:lang w:val="en-GB"/>
        </w:rPr>
        <w:t xml:space="preserve">Therefore, international law concepts must not be adopted indiscriminately. Similarities </w:t>
      </w:r>
      <w:r w:rsidR="00452C8B">
        <w:rPr>
          <w:lang w:val="en-GB"/>
        </w:rPr>
        <w:t xml:space="preserve">in </w:t>
      </w:r>
      <w:r w:rsidR="001A610C">
        <w:rPr>
          <w:lang w:val="en-GB"/>
        </w:rPr>
        <w:t>the wording of certain legal provisions</w:t>
      </w:r>
      <w:r>
        <w:rPr>
          <w:lang w:val="en-GB"/>
        </w:rPr>
        <w:t xml:space="preserve"> must not cover up the differences which follow from the context of the legal systems: </w:t>
      </w:r>
      <w:r w:rsidR="00452C8B">
        <w:rPr>
          <w:lang w:val="en-GB"/>
        </w:rPr>
        <w:t xml:space="preserve">the </w:t>
      </w:r>
      <w:r>
        <w:rPr>
          <w:lang w:val="en-GB"/>
        </w:rPr>
        <w:t xml:space="preserve">human rights content of the relevant international treaty must be </w:t>
      </w:r>
      <w:r w:rsidR="00452C8B">
        <w:rPr>
          <w:lang w:val="en-GB"/>
        </w:rPr>
        <w:t>’</w:t>
      </w:r>
      <w:r>
        <w:rPr>
          <w:lang w:val="en-GB"/>
        </w:rPr>
        <w:t>adapted</w:t>
      </w:r>
      <w:r w:rsidR="00452C8B">
        <w:rPr>
          <w:lang w:val="en-GB"/>
        </w:rPr>
        <w:t>’</w:t>
      </w:r>
      <w:r>
        <w:rPr>
          <w:lang w:val="en-GB"/>
        </w:rPr>
        <w:t xml:space="preserve"> to the context of the receiving constitutional system in an active process (of acknowledg</w:t>
      </w:r>
      <w:r w:rsidR="00CB62BE">
        <w:rPr>
          <w:lang w:val="en-GB"/>
        </w:rPr>
        <w:t>e</w:t>
      </w:r>
      <w:r>
        <w:rPr>
          <w:lang w:val="en-GB"/>
        </w:rPr>
        <w:t>ment).</w:t>
      </w:r>
      <w:r>
        <w:rPr>
          <w:rStyle w:val="Endnotenzeichen"/>
          <w:lang w:val="en-GB"/>
        </w:rPr>
        <w:endnoteReference w:id="26"/>
      </w:r>
    </w:p>
    <w:p w14:paraId="3ADBFAA7" w14:textId="78AAC7B8" w:rsidR="00C116C4" w:rsidRPr="00074EAB" w:rsidRDefault="00452C8B" w:rsidP="00C116C4">
      <w:pPr>
        <w:rPr>
          <w:rFonts w:cs="Arial"/>
          <w:lang w:val="en-GB"/>
        </w:rPr>
      </w:pPr>
      <w:r>
        <w:rPr>
          <w:lang w:val="en-GB"/>
        </w:rPr>
        <w:t>From the perspective of the Basic Law</w:t>
      </w:r>
      <w:r w:rsidR="003A15E2">
        <w:rPr>
          <w:lang w:val="en-GB"/>
        </w:rPr>
        <w:t xml:space="preserve"> in particular</w:t>
      </w:r>
      <w:r w:rsidR="00B867D0">
        <w:rPr>
          <w:lang w:val="en-GB"/>
        </w:rPr>
        <w:t xml:space="preserve">, the principle of proportionality comes into consideration as an inherent constitutional principle when taking into account assessments of the Court. This is especially true when, in the case of textually similar guarantees, </w:t>
      </w:r>
      <w:r w:rsidR="00B42E3D">
        <w:rPr>
          <w:lang w:val="en-GB"/>
        </w:rPr>
        <w:t>t</w:t>
      </w:r>
      <w:r w:rsidR="00C116C4">
        <w:rPr>
          <w:lang w:val="en-GB"/>
        </w:rPr>
        <w:t>he interpretation of a concept that the Court has developed autonomously differs from the corresponding concept</w:t>
      </w:r>
      <w:r w:rsidR="00B867D0">
        <w:rPr>
          <w:lang w:val="en-GB"/>
        </w:rPr>
        <w:t xml:space="preserve"> according to the Basic Law</w:t>
      </w:r>
      <w:r w:rsidR="00C116C4">
        <w:rPr>
          <w:lang w:val="en-GB"/>
        </w:rPr>
        <w:t>.</w:t>
      </w:r>
      <w:r w:rsidR="00C116C4">
        <w:rPr>
          <w:vertAlign w:val="superscript"/>
          <w:lang w:val="en-GB"/>
        </w:rPr>
        <w:endnoteReference w:id="27"/>
      </w:r>
    </w:p>
    <w:p w14:paraId="242BBAC0" w14:textId="29559E87" w:rsidR="00C116C4" w:rsidRPr="00074EAB" w:rsidRDefault="00F76499" w:rsidP="00DD5432">
      <w:pPr>
        <w:pStyle w:val="berschrift2"/>
        <w:rPr>
          <w:lang w:val="en-GB"/>
        </w:rPr>
      </w:pPr>
      <w:r>
        <w:rPr>
          <w:lang w:val="en-GB"/>
        </w:rPr>
        <w:t xml:space="preserve"> </w:t>
      </w:r>
      <w:bookmarkStart w:id="10" w:name="_Toc145665983"/>
      <w:r w:rsidR="00DD5432">
        <w:rPr>
          <w:lang w:val="en-GB"/>
        </w:rPr>
        <w:t xml:space="preserve">Hard limits of the duty to </w:t>
      </w:r>
      <w:r w:rsidR="003A15E2">
        <w:rPr>
          <w:lang w:val="en-GB"/>
        </w:rPr>
        <w:t>take into account</w:t>
      </w:r>
      <w:bookmarkEnd w:id="10"/>
    </w:p>
    <w:p w14:paraId="3CA828AC" w14:textId="6393C0F7" w:rsidR="00C116C4" w:rsidRPr="00074EAB" w:rsidRDefault="003A15E2" w:rsidP="00C116C4">
      <w:pPr>
        <w:rPr>
          <w:rFonts w:cs="Arial"/>
          <w:lang w:val="en-GB"/>
        </w:rPr>
      </w:pPr>
      <w:r>
        <w:rPr>
          <w:lang w:val="en-GB"/>
        </w:rPr>
        <w:t>T</w:t>
      </w:r>
      <w:r w:rsidR="00C116C4">
        <w:rPr>
          <w:lang w:val="en-GB"/>
        </w:rPr>
        <w:t xml:space="preserve">he </w:t>
      </w:r>
      <w:r>
        <w:rPr>
          <w:lang w:val="en-GB"/>
        </w:rPr>
        <w:t xml:space="preserve">Federal Constitutional </w:t>
      </w:r>
      <w:r w:rsidR="00C116C4">
        <w:rPr>
          <w:lang w:val="en-GB"/>
        </w:rPr>
        <w:t xml:space="preserve">Court </w:t>
      </w:r>
      <w:r>
        <w:rPr>
          <w:lang w:val="en-GB"/>
        </w:rPr>
        <w:t xml:space="preserve">also </w:t>
      </w:r>
      <w:r w:rsidR="00C116C4">
        <w:rPr>
          <w:lang w:val="en-GB"/>
        </w:rPr>
        <w:t xml:space="preserve">emphasises that there are limits to the possibilities of approximation of the national legal order and the </w:t>
      </w:r>
      <w:r w:rsidR="001F7834">
        <w:rPr>
          <w:lang w:val="en-GB"/>
        </w:rPr>
        <w:t>Convention</w:t>
      </w:r>
      <w:r w:rsidR="00C116C4">
        <w:rPr>
          <w:lang w:val="en-GB"/>
        </w:rPr>
        <w:t xml:space="preserve">. The </w:t>
      </w:r>
      <w:r w:rsidR="00EC6876">
        <w:rPr>
          <w:lang w:val="en-GB"/>
        </w:rPr>
        <w:t xml:space="preserve">Federal Constitutional </w:t>
      </w:r>
      <w:r w:rsidR="00C116C4">
        <w:rPr>
          <w:lang w:val="en-GB"/>
        </w:rPr>
        <w:t xml:space="preserve">Court refers to these as </w:t>
      </w:r>
      <w:r w:rsidR="00C116C4">
        <w:rPr>
          <w:szCs w:val="28"/>
          <w:lang w:val="en-GB"/>
        </w:rPr>
        <w:t xml:space="preserve">obstacles to the </w:t>
      </w:r>
      <w:r w:rsidR="00C10866">
        <w:rPr>
          <w:szCs w:val="28"/>
          <w:lang w:val="en-GB"/>
        </w:rPr>
        <w:t xml:space="preserve">acknowledgement </w:t>
      </w:r>
      <w:r w:rsidR="00C116C4">
        <w:rPr>
          <w:szCs w:val="28"/>
          <w:lang w:val="en-GB"/>
        </w:rPr>
        <w:t>of international law</w:t>
      </w:r>
      <w:r w:rsidR="00C116C4">
        <w:rPr>
          <w:rFonts w:ascii="Times New Roman" w:hAnsi="Times New Roman"/>
          <w:sz w:val="24"/>
          <w:lang w:val="en-GB"/>
        </w:rPr>
        <w:t>.</w:t>
      </w:r>
      <w:r w:rsidR="00C116C4">
        <w:rPr>
          <w:rStyle w:val="Endnotenzeichen"/>
          <w:rFonts w:ascii="Times New Roman" w:hAnsi="Times New Roman" w:cs="Times New Roman"/>
          <w:sz w:val="24"/>
          <w:lang w:val="en-GB"/>
        </w:rPr>
        <w:endnoteReference w:id="28"/>
      </w:r>
      <w:r w:rsidR="00C116C4">
        <w:rPr>
          <w:rFonts w:ascii="Times New Roman" w:hAnsi="Times New Roman"/>
          <w:sz w:val="24"/>
          <w:lang w:val="en-GB"/>
        </w:rPr>
        <w:t xml:space="preserve"> </w:t>
      </w:r>
      <w:r w:rsidR="00C116C4">
        <w:rPr>
          <w:lang w:val="en-GB"/>
        </w:rPr>
        <w:t xml:space="preserve">The </w:t>
      </w:r>
      <w:r w:rsidR="00EC6876">
        <w:rPr>
          <w:lang w:val="en-GB"/>
        </w:rPr>
        <w:t xml:space="preserve">Federal Constitutional </w:t>
      </w:r>
      <w:r w:rsidR="00C116C4">
        <w:rPr>
          <w:lang w:val="en-GB"/>
        </w:rPr>
        <w:t>Court lays down three explicit limits:</w:t>
      </w:r>
      <w:r w:rsidR="00C116C4">
        <w:rPr>
          <w:rStyle w:val="Endnotenzeichen"/>
          <w:rFonts w:cs="Arial"/>
          <w:lang w:val="en-GB"/>
        </w:rPr>
        <w:endnoteReference w:id="29"/>
      </w:r>
    </w:p>
    <w:p w14:paraId="1A2D2EEB" w14:textId="4E3C9E48" w:rsidR="00C116C4" w:rsidRPr="00074EAB" w:rsidRDefault="00C116C4" w:rsidP="00C116C4">
      <w:pPr>
        <w:spacing w:before="100" w:beforeAutospacing="1" w:after="100" w:afterAutospacing="1"/>
        <w:ind w:left="709" w:hanging="709"/>
        <w:jc w:val="left"/>
        <w:rPr>
          <w:rFonts w:cs="Arial"/>
          <w:szCs w:val="28"/>
          <w:lang w:val="en-GB"/>
        </w:rPr>
      </w:pPr>
      <w:r>
        <w:rPr>
          <w:rFonts w:cs="Arial"/>
          <w:szCs w:val="28"/>
          <w:lang w:val="en-GB"/>
        </w:rPr>
        <w:t xml:space="preserve">- </w:t>
      </w:r>
      <w:r>
        <w:rPr>
          <w:rFonts w:cs="Arial"/>
          <w:szCs w:val="28"/>
          <w:lang w:val="en-GB"/>
        </w:rPr>
        <w:tab/>
      </w:r>
      <w:r w:rsidR="003A15E2">
        <w:rPr>
          <w:rFonts w:cs="Arial"/>
          <w:szCs w:val="28"/>
          <w:lang w:val="en-GB"/>
        </w:rPr>
        <w:t xml:space="preserve">An </w:t>
      </w:r>
      <w:r>
        <w:rPr>
          <w:rFonts w:cs="Arial"/>
          <w:szCs w:val="28"/>
          <w:lang w:val="en-GB"/>
        </w:rPr>
        <w:t xml:space="preserve">interpretation of fundamental rights in a manner that is open to the Convention </w:t>
      </w:r>
      <w:r w:rsidR="00447853">
        <w:rPr>
          <w:rFonts w:cs="Arial"/>
          <w:szCs w:val="28"/>
          <w:lang w:val="en-GB"/>
        </w:rPr>
        <w:t xml:space="preserve">must not </w:t>
      </w:r>
      <w:r>
        <w:rPr>
          <w:rFonts w:cs="Arial"/>
          <w:szCs w:val="28"/>
          <w:lang w:val="en-GB"/>
        </w:rPr>
        <w:t xml:space="preserve">result in a limitation of the protection of fundamental rights afforded to </w:t>
      </w:r>
      <w:r w:rsidR="0067150A">
        <w:rPr>
          <w:rFonts w:cs="Arial"/>
          <w:szCs w:val="28"/>
          <w:lang w:val="en-GB"/>
        </w:rPr>
        <w:t>others</w:t>
      </w:r>
      <w:r>
        <w:rPr>
          <w:rFonts w:cs="Arial"/>
          <w:szCs w:val="28"/>
          <w:lang w:val="en-GB"/>
        </w:rPr>
        <w:t xml:space="preserve"> by the Basic Law</w:t>
      </w:r>
      <w:r w:rsidR="003A15E2">
        <w:rPr>
          <w:rFonts w:cs="Arial"/>
          <w:szCs w:val="28"/>
          <w:lang w:val="en-GB"/>
        </w:rPr>
        <w:t>.</w:t>
      </w:r>
      <w:r>
        <w:rPr>
          <w:rFonts w:cs="Arial"/>
          <w:szCs w:val="28"/>
          <w:lang w:val="en-GB"/>
        </w:rPr>
        <w:t xml:space="preserve"> </w:t>
      </w:r>
      <w:r w:rsidR="00897740">
        <w:rPr>
          <w:rFonts w:cs="Arial"/>
          <w:szCs w:val="28"/>
          <w:lang w:val="en-GB"/>
        </w:rPr>
        <w:t>T</w:t>
      </w:r>
      <w:r>
        <w:rPr>
          <w:rFonts w:cs="Arial"/>
          <w:szCs w:val="28"/>
          <w:lang w:val="en-GB"/>
        </w:rPr>
        <w:t>his may become significant in multi-polar fundamental righ</w:t>
      </w:r>
      <w:r w:rsidR="00526A91">
        <w:rPr>
          <w:rFonts w:cs="Arial"/>
          <w:szCs w:val="28"/>
          <w:lang w:val="en-GB"/>
        </w:rPr>
        <w:t>ts relationships</w:t>
      </w:r>
      <w:r w:rsidR="00AE7571">
        <w:rPr>
          <w:rFonts w:cs="Arial"/>
          <w:szCs w:val="28"/>
          <w:lang w:val="en-GB"/>
        </w:rPr>
        <w:t>.</w:t>
      </w:r>
    </w:p>
    <w:p w14:paraId="526DBE71" w14:textId="45B05C4A" w:rsidR="00C116C4" w:rsidRPr="00074EAB" w:rsidRDefault="00C116C4" w:rsidP="00C116C4">
      <w:pPr>
        <w:spacing w:before="100" w:beforeAutospacing="1" w:after="100" w:afterAutospacing="1"/>
        <w:ind w:left="709" w:hanging="709"/>
        <w:jc w:val="left"/>
        <w:rPr>
          <w:rFonts w:cs="Arial"/>
          <w:szCs w:val="28"/>
          <w:lang w:val="en-GB"/>
        </w:rPr>
      </w:pPr>
      <w:r>
        <w:rPr>
          <w:rFonts w:cs="Arial"/>
          <w:szCs w:val="28"/>
          <w:lang w:val="en-GB"/>
        </w:rPr>
        <w:lastRenderedPageBreak/>
        <w:t>-</w:t>
      </w:r>
      <w:r>
        <w:rPr>
          <w:rFonts w:cs="Arial"/>
          <w:szCs w:val="28"/>
          <w:lang w:val="en-GB"/>
        </w:rPr>
        <w:tab/>
      </w:r>
      <w:r w:rsidR="000D135B">
        <w:rPr>
          <w:rFonts w:cs="Arial"/>
          <w:szCs w:val="28"/>
          <w:lang w:val="en-GB"/>
        </w:rPr>
        <w:t xml:space="preserve">An </w:t>
      </w:r>
      <w:r>
        <w:rPr>
          <w:rFonts w:cs="Arial"/>
          <w:szCs w:val="28"/>
          <w:lang w:val="en-GB"/>
        </w:rPr>
        <w:t>interpretation of fundamental rights in a manner that is open to the Convention must remain within the limits of the recognised methods of interpretation of statutes</w:t>
      </w:r>
      <w:r>
        <w:rPr>
          <w:rFonts w:cs="Arial"/>
          <w:szCs w:val="28"/>
          <w:lang w:val="en-GB"/>
        </w:rPr>
        <w:t>.</w:t>
      </w:r>
      <w:r>
        <w:rPr>
          <w:rFonts w:cs="Arial"/>
          <w:szCs w:val="28"/>
          <w:lang w:val="en-GB"/>
        </w:rPr>
        <w:t xml:space="preserve"> German courts are obliged to give precedence to an interpretation that is in accordance with the Convention</w:t>
      </w:r>
      <w:r w:rsidR="000D135B">
        <w:rPr>
          <w:rFonts w:cs="Arial"/>
          <w:szCs w:val="28"/>
          <w:lang w:val="en-GB"/>
        </w:rPr>
        <w:t xml:space="preserve"> o</w:t>
      </w:r>
      <w:r w:rsidR="000D135B" w:rsidRPr="000D135B">
        <w:rPr>
          <w:rFonts w:cs="Arial"/>
          <w:szCs w:val="28"/>
          <w:lang w:val="en-GB"/>
        </w:rPr>
        <w:t>nly to the extent that there is room for interpretation and balancing</w:t>
      </w:r>
      <w:r>
        <w:rPr>
          <w:rFonts w:cs="Arial"/>
          <w:szCs w:val="28"/>
          <w:lang w:val="en-GB"/>
        </w:rPr>
        <w:t>.</w:t>
      </w:r>
      <w:r w:rsidR="00EC6876" w:rsidRPr="005D4632">
        <w:rPr>
          <w:lang w:val="en-GB"/>
        </w:rPr>
        <w:t xml:space="preserve"> </w:t>
      </w:r>
      <w:r w:rsidR="00EC6876" w:rsidRPr="00DF6B85">
        <w:rPr>
          <w:rFonts w:cs="Arial"/>
          <w:szCs w:val="28"/>
          <w:lang w:val="en-GB"/>
        </w:rPr>
        <w:t xml:space="preserve">The precedence ends if </w:t>
      </w:r>
      <w:r w:rsidRPr="00DF6B85">
        <w:rPr>
          <w:rFonts w:cs="Arial"/>
          <w:szCs w:val="28"/>
          <w:lang w:val="en-GB"/>
        </w:rPr>
        <w:t>observing</w:t>
      </w:r>
      <w:r>
        <w:rPr>
          <w:rFonts w:cs="Arial"/>
          <w:szCs w:val="28"/>
          <w:lang w:val="en-GB"/>
        </w:rPr>
        <w:t xml:space="preserve"> the decision of the </w:t>
      </w:r>
      <w:r w:rsidR="00F76499">
        <w:rPr>
          <w:rFonts w:cs="Arial"/>
          <w:szCs w:val="28"/>
          <w:lang w:val="en-GB"/>
        </w:rPr>
        <w:t>Court</w:t>
      </w:r>
      <w:r>
        <w:rPr>
          <w:rFonts w:cs="Arial"/>
          <w:szCs w:val="28"/>
          <w:lang w:val="en-GB"/>
        </w:rPr>
        <w:t xml:space="preserve"> </w:t>
      </w:r>
      <w:r w:rsidR="008C2B67">
        <w:rPr>
          <w:rFonts w:cs="Arial"/>
          <w:szCs w:val="28"/>
          <w:lang w:val="en-GB"/>
        </w:rPr>
        <w:t xml:space="preserve">would </w:t>
      </w:r>
      <w:r>
        <w:rPr>
          <w:rFonts w:cs="Arial"/>
          <w:szCs w:val="28"/>
          <w:lang w:val="en-GB"/>
        </w:rPr>
        <w:t>violate clearly opposing federal statutory law or G</w:t>
      </w:r>
      <w:r w:rsidR="003C7B98">
        <w:rPr>
          <w:rFonts w:cs="Arial"/>
          <w:szCs w:val="28"/>
          <w:lang w:val="en-GB"/>
        </w:rPr>
        <w:t xml:space="preserve">erman </w:t>
      </w:r>
      <w:r w:rsidR="003C7B98">
        <w:rPr>
          <w:rFonts w:cs="Arial"/>
          <w:szCs w:val="28"/>
          <w:lang w:val="en-GB"/>
        </w:rPr>
        <w:t>constitutional</w:t>
      </w:r>
      <w:r w:rsidR="003C7B98">
        <w:rPr>
          <w:rFonts w:cs="Arial"/>
          <w:szCs w:val="28"/>
          <w:lang w:val="en-GB"/>
        </w:rPr>
        <w:t xml:space="preserve"> provisions.</w:t>
      </w:r>
    </w:p>
    <w:p w14:paraId="572FE36B" w14:textId="04EAA5A6" w:rsidR="00C116C4" w:rsidRPr="00074EAB" w:rsidRDefault="00C116C4" w:rsidP="00C116C4">
      <w:pPr>
        <w:spacing w:before="100" w:beforeAutospacing="1" w:after="100" w:afterAutospacing="1"/>
        <w:ind w:left="709" w:hanging="709"/>
        <w:jc w:val="left"/>
        <w:rPr>
          <w:rFonts w:cs="Arial"/>
          <w:szCs w:val="28"/>
          <w:lang w:val="en-GB"/>
        </w:rPr>
      </w:pPr>
      <w:r>
        <w:rPr>
          <w:rFonts w:cs="Arial"/>
          <w:szCs w:val="28"/>
          <w:lang w:val="en-GB"/>
        </w:rPr>
        <w:t>-</w:t>
      </w:r>
      <w:r>
        <w:rPr>
          <w:rFonts w:cs="Arial"/>
          <w:szCs w:val="28"/>
          <w:lang w:val="en-GB"/>
        </w:rPr>
        <w:tab/>
      </w:r>
      <w:r w:rsidR="00566792">
        <w:rPr>
          <w:rFonts w:cs="Arial"/>
          <w:szCs w:val="28"/>
          <w:lang w:val="en-GB"/>
        </w:rPr>
        <w:t xml:space="preserve">Finally, </w:t>
      </w:r>
      <w:r>
        <w:rPr>
          <w:rFonts w:cs="Arial"/>
          <w:szCs w:val="28"/>
          <w:lang w:val="en-GB"/>
        </w:rPr>
        <w:t>the absolute limit of the core of constitutional identity must not be violated</w:t>
      </w:r>
      <w:r w:rsidR="00FE7718">
        <w:rPr>
          <w:rFonts w:cs="Arial"/>
          <w:szCs w:val="28"/>
          <w:lang w:val="en-GB"/>
        </w:rPr>
        <w:t>.</w:t>
      </w:r>
      <w:r>
        <w:rPr>
          <w:rStyle w:val="Endnotenzeichen"/>
          <w:rFonts w:cs="Arial"/>
          <w:szCs w:val="28"/>
          <w:lang w:val="en-GB"/>
        </w:rPr>
        <w:endnoteReference w:id="30"/>
      </w:r>
    </w:p>
    <w:p w14:paraId="63346F10" w14:textId="7C9998AC" w:rsidR="00C116C4" w:rsidRPr="00074EAB" w:rsidRDefault="008C2B67" w:rsidP="00C116C4">
      <w:pPr>
        <w:rPr>
          <w:rFonts w:cs="Arial"/>
          <w:lang w:val="en-GB"/>
        </w:rPr>
      </w:pPr>
      <w:r>
        <w:rPr>
          <w:rFonts w:cs="Arial"/>
          <w:lang w:val="en-GB"/>
        </w:rPr>
        <w:t>To date, t</w:t>
      </w:r>
      <w:r w:rsidR="00C116C4">
        <w:rPr>
          <w:rFonts w:cs="Arial"/>
          <w:lang w:val="en-GB"/>
        </w:rPr>
        <w:t xml:space="preserve">hese limits </w:t>
      </w:r>
      <w:r w:rsidR="00185346">
        <w:rPr>
          <w:rFonts w:cs="Arial"/>
          <w:lang w:val="en-GB"/>
        </w:rPr>
        <w:t>have not been exceeded in practice</w:t>
      </w:r>
      <w:r w:rsidR="00C116C4">
        <w:rPr>
          <w:rFonts w:cs="Arial"/>
          <w:lang w:val="en-GB"/>
        </w:rPr>
        <w:t>. However, the Federal Constitutional Court has</w:t>
      </w:r>
      <w:r w:rsidR="009E591C">
        <w:rPr>
          <w:rFonts w:cs="Arial"/>
          <w:lang w:val="en-GB"/>
        </w:rPr>
        <w:t xml:space="preserve">, on a </w:t>
      </w:r>
      <w:r w:rsidR="00C116C4">
        <w:rPr>
          <w:rFonts w:cs="Arial"/>
          <w:lang w:val="en-GB"/>
        </w:rPr>
        <w:t>preventive</w:t>
      </w:r>
      <w:r w:rsidR="00566792">
        <w:rPr>
          <w:rFonts w:cs="Arial"/>
          <w:lang w:val="en-GB"/>
        </w:rPr>
        <w:t xml:space="preserve"> </w:t>
      </w:r>
      <w:r w:rsidR="009E591C">
        <w:rPr>
          <w:rFonts w:cs="Arial"/>
          <w:lang w:val="en-GB"/>
        </w:rPr>
        <w:t>basis,</w:t>
      </w:r>
      <w:r w:rsidR="00C116C4">
        <w:rPr>
          <w:rFonts w:cs="Arial"/>
          <w:lang w:val="en-GB"/>
        </w:rPr>
        <w:t xml:space="preserve"> made clear in its decision on the ban on strike action</w:t>
      </w:r>
      <w:r w:rsidR="009E591C">
        <w:rPr>
          <w:rFonts w:cs="Arial"/>
          <w:lang w:val="en-GB"/>
        </w:rPr>
        <w:t>s</w:t>
      </w:r>
      <w:r w:rsidR="00C116C4">
        <w:rPr>
          <w:rFonts w:cs="Arial"/>
          <w:lang w:val="en-GB"/>
        </w:rPr>
        <w:t xml:space="preserve"> </w:t>
      </w:r>
      <w:r w:rsidR="009E591C">
        <w:rPr>
          <w:rFonts w:cs="Arial"/>
          <w:lang w:val="en-GB"/>
        </w:rPr>
        <w:t xml:space="preserve">by </w:t>
      </w:r>
      <w:r w:rsidR="00C116C4">
        <w:rPr>
          <w:rFonts w:cs="Arial"/>
          <w:lang w:val="en-GB"/>
        </w:rPr>
        <w:t xml:space="preserve">civil servants that it will likely not adapt the domestic constitutional order </w:t>
      </w:r>
      <w:r w:rsidR="009E591C">
        <w:rPr>
          <w:rFonts w:cs="Arial"/>
          <w:lang w:val="en-GB"/>
        </w:rPr>
        <w:t>if</w:t>
      </w:r>
      <w:r w:rsidR="00C116C4">
        <w:rPr>
          <w:rFonts w:cs="Arial"/>
          <w:lang w:val="en-GB"/>
        </w:rPr>
        <w:t xml:space="preserve"> the </w:t>
      </w:r>
      <w:r w:rsidR="00F76499">
        <w:rPr>
          <w:rFonts w:cs="Arial"/>
          <w:lang w:val="en-GB"/>
        </w:rPr>
        <w:t>Court</w:t>
      </w:r>
      <w:r w:rsidR="00C116C4">
        <w:rPr>
          <w:rFonts w:cs="Arial"/>
          <w:lang w:val="en-GB"/>
        </w:rPr>
        <w:t xml:space="preserve"> find</w:t>
      </w:r>
      <w:r w:rsidR="009E591C">
        <w:rPr>
          <w:rFonts w:cs="Arial"/>
          <w:lang w:val="en-GB"/>
        </w:rPr>
        <w:t>s</w:t>
      </w:r>
      <w:r w:rsidR="00C116C4">
        <w:rPr>
          <w:rFonts w:cs="Arial"/>
          <w:lang w:val="en-GB"/>
        </w:rPr>
        <w:t xml:space="preserve"> a violation of Art.</w:t>
      </w:r>
      <w:r w:rsidR="008A3942">
        <w:rPr>
          <w:rFonts w:cs="Arial"/>
          <w:lang w:val="en-GB"/>
        </w:rPr>
        <w:t> </w:t>
      </w:r>
      <w:r w:rsidR="00C116C4">
        <w:rPr>
          <w:rFonts w:cs="Arial"/>
          <w:lang w:val="en-GB"/>
        </w:rPr>
        <w:t xml:space="preserve">11 </w:t>
      </w:r>
      <w:r w:rsidR="00137517">
        <w:rPr>
          <w:rFonts w:cs="Arial"/>
          <w:lang w:val="en-GB"/>
        </w:rPr>
        <w:t>of the Convention</w:t>
      </w:r>
      <w:r w:rsidR="00C116C4">
        <w:rPr>
          <w:rFonts w:cs="Arial"/>
          <w:lang w:val="en-GB"/>
        </w:rPr>
        <w:t>.</w:t>
      </w:r>
      <w:r w:rsidR="00C116C4">
        <w:rPr>
          <w:rStyle w:val="Endnotenzeichen"/>
          <w:rFonts w:cs="Arial"/>
          <w:lang w:val="en-GB"/>
        </w:rPr>
        <w:endnoteReference w:id="31"/>
      </w:r>
      <w:r w:rsidR="00C116C4">
        <w:rPr>
          <w:rFonts w:cs="Arial"/>
          <w:lang w:val="en-GB"/>
        </w:rPr>
        <w:t xml:space="preserve"> It remains to be seen how the </w:t>
      </w:r>
      <w:r w:rsidR="00F76499">
        <w:rPr>
          <w:rFonts w:cs="Arial"/>
          <w:lang w:val="en-GB"/>
        </w:rPr>
        <w:t>Court</w:t>
      </w:r>
      <w:r w:rsidR="00C116C4">
        <w:rPr>
          <w:rFonts w:cs="Arial"/>
          <w:lang w:val="en-GB"/>
        </w:rPr>
        <w:t xml:space="preserve"> will decide.</w:t>
      </w:r>
    </w:p>
    <w:p w14:paraId="6D95A7EE" w14:textId="20D4F544" w:rsidR="00DD5432" w:rsidRPr="00074EAB" w:rsidRDefault="00DD5432" w:rsidP="00C116C4">
      <w:pPr>
        <w:rPr>
          <w:rFonts w:cs="Arial"/>
          <w:lang w:val="en-GB"/>
        </w:rPr>
      </w:pPr>
      <w:r>
        <w:rPr>
          <w:rFonts w:cs="Arial"/>
          <w:lang w:val="en-GB"/>
        </w:rPr>
        <w:t xml:space="preserve">Who knows, maybe I will be standing here again next year to report on the impact of the </w:t>
      </w:r>
      <w:r w:rsidR="00F76499">
        <w:rPr>
          <w:rFonts w:cs="Arial"/>
          <w:lang w:val="en-GB"/>
        </w:rPr>
        <w:t>Court</w:t>
      </w:r>
      <w:r>
        <w:rPr>
          <w:rFonts w:cs="Arial"/>
          <w:lang w:val="en-GB"/>
        </w:rPr>
        <w:t>’s decision.</w:t>
      </w:r>
    </w:p>
    <w:p w14:paraId="2898224B" w14:textId="3516C44B" w:rsidR="00DD5432" w:rsidRPr="00074EAB" w:rsidRDefault="00DD5432" w:rsidP="00245CA8">
      <w:pPr>
        <w:spacing w:after="0" w:line="240" w:lineRule="auto"/>
        <w:jc w:val="left"/>
        <w:rPr>
          <w:rFonts w:cs="Arial"/>
          <w:lang w:val="en-GB"/>
        </w:rPr>
      </w:pPr>
      <w:r>
        <w:rPr>
          <w:rFonts w:cs="Arial"/>
          <w:lang w:val="en-GB"/>
        </w:rPr>
        <w:t>Thank you</w:t>
      </w:r>
      <w:r w:rsidR="00B67A3D">
        <w:rPr>
          <w:rFonts w:cs="Arial"/>
          <w:lang w:val="en-GB"/>
        </w:rPr>
        <w:t xml:space="preserve"> for your attention</w:t>
      </w:r>
      <w:r w:rsidR="00245CA8">
        <w:rPr>
          <w:rFonts w:cs="Arial"/>
          <w:lang w:val="en-GB"/>
        </w:rPr>
        <w:t>.</w:t>
      </w:r>
    </w:p>
    <w:sectPr w:rsidR="00DD5432" w:rsidRPr="00074EAB" w:rsidSect="00B41EA7">
      <w:headerReference w:type="default" r:id="rId12"/>
      <w:footerReference w:type="default" r:id="rId13"/>
      <w:endnotePr>
        <w:numFmt w:val="decimal"/>
      </w:endnotePr>
      <w:type w:val="continuous"/>
      <w:pgSz w:w="11906" w:h="16838" w:code="9"/>
      <w:pgMar w:top="1418" w:right="1418" w:bottom="1418" w:left="1418" w:header="567" w:footer="851"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2EBF9" w14:textId="77777777" w:rsidR="00875917" w:rsidRDefault="00875917">
      <w:r>
        <w:separator/>
      </w:r>
    </w:p>
  </w:endnote>
  <w:endnote w:type="continuationSeparator" w:id="0">
    <w:p w14:paraId="5AE5C7A8" w14:textId="77777777" w:rsidR="00875917" w:rsidRDefault="00875917">
      <w:r>
        <w:continuationSeparator/>
      </w:r>
    </w:p>
  </w:endnote>
  <w:endnote w:type="continuationNotice" w:id="1">
    <w:p w14:paraId="3DBE8505" w14:textId="77777777" w:rsidR="00875917" w:rsidRDefault="00875917">
      <w:pPr>
        <w:spacing w:after="0" w:line="240" w:lineRule="auto"/>
      </w:pPr>
    </w:p>
  </w:endnote>
  <w:endnote w:id="2">
    <w:p w14:paraId="720E4F88" w14:textId="148D70AE" w:rsidR="00833565" w:rsidRPr="00CB62BE" w:rsidRDefault="00833565" w:rsidP="00833565">
      <w:pPr>
        <w:pStyle w:val="Endnotentext"/>
        <w:spacing w:line="240" w:lineRule="atLeast"/>
        <w:rPr>
          <w:rFonts w:cs="Arial"/>
          <w:lang w:val="en-GB"/>
        </w:rPr>
      </w:pPr>
      <w:r>
        <w:rPr>
          <w:rStyle w:val="Endnotenzeichen"/>
          <w:rFonts w:cs="Arial"/>
          <w:lang w:val="en-GB"/>
        </w:rPr>
        <w:endnoteRef/>
      </w:r>
      <w:r w:rsidRPr="00CB62BE">
        <w:rPr>
          <w:rFonts w:cs="Arial"/>
          <w:lang w:val="en-GB"/>
        </w:rPr>
        <w:t xml:space="preserve"> </w:t>
      </w:r>
      <w:r w:rsidRPr="00CB62BE">
        <w:rPr>
          <w:rFonts w:cs="Arial"/>
          <w:lang w:val="en-GB"/>
        </w:rPr>
        <w:tab/>
        <w:t xml:space="preserve">Decisions of the Federal Constitutional Court, </w:t>
      </w:r>
      <w:r w:rsidRPr="00CB62BE">
        <w:rPr>
          <w:rFonts w:cs="Arial"/>
          <w:i/>
          <w:iCs/>
          <w:lang w:val="en-GB"/>
        </w:rPr>
        <w:t xml:space="preserve">Entscheidungen des Bundesverfassungsgerichts </w:t>
      </w:r>
      <w:r w:rsidRPr="00CB62BE">
        <w:rPr>
          <w:rFonts w:cs="Arial"/>
          <w:lang w:val="en-GB"/>
        </w:rPr>
        <w:t>– BVerfGE 111, 307 &lt;316&gt;; BVerfGE 128, 326 &lt;367&gt;; BVerfGE 148, 296 (</w:t>
      </w:r>
      <w:r w:rsidR="009E591C" w:rsidRPr="00CB62BE">
        <w:rPr>
          <w:rFonts w:cs="Arial"/>
          <w:lang w:val="en-GB"/>
        </w:rPr>
        <w:t>Strike actions by civil servants</w:t>
      </w:r>
      <w:r w:rsidRPr="00CB62BE">
        <w:rPr>
          <w:rFonts w:cs="Arial"/>
          <w:lang w:val="en-GB"/>
        </w:rPr>
        <w:t>), juris para. 127.</w:t>
      </w:r>
    </w:p>
  </w:endnote>
  <w:endnote w:id="3">
    <w:p w14:paraId="2A0E14E9" w14:textId="286A2109" w:rsidR="00833565" w:rsidRPr="00BB7501" w:rsidRDefault="00833565" w:rsidP="00833565">
      <w:pPr>
        <w:pStyle w:val="Endnotentext"/>
        <w:spacing w:line="240" w:lineRule="atLeast"/>
        <w:rPr>
          <w:rFonts w:cs="Arial"/>
          <w:lang w:val="en-GB"/>
        </w:rPr>
      </w:pPr>
      <w:r>
        <w:rPr>
          <w:rStyle w:val="Endnotenzeichen"/>
          <w:rFonts w:cs="Arial"/>
          <w:lang w:val="en-GB"/>
        </w:rPr>
        <w:endnoteRef/>
      </w:r>
      <w:r w:rsidRPr="00897740">
        <w:rPr>
          <w:rFonts w:cs="Arial"/>
          <w:lang w:val="en-GB"/>
        </w:rPr>
        <w:t xml:space="preserve"> </w:t>
      </w:r>
      <w:r w:rsidRPr="00897740">
        <w:rPr>
          <w:rFonts w:cs="Arial"/>
          <w:lang w:val="en-GB"/>
        </w:rPr>
        <w:tab/>
        <w:t>BVerfGE 74, 358 &lt;370&gt;; BVerfGE 82, 106 &lt;120&gt;; BVerfGE 111, 307 &lt;316 f.&gt;; BVerfGE 128, 326 &lt;367&gt;; BVerfGE 148, 296 (</w:t>
      </w:r>
      <w:r w:rsidR="00897740" w:rsidRPr="00897740">
        <w:rPr>
          <w:rFonts w:cs="Arial"/>
          <w:lang w:val="en-GB"/>
        </w:rPr>
        <w:t>Strike actions by civil servants</w:t>
      </w:r>
      <w:r w:rsidRPr="00897740">
        <w:rPr>
          <w:rFonts w:cs="Arial"/>
          <w:lang w:val="en-GB"/>
        </w:rPr>
        <w:t xml:space="preserve">), juris para. </w:t>
      </w:r>
      <w:r w:rsidRPr="00BB7501">
        <w:rPr>
          <w:rFonts w:cs="Arial"/>
          <w:lang w:val="en-GB"/>
        </w:rPr>
        <w:t>127.</w:t>
      </w:r>
    </w:p>
  </w:endnote>
  <w:endnote w:id="4">
    <w:p w14:paraId="7944F5E6" w14:textId="77777777" w:rsidR="00833565" w:rsidRPr="00074EAB" w:rsidRDefault="00833565" w:rsidP="00833565">
      <w:pPr>
        <w:pStyle w:val="Endnotentext"/>
        <w:spacing w:line="240" w:lineRule="atLeast"/>
        <w:rPr>
          <w:rFonts w:cs="Arial"/>
          <w:lang w:val="en-GB"/>
        </w:rPr>
      </w:pPr>
      <w:r>
        <w:rPr>
          <w:rStyle w:val="Endnotenzeichen"/>
          <w:rFonts w:cs="Arial"/>
          <w:lang w:val="en-GB"/>
        </w:rPr>
        <w:endnoteRef/>
      </w:r>
      <w:r w:rsidRPr="00BB7501">
        <w:rPr>
          <w:rFonts w:cs="Arial"/>
          <w:lang w:val="en-GB"/>
        </w:rPr>
        <w:t xml:space="preserve"> </w:t>
      </w:r>
      <w:r w:rsidRPr="00BB7501">
        <w:rPr>
          <w:rFonts w:cs="Arial"/>
          <w:lang w:val="en-GB"/>
        </w:rPr>
        <w:tab/>
        <w:t xml:space="preserve">BVerfGE 138, 296 juris para. </w:t>
      </w:r>
      <w:r>
        <w:rPr>
          <w:rFonts w:cs="Arial"/>
          <w:lang w:val="en-GB"/>
        </w:rPr>
        <w:t>248.</w:t>
      </w:r>
    </w:p>
  </w:endnote>
  <w:endnote w:id="5">
    <w:p w14:paraId="659A6ECA" w14:textId="7F4E5038" w:rsidR="00833565" w:rsidRPr="00074EAB" w:rsidRDefault="00833565" w:rsidP="00833565">
      <w:pPr>
        <w:pStyle w:val="Endnotentext"/>
        <w:spacing w:line="240" w:lineRule="atLeast"/>
        <w:rPr>
          <w:rFonts w:cs="Arial"/>
          <w:lang w:val="en-GB"/>
        </w:rPr>
      </w:pPr>
      <w:r>
        <w:rPr>
          <w:rStyle w:val="Endnotenzeichen"/>
          <w:rFonts w:cs="Arial"/>
          <w:lang w:val="en-GB"/>
        </w:rPr>
        <w:endnoteRef/>
      </w:r>
      <w:r>
        <w:rPr>
          <w:rFonts w:cs="Arial"/>
          <w:lang w:val="en-GB"/>
        </w:rPr>
        <w:t xml:space="preserve"> </w:t>
      </w:r>
      <w:r>
        <w:rPr>
          <w:rFonts w:cs="Arial"/>
          <w:lang w:val="en-GB"/>
        </w:rPr>
        <w:tab/>
        <w:t xml:space="preserve">BVerfGE 128, 326 &lt;369&gt;: ‘The Basic Law’s substantive focus on human rights is expressed in the German people’s acknowledgement of inviolable and inalienable human rights in Article 1(2) of the Basic Law in particular. In Article 1(2), the Basic Law accords special protection to core human rights. In conjunction with Article 59(2) </w:t>
      </w:r>
      <w:r w:rsidR="00AE7571">
        <w:rPr>
          <w:rFonts w:cs="Arial"/>
          <w:lang w:val="en-GB"/>
        </w:rPr>
        <w:t>of the Basic Law</w:t>
      </w:r>
      <w:r>
        <w:rPr>
          <w:rFonts w:cs="Arial"/>
          <w:lang w:val="en-GB"/>
        </w:rPr>
        <w:t>, this provision is the basis for the constitutional duty of using the European Convention on Human Rights in its specific manifestation as an interpretation guideline even when applying German fundamental rights. Article 1(2) of the Basic Law is therefore not a gateway to give the European Convention on Human Rights direct constitutional rank, but the provision is more than a non-binding programmatic statement in that it provides a principle for the interpretation of the Basic Law and spells out the fact that its fundamental rights must also be understood as a manifestation of general human rights and have incorporated the latter as a minimum standard (cf. BVerfGE 74, 358 &lt;370&gt;; 111, 307 &lt;329&gt;; […]’).</w:t>
      </w:r>
    </w:p>
  </w:endnote>
  <w:endnote w:id="6">
    <w:p w14:paraId="3A32F852" w14:textId="77777777" w:rsidR="00B67A3D" w:rsidRPr="00074EAB" w:rsidRDefault="00B67A3D" w:rsidP="00B67A3D">
      <w:pPr>
        <w:pStyle w:val="Endnotentext"/>
        <w:spacing w:line="240" w:lineRule="atLeast"/>
        <w:rPr>
          <w:rFonts w:cs="Arial"/>
          <w:lang w:val="en-GB"/>
        </w:rPr>
      </w:pPr>
      <w:r>
        <w:rPr>
          <w:rStyle w:val="Endnotenzeichen"/>
          <w:rFonts w:cs="Arial"/>
          <w:lang w:val="en-GB"/>
        </w:rPr>
        <w:endnoteRef/>
      </w:r>
      <w:r>
        <w:rPr>
          <w:rFonts w:cs="Arial"/>
          <w:lang w:val="en-GB"/>
        </w:rPr>
        <w:t xml:space="preserve"> </w:t>
      </w:r>
      <w:r>
        <w:rPr>
          <w:rFonts w:cs="Arial"/>
          <w:lang w:val="en-GB"/>
        </w:rPr>
        <w:tab/>
        <w:t>BVerfGE 160, 79, juris para. 101.</w:t>
      </w:r>
    </w:p>
  </w:endnote>
  <w:endnote w:id="7">
    <w:p w14:paraId="3F73537A" w14:textId="77777777" w:rsidR="00833565" w:rsidRPr="00074EAB" w:rsidRDefault="00833565" w:rsidP="00833565">
      <w:pPr>
        <w:pStyle w:val="Endnotentext"/>
        <w:spacing w:line="240" w:lineRule="atLeast"/>
        <w:rPr>
          <w:rFonts w:cs="Arial"/>
          <w:lang w:val="en-GB"/>
        </w:rPr>
      </w:pPr>
      <w:r>
        <w:rPr>
          <w:rStyle w:val="Endnotenzeichen"/>
          <w:rFonts w:cs="Arial"/>
          <w:lang w:val="en-GB"/>
        </w:rPr>
        <w:endnoteRef/>
      </w:r>
      <w:r>
        <w:rPr>
          <w:rFonts w:cs="Arial"/>
          <w:lang w:val="en-GB"/>
        </w:rPr>
        <w:t xml:space="preserve"> </w:t>
      </w:r>
      <w:r>
        <w:rPr>
          <w:rFonts w:cs="Arial"/>
          <w:lang w:val="en-GB"/>
        </w:rPr>
        <w:tab/>
        <w:t xml:space="preserve">BVerfGE 82, 106 juris para. 86; BVerfGE 74, 358 juris para. 35. </w:t>
      </w:r>
    </w:p>
  </w:endnote>
  <w:endnote w:id="8">
    <w:p w14:paraId="4656505A" w14:textId="77777777" w:rsidR="00833565" w:rsidRPr="00074EAB" w:rsidRDefault="00833565" w:rsidP="00833565">
      <w:pPr>
        <w:pStyle w:val="Endnotentext"/>
        <w:spacing w:line="240" w:lineRule="atLeast"/>
        <w:rPr>
          <w:rFonts w:cs="Arial"/>
          <w:lang w:val="en-GB"/>
        </w:rPr>
      </w:pPr>
      <w:r>
        <w:rPr>
          <w:rStyle w:val="Endnotenzeichen"/>
          <w:rFonts w:cs="Arial"/>
          <w:lang w:val="en-GB"/>
        </w:rPr>
        <w:endnoteRef/>
      </w:r>
      <w:r>
        <w:rPr>
          <w:rFonts w:cs="Arial"/>
          <w:lang w:val="en-GB"/>
        </w:rPr>
        <w:t xml:space="preserve"> </w:t>
      </w:r>
      <w:r>
        <w:rPr>
          <w:rFonts w:cs="Arial"/>
          <w:lang w:val="en-GB"/>
        </w:rPr>
        <w:tab/>
        <w:t>BVerfGE 110, 339, juris para. 10.</w:t>
      </w:r>
    </w:p>
  </w:endnote>
  <w:endnote w:id="9">
    <w:p w14:paraId="78556F26" w14:textId="77777777" w:rsidR="00833565" w:rsidRPr="00074EAB" w:rsidRDefault="00833565" w:rsidP="00833565">
      <w:pPr>
        <w:pStyle w:val="Endnotentext"/>
        <w:spacing w:line="240" w:lineRule="atLeast"/>
        <w:rPr>
          <w:rFonts w:cs="Arial"/>
          <w:lang w:val="en-GB"/>
        </w:rPr>
      </w:pPr>
      <w:r>
        <w:rPr>
          <w:rStyle w:val="Endnotenzeichen"/>
          <w:rFonts w:cs="Arial"/>
          <w:lang w:val="en-GB"/>
        </w:rPr>
        <w:endnoteRef/>
      </w:r>
      <w:r>
        <w:rPr>
          <w:rFonts w:cs="Arial"/>
          <w:lang w:val="en-GB"/>
        </w:rPr>
        <w:t xml:space="preserve"> </w:t>
      </w:r>
      <w:r>
        <w:rPr>
          <w:rFonts w:cs="Arial"/>
          <w:lang w:val="en-GB"/>
        </w:rPr>
        <w:tab/>
        <w:t>Federal Constitutional Court, Order of the Complaints Chamber of 20 August 2015 – 1 BvR 2781/13 - Vz 11/14 –, juris para. 29.</w:t>
      </w:r>
    </w:p>
  </w:endnote>
  <w:endnote w:id="10">
    <w:p w14:paraId="0095F893" w14:textId="77777777" w:rsidR="00C116C4" w:rsidRPr="00074EAB" w:rsidRDefault="00C116C4" w:rsidP="00C116C4">
      <w:pPr>
        <w:pStyle w:val="Endnotentext"/>
        <w:spacing w:line="240" w:lineRule="atLeast"/>
        <w:rPr>
          <w:rFonts w:cs="Arial"/>
          <w:lang w:val="en-GB"/>
        </w:rPr>
      </w:pPr>
      <w:r>
        <w:rPr>
          <w:rStyle w:val="Endnotenzeichen"/>
          <w:rFonts w:cs="Arial"/>
          <w:lang w:val="en-GB"/>
        </w:rPr>
        <w:endnoteRef/>
      </w:r>
      <w:r>
        <w:rPr>
          <w:rFonts w:cs="Arial"/>
          <w:lang w:val="en-GB"/>
        </w:rPr>
        <w:t xml:space="preserve"> </w:t>
      </w:r>
      <w:r>
        <w:rPr>
          <w:rFonts w:cs="Arial"/>
          <w:lang w:val="en-GB"/>
        </w:rPr>
        <w:tab/>
        <w:t>ECtHR, Judgment of 26 September 1995 – 17851/91, NJW 1996, 375 ff.</w:t>
      </w:r>
    </w:p>
  </w:endnote>
  <w:endnote w:id="11">
    <w:p w14:paraId="146DC4F2" w14:textId="77777777" w:rsidR="00C116C4" w:rsidRPr="00074EAB" w:rsidRDefault="00C116C4" w:rsidP="00C116C4">
      <w:pPr>
        <w:pStyle w:val="Endnotentext"/>
        <w:spacing w:line="240" w:lineRule="atLeast"/>
        <w:rPr>
          <w:rFonts w:cs="Arial"/>
          <w:lang w:val="en-GB"/>
        </w:rPr>
      </w:pPr>
      <w:r>
        <w:rPr>
          <w:rStyle w:val="Endnotenzeichen"/>
          <w:rFonts w:cs="Arial"/>
          <w:lang w:val="en-GB"/>
        </w:rPr>
        <w:endnoteRef/>
      </w:r>
      <w:r>
        <w:rPr>
          <w:rFonts w:cs="Arial"/>
          <w:lang w:val="en-GB"/>
        </w:rPr>
        <w:t xml:space="preserve"> </w:t>
      </w:r>
      <w:r>
        <w:rPr>
          <w:rFonts w:cs="Arial"/>
          <w:lang w:val="en-GB"/>
        </w:rPr>
        <w:tab/>
        <w:t>ECtHR, Judgment of 26 February 2004, Görgülü / Germany, Application No. 74969/01; BVerfGE 111, 307 &lt;330 ff.&gt; – Görgülü; see also BVerfGE 127, 132 juris para. 74.</w:t>
      </w:r>
    </w:p>
  </w:endnote>
  <w:endnote w:id="12">
    <w:p w14:paraId="52292B77" w14:textId="329E04E9" w:rsidR="00C116C4" w:rsidRPr="00074EAB" w:rsidRDefault="00C116C4" w:rsidP="00C116C4">
      <w:pPr>
        <w:pStyle w:val="Endnotentext"/>
        <w:spacing w:line="240" w:lineRule="atLeast"/>
        <w:rPr>
          <w:rFonts w:cs="Arial"/>
          <w:lang w:val="en-GB"/>
        </w:rPr>
      </w:pPr>
      <w:r>
        <w:rPr>
          <w:rStyle w:val="Endnotenzeichen"/>
          <w:rFonts w:cs="Arial"/>
          <w:lang w:val="en-GB"/>
        </w:rPr>
        <w:endnoteRef/>
      </w:r>
      <w:r>
        <w:rPr>
          <w:rFonts w:cs="Arial"/>
          <w:lang w:val="en-GB"/>
        </w:rPr>
        <w:t xml:space="preserve"> </w:t>
      </w:r>
      <w:r>
        <w:rPr>
          <w:rFonts w:cs="Arial"/>
          <w:lang w:val="en-GB"/>
        </w:rPr>
        <w:tab/>
        <w:t>ECtHR, Judgment of 24 June 2004, von Hannover/Germany, Application No. 59320/00, para. 64; see also ECtHR, Judgment of 16 November 2004, Karhuvaara und Iltalehti / Finland, Application No.</w:t>
      </w:r>
      <w:r w:rsidR="00D83563">
        <w:rPr>
          <w:rFonts w:cs="Arial"/>
          <w:lang w:val="en-GB"/>
        </w:rPr>
        <w:t> </w:t>
      </w:r>
      <w:r>
        <w:rPr>
          <w:rFonts w:cs="Arial"/>
          <w:lang w:val="en-GB"/>
        </w:rPr>
        <w:t>53678/00, para. 45; BVerfGE 101, 361 &lt;390 ff.&gt; - Caroline II; earlier already BVerfGE 34, 269 &lt;283&gt;; BVerfGE 120, 180 &lt;220 f.&gt; - Caroline III.</w:t>
      </w:r>
    </w:p>
  </w:endnote>
  <w:endnote w:id="13">
    <w:p w14:paraId="10755860" w14:textId="3F4E3360" w:rsidR="00C116C4" w:rsidRPr="00074EAB" w:rsidRDefault="00C116C4" w:rsidP="00C116C4">
      <w:pPr>
        <w:pStyle w:val="Endnotentext"/>
        <w:spacing w:line="240" w:lineRule="atLeast"/>
        <w:rPr>
          <w:rFonts w:cs="Arial"/>
          <w:lang w:val="en-GB"/>
        </w:rPr>
      </w:pPr>
      <w:r>
        <w:rPr>
          <w:rStyle w:val="Endnotenzeichen"/>
          <w:rFonts w:cs="Arial"/>
          <w:lang w:val="en-GB"/>
        </w:rPr>
        <w:endnoteRef/>
      </w:r>
      <w:r>
        <w:rPr>
          <w:rFonts w:cs="Arial"/>
          <w:lang w:val="en-GB"/>
        </w:rPr>
        <w:t xml:space="preserve"> </w:t>
      </w:r>
      <w:r>
        <w:rPr>
          <w:rFonts w:cs="Arial"/>
          <w:lang w:val="en-GB"/>
        </w:rPr>
        <w:tab/>
        <w:t>Foundationally, ECtHR, Mücke / Germany, Judgment of 17 December 2009, No. 19359/0</w:t>
      </w:r>
      <w:r w:rsidR="00CB0F76">
        <w:rPr>
          <w:rFonts w:cs="Arial"/>
          <w:lang w:val="en-GB"/>
        </w:rPr>
        <w:t>4</w:t>
      </w:r>
      <w:r>
        <w:rPr>
          <w:rFonts w:cs="Arial"/>
          <w:lang w:val="en-GB"/>
        </w:rPr>
        <w:t>; BVerfGE 109, 133 &lt;159&gt; (Preventive detention I); BVerfGE 128, 326 &lt;370&gt; (Preventive detention II).</w:t>
      </w:r>
    </w:p>
  </w:endnote>
  <w:endnote w:id="14">
    <w:p w14:paraId="00CC1878" w14:textId="77777777" w:rsidR="00C116C4" w:rsidRPr="00074EAB" w:rsidRDefault="00C116C4" w:rsidP="00C116C4">
      <w:pPr>
        <w:pStyle w:val="Endnotentext"/>
        <w:spacing w:line="240" w:lineRule="atLeast"/>
        <w:rPr>
          <w:rFonts w:cs="Arial"/>
          <w:lang w:val="en-GB"/>
        </w:rPr>
      </w:pPr>
      <w:r>
        <w:rPr>
          <w:rStyle w:val="Endnotenzeichen"/>
          <w:rFonts w:cs="Arial"/>
          <w:lang w:val="en-GB"/>
        </w:rPr>
        <w:endnoteRef/>
      </w:r>
      <w:r>
        <w:rPr>
          <w:rFonts w:cs="Arial"/>
          <w:lang w:val="en-GB"/>
        </w:rPr>
        <w:t xml:space="preserve"> </w:t>
      </w:r>
      <w:r>
        <w:rPr>
          <w:rFonts w:cs="Arial"/>
          <w:lang w:val="en-GB"/>
        </w:rPr>
        <w:tab/>
        <w:t>ECtHR, Judgment of 23 October 2014, 54648/09, NJW 2015, 3631; ECtHR, Judgment of 15 October 2020 - 40495/15, NJW 2021, 3515; still different in Federal Constitutional Court, Order of Non-Admission of 18 December 2014 - 2 BvR 209/14 -, juris, NJW 2015, 1083 ff.</w:t>
      </w:r>
    </w:p>
  </w:endnote>
  <w:endnote w:id="15">
    <w:p w14:paraId="30D372E9" w14:textId="12A963C0" w:rsidR="00C116C4" w:rsidRPr="00074EAB" w:rsidRDefault="00C116C4" w:rsidP="00C116C4">
      <w:pPr>
        <w:pStyle w:val="Endnotentext"/>
        <w:spacing w:line="240" w:lineRule="atLeast"/>
        <w:rPr>
          <w:rFonts w:cs="Arial"/>
          <w:lang w:val="en-GB"/>
        </w:rPr>
      </w:pPr>
      <w:r>
        <w:rPr>
          <w:rStyle w:val="Endnotenzeichen"/>
          <w:rFonts w:cs="Arial"/>
          <w:lang w:val="en-GB"/>
        </w:rPr>
        <w:endnoteRef/>
      </w:r>
      <w:r>
        <w:rPr>
          <w:rFonts w:cs="Arial"/>
          <w:lang w:val="en-GB"/>
        </w:rPr>
        <w:t xml:space="preserve"> </w:t>
      </w:r>
      <w:r>
        <w:rPr>
          <w:rFonts w:cs="Arial"/>
          <w:lang w:val="en-GB"/>
        </w:rPr>
        <w:tab/>
        <w:t>ECtHR</w:t>
      </w:r>
      <w:r w:rsidR="00D83563">
        <w:rPr>
          <w:rFonts w:cs="Arial"/>
          <w:lang w:val="en-GB"/>
        </w:rPr>
        <w:t>,</w:t>
      </w:r>
      <w:r>
        <w:rPr>
          <w:rFonts w:cs="Arial"/>
          <w:lang w:val="en-GB"/>
        </w:rPr>
        <w:t xml:space="preserve"> Jalloh ./. Germany, Judgment of 11 July 2006, Application No. 54810/00, NJW 2006, 3117 ff.</w:t>
      </w:r>
    </w:p>
  </w:endnote>
  <w:endnote w:id="16">
    <w:p w14:paraId="3AEC1AC7" w14:textId="77777777" w:rsidR="00DD5432" w:rsidRPr="00074EAB" w:rsidRDefault="00DD5432">
      <w:pPr>
        <w:pStyle w:val="Endnotentext"/>
        <w:rPr>
          <w:lang w:val="en-GB"/>
        </w:rPr>
      </w:pPr>
      <w:r>
        <w:rPr>
          <w:rStyle w:val="Endnotenzeichen"/>
          <w:lang w:val="en-GB"/>
        </w:rPr>
        <w:endnoteRef/>
      </w:r>
      <w:r>
        <w:rPr>
          <w:lang w:val="en-GB"/>
        </w:rPr>
        <w:t xml:space="preserve"> </w:t>
      </w:r>
      <w:r>
        <w:rPr>
          <w:lang w:val="en-GB"/>
        </w:rPr>
        <w:tab/>
        <w:t>§ 580 no. 8 of the Code of Civil Procedure; § 153 of the Code of Administrative Court Procedure in conjunction with § 580 no. 8 of the Code of Civil Procedure; § 79 Labour Court Act in conjunction with § 580 no. 8 of the Code of Civil Procedure; § 134 Code of Procedure for Fiscal Courts in conjunction with § 580 no. 8 of the Code of Civil Procedure.</w:t>
      </w:r>
    </w:p>
  </w:endnote>
  <w:endnote w:id="17">
    <w:p w14:paraId="0ECC2A3C" w14:textId="2435AB6B" w:rsidR="002809D5" w:rsidRPr="00074EAB" w:rsidRDefault="002809D5" w:rsidP="002809D5">
      <w:pPr>
        <w:pStyle w:val="Endnotentext"/>
        <w:spacing w:line="240" w:lineRule="atLeast"/>
        <w:rPr>
          <w:rFonts w:cs="Arial"/>
          <w:lang w:val="en-GB"/>
        </w:rPr>
      </w:pPr>
      <w:r>
        <w:rPr>
          <w:rStyle w:val="Endnotenzeichen"/>
          <w:rFonts w:cs="Arial"/>
          <w:lang w:val="en-GB"/>
        </w:rPr>
        <w:endnoteRef/>
      </w:r>
      <w:r>
        <w:rPr>
          <w:rFonts w:cs="Arial"/>
          <w:lang w:val="en-GB"/>
        </w:rPr>
        <w:t xml:space="preserve"> </w:t>
      </w:r>
      <w:r>
        <w:rPr>
          <w:rFonts w:cs="Arial"/>
          <w:lang w:val="en-GB"/>
        </w:rPr>
        <w:tab/>
        <w:t xml:space="preserve">BVerfGE 128, 326 &lt;368 f.&gt;. ‘When using the European Convention on Human Rights as a guideline for interpretation, the Federal Constitutional Court also takes into account decisions of the European Court of Human Rights even if they do not concern the same issue. This is based on the factual function of direction and guidance attached to the case-law of the European Court of Human Rights with regard to interpreting the European Convention on Human Rights, also beyond the decision of a specific case (with regard to this guidance function cf. BVerfGE 111, 307 &lt;320&gt;; Chamber Decisions of the Federal Constitutional Court, </w:t>
      </w:r>
      <w:r>
        <w:rPr>
          <w:rFonts w:cs="Arial"/>
          <w:i/>
          <w:iCs/>
          <w:lang w:val="en-GB"/>
        </w:rPr>
        <w:t>Kammerentscheidungen des Bundesverfassungsgerichts</w:t>
      </w:r>
      <w:r>
        <w:rPr>
          <w:rFonts w:cs="Arial"/>
          <w:lang w:val="en-GB"/>
        </w:rPr>
        <w:t xml:space="preserve"> – BVerfGK 10, 66 &lt;77 f.&gt;; 10, 234 &lt;239&gt;; each with further references). Since the Basic Law is intended to avoid conflicts between domestic law and Germany’s obligations under international law, where possible and with regard to the at least factual precedent character of the decisions of international tribunals, the effects of decisions of the European Court of Human Rights on the domestic level are, in that respect, not restricted to the duty, derived from Art. 20(3) in conjunction with Art. 59(2) of the Basic Law, to take account of these decisions regarding only the circumstances on which the specific decisions are based (cf. BVerfGE 109, 13 &lt;23 f.&gt;; 109, 38 &lt;50&gt;; 111, 307 &lt;318, 328&gt;; 112, 1 &lt;25&gt;; 123, 267 &lt;344 ff., 347&gt;; BVerfGK 9, 174 &lt;193&gt;). The Constitution’s openness to international law thus expresses an understanding of sovereignty that is not only in favour of an integration into international and supranational contexts and their further development, but requires and expects them. Against this background, even the “final say” of the German Constitution is not opposed to an international and European dialogue of courts, but provides its normative basis.’ See also BVerfGE 148, 296 (</w:t>
      </w:r>
      <w:r w:rsidR="00897740">
        <w:rPr>
          <w:rFonts w:cs="Arial"/>
          <w:lang w:val="en-GB"/>
        </w:rPr>
        <w:t>Strike actions by civil servants</w:t>
      </w:r>
      <w:r>
        <w:rPr>
          <w:rFonts w:cs="Arial"/>
          <w:lang w:val="en-GB"/>
        </w:rPr>
        <w:t>), juris para. 130.</w:t>
      </w:r>
    </w:p>
  </w:endnote>
  <w:endnote w:id="18">
    <w:p w14:paraId="497D0B2D" w14:textId="77777777" w:rsidR="00C116C4" w:rsidRPr="00CB62BE" w:rsidRDefault="00C116C4" w:rsidP="00C116C4">
      <w:pPr>
        <w:pStyle w:val="Endnotentext"/>
        <w:rPr>
          <w:lang w:val="en-GB"/>
        </w:rPr>
      </w:pPr>
      <w:r>
        <w:rPr>
          <w:rStyle w:val="Endnotenzeichen"/>
          <w:lang w:val="en-GB"/>
        </w:rPr>
        <w:endnoteRef/>
      </w:r>
      <w:r>
        <w:rPr>
          <w:lang w:val="en-GB"/>
        </w:rPr>
        <w:t xml:space="preserve"> </w:t>
      </w:r>
      <w:r>
        <w:rPr>
          <w:lang w:val="en-GB"/>
        </w:rPr>
        <w:tab/>
        <w:t xml:space="preserve">BVerfGE 111, 307 &lt;329 f.&gt;; Federal Constitutional Court, Order of the Second Chamber of the Second Senate of 18 December 2014 – 2 BvR 209/14 –, juris para. </w:t>
      </w:r>
      <w:r w:rsidRPr="00CB62BE">
        <w:rPr>
          <w:lang w:val="en-GB"/>
        </w:rPr>
        <w:t>41; cf. also BVerfGE 128, 326 &lt;368&gt;.</w:t>
      </w:r>
    </w:p>
  </w:endnote>
  <w:endnote w:id="19">
    <w:p w14:paraId="5D228CD8" w14:textId="6EEC2ECD" w:rsidR="00C116C4" w:rsidRPr="00074EAB" w:rsidRDefault="00C116C4" w:rsidP="00C116C4">
      <w:pPr>
        <w:pStyle w:val="Endnotentext"/>
        <w:spacing w:line="240" w:lineRule="atLeast"/>
        <w:rPr>
          <w:rFonts w:cs="Arial"/>
          <w:lang w:val="en-GB"/>
        </w:rPr>
      </w:pPr>
      <w:r>
        <w:rPr>
          <w:rStyle w:val="Endnotenzeichen"/>
          <w:rFonts w:cs="Arial"/>
          <w:lang w:val="en-GB"/>
        </w:rPr>
        <w:endnoteRef/>
      </w:r>
      <w:r w:rsidRPr="00897740">
        <w:rPr>
          <w:rFonts w:cs="Arial"/>
          <w:lang w:val="en-GB"/>
        </w:rPr>
        <w:t xml:space="preserve"> </w:t>
      </w:r>
      <w:r w:rsidRPr="00897740">
        <w:rPr>
          <w:rFonts w:cs="Arial"/>
          <w:lang w:val="en-GB"/>
        </w:rPr>
        <w:tab/>
        <w:t>BVerfGE 148, 296 (</w:t>
      </w:r>
      <w:r w:rsidR="00897740" w:rsidRPr="00897740">
        <w:rPr>
          <w:rFonts w:cs="Arial"/>
          <w:lang w:val="en-GB"/>
        </w:rPr>
        <w:t>Strike actions by civil servants</w:t>
      </w:r>
      <w:r w:rsidRPr="00897740">
        <w:rPr>
          <w:rFonts w:cs="Arial"/>
          <w:lang w:val="en-GB"/>
        </w:rPr>
        <w:t xml:space="preserve">), juris paras. </w:t>
      </w:r>
      <w:r w:rsidRPr="00CB62BE">
        <w:rPr>
          <w:rFonts w:cs="Arial"/>
          <w:lang w:val="en-GB"/>
        </w:rPr>
        <w:t xml:space="preserve">129, 132, 173; BVerfGE 128, 326, juris para. </w:t>
      </w:r>
      <w:r>
        <w:rPr>
          <w:rFonts w:cs="Arial"/>
          <w:lang w:val="en-GB"/>
        </w:rPr>
        <w:t>89.</w:t>
      </w:r>
    </w:p>
  </w:endnote>
  <w:endnote w:id="20">
    <w:p w14:paraId="11822FF6" w14:textId="74D83ECD" w:rsidR="00C116C4" w:rsidRPr="00074EAB" w:rsidRDefault="00C116C4" w:rsidP="00C116C4">
      <w:pPr>
        <w:pStyle w:val="Endnotentext"/>
        <w:spacing w:line="240" w:lineRule="atLeast"/>
        <w:rPr>
          <w:rFonts w:cs="Arial"/>
          <w:lang w:val="en-GB"/>
        </w:rPr>
      </w:pPr>
      <w:r>
        <w:rPr>
          <w:rStyle w:val="Endnotenzeichen"/>
          <w:rFonts w:cs="Arial"/>
          <w:lang w:val="en-GB"/>
        </w:rPr>
        <w:endnoteRef/>
      </w:r>
      <w:r>
        <w:rPr>
          <w:rFonts w:cs="Arial"/>
          <w:lang w:val="en-GB"/>
        </w:rPr>
        <w:t xml:space="preserve"> </w:t>
      </w:r>
      <w:r>
        <w:rPr>
          <w:rFonts w:cs="Arial"/>
          <w:lang w:val="en-GB"/>
        </w:rPr>
        <w:tab/>
        <w:t xml:space="preserve">BVerfGE 128, 326 &lt;369&gt;: ‘Using the European Convention on Human Rights as a guideline for interpretation of the provisions of the Basic Law is focussed on the outcomes, just like the European Convention on Human Rights itself with regard to its implementation at the national level: It does not aim at schematically aligning individual constitutional concepts in parallel, but serves to avoid violations of international law. While it may often be easier to cure or avoid violations of international law if domestic law is harmonised with the Convention, this is not imperative under international law: The Convention leaves it to the Contracting Parties to decide in what way to comply with their duty to observe the provisions of the Convention (cf. BVerfGE 111, 307 &lt;316&gt; with further references and &lt;322&gt;; see also ECtHR, Judgment of 13 July 2000, Application No. 39221/98 and No. 41963/98, Scozzari and Giunta ./. Italy, para. 249; </w:t>
      </w:r>
      <w:r w:rsidRPr="00526A91">
        <w:rPr>
          <w:rFonts w:cs="Arial"/>
          <w:i/>
          <w:lang w:val="en-GB"/>
        </w:rPr>
        <w:t>Tomuschat</w:t>
      </w:r>
      <w:r>
        <w:rPr>
          <w:rFonts w:cs="Arial"/>
          <w:lang w:val="en-GB"/>
        </w:rPr>
        <w:t>, German Law Journal, Volume 5 [2011], p. 513 [517 f.] with regard to the principle that a member state that has been condemned by the ECtHR remains free to choose the means to fulfil its obligations under Art. 46 ECHR).’. Cf. BVerfGE 148, 296 (</w:t>
      </w:r>
      <w:r w:rsidR="00897740">
        <w:rPr>
          <w:rFonts w:cs="Arial"/>
          <w:lang w:val="en-GB"/>
        </w:rPr>
        <w:t>Strike actions by civil servants</w:t>
      </w:r>
      <w:r>
        <w:rPr>
          <w:rFonts w:cs="Arial"/>
          <w:lang w:val="en-GB"/>
        </w:rPr>
        <w:t>), juris para. 130.</w:t>
      </w:r>
    </w:p>
  </w:endnote>
  <w:endnote w:id="21">
    <w:p w14:paraId="4A769CA6" w14:textId="0C32CE16" w:rsidR="00C116C4" w:rsidRPr="00074EAB" w:rsidRDefault="00C116C4" w:rsidP="00C116C4">
      <w:pPr>
        <w:pStyle w:val="Endnotentext"/>
        <w:spacing w:line="240" w:lineRule="atLeast"/>
        <w:rPr>
          <w:rFonts w:cs="Arial"/>
          <w:lang w:val="en-GB"/>
        </w:rPr>
      </w:pPr>
      <w:r>
        <w:rPr>
          <w:rStyle w:val="Endnotenzeichen"/>
          <w:rFonts w:cs="Arial"/>
          <w:lang w:val="en-GB"/>
        </w:rPr>
        <w:endnoteRef/>
      </w:r>
      <w:r>
        <w:rPr>
          <w:rFonts w:cs="Arial"/>
          <w:lang w:val="en-GB"/>
        </w:rPr>
        <w:t xml:space="preserve"> </w:t>
      </w:r>
      <w:r>
        <w:rPr>
          <w:rFonts w:cs="Arial"/>
          <w:lang w:val="en-GB"/>
        </w:rPr>
        <w:tab/>
        <w:t>BVerfGE 148, 296 (</w:t>
      </w:r>
      <w:r w:rsidR="00897740">
        <w:rPr>
          <w:rFonts w:cs="Arial"/>
          <w:lang w:val="en-GB"/>
        </w:rPr>
        <w:t>Strike actions by civil servants</w:t>
      </w:r>
      <w:r>
        <w:rPr>
          <w:rFonts w:cs="Arial"/>
          <w:lang w:val="en-GB"/>
        </w:rPr>
        <w:t>), juris para. 131.</w:t>
      </w:r>
    </w:p>
  </w:endnote>
  <w:endnote w:id="22">
    <w:p w14:paraId="4364738E" w14:textId="45A3C09E" w:rsidR="00C116C4" w:rsidRPr="00074EAB" w:rsidRDefault="00C116C4" w:rsidP="00C116C4">
      <w:pPr>
        <w:pStyle w:val="Endnotentext"/>
        <w:spacing w:line="240" w:lineRule="atLeast"/>
        <w:rPr>
          <w:rFonts w:cs="Arial"/>
          <w:lang w:val="en-GB"/>
        </w:rPr>
      </w:pPr>
      <w:r>
        <w:rPr>
          <w:rStyle w:val="Endnotenzeichen"/>
          <w:rFonts w:cs="Arial"/>
          <w:lang w:val="en-GB"/>
        </w:rPr>
        <w:endnoteRef/>
      </w:r>
      <w:r>
        <w:rPr>
          <w:rFonts w:cs="Arial"/>
          <w:lang w:val="en-GB"/>
        </w:rPr>
        <w:t xml:space="preserve"> </w:t>
      </w:r>
      <w:r>
        <w:rPr>
          <w:rFonts w:cs="Arial"/>
          <w:lang w:val="en-GB"/>
        </w:rPr>
        <w:tab/>
        <w:t>ECtHR, Judgment of 24 November 2011 - Application No. 4646/08 - O.H. ./. Germany, para.</w:t>
      </w:r>
      <w:r w:rsidR="00D83563">
        <w:rPr>
          <w:rFonts w:cs="Arial"/>
          <w:lang w:val="en-GB"/>
        </w:rPr>
        <w:t> </w:t>
      </w:r>
      <w:r>
        <w:rPr>
          <w:rFonts w:cs="Arial"/>
          <w:lang w:val="en-GB"/>
        </w:rPr>
        <w:t>103</w:t>
      </w:r>
      <w:r w:rsidR="00D83563">
        <w:rPr>
          <w:rFonts w:cs="Arial"/>
          <w:lang w:val="en-GB"/>
        </w:rPr>
        <w:t> </w:t>
      </w:r>
      <w:r>
        <w:rPr>
          <w:rFonts w:cs="Arial"/>
          <w:lang w:val="en-GB"/>
        </w:rPr>
        <w:t>ff.).</w:t>
      </w:r>
    </w:p>
  </w:endnote>
  <w:endnote w:id="23">
    <w:p w14:paraId="7FB1F3F6" w14:textId="77777777" w:rsidR="00C116C4" w:rsidRPr="00074EAB" w:rsidRDefault="00C116C4" w:rsidP="00C116C4">
      <w:pPr>
        <w:pStyle w:val="Endnotentext"/>
        <w:spacing w:line="240" w:lineRule="atLeast"/>
        <w:rPr>
          <w:rFonts w:cs="Arial"/>
          <w:lang w:val="en-GB"/>
        </w:rPr>
      </w:pPr>
      <w:r>
        <w:rPr>
          <w:rStyle w:val="Endnotenzeichen"/>
          <w:rFonts w:cs="Arial"/>
          <w:lang w:val="en-GB"/>
        </w:rPr>
        <w:endnoteRef/>
      </w:r>
      <w:r>
        <w:rPr>
          <w:rFonts w:cs="Arial"/>
          <w:lang w:val="en-GB"/>
        </w:rPr>
        <w:t xml:space="preserve"> </w:t>
      </w:r>
      <w:r>
        <w:rPr>
          <w:rFonts w:cs="Arial"/>
          <w:lang w:val="en-GB"/>
        </w:rPr>
        <w:tab/>
        <w:t>BVerfGE 128, 326, juris para. 87 ff.; BVerfGE 134, 33 juris para. 86.</w:t>
      </w:r>
    </w:p>
  </w:endnote>
  <w:endnote w:id="24">
    <w:p w14:paraId="68E91B5A" w14:textId="383E4D0F" w:rsidR="00C116C4" w:rsidRPr="00CB62BE" w:rsidRDefault="00C116C4" w:rsidP="00C116C4">
      <w:pPr>
        <w:pStyle w:val="Endnotentext"/>
        <w:spacing w:line="240" w:lineRule="atLeast"/>
        <w:rPr>
          <w:rFonts w:cs="Arial"/>
          <w:lang w:val="en-GB"/>
        </w:rPr>
      </w:pPr>
      <w:r>
        <w:rPr>
          <w:rStyle w:val="Endnotenzeichen"/>
          <w:rFonts w:cs="Arial"/>
          <w:lang w:val="en-GB"/>
        </w:rPr>
        <w:endnoteRef/>
      </w:r>
      <w:r>
        <w:rPr>
          <w:rFonts w:cs="Arial"/>
          <w:lang w:val="en-GB"/>
        </w:rPr>
        <w:t xml:space="preserve"> </w:t>
      </w:r>
      <w:r>
        <w:rPr>
          <w:rFonts w:cs="Arial"/>
          <w:lang w:val="en-GB"/>
        </w:rPr>
        <w:tab/>
        <w:t>BVerfGE 128, 326 &lt;369&gt;: ‘In light of this, it must be stated that similarities of norm texts must not cover up the differences which follow from the context of the legal systems. This applies to the interpretation of concepts of the Basic Law in a manner that is open to international law and, in a similar way, to the interpretation based on the comparative analysis of constitutions. The human rights content of the relevant international treaty must be “adapted” to the context of the receiving constitutional system in an active process (of acknowledg</w:t>
      </w:r>
      <w:r w:rsidR="00CB62BE">
        <w:rPr>
          <w:rFonts w:cs="Arial"/>
          <w:lang w:val="en-GB"/>
        </w:rPr>
        <w:t>e</w:t>
      </w:r>
      <w:r>
        <w:rPr>
          <w:rFonts w:cs="Arial"/>
          <w:lang w:val="en-GB"/>
        </w:rPr>
        <w:t xml:space="preserve">ment) (cf. </w:t>
      </w:r>
      <w:r w:rsidRPr="00526A91">
        <w:rPr>
          <w:rFonts w:cs="Arial"/>
          <w:i/>
          <w:lang w:val="en-GB"/>
        </w:rPr>
        <w:t>Häberle</w:t>
      </w:r>
      <w:r>
        <w:rPr>
          <w:rFonts w:cs="Arial"/>
          <w:lang w:val="en-GB"/>
        </w:rPr>
        <w:t xml:space="preserve">, Europäische Verfassungslehre, 7th Edition 2011, p. 255 f.; cf. also </w:t>
      </w:r>
      <w:r w:rsidRPr="00526A91">
        <w:rPr>
          <w:rFonts w:cs="Arial"/>
          <w:i/>
          <w:lang w:val="en-GB"/>
        </w:rPr>
        <w:t>Dreier</w:t>
      </w:r>
      <w:r>
        <w:rPr>
          <w:rFonts w:cs="Arial"/>
          <w:lang w:val="en-GB"/>
        </w:rPr>
        <w:t xml:space="preserve">, GG, Volume 1, 2nd Edition 2004, Art. 1(2), para. </w:t>
      </w:r>
      <w:r w:rsidRPr="00CB62BE">
        <w:rPr>
          <w:rFonts w:cs="Arial"/>
          <w:lang w:val="en-GB"/>
        </w:rPr>
        <w:t>20).’ Cf. BVerfGE 148, 296 (</w:t>
      </w:r>
      <w:r w:rsidR="00897740" w:rsidRPr="00CB62BE">
        <w:rPr>
          <w:rFonts w:cs="Arial"/>
          <w:lang w:val="en-GB"/>
        </w:rPr>
        <w:t>Strike actions by civil servants</w:t>
      </w:r>
      <w:r w:rsidRPr="00CB62BE">
        <w:rPr>
          <w:rFonts w:cs="Arial"/>
          <w:lang w:val="en-GB"/>
        </w:rPr>
        <w:t>), juris para. 131.</w:t>
      </w:r>
    </w:p>
  </w:endnote>
  <w:endnote w:id="25">
    <w:p w14:paraId="51CB369E" w14:textId="1D49E1D6" w:rsidR="00C116C4" w:rsidRPr="00CB62BE" w:rsidRDefault="00C116C4" w:rsidP="00C116C4">
      <w:pPr>
        <w:pStyle w:val="Endnotentext"/>
        <w:spacing w:line="240" w:lineRule="atLeast"/>
        <w:rPr>
          <w:rFonts w:cs="Arial"/>
          <w:lang w:val="en-GB"/>
        </w:rPr>
      </w:pPr>
      <w:r>
        <w:rPr>
          <w:rStyle w:val="Endnotenzeichen"/>
          <w:rFonts w:cs="Arial"/>
          <w:lang w:val="en-GB"/>
        </w:rPr>
        <w:endnoteRef/>
      </w:r>
      <w:r w:rsidRPr="00897740">
        <w:rPr>
          <w:rFonts w:cs="Arial"/>
          <w:lang w:val="en-GB"/>
        </w:rPr>
        <w:t xml:space="preserve"> </w:t>
      </w:r>
      <w:r w:rsidRPr="00897740">
        <w:rPr>
          <w:rFonts w:cs="Arial"/>
          <w:lang w:val="en-GB"/>
        </w:rPr>
        <w:tab/>
        <w:t>BVerfGE 128, 326 &lt;370&gt;; BVerfGE 111, 307 &lt;327&gt;; BVerfGE 148, 296 (</w:t>
      </w:r>
      <w:r w:rsidR="00897740" w:rsidRPr="00897740">
        <w:rPr>
          <w:rFonts w:cs="Arial"/>
          <w:lang w:val="en-GB"/>
        </w:rPr>
        <w:t>Strike actions by civil servants</w:t>
      </w:r>
      <w:r w:rsidRPr="00897740">
        <w:rPr>
          <w:rFonts w:cs="Arial"/>
          <w:lang w:val="en-GB"/>
        </w:rPr>
        <w:t xml:space="preserve">), juris para. </w:t>
      </w:r>
      <w:r w:rsidRPr="00CB62BE">
        <w:rPr>
          <w:rFonts w:cs="Arial"/>
          <w:lang w:val="en-GB"/>
        </w:rPr>
        <w:t>135</w:t>
      </w:r>
      <w:r w:rsidR="00D83563" w:rsidRPr="00CB62BE">
        <w:rPr>
          <w:rFonts w:cs="Arial"/>
          <w:lang w:val="en-GB"/>
        </w:rPr>
        <w:t>.</w:t>
      </w:r>
    </w:p>
  </w:endnote>
  <w:endnote w:id="26">
    <w:p w14:paraId="7BFB2CF4" w14:textId="77777777" w:rsidR="00C116C4" w:rsidRPr="00CB62BE" w:rsidRDefault="00C116C4" w:rsidP="00C116C4">
      <w:pPr>
        <w:pStyle w:val="Endnotentext"/>
        <w:rPr>
          <w:lang w:val="en-GB"/>
        </w:rPr>
      </w:pPr>
      <w:r>
        <w:rPr>
          <w:rStyle w:val="Endnotenzeichen"/>
          <w:lang w:val="en-GB"/>
        </w:rPr>
        <w:endnoteRef/>
      </w:r>
      <w:r w:rsidRPr="00CB62BE">
        <w:rPr>
          <w:lang w:val="en-GB"/>
        </w:rPr>
        <w:tab/>
        <w:t xml:space="preserve">BVerfGE 128, 326 &lt;370&gt; with reference to </w:t>
      </w:r>
      <w:r w:rsidRPr="00CB62BE">
        <w:rPr>
          <w:i/>
          <w:lang w:val="en-GB"/>
        </w:rPr>
        <w:t>Häberle</w:t>
      </w:r>
      <w:r w:rsidRPr="00CB62BE">
        <w:rPr>
          <w:lang w:val="en-GB"/>
        </w:rPr>
        <w:t>, Europäische Verfassungslehre, 7th Edition 2011, p. 255 f.</w:t>
      </w:r>
    </w:p>
  </w:endnote>
  <w:endnote w:id="27">
    <w:p w14:paraId="6DF87982" w14:textId="00920745" w:rsidR="00C116C4" w:rsidRPr="00074EAB" w:rsidRDefault="00C116C4" w:rsidP="00C116C4">
      <w:pPr>
        <w:pStyle w:val="Endnotentext"/>
        <w:spacing w:line="240" w:lineRule="atLeast"/>
        <w:rPr>
          <w:rFonts w:cs="Arial"/>
          <w:lang w:val="en-GB"/>
        </w:rPr>
      </w:pPr>
      <w:r>
        <w:rPr>
          <w:rStyle w:val="Endnotenzeichen"/>
          <w:rFonts w:cs="Arial"/>
          <w:lang w:val="en-GB"/>
        </w:rPr>
        <w:endnoteRef/>
      </w:r>
      <w:r w:rsidRPr="00897740">
        <w:rPr>
          <w:rFonts w:cs="Arial"/>
          <w:lang w:val="en-GB"/>
        </w:rPr>
        <w:t xml:space="preserve"> </w:t>
      </w:r>
      <w:r w:rsidRPr="00897740">
        <w:rPr>
          <w:rFonts w:cs="Arial"/>
          <w:lang w:val="en-GB"/>
        </w:rPr>
        <w:tab/>
        <w:t>BVerfGE 128, 326 &lt;370&gt;; BVerfGE 111, 307 &lt;324&gt;; BVerfGE 148, 296 (</w:t>
      </w:r>
      <w:r w:rsidR="00897740" w:rsidRPr="00897740">
        <w:rPr>
          <w:rFonts w:cs="Arial"/>
          <w:lang w:val="en-GB"/>
        </w:rPr>
        <w:t>Strike actions by civil servants</w:t>
      </w:r>
      <w:r w:rsidRPr="00897740">
        <w:rPr>
          <w:rFonts w:cs="Arial"/>
          <w:lang w:val="en-GB"/>
        </w:rPr>
        <w:t xml:space="preserve">), juris para. </w:t>
      </w:r>
      <w:r>
        <w:rPr>
          <w:rFonts w:cs="Arial"/>
          <w:lang w:val="en-GB"/>
        </w:rPr>
        <w:t>153; BVerfGK 3, 4 &lt;8 ff.&gt;).</w:t>
      </w:r>
    </w:p>
  </w:endnote>
  <w:endnote w:id="28">
    <w:p w14:paraId="705A6D94" w14:textId="77777777" w:rsidR="00C116C4" w:rsidRPr="00074EAB" w:rsidRDefault="00C116C4" w:rsidP="00C116C4">
      <w:pPr>
        <w:pStyle w:val="Endnotentext"/>
        <w:spacing w:line="240" w:lineRule="atLeast"/>
        <w:rPr>
          <w:rFonts w:cs="Arial"/>
          <w:lang w:val="en-GB"/>
        </w:rPr>
      </w:pPr>
      <w:r>
        <w:rPr>
          <w:rStyle w:val="Endnotenzeichen"/>
          <w:rFonts w:cs="Arial"/>
          <w:lang w:val="en-GB"/>
        </w:rPr>
        <w:endnoteRef/>
      </w:r>
      <w:r>
        <w:rPr>
          <w:rFonts w:cs="Arial"/>
          <w:lang w:val="en-GB"/>
        </w:rPr>
        <w:t xml:space="preserve"> </w:t>
      </w:r>
      <w:r>
        <w:rPr>
          <w:rFonts w:cs="Arial"/>
          <w:lang w:val="en-GB"/>
        </w:rPr>
        <w:tab/>
        <w:t>BVerfGE 128, 326 &lt;370&gt;; BVerfGE 137, 273, juris para. 130.</w:t>
      </w:r>
    </w:p>
  </w:endnote>
  <w:endnote w:id="29">
    <w:p w14:paraId="582AC29F" w14:textId="02D01E57" w:rsidR="00C116C4" w:rsidRPr="00CB62BE" w:rsidRDefault="00C116C4" w:rsidP="00C116C4">
      <w:pPr>
        <w:pStyle w:val="Endnotentext"/>
        <w:spacing w:line="240" w:lineRule="atLeast"/>
        <w:rPr>
          <w:rFonts w:cs="Arial"/>
          <w:lang w:val="en-GB"/>
        </w:rPr>
      </w:pPr>
      <w:r>
        <w:rPr>
          <w:rStyle w:val="Endnotenzeichen"/>
          <w:rFonts w:cs="Arial"/>
          <w:lang w:val="en-GB"/>
        </w:rPr>
        <w:endnoteRef/>
      </w:r>
      <w:r>
        <w:rPr>
          <w:rFonts w:cs="Arial"/>
          <w:lang w:val="en-GB"/>
        </w:rPr>
        <w:t xml:space="preserve"> </w:t>
      </w:r>
      <w:r>
        <w:rPr>
          <w:rFonts w:cs="Arial"/>
          <w:lang w:val="en-GB"/>
        </w:rPr>
        <w:tab/>
        <w:t>BVerfGE 128, 326 &lt;370&gt;. ‘f) The limits of an interpretation that is open to international law follow from the Basic Law. Firstly, an interpretation of fundamental rights in a manner that is open to international law m</w:t>
      </w:r>
      <w:r w:rsidR="00D83563">
        <w:rPr>
          <w:rFonts w:cs="Arial"/>
          <w:lang w:val="en-GB"/>
        </w:rPr>
        <w:t>ust</w:t>
      </w:r>
      <w:r>
        <w:rPr>
          <w:rFonts w:cs="Arial"/>
          <w:lang w:val="en-GB"/>
        </w:rPr>
        <w:t xml:space="preserve"> not result in a limitation of the protection of fundamental rights as afforded by the Basic Law; this is also excluded by the European Convention on Human Rights itself (cf. Art. 53 ECHR; see BVerfGE 111, 307 &lt;317&gt;). Above all, this obstacle to acknowledging international law may become significant in multi-polar fundamental rights relationships in which the increase of liberty for one holder of fundamental rights means a decrease of liberty for the other at the same time (cf. </w:t>
      </w:r>
      <w:r w:rsidRPr="00526A91">
        <w:rPr>
          <w:rFonts w:cs="Arial"/>
          <w:i/>
          <w:lang w:val="en-GB"/>
        </w:rPr>
        <w:t>Wahl/Masing</w:t>
      </w:r>
      <w:r>
        <w:rPr>
          <w:rFonts w:cs="Arial"/>
          <w:lang w:val="en-GB"/>
        </w:rPr>
        <w:t xml:space="preserve">, JZ 1990, p. 553 ff.; </w:t>
      </w:r>
      <w:r w:rsidRPr="00526A91">
        <w:rPr>
          <w:rFonts w:cs="Arial"/>
          <w:i/>
          <w:lang w:val="en-GB"/>
        </w:rPr>
        <w:t>Hoffmann-Riem</w:t>
      </w:r>
      <w:r>
        <w:rPr>
          <w:rFonts w:cs="Arial"/>
          <w:lang w:val="en-GB"/>
        </w:rPr>
        <w:t xml:space="preserve">, EuGRZ 2006, p. 492; </w:t>
      </w:r>
      <w:r w:rsidRPr="00526A91">
        <w:rPr>
          <w:rFonts w:cs="Arial"/>
          <w:i/>
          <w:lang w:val="en-GB"/>
        </w:rPr>
        <w:t>Calliess</w:t>
      </w:r>
      <w:r>
        <w:rPr>
          <w:rFonts w:cs="Arial"/>
          <w:lang w:val="en-GB"/>
        </w:rPr>
        <w:t>, in: Merten/Papier, HGR, Volume II, 2006, § 44 para. 18 ff. with further references). The possibilities of interpretation in a manner open to the Convention end where such an interpretation no longer appears tenable according to the recognised methods of interpretation of statutes and of the Constitution (cf. BVerfGE 111, 307 &lt;329&gt;</w:t>
      </w:r>
      <w:r w:rsidR="00292416">
        <w:rPr>
          <w:rFonts w:cs="Arial"/>
          <w:lang w:val="en-GB"/>
        </w:rPr>
        <w:t xml:space="preserve"> […])’</w:t>
      </w:r>
      <w:r>
        <w:rPr>
          <w:rFonts w:cs="Arial"/>
          <w:lang w:val="en-GB"/>
        </w:rPr>
        <w:t>; cf. also BVerfGE 148, 296 (</w:t>
      </w:r>
      <w:r w:rsidR="00897740">
        <w:rPr>
          <w:rFonts w:cs="Arial"/>
          <w:lang w:val="en-GB"/>
        </w:rPr>
        <w:t>Strike actions by civil servants</w:t>
      </w:r>
      <w:r>
        <w:rPr>
          <w:rFonts w:cs="Arial"/>
          <w:lang w:val="en-GB"/>
        </w:rPr>
        <w:t xml:space="preserve">), juris para. </w:t>
      </w:r>
      <w:r w:rsidRPr="00CB62BE">
        <w:rPr>
          <w:rFonts w:cs="Arial"/>
          <w:lang w:val="en-GB"/>
        </w:rPr>
        <w:t>132; BV</w:t>
      </w:r>
      <w:r w:rsidR="00526A91" w:rsidRPr="00CB62BE">
        <w:rPr>
          <w:rFonts w:cs="Arial"/>
          <w:lang w:val="en-GB"/>
        </w:rPr>
        <w:t>erfGE 137, 273 juris para. 129.</w:t>
      </w:r>
    </w:p>
  </w:endnote>
  <w:endnote w:id="30">
    <w:p w14:paraId="7B793157" w14:textId="5A1746E5" w:rsidR="00C116C4" w:rsidRPr="00CB62BE" w:rsidRDefault="00C116C4" w:rsidP="00C116C4">
      <w:pPr>
        <w:pStyle w:val="Endnotentext"/>
        <w:spacing w:line="240" w:lineRule="atLeast"/>
        <w:rPr>
          <w:rFonts w:cs="Arial"/>
          <w:lang w:val="en-GB"/>
        </w:rPr>
      </w:pPr>
      <w:r>
        <w:rPr>
          <w:rStyle w:val="Endnotenzeichen"/>
          <w:rFonts w:cs="Arial"/>
          <w:lang w:val="en-GB"/>
        </w:rPr>
        <w:endnoteRef/>
      </w:r>
      <w:r w:rsidRPr="00897740">
        <w:rPr>
          <w:rFonts w:cs="Arial"/>
          <w:lang w:val="en-GB"/>
        </w:rPr>
        <w:t xml:space="preserve"> </w:t>
      </w:r>
      <w:r w:rsidRPr="00897740">
        <w:rPr>
          <w:rFonts w:cs="Arial"/>
          <w:lang w:val="en-GB"/>
        </w:rPr>
        <w:tab/>
        <w:t>S. BVerfGE 148, 296 (</w:t>
      </w:r>
      <w:r w:rsidR="00897740" w:rsidRPr="00897740">
        <w:rPr>
          <w:rFonts w:cs="Arial"/>
          <w:lang w:val="en-GB"/>
        </w:rPr>
        <w:t>Strike actions by civil servants</w:t>
      </w:r>
      <w:r w:rsidRPr="00897740">
        <w:rPr>
          <w:rFonts w:cs="Arial"/>
          <w:lang w:val="en-GB"/>
        </w:rPr>
        <w:t xml:space="preserve">), juris para. </w:t>
      </w:r>
      <w:r w:rsidRPr="00CB62BE">
        <w:rPr>
          <w:rFonts w:cs="Arial"/>
          <w:lang w:val="en-GB"/>
        </w:rPr>
        <w:t>172.</w:t>
      </w:r>
    </w:p>
  </w:endnote>
  <w:endnote w:id="31">
    <w:p w14:paraId="7366BFCD" w14:textId="2F4E347C" w:rsidR="00C116C4" w:rsidRPr="00074EAB" w:rsidRDefault="00C116C4" w:rsidP="00C116C4">
      <w:pPr>
        <w:pStyle w:val="Endnotentext"/>
        <w:spacing w:line="240" w:lineRule="atLeast"/>
        <w:rPr>
          <w:rFonts w:cs="Arial"/>
          <w:lang w:val="en-GB"/>
        </w:rPr>
      </w:pPr>
      <w:r>
        <w:rPr>
          <w:rStyle w:val="Endnotenzeichen"/>
          <w:rFonts w:cs="Arial"/>
          <w:lang w:val="en-GB"/>
        </w:rPr>
        <w:endnoteRef/>
      </w:r>
      <w:r w:rsidRPr="00897740">
        <w:rPr>
          <w:rFonts w:cs="Arial"/>
          <w:lang w:val="en-GB"/>
        </w:rPr>
        <w:t xml:space="preserve"> </w:t>
      </w:r>
      <w:r w:rsidRPr="00897740">
        <w:rPr>
          <w:rFonts w:cs="Arial"/>
          <w:lang w:val="en-GB"/>
        </w:rPr>
        <w:tab/>
        <w:t>BVerfGE 148, 296 (</w:t>
      </w:r>
      <w:r w:rsidR="00897740" w:rsidRPr="00897740">
        <w:rPr>
          <w:rFonts w:cs="Arial"/>
          <w:lang w:val="en-GB"/>
        </w:rPr>
        <w:t>Strike actions by civil servants</w:t>
      </w:r>
      <w:r w:rsidRPr="00897740">
        <w:rPr>
          <w:rFonts w:cs="Arial"/>
          <w:lang w:val="en-GB"/>
        </w:rPr>
        <w:t xml:space="preserve">), juris para. </w:t>
      </w:r>
      <w:r>
        <w:rPr>
          <w:rFonts w:cs="Arial"/>
          <w:lang w:val="en-GB"/>
        </w:rPr>
        <w:t>172: ‘In particular, there is presently no need to clarify, whether the ban on strike action</w:t>
      </w:r>
      <w:r w:rsidR="009E591C">
        <w:rPr>
          <w:rFonts w:cs="Arial"/>
          <w:lang w:val="en-GB"/>
        </w:rPr>
        <w:t>s</w:t>
      </w:r>
      <w:r>
        <w:rPr>
          <w:rFonts w:cs="Arial"/>
          <w:lang w:val="en-GB"/>
        </w:rPr>
        <w:t xml:space="preserve"> </w:t>
      </w:r>
      <w:r w:rsidR="009E591C">
        <w:rPr>
          <w:rFonts w:cs="Arial"/>
          <w:lang w:val="en-GB"/>
        </w:rPr>
        <w:t>by</w:t>
      </w:r>
      <w:r>
        <w:rPr>
          <w:rFonts w:cs="Arial"/>
          <w:lang w:val="en-GB"/>
        </w:rPr>
        <w:t xml:space="preserve"> civil servants, which is a traditional principle of the career civil service system and a traditional element of the German state structure also is a fundamental constitutional principle (exempt from adaptation by way of interpretation).</w:t>
      </w:r>
      <w:r w:rsidR="00292416">
        <w:rPr>
          <w:rFonts w:cs="Arial"/>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B5A6C" w14:textId="27BFE0D1" w:rsidR="00536A39" w:rsidRDefault="00536A39" w:rsidP="00D96435">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7544E" w14:textId="77777777" w:rsidR="00875917" w:rsidRDefault="00875917">
      <w:r>
        <w:separator/>
      </w:r>
    </w:p>
  </w:footnote>
  <w:footnote w:type="continuationSeparator" w:id="0">
    <w:p w14:paraId="67A00C80" w14:textId="77777777" w:rsidR="00875917" w:rsidRDefault="00875917">
      <w:r>
        <w:continuationSeparator/>
      </w:r>
    </w:p>
  </w:footnote>
  <w:footnote w:type="continuationNotice" w:id="1">
    <w:p w14:paraId="6A1D01C1" w14:textId="77777777" w:rsidR="00875917" w:rsidRDefault="008759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BB57E" w14:textId="5FBB7522" w:rsidR="00536A39" w:rsidRPr="00060F66" w:rsidRDefault="00536A39" w:rsidP="0091761F">
    <w:pPr>
      <w:pStyle w:val="Kopfzeile"/>
      <w:jc w:val="center"/>
      <w:rPr>
        <w:rFonts w:cs="Arial"/>
      </w:rPr>
    </w:pPr>
    <w:r>
      <w:rPr>
        <w:lang w:val="en-GB"/>
      </w:rPr>
      <w:t xml:space="preserve">- </w:t>
    </w:r>
    <w:r>
      <w:rPr>
        <w:lang w:val="en-GB"/>
      </w:rPr>
      <w:fldChar w:fldCharType="begin"/>
    </w:r>
    <w:r>
      <w:rPr>
        <w:lang w:val="en-GB"/>
      </w:rPr>
      <w:instrText xml:space="preserve"> PAGE </w:instrText>
    </w:r>
    <w:r>
      <w:rPr>
        <w:lang w:val="en-GB"/>
      </w:rPr>
      <w:fldChar w:fldCharType="separate"/>
    </w:r>
    <w:r w:rsidR="00CA6A4A">
      <w:rPr>
        <w:lang w:val="en-GB"/>
      </w:rPr>
      <w:t>9</w:t>
    </w:r>
    <w:r>
      <w:rPr>
        <w:lang w:val="en-GB"/>
      </w:rPr>
      <w:fldChar w:fldCharType="end"/>
    </w:r>
    <w:r>
      <w:rPr>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74F7"/>
    <w:multiLevelType w:val="singleLevel"/>
    <w:tmpl w:val="0E486730"/>
    <w:lvl w:ilvl="0">
      <w:start w:val="1"/>
      <w:numFmt w:val="decimal"/>
      <w:lvlText w:val="%1."/>
      <w:lvlJc w:val="left"/>
      <w:pPr>
        <w:tabs>
          <w:tab w:val="num" w:pos="567"/>
        </w:tabs>
        <w:ind w:left="567" w:hanging="567"/>
      </w:pPr>
    </w:lvl>
  </w:abstractNum>
  <w:abstractNum w:abstractNumId="1" w15:restartNumberingAfterBreak="0">
    <w:nsid w:val="43085510"/>
    <w:multiLevelType w:val="multilevel"/>
    <w:tmpl w:val="B080AEEA"/>
    <w:lvl w:ilvl="0">
      <w:start w:val="1"/>
      <w:numFmt w:val="upperLetter"/>
      <w:pStyle w:val="berschrift1"/>
      <w:suff w:val="nothing"/>
      <w:lvlText w:val="%1."/>
      <w:lvlJc w:val="left"/>
      <w:pPr>
        <w:ind w:left="0" w:firstLine="0"/>
      </w:pPr>
      <w:rPr>
        <w:rFonts w:ascii="Arial" w:hAnsi="Arial" w:hint="default"/>
        <w:b w:val="0"/>
        <w:i w:val="0"/>
        <w:sz w:val="28"/>
        <w:szCs w:val="28"/>
      </w:rPr>
    </w:lvl>
    <w:lvl w:ilvl="1">
      <w:start w:val="1"/>
      <w:numFmt w:val="upperRoman"/>
      <w:pStyle w:val="berschrift2"/>
      <w:suff w:val="nothing"/>
      <w:lvlText w:val="%2."/>
      <w:lvlJc w:val="left"/>
      <w:pPr>
        <w:ind w:left="4962" w:firstLine="0"/>
      </w:pPr>
      <w:rPr>
        <w:rFonts w:ascii="Arial" w:hAnsi="Arial" w:hint="default"/>
        <w:b w:val="0"/>
        <w:i w:val="0"/>
        <w:sz w:val="28"/>
        <w:szCs w:val="28"/>
      </w:rPr>
    </w:lvl>
    <w:lvl w:ilvl="2">
      <w:start w:val="1"/>
      <w:numFmt w:val="decimal"/>
      <w:pStyle w:val="berschrift3"/>
      <w:lvlText w:val="%3."/>
      <w:lvlJc w:val="left"/>
      <w:pPr>
        <w:tabs>
          <w:tab w:val="num" w:pos="992"/>
        </w:tabs>
        <w:ind w:left="992" w:hanging="567"/>
      </w:pPr>
      <w:rPr>
        <w:rFonts w:ascii="Arial" w:hAnsi="Arial" w:hint="default"/>
        <w:b w:val="0"/>
        <w:i w:val="0"/>
        <w:sz w:val="24"/>
        <w:szCs w:val="24"/>
      </w:rPr>
    </w:lvl>
    <w:lvl w:ilvl="3">
      <w:start w:val="1"/>
      <w:numFmt w:val="lowerLetter"/>
      <w:pStyle w:val="berschrift4"/>
      <w:lvlText w:val="%4)"/>
      <w:lvlJc w:val="left"/>
      <w:pPr>
        <w:tabs>
          <w:tab w:val="num" w:pos="992"/>
        </w:tabs>
        <w:ind w:left="992" w:hanging="567"/>
      </w:pPr>
      <w:rPr>
        <w:rFonts w:ascii="Arial" w:hAnsi="Arial" w:hint="default"/>
        <w:b w:val="0"/>
        <w:i w:val="0"/>
        <w:sz w:val="24"/>
        <w:szCs w:val="24"/>
      </w:rPr>
    </w:lvl>
    <w:lvl w:ilvl="4">
      <w:start w:val="27"/>
      <w:numFmt w:val="lowerLetter"/>
      <w:pStyle w:val="berschrift5"/>
      <w:lvlText w:val="%5)"/>
      <w:lvlJc w:val="left"/>
      <w:pPr>
        <w:tabs>
          <w:tab w:val="num" w:pos="992"/>
        </w:tabs>
        <w:ind w:left="992" w:hanging="567"/>
      </w:pPr>
      <w:rPr>
        <w:rFonts w:ascii="Arial" w:hAnsi="Arial" w:hint="default"/>
        <w:b w:val="0"/>
        <w:i w:val="0"/>
        <w:sz w:val="24"/>
        <w:szCs w:val="24"/>
      </w:rPr>
    </w:lvl>
    <w:lvl w:ilvl="5">
      <w:start w:val="1"/>
      <w:numFmt w:val="decimal"/>
      <w:pStyle w:val="berschrift6"/>
      <w:lvlText w:val="(%6)"/>
      <w:lvlJc w:val="left"/>
      <w:pPr>
        <w:tabs>
          <w:tab w:val="num" w:pos="992"/>
        </w:tabs>
        <w:ind w:left="992" w:hanging="567"/>
      </w:pPr>
      <w:rPr>
        <w:rFonts w:ascii="Arial" w:hAnsi="Arial" w:hint="default"/>
        <w:b w:val="0"/>
        <w:i w:val="0"/>
        <w:sz w:val="24"/>
        <w:szCs w:val="24"/>
      </w:rPr>
    </w:lvl>
    <w:lvl w:ilvl="6">
      <w:start w:val="1"/>
      <w:numFmt w:val="lowerLetter"/>
      <w:pStyle w:val="berschrift7"/>
      <w:lvlText w:val="(%7)"/>
      <w:lvlJc w:val="left"/>
      <w:pPr>
        <w:tabs>
          <w:tab w:val="num" w:pos="992"/>
        </w:tabs>
        <w:ind w:left="992" w:hanging="567"/>
      </w:pPr>
      <w:rPr>
        <w:rFonts w:ascii="Arial" w:hAnsi="Arial" w:hint="default"/>
        <w:b w:val="0"/>
        <w:i w:val="0"/>
        <w:sz w:val="24"/>
        <w:szCs w:val="24"/>
      </w:rPr>
    </w:lvl>
    <w:lvl w:ilvl="7">
      <w:start w:val="27"/>
      <w:numFmt w:val="lowerLetter"/>
      <w:pStyle w:val="berschrift8"/>
      <w:lvlText w:val="(%8)"/>
      <w:lvlJc w:val="left"/>
      <w:pPr>
        <w:tabs>
          <w:tab w:val="num" w:pos="1134"/>
        </w:tabs>
        <w:ind w:left="1134" w:hanging="709"/>
      </w:pPr>
      <w:rPr>
        <w:rFonts w:ascii="Arial" w:hAnsi="Arial" w:hint="default"/>
        <w:b w:val="0"/>
        <w:i w:val="0"/>
        <w:sz w:val="24"/>
        <w:szCs w:val="24"/>
      </w:rPr>
    </w:lvl>
    <w:lvl w:ilvl="8">
      <w:start w:val="1"/>
      <w:numFmt w:val="lowerLetter"/>
      <w:pStyle w:val="berschrift9"/>
      <w:lvlText w:val="(%9)"/>
      <w:lvlJc w:val="left"/>
      <w:pPr>
        <w:tabs>
          <w:tab w:val="num" w:pos="992"/>
        </w:tabs>
        <w:ind w:left="992" w:hanging="567"/>
      </w:pPr>
      <w:rPr>
        <w:rFonts w:ascii="Symbol" w:hAnsi="Symbol" w:hint="default"/>
        <w:b w:val="0"/>
        <w:i w:val="0"/>
        <w:sz w:val="24"/>
      </w:rPr>
    </w:lvl>
  </w:abstractNum>
  <w:abstractNum w:abstractNumId="2" w15:restartNumberingAfterBreak="0">
    <w:nsid w:val="61430036"/>
    <w:multiLevelType w:val="hybridMultilevel"/>
    <w:tmpl w:val="87428636"/>
    <w:lvl w:ilvl="0" w:tplc="5D308626">
      <w:start w:val="1"/>
      <w:numFmt w:val="decimal"/>
      <w:pStyle w:val="StandardmitZhl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5A5344E"/>
    <w:multiLevelType w:val="hybridMultilevel"/>
    <w:tmpl w:val="7E4A7858"/>
    <w:lvl w:ilvl="0" w:tplc="2AC8C1B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88E2E6D"/>
    <w:multiLevelType w:val="multilevel"/>
    <w:tmpl w:val="CBDAF832"/>
    <w:lvl w:ilvl="0">
      <w:start w:val="1"/>
      <w:numFmt w:val="upperLetter"/>
      <w:suff w:val="nothing"/>
      <w:lvlText w:val="%1."/>
      <w:lvlJc w:val="left"/>
      <w:pPr>
        <w:ind w:left="0" w:firstLine="0"/>
      </w:pPr>
      <w:rPr>
        <w:rFonts w:ascii="Arial" w:hAnsi="Arial" w:hint="default"/>
        <w:b w:val="0"/>
        <w:i w:val="0"/>
        <w:sz w:val="24"/>
        <w:szCs w:val="24"/>
      </w:rPr>
    </w:lvl>
    <w:lvl w:ilvl="1">
      <w:start w:val="1"/>
      <w:numFmt w:val="upperRoman"/>
      <w:suff w:val="nothing"/>
      <w:lvlText w:val="%2."/>
      <w:lvlJc w:val="left"/>
      <w:pPr>
        <w:ind w:left="0" w:firstLine="0"/>
      </w:pPr>
      <w:rPr>
        <w:rFonts w:ascii="Arial" w:hAnsi="Arial" w:hint="default"/>
        <w:b w:val="0"/>
        <w:i w:val="0"/>
        <w:sz w:val="24"/>
        <w:szCs w:val="24"/>
      </w:rPr>
    </w:lvl>
    <w:lvl w:ilvl="2">
      <w:start w:val="1"/>
      <w:numFmt w:val="decimal"/>
      <w:pStyle w:val="text3"/>
      <w:suff w:val="space"/>
      <w:lvlText w:val="%3."/>
      <w:lvlJc w:val="left"/>
      <w:pPr>
        <w:ind w:left="0" w:firstLine="425"/>
      </w:pPr>
      <w:rPr>
        <w:rFonts w:ascii="Arial" w:hAnsi="Arial" w:hint="default"/>
        <w:b w:val="0"/>
        <w:i w:val="0"/>
        <w:sz w:val="24"/>
        <w:szCs w:val="24"/>
      </w:rPr>
    </w:lvl>
    <w:lvl w:ilvl="3">
      <w:start w:val="1"/>
      <w:numFmt w:val="lowerLetter"/>
      <w:pStyle w:val="text4"/>
      <w:suff w:val="space"/>
      <w:lvlText w:val="%4)"/>
      <w:lvlJc w:val="left"/>
      <w:pPr>
        <w:ind w:left="0" w:firstLine="425"/>
      </w:pPr>
      <w:rPr>
        <w:rFonts w:ascii="Arial" w:hAnsi="Arial" w:hint="default"/>
        <w:b w:val="0"/>
        <w:i w:val="0"/>
        <w:sz w:val="24"/>
        <w:szCs w:val="24"/>
      </w:rPr>
    </w:lvl>
    <w:lvl w:ilvl="4">
      <w:start w:val="27"/>
      <w:numFmt w:val="lowerLetter"/>
      <w:pStyle w:val="text5"/>
      <w:suff w:val="space"/>
      <w:lvlText w:val="%5)"/>
      <w:lvlJc w:val="left"/>
      <w:pPr>
        <w:ind w:left="0" w:firstLine="425"/>
      </w:pPr>
      <w:rPr>
        <w:rFonts w:ascii="Arial" w:hAnsi="Arial" w:hint="default"/>
        <w:b w:val="0"/>
        <w:i w:val="0"/>
        <w:sz w:val="24"/>
        <w:szCs w:val="24"/>
      </w:rPr>
    </w:lvl>
    <w:lvl w:ilvl="5">
      <w:start w:val="1"/>
      <w:numFmt w:val="decimal"/>
      <w:pStyle w:val="text6"/>
      <w:suff w:val="space"/>
      <w:lvlText w:val="(%6)"/>
      <w:lvlJc w:val="left"/>
      <w:pPr>
        <w:ind w:left="0" w:firstLine="425"/>
      </w:pPr>
      <w:rPr>
        <w:rFonts w:ascii="Arial" w:hAnsi="Arial" w:hint="default"/>
        <w:b w:val="0"/>
        <w:i w:val="0"/>
        <w:sz w:val="24"/>
        <w:szCs w:val="24"/>
      </w:rPr>
    </w:lvl>
    <w:lvl w:ilvl="6">
      <w:start w:val="1"/>
      <w:numFmt w:val="lowerLetter"/>
      <w:pStyle w:val="text7"/>
      <w:suff w:val="space"/>
      <w:lvlText w:val="(%7)"/>
      <w:lvlJc w:val="left"/>
      <w:pPr>
        <w:ind w:left="0" w:firstLine="425"/>
      </w:pPr>
      <w:rPr>
        <w:rFonts w:ascii="Arial" w:hAnsi="Arial" w:hint="default"/>
        <w:b w:val="0"/>
        <w:i w:val="0"/>
        <w:sz w:val="24"/>
        <w:szCs w:val="24"/>
      </w:rPr>
    </w:lvl>
    <w:lvl w:ilvl="7">
      <w:start w:val="27"/>
      <w:numFmt w:val="lowerLetter"/>
      <w:pStyle w:val="text8"/>
      <w:suff w:val="space"/>
      <w:lvlText w:val="(%8)"/>
      <w:lvlJc w:val="left"/>
      <w:pPr>
        <w:ind w:left="0" w:firstLine="425"/>
      </w:pPr>
      <w:rPr>
        <w:rFonts w:ascii="Arial" w:hAnsi="Arial" w:hint="default"/>
        <w:b w:val="0"/>
        <w:i w:val="0"/>
        <w:sz w:val="24"/>
        <w:szCs w:val="24"/>
      </w:rPr>
    </w:lvl>
    <w:lvl w:ilvl="8">
      <w:start w:val="1"/>
      <w:numFmt w:val="lowerLetter"/>
      <w:pStyle w:val="text9"/>
      <w:suff w:val="space"/>
      <w:lvlText w:val="(%9)"/>
      <w:lvlJc w:val="left"/>
      <w:pPr>
        <w:ind w:left="0" w:firstLine="425"/>
      </w:pPr>
      <w:rPr>
        <w:rFonts w:ascii="Symbol" w:hAnsi="Symbol" w:hint="default"/>
        <w:b w:val="0"/>
        <w:i w:val="0"/>
        <w:sz w:val="24"/>
      </w:rPr>
    </w:lvl>
  </w:abstractNum>
  <w:num w:numId="1">
    <w:abstractNumId w:val="0"/>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27"/>
    </w:lvlOverride>
    <w:lvlOverride w:ilvl="8">
      <w:startOverride w:val="1"/>
    </w:lvlOverride>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3"/>
  </w:num>
  <w:num w:numId="2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425"/>
  <w:drawingGridHorizontalSpacing w:val="113"/>
  <w:drawingGridVerticalSpacing w:val="113"/>
  <w:displayHorizontalDrawingGridEvery w:val="0"/>
  <w:displayVerticalDrawingGridEvery w:val="0"/>
  <w:doNotUseMarginsForDrawingGridOrigin/>
  <w:drawingGridVerticalOrigin w:val="1985"/>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in_executed" w:val="1"/>
    <w:docVar w:name="mb" w:val="0"/>
    <w:docVar w:name="mit_linien" w:val="wahr"/>
    <w:docVar w:name="ob" w:val="-1"/>
    <w:docVar w:name="ohne_linien" w:val="falsch"/>
    <w:docVar w:name="ohne_linien_das_1_mal" w:val="false"/>
    <w:docVar w:name="stattgabe" w:val="0"/>
    <w:docVar w:name="v_art" w:val="BvR"/>
    <w:docVar w:name="v_gegenstand" w:val="den Beschluss des Oberlandesgerichts Düsseldorf_x000d__x000a_vom 2. September 2021 - II-3 UF 66/21 -"/>
    <w:docVar w:name="v_jahr" w:val="2021"/>
    <w:docVar w:name="v_lfdnr" w:val="2345"/>
    <w:docVar w:name="v_senat" w:val="1"/>
  </w:docVars>
  <w:rsids>
    <w:rsidRoot w:val="00592DD9"/>
    <w:rsid w:val="00000A83"/>
    <w:rsid w:val="00001583"/>
    <w:rsid w:val="00001B9B"/>
    <w:rsid w:val="00002615"/>
    <w:rsid w:val="000040A7"/>
    <w:rsid w:val="00004704"/>
    <w:rsid w:val="00004EFF"/>
    <w:rsid w:val="00005338"/>
    <w:rsid w:val="00007F70"/>
    <w:rsid w:val="00010C80"/>
    <w:rsid w:val="000110B3"/>
    <w:rsid w:val="00011362"/>
    <w:rsid w:val="000125A7"/>
    <w:rsid w:val="00012C6D"/>
    <w:rsid w:val="00013073"/>
    <w:rsid w:val="000136C3"/>
    <w:rsid w:val="00014067"/>
    <w:rsid w:val="000150B4"/>
    <w:rsid w:val="00016010"/>
    <w:rsid w:val="00020D30"/>
    <w:rsid w:val="0002259D"/>
    <w:rsid w:val="00024730"/>
    <w:rsid w:val="000266A1"/>
    <w:rsid w:val="00027A6F"/>
    <w:rsid w:val="000308A9"/>
    <w:rsid w:val="00030B52"/>
    <w:rsid w:val="000319A6"/>
    <w:rsid w:val="0003261A"/>
    <w:rsid w:val="00032B93"/>
    <w:rsid w:val="000330EB"/>
    <w:rsid w:val="00033E3E"/>
    <w:rsid w:val="00033F23"/>
    <w:rsid w:val="00034D41"/>
    <w:rsid w:val="000357DF"/>
    <w:rsid w:val="000371E3"/>
    <w:rsid w:val="00041632"/>
    <w:rsid w:val="00044585"/>
    <w:rsid w:val="00045FB5"/>
    <w:rsid w:val="0004721E"/>
    <w:rsid w:val="000478A2"/>
    <w:rsid w:val="00047B66"/>
    <w:rsid w:val="00047CC4"/>
    <w:rsid w:val="000506C5"/>
    <w:rsid w:val="0005077E"/>
    <w:rsid w:val="00051BA0"/>
    <w:rsid w:val="00052399"/>
    <w:rsid w:val="000536BF"/>
    <w:rsid w:val="000550F4"/>
    <w:rsid w:val="00055605"/>
    <w:rsid w:val="00056396"/>
    <w:rsid w:val="00057D3D"/>
    <w:rsid w:val="000603FC"/>
    <w:rsid w:val="00060A52"/>
    <w:rsid w:val="00060DF7"/>
    <w:rsid w:val="00060F66"/>
    <w:rsid w:val="0006183B"/>
    <w:rsid w:val="00062E08"/>
    <w:rsid w:val="00063BB9"/>
    <w:rsid w:val="000665CF"/>
    <w:rsid w:val="00066C60"/>
    <w:rsid w:val="00066CCA"/>
    <w:rsid w:val="0006795F"/>
    <w:rsid w:val="00067E21"/>
    <w:rsid w:val="0007021A"/>
    <w:rsid w:val="00070994"/>
    <w:rsid w:val="0007213B"/>
    <w:rsid w:val="00072766"/>
    <w:rsid w:val="00072CC1"/>
    <w:rsid w:val="000738EE"/>
    <w:rsid w:val="00074EAB"/>
    <w:rsid w:val="0007651D"/>
    <w:rsid w:val="0007725F"/>
    <w:rsid w:val="0008088B"/>
    <w:rsid w:val="000808CE"/>
    <w:rsid w:val="0008116D"/>
    <w:rsid w:val="00081604"/>
    <w:rsid w:val="00081E36"/>
    <w:rsid w:val="00083359"/>
    <w:rsid w:val="00083608"/>
    <w:rsid w:val="00083DF2"/>
    <w:rsid w:val="00084232"/>
    <w:rsid w:val="000842FA"/>
    <w:rsid w:val="00084B4D"/>
    <w:rsid w:val="0008612B"/>
    <w:rsid w:val="00086DC2"/>
    <w:rsid w:val="00090AF2"/>
    <w:rsid w:val="00090BC5"/>
    <w:rsid w:val="00090F43"/>
    <w:rsid w:val="000915FD"/>
    <w:rsid w:val="000933B9"/>
    <w:rsid w:val="000944E7"/>
    <w:rsid w:val="000956A0"/>
    <w:rsid w:val="00095AE5"/>
    <w:rsid w:val="00095CA7"/>
    <w:rsid w:val="00096183"/>
    <w:rsid w:val="000965AA"/>
    <w:rsid w:val="0009667E"/>
    <w:rsid w:val="000A01FE"/>
    <w:rsid w:val="000A03FC"/>
    <w:rsid w:val="000A1397"/>
    <w:rsid w:val="000A2F08"/>
    <w:rsid w:val="000A323D"/>
    <w:rsid w:val="000A3C94"/>
    <w:rsid w:val="000A6A7F"/>
    <w:rsid w:val="000A74F5"/>
    <w:rsid w:val="000A7AA8"/>
    <w:rsid w:val="000B02AF"/>
    <w:rsid w:val="000B0A75"/>
    <w:rsid w:val="000B22DD"/>
    <w:rsid w:val="000B315B"/>
    <w:rsid w:val="000B36A1"/>
    <w:rsid w:val="000B3C88"/>
    <w:rsid w:val="000B43B1"/>
    <w:rsid w:val="000B5D82"/>
    <w:rsid w:val="000C0094"/>
    <w:rsid w:val="000C274B"/>
    <w:rsid w:val="000C3FBC"/>
    <w:rsid w:val="000C52A1"/>
    <w:rsid w:val="000C56C4"/>
    <w:rsid w:val="000C59FF"/>
    <w:rsid w:val="000C61A0"/>
    <w:rsid w:val="000C6440"/>
    <w:rsid w:val="000C6CF4"/>
    <w:rsid w:val="000C71C4"/>
    <w:rsid w:val="000D0689"/>
    <w:rsid w:val="000D0D3D"/>
    <w:rsid w:val="000D0E8C"/>
    <w:rsid w:val="000D0E94"/>
    <w:rsid w:val="000D11DF"/>
    <w:rsid w:val="000D12EB"/>
    <w:rsid w:val="000D12EE"/>
    <w:rsid w:val="000D135B"/>
    <w:rsid w:val="000D19CC"/>
    <w:rsid w:val="000D31F4"/>
    <w:rsid w:val="000D4273"/>
    <w:rsid w:val="000D47C7"/>
    <w:rsid w:val="000D58D3"/>
    <w:rsid w:val="000D6AA0"/>
    <w:rsid w:val="000D737D"/>
    <w:rsid w:val="000E1F76"/>
    <w:rsid w:val="000E2C0E"/>
    <w:rsid w:val="000E4467"/>
    <w:rsid w:val="000E4F63"/>
    <w:rsid w:val="000E5754"/>
    <w:rsid w:val="000E5CD9"/>
    <w:rsid w:val="000E6BC0"/>
    <w:rsid w:val="000E72EA"/>
    <w:rsid w:val="000E7347"/>
    <w:rsid w:val="000F1D0D"/>
    <w:rsid w:val="000F386A"/>
    <w:rsid w:val="000F518D"/>
    <w:rsid w:val="000F5E08"/>
    <w:rsid w:val="001009C2"/>
    <w:rsid w:val="0010120C"/>
    <w:rsid w:val="00101B9E"/>
    <w:rsid w:val="001025C7"/>
    <w:rsid w:val="00103407"/>
    <w:rsid w:val="0010403B"/>
    <w:rsid w:val="00106F11"/>
    <w:rsid w:val="00107341"/>
    <w:rsid w:val="00107C6E"/>
    <w:rsid w:val="00110818"/>
    <w:rsid w:val="00111283"/>
    <w:rsid w:val="00112EE8"/>
    <w:rsid w:val="00113C87"/>
    <w:rsid w:val="00115E21"/>
    <w:rsid w:val="00116A16"/>
    <w:rsid w:val="00117102"/>
    <w:rsid w:val="00120638"/>
    <w:rsid w:val="00121B05"/>
    <w:rsid w:val="0012252E"/>
    <w:rsid w:val="00123CED"/>
    <w:rsid w:val="00124E95"/>
    <w:rsid w:val="00125E67"/>
    <w:rsid w:val="0012615E"/>
    <w:rsid w:val="00130029"/>
    <w:rsid w:val="00131737"/>
    <w:rsid w:val="00131BF4"/>
    <w:rsid w:val="00132A28"/>
    <w:rsid w:val="00133B03"/>
    <w:rsid w:val="0013554A"/>
    <w:rsid w:val="00135F83"/>
    <w:rsid w:val="001360B1"/>
    <w:rsid w:val="00137328"/>
    <w:rsid w:val="001374F8"/>
    <w:rsid w:val="00137517"/>
    <w:rsid w:val="00137665"/>
    <w:rsid w:val="00137673"/>
    <w:rsid w:val="00142BC2"/>
    <w:rsid w:val="001434C9"/>
    <w:rsid w:val="0014511F"/>
    <w:rsid w:val="001458E9"/>
    <w:rsid w:val="00145C64"/>
    <w:rsid w:val="00146505"/>
    <w:rsid w:val="001468F7"/>
    <w:rsid w:val="001474F9"/>
    <w:rsid w:val="00151B14"/>
    <w:rsid w:val="00151E1F"/>
    <w:rsid w:val="00152002"/>
    <w:rsid w:val="00152203"/>
    <w:rsid w:val="001536EC"/>
    <w:rsid w:val="00154B9B"/>
    <w:rsid w:val="00154F31"/>
    <w:rsid w:val="001553D6"/>
    <w:rsid w:val="00156A1E"/>
    <w:rsid w:val="00156D0D"/>
    <w:rsid w:val="001570BD"/>
    <w:rsid w:val="00157F6F"/>
    <w:rsid w:val="0016124F"/>
    <w:rsid w:val="00161E2A"/>
    <w:rsid w:val="00163C79"/>
    <w:rsid w:val="001640F1"/>
    <w:rsid w:val="00166809"/>
    <w:rsid w:val="00166A74"/>
    <w:rsid w:val="00166B36"/>
    <w:rsid w:val="00166C79"/>
    <w:rsid w:val="00166E00"/>
    <w:rsid w:val="0016778E"/>
    <w:rsid w:val="0017109E"/>
    <w:rsid w:val="00172D66"/>
    <w:rsid w:val="001731F9"/>
    <w:rsid w:val="001734E0"/>
    <w:rsid w:val="00173546"/>
    <w:rsid w:val="00175B3D"/>
    <w:rsid w:val="00176578"/>
    <w:rsid w:val="00176908"/>
    <w:rsid w:val="00176974"/>
    <w:rsid w:val="00180DB7"/>
    <w:rsid w:val="001822EE"/>
    <w:rsid w:val="0018273A"/>
    <w:rsid w:val="0018300E"/>
    <w:rsid w:val="001830B5"/>
    <w:rsid w:val="0018391A"/>
    <w:rsid w:val="00183D38"/>
    <w:rsid w:val="001840DD"/>
    <w:rsid w:val="001842EF"/>
    <w:rsid w:val="0018526F"/>
    <w:rsid w:val="00185346"/>
    <w:rsid w:val="00190249"/>
    <w:rsid w:val="0019151B"/>
    <w:rsid w:val="00191D42"/>
    <w:rsid w:val="001934E9"/>
    <w:rsid w:val="001938F0"/>
    <w:rsid w:val="00193BBD"/>
    <w:rsid w:val="00193E4B"/>
    <w:rsid w:val="001A2F68"/>
    <w:rsid w:val="001A36BA"/>
    <w:rsid w:val="001A3CA9"/>
    <w:rsid w:val="001A4E16"/>
    <w:rsid w:val="001A538D"/>
    <w:rsid w:val="001A5598"/>
    <w:rsid w:val="001A610C"/>
    <w:rsid w:val="001A72C6"/>
    <w:rsid w:val="001B0EEF"/>
    <w:rsid w:val="001B105D"/>
    <w:rsid w:val="001B154E"/>
    <w:rsid w:val="001B1F94"/>
    <w:rsid w:val="001B2815"/>
    <w:rsid w:val="001B2B38"/>
    <w:rsid w:val="001B6029"/>
    <w:rsid w:val="001B6103"/>
    <w:rsid w:val="001C0BDA"/>
    <w:rsid w:val="001C10CA"/>
    <w:rsid w:val="001C1244"/>
    <w:rsid w:val="001C1A93"/>
    <w:rsid w:val="001C351B"/>
    <w:rsid w:val="001C37DE"/>
    <w:rsid w:val="001C53E6"/>
    <w:rsid w:val="001C753B"/>
    <w:rsid w:val="001D090B"/>
    <w:rsid w:val="001D18E1"/>
    <w:rsid w:val="001D1C0C"/>
    <w:rsid w:val="001D29C8"/>
    <w:rsid w:val="001D2BA1"/>
    <w:rsid w:val="001D5702"/>
    <w:rsid w:val="001D5EB8"/>
    <w:rsid w:val="001D7B53"/>
    <w:rsid w:val="001E012E"/>
    <w:rsid w:val="001E016B"/>
    <w:rsid w:val="001E0936"/>
    <w:rsid w:val="001E0C8E"/>
    <w:rsid w:val="001E10BB"/>
    <w:rsid w:val="001E1179"/>
    <w:rsid w:val="001E2BCA"/>
    <w:rsid w:val="001E3EBF"/>
    <w:rsid w:val="001E5EF2"/>
    <w:rsid w:val="001F0E0A"/>
    <w:rsid w:val="001F2234"/>
    <w:rsid w:val="001F2C9C"/>
    <w:rsid w:val="001F366B"/>
    <w:rsid w:val="001F3F5E"/>
    <w:rsid w:val="001F4219"/>
    <w:rsid w:val="001F486B"/>
    <w:rsid w:val="001F5029"/>
    <w:rsid w:val="001F596E"/>
    <w:rsid w:val="001F5E2F"/>
    <w:rsid w:val="001F6131"/>
    <w:rsid w:val="001F6617"/>
    <w:rsid w:val="001F70E8"/>
    <w:rsid w:val="001F77B3"/>
    <w:rsid w:val="001F7834"/>
    <w:rsid w:val="00200CAE"/>
    <w:rsid w:val="00201FF8"/>
    <w:rsid w:val="002020AD"/>
    <w:rsid w:val="00202A06"/>
    <w:rsid w:val="00203373"/>
    <w:rsid w:val="00205F3B"/>
    <w:rsid w:val="002060C1"/>
    <w:rsid w:val="00210A87"/>
    <w:rsid w:val="00211E85"/>
    <w:rsid w:val="00212E68"/>
    <w:rsid w:val="002133E8"/>
    <w:rsid w:val="002142CC"/>
    <w:rsid w:val="00214C3F"/>
    <w:rsid w:val="00216C7F"/>
    <w:rsid w:val="00220D73"/>
    <w:rsid w:val="00222BD7"/>
    <w:rsid w:val="00223197"/>
    <w:rsid w:val="0022661C"/>
    <w:rsid w:val="00226A9C"/>
    <w:rsid w:val="00227354"/>
    <w:rsid w:val="00227521"/>
    <w:rsid w:val="002300CE"/>
    <w:rsid w:val="00230648"/>
    <w:rsid w:val="00230CC8"/>
    <w:rsid w:val="00232011"/>
    <w:rsid w:val="002330E0"/>
    <w:rsid w:val="00234AE1"/>
    <w:rsid w:val="00237DAE"/>
    <w:rsid w:val="002402F0"/>
    <w:rsid w:val="0024047E"/>
    <w:rsid w:val="00240D20"/>
    <w:rsid w:val="00241D4D"/>
    <w:rsid w:val="002428B8"/>
    <w:rsid w:val="00242A3F"/>
    <w:rsid w:val="00245CA8"/>
    <w:rsid w:val="002460DC"/>
    <w:rsid w:val="002461D0"/>
    <w:rsid w:val="002466B9"/>
    <w:rsid w:val="0024679E"/>
    <w:rsid w:val="00246C07"/>
    <w:rsid w:val="00246CA9"/>
    <w:rsid w:val="0024701D"/>
    <w:rsid w:val="00247668"/>
    <w:rsid w:val="002504C8"/>
    <w:rsid w:val="00251AD2"/>
    <w:rsid w:val="00251BC8"/>
    <w:rsid w:val="00252A3E"/>
    <w:rsid w:val="00252B4F"/>
    <w:rsid w:val="0025465B"/>
    <w:rsid w:val="002564D8"/>
    <w:rsid w:val="0025726A"/>
    <w:rsid w:val="00257643"/>
    <w:rsid w:val="00261BDB"/>
    <w:rsid w:val="00262983"/>
    <w:rsid w:val="00262D68"/>
    <w:rsid w:val="002638C8"/>
    <w:rsid w:val="00264BA8"/>
    <w:rsid w:val="0026632F"/>
    <w:rsid w:val="00270902"/>
    <w:rsid w:val="00270934"/>
    <w:rsid w:val="00270C94"/>
    <w:rsid w:val="00270ECB"/>
    <w:rsid w:val="002716C3"/>
    <w:rsid w:val="00272520"/>
    <w:rsid w:val="0027254A"/>
    <w:rsid w:val="00273027"/>
    <w:rsid w:val="002741FE"/>
    <w:rsid w:val="00274631"/>
    <w:rsid w:val="00274684"/>
    <w:rsid w:val="002749A5"/>
    <w:rsid w:val="00274FA9"/>
    <w:rsid w:val="00275947"/>
    <w:rsid w:val="00275C92"/>
    <w:rsid w:val="00275DBC"/>
    <w:rsid w:val="002809D5"/>
    <w:rsid w:val="00281E07"/>
    <w:rsid w:val="00281F8A"/>
    <w:rsid w:val="00284226"/>
    <w:rsid w:val="002857D8"/>
    <w:rsid w:val="00285FA2"/>
    <w:rsid w:val="002865A3"/>
    <w:rsid w:val="0028737B"/>
    <w:rsid w:val="00291A3B"/>
    <w:rsid w:val="0029206B"/>
    <w:rsid w:val="00292416"/>
    <w:rsid w:val="00294094"/>
    <w:rsid w:val="002970AF"/>
    <w:rsid w:val="002A035B"/>
    <w:rsid w:val="002A27CD"/>
    <w:rsid w:val="002A3534"/>
    <w:rsid w:val="002A5258"/>
    <w:rsid w:val="002A52BE"/>
    <w:rsid w:val="002A637C"/>
    <w:rsid w:val="002A7390"/>
    <w:rsid w:val="002A7D92"/>
    <w:rsid w:val="002B0BB9"/>
    <w:rsid w:val="002B0E31"/>
    <w:rsid w:val="002B2E9B"/>
    <w:rsid w:val="002B41DB"/>
    <w:rsid w:val="002B4A28"/>
    <w:rsid w:val="002B651F"/>
    <w:rsid w:val="002B687C"/>
    <w:rsid w:val="002B779E"/>
    <w:rsid w:val="002B7999"/>
    <w:rsid w:val="002C136E"/>
    <w:rsid w:val="002C33BD"/>
    <w:rsid w:val="002C3AE2"/>
    <w:rsid w:val="002C4857"/>
    <w:rsid w:val="002C52E9"/>
    <w:rsid w:val="002C6414"/>
    <w:rsid w:val="002C7EA6"/>
    <w:rsid w:val="002D0ABD"/>
    <w:rsid w:val="002D1B7D"/>
    <w:rsid w:val="002D1F8A"/>
    <w:rsid w:val="002D41B6"/>
    <w:rsid w:val="002D4BBA"/>
    <w:rsid w:val="002D57C3"/>
    <w:rsid w:val="002D64CF"/>
    <w:rsid w:val="002D65B5"/>
    <w:rsid w:val="002D6B84"/>
    <w:rsid w:val="002D6D20"/>
    <w:rsid w:val="002E02E7"/>
    <w:rsid w:val="002E0FAE"/>
    <w:rsid w:val="002E1B24"/>
    <w:rsid w:val="002E25AE"/>
    <w:rsid w:val="002E4300"/>
    <w:rsid w:val="002E4410"/>
    <w:rsid w:val="002E4E91"/>
    <w:rsid w:val="002E5F6E"/>
    <w:rsid w:val="002E6D1C"/>
    <w:rsid w:val="002E6D52"/>
    <w:rsid w:val="002E7888"/>
    <w:rsid w:val="002E788E"/>
    <w:rsid w:val="002E7E01"/>
    <w:rsid w:val="002F090A"/>
    <w:rsid w:val="002F1387"/>
    <w:rsid w:val="002F1471"/>
    <w:rsid w:val="002F1704"/>
    <w:rsid w:val="002F250A"/>
    <w:rsid w:val="002F2EBC"/>
    <w:rsid w:val="002F3628"/>
    <w:rsid w:val="002F4748"/>
    <w:rsid w:val="002F4CA4"/>
    <w:rsid w:val="002F539D"/>
    <w:rsid w:val="002F626C"/>
    <w:rsid w:val="002F68DA"/>
    <w:rsid w:val="002F70ED"/>
    <w:rsid w:val="002F71B3"/>
    <w:rsid w:val="002F7D8E"/>
    <w:rsid w:val="0030111A"/>
    <w:rsid w:val="00301672"/>
    <w:rsid w:val="003022D9"/>
    <w:rsid w:val="003031D9"/>
    <w:rsid w:val="0030369A"/>
    <w:rsid w:val="00303DDF"/>
    <w:rsid w:val="0030498D"/>
    <w:rsid w:val="0030535E"/>
    <w:rsid w:val="00305C26"/>
    <w:rsid w:val="003061FC"/>
    <w:rsid w:val="00306807"/>
    <w:rsid w:val="00310D92"/>
    <w:rsid w:val="00311FBB"/>
    <w:rsid w:val="003128BD"/>
    <w:rsid w:val="0031442F"/>
    <w:rsid w:val="00314F84"/>
    <w:rsid w:val="00315B77"/>
    <w:rsid w:val="00317550"/>
    <w:rsid w:val="00317A09"/>
    <w:rsid w:val="00320244"/>
    <w:rsid w:val="00322623"/>
    <w:rsid w:val="003234E3"/>
    <w:rsid w:val="00323675"/>
    <w:rsid w:val="00325FDC"/>
    <w:rsid w:val="003314F6"/>
    <w:rsid w:val="00331F71"/>
    <w:rsid w:val="00331F77"/>
    <w:rsid w:val="00332825"/>
    <w:rsid w:val="00333306"/>
    <w:rsid w:val="00333F08"/>
    <w:rsid w:val="00335238"/>
    <w:rsid w:val="00335A5F"/>
    <w:rsid w:val="003373C4"/>
    <w:rsid w:val="003375FF"/>
    <w:rsid w:val="003400E0"/>
    <w:rsid w:val="003403F9"/>
    <w:rsid w:val="00340564"/>
    <w:rsid w:val="00340D44"/>
    <w:rsid w:val="00341034"/>
    <w:rsid w:val="00342AE2"/>
    <w:rsid w:val="003438D1"/>
    <w:rsid w:val="00343CEF"/>
    <w:rsid w:val="00345F26"/>
    <w:rsid w:val="003460D0"/>
    <w:rsid w:val="00346D04"/>
    <w:rsid w:val="00347436"/>
    <w:rsid w:val="0034765B"/>
    <w:rsid w:val="00347C74"/>
    <w:rsid w:val="00347DDF"/>
    <w:rsid w:val="003503EC"/>
    <w:rsid w:val="00350433"/>
    <w:rsid w:val="003505B2"/>
    <w:rsid w:val="0035154A"/>
    <w:rsid w:val="00351B06"/>
    <w:rsid w:val="00352F2D"/>
    <w:rsid w:val="00353E1F"/>
    <w:rsid w:val="003546A4"/>
    <w:rsid w:val="003551B6"/>
    <w:rsid w:val="00356723"/>
    <w:rsid w:val="00356E25"/>
    <w:rsid w:val="00357AD8"/>
    <w:rsid w:val="00360E9C"/>
    <w:rsid w:val="00360FED"/>
    <w:rsid w:val="00362C55"/>
    <w:rsid w:val="00364610"/>
    <w:rsid w:val="003651D7"/>
    <w:rsid w:val="003652D4"/>
    <w:rsid w:val="00370E71"/>
    <w:rsid w:val="003710A0"/>
    <w:rsid w:val="00371E42"/>
    <w:rsid w:val="003730EF"/>
    <w:rsid w:val="00373759"/>
    <w:rsid w:val="00373868"/>
    <w:rsid w:val="00376FC9"/>
    <w:rsid w:val="0037758C"/>
    <w:rsid w:val="003802DB"/>
    <w:rsid w:val="00380E40"/>
    <w:rsid w:val="00380EA3"/>
    <w:rsid w:val="00383E48"/>
    <w:rsid w:val="00384213"/>
    <w:rsid w:val="00384B46"/>
    <w:rsid w:val="003864B9"/>
    <w:rsid w:val="0038711B"/>
    <w:rsid w:val="0038793A"/>
    <w:rsid w:val="003905D4"/>
    <w:rsid w:val="0039083F"/>
    <w:rsid w:val="00390F32"/>
    <w:rsid w:val="00391854"/>
    <w:rsid w:val="00391D17"/>
    <w:rsid w:val="00394439"/>
    <w:rsid w:val="00395935"/>
    <w:rsid w:val="0039785A"/>
    <w:rsid w:val="00397CF6"/>
    <w:rsid w:val="00397F49"/>
    <w:rsid w:val="003A15E2"/>
    <w:rsid w:val="003A167A"/>
    <w:rsid w:val="003A2E5C"/>
    <w:rsid w:val="003A3ADB"/>
    <w:rsid w:val="003A470A"/>
    <w:rsid w:val="003A6291"/>
    <w:rsid w:val="003A6901"/>
    <w:rsid w:val="003A699C"/>
    <w:rsid w:val="003A6A92"/>
    <w:rsid w:val="003A6BD3"/>
    <w:rsid w:val="003A711B"/>
    <w:rsid w:val="003A7436"/>
    <w:rsid w:val="003A7D5A"/>
    <w:rsid w:val="003B1BEA"/>
    <w:rsid w:val="003B20FA"/>
    <w:rsid w:val="003B226F"/>
    <w:rsid w:val="003B2DDD"/>
    <w:rsid w:val="003B2EBA"/>
    <w:rsid w:val="003B313F"/>
    <w:rsid w:val="003B33B4"/>
    <w:rsid w:val="003B3E6B"/>
    <w:rsid w:val="003B413D"/>
    <w:rsid w:val="003B4EAD"/>
    <w:rsid w:val="003B5423"/>
    <w:rsid w:val="003B6AB7"/>
    <w:rsid w:val="003B6B2B"/>
    <w:rsid w:val="003B6E4B"/>
    <w:rsid w:val="003C2116"/>
    <w:rsid w:val="003C4206"/>
    <w:rsid w:val="003C4D48"/>
    <w:rsid w:val="003C52C6"/>
    <w:rsid w:val="003C5782"/>
    <w:rsid w:val="003C6EEF"/>
    <w:rsid w:val="003C74DE"/>
    <w:rsid w:val="003C7B98"/>
    <w:rsid w:val="003D067D"/>
    <w:rsid w:val="003D0955"/>
    <w:rsid w:val="003D28C2"/>
    <w:rsid w:val="003D2B74"/>
    <w:rsid w:val="003D3631"/>
    <w:rsid w:val="003D4BA2"/>
    <w:rsid w:val="003D6396"/>
    <w:rsid w:val="003D6DBB"/>
    <w:rsid w:val="003D7014"/>
    <w:rsid w:val="003D7974"/>
    <w:rsid w:val="003E07BB"/>
    <w:rsid w:val="003E0E2F"/>
    <w:rsid w:val="003E1900"/>
    <w:rsid w:val="003E1C6D"/>
    <w:rsid w:val="003E27BD"/>
    <w:rsid w:val="003E2B33"/>
    <w:rsid w:val="003E3F90"/>
    <w:rsid w:val="003E4CE9"/>
    <w:rsid w:val="003E5EB1"/>
    <w:rsid w:val="003E798F"/>
    <w:rsid w:val="003E7A60"/>
    <w:rsid w:val="003E7EF4"/>
    <w:rsid w:val="003F1A63"/>
    <w:rsid w:val="003F1CC4"/>
    <w:rsid w:val="003F22D8"/>
    <w:rsid w:val="003F252C"/>
    <w:rsid w:val="003F4676"/>
    <w:rsid w:val="003F46A4"/>
    <w:rsid w:val="003F6FF1"/>
    <w:rsid w:val="003F7916"/>
    <w:rsid w:val="003F79BD"/>
    <w:rsid w:val="003F7C96"/>
    <w:rsid w:val="003F7EF7"/>
    <w:rsid w:val="004002B6"/>
    <w:rsid w:val="00402C64"/>
    <w:rsid w:val="0040303A"/>
    <w:rsid w:val="00403C23"/>
    <w:rsid w:val="00404405"/>
    <w:rsid w:val="004048A8"/>
    <w:rsid w:val="00404E1F"/>
    <w:rsid w:val="0040583B"/>
    <w:rsid w:val="004072E3"/>
    <w:rsid w:val="004128C0"/>
    <w:rsid w:val="004128F8"/>
    <w:rsid w:val="00412970"/>
    <w:rsid w:val="004139C0"/>
    <w:rsid w:val="00413EBE"/>
    <w:rsid w:val="004150C0"/>
    <w:rsid w:val="00415601"/>
    <w:rsid w:val="00415C6C"/>
    <w:rsid w:val="00417B11"/>
    <w:rsid w:val="004216C7"/>
    <w:rsid w:val="004218E3"/>
    <w:rsid w:val="004220B6"/>
    <w:rsid w:val="00422656"/>
    <w:rsid w:val="004232E0"/>
    <w:rsid w:val="00426A92"/>
    <w:rsid w:val="004272B4"/>
    <w:rsid w:val="00432854"/>
    <w:rsid w:val="00433F98"/>
    <w:rsid w:val="00435A4A"/>
    <w:rsid w:val="004366FE"/>
    <w:rsid w:val="0043675B"/>
    <w:rsid w:val="0043756C"/>
    <w:rsid w:val="00437969"/>
    <w:rsid w:val="00440AC7"/>
    <w:rsid w:val="00442E12"/>
    <w:rsid w:val="00442E27"/>
    <w:rsid w:val="0044358A"/>
    <w:rsid w:val="00444965"/>
    <w:rsid w:val="004458E8"/>
    <w:rsid w:val="00445BCF"/>
    <w:rsid w:val="0044714E"/>
    <w:rsid w:val="00447853"/>
    <w:rsid w:val="00450356"/>
    <w:rsid w:val="00451B7E"/>
    <w:rsid w:val="0045236D"/>
    <w:rsid w:val="00452C8B"/>
    <w:rsid w:val="0045312D"/>
    <w:rsid w:val="00453258"/>
    <w:rsid w:val="0045349C"/>
    <w:rsid w:val="004539D3"/>
    <w:rsid w:val="00453ABA"/>
    <w:rsid w:val="00453FAA"/>
    <w:rsid w:val="00457BE6"/>
    <w:rsid w:val="00457ED6"/>
    <w:rsid w:val="00460517"/>
    <w:rsid w:val="0046118B"/>
    <w:rsid w:val="00461588"/>
    <w:rsid w:val="00462AB8"/>
    <w:rsid w:val="00463662"/>
    <w:rsid w:val="00463E33"/>
    <w:rsid w:val="0046647F"/>
    <w:rsid w:val="00466A3F"/>
    <w:rsid w:val="00470621"/>
    <w:rsid w:val="0047103B"/>
    <w:rsid w:val="00471A1F"/>
    <w:rsid w:val="004721A9"/>
    <w:rsid w:val="004738A1"/>
    <w:rsid w:val="00477D44"/>
    <w:rsid w:val="00480A36"/>
    <w:rsid w:val="004811D9"/>
    <w:rsid w:val="004815EF"/>
    <w:rsid w:val="00481D44"/>
    <w:rsid w:val="00482188"/>
    <w:rsid w:val="00482C63"/>
    <w:rsid w:val="00483BA7"/>
    <w:rsid w:val="00490003"/>
    <w:rsid w:val="004901C4"/>
    <w:rsid w:val="0049060F"/>
    <w:rsid w:val="00490D3A"/>
    <w:rsid w:val="00490DBC"/>
    <w:rsid w:val="004923D4"/>
    <w:rsid w:val="0049428E"/>
    <w:rsid w:val="00494AC2"/>
    <w:rsid w:val="00495198"/>
    <w:rsid w:val="004A004B"/>
    <w:rsid w:val="004A1625"/>
    <w:rsid w:val="004A1886"/>
    <w:rsid w:val="004A1F35"/>
    <w:rsid w:val="004A252E"/>
    <w:rsid w:val="004A5872"/>
    <w:rsid w:val="004A591C"/>
    <w:rsid w:val="004A5FEC"/>
    <w:rsid w:val="004B00FD"/>
    <w:rsid w:val="004B036F"/>
    <w:rsid w:val="004B05BB"/>
    <w:rsid w:val="004B093E"/>
    <w:rsid w:val="004B10D1"/>
    <w:rsid w:val="004B26B3"/>
    <w:rsid w:val="004B422D"/>
    <w:rsid w:val="004B4389"/>
    <w:rsid w:val="004B57AA"/>
    <w:rsid w:val="004B5C95"/>
    <w:rsid w:val="004B6075"/>
    <w:rsid w:val="004B721A"/>
    <w:rsid w:val="004C1523"/>
    <w:rsid w:val="004C1BC7"/>
    <w:rsid w:val="004C1C1B"/>
    <w:rsid w:val="004C2258"/>
    <w:rsid w:val="004C2413"/>
    <w:rsid w:val="004C2EC2"/>
    <w:rsid w:val="004C353C"/>
    <w:rsid w:val="004C46DC"/>
    <w:rsid w:val="004D2BE5"/>
    <w:rsid w:val="004D3676"/>
    <w:rsid w:val="004D3960"/>
    <w:rsid w:val="004D3978"/>
    <w:rsid w:val="004D4C84"/>
    <w:rsid w:val="004D4F03"/>
    <w:rsid w:val="004D5422"/>
    <w:rsid w:val="004D5CA6"/>
    <w:rsid w:val="004D6B16"/>
    <w:rsid w:val="004E012C"/>
    <w:rsid w:val="004E0C43"/>
    <w:rsid w:val="004E0CF3"/>
    <w:rsid w:val="004E2028"/>
    <w:rsid w:val="004E2BE8"/>
    <w:rsid w:val="004E4ADD"/>
    <w:rsid w:val="004E668F"/>
    <w:rsid w:val="004E780C"/>
    <w:rsid w:val="004E7B6E"/>
    <w:rsid w:val="004F0B79"/>
    <w:rsid w:val="004F1B56"/>
    <w:rsid w:val="004F1EC0"/>
    <w:rsid w:val="004F30CC"/>
    <w:rsid w:val="004F313E"/>
    <w:rsid w:val="004F35A5"/>
    <w:rsid w:val="004F376F"/>
    <w:rsid w:val="004F4F99"/>
    <w:rsid w:val="004F6B0C"/>
    <w:rsid w:val="00501183"/>
    <w:rsid w:val="00501239"/>
    <w:rsid w:val="00501E31"/>
    <w:rsid w:val="0050203E"/>
    <w:rsid w:val="00502F5D"/>
    <w:rsid w:val="005033A7"/>
    <w:rsid w:val="00503BEF"/>
    <w:rsid w:val="00504619"/>
    <w:rsid w:val="00506332"/>
    <w:rsid w:val="005063F6"/>
    <w:rsid w:val="00510939"/>
    <w:rsid w:val="00512A3F"/>
    <w:rsid w:val="00512B09"/>
    <w:rsid w:val="00512C16"/>
    <w:rsid w:val="0051357F"/>
    <w:rsid w:val="00513757"/>
    <w:rsid w:val="005140C9"/>
    <w:rsid w:val="00514133"/>
    <w:rsid w:val="00517929"/>
    <w:rsid w:val="00520343"/>
    <w:rsid w:val="00521038"/>
    <w:rsid w:val="00521A6C"/>
    <w:rsid w:val="00522449"/>
    <w:rsid w:val="005237C6"/>
    <w:rsid w:val="00525A9E"/>
    <w:rsid w:val="00526A91"/>
    <w:rsid w:val="005278D7"/>
    <w:rsid w:val="005307F5"/>
    <w:rsid w:val="00530A57"/>
    <w:rsid w:val="00531013"/>
    <w:rsid w:val="005318C1"/>
    <w:rsid w:val="00532389"/>
    <w:rsid w:val="00533D55"/>
    <w:rsid w:val="00533FC3"/>
    <w:rsid w:val="00535A0E"/>
    <w:rsid w:val="00535DBB"/>
    <w:rsid w:val="00536A39"/>
    <w:rsid w:val="0053723E"/>
    <w:rsid w:val="0053766C"/>
    <w:rsid w:val="00537B0B"/>
    <w:rsid w:val="00540A26"/>
    <w:rsid w:val="00541282"/>
    <w:rsid w:val="0054204D"/>
    <w:rsid w:val="005425B5"/>
    <w:rsid w:val="005431D3"/>
    <w:rsid w:val="00543B1D"/>
    <w:rsid w:val="0054540E"/>
    <w:rsid w:val="0054663B"/>
    <w:rsid w:val="00547829"/>
    <w:rsid w:val="005505C9"/>
    <w:rsid w:val="005509BF"/>
    <w:rsid w:val="00553D62"/>
    <w:rsid w:val="0055429F"/>
    <w:rsid w:val="005545D1"/>
    <w:rsid w:val="00555C61"/>
    <w:rsid w:val="005562E6"/>
    <w:rsid w:val="0055634E"/>
    <w:rsid w:val="00556882"/>
    <w:rsid w:val="00557444"/>
    <w:rsid w:val="00557E58"/>
    <w:rsid w:val="0056044C"/>
    <w:rsid w:val="00560F50"/>
    <w:rsid w:val="0056125A"/>
    <w:rsid w:val="005621D6"/>
    <w:rsid w:val="005626FD"/>
    <w:rsid w:val="00562FE1"/>
    <w:rsid w:val="0056348C"/>
    <w:rsid w:val="00563529"/>
    <w:rsid w:val="00563B40"/>
    <w:rsid w:val="0056442A"/>
    <w:rsid w:val="0056576E"/>
    <w:rsid w:val="00566792"/>
    <w:rsid w:val="005673C9"/>
    <w:rsid w:val="005674A0"/>
    <w:rsid w:val="00571164"/>
    <w:rsid w:val="00571A7A"/>
    <w:rsid w:val="00571AF1"/>
    <w:rsid w:val="005729C1"/>
    <w:rsid w:val="005744B9"/>
    <w:rsid w:val="00574F57"/>
    <w:rsid w:val="005757AE"/>
    <w:rsid w:val="00576F6E"/>
    <w:rsid w:val="00577DFF"/>
    <w:rsid w:val="00580E24"/>
    <w:rsid w:val="0058255A"/>
    <w:rsid w:val="00584304"/>
    <w:rsid w:val="0058455A"/>
    <w:rsid w:val="005848BE"/>
    <w:rsid w:val="005851B8"/>
    <w:rsid w:val="00586F24"/>
    <w:rsid w:val="005877E1"/>
    <w:rsid w:val="0059117E"/>
    <w:rsid w:val="005922AD"/>
    <w:rsid w:val="00592DD9"/>
    <w:rsid w:val="00592F69"/>
    <w:rsid w:val="005957CB"/>
    <w:rsid w:val="00596AE3"/>
    <w:rsid w:val="005A0B07"/>
    <w:rsid w:val="005A2D89"/>
    <w:rsid w:val="005A382A"/>
    <w:rsid w:val="005A45D9"/>
    <w:rsid w:val="005A46F7"/>
    <w:rsid w:val="005A49C0"/>
    <w:rsid w:val="005A65EB"/>
    <w:rsid w:val="005A6A4F"/>
    <w:rsid w:val="005A76F1"/>
    <w:rsid w:val="005A7E84"/>
    <w:rsid w:val="005B1296"/>
    <w:rsid w:val="005B15F4"/>
    <w:rsid w:val="005B33BC"/>
    <w:rsid w:val="005B3501"/>
    <w:rsid w:val="005B3673"/>
    <w:rsid w:val="005B43D5"/>
    <w:rsid w:val="005B56DE"/>
    <w:rsid w:val="005B57E8"/>
    <w:rsid w:val="005B761A"/>
    <w:rsid w:val="005B7957"/>
    <w:rsid w:val="005C0BE0"/>
    <w:rsid w:val="005C21C2"/>
    <w:rsid w:val="005C466F"/>
    <w:rsid w:val="005C46D8"/>
    <w:rsid w:val="005C4B63"/>
    <w:rsid w:val="005C6A55"/>
    <w:rsid w:val="005D10B1"/>
    <w:rsid w:val="005D1731"/>
    <w:rsid w:val="005D1B7D"/>
    <w:rsid w:val="005D28F7"/>
    <w:rsid w:val="005D4632"/>
    <w:rsid w:val="005D580F"/>
    <w:rsid w:val="005D5F49"/>
    <w:rsid w:val="005E10F2"/>
    <w:rsid w:val="005E15DA"/>
    <w:rsid w:val="005E17F7"/>
    <w:rsid w:val="005E1ABC"/>
    <w:rsid w:val="005E1DC4"/>
    <w:rsid w:val="005E22EB"/>
    <w:rsid w:val="005E331D"/>
    <w:rsid w:val="005E3886"/>
    <w:rsid w:val="005E4A88"/>
    <w:rsid w:val="005E5038"/>
    <w:rsid w:val="005E5487"/>
    <w:rsid w:val="005E5979"/>
    <w:rsid w:val="005E5CDD"/>
    <w:rsid w:val="005E76CE"/>
    <w:rsid w:val="005E7E23"/>
    <w:rsid w:val="005F068E"/>
    <w:rsid w:val="005F2BAB"/>
    <w:rsid w:val="005F39BD"/>
    <w:rsid w:val="005F3DB1"/>
    <w:rsid w:val="005F4668"/>
    <w:rsid w:val="005F4FCF"/>
    <w:rsid w:val="005F5140"/>
    <w:rsid w:val="005F5269"/>
    <w:rsid w:val="005F53F4"/>
    <w:rsid w:val="005F54CC"/>
    <w:rsid w:val="005F60F1"/>
    <w:rsid w:val="005F6560"/>
    <w:rsid w:val="005F6CB4"/>
    <w:rsid w:val="005F72E4"/>
    <w:rsid w:val="005F79BE"/>
    <w:rsid w:val="00602F38"/>
    <w:rsid w:val="00604169"/>
    <w:rsid w:val="00604C46"/>
    <w:rsid w:val="00605DC9"/>
    <w:rsid w:val="006060EE"/>
    <w:rsid w:val="00606C67"/>
    <w:rsid w:val="00607D08"/>
    <w:rsid w:val="00607E90"/>
    <w:rsid w:val="006100AC"/>
    <w:rsid w:val="00610815"/>
    <w:rsid w:val="00611CDF"/>
    <w:rsid w:val="00613D42"/>
    <w:rsid w:val="006156ED"/>
    <w:rsid w:val="00615AB5"/>
    <w:rsid w:val="00616834"/>
    <w:rsid w:val="00620F1D"/>
    <w:rsid w:val="006224F5"/>
    <w:rsid w:val="00622E59"/>
    <w:rsid w:val="0062306D"/>
    <w:rsid w:val="006243CC"/>
    <w:rsid w:val="00624467"/>
    <w:rsid w:val="0062492E"/>
    <w:rsid w:val="006262C7"/>
    <w:rsid w:val="00626F5A"/>
    <w:rsid w:val="0063101C"/>
    <w:rsid w:val="006316DF"/>
    <w:rsid w:val="00633A8F"/>
    <w:rsid w:val="00634406"/>
    <w:rsid w:val="00634825"/>
    <w:rsid w:val="00635983"/>
    <w:rsid w:val="006365D8"/>
    <w:rsid w:val="00636E68"/>
    <w:rsid w:val="00637634"/>
    <w:rsid w:val="00637A81"/>
    <w:rsid w:val="00637E5B"/>
    <w:rsid w:val="00640DA3"/>
    <w:rsid w:val="00641535"/>
    <w:rsid w:val="00641540"/>
    <w:rsid w:val="00641614"/>
    <w:rsid w:val="0064166F"/>
    <w:rsid w:val="00641F2D"/>
    <w:rsid w:val="006424C8"/>
    <w:rsid w:val="00644636"/>
    <w:rsid w:val="0064468B"/>
    <w:rsid w:val="0064597E"/>
    <w:rsid w:val="00645AF8"/>
    <w:rsid w:val="0064642C"/>
    <w:rsid w:val="00646B88"/>
    <w:rsid w:val="006472FE"/>
    <w:rsid w:val="00650799"/>
    <w:rsid w:val="00650EF4"/>
    <w:rsid w:val="00652E7C"/>
    <w:rsid w:val="00653472"/>
    <w:rsid w:val="00653A37"/>
    <w:rsid w:val="006540D6"/>
    <w:rsid w:val="00656621"/>
    <w:rsid w:val="00656919"/>
    <w:rsid w:val="006571B6"/>
    <w:rsid w:val="00657BC4"/>
    <w:rsid w:val="00660726"/>
    <w:rsid w:val="00661E19"/>
    <w:rsid w:val="00661FDC"/>
    <w:rsid w:val="00662BC7"/>
    <w:rsid w:val="0066359F"/>
    <w:rsid w:val="00664038"/>
    <w:rsid w:val="00665E03"/>
    <w:rsid w:val="00666BCF"/>
    <w:rsid w:val="00666DD9"/>
    <w:rsid w:val="00667C18"/>
    <w:rsid w:val="00670CB2"/>
    <w:rsid w:val="00671457"/>
    <w:rsid w:val="0067150A"/>
    <w:rsid w:val="00671FB2"/>
    <w:rsid w:val="006723F8"/>
    <w:rsid w:val="00673535"/>
    <w:rsid w:val="0067464F"/>
    <w:rsid w:val="00674B99"/>
    <w:rsid w:val="00675B0B"/>
    <w:rsid w:val="00675F44"/>
    <w:rsid w:val="006766C6"/>
    <w:rsid w:val="00676F48"/>
    <w:rsid w:val="00677681"/>
    <w:rsid w:val="006800F7"/>
    <w:rsid w:val="0068190F"/>
    <w:rsid w:val="00682D8D"/>
    <w:rsid w:val="00683521"/>
    <w:rsid w:val="00684176"/>
    <w:rsid w:val="0068434E"/>
    <w:rsid w:val="00684518"/>
    <w:rsid w:val="006856CF"/>
    <w:rsid w:val="006878A3"/>
    <w:rsid w:val="006878AA"/>
    <w:rsid w:val="006906FD"/>
    <w:rsid w:val="00690D7B"/>
    <w:rsid w:val="00691011"/>
    <w:rsid w:val="00691EDC"/>
    <w:rsid w:val="00693C8C"/>
    <w:rsid w:val="00693E02"/>
    <w:rsid w:val="00695505"/>
    <w:rsid w:val="00695F3E"/>
    <w:rsid w:val="0069745E"/>
    <w:rsid w:val="00697849"/>
    <w:rsid w:val="00697C2A"/>
    <w:rsid w:val="006A1752"/>
    <w:rsid w:val="006A25EA"/>
    <w:rsid w:val="006A303D"/>
    <w:rsid w:val="006A393F"/>
    <w:rsid w:val="006A3A84"/>
    <w:rsid w:val="006A489A"/>
    <w:rsid w:val="006A48CC"/>
    <w:rsid w:val="006A5E0C"/>
    <w:rsid w:val="006A6809"/>
    <w:rsid w:val="006A69BC"/>
    <w:rsid w:val="006A6D31"/>
    <w:rsid w:val="006A7196"/>
    <w:rsid w:val="006A72AC"/>
    <w:rsid w:val="006A78E6"/>
    <w:rsid w:val="006A7FEC"/>
    <w:rsid w:val="006B1562"/>
    <w:rsid w:val="006B2AA9"/>
    <w:rsid w:val="006B2AD0"/>
    <w:rsid w:val="006B42CF"/>
    <w:rsid w:val="006B431F"/>
    <w:rsid w:val="006B548D"/>
    <w:rsid w:val="006B5DE3"/>
    <w:rsid w:val="006B60A9"/>
    <w:rsid w:val="006B67A5"/>
    <w:rsid w:val="006B722F"/>
    <w:rsid w:val="006B75A6"/>
    <w:rsid w:val="006C0AD3"/>
    <w:rsid w:val="006C0D44"/>
    <w:rsid w:val="006C151A"/>
    <w:rsid w:val="006C211D"/>
    <w:rsid w:val="006C2E92"/>
    <w:rsid w:val="006C3187"/>
    <w:rsid w:val="006C35E3"/>
    <w:rsid w:val="006C5048"/>
    <w:rsid w:val="006C5470"/>
    <w:rsid w:val="006C5704"/>
    <w:rsid w:val="006C5F0A"/>
    <w:rsid w:val="006C6220"/>
    <w:rsid w:val="006D1692"/>
    <w:rsid w:val="006D1C75"/>
    <w:rsid w:val="006D2188"/>
    <w:rsid w:val="006D2558"/>
    <w:rsid w:val="006D4F3D"/>
    <w:rsid w:val="006D6B44"/>
    <w:rsid w:val="006E0C75"/>
    <w:rsid w:val="006E1D6D"/>
    <w:rsid w:val="006E3152"/>
    <w:rsid w:val="006E54C3"/>
    <w:rsid w:val="006F1C30"/>
    <w:rsid w:val="006F3049"/>
    <w:rsid w:val="006F3DC5"/>
    <w:rsid w:val="006F6037"/>
    <w:rsid w:val="006F7210"/>
    <w:rsid w:val="006F76F8"/>
    <w:rsid w:val="007000B6"/>
    <w:rsid w:val="00700592"/>
    <w:rsid w:val="007014C9"/>
    <w:rsid w:val="00702685"/>
    <w:rsid w:val="00702A7A"/>
    <w:rsid w:val="0070347F"/>
    <w:rsid w:val="00703C3E"/>
    <w:rsid w:val="00704458"/>
    <w:rsid w:val="007045FA"/>
    <w:rsid w:val="00704B1E"/>
    <w:rsid w:val="00704CE7"/>
    <w:rsid w:val="00705973"/>
    <w:rsid w:val="00705DF2"/>
    <w:rsid w:val="00707BE7"/>
    <w:rsid w:val="0071073A"/>
    <w:rsid w:val="00711C79"/>
    <w:rsid w:val="0071281C"/>
    <w:rsid w:val="007144F1"/>
    <w:rsid w:val="00715C41"/>
    <w:rsid w:val="00715E8E"/>
    <w:rsid w:val="007200EF"/>
    <w:rsid w:val="00720FD7"/>
    <w:rsid w:val="0072314B"/>
    <w:rsid w:val="00723453"/>
    <w:rsid w:val="007253A3"/>
    <w:rsid w:val="00725725"/>
    <w:rsid w:val="007267FF"/>
    <w:rsid w:val="00726F0E"/>
    <w:rsid w:val="00726F4C"/>
    <w:rsid w:val="0072794E"/>
    <w:rsid w:val="00731272"/>
    <w:rsid w:val="00731D0C"/>
    <w:rsid w:val="00732899"/>
    <w:rsid w:val="00732C2F"/>
    <w:rsid w:val="007337FB"/>
    <w:rsid w:val="00734774"/>
    <w:rsid w:val="00734A71"/>
    <w:rsid w:val="00735915"/>
    <w:rsid w:val="00735ED1"/>
    <w:rsid w:val="007366C8"/>
    <w:rsid w:val="0073672E"/>
    <w:rsid w:val="00740191"/>
    <w:rsid w:val="0074081D"/>
    <w:rsid w:val="007418A9"/>
    <w:rsid w:val="007433C0"/>
    <w:rsid w:val="007455F2"/>
    <w:rsid w:val="007459FB"/>
    <w:rsid w:val="0074642D"/>
    <w:rsid w:val="007464E7"/>
    <w:rsid w:val="007469B8"/>
    <w:rsid w:val="00746CED"/>
    <w:rsid w:val="00746F7B"/>
    <w:rsid w:val="00750CCE"/>
    <w:rsid w:val="00751220"/>
    <w:rsid w:val="00752D5F"/>
    <w:rsid w:val="0075353D"/>
    <w:rsid w:val="007535CF"/>
    <w:rsid w:val="00753FBF"/>
    <w:rsid w:val="00756465"/>
    <w:rsid w:val="0076027B"/>
    <w:rsid w:val="007607CA"/>
    <w:rsid w:val="00761042"/>
    <w:rsid w:val="0076158F"/>
    <w:rsid w:val="00763E2B"/>
    <w:rsid w:val="00764DF9"/>
    <w:rsid w:val="00767E34"/>
    <w:rsid w:val="00767F10"/>
    <w:rsid w:val="007705A3"/>
    <w:rsid w:val="00770D51"/>
    <w:rsid w:val="00773505"/>
    <w:rsid w:val="00774BA1"/>
    <w:rsid w:val="00776828"/>
    <w:rsid w:val="00776F29"/>
    <w:rsid w:val="0077717E"/>
    <w:rsid w:val="00777532"/>
    <w:rsid w:val="00777790"/>
    <w:rsid w:val="007806C9"/>
    <w:rsid w:val="00780CAE"/>
    <w:rsid w:val="00781F5B"/>
    <w:rsid w:val="00784711"/>
    <w:rsid w:val="00784761"/>
    <w:rsid w:val="00784906"/>
    <w:rsid w:val="007877B3"/>
    <w:rsid w:val="00787C82"/>
    <w:rsid w:val="00787DC0"/>
    <w:rsid w:val="00790834"/>
    <w:rsid w:val="00792367"/>
    <w:rsid w:val="00792631"/>
    <w:rsid w:val="00793F9A"/>
    <w:rsid w:val="007948AD"/>
    <w:rsid w:val="00796BC6"/>
    <w:rsid w:val="00796DEE"/>
    <w:rsid w:val="007A0170"/>
    <w:rsid w:val="007A1A55"/>
    <w:rsid w:val="007A41B0"/>
    <w:rsid w:val="007A51B1"/>
    <w:rsid w:val="007A57AB"/>
    <w:rsid w:val="007A5D64"/>
    <w:rsid w:val="007A6A7A"/>
    <w:rsid w:val="007A735A"/>
    <w:rsid w:val="007A73D8"/>
    <w:rsid w:val="007B0D92"/>
    <w:rsid w:val="007B4485"/>
    <w:rsid w:val="007B4701"/>
    <w:rsid w:val="007B606B"/>
    <w:rsid w:val="007B75DD"/>
    <w:rsid w:val="007C0D30"/>
    <w:rsid w:val="007C1561"/>
    <w:rsid w:val="007C15AD"/>
    <w:rsid w:val="007C1916"/>
    <w:rsid w:val="007C2964"/>
    <w:rsid w:val="007C2D17"/>
    <w:rsid w:val="007C2DA2"/>
    <w:rsid w:val="007C4862"/>
    <w:rsid w:val="007C6273"/>
    <w:rsid w:val="007C7841"/>
    <w:rsid w:val="007C7A26"/>
    <w:rsid w:val="007D13D0"/>
    <w:rsid w:val="007D14F4"/>
    <w:rsid w:val="007D1A8B"/>
    <w:rsid w:val="007D2044"/>
    <w:rsid w:val="007D256F"/>
    <w:rsid w:val="007D3581"/>
    <w:rsid w:val="007D3D3A"/>
    <w:rsid w:val="007D4317"/>
    <w:rsid w:val="007D494B"/>
    <w:rsid w:val="007D562B"/>
    <w:rsid w:val="007D583D"/>
    <w:rsid w:val="007D6FE2"/>
    <w:rsid w:val="007D7DAC"/>
    <w:rsid w:val="007E01EF"/>
    <w:rsid w:val="007E3830"/>
    <w:rsid w:val="007E45FF"/>
    <w:rsid w:val="007E61AD"/>
    <w:rsid w:val="007E6728"/>
    <w:rsid w:val="007E7CAD"/>
    <w:rsid w:val="007F0B85"/>
    <w:rsid w:val="007F0D19"/>
    <w:rsid w:val="007F0F81"/>
    <w:rsid w:val="007F1051"/>
    <w:rsid w:val="007F14A2"/>
    <w:rsid w:val="007F1903"/>
    <w:rsid w:val="007F30A7"/>
    <w:rsid w:val="007F3B18"/>
    <w:rsid w:val="007F3C30"/>
    <w:rsid w:val="007F5933"/>
    <w:rsid w:val="007F5D2E"/>
    <w:rsid w:val="007F69A7"/>
    <w:rsid w:val="007F7242"/>
    <w:rsid w:val="007F7291"/>
    <w:rsid w:val="0080044F"/>
    <w:rsid w:val="00800B50"/>
    <w:rsid w:val="0080111E"/>
    <w:rsid w:val="00801741"/>
    <w:rsid w:val="0080461F"/>
    <w:rsid w:val="00804DC5"/>
    <w:rsid w:val="008061C5"/>
    <w:rsid w:val="0080745B"/>
    <w:rsid w:val="0081036F"/>
    <w:rsid w:val="00810760"/>
    <w:rsid w:val="00810797"/>
    <w:rsid w:val="0081173E"/>
    <w:rsid w:val="008133BA"/>
    <w:rsid w:val="008137CD"/>
    <w:rsid w:val="00814DD1"/>
    <w:rsid w:val="0081535B"/>
    <w:rsid w:val="00815387"/>
    <w:rsid w:val="00817B7C"/>
    <w:rsid w:val="008203DD"/>
    <w:rsid w:val="008226B1"/>
    <w:rsid w:val="00822ED1"/>
    <w:rsid w:val="00823CDF"/>
    <w:rsid w:val="008250A9"/>
    <w:rsid w:val="00825178"/>
    <w:rsid w:val="008254F1"/>
    <w:rsid w:val="00826D9B"/>
    <w:rsid w:val="00830086"/>
    <w:rsid w:val="00831718"/>
    <w:rsid w:val="00831981"/>
    <w:rsid w:val="008320AA"/>
    <w:rsid w:val="0083302D"/>
    <w:rsid w:val="008330B9"/>
    <w:rsid w:val="00833565"/>
    <w:rsid w:val="0083386A"/>
    <w:rsid w:val="00835098"/>
    <w:rsid w:val="00836249"/>
    <w:rsid w:val="00837727"/>
    <w:rsid w:val="00837E8D"/>
    <w:rsid w:val="00841D05"/>
    <w:rsid w:val="0084204F"/>
    <w:rsid w:val="00842164"/>
    <w:rsid w:val="00842F04"/>
    <w:rsid w:val="00842FAC"/>
    <w:rsid w:val="0084306B"/>
    <w:rsid w:val="00843124"/>
    <w:rsid w:val="00843655"/>
    <w:rsid w:val="00843675"/>
    <w:rsid w:val="008461EA"/>
    <w:rsid w:val="00847CD3"/>
    <w:rsid w:val="00850769"/>
    <w:rsid w:val="00851CB0"/>
    <w:rsid w:val="008525ED"/>
    <w:rsid w:val="00855D63"/>
    <w:rsid w:val="00856821"/>
    <w:rsid w:val="00857F10"/>
    <w:rsid w:val="0086099C"/>
    <w:rsid w:val="00860AEB"/>
    <w:rsid w:val="008618A6"/>
    <w:rsid w:val="00861907"/>
    <w:rsid w:val="00861C93"/>
    <w:rsid w:val="00862541"/>
    <w:rsid w:val="008635AB"/>
    <w:rsid w:val="00863B58"/>
    <w:rsid w:val="00865D35"/>
    <w:rsid w:val="00866C58"/>
    <w:rsid w:val="00871855"/>
    <w:rsid w:val="008733B9"/>
    <w:rsid w:val="00875579"/>
    <w:rsid w:val="00875917"/>
    <w:rsid w:val="00877894"/>
    <w:rsid w:val="00883B78"/>
    <w:rsid w:val="00883BEF"/>
    <w:rsid w:val="00884955"/>
    <w:rsid w:val="008864AD"/>
    <w:rsid w:val="008867D5"/>
    <w:rsid w:val="00886E92"/>
    <w:rsid w:val="0088754F"/>
    <w:rsid w:val="0089349E"/>
    <w:rsid w:val="00894600"/>
    <w:rsid w:val="008970F3"/>
    <w:rsid w:val="00897506"/>
    <w:rsid w:val="00897740"/>
    <w:rsid w:val="00897D08"/>
    <w:rsid w:val="008A019A"/>
    <w:rsid w:val="008A01DC"/>
    <w:rsid w:val="008A0F7E"/>
    <w:rsid w:val="008A1008"/>
    <w:rsid w:val="008A135D"/>
    <w:rsid w:val="008A1DBE"/>
    <w:rsid w:val="008A3942"/>
    <w:rsid w:val="008A3D7A"/>
    <w:rsid w:val="008A4CB7"/>
    <w:rsid w:val="008A50E8"/>
    <w:rsid w:val="008A53DB"/>
    <w:rsid w:val="008A55A9"/>
    <w:rsid w:val="008A61D1"/>
    <w:rsid w:val="008A621D"/>
    <w:rsid w:val="008A6E68"/>
    <w:rsid w:val="008A7873"/>
    <w:rsid w:val="008B1819"/>
    <w:rsid w:val="008B2B85"/>
    <w:rsid w:val="008B30C8"/>
    <w:rsid w:val="008B3230"/>
    <w:rsid w:val="008B327F"/>
    <w:rsid w:val="008B43AA"/>
    <w:rsid w:val="008B455F"/>
    <w:rsid w:val="008C0241"/>
    <w:rsid w:val="008C0B78"/>
    <w:rsid w:val="008C2B67"/>
    <w:rsid w:val="008C499D"/>
    <w:rsid w:val="008C4CF9"/>
    <w:rsid w:val="008C4EC7"/>
    <w:rsid w:val="008C5FF9"/>
    <w:rsid w:val="008D031A"/>
    <w:rsid w:val="008D0C05"/>
    <w:rsid w:val="008D0EE4"/>
    <w:rsid w:val="008D1DC9"/>
    <w:rsid w:val="008D239D"/>
    <w:rsid w:val="008D2930"/>
    <w:rsid w:val="008D43AD"/>
    <w:rsid w:val="008D5D68"/>
    <w:rsid w:val="008E11A0"/>
    <w:rsid w:val="008E348C"/>
    <w:rsid w:val="008E3F96"/>
    <w:rsid w:val="008E52AC"/>
    <w:rsid w:val="008E581D"/>
    <w:rsid w:val="008E5C3E"/>
    <w:rsid w:val="008E670D"/>
    <w:rsid w:val="008E704F"/>
    <w:rsid w:val="008F01BD"/>
    <w:rsid w:val="008F0ABA"/>
    <w:rsid w:val="008F1372"/>
    <w:rsid w:val="008F2654"/>
    <w:rsid w:val="008F3E6A"/>
    <w:rsid w:val="008F4CCE"/>
    <w:rsid w:val="008F4E6A"/>
    <w:rsid w:val="008F5488"/>
    <w:rsid w:val="008F6169"/>
    <w:rsid w:val="008F6195"/>
    <w:rsid w:val="00900D4C"/>
    <w:rsid w:val="00900EA5"/>
    <w:rsid w:val="00901CF0"/>
    <w:rsid w:val="00902AB9"/>
    <w:rsid w:val="00903F9D"/>
    <w:rsid w:val="009043FC"/>
    <w:rsid w:val="00904BE0"/>
    <w:rsid w:val="009054FB"/>
    <w:rsid w:val="00907AB9"/>
    <w:rsid w:val="00907F36"/>
    <w:rsid w:val="009112EA"/>
    <w:rsid w:val="009117CD"/>
    <w:rsid w:val="0091341F"/>
    <w:rsid w:val="0091479D"/>
    <w:rsid w:val="00914FFE"/>
    <w:rsid w:val="00915F19"/>
    <w:rsid w:val="00916879"/>
    <w:rsid w:val="0091761F"/>
    <w:rsid w:val="009176F1"/>
    <w:rsid w:val="00920C76"/>
    <w:rsid w:val="00924043"/>
    <w:rsid w:val="00925397"/>
    <w:rsid w:val="0092678A"/>
    <w:rsid w:val="009268D4"/>
    <w:rsid w:val="00926BEE"/>
    <w:rsid w:val="0092718B"/>
    <w:rsid w:val="0092736E"/>
    <w:rsid w:val="00927651"/>
    <w:rsid w:val="0093004D"/>
    <w:rsid w:val="00930898"/>
    <w:rsid w:val="009309F2"/>
    <w:rsid w:val="00931C56"/>
    <w:rsid w:val="00932E1F"/>
    <w:rsid w:val="009337F8"/>
    <w:rsid w:val="00933C08"/>
    <w:rsid w:val="00934C2D"/>
    <w:rsid w:val="00935B13"/>
    <w:rsid w:val="00935BB3"/>
    <w:rsid w:val="00937F9E"/>
    <w:rsid w:val="00940BD3"/>
    <w:rsid w:val="00942190"/>
    <w:rsid w:val="00943156"/>
    <w:rsid w:val="00943AE0"/>
    <w:rsid w:val="00944543"/>
    <w:rsid w:val="0094577D"/>
    <w:rsid w:val="009469F5"/>
    <w:rsid w:val="009501DA"/>
    <w:rsid w:val="00950C48"/>
    <w:rsid w:val="00951238"/>
    <w:rsid w:val="009512BE"/>
    <w:rsid w:val="00951868"/>
    <w:rsid w:val="00951A4C"/>
    <w:rsid w:val="00952072"/>
    <w:rsid w:val="00952F88"/>
    <w:rsid w:val="00953D22"/>
    <w:rsid w:val="009557F3"/>
    <w:rsid w:val="00956401"/>
    <w:rsid w:val="00956CE6"/>
    <w:rsid w:val="0095776F"/>
    <w:rsid w:val="009601AD"/>
    <w:rsid w:val="00962E96"/>
    <w:rsid w:val="0096371C"/>
    <w:rsid w:val="0096490B"/>
    <w:rsid w:val="00965280"/>
    <w:rsid w:val="009655E5"/>
    <w:rsid w:val="0096649C"/>
    <w:rsid w:val="009671A3"/>
    <w:rsid w:val="0097040E"/>
    <w:rsid w:val="00971D2D"/>
    <w:rsid w:val="00972742"/>
    <w:rsid w:val="0097308A"/>
    <w:rsid w:val="00973AD7"/>
    <w:rsid w:val="00973CDA"/>
    <w:rsid w:val="00974392"/>
    <w:rsid w:val="00974538"/>
    <w:rsid w:val="00974843"/>
    <w:rsid w:val="0097709B"/>
    <w:rsid w:val="009778C2"/>
    <w:rsid w:val="00981068"/>
    <w:rsid w:val="009818F2"/>
    <w:rsid w:val="0098190D"/>
    <w:rsid w:val="00981D1F"/>
    <w:rsid w:val="009823FC"/>
    <w:rsid w:val="00983118"/>
    <w:rsid w:val="00983C8C"/>
    <w:rsid w:val="00983F04"/>
    <w:rsid w:val="0098416F"/>
    <w:rsid w:val="0098513D"/>
    <w:rsid w:val="00985547"/>
    <w:rsid w:val="00986CA3"/>
    <w:rsid w:val="00987386"/>
    <w:rsid w:val="00987B26"/>
    <w:rsid w:val="00990737"/>
    <w:rsid w:val="00990D36"/>
    <w:rsid w:val="009916F8"/>
    <w:rsid w:val="00991A52"/>
    <w:rsid w:val="00992684"/>
    <w:rsid w:val="00992D6A"/>
    <w:rsid w:val="009934C8"/>
    <w:rsid w:val="0099357C"/>
    <w:rsid w:val="00993B33"/>
    <w:rsid w:val="00993EC7"/>
    <w:rsid w:val="00994E5A"/>
    <w:rsid w:val="00994EC9"/>
    <w:rsid w:val="00996478"/>
    <w:rsid w:val="00997D93"/>
    <w:rsid w:val="009A060C"/>
    <w:rsid w:val="009A0DCF"/>
    <w:rsid w:val="009A2CF8"/>
    <w:rsid w:val="009A39D4"/>
    <w:rsid w:val="009A4464"/>
    <w:rsid w:val="009A4542"/>
    <w:rsid w:val="009A60BB"/>
    <w:rsid w:val="009A6C26"/>
    <w:rsid w:val="009A78BE"/>
    <w:rsid w:val="009A7D7A"/>
    <w:rsid w:val="009B0B45"/>
    <w:rsid w:val="009B13A4"/>
    <w:rsid w:val="009B15B0"/>
    <w:rsid w:val="009B1BFA"/>
    <w:rsid w:val="009B2063"/>
    <w:rsid w:val="009B2531"/>
    <w:rsid w:val="009B26D9"/>
    <w:rsid w:val="009B28CC"/>
    <w:rsid w:val="009B28D1"/>
    <w:rsid w:val="009B384E"/>
    <w:rsid w:val="009B3E88"/>
    <w:rsid w:val="009B5FE0"/>
    <w:rsid w:val="009B66F9"/>
    <w:rsid w:val="009B7759"/>
    <w:rsid w:val="009B7B21"/>
    <w:rsid w:val="009C00B0"/>
    <w:rsid w:val="009C0836"/>
    <w:rsid w:val="009C14A3"/>
    <w:rsid w:val="009C1E6E"/>
    <w:rsid w:val="009C23CF"/>
    <w:rsid w:val="009C270A"/>
    <w:rsid w:val="009C66A0"/>
    <w:rsid w:val="009C67ED"/>
    <w:rsid w:val="009C7342"/>
    <w:rsid w:val="009C7E3E"/>
    <w:rsid w:val="009D0294"/>
    <w:rsid w:val="009D09C9"/>
    <w:rsid w:val="009D146B"/>
    <w:rsid w:val="009D15B8"/>
    <w:rsid w:val="009D20C2"/>
    <w:rsid w:val="009D28E1"/>
    <w:rsid w:val="009D3C4C"/>
    <w:rsid w:val="009D4372"/>
    <w:rsid w:val="009D5B9C"/>
    <w:rsid w:val="009D63EE"/>
    <w:rsid w:val="009D7049"/>
    <w:rsid w:val="009E033A"/>
    <w:rsid w:val="009E0F19"/>
    <w:rsid w:val="009E1221"/>
    <w:rsid w:val="009E125C"/>
    <w:rsid w:val="009E250B"/>
    <w:rsid w:val="009E394C"/>
    <w:rsid w:val="009E3BEB"/>
    <w:rsid w:val="009E3DEE"/>
    <w:rsid w:val="009E4087"/>
    <w:rsid w:val="009E4278"/>
    <w:rsid w:val="009E46CF"/>
    <w:rsid w:val="009E4A64"/>
    <w:rsid w:val="009E5216"/>
    <w:rsid w:val="009E580E"/>
    <w:rsid w:val="009E591C"/>
    <w:rsid w:val="009E6318"/>
    <w:rsid w:val="009E67F6"/>
    <w:rsid w:val="009E7A13"/>
    <w:rsid w:val="009F1E32"/>
    <w:rsid w:val="009F576D"/>
    <w:rsid w:val="009F7DC6"/>
    <w:rsid w:val="00A0228C"/>
    <w:rsid w:val="00A0360D"/>
    <w:rsid w:val="00A0403D"/>
    <w:rsid w:val="00A043DA"/>
    <w:rsid w:val="00A04D83"/>
    <w:rsid w:val="00A04EC0"/>
    <w:rsid w:val="00A04F20"/>
    <w:rsid w:val="00A05442"/>
    <w:rsid w:val="00A11DCE"/>
    <w:rsid w:val="00A12A84"/>
    <w:rsid w:val="00A12ABA"/>
    <w:rsid w:val="00A13753"/>
    <w:rsid w:val="00A13CA9"/>
    <w:rsid w:val="00A13D0D"/>
    <w:rsid w:val="00A13D6B"/>
    <w:rsid w:val="00A14298"/>
    <w:rsid w:val="00A14D6E"/>
    <w:rsid w:val="00A14FAA"/>
    <w:rsid w:val="00A156AC"/>
    <w:rsid w:val="00A166DE"/>
    <w:rsid w:val="00A21221"/>
    <w:rsid w:val="00A21BF7"/>
    <w:rsid w:val="00A238C8"/>
    <w:rsid w:val="00A240F8"/>
    <w:rsid w:val="00A24241"/>
    <w:rsid w:val="00A244D5"/>
    <w:rsid w:val="00A24C95"/>
    <w:rsid w:val="00A24E69"/>
    <w:rsid w:val="00A25222"/>
    <w:rsid w:val="00A26989"/>
    <w:rsid w:val="00A27CA5"/>
    <w:rsid w:val="00A3153B"/>
    <w:rsid w:val="00A3238D"/>
    <w:rsid w:val="00A332AB"/>
    <w:rsid w:val="00A35A61"/>
    <w:rsid w:val="00A372A3"/>
    <w:rsid w:val="00A377E6"/>
    <w:rsid w:val="00A41493"/>
    <w:rsid w:val="00A41CF6"/>
    <w:rsid w:val="00A41E9E"/>
    <w:rsid w:val="00A4566E"/>
    <w:rsid w:val="00A458DA"/>
    <w:rsid w:val="00A46606"/>
    <w:rsid w:val="00A46959"/>
    <w:rsid w:val="00A47AC1"/>
    <w:rsid w:val="00A50DF4"/>
    <w:rsid w:val="00A523C5"/>
    <w:rsid w:val="00A5360A"/>
    <w:rsid w:val="00A5368C"/>
    <w:rsid w:val="00A54D6B"/>
    <w:rsid w:val="00A55671"/>
    <w:rsid w:val="00A56E20"/>
    <w:rsid w:val="00A5763E"/>
    <w:rsid w:val="00A608B5"/>
    <w:rsid w:val="00A60DF9"/>
    <w:rsid w:val="00A63B16"/>
    <w:rsid w:val="00A650C2"/>
    <w:rsid w:val="00A67E72"/>
    <w:rsid w:val="00A720B3"/>
    <w:rsid w:val="00A721DD"/>
    <w:rsid w:val="00A728A4"/>
    <w:rsid w:val="00A73386"/>
    <w:rsid w:val="00A73CBB"/>
    <w:rsid w:val="00A73FE4"/>
    <w:rsid w:val="00A74C73"/>
    <w:rsid w:val="00A75A7B"/>
    <w:rsid w:val="00A762CD"/>
    <w:rsid w:val="00A76A48"/>
    <w:rsid w:val="00A771CA"/>
    <w:rsid w:val="00A77725"/>
    <w:rsid w:val="00A80548"/>
    <w:rsid w:val="00A80B5B"/>
    <w:rsid w:val="00A81893"/>
    <w:rsid w:val="00A81D97"/>
    <w:rsid w:val="00A8241E"/>
    <w:rsid w:val="00A8261A"/>
    <w:rsid w:val="00A82A86"/>
    <w:rsid w:val="00A83195"/>
    <w:rsid w:val="00A83B0F"/>
    <w:rsid w:val="00A84DFE"/>
    <w:rsid w:val="00A853C0"/>
    <w:rsid w:val="00A853E6"/>
    <w:rsid w:val="00A85823"/>
    <w:rsid w:val="00A85B8E"/>
    <w:rsid w:val="00A85E77"/>
    <w:rsid w:val="00A86107"/>
    <w:rsid w:val="00A86998"/>
    <w:rsid w:val="00A91FDA"/>
    <w:rsid w:val="00A9208B"/>
    <w:rsid w:val="00A922BE"/>
    <w:rsid w:val="00A92C12"/>
    <w:rsid w:val="00A93761"/>
    <w:rsid w:val="00A93ABA"/>
    <w:rsid w:val="00A949D7"/>
    <w:rsid w:val="00A94A28"/>
    <w:rsid w:val="00A95376"/>
    <w:rsid w:val="00A95CBB"/>
    <w:rsid w:val="00A975D4"/>
    <w:rsid w:val="00A97A59"/>
    <w:rsid w:val="00AA0434"/>
    <w:rsid w:val="00AA0C1D"/>
    <w:rsid w:val="00AA18F7"/>
    <w:rsid w:val="00AA2530"/>
    <w:rsid w:val="00AA43D0"/>
    <w:rsid w:val="00AA5003"/>
    <w:rsid w:val="00AA551F"/>
    <w:rsid w:val="00AA55D2"/>
    <w:rsid w:val="00AA5EBD"/>
    <w:rsid w:val="00AA6649"/>
    <w:rsid w:val="00AB045C"/>
    <w:rsid w:val="00AB1B12"/>
    <w:rsid w:val="00AB1FBE"/>
    <w:rsid w:val="00AB21AE"/>
    <w:rsid w:val="00AB297A"/>
    <w:rsid w:val="00AB3190"/>
    <w:rsid w:val="00AB3571"/>
    <w:rsid w:val="00AB38B9"/>
    <w:rsid w:val="00AB5F3E"/>
    <w:rsid w:val="00AB7B5D"/>
    <w:rsid w:val="00AC1525"/>
    <w:rsid w:val="00AC1598"/>
    <w:rsid w:val="00AC2791"/>
    <w:rsid w:val="00AC2A03"/>
    <w:rsid w:val="00AC30E5"/>
    <w:rsid w:val="00AC40B6"/>
    <w:rsid w:val="00AC59BA"/>
    <w:rsid w:val="00AC5A9D"/>
    <w:rsid w:val="00AC6065"/>
    <w:rsid w:val="00AC7573"/>
    <w:rsid w:val="00AC771D"/>
    <w:rsid w:val="00AC7B9F"/>
    <w:rsid w:val="00AD2DB2"/>
    <w:rsid w:val="00AD301E"/>
    <w:rsid w:val="00AD43DF"/>
    <w:rsid w:val="00AD488E"/>
    <w:rsid w:val="00AD6066"/>
    <w:rsid w:val="00AD69B0"/>
    <w:rsid w:val="00AE0293"/>
    <w:rsid w:val="00AE034D"/>
    <w:rsid w:val="00AE036E"/>
    <w:rsid w:val="00AE1213"/>
    <w:rsid w:val="00AE12B7"/>
    <w:rsid w:val="00AE26CE"/>
    <w:rsid w:val="00AE27B2"/>
    <w:rsid w:val="00AE401A"/>
    <w:rsid w:val="00AE50CD"/>
    <w:rsid w:val="00AE60BF"/>
    <w:rsid w:val="00AE61CB"/>
    <w:rsid w:val="00AE7571"/>
    <w:rsid w:val="00AE77AC"/>
    <w:rsid w:val="00AE7A98"/>
    <w:rsid w:val="00AF1CED"/>
    <w:rsid w:val="00AF2237"/>
    <w:rsid w:val="00AF2E13"/>
    <w:rsid w:val="00AF3C96"/>
    <w:rsid w:val="00AF408A"/>
    <w:rsid w:val="00AF4DE6"/>
    <w:rsid w:val="00AF5E2F"/>
    <w:rsid w:val="00AF5FF0"/>
    <w:rsid w:val="00AF63DA"/>
    <w:rsid w:val="00AF6BD8"/>
    <w:rsid w:val="00B004F9"/>
    <w:rsid w:val="00B00A20"/>
    <w:rsid w:val="00B019CF"/>
    <w:rsid w:val="00B02965"/>
    <w:rsid w:val="00B02BF5"/>
    <w:rsid w:val="00B03996"/>
    <w:rsid w:val="00B06169"/>
    <w:rsid w:val="00B0677D"/>
    <w:rsid w:val="00B07646"/>
    <w:rsid w:val="00B07DD0"/>
    <w:rsid w:val="00B1019E"/>
    <w:rsid w:val="00B10E59"/>
    <w:rsid w:val="00B11E74"/>
    <w:rsid w:val="00B14EFC"/>
    <w:rsid w:val="00B150FE"/>
    <w:rsid w:val="00B1681F"/>
    <w:rsid w:val="00B175EF"/>
    <w:rsid w:val="00B17921"/>
    <w:rsid w:val="00B204F7"/>
    <w:rsid w:val="00B206EB"/>
    <w:rsid w:val="00B20AF2"/>
    <w:rsid w:val="00B216EA"/>
    <w:rsid w:val="00B249FE"/>
    <w:rsid w:val="00B2545E"/>
    <w:rsid w:val="00B25F95"/>
    <w:rsid w:val="00B30236"/>
    <w:rsid w:val="00B30634"/>
    <w:rsid w:val="00B32E15"/>
    <w:rsid w:val="00B3356D"/>
    <w:rsid w:val="00B33B24"/>
    <w:rsid w:val="00B35966"/>
    <w:rsid w:val="00B359E3"/>
    <w:rsid w:val="00B41EA7"/>
    <w:rsid w:val="00B42E3D"/>
    <w:rsid w:val="00B46175"/>
    <w:rsid w:val="00B463D8"/>
    <w:rsid w:val="00B4753E"/>
    <w:rsid w:val="00B476A2"/>
    <w:rsid w:val="00B4787F"/>
    <w:rsid w:val="00B47897"/>
    <w:rsid w:val="00B501CC"/>
    <w:rsid w:val="00B5166C"/>
    <w:rsid w:val="00B51AFC"/>
    <w:rsid w:val="00B526BD"/>
    <w:rsid w:val="00B52EAC"/>
    <w:rsid w:val="00B53A4D"/>
    <w:rsid w:val="00B552F3"/>
    <w:rsid w:val="00B56894"/>
    <w:rsid w:val="00B57CC8"/>
    <w:rsid w:val="00B6277A"/>
    <w:rsid w:val="00B63676"/>
    <w:rsid w:val="00B637F0"/>
    <w:rsid w:val="00B64384"/>
    <w:rsid w:val="00B64B5C"/>
    <w:rsid w:val="00B64D99"/>
    <w:rsid w:val="00B65841"/>
    <w:rsid w:val="00B65FD6"/>
    <w:rsid w:val="00B671C5"/>
    <w:rsid w:val="00B673CA"/>
    <w:rsid w:val="00B67A3D"/>
    <w:rsid w:val="00B67BE8"/>
    <w:rsid w:val="00B67E42"/>
    <w:rsid w:val="00B7012B"/>
    <w:rsid w:val="00B71192"/>
    <w:rsid w:val="00B71230"/>
    <w:rsid w:val="00B71C21"/>
    <w:rsid w:val="00B72449"/>
    <w:rsid w:val="00B72D7B"/>
    <w:rsid w:val="00B733C1"/>
    <w:rsid w:val="00B7372D"/>
    <w:rsid w:val="00B73E8E"/>
    <w:rsid w:val="00B755DB"/>
    <w:rsid w:val="00B76C53"/>
    <w:rsid w:val="00B77654"/>
    <w:rsid w:val="00B778F5"/>
    <w:rsid w:val="00B77D7D"/>
    <w:rsid w:val="00B800C7"/>
    <w:rsid w:val="00B80340"/>
    <w:rsid w:val="00B8117C"/>
    <w:rsid w:val="00B818BB"/>
    <w:rsid w:val="00B81D30"/>
    <w:rsid w:val="00B82D70"/>
    <w:rsid w:val="00B83A69"/>
    <w:rsid w:val="00B83D93"/>
    <w:rsid w:val="00B851A7"/>
    <w:rsid w:val="00B86086"/>
    <w:rsid w:val="00B867D0"/>
    <w:rsid w:val="00B86DF7"/>
    <w:rsid w:val="00B86ED9"/>
    <w:rsid w:val="00B86F63"/>
    <w:rsid w:val="00B87E2C"/>
    <w:rsid w:val="00B906B0"/>
    <w:rsid w:val="00B90C34"/>
    <w:rsid w:val="00B90F80"/>
    <w:rsid w:val="00B918E4"/>
    <w:rsid w:val="00B92AAB"/>
    <w:rsid w:val="00B92E33"/>
    <w:rsid w:val="00B94001"/>
    <w:rsid w:val="00B942D3"/>
    <w:rsid w:val="00B94396"/>
    <w:rsid w:val="00B94A4B"/>
    <w:rsid w:val="00B96174"/>
    <w:rsid w:val="00BA1D77"/>
    <w:rsid w:val="00BA1F89"/>
    <w:rsid w:val="00BA2BE5"/>
    <w:rsid w:val="00BA32FF"/>
    <w:rsid w:val="00BA4689"/>
    <w:rsid w:val="00BA58E7"/>
    <w:rsid w:val="00BA5AA4"/>
    <w:rsid w:val="00BA6DA6"/>
    <w:rsid w:val="00BA70C1"/>
    <w:rsid w:val="00BA7923"/>
    <w:rsid w:val="00BA7F89"/>
    <w:rsid w:val="00BB0422"/>
    <w:rsid w:val="00BB04D9"/>
    <w:rsid w:val="00BB1516"/>
    <w:rsid w:val="00BB20E8"/>
    <w:rsid w:val="00BB24C0"/>
    <w:rsid w:val="00BB260D"/>
    <w:rsid w:val="00BB3018"/>
    <w:rsid w:val="00BB3710"/>
    <w:rsid w:val="00BB4104"/>
    <w:rsid w:val="00BB4231"/>
    <w:rsid w:val="00BB4FA6"/>
    <w:rsid w:val="00BB5381"/>
    <w:rsid w:val="00BB6790"/>
    <w:rsid w:val="00BB7501"/>
    <w:rsid w:val="00BC00C3"/>
    <w:rsid w:val="00BC02E3"/>
    <w:rsid w:val="00BC13A2"/>
    <w:rsid w:val="00BC16DA"/>
    <w:rsid w:val="00BC48CA"/>
    <w:rsid w:val="00BC6342"/>
    <w:rsid w:val="00BD04A1"/>
    <w:rsid w:val="00BD1C33"/>
    <w:rsid w:val="00BD20B9"/>
    <w:rsid w:val="00BD2D1C"/>
    <w:rsid w:val="00BD3234"/>
    <w:rsid w:val="00BD4A57"/>
    <w:rsid w:val="00BD5CAA"/>
    <w:rsid w:val="00BD5DB1"/>
    <w:rsid w:val="00BE1C18"/>
    <w:rsid w:val="00BE257D"/>
    <w:rsid w:val="00BE2A03"/>
    <w:rsid w:val="00BE3ABA"/>
    <w:rsid w:val="00BE4E37"/>
    <w:rsid w:val="00BE4E80"/>
    <w:rsid w:val="00BE63D3"/>
    <w:rsid w:val="00BE6642"/>
    <w:rsid w:val="00BE75FC"/>
    <w:rsid w:val="00BE7686"/>
    <w:rsid w:val="00BE77FC"/>
    <w:rsid w:val="00BF0355"/>
    <w:rsid w:val="00BF0374"/>
    <w:rsid w:val="00BF08B8"/>
    <w:rsid w:val="00BF1210"/>
    <w:rsid w:val="00BF1CA6"/>
    <w:rsid w:val="00BF247A"/>
    <w:rsid w:val="00BF3DBB"/>
    <w:rsid w:val="00BF40A4"/>
    <w:rsid w:val="00BF454D"/>
    <w:rsid w:val="00BF4BE9"/>
    <w:rsid w:val="00BF55CA"/>
    <w:rsid w:val="00BF6B4C"/>
    <w:rsid w:val="00BF77AF"/>
    <w:rsid w:val="00C00F32"/>
    <w:rsid w:val="00C0160A"/>
    <w:rsid w:val="00C01A30"/>
    <w:rsid w:val="00C0222F"/>
    <w:rsid w:val="00C02C90"/>
    <w:rsid w:val="00C02CBD"/>
    <w:rsid w:val="00C03815"/>
    <w:rsid w:val="00C03CFC"/>
    <w:rsid w:val="00C04E42"/>
    <w:rsid w:val="00C05165"/>
    <w:rsid w:val="00C05715"/>
    <w:rsid w:val="00C06E3C"/>
    <w:rsid w:val="00C0752F"/>
    <w:rsid w:val="00C077C7"/>
    <w:rsid w:val="00C07EA9"/>
    <w:rsid w:val="00C103D9"/>
    <w:rsid w:val="00C10784"/>
    <w:rsid w:val="00C10866"/>
    <w:rsid w:val="00C10CDC"/>
    <w:rsid w:val="00C10FB0"/>
    <w:rsid w:val="00C116C4"/>
    <w:rsid w:val="00C1377C"/>
    <w:rsid w:val="00C13AC8"/>
    <w:rsid w:val="00C14542"/>
    <w:rsid w:val="00C145CA"/>
    <w:rsid w:val="00C14DA8"/>
    <w:rsid w:val="00C16ABB"/>
    <w:rsid w:val="00C16DCC"/>
    <w:rsid w:val="00C17023"/>
    <w:rsid w:val="00C2067A"/>
    <w:rsid w:val="00C21658"/>
    <w:rsid w:val="00C2294B"/>
    <w:rsid w:val="00C23303"/>
    <w:rsid w:val="00C237A7"/>
    <w:rsid w:val="00C23FA4"/>
    <w:rsid w:val="00C24A83"/>
    <w:rsid w:val="00C26719"/>
    <w:rsid w:val="00C2766A"/>
    <w:rsid w:val="00C302E1"/>
    <w:rsid w:val="00C307AC"/>
    <w:rsid w:val="00C309C5"/>
    <w:rsid w:val="00C30B13"/>
    <w:rsid w:val="00C322AF"/>
    <w:rsid w:val="00C32480"/>
    <w:rsid w:val="00C34F40"/>
    <w:rsid w:val="00C3565B"/>
    <w:rsid w:val="00C3589A"/>
    <w:rsid w:val="00C36F13"/>
    <w:rsid w:val="00C37474"/>
    <w:rsid w:val="00C37690"/>
    <w:rsid w:val="00C376AF"/>
    <w:rsid w:val="00C37EA6"/>
    <w:rsid w:val="00C40FE6"/>
    <w:rsid w:val="00C42867"/>
    <w:rsid w:val="00C431D3"/>
    <w:rsid w:val="00C4323B"/>
    <w:rsid w:val="00C50204"/>
    <w:rsid w:val="00C52C2E"/>
    <w:rsid w:val="00C53C4C"/>
    <w:rsid w:val="00C54177"/>
    <w:rsid w:val="00C547E6"/>
    <w:rsid w:val="00C54D02"/>
    <w:rsid w:val="00C55D99"/>
    <w:rsid w:val="00C568B7"/>
    <w:rsid w:val="00C56BD1"/>
    <w:rsid w:val="00C56D3B"/>
    <w:rsid w:val="00C600FD"/>
    <w:rsid w:val="00C6039A"/>
    <w:rsid w:val="00C603BB"/>
    <w:rsid w:val="00C62F75"/>
    <w:rsid w:val="00C63295"/>
    <w:rsid w:val="00C63664"/>
    <w:rsid w:val="00C6681C"/>
    <w:rsid w:val="00C67027"/>
    <w:rsid w:val="00C71664"/>
    <w:rsid w:val="00C71C2C"/>
    <w:rsid w:val="00C73049"/>
    <w:rsid w:val="00C7456A"/>
    <w:rsid w:val="00C7514F"/>
    <w:rsid w:val="00C754C4"/>
    <w:rsid w:val="00C76CD9"/>
    <w:rsid w:val="00C771EA"/>
    <w:rsid w:val="00C7762C"/>
    <w:rsid w:val="00C77997"/>
    <w:rsid w:val="00C77F30"/>
    <w:rsid w:val="00C80624"/>
    <w:rsid w:val="00C80F8F"/>
    <w:rsid w:val="00C81546"/>
    <w:rsid w:val="00C820E2"/>
    <w:rsid w:val="00C828DE"/>
    <w:rsid w:val="00C82E4C"/>
    <w:rsid w:val="00C84579"/>
    <w:rsid w:val="00C84B90"/>
    <w:rsid w:val="00C85134"/>
    <w:rsid w:val="00C876F3"/>
    <w:rsid w:val="00C92CC9"/>
    <w:rsid w:val="00C94DFA"/>
    <w:rsid w:val="00C9598A"/>
    <w:rsid w:val="00C96693"/>
    <w:rsid w:val="00C96A8A"/>
    <w:rsid w:val="00CA01DE"/>
    <w:rsid w:val="00CA1899"/>
    <w:rsid w:val="00CA2C75"/>
    <w:rsid w:val="00CA3499"/>
    <w:rsid w:val="00CA3DDA"/>
    <w:rsid w:val="00CA4C2F"/>
    <w:rsid w:val="00CA6A4A"/>
    <w:rsid w:val="00CA6AF1"/>
    <w:rsid w:val="00CA6B79"/>
    <w:rsid w:val="00CA6C1B"/>
    <w:rsid w:val="00CA79D4"/>
    <w:rsid w:val="00CA7C46"/>
    <w:rsid w:val="00CB0561"/>
    <w:rsid w:val="00CB0F76"/>
    <w:rsid w:val="00CB4378"/>
    <w:rsid w:val="00CB47A5"/>
    <w:rsid w:val="00CB514C"/>
    <w:rsid w:val="00CB62BE"/>
    <w:rsid w:val="00CB6CE9"/>
    <w:rsid w:val="00CB7359"/>
    <w:rsid w:val="00CB78F7"/>
    <w:rsid w:val="00CC054D"/>
    <w:rsid w:val="00CC0A2B"/>
    <w:rsid w:val="00CC0B09"/>
    <w:rsid w:val="00CC2E9D"/>
    <w:rsid w:val="00CC48E6"/>
    <w:rsid w:val="00CC6483"/>
    <w:rsid w:val="00CC6548"/>
    <w:rsid w:val="00CC720F"/>
    <w:rsid w:val="00CC7BDF"/>
    <w:rsid w:val="00CD08C2"/>
    <w:rsid w:val="00CD0D2D"/>
    <w:rsid w:val="00CD0E19"/>
    <w:rsid w:val="00CD19B0"/>
    <w:rsid w:val="00CD1B92"/>
    <w:rsid w:val="00CD1DF5"/>
    <w:rsid w:val="00CD3C2A"/>
    <w:rsid w:val="00CD4E21"/>
    <w:rsid w:val="00CD4ED7"/>
    <w:rsid w:val="00CD50ED"/>
    <w:rsid w:val="00CD67AF"/>
    <w:rsid w:val="00CD68B6"/>
    <w:rsid w:val="00CD68E8"/>
    <w:rsid w:val="00CD6D2A"/>
    <w:rsid w:val="00CD704E"/>
    <w:rsid w:val="00CD78D2"/>
    <w:rsid w:val="00CD7DAE"/>
    <w:rsid w:val="00CE0555"/>
    <w:rsid w:val="00CE1E35"/>
    <w:rsid w:val="00CE3665"/>
    <w:rsid w:val="00CE3779"/>
    <w:rsid w:val="00CE7288"/>
    <w:rsid w:val="00CE7BA0"/>
    <w:rsid w:val="00CF330E"/>
    <w:rsid w:val="00CF3BB2"/>
    <w:rsid w:val="00CF4067"/>
    <w:rsid w:val="00CF524B"/>
    <w:rsid w:val="00CF6376"/>
    <w:rsid w:val="00CF7092"/>
    <w:rsid w:val="00CF71F5"/>
    <w:rsid w:val="00CF7A0B"/>
    <w:rsid w:val="00D006B2"/>
    <w:rsid w:val="00D00EC9"/>
    <w:rsid w:val="00D01668"/>
    <w:rsid w:val="00D01DDD"/>
    <w:rsid w:val="00D035B4"/>
    <w:rsid w:val="00D03B8E"/>
    <w:rsid w:val="00D049E2"/>
    <w:rsid w:val="00D0559F"/>
    <w:rsid w:val="00D07B7E"/>
    <w:rsid w:val="00D07BEB"/>
    <w:rsid w:val="00D1133A"/>
    <w:rsid w:val="00D115F7"/>
    <w:rsid w:val="00D129D5"/>
    <w:rsid w:val="00D12B01"/>
    <w:rsid w:val="00D13BDB"/>
    <w:rsid w:val="00D166B9"/>
    <w:rsid w:val="00D17503"/>
    <w:rsid w:val="00D201E1"/>
    <w:rsid w:val="00D20542"/>
    <w:rsid w:val="00D20A05"/>
    <w:rsid w:val="00D22281"/>
    <w:rsid w:val="00D2293C"/>
    <w:rsid w:val="00D23CFF"/>
    <w:rsid w:val="00D243AD"/>
    <w:rsid w:val="00D24B37"/>
    <w:rsid w:val="00D26EED"/>
    <w:rsid w:val="00D26F17"/>
    <w:rsid w:val="00D271E3"/>
    <w:rsid w:val="00D27A36"/>
    <w:rsid w:val="00D31408"/>
    <w:rsid w:val="00D31634"/>
    <w:rsid w:val="00D329EC"/>
    <w:rsid w:val="00D32BCC"/>
    <w:rsid w:val="00D32C07"/>
    <w:rsid w:val="00D34E1B"/>
    <w:rsid w:val="00D36B28"/>
    <w:rsid w:val="00D36B5F"/>
    <w:rsid w:val="00D373AD"/>
    <w:rsid w:val="00D37660"/>
    <w:rsid w:val="00D40852"/>
    <w:rsid w:val="00D42ED0"/>
    <w:rsid w:val="00D4307D"/>
    <w:rsid w:val="00D43101"/>
    <w:rsid w:val="00D4554C"/>
    <w:rsid w:val="00D45811"/>
    <w:rsid w:val="00D45DF7"/>
    <w:rsid w:val="00D46DB4"/>
    <w:rsid w:val="00D471CE"/>
    <w:rsid w:val="00D47683"/>
    <w:rsid w:val="00D47924"/>
    <w:rsid w:val="00D47A59"/>
    <w:rsid w:val="00D513D2"/>
    <w:rsid w:val="00D518E7"/>
    <w:rsid w:val="00D51C2B"/>
    <w:rsid w:val="00D51CA4"/>
    <w:rsid w:val="00D52522"/>
    <w:rsid w:val="00D5432E"/>
    <w:rsid w:val="00D5452E"/>
    <w:rsid w:val="00D56418"/>
    <w:rsid w:val="00D573AA"/>
    <w:rsid w:val="00D57729"/>
    <w:rsid w:val="00D61374"/>
    <w:rsid w:val="00D61CDC"/>
    <w:rsid w:val="00D61E7F"/>
    <w:rsid w:val="00D62389"/>
    <w:rsid w:val="00D62E71"/>
    <w:rsid w:val="00D63FDB"/>
    <w:rsid w:val="00D64F98"/>
    <w:rsid w:val="00D65C65"/>
    <w:rsid w:val="00D67B93"/>
    <w:rsid w:val="00D70637"/>
    <w:rsid w:val="00D70963"/>
    <w:rsid w:val="00D7112D"/>
    <w:rsid w:val="00D71200"/>
    <w:rsid w:val="00D71FEF"/>
    <w:rsid w:val="00D72036"/>
    <w:rsid w:val="00D728D5"/>
    <w:rsid w:val="00D73AB6"/>
    <w:rsid w:val="00D7435E"/>
    <w:rsid w:val="00D74369"/>
    <w:rsid w:val="00D74503"/>
    <w:rsid w:val="00D745DE"/>
    <w:rsid w:val="00D7469F"/>
    <w:rsid w:val="00D75BC2"/>
    <w:rsid w:val="00D75FB1"/>
    <w:rsid w:val="00D763BA"/>
    <w:rsid w:val="00D769AC"/>
    <w:rsid w:val="00D77508"/>
    <w:rsid w:val="00D77838"/>
    <w:rsid w:val="00D802F9"/>
    <w:rsid w:val="00D8138A"/>
    <w:rsid w:val="00D83563"/>
    <w:rsid w:val="00D83B6C"/>
    <w:rsid w:val="00D85555"/>
    <w:rsid w:val="00D85571"/>
    <w:rsid w:val="00D868D2"/>
    <w:rsid w:val="00D909FF"/>
    <w:rsid w:val="00D920CF"/>
    <w:rsid w:val="00D93957"/>
    <w:rsid w:val="00D94E0A"/>
    <w:rsid w:val="00D94F85"/>
    <w:rsid w:val="00D95E93"/>
    <w:rsid w:val="00D9638D"/>
    <w:rsid w:val="00D96435"/>
    <w:rsid w:val="00D97892"/>
    <w:rsid w:val="00D97A72"/>
    <w:rsid w:val="00DA12F6"/>
    <w:rsid w:val="00DA216B"/>
    <w:rsid w:val="00DA23DB"/>
    <w:rsid w:val="00DA2D27"/>
    <w:rsid w:val="00DA305A"/>
    <w:rsid w:val="00DA3A10"/>
    <w:rsid w:val="00DA3C39"/>
    <w:rsid w:val="00DA3D33"/>
    <w:rsid w:val="00DA3D5D"/>
    <w:rsid w:val="00DA3F18"/>
    <w:rsid w:val="00DA46AE"/>
    <w:rsid w:val="00DA77ED"/>
    <w:rsid w:val="00DA7DF2"/>
    <w:rsid w:val="00DB15B7"/>
    <w:rsid w:val="00DB2470"/>
    <w:rsid w:val="00DB59E5"/>
    <w:rsid w:val="00DB6243"/>
    <w:rsid w:val="00DB663F"/>
    <w:rsid w:val="00DB6F05"/>
    <w:rsid w:val="00DC12DA"/>
    <w:rsid w:val="00DC145F"/>
    <w:rsid w:val="00DC176E"/>
    <w:rsid w:val="00DC212E"/>
    <w:rsid w:val="00DC3308"/>
    <w:rsid w:val="00DC454A"/>
    <w:rsid w:val="00DC57E3"/>
    <w:rsid w:val="00DC68F6"/>
    <w:rsid w:val="00DC69F3"/>
    <w:rsid w:val="00DC7DA9"/>
    <w:rsid w:val="00DD0405"/>
    <w:rsid w:val="00DD10F4"/>
    <w:rsid w:val="00DD22A6"/>
    <w:rsid w:val="00DD249E"/>
    <w:rsid w:val="00DD326B"/>
    <w:rsid w:val="00DD35B6"/>
    <w:rsid w:val="00DD53C1"/>
    <w:rsid w:val="00DD5432"/>
    <w:rsid w:val="00DD7CDF"/>
    <w:rsid w:val="00DE0620"/>
    <w:rsid w:val="00DE0785"/>
    <w:rsid w:val="00DE1005"/>
    <w:rsid w:val="00DE1185"/>
    <w:rsid w:val="00DE2526"/>
    <w:rsid w:val="00DE2853"/>
    <w:rsid w:val="00DE3210"/>
    <w:rsid w:val="00DE4241"/>
    <w:rsid w:val="00DE43D0"/>
    <w:rsid w:val="00DE4804"/>
    <w:rsid w:val="00DE4FFC"/>
    <w:rsid w:val="00DE5BFE"/>
    <w:rsid w:val="00DE5DEF"/>
    <w:rsid w:val="00DE699A"/>
    <w:rsid w:val="00DE7593"/>
    <w:rsid w:val="00DF069B"/>
    <w:rsid w:val="00DF2E3A"/>
    <w:rsid w:val="00DF30C5"/>
    <w:rsid w:val="00DF38E3"/>
    <w:rsid w:val="00DF642D"/>
    <w:rsid w:val="00DF6730"/>
    <w:rsid w:val="00DF68EA"/>
    <w:rsid w:val="00DF6B85"/>
    <w:rsid w:val="00DF6C0E"/>
    <w:rsid w:val="00DF6F86"/>
    <w:rsid w:val="00E00269"/>
    <w:rsid w:val="00E00B0B"/>
    <w:rsid w:val="00E00BB8"/>
    <w:rsid w:val="00E00DD8"/>
    <w:rsid w:val="00E02F0F"/>
    <w:rsid w:val="00E03206"/>
    <w:rsid w:val="00E06F0F"/>
    <w:rsid w:val="00E07EFA"/>
    <w:rsid w:val="00E10B96"/>
    <w:rsid w:val="00E10D37"/>
    <w:rsid w:val="00E114DC"/>
    <w:rsid w:val="00E11C2E"/>
    <w:rsid w:val="00E11F38"/>
    <w:rsid w:val="00E12082"/>
    <w:rsid w:val="00E125CD"/>
    <w:rsid w:val="00E1264C"/>
    <w:rsid w:val="00E128CC"/>
    <w:rsid w:val="00E14380"/>
    <w:rsid w:val="00E167DC"/>
    <w:rsid w:val="00E173C5"/>
    <w:rsid w:val="00E201AD"/>
    <w:rsid w:val="00E243FE"/>
    <w:rsid w:val="00E2520C"/>
    <w:rsid w:val="00E25BB6"/>
    <w:rsid w:val="00E25FCE"/>
    <w:rsid w:val="00E277EB"/>
    <w:rsid w:val="00E303DD"/>
    <w:rsid w:val="00E305AF"/>
    <w:rsid w:val="00E30691"/>
    <w:rsid w:val="00E31C73"/>
    <w:rsid w:val="00E3224F"/>
    <w:rsid w:val="00E32B8B"/>
    <w:rsid w:val="00E33111"/>
    <w:rsid w:val="00E3328C"/>
    <w:rsid w:val="00E33441"/>
    <w:rsid w:val="00E3431D"/>
    <w:rsid w:val="00E34606"/>
    <w:rsid w:val="00E34EE1"/>
    <w:rsid w:val="00E35D76"/>
    <w:rsid w:val="00E370A8"/>
    <w:rsid w:val="00E37229"/>
    <w:rsid w:val="00E40009"/>
    <w:rsid w:val="00E4068E"/>
    <w:rsid w:val="00E411D6"/>
    <w:rsid w:val="00E41407"/>
    <w:rsid w:val="00E41A7B"/>
    <w:rsid w:val="00E430DF"/>
    <w:rsid w:val="00E43B9D"/>
    <w:rsid w:val="00E4463E"/>
    <w:rsid w:val="00E44B0D"/>
    <w:rsid w:val="00E44DE7"/>
    <w:rsid w:val="00E45B03"/>
    <w:rsid w:val="00E46CD0"/>
    <w:rsid w:val="00E50A58"/>
    <w:rsid w:val="00E50F80"/>
    <w:rsid w:val="00E513DA"/>
    <w:rsid w:val="00E51B66"/>
    <w:rsid w:val="00E524A0"/>
    <w:rsid w:val="00E5432F"/>
    <w:rsid w:val="00E54CE7"/>
    <w:rsid w:val="00E558E0"/>
    <w:rsid w:val="00E6087F"/>
    <w:rsid w:val="00E61DB1"/>
    <w:rsid w:val="00E6255C"/>
    <w:rsid w:val="00E62D0B"/>
    <w:rsid w:val="00E63081"/>
    <w:rsid w:val="00E647AF"/>
    <w:rsid w:val="00E647F4"/>
    <w:rsid w:val="00E65015"/>
    <w:rsid w:val="00E65168"/>
    <w:rsid w:val="00E6628E"/>
    <w:rsid w:val="00E66F25"/>
    <w:rsid w:val="00E675B9"/>
    <w:rsid w:val="00E679B6"/>
    <w:rsid w:val="00E70988"/>
    <w:rsid w:val="00E7107C"/>
    <w:rsid w:val="00E720E8"/>
    <w:rsid w:val="00E72569"/>
    <w:rsid w:val="00E729CB"/>
    <w:rsid w:val="00E733E4"/>
    <w:rsid w:val="00E73A70"/>
    <w:rsid w:val="00E7543A"/>
    <w:rsid w:val="00E755D7"/>
    <w:rsid w:val="00E77E22"/>
    <w:rsid w:val="00E81295"/>
    <w:rsid w:val="00E82617"/>
    <w:rsid w:val="00E83253"/>
    <w:rsid w:val="00E834E2"/>
    <w:rsid w:val="00E840BF"/>
    <w:rsid w:val="00E8619D"/>
    <w:rsid w:val="00E8759C"/>
    <w:rsid w:val="00E8796F"/>
    <w:rsid w:val="00E902B2"/>
    <w:rsid w:val="00E9105A"/>
    <w:rsid w:val="00E91702"/>
    <w:rsid w:val="00E92FF7"/>
    <w:rsid w:val="00E941FE"/>
    <w:rsid w:val="00E94BCF"/>
    <w:rsid w:val="00E954CA"/>
    <w:rsid w:val="00E956C9"/>
    <w:rsid w:val="00E960A6"/>
    <w:rsid w:val="00E96792"/>
    <w:rsid w:val="00E97579"/>
    <w:rsid w:val="00EA010A"/>
    <w:rsid w:val="00EA054E"/>
    <w:rsid w:val="00EA1DA7"/>
    <w:rsid w:val="00EA25A2"/>
    <w:rsid w:val="00EA2E8A"/>
    <w:rsid w:val="00EA318F"/>
    <w:rsid w:val="00EA3798"/>
    <w:rsid w:val="00EA60B1"/>
    <w:rsid w:val="00EA64D4"/>
    <w:rsid w:val="00EB2267"/>
    <w:rsid w:val="00EB39D6"/>
    <w:rsid w:val="00EB3E3E"/>
    <w:rsid w:val="00EB4875"/>
    <w:rsid w:val="00EB4A1F"/>
    <w:rsid w:val="00EB4B5A"/>
    <w:rsid w:val="00EB6897"/>
    <w:rsid w:val="00EC02A2"/>
    <w:rsid w:val="00EC1E2A"/>
    <w:rsid w:val="00EC27F9"/>
    <w:rsid w:val="00EC2C10"/>
    <w:rsid w:val="00EC3D9B"/>
    <w:rsid w:val="00EC40B5"/>
    <w:rsid w:val="00EC4DDB"/>
    <w:rsid w:val="00EC4F37"/>
    <w:rsid w:val="00EC4F46"/>
    <w:rsid w:val="00EC5A20"/>
    <w:rsid w:val="00EC5B6D"/>
    <w:rsid w:val="00EC6876"/>
    <w:rsid w:val="00EC6CF6"/>
    <w:rsid w:val="00ED0D62"/>
    <w:rsid w:val="00ED12C1"/>
    <w:rsid w:val="00ED1901"/>
    <w:rsid w:val="00ED1D4C"/>
    <w:rsid w:val="00ED238D"/>
    <w:rsid w:val="00ED4081"/>
    <w:rsid w:val="00ED4E2C"/>
    <w:rsid w:val="00ED52D9"/>
    <w:rsid w:val="00ED55CE"/>
    <w:rsid w:val="00ED59A7"/>
    <w:rsid w:val="00ED716D"/>
    <w:rsid w:val="00EE07D7"/>
    <w:rsid w:val="00EE163F"/>
    <w:rsid w:val="00EE20AB"/>
    <w:rsid w:val="00EE334F"/>
    <w:rsid w:val="00EE48B0"/>
    <w:rsid w:val="00EE4ECD"/>
    <w:rsid w:val="00EE4F7E"/>
    <w:rsid w:val="00EE5DC4"/>
    <w:rsid w:val="00EE5E7F"/>
    <w:rsid w:val="00EE6DBE"/>
    <w:rsid w:val="00EE7633"/>
    <w:rsid w:val="00EE76F5"/>
    <w:rsid w:val="00EF046A"/>
    <w:rsid w:val="00EF08FA"/>
    <w:rsid w:val="00EF0AE3"/>
    <w:rsid w:val="00EF184B"/>
    <w:rsid w:val="00EF2F2A"/>
    <w:rsid w:val="00EF3B98"/>
    <w:rsid w:val="00EF41B0"/>
    <w:rsid w:val="00EF4681"/>
    <w:rsid w:val="00EF4CC7"/>
    <w:rsid w:val="00EF59B0"/>
    <w:rsid w:val="00EF6412"/>
    <w:rsid w:val="00EF763A"/>
    <w:rsid w:val="00EF7E1C"/>
    <w:rsid w:val="00F00A5E"/>
    <w:rsid w:val="00F02E74"/>
    <w:rsid w:val="00F0581D"/>
    <w:rsid w:val="00F05F80"/>
    <w:rsid w:val="00F0663F"/>
    <w:rsid w:val="00F06A21"/>
    <w:rsid w:val="00F06D45"/>
    <w:rsid w:val="00F07112"/>
    <w:rsid w:val="00F10E9B"/>
    <w:rsid w:val="00F1174B"/>
    <w:rsid w:val="00F11772"/>
    <w:rsid w:val="00F14345"/>
    <w:rsid w:val="00F156C6"/>
    <w:rsid w:val="00F17DF8"/>
    <w:rsid w:val="00F17ED6"/>
    <w:rsid w:val="00F2026E"/>
    <w:rsid w:val="00F210A1"/>
    <w:rsid w:val="00F215AE"/>
    <w:rsid w:val="00F220DC"/>
    <w:rsid w:val="00F23211"/>
    <w:rsid w:val="00F23FCA"/>
    <w:rsid w:val="00F242B4"/>
    <w:rsid w:val="00F259EF"/>
    <w:rsid w:val="00F26DCC"/>
    <w:rsid w:val="00F27796"/>
    <w:rsid w:val="00F30084"/>
    <w:rsid w:val="00F309CA"/>
    <w:rsid w:val="00F313CD"/>
    <w:rsid w:val="00F31BF0"/>
    <w:rsid w:val="00F32C10"/>
    <w:rsid w:val="00F35953"/>
    <w:rsid w:val="00F36260"/>
    <w:rsid w:val="00F36672"/>
    <w:rsid w:val="00F37616"/>
    <w:rsid w:val="00F37A70"/>
    <w:rsid w:val="00F37C18"/>
    <w:rsid w:val="00F4027D"/>
    <w:rsid w:val="00F40A6C"/>
    <w:rsid w:val="00F40C80"/>
    <w:rsid w:val="00F4149C"/>
    <w:rsid w:val="00F42652"/>
    <w:rsid w:val="00F42C9A"/>
    <w:rsid w:val="00F44A2F"/>
    <w:rsid w:val="00F450E6"/>
    <w:rsid w:val="00F47A9B"/>
    <w:rsid w:val="00F5017E"/>
    <w:rsid w:val="00F5080E"/>
    <w:rsid w:val="00F52662"/>
    <w:rsid w:val="00F5331F"/>
    <w:rsid w:val="00F53C17"/>
    <w:rsid w:val="00F5650D"/>
    <w:rsid w:val="00F56C05"/>
    <w:rsid w:val="00F57AEB"/>
    <w:rsid w:val="00F609B4"/>
    <w:rsid w:val="00F60B48"/>
    <w:rsid w:val="00F60D7B"/>
    <w:rsid w:val="00F621CE"/>
    <w:rsid w:val="00F634C7"/>
    <w:rsid w:val="00F65CBE"/>
    <w:rsid w:val="00F65D97"/>
    <w:rsid w:val="00F67AB5"/>
    <w:rsid w:val="00F7040E"/>
    <w:rsid w:val="00F71546"/>
    <w:rsid w:val="00F71F08"/>
    <w:rsid w:val="00F723F8"/>
    <w:rsid w:val="00F73679"/>
    <w:rsid w:val="00F752E8"/>
    <w:rsid w:val="00F75BC7"/>
    <w:rsid w:val="00F75C84"/>
    <w:rsid w:val="00F76499"/>
    <w:rsid w:val="00F76DCA"/>
    <w:rsid w:val="00F80582"/>
    <w:rsid w:val="00F82B62"/>
    <w:rsid w:val="00F83397"/>
    <w:rsid w:val="00F834F0"/>
    <w:rsid w:val="00F84FBA"/>
    <w:rsid w:val="00F856D2"/>
    <w:rsid w:val="00F85D39"/>
    <w:rsid w:val="00F86060"/>
    <w:rsid w:val="00F8690C"/>
    <w:rsid w:val="00F90614"/>
    <w:rsid w:val="00F912A5"/>
    <w:rsid w:val="00F913F4"/>
    <w:rsid w:val="00F91FB0"/>
    <w:rsid w:val="00F92A46"/>
    <w:rsid w:val="00F92A68"/>
    <w:rsid w:val="00F946A7"/>
    <w:rsid w:val="00F94EA4"/>
    <w:rsid w:val="00F9569A"/>
    <w:rsid w:val="00F956B1"/>
    <w:rsid w:val="00F95F63"/>
    <w:rsid w:val="00F96FA2"/>
    <w:rsid w:val="00F97EA6"/>
    <w:rsid w:val="00FA0487"/>
    <w:rsid w:val="00FA06B3"/>
    <w:rsid w:val="00FA0A4A"/>
    <w:rsid w:val="00FA2313"/>
    <w:rsid w:val="00FA2DE8"/>
    <w:rsid w:val="00FA312C"/>
    <w:rsid w:val="00FA3944"/>
    <w:rsid w:val="00FA3FCC"/>
    <w:rsid w:val="00FA44A9"/>
    <w:rsid w:val="00FA55C0"/>
    <w:rsid w:val="00FA59DD"/>
    <w:rsid w:val="00FA5E5B"/>
    <w:rsid w:val="00FA6242"/>
    <w:rsid w:val="00FA689A"/>
    <w:rsid w:val="00FA6D24"/>
    <w:rsid w:val="00FA73FF"/>
    <w:rsid w:val="00FB02B7"/>
    <w:rsid w:val="00FB10B8"/>
    <w:rsid w:val="00FB1991"/>
    <w:rsid w:val="00FB1E05"/>
    <w:rsid w:val="00FB2013"/>
    <w:rsid w:val="00FB26D3"/>
    <w:rsid w:val="00FB4609"/>
    <w:rsid w:val="00FB4C7F"/>
    <w:rsid w:val="00FB5750"/>
    <w:rsid w:val="00FB5864"/>
    <w:rsid w:val="00FB5A30"/>
    <w:rsid w:val="00FB6542"/>
    <w:rsid w:val="00FB6AAB"/>
    <w:rsid w:val="00FB7D19"/>
    <w:rsid w:val="00FC0757"/>
    <w:rsid w:val="00FC192C"/>
    <w:rsid w:val="00FC1A0E"/>
    <w:rsid w:val="00FC25C2"/>
    <w:rsid w:val="00FC4CAA"/>
    <w:rsid w:val="00FC5B48"/>
    <w:rsid w:val="00FC6470"/>
    <w:rsid w:val="00FC70B9"/>
    <w:rsid w:val="00FC7BE2"/>
    <w:rsid w:val="00FD01C4"/>
    <w:rsid w:val="00FD164D"/>
    <w:rsid w:val="00FD2121"/>
    <w:rsid w:val="00FD278F"/>
    <w:rsid w:val="00FD2C69"/>
    <w:rsid w:val="00FD3F70"/>
    <w:rsid w:val="00FD3F7B"/>
    <w:rsid w:val="00FD6814"/>
    <w:rsid w:val="00FD6F48"/>
    <w:rsid w:val="00FD70BB"/>
    <w:rsid w:val="00FD75D8"/>
    <w:rsid w:val="00FD7BB3"/>
    <w:rsid w:val="00FE0A6D"/>
    <w:rsid w:val="00FE0D14"/>
    <w:rsid w:val="00FE209B"/>
    <w:rsid w:val="00FE215E"/>
    <w:rsid w:val="00FE3FFE"/>
    <w:rsid w:val="00FE418E"/>
    <w:rsid w:val="00FE56EA"/>
    <w:rsid w:val="00FE7718"/>
    <w:rsid w:val="00FE7A00"/>
    <w:rsid w:val="00FF0B69"/>
    <w:rsid w:val="00FF2507"/>
    <w:rsid w:val="00FF304C"/>
    <w:rsid w:val="00FF3867"/>
    <w:rsid w:val="00FF3CB3"/>
    <w:rsid w:val="00FF53E6"/>
    <w:rsid w:val="00FF586D"/>
    <w:rsid w:val="00FF615D"/>
    <w:rsid w:val="00FF74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CD744"/>
  <w15:docId w15:val="{94876C69-A2F2-4E46-8939-36BFE65C6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50F80"/>
    <w:pPr>
      <w:spacing w:after="160" w:line="360" w:lineRule="auto"/>
      <w:jc w:val="both"/>
    </w:pPr>
    <w:rPr>
      <w:rFonts w:ascii="Arial" w:eastAsiaTheme="minorHAnsi" w:hAnsi="Arial" w:cstheme="minorBidi"/>
      <w:noProof/>
      <w:sz w:val="28"/>
      <w:szCs w:val="22"/>
      <w:lang w:eastAsia="en-US"/>
    </w:rPr>
  </w:style>
  <w:style w:type="paragraph" w:styleId="berschrift1">
    <w:name w:val="heading 1"/>
    <w:basedOn w:val="Standard"/>
    <w:next w:val="text"/>
    <w:qFormat/>
    <w:rsid w:val="00902AB9"/>
    <w:pPr>
      <w:keepNext/>
      <w:numPr>
        <w:numId w:val="21"/>
      </w:numPr>
      <w:spacing w:before="240" w:after="240" w:line="260" w:lineRule="exact"/>
      <w:jc w:val="center"/>
      <w:outlineLvl w:val="0"/>
    </w:pPr>
    <w:rPr>
      <w:rFonts w:cs="Times New Roman"/>
      <w:szCs w:val="20"/>
    </w:rPr>
  </w:style>
  <w:style w:type="paragraph" w:styleId="berschrift2">
    <w:name w:val="heading 2"/>
    <w:basedOn w:val="Standard"/>
    <w:next w:val="text"/>
    <w:qFormat/>
    <w:rsid w:val="00875917"/>
    <w:pPr>
      <w:keepNext/>
      <w:numPr>
        <w:ilvl w:val="1"/>
        <w:numId w:val="13"/>
      </w:numPr>
      <w:spacing w:before="240" w:after="240" w:line="260" w:lineRule="exact"/>
      <w:ind w:left="0"/>
      <w:jc w:val="center"/>
      <w:outlineLvl w:val="1"/>
    </w:pPr>
    <w:rPr>
      <w:rFonts w:cs="Times New Roman"/>
      <w:szCs w:val="20"/>
    </w:rPr>
  </w:style>
  <w:style w:type="paragraph" w:styleId="berschrift3">
    <w:name w:val="heading 3"/>
    <w:basedOn w:val="Standard"/>
    <w:next w:val="text"/>
    <w:qFormat/>
    <w:rsid w:val="00EA1DA7"/>
    <w:pPr>
      <w:keepNext/>
      <w:numPr>
        <w:ilvl w:val="2"/>
        <w:numId w:val="21"/>
      </w:numPr>
      <w:spacing w:before="240" w:after="240" w:line="260" w:lineRule="exact"/>
      <w:ind w:left="567"/>
      <w:outlineLvl w:val="2"/>
    </w:pPr>
    <w:rPr>
      <w:rFonts w:cs="Times New Roman"/>
      <w:szCs w:val="20"/>
    </w:rPr>
  </w:style>
  <w:style w:type="paragraph" w:styleId="berschrift4">
    <w:name w:val="heading 4"/>
    <w:basedOn w:val="Standard"/>
    <w:next w:val="text"/>
    <w:qFormat/>
    <w:rsid w:val="00902AB9"/>
    <w:pPr>
      <w:keepNext/>
      <w:numPr>
        <w:ilvl w:val="3"/>
        <w:numId w:val="21"/>
      </w:numPr>
      <w:spacing w:before="240" w:after="240" w:line="260" w:lineRule="exact"/>
      <w:outlineLvl w:val="3"/>
    </w:pPr>
    <w:rPr>
      <w:rFonts w:cs="Times New Roman"/>
      <w:szCs w:val="20"/>
    </w:rPr>
  </w:style>
  <w:style w:type="paragraph" w:styleId="berschrift5">
    <w:name w:val="heading 5"/>
    <w:basedOn w:val="Standard"/>
    <w:next w:val="text"/>
    <w:qFormat/>
    <w:rsid w:val="00902AB9"/>
    <w:pPr>
      <w:keepNext/>
      <w:numPr>
        <w:ilvl w:val="4"/>
        <w:numId w:val="21"/>
      </w:numPr>
      <w:spacing w:before="240" w:after="240" w:line="260" w:lineRule="exact"/>
      <w:outlineLvl w:val="4"/>
    </w:pPr>
    <w:rPr>
      <w:rFonts w:cs="Times New Roman"/>
      <w:szCs w:val="20"/>
    </w:rPr>
  </w:style>
  <w:style w:type="paragraph" w:styleId="berschrift6">
    <w:name w:val="heading 6"/>
    <w:basedOn w:val="Standard"/>
    <w:next w:val="text"/>
    <w:qFormat/>
    <w:rsid w:val="00902AB9"/>
    <w:pPr>
      <w:keepNext/>
      <w:numPr>
        <w:ilvl w:val="5"/>
        <w:numId w:val="21"/>
      </w:numPr>
      <w:spacing w:before="240" w:after="240" w:line="260" w:lineRule="exact"/>
      <w:outlineLvl w:val="5"/>
    </w:pPr>
    <w:rPr>
      <w:rFonts w:cs="Times New Roman"/>
      <w:szCs w:val="20"/>
    </w:rPr>
  </w:style>
  <w:style w:type="paragraph" w:styleId="berschrift7">
    <w:name w:val="heading 7"/>
    <w:basedOn w:val="Standard"/>
    <w:next w:val="text"/>
    <w:qFormat/>
    <w:rsid w:val="00902AB9"/>
    <w:pPr>
      <w:keepNext/>
      <w:numPr>
        <w:ilvl w:val="6"/>
        <w:numId w:val="21"/>
      </w:numPr>
      <w:spacing w:before="240" w:after="240" w:line="260" w:lineRule="exact"/>
      <w:outlineLvl w:val="6"/>
    </w:pPr>
    <w:rPr>
      <w:rFonts w:cs="Times New Roman"/>
      <w:szCs w:val="20"/>
    </w:rPr>
  </w:style>
  <w:style w:type="paragraph" w:styleId="berschrift8">
    <w:name w:val="heading 8"/>
    <w:basedOn w:val="Standard"/>
    <w:next w:val="text"/>
    <w:qFormat/>
    <w:rsid w:val="00902AB9"/>
    <w:pPr>
      <w:keepNext/>
      <w:numPr>
        <w:ilvl w:val="7"/>
        <w:numId w:val="21"/>
      </w:numPr>
      <w:spacing w:before="240" w:after="240" w:line="260" w:lineRule="exact"/>
      <w:outlineLvl w:val="7"/>
    </w:pPr>
    <w:rPr>
      <w:rFonts w:cs="Times New Roman"/>
      <w:szCs w:val="20"/>
    </w:rPr>
  </w:style>
  <w:style w:type="paragraph" w:styleId="berschrift9">
    <w:name w:val="heading 9"/>
    <w:basedOn w:val="Standard"/>
    <w:next w:val="text"/>
    <w:qFormat/>
    <w:rsid w:val="00902AB9"/>
    <w:pPr>
      <w:keepNext/>
      <w:numPr>
        <w:ilvl w:val="8"/>
        <w:numId w:val="21"/>
      </w:numPr>
      <w:spacing w:before="240" w:after="240" w:line="260" w:lineRule="exact"/>
      <w:outlineLvl w:val="8"/>
    </w:pPr>
    <w:rPr>
      <w:rFonts w:cs="Times New Roman"/>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sid w:val="00BE75FC"/>
    <w:pPr>
      <w:spacing w:after="360" w:line="360" w:lineRule="exact"/>
      <w:ind w:firstLine="425"/>
    </w:pPr>
  </w:style>
  <w:style w:type="paragraph" w:styleId="Kopfzeile">
    <w:name w:val="header"/>
    <w:basedOn w:val="Standard"/>
    <w:rsid w:val="00060F66"/>
    <w:pPr>
      <w:tabs>
        <w:tab w:val="center" w:pos="4819"/>
        <w:tab w:val="right" w:pos="9071"/>
      </w:tabs>
    </w:pPr>
  </w:style>
  <w:style w:type="character" w:styleId="Funotenzeichen">
    <w:name w:val="footnote reference"/>
    <w:semiHidden/>
    <w:rsid w:val="00BE75FC"/>
    <w:rPr>
      <w:vertAlign w:val="superscript"/>
    </w:rPr>
  </w:style>
  <w:style w:type="paragraph" w:styleId="Funotentext">
    <w:name w:val="footnote text"/>
    <w:basedOn w:val="Standard"/>
    <w:semiHidden/>
    <w:rsid w:val="00BE75FC"/>
    <w:pPr>
      <w:tabs>
        <w:tab w:val="left" w:pos="425"/>
      </w:tabs>
      <w:spacing w:after="60"/>
      <w:ind w:left="425" w:hanging="425"/>
    </w:pPr>
    <w:rPr>
      <w:sz w:val="20"/>
    </w:rPr>
  </w:style>
  <w:style w:type="paragraph" w:styleId="Fuzeile">
    <w:name w:val="footer"/>
    <w:basedOn w:val="Standard"/>
    <w:rsid w:val="00BE75FC"/>
    <w:pPr>
      <w:tabs>
        <w:tab w:val="center" w:pos="4536"/>
        <w:tab w:val="right" w:pos="9072"/>
      </w:tabs>
    </w:pPr>
  </w:style>
  <w:style w:type="paragraph" w:customStyle="1" w:styleId="tenor1">
    <w:name w:val="tenor 1"/>
    <w:basedOn w:val="tenor"/>
    <w:rsid w:val="00BE75FC"/>
    <w:pPr>
      <w:ind w:left="1276" w:hanging="425"/>
    </w:pPr>
  </w:style>
  <w:style w:type="paragraph" w:customStyle="1" w:styleId="TextLeitsatz">
    <w:name w:val="Text_Leitsatz"/>
    <w:basedOn w:val="Standard"/>
    <w:rsid w:val="001C753B"/>
    <w:pPr>
      <w:spacing w:after="360" w:line="360" w:lineRule="exact"/>
    </w:pPr>
    <w:rPr>
      <w:rFonts w:cs="Times New Roman"/>
    </w:rPr>
  </w:style>
  <w:style w:type="paragraph" w:customStyle="1" w:styleId="bvg">
    <w:name w:val="bvg"/>
    <w:basedOn w:val="Standard"/>
    <w:rsid w:val="00BE75FC"/>
    <w:pPr>
      <w:tabs>
        <w:tab w:val="center" w:pos="1701"/>
        <w:tab w:val="right" w:pos="9073"/>
      </w:tabs>
      <w:spacing w:after="20"/>
    </w:pPr>
    <w:rPr>
      <w:b/>
    </w:rPr>
  </w:style>
  <w:style w:type="paragraph" w:customStyle="1" w:styleId="tenor">
    <w:name w:val="tenor"/>
    <w:basedOn w:val="Standard"/>
    <w:rsid w:val="00BE75FC"/>
    <w:pPr>
      <w:spacing w:after="360" w:line="360" w:lineRule="exact"/>
      <w:ind w:left="851" w:right="1701"/>
    </w:pPr>
    <w:rPr>
      <w:rFonts w:cs="Times New Roman"/>
      <w:szCs w:val="20"/>
    </w:rPr>
  </w:style>
  <w:style w:type="table" w:styleId="Tabellenraster">
    <w:name w:val="Table Grid"/>
    <w:basedOn w:val="NormaleTabelle"/>
    <w:rsid w:val="00BE75FC"/>
    <w:rPr>
      <w:rFonts w:ascii="Arial" w:hAnsi="Arial"/>
      <w:sz w:val="24"/>
    </w:rPr>
    <w:tblPr/>
  </w:style>
  <w:style w:type="paragraph" w:styleId="Sprechblasentext">
    <w:name w:val="Balloon Text"/>
    <w:basedOn w:val="Standard"/>
    <w:semiHidden/>
    <w:rsid w:val="00BE75FC"/>
    <w:rPr>
      <w:rFonts w:ascii="Tahoma" w:hAnsi="Tahoma" w:cs="Tahoma"/>
      <w:sz w:val="16"/>
      <w:szCs w:val="16"/>
    </w:rPr>
  </w:style>
  <w:style w:type="paragraph" w:styleId="Zitat">
    <w:name w:val="Quote"/>
    <w:basedOn w:val="text"/>
    <w:qFormat/>
    <w:rsid w:val="00BE75FC"/>
    <w:pPr>
      <w:spacing w:line="240" w:lineRule="auto"/>
      <w:ind w:left="709" w:right="709" w:firstLine="0"/>
    </w:pPr>
  </w:style>
  <w:style w:type="paragraph" w:customStyle="1" w:styleId="Zitat1">
    <w:name w:val="Zitat 1"/>
    <w:basedOn w:val="Zitat"/>
    <w:rsid w:val="00BE75FC"/>
    <w:pPr>
      <w:ind w:left="1134" w:hanging="425"/>
    </w:pPr>
  </w:style>
  <w:style w:type="paragraph" w:customStyle="1" w:styleId="Zitat2">
    <w:name w:val="Zitat 2"/>
    <w:basedOn w:val="Zitat"/>
    <w:rsid w:val="00BE75FC"/>
    <w:pPr>
      <w:ind w:firstLine="425"/>
    </w:pPr>
  </w:style>
  <w:style w:type="paragraph" w:customStyle="1" w:styleId="Zitat3">
    <w:name w:val="Zitat 3"/>
    <w:basedOn w:val="Zitat"/>
    <w:rsid w:val="00BE75FC"/>
    <w:pPr>
      <w:ind w:left="1559" w:hanging="425"/>
    </w:pPr>
  </w:style>
  <w:style w:type="paragraph" w:customStyle="1" w:styleId="text3">
    <w:name w:val="text 3"/>
    <w:basedOn w:val="text"/>
    <w:next w:val="text"/>
    <w:rsid w:val="00BE75FC"/>
    <w:pPr>
      <w:numPr>
        <w:ilvl w:val="2"/>
        <w:numId w:val="12"/>
      </w:numPr>
    </w:pPr>
  </w:style>
  <w:style w:type="paragraph" w:customStyle="1" w:styleId="text4">
    <w:name w:val="text 4"/>
    <w:basedOn w:val="text"/>
    <w:next w:val="text"/>
    <w:rsid w:val="00D94F85"/>
    <w:pPr>
      <w:numPr>
        <w:ilvl w:val="3"/>
        <w:numId w:val="12"/>
      </w:numPr>
    </w:pPr>
  </w:style>
  <w:style w:type="paragraph" w:customStyle="1" w:styleId="text5">
    <w:name w:val="text 5"/>
    <w:basedOn w:val="text"/>
    <w:next w:val="text"/>
    <w:rsid w:val="00BE75FC"/>
    <w:pPr>
      <w:numPr>
        <w:ilvl w:val="4"/>
        <w:numId w:val="12"/>
      </w:numPr>
    </w:pPr>
  </w:style>
  <w:style w:type="paragraph" w:customStyle="1" w:styleId="text6">
    <w:name w:val="text 6"/>
    <w:basedOn w:val="text"/>
    <w:next w:val="text"/>
    <w:rsid w:val="00BE75FC"/>
    <w:pPr>
      <w:numPr>
        <w:ilvl w:val="5"/>
        <w:numId w:val="12"/>
      </w:numPr>
    </w:pPr>
  </w:style>
  <w:style w:type="paragraph" w:customStyle="1" w:styleId="text7">
    <w:name w:val="text 7"/>
    <w:basedOn w:val="text"/>
    <w:next w:val="text"/>
    <w:rsid w:val="00BE75FC"/>
    <w:pPr>
      <w:numPr>
        <w:ilvl w:val="6"/>
        <w:numId w:val="12"/>
      </w:numPr>
    </w:pPr>
  </w:style>
  <w:style w:type="paragraph" w:customStyle="1" w:styleId="text8">
    <w:name w:val="text 8"/>
    <w:basedOn w:val="text"/>
    <w:next w:val="text"/>
    <w:rsid w:val="00BE75FC"/>
    <w:pPr>
      <w:numPr>
        <w:ilvl w:val="7"/>
        <w:numId w:val="12"/>
      </w:numPr>
    </w:pPr>
  </w:style>
  <w:style w:type="paragraph" w:customStyle="1" w:styleId="text9">
    <w:name w:val="text 9"/>
    <w:basedOn w:val="text"/>
    <w:next w:val="text"/>
    <w:rsid w:val="00BE75FC"/>
    <w:pPr>
      <w:numPr>
        <w:ilvl w:val="8"/>
        <w:numId w:val="12"/>
      </w:numPr>
    </w:pPr>
  </w:style>
  <w:style w:type="paragraph" w:customStyle="1" w:styleId="azoben">
    <w:name w:val="az_oben"/>
    <w:basedOn w:val="Standard"/>
    <w:rsid w:val="00BE75FC"/>
    <w:rPr>
      <w:b/>
    </w:rPr>
  </w:style>
  <w:style w:type="paragraph" w:styleId="Listenabsatz">
    <w:name w:val="List Paragraph"/>
    <w:basedOn w:val="Standard"/>
    <w:uiPriority w:val="34"/>
    <w:qFormat/>
    <w:rsid w:val="00AE0293"/>
    <w:pPr>
      <w:ind w:left="720"/>
      <w:contextualSpacing/>
    </w:pPr>
  </w:style>
  <w:style w:type="paragraph" w:customStyle="1" w:styleId="unterschrift">
    <w:name w:val="unterschrift"/>
    <w:basedOn w:val="Standard"/>
    <w:qFormat/>
    <w:rsid w:val="00E25BB6"/>
    <w:pPr>
      <w:keepNext/>
    </w:pPr>
  </w:style>
  <w:style w:type="character" w:customStyle="1" w:styleId="jnenbez">
    <w:name w:val="jnenbez"/>
    <w:basedOn w:val="Absatz-Standardschriftart"/>
    <w:rsid w:val="00E50F80"/>
  </w:style>
  <w:style w:type="paragraph" w:customStyle="1" w:styleId="StandardmitZhlung">
    <w:name w:val="StandardmitZählung"/>
    <w:basedOn w:val="Standard"/>
    <w:qFormat/>
    <w:rsid w:val="00052399"/>
    <w:pPr>
      <w:numPr>
        <w:numId w:val="23"/>
      </w:numPr>
      <w:spacing w:after="0"/>
      <w:ind w:left="0" w:hanging="851"/>
    </w:pPr>
    <w:rPr>
      <w:rFonts w:cs="Arial"/>
      <w:szCs w:val="28"/>
    </w:rPr>
  </w:style>
  <w:style w:type="character" w:styleId="Hyperlink">
    <w:name w:val="Hyperlink"/>
    <w:basedOn w:val="Absatz-Standardschriftart"/>
    <w:uiPriority w:val="99"/>
    <w:semiHidden/>
    <w:unhideWhenUsed/>
    <w:rsid w:val="00FE0D14"/>
    <w:rPr>
      <w:color w:val="0000FF"/>
      <w:u w:val="single"/>
    </w:rPr>
  </w:style>
  <w:style w:type="character" w:customStyle="1" w:styleId="highlight">
    <w:name w:val="highlight"/>
    <w:basedOn w:val="Absatz-Standardschriftart"/>
    <w:rsid w:val="000C52A1"/>
  </w:style>
  <w:style w:type="character" w:customStyle="1" w:styleId="etyp">
    <w:name w:val="etyp"/>
    <w:basedOn w:val="Absatz-Standardschriftart"/>
    <w:rsid w:val="000C52A1"/>
  </w:style>
  <w:style w:type="character" w:customStyle="1" w:styleId="kammer">
    <w:name w:val="kammer"/>
    <w:basedOn w:val="Absatz-Standardschriftart"/>
    <w:rsid w:val="000C52A1"/>
  </w:style>
  <w:style w:type="character" w:customStyle="1" w:styleId="datum">
    <w:name w:val="datum"/>
    <w:basedOn w:val="Absatz-Standardschriftart"/>
    <w:rsid w:val="000C52A1"/>
  </w:style>
  <w:style w:type="character" w:customStyle="1" w:styleId="az">
    <w:name w:val="az"/>
    <w:basedOn w:val="Absatz-Standardschriftart"/>
    <w:rsid w:val="000C52A1"/>
  </w:style>
  <w:style w:type="paragraph" w:styleId="Endnotentext">
    <w:name w:val="endnote text"/>
    <w:basedOn w:val="Standard"/>
    <w:link w:val="EndnotentextZchn"/>
    <w:uiPriority w:val="99"/>
    <w:semiHidden/>
    <w:unhideWhenUsed/>
    <w:rsid w:val="00B8117C"/>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B8117C"/>
    <w:rPr>
      <w:rFonts w:ascii="Arial" w:eastAsiaTheme="minorHAnsi" w:hAnsi="Arial" w:cstheme="minorBidi"/>
      <w:noProof/>
      <w:lang w:eastAsia="en-US"/>
    </w:rPr>
  </w:style>
  <w:style w:type="character" w:styleId="Endnotenzeichen">
    <w:name w:val="endnote reference"/>
    <w:basedOn w:val="Absatz-Standardschriftart"/>
    <w:uiPriority w:val="99"/>
    <w:semiHidden/>
    <w:unhideWhenUsed/>
    <w:rsid w:val="00B8117C"/>
    <w:rPr>
      <w:vertAlign w:val="superscript"/>
    </w:rPr>
  </w:style>
  <w:style w:type="character" w:styleId="Kommentarzeichen">
    <w:name w:val="annotation reference"/>
    <w:basedOn w:val="Absatz-Standardschriftart"/>
    <w:semiHidden/>
    <w:unhideWhenUsed/>
    <w:rsid w:val="00074EAB"/>
    <w:rPr>
      <w:sz w:val="16"/>
      <w:szCs w:val="16"/>
    </w:rPr>
  </w:style>
  <w:style w:type="paragraph" w:styleId="Kommentartext">
    <w:name w:val="annotation text"/>
    <w:basedOn w:val="Standard"/>
    <w:link w:val="KommentartextZchn"/>
    <w:semiHidden/>
    <w:unhideWhenUsed/>
    <w:rsid w:val="00074EAB"/>
    <w:pPr>
      <w:spacing w:line="240" w:lineRule="auto"/>
    </w:pPr>
    <w:rPr>
      <w:sz w:val="20"/>
      <w:szCs w:val="20"/>
    </w:rPr>
  </w:style>
  <w:style w:type="character" w:customStyle="1" w:styleId="KommentartextZchn">
    <w:name w:val="Kommentartext Zchn"/>
    <w:basedOn w:val="Absatz-Standardschriftart"/>
    <w:link w:val="Kommentartext"/>
    <w:semiHidden/>
    <w:rsid w:val="00074EAB"/>
    <w:rPr>
      <w:rFonts w:ascii="Arial" w:eastAsiaTheme="minorHAnsi" w:hAnsi="Arial" w:cstheme="minorBidi"/>
      <w:noProof/>
      <w:lang w:eastAsia="en-US"/>
    </w:rPr>
  </w:style>
  <w:style w:type="paragraph" w:styleId="Kommentarthema">
    <w:name w:val="annotation subject"/>
    <w:basedOn w:val="Kommentartext"/>
    <w:next w:val="Kommentartext"/>
    <w:link w:val="KommentarthemaZchn"/>
    <w:semiHidden/>
    <w:unhideWhenUsed/>
    <w:rsid w:val="00074EAB"/>
    <w:rPr>
      <w:b/>
      <w:bCs/>
    </w:rPr>
  </w:style>
  <w:style w:type="character" w:customStyle="1" w:styleId="KommentarthemaZchn">
    <w:name w:val="Kommentarthema Zchn"/>
    <w:basedOn w:val="KommentartextZchn"/>
    <w:link w:val="Kommentarthema"/>
    <w:semiHidden/>
    <w:rsid w:val="00074EAB"/>
    <w:rPr>
      <w:rFonts w:ascii="Arial" w:eastAsiaTheme="minorHAnsi" w:hAnsi="Arial" w:cstheme="minorBidi"/>
      <w:b/>
      <w:bCs/>
      <w:noProof/>
      <w:lang w:eastAsia="en-US"/>
    </w:rPr>
  </w:style>
  <w:style w:type="paragraph" w:styleId="berarbeitung">
    <w:name w:val="Revision"/>
    <w:hidden/>
    <w:uiPriority w:val="99"/>
    <w:semiHidden/>
    <w:rsid w:val="00A60DF9"/>
    <w:rPr>
      <w:rFonts w:ascii="Arial" w:eastAsiaTheme="minorHAnsi" w:hAnsi="Arial" w:cstheme="minorBidi"/>
      <w:noProof/>
      <w:sz w:val="28"/>
      <w:szCs w:val="22"/>
      <w:lang w:eastAsia="en-US"/>
    </w:rPr>
  </w:style>
  <w:style w:type="character" w:styleId="Fett">
    <w:name w:val="Strong"/>
    <w:basedOn w:val="Absatz-Standardschriftart"/>
    <w:uiPriority w:val="22"/>
    <w:qFormat/>
    <w:rsid w:val="00935B13"/>
    <w:rPr>
      <w:b/>
      <w:bCs/>
    </w:rPr>
  </w:style>
  <w:style w:type="paragraph" w:styleId="Verzeichnis1">
    <w:name w:val="toc 1"/>
    <w:basedOn w:val="Standard"/>
    <w:next w:val="Standard"/>
    <w:autoRedefine/>
    <w:uiPriority w:val="39"/>
    <w:unhideWhenUsed/>
    <w:rsid w:val="002F4CA4"/>
    <w:pPr>
      <w:spacing w:after="100"/>
    </w:pPr>
  </w:style>
  <w:style w:type="paragraph" w:styleId="Verzeichnis2">
    <w:name w:val="toc 2"/>
    <w:basedOn w:val="Standard"/>
    <w:next w:val="Standard"/>
    <w:autoRedefine/>
    <w:uiPriority w:val="39"/>
    <w:unhideWhenUsed/>
    <w:rsid w:val="002F4CA4"/>
    <w:pPr>
      <w:spacing w:after="100"/>
      <w:ind w:left="280"/>
    </w:pPr>
  </w:style>
  <w:style w:type="paragraph" w:styleId="Verzeichnis3">
    <w:name w:val="toc 3"/>
    <w:basedOn w:val="Standard"/>
    <w:next w:val="Standard"/>
    <w:autoRedefine/>
    <w:uiPriority w:val="39"/>
    <w:unhideWhenUsed/>
    <w:rsid w:val="002F4CA4"/>
    <w:pPr>
      <w:spacing w:after="100"/>
      <w:ind w:left="560"/>
    </w:pPr>
  </w:style>
  <w:style w:type="character" w:customStyle="1" w:styleId="hgkelc">
    <w:name w:val="hgkelc"/>
    <w:basedOn w:val="Absatz-Standardschriftart"/>
    <w:rsid w:val="00B67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511">
      <w:bodyDiv w:val="1"/>
      <w:marLeft w:val="0"/>
      <w:marRight w:val="0"/>
      <w:marTop w:val="0"/>
      <w:marBottom w:val="0"/>
      <w:divBdr>
        <w:top w:val="none" w:sz="0" w:space="0" w:color="auto"/>
        <w:left w:val="none" w:sz="0" w:space="0" w:color="auto"/>
        <w:bottom w:val="none" w:sz="0" w:space="0" w:color="auto"/>
        <w:right w:val="none" w:sz="0" w:space="0" w:color="auto"/>
      </w:divBdr>
    </w:div>
    <w:div w:id="271860876">
      <w:bodyDiv w:val="1"/>
      <w:marLeft w:val="0"/>
      <w:marRight w:val="0"/>
      <w:marTop w:val="0"/>
      <w:marBottom w:val="0"/>
      <w:divBdr>
        <w:top w:val="none" w:sz="0" w:space="0" w:color="auto"/>
        <w:left w:val="none" w:sz="0" w:space="0" w:color="auto"/>
        <w:bottom w:val="none" w:sz="0" w:space="0" w:color="auto"/>
        <w:right w:val="none" w:sz="0" w:space="0" w:color="auto"/>
      </w:divBdr>
    </w:div>
    <w:div w:id="346561713">
      <w:bodyDiv w:val="1"/>
      <w:marLeft w:val="0"/>
      <w:marRight w:val="0"/>
      <w:marTop w:val="0"/>
      <w:marBottom w:val="0"/>
      <w:divBdr>
        <w:top w:val="none" w:sz="0" w:space="0" w:color="auto"/>
        <w:left w:val="none" w:sz="0" w:space="0" w:color="auto"/>
        <w:bottom w:val="none" w:sz="0" w:space="0" w:color="auto"/>
        <w:right w:val="none" w:sz="0" w:space="0" w:color="auto"/>
      </w:divBdr>
    </w:div>
    <w:div w:id="382950911">
      <w:bodyDiv w:val="1"/>
      <w:marLeft w:val="0"/>
      <w:marRight w:val="0"/>
      <w:marTop w:val="0"/>
      <w:marBottom w:val="0"/>
      <w:divBdr>
        <w:top w:val="none" w:sz="0" w:space="0" w:color="auto"/>
        <w:left w:val="none" w:sz="0" w:space="0" w:color="auto"/>
        <w:bottom w:val="none" w:sz="0" w:space="0" w:color="auto"/>
        <w:right w:val="none" w:sz="0" w:space="0" w:color="auto"/>
      </w:divBdr>
    </w:div>
    <w:div w:id="451557220">
      <w:bodyDiv w:val="1"/>
      <w:marLeft w:val="0"/>
      <w:marRight w:val="0"/>
      <w:marTop w:val="0"/>
      <w:marBottom w:val="0"/>
      <w:divBdr>
        <w:top w:val="none" w:sz="0" w:space="0" w:color="auto"/>
        <w:left w:val="none" w:sz="0" w:space="0" w:color="auto"/>
        <w:bottom w:val="none" w:sz="0" w:space="0" w:color="auto"/>
        <w:right w:val="none" w:sz="0" w:space="0" w:color="auto"/>
      </w:divBdr>
    </w:div>
    <w:div w:id="480929280">
      <w:bodyDiv w:val="1"/>
      <w:marLeft w:val="0"/>
      <w:marRight w:val="0"/>
      <w:marTop w:val="0"/>
      <w:marBottom w:val="0"/>
      <w:divBdr>
        <w:top w:val="none" w:sz="0" w:space="0" w:color="auto"/>
        <w:left w:val="none" w:sz="0" w:space="0" w:color="auto"/>
        <w:bottom w:val="none" w:sz="0" w:space="0" w:color="auto"/>
        <w:right w:val="none" w:sz="0" w:space="0" w:color="auto"/>
      </w:divBdr>
    </w:div>
    <w:div w:id="524755975">
      <w:bodyDiv w:val="1"/>
      <w:marLeft w:val="0"/>
      <w:marRight w:val="0"/>
      <w:marTop w:val="0"/>
      <w:marBottom w:val="0"/>
      <w:divBdr>
        <w:top w:val="none" w:sz="0" w:space="0" w:color="auto"/>
        <w:left w:val="none" w:sz="0" w:space="0" w:color="auto"/>
        <w:bottom w:val="none" w:sz="0" w:space="0" w:color="auto"/>
        <w:right w:val="none" w:sz="0" w:space="0" w:color="auto"/>
      </w:divBdr>
    </w:div>
    <w:div w:id="614482067">
      <w:bodyDiv w:val="1"/>
      <w:marLeft w:val="0"/>
      <w:marRight w:val="0"/>
      <w:marTop w:val="0"/>
      <w:marBottom w:val="0"/>
      <w:divBdr>
        <w:top w:val="none" w:sz="0" w:space="0" w:color="auto"/>
        <w:left w:val="none" w:sz="0" w:space="0" w:color="auto"/>
        <w:bottom w:val="none" w:sz="0" w:space="0" w:color="auto"/>
        <w:right w:val="none" w:sz="0" w:space="0" w:color="auto"/>
      </w:divBdr>
    </w:div>
    <w:div w:id="642006055">
      <w:bodyDiv w:val="1"/>
      <w:marLeft w:val="0"/>
      <w:marRight w:val="0"/>
      <w:marTop w:val="0"/>
      <w:marBottom w:val="0"/>
      <w:divBdr>
        <w:top w:val="none" w:sz="0" w:space="0" w:color="auto"/>
        <w:left w:val="none" w:sz="0" w:space="0" w:color="auto"/>
        <w:bottom w:val="none" w:sz="0" w:space="0" w:color="auto"/>
        <w:right w:val="none" w:sz="0" w:space="0" w:color="auto"/>
      </w:divBdr>
    </w:div>
    <w:div w:id="778598064">
      <w:bodyDiv w:val="1"/>
      <w:marLeft w:val="0"/>
      <w:marRight w:val="0"/>
      <w:marTop w:val="0"/>
      <w:marBottom w:val="0"/>
      <w:divBdr>
        <w:top w:val="none" w:sz="0" w:space="0" w:color="auto"/>
        <w:left w:val="none" w:sz="0" w:space="0" w:color="auto"/>
        <w:bottom w:val="none" w:sz="0" w:space="0" w:color="auto"/>
        <w:right w:val="none" w:sz="0" w:space="0" w:color="auto"/>
      </w:divBdr>
    </w:div>
    <w:div w:id="828211120">
      <w:bodyDiv w:val="1"/>
      <w:marLeft w:val="0"/>
      <w:marRight w:val="0"/>
      <w:marTop w:val="0"/>
      <w:marBottom w:val="0"/>
      <w:divBdr>
        <w:top w:val="none" w:sz="0" w:space="0" w:color="auto"/>
        <w:left w:val="none" w:sz="0" w:space="0" w:color="auto"/>
        <w:bottom w:val="none" w:sz="0" w:space="0" w:color="auto"/>
        <w:right w:val="none" w:sz="0" w:space="0" w:color="auto"/>
      </w:divBdr>
    </w:div>
    <w:div w:id="916743144">
      <w:bodyDiv w:val="1"/>
      <w:marLeft w:val="0"/>
      <w:marRight w:val="0"/>
      <w:marTop w:val="0"/>
      <w:marBottom w:val="0"/>
      <w:divBdr>
        <w:top w:val="none" w:sz="0" w:space="0" w:color="auto"/>
        <w:left w:val="none" w:sz="0" w:space="0" w:color="auto"/>
        <w:bottom w:val="none" w:sz="0" w:space="0" w:color="auto"/>
        <w:right w:val="none" w:sz="0" w:space="0" w:color="auto"/>
      </w:divBdr>
    </w:div>
    <w:div w:id="1147894881">
      <w:bodyDiv w:val="1"/>
      <w:marLeft w:val="0"/>
      <w:marRight w:val="0"/>
      <w:marTop w:val="0"/>
      <w:marBottom w:val="0"/>
      <w:divBdr>
        <w:top w:val="none" w:sz="0" w:space="0" w:color="auto"/>
        <w:left w:val="none" w:sz="0" w:space="0" w:color="auto"/>
        <w:bottom w:val="none" w:sz="0" w:space="0" w:color="auto"/>
        <w:right w:val="none" w:sz="0" w:space="0" w:color="auto"/>
      </w:divBdr>
    </w:div>
    <w:div w:id="1247417196">
      <w:bodyDiv w:val="1"/>
      <w:marLeft w:val="0"/>
      <w:marRight w:val="0"/>
      <w:marTop w:val="0"/>
      <w:marBottom w:val="0"/>
      <w:divBdr>
        <w:top w:val="none" w:sz="0" w:space="0" w:color="auto"/>
        <w:left w:val="none" w:sz="0" w:space="0" w:color="auto"/>
        <w:bottom w:val="none" w:sz="0" w:space="0" w:color="auto"/>
        <w:right w:val="none" w:sz="0" w:space="0" w:color="auto"/>
      </w:divBdr>
    </w:div>
    <w:div w:id="1252658805">
      <w:bodyDiv w:val="1"/>
      <w:marLeft w:val="0"/>
      <w:marRight w:val="0"/>
      <w:marTop w:val="0"/>
      <w:marBottom w:val="0"/>
      <w:divBdr>
        <w:top w:val="none" w:sz="0" w:space="0" w:color="auto"/>
        <w:left w:val="none" w:sz="0" w:space="0" w:color="auto"/>
        <w:bottom w:val="none" w:sz="0" w:space="0" w:color="auto"/>
        <w:right w:val="none" w:sz="0" w:space="0" w:color="auto"/>
      </w:divBdr>
    </w:div>
    <w:div w:id="1629163480">
      <w:bodyDiv w:val="1"/>
      <w:marLeft w:val="0"/>
      <w:marRight w:val="0"/>
      <w:marTop w:val="0"/>
      <w:marBottom w:val="0"/>
      <w:divBdr>
        <w:top w:val="none" w:sz="0" w:space="0" w:color="auto"/>
        <w:left w:val="none" w:sz="0" w:space="0" w:color="auto"/>
        <w:bottom w:val="none" w:sz="0" w:space="0" w:color="auto"/>
        <w:right w:val="none" w:sz="0" w:space="0" w:color="auto"/>
      </w:divBdr>
    </w:div>
    <w:div w:id="1696153100">
      <w:bodyDiv w:val="1"/>
      <w:marLeft w:val="0"/>
      <w:marRight w:val="0"/>
      <w:marTop w:val="0"/>
      <w:marBottom w:val="0"/>
      <w:divBdr>
        <w:top w:val="none" w:sz="0" w:space="0" w:color="auto"/>
        <w:left w:val="none" w:sz="0" w:space="0" w:color="auto"/>
        <w:bottom w:val="none" w:sz="0" w:space="0" w:color="auto"/>
        <w:right w:val="none" w:sz="0" w:space="0" w:color="auto"/>
      </w:divBdr>
    </w:div>
    <w:div w:id="1704670941">
      <w:bodyDiv w:val="1"/>
      <w:marLeft w:val="0"/>
      <w:marRight w:val="0"/>
      <w:marTop w:val="0"/>
      <w:marBottom w:val="0"/>
      <w:divBdr>
        <w:top w:val="none" w:sz="0" w:space="0" w:color="auto"/>
        <w:left w:val="none" w:sz="0" w:space="0" w:color="auto"/>
        <w:bottom w:val="none" w:sz="0" w:space="0" w:color="auto"/>
        <w:right w:val="none" w:sz="0" w:space="0" w:color="auto"/>
      </w:divBdr>
    </w:div>
    <w:div w:id="214172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setze-im-internet.de/englisch_stgb/englisch_stgb.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setze-im-internet.de/englisch_stgb/englisch_stgb.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esetze-im-internet.de/englisch_stgb/englisch_stgb.html" TargetMode="External"/><Relationship Id="rId4" Type="http://schemas.openxmlformats.org/officeDocument/2006/relationships/settings" Target="settings.xml"/><Relationship Id="rId9" Type="http://schemas.openxmlformats.org/officeDocument/2006/relationships/hyperlink" Target="https://www.gesetze-im-internet.de/englisch_stgb/englisch_stgb.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vorlagen.intranet.bverfg.local/Senat/Kammerbeschluss.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7F9FC-33B3-4507-A7AD-7025C61CF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Kammerbeschluss.dotm</Template>
  <TotalTime>0</TotalTime>
  <Pages>9</Pages>
  <Words>1489</Words>
  <Characters>8189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Bundesverfassungsgericht</vt:lpstr>
    </vt:vector>
  </TitlesOfParts>
  <Company>BVerfG</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Bundesverfassungsgericht</dc:title>
  <dc:creator>Elke Bauer</dc:creator>
  <cp:lastModifiedBy>Janine Poley</cp:lastModifiedBy>
  <cp:revision>21</cp:revision>
  <cp:lastPrinted>2023-09-13T07:01:00Z</cp:lastPrinted>
  <dcterms:created xsi:type="dcterms:W3CDTF">2023-09-26T07:54:00Z</dcterms:created>
  <dcterms:modified xsi:type="dcterms:W3CDTF">2023-09-26T10:47:00Z</dcterms:modified>
</cp:coreProperties>
</file>