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19193" w14:textId="19642B9F" w:rsidR="003E4469" w:rsidRPr="00EE3DED" w:rsidRDefault="00947516" w:rsidP="00947516">
      <w:pPr>
        <w:pStyle w:val="Rubrik1"/>
        <w:rPr>
          <w:sz w:val="36"/>
          <w:szCs w:val="36"/>
          <w:lang w:val="en-US"/>
        </w:rPr>
      </w:pPr>
      <w:r w:rsidRPr="00EE3DED">
        <w:rPr>
          <w:sz w:val="36"/>
          <w:szCs w:val="36"/>
          <w:lang w:val="en-US"/>
        </w:rPr>
        <w:t>Riga Conference 20-21 September 2023 on ”The role of the Judiciary in Execution of Judgments of the European Court of Human Rights”</w:t>
      </w:r>
    </w:p>
    <w:p w14:paraId="7BE6B98F" w14:textId="77777777" w:rsidR="00D4640E" w:rsidRDefault="00D4640E" w:rsidP="00947516">
      <w:pPr>
        <w:pStyle w:val="Rubrik2"/>
        <w:rPr>
          <w:sz w:val="32"/>
          <w:szCs w:val="32"/>
          <w:lang w:val="en-US"/>
        </w:rPr>
      </w:pPr>
      <w:r>
        <w:rPr>
          <w:sz w:val="32"/>
          <w:szCs w:val="32"/>
          <w:lang w:val="en-US"/>
        </w:rPr>
        <w:t>Helena Jäderblom:</w:t>
      </w:r>
    </w:p>
    <w:p w14:paraId="32EA3F44" w14:textId="1E2E93BF" w:rsidR="00947516" w:rsidRPr="00EE3DED" w:rsidRDefault="00947516" w:rsidP="00947516">
      <w:pPr>
        <w:pStyle w:val="Rubrik2"/>
        <w:rPr>
          <w:sz w:val="32"/>
          <w:szCs w:val="32"/>
          <w:lang w:val="en-US"/>
        </w:rPr>
      </w:pPr>
      <w:r w:rsidRPr="00EE3DED">
        <w:rPr>
          <w:sz w:val="32"/>
          <w:szCs w:val="32"/>
          <w:lang w:val="en-US"/>
        </w:rPr>
        <w:t>Res judicata and reopening of proceedings after ECtHR judgments and the role of the ECtHR in the supervision of the execution of its judgments</w:t>
      </w:r>
    </w:p>
    <w:p w14:paraId="2876CC40" w14:textId="70868CF0" w:rsidR="00947516" w:rsidRDefault="00947516">
      <w:pPr>
        <w:rPr>
          <w:lang w:val="en-US"/>
        </w:rPr>
      </w:pPr>
    </w:p>
    <w:p w14:paraId="74D9BD48" w14:textId="375FE900" w:rsidR="00947516" w:rsidRPr="00EE3DED" w:rsidRDefault="00947516" w:rsidP="00947516">
      <w:pPr>
        <w:pStyle w:val="Rubrik3"/>
        <w:rPr>
          <w:sz w:val="32"/>
          <w:szCs w:val="32"/>
          <w:lang w:val="en-US"/>
        </w:rPr>
      </w:pPr>
      <w:r w:rsidRPr="00EE3DED">
        <w:rPr>
          <w:sz w:val="32"/>
          <w:szCs w:val="32"/>
          <w:lang w:val="en-US"/>
        </w:rPr>
        <w:t>Reopening of proceedings on national level</w:t>
      </w:r>
    </w:p>
    <w:p w14:paraId="757A6FED" w14:textId="7524C983" w:rsidR="00947516" w:rsidRDefault="00947516">
      <w:pPr>
        <w:rPr>
          <w:lang w:val="en-US"/>
        </w:rPr>
      </w:pPr>
    </w:p>
    <w:p w14:paraId="1F538E85" w14:textId="6A9F0B12" w:rsidR="00947516" w:rsidRPr="003218C2" w:rsidRDefault="00947516">
      <w:pPr>
        <w:rPr>
          <w:sz w:val="24"/>
          <w:szCs w:val="24"/>
          <w:lang w:val="en-US"/>
        </w:rPr>
      </w:pPr>
      <w:r w:rsidRPr="003218C2">
        <w:rPr>
          <w:sz w:val="24"/>
          <w:szCs w:val="24"/>
          <w:lang w:val="en-US"/>
        </w:rPr>
        <w:t>In order to reopen proceedings on national level</w:t>
      </w:r>
      <w:r w:rsidR="00816677" w:rsidRPr="003218C2">
        <w:rPr>
          <w:sz w:val="24"/>
          <w:szCs w:val="24"/>
          <w:lang w:val="en-US"/>
        </w:rPr>
        <w:t xml:space="preserve"> </w:t>
      </w:r>
      <w:r w:rsidR="00AF3B72" w:rsidRPr="003218C2">
        <w:rPr>
          <w:sz w:val="24"/>
          <w:szCs w:val="24"/>
          <w:lang w:val="en-US"/>
        </w:rPr>
        <w:t xml:space="preserve">after a finding of a violation by the ECtHR in cases where the domestic courts had settled a dispute in a final ruling, </w:t>
      </w:r>
      <w:r w:rsidR="00816677" w:rsidRPr="003218C2">
        <w:rPr>
          <w:sz w:val="24"/>
          <w:szCs w:val="24"/>
          <w:lang w:val="en-US"/>
        </w:rPr>
        <w:t xml:space="preserve">the basic general premise is a case </w:t>
      </w:r>
      <w:r w:rsidR="003218C2">
        <w:rPr>
          <w:sz w:val="24"/>
          <w:szCs w:val="24"/>
          <w:lang w:val="en-US"/>
        </w:rPr>
        <w:t>is</w:t>
      </w:r>
      <w:r w:rsidR="00816677" w:rsidRPr="003218C2">
        <w:rPr>
          <w:sz w:val="24"/>
          <w:szCs w:val="24"/>
          <w:lang w:val="en-US"/>
        </w:rPr>
        <w:t xml:space="preserve"> brought to the relevant </w:t>
      </w:r>
      <w:r w:rsidR="003218C2">
        <w:rPr>
          <w:sz w:val="24"/>
          <w:szCs w:val="24"/>
          <w:lang w:val="en-US"/>
        </w:rPr>
        <w:t xml:space="preserve">national </w:t>
      </w:r>
      <w:r w:rsidR="00816677" w:rsidRPr="003218C2">
        <w:rPr>
          <w:sz w:val="24"/>
          <w:szCs w:val="24"/>
          <w:lang w:val="en-US"/>
        </w:rPr>
        <w:t>court in compliance with domestic procedural rules.</w:t>
      </w:r>
      <w:r w:rsidR="00BA7468" w:rsidRPr="003218C2">
        <w:rPr>
          <w:sz w:val="24"/>
          <w:szCs w:val="24"/>
          <w:lang w:val="en-US"/>
        </w:rPr>
        <w:t xml:space="preserve"> </w:t>
      </w:r>
    </w:p>
    <w:p w14:paraId="551C483F" w14:textId="0A2653D6" w:rsidR="00B044AB" w:rsidRPr="003218C2" w:rsidRDefault="003218C2" w:rsidP="00B044AB">
      <w:pPr>
        <w:rPr>
          <w:sz w:val="24"/>
          <w:szCs w:val="24"/>
          <w:lang w:val="en-US"/>
        </w:rPr>
      </w:pPr>
      <w:r>
        <w:rPr>
          <w:sz w:val="24"/>
          <w:szCs w:val="24"/>
          <w:lang w:val="en-US"/>
        </w:rPr>
        <w:t xml:space="preserve">If </w:t>
      </w:r>
      <w:r w:rsidR="00B044AB" w:rsidRPr="003218C2">
        <w:rPr>
          <w:sz w:val="24"/>
          <w:szCs w:val="24"/>
          <w:lang w:val="en-US"/>
        </w:rPr>
        <w:t xml:space="preserve">it is a question of </w:t>
      </w:r>
      <w:r w:rsidR="00AF3B72" w:rsidRPr="003218C2">
        <w:rPr>
          <w:sz w:val="24"/>
          <w:szCs w:val="24"/>
          <w:lang w:val="en-US"/>
        </w:rPr>
        <w:t xml:space="preserve">mere </w:t>
      </w:r>
      <w:r w:rsidR="00B044AB" w:rsidRPr="003218C2">
        <w:rPr>
          <w:sz w:val="24"/>
          <w:szCs w:val="24"/>
          <w:lang w:val="en-US"/>
        </w:rPr>
        <w:t xml:space="preserve">repayment </w:t>
      </w:r>
      <w:r w:rsidR="00AF3B72" w:rsidRPr="003218C2">
        <w:rPr>
          <w:sz w:val="24"/>
          <w:szCs w:val="24"/>
          <w:lang w:val="en-US"/>
        </w:rPr>
        <w:t>or monetary compensation</w:t>
      </w:r>
      <w:r>
        <w:rPr>
          <w:sz w:val="24"/>
          <w:szCs w:val="24"/>
          <w:lang w:val="en-US"/>
        </w:rPr>
        <w:t xml:space="preserve"> the situation will alternatively be resolved directly by the Government and has not to be passed through the courts.</w:t>
      </w:r>
      <w:r w:rsidR="00B044AB" w:rsidRPr="003218C2">
        <w:rPr>
          <w:sz w:val="24"/>
          <w:szCs w:val="24"/>
          <w:lang w:val="en-US"/>
        </w:rPr>
        <w:t xml:space="preserve">.  </w:t>
      </w:r>
    </w:p>
    <w:p w14:paraId="77B001F1" w14:textId="485B6ECB" w:rsidR="00B044AB" w:rsidRDefault="00AF3B72" w:rsidP="00B044AB">
      <w:pPr>
        <w:rPr>
          <w:sz w:val="24"/>
          <w:szCs w:val="24"/>
          <w:lang w:val="en-US"/>
        </w:rPr>
      </w:pPr>
      <w:r w:rsidRPr="003218C2">
        <w:rPr>
          <w:sz w:val="24"/>
          <w:szCs w:val="24"/>
          <w:lang w:val="en-US"/>
        </w:rPr>
        <w:t>A valid ground</w:t>
      </w:r>
      <w:r w:rsidR="00620787" w:rsidRPr="003218C2">
        <w:rPr>
          <w:sz w:val="24"/>
          <w:szCs w:val="24"/>
          <w:lang w:val="en-US"/>
        </w:rPr>
        <w:t xml:space="preserve"> for extraordinary review </w:t>
      </w:r>
      <w:r w:rsidRPr="003218C2">
        <w:rPr>
          <w:sz w:val="24"/>
          <w:szCs w:val="24"/>
          <w:lang w:val="en-US"/>
        </w:rPr>
        <w:t>may</w:t>
      </w:r>
      <w:r w:rsidR="00620787" w:rsidRPr="003218C2">
        <w:rPr>
          <w:sz w:val="24"/>
          <w:szCs w:val="24"/>
          <w:lang w:val="en-US"/>
        </w:rPr>
        <w:t xml:space="preserve"> in my country, </w:t>
      </w:r>
      <w:r w:rsidR="00100A48" w:rsidRPr="003218C2">
        <w:rPr>
          <w:sz w:val="24"/>
          <w:szCs w:val="24"/>
          <w:lang w:val="en-US"/>
        </w:rPr>
        <w:t xml:space="preserve">Sweden, </w:t>
      </w:r>
      <w:r w:rsidR="00620787" w:rsidRPr="003218C2">
        <w:rPr>
          <w:sz w:val="24"/>
          <w:szCs w:val="24"/>
          <w:lang w:val="en-US"/>
        </w:rPr>
        <w:t xml:space="preserve">as well as in </w:t>
      </w:r>
      <w:r w:rsidR="006668C1" w:rsidRPr="003218C2">
        <w:rPr>
          <w:sz w:val="24"/>
          <w:szCs w:val="24"/>
          <w:lang w:val="en-US"/>
        </w:rPr>
        <w:t>some other Conventions states</w:t>
      </w:r>
      <w:r w:rsidR="003218C2">
        <w:rPr>
          <w:sz w:val="24"/>
          <w:szCs w:val="24"/>
          <w:lang w:val="en-US"/>
        </w:rPr>
        <w:t xml:space="preserve"> – such as Latvia –</w:t>
      </w:r>
      <w:r w:rsidR="00620787" w:rsidRPr="003218C2">
        <w:rPr>
          <w:sz w:val="24"/>
          <w:szCs w:val="24"/>
          <w:lang w:val="en-US"/>
        </w:rPr>
        <w:t xml:space="preserve"> </w:t>
      </w:r>
      <w:r w:rsidRPr="003218C2">
        <w:rPr>
          <w:sz w:val="24"/>
          <w:szCs w:val="24"/>
          <w:lang w:val="en-US"/>
        </w:rPr>
        <w:t xml:space="preserve">include </w:t>
      </w:r>
      <w:r w:rsidR="00620787" w:rsidRPr="003218C2">
        <w:rPr>
          <w:sz w:val="24"/>
          <w:szCs w:val="24"/>
          <w:lang w:val="en-US"/>
        </w:rPr>
        <w:t>the introduction of new circumstances in the form of a judgment from an international court.</w:t>
      </w:r>
      <w:r w:rsidR="006668C1" w:rsidRPr="003218C2">
        <w:rPr>
          <w:sz w:val="24"/>
          <w:szCs w:val="24"/>
          <w:lang w:val="en-US"/>
        </w:rPr>
        <w:t xml:space="preserve"> In most Convention states </w:t>
      </w:r>
      <w:r w:rsidR="00AE49B8" w:rsidRPr="003218C2">
        <w:rPr>
          <w:sz w:val="24"/>
          <w:szCs w:val="24"/>
          <w:lang w:val="en-US"/>
        </w:rPr>
        <w:t xml:space="preserve">domestic legislation explicitly provides for the right to request the review or reopening of </w:t>
      </w:r>
      <w:r w:rsidR="00AE49B8" w:rsidRPr="003218C2">
        <w:rPr>
          <w:i/>
          <w:iCs/>
          <w:sz w:val="24"/>
          <w:szCs w:val="24"/>
          <w:lang w:val="en-US"/>
        </w:rPr>
        <w:t>criminal</w:t>
      </w:r>
      <w:r w:rsidR="00AE49B8" w:rsidRPr="003218C2">
        <w:rPr>
          <w:sz w:val="24"/>
          <w:szCs w:val="24"/>
          <w:lang w:val="en-US"/>
        </w:rPr>
        <w:t xml:space="preserve"> proceedings on the basis of the finding of a violation by an international court</w:t>
      </w:r>
      <w:r w:rsidR="00100A48" w:rsidRPr="003218C2">
        <w:rPr>
          <w:sz w:val="24"/>
          <w:szCs w:val="24"/>
          <w:lang w:val="en-US"/>
        </w:rPr>
        <w:t>, albeit there may be certain conditions attached to that right, such as the respect for deadlines</w:t>
      </w:r>
      <w:r w:rsidR="00AE49B8" w:rsidRPr="003218C2">
        <w:rPr>
          <w:sz w:val="24"/>
          <w:szCs w:val="24"/>
          <w:lang w:val="en-US"/>
        </w:rPr>
        <w:t>.</w:t>
      </w:r>
      <w:r w:rsidR="00AE49B8" w:rsidRPr="003218C2">
        <w:rPr>
          <w:rStyle w:val="Fotnotsreferens"/>
          <w:sz w:val="24"/>
          <w:szCs w:val="24"/>
          <w:lang w:val="en-US"/>
        </w:rPr>
        <w:footnoteReference w:id="1"/>
      </w:r>
      <w:r w:rsidR="00B044AB" w:rsidRPr="003218C2">
        <w:rPr>
          <w:sz w:val="24"/>
          <w:szCs w:val="24"/>
          <w:lang w:val="en-US"/>
        </w:rPr>
        <w:t xml:space="preserve"> </w:t>
      </w:r>
    </w:p>
    <w:p w14:paraId="76B6325E" w14:textId="009CC140" w:rsidR="003218C2" w:rsidRPr="003218C2" w:rsidRDefault="003218C2" w:rsidP="00B044AB">
      <w:pPr>
        <w:rPr>
          <w:sz w:val="24"/>
          <w:szCs w:val="24"/>
          <w:lang w:val="en-US"/>
        </w:rPr>
      </w:pPr>
      <w:r>
        <w:rPr>
          <w:sz w:val="24"/>
          <w:szCs w:val="24"/>
          <w:lang w:val="en-US"/>
        </w:rPr>
        <w:t xml:space="preserve">It should be borne in mind that conditions for re-opening may differ depending on whether the ECtHR has found a “procedural violation” on the basis of </w:t>
      </w:r>
      <w:proofErr w:type="spellStart"/>
      <w:r>
        <w:rPr>
          <w:sz w:val="24"/>
          <w:szCs w:val="24"/>
          <w:lang w:val="en-US"/>
        </w:rPr>
        <w:t>i.a.</w:t>
      </w:r>
      <w:proofErr w:type="spellEnd"/>
      <w:r>
        <w:rPr>
          <w:sz w:val="24"/>
          <w:szCs w:val="24"/>
          <w:lang w:val="en-US"/>
        </w:rPr>
        <w:t xml:space="preserve"> Article 2, 3 , 6 or 8, or if it is a question of a “material violation”.</w:t>
      </w:r>
    </w:p>
    <w:p w14:paraId="0E447EC2" w14:textId="4FCBC1B8" w:rsidR="00B044AB" w:rsidRPr="003218C2" w:rsidRDefault="00B044AB" w:rsidP="00B044AB">
      <w:pPr>
        <w:rPr>
          <w:sz w:val="24"/>
          <w:szCs w:val="24"/>
          <w:lang w:val="en-US"/>
        </w:rPr>
      </w:pPr>
      <w:r w:rsidRPr="003218C2">
        <w:rPr>
          <w:sz w:val="24"/>
          <w:szCs w:val="24"/>
          <w:lang w:val="en-US"/>
        </w:rPr>
        <w:t xml:space="preserve">Some examples of extraordinary review in Sweden took place some years ago after the ECtHR judgment in the </w:t>
      </w:r>
      <w:proofErr w:type="spellStart"/>
      <w:r w:rsidRPr="003218C2">
        <w:rPr>
          <w:i/>
          <w:iCs/>
          <w:sz w:val="24"/>
          <w:szCs w:val="24"/>
          <w:lang w:val="en-US"/>
        </w:rPr>
        <w:t>Zolothukin</w:t>
      </w:r>
      <w:proofErr w:type="spellEnd"/>
      <w:r w:rsidRPr="003218C2">
        <w:rPr>
          <w:sz w:val="24"/>
          <w:szCs w:val="24"/>
          <w:lang w:val="en-US"/>
        </w:rPr>
        <w:t xml:space="preserve"> case, where the application of the </w:t>
      </w:r>
      <w:r w:rsidRPr="003218C2">
        <w:rPr>
          <w:i/>
          <w:iCs/>
          <w:sz w:val="24"/>
          <w:szCs w:val="24"/>
          <w:lang w:val="en-US"/>
        </w:rPr>
        <w:t>ne bis in idem</w:t>
      </w:r>
      <w:r w:rsidRPr="003218C2">
        <w:rPr>
          <w:sz w:val="24"/>
          <w:szCs w:val="24"/>
          <w:lang w:val="en-US"/>
        </w:rPr>
        <w:t xml:space="preserve"> principle was applied in a manner that – </w:t>
      </w:r>
      <w:r w:rsidR="003218C2">
        <w:rPr>
          <w:sz w:val="24"/>
          <w:szCs w:val="24"/>
          <w:lang w:val="en-US"/>
        </w:rPr>
        <w:t>according</w:t>
      </w:r>
      <w:r w:rsidRPr="003218C2">
        <w:rPr>
          <w:sz w:val="24"/>
          <w:szCs w:val="24"/>
          <w:lang w:val="en-US"/>
        </w:rPr>
        <w:t xml:space="preserve"> to the viewpoint of Swedish courts</w:t>
      </w:r>
      <w:r w:rsidR="003218C2">
        <w:rPr>
          <w:sz w:val="24"/>
          <w:szCs w:val="24"/>
          <w:lang w:val="en-US"/>
        </w:rPr>
        <w:t xml:space="preserve"> and subsequently also by the ECtHR</w:t>
      </w:r>
      <w:r w:rsidR="003218C2">
        <w:rPr>
          <w:rStyle w:val="Fotnotsreferens"/>
          <w:sz w:val="24"/>
          <w:szCs w:val="24"/>
          <w:lang w:val="en-US"/>
        </w:rPr>
        <w:footnoteReference w:id="2"/>
      </w:r>
      <w:r w:rsidR="003218C2">
        <w:rPr>
          <w:sz w:val="24"/>
          <w:szCs w:val="24"/>
          <w:lang w:val="en-US"/>
        </w:rPr>
        <w:t xml:space="preserve"> </w:t>
      </w:r>
      <w:r w:rsidRPr="003218C2">
        <w:rPr>
          <w:sz w:val="24"/>
          <w:szCs w:val="24"/>
          <w:lang w:val="en-US"/>
        </w:rPr>
        <w:t xml:space="preserve">– meant a reversal of the previous perception in cases of criminal liability for tax fraud in combination with tax </w:t>
      </w:r>
      <w:r w:rsidRPr="003218C2">
        <w:rPr>
          <w:sz w:val="24"/>
          <w:szCs w:val="24"/>
          <w:lang w:val="en-US"/>
        </w:rPr>
        <w:lastRenderedPageBreak/>
        <w:t xml:space="preserve">surcharges. Here a number of applications for extraordinary review were brought to the Supreme Administrative Court and to the General Supreme Court </w:t>
      </w:r>
      <w:r w:rsidR="003218C2">
        <w:rPr>
          <w:sz w:val="24"/>
          <w:szCs w:val="24"/>
          <w:lang w:val="en-US"/>
        </w:rPr>
        <w:t xml:space="preserve">respectively </w:t>
      </w:r>
      <w:r w:rsidRPr="003218C2">
        <w:rPr>
          <w:sz w:val="24"/>
          <w:szCs w:val="24"/>
          <w:lang w:val="en-US"/>
        </w:rPr>
        <w:t>and granted in cases where the violation of the principle had taken place after the judgment</w:t>
      </w:r>
      <w:r w:rsidR="00AF3B72" w:rsidRPr="003218C2">
        <w:rPr>
          <w:sz w:val="24"/>
          <w:szCs w:val="24"/>
          <w:lang w:val="en-US"/>
        </w:rPr>
        <w:t xml:space="preserve"> in </w:t>
      </w:r>
      <w:proofErr w:type="spellStart"/>
      <w:r w:rsidR="00AF3B72" w:rsidRPr="003218C2">
        <w:rPr>
          <w:i/>
          <w:iCs/>
          <w:sz w:val="24"/>
          <w:szCs w:val="24"/>
          <w:lang w:val="en-US"/>
        </w:rPr>
        <w:t>Zolothukin</w:t>
      </w:r>
      <w:proofErr w:type="spellEnd"/>
      <w:r w:rsidR="00AF3B72" w:rsidRPr="003218C2">
        <w:rPr>
          <w:rStyle w:val="Fotnotsreferens"/>
          <w:i/>
          <w:iCs/>
          <w:sz w:val="24"/>
          <w:szCs w:val="24"/>
          <w:lang w:val="en-US"/>
        </w:rPr>
        <w:footnoteReference w:id="3"/>
      </w:r>
      <w:r w:rsidRPr="003218C2">
        <w:rPr>
          <w:sz w:val="24"/>
          <w:szCs w:val="24"/>
          <w:lang w:val="en-US"/>
        </w:rPr>
        <w:t>.</w:t>
      </w:r>
      <w:r w:rsidR="003218C2">
        <w:rPr>
          <w:sz w:val="24"/>
          <w:szCs w:val="24"/>
          <w:lang w:val="en-US"/>
        </w:rPr>
        <w:t xml:space="preserve"> </w:t>
      </w:r>
      <w:r w:rsidR="00E71B7D">
        <w:rPr>
          <w:sz w:val="24"/>
          <w:szCs w:val="24"/>
          <w:lang w:val="en-US"/>
        </w:rPr>
        <w:t xml:space="preserve">As a parenthesis could be mentioned that the </w:t>
      </w:r>
      <w:r w:rsidR="00E71B7D" w:rsidRPr="00E71B7D">
        <w:rPr>
          <w:i/>
          <w:iCs/>
          <w:sz w:val="24"/>
          <w:szCs w:val="24"/>
          <w:lang w:val="en-US"/>
        </w:rPr>
        <w:t>ne bid</w:t>
      </w:r>
      <w:r w:rsidR="00E71B7D">
        <w:rPr>
          <w:sz w:val="24"/>
          <w:szCs w:val="24"/>
          <w:lang w:val="en-US"/>
        </w:rPr>
        <w:t xml:space="preserve"> discussion on European level never went into the complication of the respect for the principles surrounding </w:t>
      </w:r>
      <w:proofErr w:type="spellStart"/>
      <w:r w:rsidR="00E71B7D" w:rsidRPr="00E71B7D">
        <w:rPr>
          <w:i/>
          <w:iCs/>
          <w:sz w:val="24"/>
          <w:szCs w:val="24"/>
          <w:lang w:val="en-US"/>
        </w:rPr>
        <w:t>lis</w:t>
      </w:r>
      <w:proofErr w:type="spellEnd"/>
      <w:r w:rsidR="00E71B7D" w:rsidRPr="00E71B7D">
        <w:rPr>
          <w:i/>
          <w:iCs/>
          <w:sz w:val="24"/>
          <w:szCs w:val="24"/>
          <w:lang w:val="en-US"/>
        </w:rPr>
        <w:t xml:space="preserve"> pendens</w:t>
      </w:r>
      <w:r w:rsidR="00E71B7D">
        <w:rPr>
          <w:sz w:val="24"/>
          <w:szCs w:val="24"/>
          <w:lang w:val="en-US"/>
        </w:rPr>
        <w:t>.</w:t>
      </w:r>
    </w:p>
    <w:p w14:paraId="5BF36942" w14:textId="4EA1268C" w:rsidR="00620787" w:rsidRPr="003218C2" w:rsidRDefault="00620787">
      <w:pPr>
        <w:rPr>
          <w:sz w:val="24"/>
          <w:szCs w:val="24"/>
          <w:lang w:val="en-US"/>
        </w:rPr>
      </w:pPr>
      <w:r w:rsidRPr="003218C2">
        <w:rPr>
          <w:sz w:val="24"/>
          <w:szCs w:val="24"/>
          <w:lang w:val="en-US"/>
        </w:rPr>
        <w:t>In the situation where it is obvious that a violation found in a judgment by the ECtHR also affect other individuals the right to reopening on extraordinary ground</w:t>
      </w:r>
      <w:r w:rsidR="00D72BB5" w:rsidRPr="003218C2">
        <w:rPr>
          <w:sz w:val="24"/>
          <w:szCs w:val="24"/>
          <w:lang w:val="en-US"/>
        </w:rPr>
        <w:t xml:space="preserve">s is less obvious. </w:t>
      </w:r>
    </w:p>
    <w:p w14:paraId="022C7895" w14:textId="3081394F" w:rsidR="00620787" w:rsidRPr="003218C2" w:rsidRDefault="00620787">
      <w:pPr>
        <w:rPr>
          <w:sz w:val="24"/>
          <w:szCs w:val="24"/>
          <w:lang w:val="en-US"/>
        </w:rPr>
      </w:pPr>
      <w:r w:rsidRPr="003218C2">
        <w:rPr>
          <w:sz w:val="24"/>
          <w:szCs w:val="24"/>
          <w:lang w:val="en-US"/>
        </w:rPr>
        <w:t xml:space="preserve">The problem arises when other </w:t>
      </w:r>
      <w:r w:rsidR="00E71B7D">
        <w:rPr>
          <w:sz w:val="24"/>
          <w:szCs w:val="24"/>
          <w:lang w:val="en-US"/>
        </w:rPr>
        <w:t xml:space="preserve">individuals and </w:t>
      </w:r>
      <w:r w:rsidRPr="003218C2">
        <w:rPr>
          <w:sz w:val="24"/>
          <w:szCs w:val="24"/>
          <w:lang w:val="en-US"/>
        </w:rPr>
        <w:t xml:space="preserve">parties to the previous domestic proceedings </w:t>
      </w:r>
      <w:r w:rsidR="00E71B7D">
        <w:rPr>
          <w:sz w:val="24"/>
          <w:szCs w:val="24"/>
          <w:lang w:val="en-US"/>
        </w:rPr>
        <w:t>ar</w:t>
      </w:r>
      <w:r w:rsidRPr="003218C2">
        <w:rPr>
          <w:sz w:val="24"/>
          <w:szCs w:val="24"/>
          <w:lang w:val="en-US"/>
        </w:rPr>
        <w:t xml:space="preserve">e adversely affected by the upheaval of a judgment that has gained legal force. </w:t>
      </w:r>
      <w:r w:rsidR="001E4A22" w:rsidRPr="003218C2">
        <w:rPr>
          <w:sz w:val="24"/>
          <w:szCs w:val="24"/>
          <w:lang w:val="en-US"/>
        </w:rPr>
        <w:t>I</w:t>
      </w:r>
      <w:r w:rsidR="006668C1" w:rsidRPr="003218C2">
        <w:rPr>
          <w:sz w:val="24"/>
          <w:szCs w:val="24"/>
          <w:lang w:val="en-US"/>
        </w:rPr>
        <w:t>n</w:t>
      </w:r>
      <w:r w:rsidR="001E4A22" w:rsidRPr="003218C2">
        <w:rPr>
          <w:sz w:val="24"/>
          <w:szCs w:val="24"/>
          <w:lang w:val="en-US"/>
        </w:rPr>
        <w:t xml:space="preserve"> such situations it may not be possible </w:t>
      </w:r>
      <w:r w:rsidR="00DE3B52" w:rsidRPr="003218C2">
        <w:rPr>
          <w:sz w:val="24"/>
          <w:szCs w:val="24"/>
          <w:lang w:val="en-US"/>
        </w:rPr>
        <w:t xml:space="preserve">according to domestic law </w:t>
      </w:r>
      <w:r w:rsidR="001E4A22" w:rsidRPr="003218C2">
        <w:rPr>
          <w:sz w:val="24"/>
          <w:szCs w:val="24"/>
          <w:lang w:val="en-US"/>
        </w:rPr>
        <w:t>to reverse the previous judgment</w:t>
      </w:r>
      <w:r w:rsidR="00DE3B52" w:rsidRPr="003218C2">
        <w:rPr>
          <w:sz w:val="24"/>
          <w:szCs w:val="24"/>
          <w:lang w:val="en-US"/>
        </w:rPr>
        <w:t xml:space="preserve">, </w:t>
      </w:r>
      <w:proofErr w:type="spellStart"/>
      <w:r w:rsidR="00DE3B52" w:rsidRPr="003218C2">
        <w:rPr>
          <w:sz w:val="24"/>
          <w:szCs w:val="24"/>
          <w:lang w:val="en-US"/>
        </w:rPr>
        <w:t>i.a.</w:t>
      </w:r>
      <w:proofErr w:type="spellEnd"/>
      <w:r w:rsidR="001E4A22" w:rsidRPr="003218C2">
        <w:rPr>
          <w:sz w:val="24"/>
          <w:szCs w:val="24"/>
          <w:lang w:val="en-US"/>
        </w:rPr>
        <w:t xml:space="preserve"> on account of subsequent developments </w:t>
      </w:r>
      <w:r w:rsidR="003E13A1" w:rsidRPr="003218C2">
        <w:rPr>
          <w:sz w:val="24"/>
          <w:szCs w:val="24"/>
          <w:lang w:val="en-US"/>
        </w:rPr>
        <w:t xml:space="preserve">(forced adoption, </w:t>
      </w:r>
      <w:r w:rsidR="00B044AB" w:rsidRPr="003218C2">
        <w:rPr>
          <w:sz w:val="24"/>
          <w:szCs w:val="24"/>
          <w:lang w:val="en-US"/>
        </w:rPr>
        <w:t>compulsory custody of children by social services</w:t>
      </w:r>
      <w:r w:rsidR="00DE3B52" w:rsidRPr="003218C2">
        <w:rPr>
          <w:sz w:val="24"/>
          <w:szCs w:val="24"/>
          <w:lang w:val="en-US"/>
        </w:rPr>
        <w:t>: the best interests of the child</w:t>
      </w:r>
      <w:r w:rsidR="00B044AB" w:rsidRPr="003218C2">
        <w:rPr>
          <w:sz w:val="24"/>
          <w:szCs w:val="24"/>
          <w:lang w:val="en-US"/>
        </w:rPr>
        <w:t xml:space="preserve">) </w:t>
      </w:r>
      <w:r w:rsidR="001E4A22" w:rsidRPr="003218C2">
        <w:rPr>
          <w:sz w:val="24"/>
          <w:szCs w:val="24"/>
          <w:lang w:val="en-US"/>
        </w:rPr>
        <w:t>or the respect for the other parties’ rights</w:t>
      </w:r>
      <w:r w:rsidR="00B044AB" w:rsidRPr="003218C2">
        <w:rPr>
          <w:sz w:val="24"/>
          <w:szCs w:val="24"/>
          <w:lang w:val="en-US"/>
        </w:rPr>
        <w:t xml:space="preserve"> (the principle of </w:t>
      </w:r>
      <w:r w:rsidR="00B044AB" w:rsidRPr="003218C2">
        <w:rPr>
          <w:i/>
          <w:iCs/>
          <w:sz w:val="24"/>
          <w:szCs w:val="24"/>
          <w:lang w:val="en-US"/>
        </w:rPr>
        <w:t>ne bis in idem</w:t>
      </w:r>
      <w:r w:rsidR="00DE3B52" w:rsidRPr="003218C2">
        <w:rPr>
          <w:sz w:val="24"/>
          <w:szCs w:val="24"/>
          <w:lang w:val="en-US"/>
        </w:rPr>
        <w:t xml:space="preserve"> when somebody has been acquitted in violation of the procedural rights for victims and their relatives under Article 2</w:t>
      </w:r>
      <w:r w:rsidR="00B044AB" w:rsidRPr="003218C2">
        <w:rPr>
          <w:sz w:val="24"/>
          <w:szCs w:val="24"/>
          <w:lang w:val="en-US"/>
        </w:rPr>
        <w:t>)</w:t>
      </w:r>
      <w:r w:rsidR="001E4A22" w:rsidRPr="003218C2">
        <w:rPr>
          <w:sz w:val="24"/>
          <w:szCs w:val="24"/>
          <w:lang w:val="en-US"/>
        </w:rPr>
        <w:t>, and the only avenue would</w:t>
      </w:r>
      <w:r w:rsidR="00B044AB" w:rsidRPr="003218C2">
        <w:rPr>
          <w:sz w:val="24"/>
          <w:szCs w:val="24"/>
          <w:lang w:val="en-US"/>
        </w:rPr>
        <w:t xml:space="preserve"> then</w:t>
      </w:r>
      <w:r w:rsidR="001E4A22" w:rsidRPr="003218C2">
        <w:rPr>
          <w:sz w:val="24"/>
          <w:szCs w:val="24"/>
          <w:lang w:val="en-US"/>
        </w:rPr>
        <w:t xml:space="preserve"> be the payment of damages.</w:t>
      </w:r>
    </w:p>
    <w:p w14:paraId="4256E414" w14:textId="094A369E" w:rsidR="00947516" w:rsidRPr="003218C2" w:rsidRDefault="00DE3B52" w:rsidP="00DE3B52">
      <w:pPr>
        <w:pStyle w:val="Rubrik3"/>
        <w:rPr>
          <w:sz w:val="24"/>
          <w:szCs w:val="24"/>
          <w:lang w:val="en-US"/>
        </w:rPr>
      </w:pPr>
      <w:r w:rsidRPr="003218C2">
        <w:rPr>
          <w:sz w:val="24"/>
          <w:szCs w:val="24"/>
          <w:lang w:val="en-US"/>
        </w:rPr>
        <w:t>I</w:t>
      </w:r>
      <w:r w:rsidR="00846042" w:rsidRPr="003218C2">
        <w:rPr>
          <w:sz w:val="24"/>
          <w:szCs w:val="24"/>
          <w:lang w:val="en-US"/>
        </w:rPr>
        <w:t>ndications of measures to be taken that are laid down in the ECtHR’s judgements</w:t>
      </w:r>
    </w:p>
    <w:p w14:paraId="7F1DF881" w14:textId="77777777" w:rsidR="00DE3B52" w:rsidRPr="003218C2" w:rsidRDefault="00DE3B52" w:rsidP="00DE3B52">
      <w:pPr>
        <w:rPr>
          <w:sz w:val="24"/>
          <w:szCs w:val="24"/>
          <w:lang w:val="en-US"/>
        </w:rPr>
      </w:pPr>
    </w:p>
    <w:p w14:paraId="59160A5A" w14:textId="68804C0F" w:rsidR="00583FA8" w:rsidRPr="003218C2" w:rsidRDefault="00846042">
      <w:pPr>
        <w:rPr>
          <w:sz w:val="24"/>
          <w:szCs w:val="24"/>
          <w:lang w:val="en-US"/>
        </w:rPr>
      </w:pPr>
      <w:r w:rsidRPr="003218C2">
        <w:rPr>
          <w:sz w:val="24"/>
          <w:szCs w:val="24"/>
          <w:lang w:val="en-US"/>
        </w:rPr>
        <w:t>Basically the ECtHR’s judgments are declaratory in the sense that they state whether or not the Court has found a violation of the Convention.</w:t>
      </w:r>
      <w:r w:rsidR="00583FA8" w:rsidRPr="003218C2">
        <w:rPr>
          <w:sz w:val="24"/>
          <w:szCs w:val="24"/>
          <w:lang w:val="en-US"/>
        </w:rPr>
        <w:t xml:space="preserve"> They do not bind national courts</w:t>
      </w:r>
      <w:r w:rsidR="00E71B7D">
        <w:rPr>
          <w:sz w:val="24"/>
          <w:szCs w:val="24"/>
          <w:lang w:val="en-US"/>
        </w:rPr>
        <w:t>,</w:t>
      </w:r>
      <w:r w:rsidR="00583FA8" w:rsidRPr="003218C2">
        <w:rPr>
          <w:sz w:val="24"/>
          <w:szCs w:val="24"/>
          <w:lang w:val="en-US"/>
        </w:rPr>
        <w:t xml:space="preserve"> and it is the State </w:t>
      </w:r>
      <w:r w:rsidR="006668C1" w:rsidRPr="003218C2">
        <w:rPr>
          <w:sz w:val="24"/>
          <w:szCs w:val="24"/>
          <w:lang w:val="en-US"/>
        </w:rPr>
        <w:t xml:space="preserve">as such </w:t>
      </w:r>
      <w:r w:rsidR="00583FA8" w:rsidRPr="003218C2">
        <w:rPr>
          <w:sz w:val="24"/>
          <w:szCs w:val="24"/>
          <w:lang w:val="en-US"/>
        </w:rPr>
        <w:t>which is obliged to discharge its obligations under Article 46 of the Convention.</w:t>
      </w:r>
      <w:r w:rsidRPr="003218C2">
        <w:rPr>
          <w:sz w:val="24"/>
          <w:szCs w:val="24"/>
          <w:lang w:val="en-US"/>
        </w:rPr>
        <w:t xml:space="preserve"> </w:t>
      </w:r>
      <w:r w:rsidR="00100A48" w:rsidRPr="003218C2">
        <w:rPr>
          <w:sz w:val="24"/>
          <w:szCs w:val="24"/>
          <w:lang w:val="en-US"/>
        </w:rPr>
        <w:t>The ECtHR does not have the jurisdiction to order the reopening of proceedings.</w:t>
      </w:r>
      <w:r w:rsidR="00100A48" w:rsidRPr="003218C2">
        <w:rPr>
          <w:rStyle w:val="Fotnotsreferens"/>
          <w:sz w:val="24"/>
          <w:szCs w:val="24"/>
          <w:lang w:val="en-US"/>
        </w:rPr>
        <w:footnoteReference w:id="4"/>
      </w:r>
      <w:r w:rsidR="003E13A1" w:rsidRPr="003218C2">
        <w:rPr>
          <w:sz w:val="24"/>
          <w:szCs w:val="24"/>
          <w:lang w:val="en-US"/>
        </w:rPr>
        <w:t xml:space="preserve"> However, it may indicate that where a violation is found of Article 6 retrial or reopening of the case represents in principle an appropriate way of redressing the violation.</w:t>
      </w:r>
    </w:p>
    <w:p w14:paraId="4D4061D9" w14:textId="2842D7C3" w:rsidR="00583FA8" w:rsidRPr="003218C2" w:rsidRDefault="00583FA8">
      <w:pPr>
        <w:rPr>
          <w:sz w:val="24"/>
          <w:szCs w:val="24"/>
          <w:lang w:val="en-US"/>
        </w:rPr>
      </w:pPr>
      <w:r w:rsidRPr="003218C2">
        <w:rPr>
          <w:sz w:val="24"/>
          <w:szCs w:val="24"/>
          <w:lang w:val="en-US"/>
        </w:rPr>
        <w:t xml:space="preserve">It’s a </w:t>
      </w:r>
      <w:r w:rsidR="006668C1" w:rsidRPr="003218C2">
        <w:rPr>
          <w:sz w:val="24"/>
          <w:szCs w:val="24"/>
          <w:lang w:val="en-US"/>
        </w:rPr>
        <w:t>fundamental</w:t>
      </w:r>
      <w:r w:rsidRPr="003218C2">
        <w:rPr>
          <w:sz w:val="24"/>
          <w:szCs w:val="24"/>
          <w:lang w:val="en-US"/>
        </w:rPr>
        <w:t xml:space="preserve"> principle that anyone who is the victim of a violation of the Convention shall be put back into the situation that existed before the violation took place</w:t>
      </w:r>
      <w:r w:rsidR="00DE3B52" w:rsidRPr="003218C2">
        <w:rPr>
          <w:sz w:val="24"/>
          <w:szCs w:val="24"/>
          <w:lang w:val="en-US"/>
        </w:rPr>
        <w:t xml:space="preserve"> – </w:t>
      </w:r>
      <w:proofErr w:type="spellStart"/>
      <w:r w:rsidR="00DE3B52" w:rsidRPr="003218C2">
        <w:rPr>
          <w:i/>
          <w:iCs/>
          <w:sz w:val="24"/>
          <w:szCs w:val="24"/>
          <w:lang w:val="en-US"/>
        </w:rPr>
        <w:t>restituto</w:t>
      </w:r>
      <w:proofErr w:type="spellEnd"/>
      <w:r w:rsidR="00DE3B52" w:rsidRPr="003218C2">
        <w:rPr>
          <w:i/>
          <w:iCs/>
          <w:sz w:val="24"/>
          <w:szCs w:val="24"/>
          <w:lang w:val="en-US"/>
        </w:rPr>
        <w:t xml:space="preserve"> in integrum</w:t>
      </w:r>
      <w:r w:rsidR="00DE3B52" w:rsidRPr="003218C2">
        <w:rPr>
          <w:sz w:val="24"/>
          <w:szCs w:val="24"/>
          <w:lang w:val="en-US"/>
        </w:rPr>
        <w:t xml:space="preserve"> - </w:t>
      </w:r>
      <w:r w:rsidRPr="003218C2">
        <w:rPr>
          <w:sz w:val="24"/>
          <w:szCs w:val="24"/>
          <w:lang w:val="en-US"/>
        </w:rPr>
        <w:t xml:space="preserve"> and if this is not possible just satisfaction should be awarded in accordance with Article 41. Since the beginning of the 20 hundreds the ECtHR started to </w:t>
      </w:r>
      <w:r w:rsidR="00683560" w:rsidRPr="003218C2">
        <w:rPr>
          <w:sz w:val="24"/>
          <w:szCs w:val="24"/>
          <w:lang w:val="en-US"/>
        </w:rPr>
        <w:t xml:space="preserve">lay down retrial clauses in the reasoning of the judgments (but not yet in the operative part), originally in a series of Turkish cases </w:t>
      </w:r>
      <w:r w:rsidR="00E71B7D">
        <w:rPr>
          <w:sz w:val="24"/>
          <w:szCs w:val="24"/>
          <w:lang w:val="en-US"/>
        </w:rPr>
        <w:t>o</w:t>
      </w:r>
      <w:r w:rsidR="00683560" w:rsidRPr="003218C2">
        <w:rPr>
          <w:sz w:val="24"/>
          <w:szCs w:val="24"/>
          <w:lang w:val="en-US"/>
        </w:rPr>
        <w:t>n Article 6 (</w:t>
      </w:r>
      <w:proofErr w:type="spellStart"/>
      <w:r w:rsidR="00683560" w:rsidRPr="003218C2">
        <w:rPr>
          <w:i/>
          <w:iCs/>
          <w:sz w:val="24"/>
          <w:szCs w:val="24"/>
          <w:lang w:val="en-US"/>
        </w:rPr>
        <w:t>Gencel</w:t>
      </w:r>
      <w:proofErr w:type="spellEnd"/>
      <w:r w:rsidR="00683560" w:rsidRPr="003218C2">
        <w:rPr>
          <w:sz w:val="24"/>
          <w:szCs w:val="24"/>
          <w:lang w:val="en-US"/>
        </w:rPr>
        <w:t xml:space="preserve"> clause, subsequently in </w:t>
      </w:r>
      <w:proofErr w:type="spellStart"/>
      <w:r w:rsidR="00683560" w:rsidRPr="003218C2">
        <w:rPr>
          <w:i/>
          <w:iCs/>
          <w:sz w:val="24"/>
          <w:szCs w:val="24"/>
          <w:lang w:val="en-US"/>
        </w:rPr>
        <w:t>Öcalan</w:t>
      </w:r>
      <w:proofErr w:type="spellEnd"/>
      <w:r w:rsidR="00683560" w:rsidRPr="003218C2">
        <w:rPr>
          <w:sz w:val="24"/>
          <w:szCs w:val="24"/>
          <w:lang w:val="en-US"/>
        </w:rPr>
        <w:t xml:space="preserve">). Later on the ECtHR stated that reopening of domestic proceedings is a “key means” for the proper execution of judgments, while complying with “the procedural safeguards </w:t>
      </w:r>
      <w:r w:rsidR="000562DE" w:rsidRPr="003218C2">
        <w:rPr>
          <w:sz w:val="24"/>
          <w:szCs w:val="24"/>
          <w:lang w:val="en-US"/>
        </w:rPr>
        <w:t>in the Convention”</w:t>
      </w:r>
      <w:r w:rsidR="00683560" w:rsidRPr="003218C2">
        <w:rPr>
          <w:sz w:val="24"/>
          <w:szCs w:val="24"/>
          <w:lang w:val="en-US"/>
        </w:rPr>
        <w:t xml:space="preserve"> (</w:t>
      </w:r>
      <w:r w:rsidR="00683560" w:rsidRPr="003218C2">
        <w:rPr>
          <w:i/>
          <w:iCs/>
          <w:sz w:val="24"/>
          <w:szCs w:val="24"/>
          <w:lang w:val="en-US"/>
        </w:rPr>
        <w:t xml:space="preserve">Verein </w:t>
      </w:r>
      <w:proofErr w:type="spellStart"/>
      <w:r w:rsidR="00683560" w:rsidRPr="003218C2">
        <w:rPr>
          <w:i/>
          <w:iCs/>
          <w:sz w:val="24"/>
          <w:szCs w:val="24"/>
          <w:lang w:val="en-US"/>
        </w:rPr>
        <w:t>gegen</w:t>
      </w:r>
      <w:proofErr w:type="spellEnd"/>
      <w:r w:rsidR="00683560" w:rsidRPr="003218C2">
        <w:rPr>
          <w:i/>
          <w:iCs/>
          <w:sz w:val="24"/>
          <w:szCs w:val="24"/>
          <w:lang w:val="en-US"/>
        </w:rPr>
        <w:t xml:space="preserve"> </w:t>
      </w:r>
      <w:proofErr w:type="spellStart"/>
      <w:r w:rsidR="00683560" w:rsidRPr="003218C2">
        <w:rPr>
          <w:i/>
          <w:iCs/>
          <w:sz w:val="24"/>
          <w:szCs w:val="24"/>
          <w:lang w:val="en-US"/>
        </w:rPr>
        <w:t>Tierfabriken</w:t>
      </w:r>
      <w:proofErr w:type="spellEnd"/>
      <w:r w:rsidR="00683560" w:rsidRPr="003218C2">
        <w:rPr>
          <w:i/>
          <w:iCs/>
          <w:sz w:val="24"/>
          <w:szCs w:val="24"/>
          <w:lang w:val="en-US"/>
        </w:rPr>
        <w:t xml:space="preserve"> </w:t>
      </w:r>
      <w:proofErr w:type="spellStart"/>
      <w:r w:rsidR="00683560" w:rsidRPr="003218C2">
        <w:rPr>
          <w:i/>
          <w:iCs/>
          <w:sz w:val="24"/>
          <w:szCs w:val="24"/>
          <w:lang w:val="en-US"/>
        </w:rPr>
        <w:t>VgT</w:t>
      </w:r>
      <w:proofErr w:type="spellEnd"/>
      <w:r w:rsidR="000562DE" w:rsidRPr="003218C2">
        <w:rPr>
          <w:i/>
          <w:iCs/>
          <w:sz w:val="24"/>
          <w:szCs w:val="24"/>
          <w:lang w:val="en-US"/>
        </w:rPr>
        <w:t xml:space="preserve"> v Switzerland</w:t>
      </w:r>
      <w:r w:rsidR="00683560" w:rsidRPr="003218C2">
        <w:rPr>
          <w:i/>
          <w:iCs/>
          <w:sz w:val="24"/>
          <w:szCs w:val="24"/>
          <w:lang w:val="en-US"/>
        </w:rPr>
        <w:t xml:space="preserve"> (No2)</w:t>
      </w:r>
      <w:r w:rsidR="00683560" w:rsidRPr="003218C2">
        <w:rPr>
          <w:sz w:val="24"/>
          <w:szCs w:val="24"/>
          <w:lang w:val="en-US"/>
        </w:rPr>
        <w:t xml:space="preserve"> GC 2009).</w:t>
      </w:r>
      <w:r w:rsidR="000562DE" w:rsidRPr="003218C2">
        <w:rPr>
          <w:sz w:val="24"/>
          <w:szCs w:val="24"/>
          <w:lang w:val="en-US"/>
        </w:rPr>
        <w:t xml:space="preserve"> Further developments are that </w:t>
      </w:r>
      <w:r w:rsidR="000562DE" w:rsidRPr="003218C2">
        <w:rPr>
          <w:sz w:val="24"/>
          <w:szCs w:val="24"/>
          <w:lang w:val="en-US"/>
        </w:rPr>
        <w:lastRenderedPageBreak/>
        <w:t>specific re-trial clauses are laid down in the operative part of the ECtHR judgments (</w:t>
      </w:r>
      <w:proofErr w:type="spellStart"/>
      <w:r w:rsidR="000562DE" w:rsidRPr="003218C2">
        <w:rPr>
          <w:sz w:val="24"/>
          <w:szCs w:val="24"/>
          <w:lang w:val="en-US"/>
        </w:rPr>
        <w:t>i.a.</w:t>
      </w:r>
      <w:proofErr w:type="spellEnd"/>
      <w:r w:rsidR="000562DE" w:rsidRPr="003218C2">
        <w:rPr>
          <w:sz w:val="24"/>
          <w:szCs w:val="24"/>
          <w:lang w:val="en-US"/>
        </w:rPr>
        <w:t xml:space="preserve"> </w:t>
      </w:r>
      <w:proofErr w:type="spellStart"/>
      <w:r w:rsidR="000562DE" w:rsidRPr="003218C2">
        <w:rPr>
          <w:i/>
          <w:iCs/>
          <w:sz w:val="24"/>
          <w:szCs w:val="24"/>
          <w:lang w:val="en-US"/>
        </w:rPr>
        <w:t>Lungoci</w:t>
      </w:r>
      <w:proofErr w:type="spellEnd"/>
      <w:r w:rsidR="000562DE" w:rsidRPr="003218C2">
        <w:rPr>
          <w:sz w:val="24"/>
          <w:szCs w:val="24"/>
          <w:lang w:val="en-US"/>
        </w:rPr>
        <w:t xml:space="preserve"> and </w:t>
      </w:r>
      <w:proofErr w:type="spellStart"/>
      <w:r w:rsidR="000562DE" w:rsidRPr="003218C2">
        <w:rPr>
          <w:i/>
          <w:iCs/>
          <w:sz w:val="24"/>
          <w:szCs w:val="24"/>
          <w:lang w:val="en-US"/>
        </w:rPr>
        <w:t>Maaksimov</w:t>
      </w:r>
      <w:proofErr w:type="spellEnd"/>
      <w:r w:rsidR="000562DE" w:rsidRPr="003218C2">
        <w:rPr>
          <w:sz w:val="24"/>
          <w:szCs w:val="24"/>
          <w:lang w:val="en-US"/>
        </w:rPr>
        <w:t>)</w:t>
      </w:r>
      <w:r w:rsidR="00E71B7D">
        <w:rPr>
          <w:sz w:val="24"/>
          <w:szCs w:val="24"/>
          <w:lang w:val="en-US"/>
        </w:rPr>
        <w:t>.</w:t>
      </w:r>
    </w:p>
    <w:p w14:paraId="39C4326A" w14:textId="17D6FDC8" w:rsidR="002C1148" w:rsidRPr="003218C2" w:rsidRDefault="002C1148">
      <w:pPr>
        <w:rPr>
          <w:sz w:val="24"/>
          <w:szCs w:val="24"/>
          <w:lang w:val="en-US"/>
        </w:rPr>
      </w:pPr>
      <w:r w:rsidRPr="003218C2">
        <w:rPr>
          <w:sz w:val="24"/>
          <w:szCs w:val="24"/>
          <w:lang w:val="en-US"/>
        </w:rPr>
        <w:t xml:space="preserve">In my experience the ECtHR is cautious in doing this, </w:t>
      </w:r>
      <w:r w:rsidR="00DE3B52" w:rsidRPr="003218C2">
        <w:rPr>
          <w:sz w:val="24"/>
          <w:szCs w:val="24"/>
          <w:lang w:val="en-US"/>
        </w:rPr>
        <w:t>mindful of the problems that may arise</w:t>
      </w:r>
      <w:r w:rsidRPr="003218C2">
        <w:rPr>
          <w:sz w:val="24"/>
          <w:szCs w:val="24"/>
          <w:lang w:val="en-US"/>
        </w:rPr>
        <w:t>. Obviously, however</w:t>
      </w:r>
      <w:r w:rsidR="003E13A1" w:rsidRPr="003218C2">
        <w:rPr>
          <w:sz w:val="24"/>
          <w:szCs w:val="24"/>
          <w:lang w:val="en-US"/>
        </w:rPr>
        <w:t>,</w:t>
      </w:r>
      <w:r w:rsidRPr="003218C2">
        <w:rPr>
          <w:sz w:val="24"/>
          <w:szCs w:val="24"/>
          <w:lang w:val="en-US"/>
        </w:rPr>
        <w:t xml:space="preserve"> such indications are helpful for the Committee of Ministers’ supervision of the execution of judgments.</w:t>
      </w:r>
    </w:p>
    <w:p w14:paraId="1F84430D" w14:textId="156A465F" w:rsidR="00316FD2" w:rsidRPr="003218C2" w:rsidRDefault="00D74523">
      <w:pPr>
        <w:rPr>
          <w:sz w:val="24"/>
          <w:szCs w:val="24"/>
          <w:lang w:val="en-US"/>
        </w:rPr>
      </w:pPr>
      <w:r w:rsidRPr="003218C2">
        <w:rPr>
          <w:sz w:val="24"/>
          <w:szCs w:val="24"/>
          <w:lang w:val="en-US"/>
        </w:rPr>
        <w:t xml:space="preserve">In the judgment against Ukraine </w:t>
      </w:r>
      <w:r w:rsidR="00DE126C" w:rsidRPr="003218C2">
        <w:rPr>
          <w:sz w:val="24"/>
          <w:szCs w:val="24"/>
          <w:lang w:val="en-US"/>
        </w:rPr>
        <w:t xml:space="preserve">(2013) </w:t>
      </w:r>
      <w:r w:rsidRPr="003218C2">
        <w:rPr>
          <w:sz w:val="24"/>
          <w:szCs w:val="24"/>
          <w:lang w:val="en-US"/>
        </w:rPr>
        <w:t xml:space="preserve">in the case of </w:t>
      </w:r>
      <w:r w:rsidRPr="003218C2">
        <w:rPr>
          <w:i/>
          <w:iCs/>
          <w:sz w:val="24"/>
          <w:szCs w:val="24"/>
          <w:lang w:val="en-US"/>
        </w:rPr>
        <w:t>Volko</w:t>
      </w:r>
      <w:r w:rsidR="00DE3B52" w:rsidRPr="003218C2">
        <w:rPr>
          <w:i/>
          <w:iCs/>
          <w:sz w:val="24"/>
          <w:szCs w:val="24"/>
          <w:lang w:val="en-US"/>
        </w:rPr>
        <w:t xml:space="preserve">v </w:t>
      </w:r>
      <w:r w:rsidRPr="003218C2">
        <w:rPr>
          <w:sz w:val="24"/>
          <w:szCs w:val="24"/>
          <w:lang w:val="en-US"/>
        </w:rPr>
        <w:t>the ECtHR decided not to demand the reopening of judicial proceedings on domestic level in a case where the applicant had been dismissed from his post as judge in the Supreme Court and the ECtHR found violations of articles 6 and 8</w:t>
      </w:r>
      <w:r w:rsidR="00DE126C" w:rsidRPr="003218C2">
        <w:rPr>
          <w:sz w:val="24"/>
          <w:szCs w:val="24"/>
          <w:lang w:val="en-US"/>
        </w:rPr>
        <w:t xml:space="preserve">. The reason was that reopening was likely not to be dealt with in accordance with Convention principles and therefor the ECtHR held that the State must secure the applicant’s re-instatement to his post as soon as possible. This proved problematic although it was eventually effectuated. One may ask </w:t>
      </w:r>
      <w:r w:rsidR="00E71B7D">
        <w:rPr>
          <w:sz w:val="24"/>
          <w:szCs w:val="24"/>
          <w:lang w:val="en-US"/>
        </w:rPr>
        <w:t>if</w:t>
      </w:r>
      <w:r w:rsidR="00DE126C" w:rsidRPr="003218C2">
        <w:rPr>
          <w:sz w:val="24"/>
          <w:szCs w:val="24"/>
          <w:lang w:val="en-US"/>
        </w:rPr>
        <w:t xml:space="preserve"> the </w:t>
      </w:r>
      <w:r w:rsidR="00E71B7D">
        <w:rPr>
          <w:sz w:val="24"/>
          <w:szCs w:val="24"/>
          <w:lang w:val="en-US"/>
        </w:rPr>
        <w:t>ECtHR</w:t>
      </w:r>
      <w:r w:rsidR="00DE126C" w:rsidRPr="003218C2">
        <w:rPr>
          <w:sz w:val="24"/>
          <w:szCs w:val="24"/>
          <w:lang w:val="en-US"/>
        </w:rPr>
        <w:t xml:space="preserve"> </w:t>
      </w:r>
      <w:r w:rsidR="00E71B7D">
        <w:rPr>
          <w:sz w:val="24"/>
          <w:szCs w:val="24"/>
          <w:lang w:val="en-US"/>
        </w:rPr>
        <w:t>foresaw</w:t>
      </w:r>
      <w:r w:rsidR="00DE126C" w:rsidRPr="003218C2">
        <w:rPr>
          <w:sz w:val="24"/>
          <w:szCs w:val="24"/>
          <w:lang w:val="en-US"/>
        </w:rPr>
        <w:t xml:space="preserve"> </w:t>
      </w:r>
      <w:r w:rsidR="00E71B7D">
        <w:rPr>
          <w:sz w:val="24"/>
          <w:szCs w:val="24"/>
          <w:lang w:val="en-US"/>
        </w:rPr>
        <w:t>if</w:t>
      </w:r>
      <w:r w:rsidR="00DE126C" w:rsidRPr="003218C2">
        <w:rPr>
          <w:sz w:val="24"/>
          <w:szCs w:val="24"/>
          <w:lang w:val="en-US"/>
        </w:rPr>
        <w:t xml:space="preserve"> such a re-instatement </w:t>
      </w:r>
      <w:r w:rsidR="00E71B7D">
        <w:rPr>
          <w:sz w:val="24"/>
          <w:szCs w:val="24"/>
          <w:lang w:val="en-US"/>
        </w:rPr>
        <w:t>could</w:t>
      </w:r>
      <w:r w:rsidR="00DE126C" w:rsidRPr="003218C2">
        <w:rPr>
          <w:sz w:val="24"/>
          <w:szCs w:val="24"/>
          <w:lang w:val="en-US"/>
        </w:rPr>
        <w:t xml:space="preserve"> be legally possible </w:t>
      </w:r>
      <w:r w:rsidR="00E71B7D">
        <w:rPr>
          <w:sz w:val="24"/>
          <w:szCs w:val="24"/>
          <w:lang w:val="en-US"/>
        </w:rPr>
        <w:t>without infringing on</w:t>
      </w:r>
      <w:r w:rsidR="00DE126C" w:rsidRPr="003218C2">
        <w:rPr>
          <w:sz w:val="24"/>
          <w:szCs w:val="24"/>
          <w:lang w:val="en-US"/>
        </w:rPr>
        <w:t xml:space="preserve"> other judges’ rights.</w:t>
      </w:r>
    </w:p>
    <w:p w14:paraId="1ED95F66" w14:textId="65C954A0" w:rsidR="00063F1F" w:rsidRPr="003218C2" w:rsidRDefault="00063F1F" w:rsidP="00063F1F">
      <w:pPr>
        <w:pStyle w:val="Rubrik3"/>
        <w:rPr>
          <w:sz w:val="24"/>
          <w:szCs w:val="24"/>
          <w:lang w:val="en-US"/>
        </w:rPr>
      </w:pPr>
      <w:r w:rsidRPr="003218C2">
        <w:rPr>
          <w:sz w:val="24"/>
          <w:szCs w:val="24"/>
          <w:lang w:val="en-US"/>
        </w:rPr>
        <w:t>The role of the ECtHR in the supervision of the execution of its judgments</w:t>
      </w:r>
    </w:p>
    <w:p w14:paraId="2467932E" w14:textId="77777777" w:rsidR="00A67CB4" w:rsidRPr="003218C2" w:rsidRDefault="00A67CB4" w:rsidP="00063F1F">
      <w:pPr>
        <w:rPr>
          <w:sz w:val="24"/>
          <w:szCs w:val="24"/>
          <w:lang w:val="en-US"/>
        </w:rPr>
      </w:pPr>
    </w:p>
    <w:p w14:paraId="77C07110" w14:textId="182C1594" w:rsidR="00063F1F" w:rsidRPr="003218C2" w:rsidRDefault="00063F1F" w:rsidP="00063F1F">
      <w:pPr>
        <w:rPr>
          <w:sz w:val="24"/>
          <w:szCs w:val="24"/>
          <w:lang w:val="en-US"/>
        </w:rPr>
      </w:pPr>
      <w:r w:rsidRPr="003218C2">
        <w:rPr>
          <w:sz w:val="24"/>
          <w:szCs w:val="24"/>
          <w:lang w:val="en-US"/>
        </w:rPr>
        <w:t>Formally speaking the ECtHR</w:t>
      </w:r>
      <w:r w:rsidR="00A67CB4" w:rsidRPr="003218C2">
        <w:rPr>
          <w:sz w:val="24"/>
          <w:szCs w:val="24"/>
          <w:lang w:val="en-US"/>
        </w:rPr>
        <w:t xml:space="preserve"> has no independent role in the execution of its own judgments. The execution mechanism is put entirely on the political level through the supervision by the Committee of Ministers. The Court may</w:t>
      </w:r>
      <w:r w:rsidR="00DE3B52" w:rsidRPr="003218C2">
        <w:rPr>
          <w:sz w:val="24"/>
          <w:szCs w:val="24"/>
          <w:lang w:val="en-US"/>
        </w:rPr>
        <w:t>, however,</w:t>
      </w:r>
      <w:r w:rsidR="00A67CB4" w:rsidRPr="003218C2">
        <w:rPr>
          <w:sz w:val="24"/>
          <w:szCs w:val="24"/>
          <w:lang w:val="en-US"/>
        </w:rPr>
        <w:t xml:space="preserve"> be involved under Article 46 if the </w:t>
      </w:r>
      <w:proofErr w:type="spellStart"/>
      <w:r w:rsidR="00A67CB4" w:rsidRPr="003218C2">
        <w:rPr>
          <w:sz w:val="24"/>
          <w:szCs w:val="24"/>
          <w:lang w:val="en-US"/>
        </w:rPr>
        <w:t>CoM</w:t>
      </w:r>
      <w:proofErr w:type="spellEnd"/>
      <w:r w:rsidR="00A67CB4" w:rsidRPr="003218C2">
        <w:rPr>
          <w:sz w:val="24"/>
          <w:szCs w:val="24"/>
          <w:lang w:val="en-US"/>
        </w:rPr>
        <w:t xml:space="preserve"> considers that a State refuses to abide by a judgment. </w:t>
      </w:r>
      <w:r w:rsidR="00DE3B52" w:rsidRPr="003218C2">
        <w:rPr>
          <w:sz w:val="24"/>
          <w:szCs w:val="24"/>
          <w:lang w:val="en-US"/>
        </w:rPr>
        <w:t>Up to date t</w:t>
      </w:r>
      <w:r w:rsidR="00A67CB4" w:rsidRPr="003218C2">
        <w:rPr>
          <w:sz w:val="24"/>
          <w:szCs w:val="24"/>
          <w:lang w:val="en-US"/>
        </w:rPr>
        <w:t xml:space="preserve">his has rarely happened; </w:t>
      </w:r>
      <w:r w:rsidR="00DE3B52" w:rsidRPr="003218C2">
        <w:rPr>
          <w:sz w:val="24"/>
          <w:szCs w:val="24"/>
          <w:lang w:val="en-US"/>
        </w:rPr>
        <w:t xml:space="preserve">there are </w:t>
      </w:r>
      <w:r w:rsidR="00A67CB4" w:rsidRPr="003218C2">
        <w:rPr>
          <w:sz w:val="24"/>
          <w:szCs w:val="24"/>
          <w:lang w:val="en-US"/>
        </w:rPr>
        <w:t xml:space="preserve">only two judgments so far, the latest being </w:t>
      </w:r>
      <w:r w:rsidR="00A67CB4" w:rsidRPr="003218C2">
        <w:rPr>
          <w:i/>
          <w:iCs/>
          <w:sz w:val="24"/>
          <w:szCs w:val="24"/>
          <w:lang w:val="en-US"/>
        </w:rPr>
        <w:t>Kavala v Turkey</w:t>
      </w:r>
      <w:r w:rsidR="00A67CB4" w:rsidRPr="003218C2">
        <w:rPr>
          <w:sz w:val="24"/>
          <w:szCs w:val="24"/>
          <w:lang w:val="en-US"/>
        </w:rPr>
        <w:t xml:space="preserve"> (2022) concerning violations of Article 5. The first </w:t>
      </w:r>
      <w:r w:rsidR="00044890" w:rsidRPr="003218C2">
        <w:rPr>
          <w:sz w:val="24"/>
          <w:szCs w:val="24"/>
          <w:lang w:val="en-US"/>
        </w:rPr>
        <w:t>judgment</w:t>
      </w:r>
      <w:r w:rsidR="00A67CB4" w:rsidRPr="003218C2">
        <w:rPr>
          <w:sz w:val="24"/>
          <w:szCs w:val="24"/>
          <w:lang w:val="en-US"/>
        </w:rPr>
        <w:t xml:space="preserve"> was </w:t>
      </w:r>
      <w:r w:rsidR="00044890" w:rsidRPr="003218C2">
        <w:rPr>
          <w:sz w:val="24"/>
          <w:szCs w:val="24"/>
          <w:lang w:val="en-US"/>
        </w:rPr>
        <w:t xml:space="preserve">in </w:t>
      </w:r>
      <w:proofErr w:type="spellStart"/>
      <w:r w:rsidR="00044890" w:rsidRPr="003218C2">
        <w:rPr>
          <w:i/>
          <w:iCs/>
          <w:sz w:val="24"/>
          <w:szCs w:val="24"/>
          <w:lang w:val="en-US"/>
        </w:rPr>
        <w:t>Ilgar</w:t>
      </w:r>
      <w:proofErr w:type="spellEnd"/>
      <w:r w:rsidR="00044890" w:rsidRPr="003218C2">
        <w:rPr>
          <w:i/>
          <w:iCs/>
          <w:sz w:val="24"/>
          <w:szCs w:val="24"/>
          <w:lang w:val="en-US"/>
        </w:rPr>
        <w:t xml:space="preserve"> Mammadov v Azerbaijan</w:t>
      </w:r>
      <w:r w:rsidR="00044890" w:rsidRPr="003218C2">
        <w:rPr>
          <w:sz w:val="24"/>
          <w:szCs w:val="24"/>
          <w:lang w:val="en-US"/>
        </w:rPr>
        <w:t xml:space="preserve"> in 2019 where the Court found violations on account of the failure to execute a judgment fin</w:t>
      </w:r>
      <w:r w:rsidR="00A41CC4" w:rsidRPr="003218C2">
        <w:rPr>
          <w:sz w:val="24"/>
          <w:szCs w:val="24"/>
          <w:lang w:val="en-US"/>
        </w:rPr>
        <w:t>d</w:t>
      </w:r>
      <w:r w:rsidR="00044890" w:rsidRPr="003218C2">
        <w:rPr>
          <w:sz w:val="24"/>
          <w:szCs w:val="24"/>
          <w:lang w:val="en-US"/>
        </w:rPr>
        <w:t xml:space="preserve">ing violations of </w:t>
      </w:r>
      <w:proofErr w:type="spellStart"/>
      <w:r w:rsidR="00044890" w:rsidRPr="003218C2">
        <w:rPr>
          <w:sz w:val="24"/>
          <w:szCs w:val="24"/>
          <w:lang w:val="en-US"/>
        </w:rPr>
        <w:t>i.a.</w:t>
      </w:r>
      <w:proofErr w:type="spellEnd"/>
      <w:r w:rsidR="00044890" w:rsidRPr="003218C2">
        <w:rPr>
          <w:sz w:val="24"/>
          <w:szCs w:val="24"/>
          <w:lang w:val="en-US"/>
        </w:rPr>
        <w:t xml:space="preserve"> Articles 5 and 6</w:t>
      </w:r>
      <w:r w:rsidR="00A41CC4" w:rsidRPr="003218C2">
        <w:rPr>
          <w:sz w:val="24"/>
          <w:szCs w:val="24"/>
          <w:lang w:val="en-US"/>
        </w:rPr>
        <w:t xml:space="preserve"> (no reopening ordered).</w:t>
      </w:r>
    </w:p>
    <w:p w14:paraId="14BE94FB" w14:textId="455F8880" w:rsidR="00034AFC" w:rsidRPr="003218C2" w:rsidRDefault="00034AFC" w:rsidP="00063F1F">
      <w:pPr>
        <w:rPr>
          <w:sz w:val="24"/>
          <w:szCs w:val="24"/>
          <w:lang w:val="en-US"/>
        </w:rPr>
      </w:pPr>
      <w:r w:rsidRPr="003218C2">
        <w:rPr>
          <w:sz w:val="24"/>
          <w:szCs w:val="24"/>
          <w:lang w:val="en-US"/>
        </w:rPr>
        <w:t>Having said that, the ECtHR is</w:t>
      </w:r>
      <w:r w:rsidR="00E71B7D">
        <w:rPr>
          <w:sz w:val="24"/>
          <w:szCs w:val="24"/>
          <w:lang w:val="en-US"/>
        </w:rPr>
        <w:t xml:space="preserve"> well</w:t>
      </w:r>
      <w:r w:rsidRPr="003218C2">
        <w:rPr>
          <w:sz w:val="24"/>
          <w:szCs w:val="24"/>
          <w:lang w:val="en-US"/>
        </w:rPr>
        <w:t xml:space="preserve"> informed about the execution or lack thereof in subsequent cases dealing with the same topic and may therefore take that into account and even highlight that in new rulings.</w:t>
      </w:r>
    </w:p>
    <w:p w14:paraId="4C57F6B6" w14:textId="28866C4A" w:rsidR="000562DE" w:rsidRPr="003218C2" w:rsidRDefault="000562DE" w:rsidP="000562DE">
      <w:pPr>
        <w:pStyle w:val="Rubrik3"/>
        <w:rPr>
          <w:sz w:val="24"/>
          <w:szCs w:val="24"/>
          <w:lang w:val="en-US"/>
        </w:rPr>
      </w:pPr>
      <w:r w:rsidRPr="003218C2">
        <w:rPr>
          <w:sz w:val="24"/>
          <w:szCs w:val="24"/>
          <w:lang w:val="en-US"/>
        </w:rPr>
        <w:t>Conclusion</w:t>
      </w:r>
      <w:r w:rsidR="00063F1F" w:rsidRPr="003218C2">
        <w:rPr>
          <w:sz w:val="24"/>
          <w:szCs w:val="24"/>
          <w:lang w:val="en-US"/>
        </w:rPr>
        <w:t>s</w:t>
      </w:r>
    </w:p>
    <w:p w14:paraId="49227CDB" w14:textId="77777777" w:rsidR="00063F1F" w:rsidRPr="003218C2" w:rsidRDefault="00063F1F">
      <w:pPr>
        <w:rPr>
          <w:sz w:val="24"/>
          <w:szCs w:val="24"/>
          <w:lang w:val="en-US"/>
        </w:rPr>
      </w:pPr>
    </w:p>
    <w:p w14:paraId="4DDB4ED8" w14:textId="65D31252" w:rsidR="00034AFC" w:rsidRPr="003218C2" w:rsidRDefault="000562DE">
      <w:pPr>
        <w:rPr>
          <w:sz w:val="24"/>
          <w:szCs w:val="24"/>
          <w:lang w:val="en-US"/>
        </w:rPr>
      </w:pPr>
      <w:r w:rsidRPr="003218C2">
        <w:rPr>
          <w:sz w:val="24"/>
          <w:szCs w:val="24"/>
          <w:lang w:val="en-US"/>
        </w:rPr>
        <w:t xml:space="preserve">The respect </w:t>
      </w:r>
      <w:r w:rsidR="00182387" w:rsidRPr="003218C2">
        <w:rPr>
          <w:sz w:val="24"/>
          <w:szCs w:val="24"/>
          <w:lang w:val="en-US"/>
        </w:rPr>
        <w:t xml:space="preserve">on domestic level </w:t>
      </w:r>
      <w:r w:rsidRPr="003218C2">
        <w:rPr>
          <w:sz w:val="24"/>
          <w:szCs w:val="24"/>
          <w:lang w:val="en-US"/>
        </w:rPr>
        <w:t xml:space="preserve">for the </w:t>
      </w:r>
      <w:r w:rsidRPr="003218C2">
        <w:rPr>
          <w:i/>
          <w:iCs/>
          <w:sz w:val="24"/>
          <w:szCs w:val="24"/>
          <w:lang w:val="en-US"/>
        </w:rPr>
        <w:t>res judicata</w:t>
      </w:r>
      <w:r w:rsidRPr="003218C2">
        <w:rPr>
          <w:sz w:val="24"/>
          <w:szCs w:val="24"/>
          <w:lang w:val="en-US"/>
        </w:rPr>
        <w:t xml:space="preserve"> principle is in my opinion not </w:t>
      </w:r>
      <w:r w:rsidR="00E71B7D">
        <w:rPr>
          <w:sz w:val="24"/>
          <w:szCs w:val="24"/>
          <w:lang w:val="en-US"/>
        </w:rPr>
        <w:t>restricted</w:t>
      </w:r>
      <w:r w:rsidRPr="003218C2">
        <w:rPr>
          <w:sz w:val="24"/>
          <w:szCs w:val="24"/>
          <w:lang w:val="en-US"/>
        </w:rPr>
        <w:t xml:space="preserve"> by the reopening clauses in the ECtHR judgem</w:t>
      </w:r>
      <w:r w:rsidR="00063F1F" w:rsidRPr="003218C2">
        <w:rPr>
          <w:sz w:val="24"/>
          <w:szCs w:val="24"/>
          <w:lang w:val="en-US"/>
        </w:rPr>
        <w:t>e</w:t>
      </w:r>
      <w:r w:rsidRPr="003218C2">
        <w:rPr>
          <w:sz w:val="24"/>
          <w:szCs w:val="24"/>
          <w:lang w:val="en-US"/>
        </w:rPr>
        <w:t xml:space="preserve">nts, regardless of whether they are inserted in the reasoning or the operative part. A domestic court </w:t>
      </w:r>
      <w:r w:rsidR="00063F1F" w:rsidRPr="003218C2">
        <w:rPr>
          <w:sz w:val="24"/>
          <w:szCs w:val="24"/>
          <w:lang w:val="en-US"/>
        </w:rPr>
        <w:t xml:space="preserve">cannot refrain from assessing the legality accordance to domestic law and principles </w:t>
      </w:r>
      <w:r w:rsidR="00B044AB" w:rsidRPr="003218C2">
        <w:rPr>
          <w:sz w:val="24"/>
          <w:szCs w:val="24"/>
          <w:lang w:val="en-US"/>
        </w:rPr>
        <w:t>for</w:t>
      </w:r>
      <w:r w:rsidR="00063F1F" w:rsidRPr="003218C2">
        <w:rPr>
          <w:sz w:val="24"/>
          <w:szCs w:val="24"/>
          <w:lang w:val="en-US"/>
        </w:rPr>
        <w:t xml:space="preserve"> retrial. Notably a finding of a violation </w:t>
      </w:r>
      <w:r w:rsidR="00275385" w:rsidRPr="003218C2">
        <w:rPr>
          <w:sz w:val="24"/>
          <w:szCs w:val="24"/>
          <w:lang w:val="en-US"/>
        </w:rPr>
        <w:t xml:space="preserve">by the ECtHR </w:t>
      </w:r>
      <w:r w:rsidR="00B044AB" w:rsidRPr="003218C2">
        <w:rPr>
          <w:sz w:val="24"/>
          <w:szCs w:val="24"/>
          <w:lang w:val="en-US"/>
        </w:rPr>
        <w:t xml:space="preserve">does not </w:t>
      </w:r>
      <w:r w:rsidR="00063F1F" w:rsidRPr="003218C2">
        <w:rPr>
          <w:sz w:val="24"/>
          <w:szCs w:val="24"/>
          <w:lang w:val="en-US"/>
        </w:rPr>
        <w:t xml:space="preserve">automatically </w:t>
      </w:r>
      <w:r w:rsidR="00B044AB" w:rsidRPr="003218C2">
        <w:rPr>
          <w:sz w:val="24"/>
          <w:szCs w:val="24"/>
          <w:lang w:val="en-US"/>
        </w:rPr>
        <w:t xml:space="preserve">have to </w:t>
      </w:r>
      <w:r w:rsidR="00063F1F" w:rsidRPr="003218C2">
        <w:rPr>
          <w:sz w:val="24"/>
          <w:szCs w:val="24"/>
          <w:lang w:val="en-US"/>
        </w:rPr>
        <w:t xml:space="preserve">be considered as a new circumstance that would allow for extraordinary appeal, </w:t>
      </w:r>
      <w:r w:rsidR="00275385" w:rsidRPr="003218C2">
        <w:rPr>
          <w:sz w:val="24"/>
          <w:szCs w:val="24"/>
          <w:lang w:val="en-US"/>
        </w:rPr>
        <w:t xml:space="preserve">especially </w:t>
      </w:r>
      <w:r w:rsidR="00063F1F" w:rsidRPr="003218C2">
        <w:rPr>
          <w:sz w:val="24"/>
          <w:szCs w:val="24"/>
          <w:lang w:val="en-US"/>
        </w:rPr>
        <w:t>in situations where private third parties would be negatively affected.</w:t>
      </w:r>
      <w:r w:rsidR="00A41CC4" w:rsidRPr="003218C2">
        <w:rPr>
          <w:sz w:val="24"/>
          <w:szCs w:val="24"/>
          <w:lang w:val="en-US"/>
        </w:rPr>
        <w:t xml:space="preserve"> </w:t>
      </w:r>
    </w:p>
    <w:p w14:paraId="1CBEF05F" w14:textId="39B59F30" w:rsidR="00DE126C" w:rsidRPr="007E03AD" w:rsidRDefault="00A41CC4">
      <w:pPr>
        <w:rPr>
          <w:sz w:val="24"/>
          <w:szCs w:val="24"/>
          <w:lang w:val="en-US"/>
        </w:rPr>
      </w:pPr>
      <w:r w:rsidRPr="003218C2">
        <w:rPr>
          <w:sz w:val="24"/>
          <w:szCs w:val="24"/>
          <w:lang w:val="en-US"/>
        </w:rPr>
        <w:t xml:space="preserve">This is said with reservation for the fact that as to date there have been no judgments in infringement proceedings from </w:t>
      </w:r>
      <w:r w:rsidR="00034AFC" w:rsidRPr="003218C2">
        <w:rPr>
          <w:sz w:val="24"/>
          <w:szCs w:val="24"/>
          <w:lang w:val="en-US"/>
        </w:rPr>
        <w:t xml:space="preserve">the ECtHR dealing with the issue of non-compliance of judgments “ordering” reopening. If such reopening is ordered in the </w:t>
      </w:r>
      <w:r w:rsidR="00034AFC" w:rsidRPr="003218C2">
        <w:rPr>
          <w:sz w:val="24"/>
          <w:szCs w:val="24"/>
          <w:lang w:val="en-US"/>
        </w:rPr>
        <w:lastRenderedPageBreak/>
        <w:t xml:space="preserve">operative part of a judgment there </w:t>
      </w:r>
      <w:r w:rsidR="00182387" w:rsidRPr="003218C2">
        <w:rPr>
          <w:sz w:val="24"/>
          <w:szCs w:val="24"/>
          <w:lang w:val="en-US"/>
        </w:rPr>
        <w:t>may be</w:t>
      </w:r>
      <w:r w:rsidR="00034AFC" w:rsidRPr="003218C2">
        <w:rPr>
          <w:sz w:val="24"/>
          <w:szCs w:val="24"/>
          <w:lang w:val="en-US"/>
        </w:rPr>
        <w:t xml:space="preserve"> a risk or chance, depending on how one sees it, that the nonexecution will be the object for infringement proceedings.</w:t>
      </w:r>
    </w:p>
    <w:sectPr w:rsidR="00DE126C" w:rsidRPr="007E03A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8ABCE" w14:textId="77777777" w:rsidR="00AE49B8" w:rsidRDefault="00AE49B8" w:rsidP="00AE49B8">
      <w:pPr>
        <w:spacing w:before="0" w:after="0" w:line="240" w:lineRule="auto"/>
      </w:pPr>
      <w:r>
        <w:separator/>
      </w:r>
    </w:p>
  </w:endnote>
  <w:endnote w:type="continuationSeparator" w:id="0">
    <w:p w14:paraId="439F191D" w14:textId="77777777" w:rsidR="00AE49B8" w:rsidRDefault="00AE49B8" w:rsidP="00AE49B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B5596" w14:textId="77777777" w:rsidR="00AE49B8" w:rsidRDefault="00AE49B8" w:rsidP="00AE49B8">
      <w:pPr>
        <w:spacing w:before="0" w:after="0" w:line="240" w:lineRule="auto"/>
      </w:pPr>
      <w:r>
        <w:separator/>
      </w:r>
    </w:p>
  </w:footnote>
  <w:footnote w:type="continuationSeparator" w:id="0">
    <w:p w14:paraId="2EF1DF67" w14:textId="77777777" w:rsidR="00AE49B8" w:rsidRDefault="00AE49B8" w:rsidP="00AE49B8">
      <w:pPr>
        <w:spacing w:before="0" w:after="0" w:line="240" w:lineRule="auto"/>
      </w:pPr>
      <w:r>
        <w:continuationSeparator/>
      </w:r>
    </w:p>
  </w:footnote>
  <w:footnote w:id="1">
    <w:p w14:paraId="1E67C2EB" w14:textId="15CDF4B1" w:rsidR="00AE49B8" w:rsidRPr="00AE49B8" w:rsidRDefault="00AE49B8">
      <w:pPr>
        <w:pStyle w:val="Fotnotstext"/>
        <w:rPr>
          <w:lang w:val="en-US"/>
        </w:rPr>
      </w:pPr>
      <w:r>
        <w:rPr>
          <w:rStyle w:val="Fotnotsreferens"/>
        </w:rPr>
        <w:footnoteRef/>
      </w:r>
      <w:r w:rsidRPr="00AE49B8">
        <w:rPr>
          <w:lang w:val="en-US"/>
        </w:rPr>
        <w:t xml:space="preserve"> Moreira Ferreira v Portugal (No.</w:t>
      </w:r>
      <w:r>
        <w:rPr>
          <w:lang w:val="en-US"/>
        </w:rPr>
        <w:t xml:space="preserve"> 2), </w:t>
      </w:r>
      <w:r w:rsidR="00100A48">
        <w:rPr>
          <w:lang w:val="en-US"/>
        </w:rPr>
        <w:t>§§ 34–39.</w:t>
      </w:r>
    </w:p>
  </w:footnote>
  <w:footnote w:id="2">
    <w:p w14:paraId="475EA26F" w14:textId="3F705EDD" w:rsidR="003218C2" w:rsidRPr="003218C2" w:rsidRDefault="003218C2">
      <w:pPr>
        <w:pStyle w:val="Fotnotstext"/>
        <w:rPr>
          <w:lang w:val="en-US"/>
        </w:rPr>
      </w:pPr>
      <w:r>
        <w:rPr>
          <w:rStyle w:val="Fotnotsreferens"/>
        </w:rPr>
        <w:footnoteRef/>
      </w:r>
      <w:r w:rsidRPr="003218C2">
        <w:rPr>
          <w:lang w:val="en-US"/>
        </w:rPr>
        <w:t xml:space="preserve"> </w:t>
      </w:r>
      <w:r>
        <w:rPr>
          <w:lang w:val="en-US"/>
        </w:rPr>
        <w:t>Lucky Dev v. Sweden.</w:t>
      </w:r>
    </w:p>
  </w:footnote>
  <w:footnote w:id="3">
    <w:p w14:paraId="4E686297" w14:textId="78DEDC69" w:rsidR="00AF3B72" w:rsidRPr="00AF3B72" w:rsidRDefault="00AF3B72">
      <w:pPr>
        <w:pStyle w:val="Fotnotstext"/>
        <w:rPr>
          <w:lang w:val="en-US"/>
        </w:rPr>
      </w:pPr>
      <w:r>
        <w:rPr>
          <w:rStyle w:val="Fotnotsreferens"/>
        </w:rPr>
        <w:footnoteRef/>
      </w:r>
      <w:r w:rsidRPr="00AF3B72">
        <w:rPr>
          <w:lang w:val="en-US"/>
        </w:rPr>
        <w:t xml:space="preserve"> However, a</w:t>
      </w:r>
      <w:r>
        <w:rPr>
          <w:lang w:val="en-US"/>
        </w:rPr>
        <w:t xml:space="preserve">s a parenthesis: the ruling in </w:t>
      </w:r>
      <w:r w:rsidRPr="00DE3B52">
        <w:rPr>
          <w:i/>
          <w:iCs/>
          <w:lang w:val="en-US"/>
        </w:rPr>
        <w:t xml:space="preserve">A and B v. Norway </w:t>
      </w:r>
      <w:r>
        <w:rPr>
          <w:lang w:val="en-US"/>
        </w:rPr>
        <w:t>may have reversed the ne bis situation again.</w:t>
      </w:r>
    </w:p>
  </w:footnote>
  <w:footnote w:id="4">
    <w:p w14:paraId="3B6EE745" w14:textId="5FFC86E0" w:rsidR="00100A48" w:rsidRPr="00AF3B72" w:rsidRDefault="00100A48">
      <w:pPr>
        <w:pStyle w:val="Fotnotstext"/>
        <w:rPr>
          <w:lang w:val="en-US"/>
        </w:rPr>
      </w:pPr>
      <w:r>
        <w:rPr>
          <w:rStyle w:val="Fotnotsreferens"/>
        </w:rPr>
        <w:footnoteRef/>
      </w:r>
      <w:r w:rsidRPr="00AF3B72">
        <w:rPr>
          <w:lang w:val="en-US"/>
        </w:rPr>
        <w:t xml:space="preserve"> Moreira Ferreira</w:t>
      </w:r>
      <w:r w:rsidR="003E13A1" w:rsidRPr="00AF3B72">
        <w:rPr>
          <w:lang w:val="en-US"/>
        </w:rPr>
        <w:t xml:space="preserve"> (No. 2)</w:t>
      </w:r>
      <w:r w:rsidRPr="00AF3B72">
        <w:rPr>
          <w:lang w:val="en-US"/>
        </w:rPr>
        <w:t>, § 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052011"/>
      <w:docPartObj>
        <w:docPartGallery w:val="Page Numbers (Top of Page)"/>
        <w:docPartUnique/>
      </w:docPartObj>
    </w:sdtPr>
    <w:sdtEndPr/>
    <w:sdtContent>
      <w:p w14:paraId="32D0D490" w14:textId="1BBD72E3" w:rsidR="00EE3DED" w:rsidRDefault="00EE3DED">
        <w:pPr>
          <w:pStyle w:val="Sidhuvud"/>
          <w:jc w:val="center"/>
        </w:pPr>
        <w:r>
          <w:fldChar w:fldCharType="begin"/>
        </w:r>
        <w:r>
          <w:instrText>PAGE   \* MERGEFORMAT</w:instrText>
        </w:r>
        <w:r>
          <w:fldChar w:fldCharType="separate"/>
        </w:r>
        <w:r>
          <w:t>2</w:t>
        </w:r>
        <w:r>
          <w:fldChar w:fldCharType="end"/>
        </w:r>
      </w:p>
    </w:sdtContent>
  </w:sdt>
  <w:p w14:paraId="2C42A01B" w14:textId="77777777" w:rsidR="00EE3DED" w:rsidRDefault="00EE3DE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0A55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365EDA"/>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14642FE"/>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87681264"/>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BD4455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B453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C6A9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BAC3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CCE0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38F1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D710CF"/>
    <w:multiLevelType w:val="multilevel"/>
    <w:tmpl w:val="D20A5206"/>
    <w:styleLink w:val="Listformattest"/>
    <w:lvl w:ilvl="0">
      <w:start w:val="1"/>
      <w:numFmt w:val="bullet"/>
      <w:lvlText w:val="•"/>
      <w:lvlJc w:val="left"/>
      <w:pPr>
        <w:ind w:left="360" w:hanging="360"/>
      </w:pPr>
      <w:rPr>
        <w:rFonts w:ascii="Georgia" w:hAnsi="Georgi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6148C6"/>
    <w:multiLevelType w:val="hybridMultilevel"/>
    <w:tmpl w:val="1A06C66E"/>
    <w:lvl w:ilvl="0" w:tplc="588413CC">
      <w:start w:val="1"/>
      <w:numFmt w:val="bullet"/>
      <w:pStyle w:val="Punktlista"/>
      <w:lvlText w:val="•"/>
      <w:lvlJc w:val="left"/>
      <w:pPr>
        <w:ind w:left="360" w:hanging="360"/>
      </w:pPr>
      <w:rPr>
        <w:rFonts w:ascii="Georgia" w:hAnsi="Georgia"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C8A6F97"/>
    <w:multiLevelType w:val="multilevel"/>
    <w:tmpl w:val="91FC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FA3EE7"/>
    <w:multiLevelType w:val="multilevel"/>
    <w:tmpl w:val="83FE1CAE"/>
    <w:styleLink w:val="Formatmall1"/>
    <w:lvl w:ilvl="0">
      <w:start w:val="1"/>
      <w:numFmt w:val="decimal"/>
      <w:lvlText w:val="%1."/>
      <w:lvlJc w:val="left"/>
      <w:pPr>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3985363"/>
    <w:multiLevelType w:val="hybridMultilevel"/>
    <w:tmpl w:val="0DF4A490"/>
    <w:lvl w:ilvl="0" w:tplc="DC2AF6E8">
      <w:start w:val="1"/>
      <w:numFmt w:val="decimal"/>
      <w:pStyle w:val="Numreradlista"/>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447F76B1"/>
    <w:multiLevelType w:val="multilevel"/>
    <w:tmpl w:val="6BF2A252"/>
    <w:lvl w:ilvl="0">
      <w:start w:val="1"/>
      <w:numFmt w:val="bullet"/>
      <w:pStyle w:val="Lista-Punkter"/>
      <w:lvlText w:val="•"/>
      <w:lvlJc w:val="left"/>
      <w:pPr>
        <w:tabs>
          <w:tab w:val="num" w:pos="357"/>
        </w:tabs>
        <w:ind w:left="357" w:hanging="357"/>
      </w:pPr>
      <w:rPr>
        <w:rFonts w:ascii="Garamond" w:hAnsi="Garamond" w:hint="default"/>
        <w:sz w:val="20"/>
      </w:rPr>
    </w:lvl>
    <w:lvl w:ilvl="1">
      <w:start w:val="1"/>
      <w:numFmt w:val="bullet"/>
      <w:lvlText w:val="-"/>
      <w:lvlJc w:val="left"/>
      <w:pPr>
        <w:tabs>
          <w:tab w:val="num" w:pos="811"/>
        </w:tabs>
        <w:ind w:left="811" w:hanging="357"/>
      </w:pPr>
      <w:rPr>
        <w:rFonts w:ascii="Arial" w:hAnsi="Arial" w:hint="default"/>
      </w:rPr>
    </w:lvl>
    <w:lvl w:ilvl="2">
      <w:start w:val="1"/>
      <w:numFmt w:val="bullet"/>
      <w:lvlText w:val=""/>
      <w:lvlJc w:val="left"/>
      <w:pPr>
        <w:tabs>
          <w:tab w:val="num" w:pos="1264"/>
        </w:tabs>
        <w:ind w:left="1264" w:hanging="357"/>
      </w:pPr>
      <w:rPr>
        <w:rFonts w:ascii="Wingdings" w:hAnsi="Wingdings" w:hint="default"/>
      </w:rPr>
    </w:lvl>
    <w:lvl w:ilvl="3">
      <w:start w:val="1"/>
      <w:numFmt w:val="bullet"/>
      <w:lvlText w:val=""/>
      <w:lvlJc w:val="left"/>
      <w:pPr>
        <w:tabs>
          <w:tab w:val="num" w:pos="1718"/>
        </w:tabs>
        <w:ind w:left="1718" w:hanging="357"/>
      </w:pPr>
      <w:rPr>
        <w:rFonts w:ascii="Symbol" w:hAnsi="Symbol" w:hint="default"/>
      </w:rPr>
    </w:lvl>
    <w:lvl w:ilvl="4">
      <w:start w:val="1"/>
      <w:numFmt w:val="bullet"/>
      <w:lvlText w:val="o"/>
      <w:lvlJc w:val="left"/>
      <w:pPr>
        <w:tabs>
          <w:tab w:val="num" w:pos="2189"/>
        </w:tabs>
        <w:ind w:left="2189" w:hanging="375"/>
      </w:pPr>
      <w:rPr>
        <w:rFonts w:ascii="Courier New" w:hAnsi="Courier New" w:hint="default"/>
      </w:rPr>
    </w:lvl>
    <w:lvl w:ilvl="5">
      <w:start w:val="1"/>
      <w:numFmt w:val="bullet"/>
      <w:lvlText w:val=""/>
      <w:lvlJc w:val="left"/>
      <w:pPr>
        <w:tabs>
          <w:tab w:val="num" w:pos="2642"/>
        </w:tabs>
        <w:ind w:left="2642" w:hanging="357"/>
      </w:pPr>
      <w:rPr>
        <w:rFonts w:ascii="Wingdings" w:hAnsi="Wingdings" w:hint="default"/>
      </w:rPr>
    </w:lvl>
    <w:lvl w:ilvl="6">
      <w:start w:val="1"/>
      <w:numFmt w:val="bullet"/>
      <w:lvlText w:val=""/>
      <w:lvlJc w:val="left"/>
      <w:pPr>
        <w:tabs>
          <w:tab w:val="num" w:pos="3073"/>
        </w:tabs>
        <w:ind w:left="3073" w:hanging="357"/>
      </w:pPr>
      <w:rPr>
        <w:rFonts w:ascii="Symbol" w:hAnsi="Symbol" w:hint="default"/>
      </w:rPr>
    </w:lvl>
    <w:lvl w:ilvl="7">
      <w:start w:val="1"/>
      <w:numFmt w:val="bullet"/>
      <w:lvlText w:val="o"/>
      <w:lvlJc w:val="left"/>
      <w:pPr>
        <w:tabs>
          <w:tab w:val="num" w:pos="3504"/>
        </w:tabs>
        <w:ind w:left="3504" w:hanging="357"/>
      </w:pPr>
      <w:rPr>
        <w:rFonts w:ascii="Courier New" w:hAnsi="Courier New" w:hint="default"/>
      </w:rPr>
    </w:lvl>
    <w:lvl w:ilvl="8">
      <w:start w:val="1"/>
      <w:numFmt w:val="bullet"/>
      <w:lvlText w:val=""/>
      <w:lvlJc w:val="left"/>
      <w:pPr>
        <w:tabs>
          <w:tab w:val="num" w:pos="3935"/>
        </w:tabs>
        <w:ind w:left="3935" w:hanging="357"/>
      </w:pPr>
      <w:rPr>
        <w:rFonts w:ascii="Wingdings" w:hAnsi="Wingdings" w:hint="default"/>
      </w:rPr>
    </w:lvl>
  </w:abstractNum>
  <w:abstractNum w:abstractNumId="16" w15:restartNumberingAfterBreak="0">
    <w:nsid w:val="4A753D98"/>
    <w:multiLevelType w:val="multilevel"/>
    <w:tmpl w:val="D0F840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Rubrik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Rubrik9"/>
      <w:lvlText w:val="%1.%2.%3.%4.%5.%6.%7.%8.%9"/>
      <w:lvlJc w:val="left"/>
      <w:pPr>
        <w:ind w:left="1584" w:hanging="1584"/>
      </w:pPr>
    </w:lvl>
  </w:abstractNum>
  <w:abstractNum w:abstractNumId="17" w15:restartNumberingAfterBreak="0">
    <w:nsid w:val="53884206"/>
    <w:multiLevelType w:val="multilevel"/>
    <w:tmpl w:val="21680D3C"/>
    <w:lvl w:ilvl="0">
      <w:start w:val="1"/>
      <w:numFmt w:val="bullet"/>
      <w:pStyle w:val="punktlistor"/>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Trebuchet MS" w:hAnsi="Trebuchet MS" w:hint="default"/>
      </w:rPr>
    </w:lvl>
    <w:lvl w:ilvl="2">
      <w:start w:val="1"/>
      <w:numFmt w:val="bullet"/>
      <w:lvlText w:val=""/>
      <w:lvlJc w:val="left"/>
      <w:pPr>
        <w:tabs>
          <w:tab w:val="num" w:pos="1080"/>
        </w:tabs>
        <w:ind w:left="1080" w:hanging="360"/>
      </w:pPr>
      <w:rPr>
        <w:rFonts w:ascii="Wingdings" w:hAnsi="Wingdings" w:hint="default"/>
      </w:rPr>
    </w:lvl>
    <w:lvl w:ilvl="3">
      <w:numFmt w:val="none"/>
      <w:lvlText w:val=""/>
      <w:lvlJc w:val="left"/>
      <w:pPr>
        <w:tabs>
          <w:tab w:val="num" w:pos="360"/>
        </w:tabs>
      </w:p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71907BBE"/>
    <w:multiLevelType w:val="multilevel"/>
    <w:tmpl w:val="97563FC8"/>
    <w:lvl w:ilvl="0">
      <w:start w:val="1"/>
      <w:numFmt w:val="decimal"/>
      <w:pStyle w:val="Lista-Numrerad"/>
      <w:lvlText w:val="%1."/>
      <w:lvlJc w:val="left"/>
      <w:pPr>
        <w:tabs>
          <w:tab w:val="num" w:pos="357"/>
        </w:tabs>
        <w:ind w:left="357" w:hanging="357"/>
      </w:pPr>
      <w:rPr>
        <w:rFonts w:hint="default"/>
      </w:rPr>
    </w:lvl>
    <w:lvl w:ilvl="1">
      <w:start w:val="1"/>
      <w:numFmt w:val="lowerLetter"/>
      <w:lvlText w:val="%2."/>
      <w:lvlJc w:val="left"/>
      <w:pPr>
        <w:tabs>
          <w:tab w:val="num" w:pos="811"/>
        </w:tabs>
        <w:ind w:left="811" w:hanging="357"/>
      </w:pPr>
      <w:rPr>
        <w:rFonts w:hint="default"/>
      </w:rPr>
    </w:lvl>
    <w:lvl w:ilvl="2">
      <w:start w:val="1"/>
      <w:numFmt w:val="lowerRoman"/>
      <w:lvlText w:val="%3."/>
      <w:lvlJc w:val="right"/>
      <w:pPr>
        <w:tabs>
          <w:tab w:val="num" w:pos="1264"/>
        </w:tabs>
        <w:ind w:left="1264" w:hanging="357"/>
      </w:pPr>
      <w:rPr>
        <w:rFonts w:hint="default"/>
      </w:rPr>
    </w:lvl>
    <w:lvl w:ilvl="3">
      <w:start w:val="1"/>
      <w:numFmt w:val="decimal"/>
      <w:lvlText w:val="%4."/>
      <w:lvlJc w:val="left"/>
      <w:pPr>
        <w:tabs>
          <w:tab w:val="num" w:pos="1718"/>
        </w:tabs>
        <w:ind w:left="1718" w:hanging="357"/>
      </w:pPr>
      <w:rPr>
        <w:rFonts w:hint="default"/>
      </w:rPr>
    </w:lvl>
    <w:lvl w:ilvl="4">
      <w:start w:val="1"/>
      <w:numFmt w:val="lowerLetter"/>
      <w:lvlText w:val="%5."/>
      <w:lvlJc w:val="left"/>
      <w:pPr>
        <w:tabs>
          <w:tab w:val="num" w:pos="2172"/>
        </w:tabs>
        <w:ind w:left="2172" w:hanging="358"/>
      </w:pPr>
      <w:rPr>
        <w:rFonts w:hint="default"/>
      </w:rPr>
    </w:lvl>
    <w:lvl w:ilvl="5">
      <w:start w:val="1"/>
      <w:numFmt w:val="lowerRoman"/>
      <w:lvlText w:val="%6."/>
      <w:lvlJc w:val="right"/>
      <w:pPr>
        <w:tabs>
          <w:tab w:val="num" w:pos="2625"/>
        </w:tabs>
        <w:ind w:left="2625" w:hanging="357"/>
      </w:pPr>
      <w:rPr>
        <w:rFonts w:hint="default"/>
      </w:rPr>
    </w:lvl>
    <w:lvl w:ilvl="6">
      <w:start w:val="1"/>
      <w:numFmt w:val="decimal"/>
      <w:lvlText w:val="%7."/>
      <w:lvlJc w:val="left"/>
      <w:pPr>
        <w:tabs>
          <w:tab w:val="num" w:pos="3079"/>
        </w:tabs>
        <w:ind w:left="3079" w:hanging="357"/>
      </w:pPr>
      <w:rPr>
        <w:rFonts w:hint="default"/>
      </w:rPr>
    </w:lvl>
    <w:lvl w:ilvl="7">
      <w:start w:val="1"/>
      <w:numFmt w:val="lowerLetter"/>
      <w:lvlText w:val="%8."/>
      <w:lvlJc w:val="left"/>
      <w:pPr>
        <w:tabs>
          <w:tab w:val="num" w:pos="3532"/>
        </w:tabs>
        <w:ind w:left="3532" w:hanging="357"/>
      </w:pPr>
      <w:rPr>
        <w:rFonts w:hint="default"/>
      </w:rPr>
    </w:lvl>
    <w:lvl w:ilvl="8">
      <w:start w:val="1"/>
      <w:numFmt w:val="lowerRoman"/>
      <w:lvlText w:val="%9."/>
      <w:lvlJc w:val="right"/>
      <w:pPr>
        <w:tabs>
          <w:tab w:val="num" w:pos="3986"/>
        </w:tabs>
        <w:ind w:left="3986" w:hanging="357"/>
      </w:pPr>
      <w:rPr>
        <w:rFonts w:hint="default"/>
      </w:rPr>
    </w:lvl>
  </w:abstractNum>
  <w:abstractNum w:abstractNumId="19" w15:restartNumberingAfterBreak="0">
    <w:nsid w:val="7D1F5588"/>
    <w:multiLevelType w:val="singleLevel"/>
    <w:tmpl w:val="5024DF46"/>
    <w:lvl w:ilvl="0">
      <w:start w:val="1"/>
      <w:numFmt w:val="bullet"/>
      <w:pStyle w:val="Bullet1Normal"/>
      <w:lvlText w:val=""/>
      <w:lvlJc w:val="left"/>
      <w:pPr>
        <w:tabs>
          <w:tab w:val="num" w:pos="360"/>
        </w:tabs>
        <w:ind w:left="360" w:hanging="360"/>
      </w:pPr>
      <w:rPr>
        <w:rFonts w:ascii="Symbol" w:hAnsi="Symbol" w:hint="default"/>
      </w:rPr>
    </w:lvl>
  </w:abstractNum>
  <w:num w:numId="1" w16cid:durableId="1439836179">
    <w:abstractNumId w:val="8"/>
  </w:num>
  <w:num w:numId="2" w16cid:durableId="732239346">
    <w:abstractNumId w:val="3"/>
  </w:num>
  <w:num w:numId="3" w16cid:durableId="342707025">
    <w:abstractNumId w:val="2"/>
  </w:num>
  <w:num w:numId="4" w16cid:durableId="411046570">
    <w:abstractNumId w:val="1"/>
  </w:num>
  <w:num w:numId="5" w16cid:durableId="1181163180">
    <w:abstractNumId w:val="0"/>
  </w:num>
  <w:num w:numId="6" w16cid:durableId="1573731880">
    <w:abstractNumId w:val="9"/>
  </w:num>
  <w:num w:numId="7" w16cid:durableId="1206409592">
    <w:abstractNumId w:val="7"/>
  </w:num>
  <w:num w:numId="8" w16cid:durableId="248927187">
    <w:abstractNumId w:val="6"/>
  </w:num>
  <w:num w:numId="9" w16cid:durableId="105465426">
    <w:abstractNumId w:val="5"/>
  </w:num>
  <w:num w:numId="10" w16cid:durableId="1784421478">
    <w:abstractNumId w:val="4"/>
  </w:num>
  <w:num w:numId="11" w16cid:durableId="974137921">
    <w:abstractNumId w:val="17"/>
  </w:num>
  <w:num w:numId="12" w16cid:durableId="781874811">
    <w:abstractNumId w:val="19"/>
  </w:num>
  <w:num w:numId="13" w16cid:durableId="217857960">
    <w:abstractNumId w:val="12"/>
  </w:num>
  <w:num w:numId="14" w16cid:durableId="1153253424">
    <w:abstractNumId w:val="18"/>
  </w:num>
  <w:num w:numId="15" w16cid:durableId="871961578">
    <w:abstractNumId w:val="15"/>
  </w:num>
  <w:num w:numId="16" w16cid:durableId="721443237">
    <w:abstractNumId w:val="16"/>
  </w:num>
  <w:num w:numId="17" w16cid:durableId="1470978764">
    <w:abstractNumId w:val="13"/>
  </w:num>
  <w:num w:numId="18" w16cid:durableId="65344809">
    <w:abstractNumId w:val="10"/>
  </w:num>
  <w:num w:numId="19" w16cid:durableId="2058700996">
    <w:abstractNumId w:val="14"/>
  </w:num>
  <w:num w:numId="20" w16cid:durableId="11223083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06E"/>
    <w:rsid w:val="00034AFC"/>
    <w:rsid w:val="00044890"/>
    <w:rsid w:val="000562DE"/>
    <w:rsid w:val="00063F1F"/>
    <w:rsid w:val="00100A48"/>
    <w:rsid w:val="00182387"/>
    <w:rsid w:val="001E4A22"/>
    <w:rsid w:val="00275385"/>
    <w:rsid w:val="002C1148"/>
    <w:rsid w:val="00316FD2"/>
    <w:rsid w:val="003218C2"/>
    <w:rsid w:val="003E13A1"/>
    <w:rsid w:val="003E4469"/>
    <w:rsid w:val="00580BDF"/>
    <w:rsid w:val="00583FA8"/>
    <w:rsid w:val="00620787"/>
    <w:rsid w:val="006668C1"/>
    <w:rsid w:val="00683560"/>
    <w:rsid w:val="007E03AD"/>
    <w:rsid w:val="00816677"/>
    <w:rsid w:val="00846042"/>
    <w:rsid w:val="00947516"/>
    <w:rsid w:val="0096306E"/>
    <w:rsid w:val="00A41CC4"/>
    <w:rsid w:val="00A67CB4"/>
    <w:rsid w:val="00AE49B8"/>
    <w:rsid w:val="00AF3B72"/>
    <w:rsid w:val="00B044AB"/>
    <w:rsid w:val="00BA7468"/>
    <w:rsid w:val="00D4640E"/>
    <w:rsid w:val="00D72BB5"/>
    <w:rsid w:val="00D74523"/>
    <w:rsid w:val="00DE126C"/>
    <w:rsid w:val="00DE3B52"/>
    <w:rsid w:val="00E71B7D"/>
    <w:rsid w:val="00EB5974"/>
    <w:rsid w:val="00EE3D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B2A26"/>
  <w15:chartTrackingRefBased/>
  <w15:docId w15:val="{9280ADED-1CCC-4B6C-82BE-F3ED839F5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06E"/>
    <w:pPr>
      <w:spacing w:before="80" w:after="140" w:line="276" w:lineRule="auto"/>
    </w:pPr>
    <w:rPr>
      <w:rFonts w:ascii="Georgia" w:hAnsi="Georgia" w:cs="Times New Roman"/>
      <w:sz w:val="20"/>
      <w:szCs w:val="20"/>
      <w14:numForm w14:val="lining"/>
    </w:rPr>
  </w:style>
  <w:style w:type="paragraph" w:styleId="Rubrik1">
    <w:name w:val="heading 1"/>
    <w:next w:val="Normal"/>
    <w:link w:val="Rubrik1Char"/>
    <w:uiPriority w:val="9"/>
    <w:qFormat/>
    <w:rsid w:val="0096306E"/>
    <w:pPr>
      <w:keepNext/>
      <w:suppressAutoHyphens/>
      <w:spacing w:before="420" w:after="120" w:line="240" w:lineRule="auto"/>
      <w:outlineLvl w:val="0"/>
    </w:pPr>
    <w:rPr>
      <w:rFonts w:ascii="Open Sans Light" w:hAnsi="Open Sans Light" w:cstheme="majorHAnsi"/>
      <w:sz w:val="30"/>
      <w:szCs w:val="30"/>
    </w:rPr>
  </w:style>
  <w:style w:type="paragraph" w:styleId="Rubrik2">
    <w:name w:val="heading 2"/>
    <w:basedOn w:val="Rubrik1"/>
    <w:next w:val="Normal"/>
    <w:link w:val="Rubrik2Char"/>
    <w:uiPriority w:val="9"/>
    <w:unhideWhenUsed/>
    <w:qFormat/>
    <w:rsid w:val="0096306E"/>
    <w:pPr>
      <w:keepLines/>
      <w:spacing w:before="300" w:after="40"/>
      <w:outlineLvl w:val="1"/>
    </w:pPr>
    <w:rPr>
      <w:rFonts w:eastAsiaTheme="majorEastAsia" w:cstheme="majorBidi"/>
      <w:sz w:val="26"/>
      <w:szCs w:val="26"/>
    </w:rPr>
  </w:style>
  <w:style w:type="paragraph" w:styleId="Rubrik3">
    <w:name w:val="heading 3"/>
    <w:basedOn w:val="Rubrik2"/>
    <w:next w:val="Normal"/>
    <w:link w:val="Rubrik3Char"/>
    <w:uiPriority w:val="9"/>
    <w:unhideWhenUsed/>
    <w:qFormat/>
    <w:rsid w:val="0096306E"/>
    <w:pPr>
      <w:numPr>
        <w:ilvl w:val="2"/>
      </w:numPr>
      <w:spacing w:before="220" w:after="0"/>
      <w:outlineLvl w:val="2"/>
    </w:pPr>
    <w:rPr>
      <w:sz w:val="22"/>
    </w:rPr>
  </w:style>
  <w:style w:type="paragraph" w:styleId="Rubrik4">
    <w:name w:val="heading 4"/>
    <w:basedOn w:val="Rubrik3"/>
    <w:next w:val="Normal"/>
    <w:link w:val="Rubrik4Char"/>
    <w:uiPriority w:val="9"/>
    <w:unhideWhenUsed/>
    <w:qFormat/>
    <w:rsid w:val="0096306E"/>
    <w:pPr>
      <w:numPr>
        <w:ilvl w:val="0"/>
      </w:numPr>
      <w:outlineLvl w:val="3"/>
    </w:pPr>
    <w:rPr>
      <w:rFonts w:ascii="Open Sans Semibold" w:hAnsi="Open Sans Semibold" w:cstheme="majorHAnsi"/>
      <w:sz w:val="19"/>
    </w:rPr>
  </w:style>
  <w:style w:type="paragraph" w:styleId="Rubrik5">
    <w:name w:val="heading 5"/>
    <w:basedOn w:val="Normal"/>
    <w:next w:val="Normal"/>
    <w:link w:val="Rubrik5Char"/>
    <w:uiPriority w:val="9"/>
    <w:unhideWhenUsed/>
    <w:rsid w:val="0096306E"/>
    <w:pPr>
      <w:keepNext/>
      <w:keepLines/>
      <w:numPr>
        <w:ilvl w:val="4"/>
        <w:numId w:val="16"/>
      </w:numPr>
      <w:spacing w:before="40" w:after="0"/>
      <w:outlineLvl w:val="4"/>
    </w:pPr>
    <w:rPr>
      <w:rFonts w:asciiTheme="majorHAnsi" w:eastAsiaTheme="majorEastAsia" w:hAnsiTheme="majorHAnsi" w:cstheme="majorBidi"/>
    </w:rPr>
  </w:style>
  <w:style w:type="paragraph" w:styleId="Rubrik6">
    <w:name w:val="heading 6"/>
    <w:basedOn w:val="Rubrik4"/>
    <w:next w:val="Normal"/>
    <w:link w:val="Rubrik6Char"/>
    <w:uiPriority w:val="9"/>
    <w:unhideWhenUsed/>
    <w:rsid w:val="0096306E"/>
    <w:pPr>
      <w:spacing w:before="0" w:after="120"/>
      <w:outlineLvl w:val="5"/>
    </w:pPr>
    <w:rPr>
      <w:rFonts w:ascii="Open Sans Light" w:hAnsi="Open Sans Light" w:cstheme="majorBidi"/>
      <w:color w:val="1F3763" w:themeColor="accent1" w:themeShade="7F"/>
      <w:sz w:val="28"/>
    </w:rPr>
  </w:style>
  <w:style w:type="paragraph" w:styleId="Rubrik7">
    <w:name w:val="heading 7"/>
    <w:basedOn w:val="Rubrik6"/>
    <w:next w:val="Normal"/>
    <w:link w:val="Rubrik7Char"/>
    <w:uiPriority w:val="9"/>
    <w:unhideWhenUsed/>
    <w:rsid w:val="0096306E"/>
    <w:pPr>
      <w:shd w:val="clear" w:color="auto" w:fill="ECEDFA"/>
      <w:spacing w:after="0"/>
      <w:outlineLvl w:val="6"/>
    </w:pPr>
    <w:rPr>
      <w:sz w:val="14"/>
    </w:rPr>
  </w:style>
  <w:style w:type="paragraph" w:styleId="Rubrik8">
    <w:name w:val="heading 8"/>
    <w:basedOn w:val="Normal"/>
    <w:next w:val="Normal"/>
    <w:link w:val="Rubrik8Char"/>
    <w:uiPriority w:val="9"/>
    <w:unhideWhenUsed/>
    <w:rsid w:val="0096306E"/>
    <w:pPr>
      <w:keepNext/>
      <w:keepLines/>
      <w:spacing w:before="40" w:after="0"/>
      <w:outlineLvl w:val="7"/>
    </w:pPr>
    <w:rPr>
      <w:rFonts w:ascii="Open Sans Light" w:eastAsiaTheme="majorEastAsia" w:hAnsi="Open Sans Light" w:cstheme="majorBidi"/>
      <w:color w:val="272727" w:themeColor="text1" w:themeTint="D8"/>
      <w:sz w:val="14"/>
      <w:szCs w:val="21"/>
    </w:rPr>
  </w:style>
  <w:style w:type="paragraph" w:styleId="Rubrik9">
    <w:name w:val="heading 9"/>
    <w:basedOn w:val="Normal"/>
    <w:next w:val="Normal"/>
    <w:link w:val="Rubrik9Char"/>
    <w:uiPriority w:val="9"/>
    <w:semiHidden/>
    <w:unhideWhenUsed/>
    <w:rsid w:val="0096306E"/>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6306E"/>
    <w:rPr>
      <w:rFonts w:ascii="Open Sans Light" w:hAnsi="Open Sans Light" w:cstheme="majorHAnsi"/>
      <w:sz w:val="30"/>
      <w:szCs w:val="30"/>
    </w:rPr>
  </w:style>
  <w:style w:type="character" w:customStyle="1" w:styleId="Rubrik2Char">
    <w:name w:val="Rubrik 2 Char"/>
    <w:basedOn w:val="Standardstycketeckensnitt"/>
    <w:link w:val="Rubrik2"/>
    <w:uiPriority w:val="9"/>
    <w:rsid w:val="0096306E"/>
    <w:rPr>
      <w:rFonts w:ascii="Open Sans Light" w:eastAsiaTheme="majorEastAsia" w:hAnsi="Open Sans Light" w:cstheme="majorBidi"/>
      <w:sz w:val="26"/>
      <w:szCs w:val="26"/>
    </w:rPr>
  </w:style>
  <w:style w:type="character" w:customStyle="1" w:styleId="Rubrik3Char">
    <w:name w:val="Rubrik 3 Char"/>
    <w:basedOn w:val="Standardstycketeckensnitt"/>
    <w:link w:val="Rubrik3"/>
    <w:uiPriority w:val="9"/>
    <w:rsid w:val="0096306E"/>
    <w:rPr>
      <w:rFonts w:ascii="Open Sans Light" w:eastAsiaTheme="majorEastAsia" w:hAnsi="Open Sans Light" w:cstheme="majorBidi"/>
      <w:szCs w:val="26"/>
    </w:rPr>
  </w:style>
  <w:style w:type="character" w:customStyle="1" w:styleId="Rubrik4Char">
    <w:name w:val="Rubrik 4 Char"/>
    <w:basedOn w:val="Standardstycketeckensnitt"/>
    <w:link w:val="Rubrik4"/>
    <w:uiPriority w:val="9"/>
    <w:rsid w:val="0096306E"/>
    <w:rPr>
      <w:rFonts w:ascii="Open Sans Semibold" w:eastAsiaTheme="majorEastAsia" w:hAnsi="Open Sans Semibold" w:cstheme="majorHAnsi"/>
      <w:sz w:val="19"/>
      <w:szCs w:val="26"/>
    </w:rPr>
  </w:style>
  <w:style w:type="character" w:customStyle="1" w:styleId="Rubrik5Char">
    <w:name w:val="Rubrik 5 Char"/>
    <w:basedOn w:val="Standardstycketeckensnitt"/>
    <w:link w:val="Rubrik5"/>
    <w:uiPriority w:val="9"/>
    <w:rsid w:val="0096306E"/>
    <w:rPr>
      <w:rFonts w:asciiTheme="majorHAnsi" w:eastAsiaTheme="majorEastAsia" w:hAnsiTheme="majorHAnsi" w:cstheme="majorBidi"/>
      <w:sz w:val="20"/>
      <w:szCs w:val="20"/>
      <w14:numForm w14:val="lining"/>
    </w:rPr>
  </w:style>
  <w:style w:type="character" w:customStyle="1" w:styleId="Rubrik6Char">
    <w:name w:val="Rubrik 6 Char"/>
    <w:basedOn w:val="Standardstycketeckensnitt"/>
    <w:link w:val="Rubrik6"/>
    <w:uiPriority w:val="9"/>
    <w:rsid w:val="0096306E"/>
    <w:rPr>
      <w:rFonts w:ascii="Open Sans Light" w:eastAsiaTheme="majorEastAsia" w:hAnsi="Open Sans Light" w:cstheme="majorBidi"/>
      <w:color w:val="1F3763" w:themeColor="accent1" w:themeShade="7F"/>
      <w:sz w:val="28"/>
      <w:szCs w:val="26"/>
    </w:rPr>
  </w:style>
  <w:style w:type="character" w:customStyle="1" w:styleId="Rubrik7Char">
    <w:name w:val="Rubrik 7 Char"/>
    <w:basedOn w:val="Standardstycketeckensnitt"/>
    <w:link w:val="Rubrik7"/>
    <w:uiPriority w:val="9"/>
    <w:rsid w:val="0096306E"/>
    <w:rPr>
      <w:rFonts w:ascii="Open Sans Light" w:eastAsiaTheme="majorEastAsia" w:hAnsi="Open Sans Light" w:cstheme="majorBidi"/>
      <w:color w:val="1F3763" w:themeColor="accent1" w:themeShade="7F"/>
      <w:sz w:val="14"/>
      <w:szCs w:val="26"/>
      <w:shd w:val="clear" w:color="auto" w:fill="ECEDFA"/>
    </w:rPr>
  </w:style>
  <w:style w:type="character" w:customStyle="1" w:styleId="Rubrik8Char">
    <w:name w:val="Rubrik 8 Char"/>
    <w:basedOn w:val="Standardstycketeckensnitt"/>
    <w:link w:val="Rubrik8"/>
    <w:uiPriority w:val="9"/>
    <w:rsid w:val="0096306E"/>
    <w:rPr>
      <w:rFonts w:ascii="Open Sans Light" w:eastAsiaTheme="majorEastAsia" w:hAnsi="Open Sans Light" w:cstheme="majorBidi"/>
      <w:color w:val="272727" w:themeColor="text1" w:themeTint="D8"/>
      <w:sz w:val="14"/>
      <w:szCs w:val="21"/>
      <w14:numForm w14:val="lining"/>
    </w:rPr>
  </w:style>
  <w:style w:type="character" w:customStyle="1" w:styleId="Rubrik9Char">
    <w:name w:val="Rubrik 9 Char"/>
    <w:basedOn w:val="Standardstycketeckensnitt"/>
    <w:link w:val="Rubrik9"/>
    <w:uiPriority w:val="9"/>
    <w:semiHidden/>
    <w:rsid w:val="0096306E"/>
    <w:rPr>
      <w:rFonts w:asciiTheme="majorHAnsi" w:eastAsiaTheme="majorEastAsia" w:hAnsiTheme="majorHAnsi" w:cstheme="majorBidi"/>
      <w:i/>
      <w:iCs/>
      <w:color w:val="272727" w:themeColor="text1" w:themeTint="D8"/>
      <w:sz w:val="21"/>
      <w:szCs w:val="21"/>
      <w14:numForm w14:val="lining"/>
    </w:rPr>
  </w:style>
  <w:style w:type="paragraph" w:styleId="Sidhuvud">
    <w:name w:val="header"/>
    <w:link w:val="SidhuvudChar"/>
    <w:uiPriority w:val="99"/>
    <w:unhideWhenUsed/>
    <w:rsid w:val="0096306E"/>
    <w:pPr>
      <w:tabs>
        <w:tab w:val="center" w:pos="4536"/>
        <w:tab w:val="right" w:pos="9072"/>
      </w:tabs>
      <w:spacing w:after="120" w:line="240" w:lineRule="auto"/>
      <w:ind w:left="357" w:hanging="357"/>
    </w:pPr>
    <w:rPr>
      <w:rFonts w:asciiTheme="majorHAnsi" w:hAnsiTheme="majorHAnsi" w:cs="Times New Roman"/>
      <w:sz w:val="18"/>
      <w:szCs w:val="20"/>
    </w:rPr>
  </w:style>
  <w:style w:type="character" w:customStyle="1" w:styleId="SidhuvudChar">
    <w:name w:val="Sidhuvud Char"/>
    <w:basedOn w:val="Standardstycketeckensnitt"/>
    <w:link w:val="Sidhuvud"/>
    <w:uiPriority w:val="99"/>
    <w:rsid w:val="0096306E"/>
    <w:rPr>
      <w:rFonts w:asciiTheme="majorHAnsi" w:hAnsiTheme="majorHAnsi" w:cs="Times New Roman"/>
      <w:sz w:val="18"/>
      <w:szCs w:val="20"/>
    </w:rPr>
  </w:style>
  <w:style w:type="paragraph" w:styleId="Sidfot">
    <w:name w:val="footer"/>
    <w:basedOn w:val="Normal"/>
    <w:link w:val="SidfotChar"/>
    <w:uiPriority w:val="99"/>
    <w:unhideWhenUsed/>
    <w:rsid w:val="0096306E"/>
    <w:pPr>
      <w:tabs>
        <w:tab w:val="right" w:pos="9072"/>
      </w:tabs>
      <w:spacing w:before="0" w:after="0" w:line="240" w:lineRule="auto"/>
      <w:jc w:val="center"/>
    </w:pPr>
    <w:rPr>
      <w:rFonts w:ascii="Open Sans Light" w:eastAsia="Times New Roman" w:hAnsi="Open Sans Light" w:cs="Open Sans Light"/>
      <w:sz w:val="14"/>
      <w:szCs w:val="14"/>
      <w:lang w:eastAsia="sv-SE"/>
      <w14:numForm w14:val="default"/>
    </w:rPr>
  </w:style>
  <w:style w:type="character" w:customStyle="1" w:styleId="SidfotChar">
    <w:name w:val="Sidfot Char"/>
    <w:basedOn w:val="Standardstycketeckensnitt"/>
    <w:link w:val="Sidfot"/>
    <w:uiPriority w:val="99"/>
    <w:rsid w:val="0096306E"/>
    <w:rPr>
      <w:rFonts w:ascii="Open Sans Light" w:eastAsia="Times New Roman" w:hAnsi="Open Sans Light" w:cs="Open Sans Light"/>
      <w:sz w:val="14"/>
      <w:szCs w:val="14"/>
      <w:lang w:eastAsia="sv-SE"/>
    </w:rPr>
  </w:style>
  <w:style w:type="table" w:styleId="Tabellrutnt">
    <w:name w:val="Table Grid"/>
    <w:basedOn w:val="Normaltabell"/>
    <w:rsid w:val="0096306E"/>
    <w:pPr>
      <w:spacing w:after="120" w:line="240" w:lineRule="auto"/>
      <w:ind w:left="357" w:hanging="357"/>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listor">
    <w:name w:val="punktlistor"/>
    <w:basedOn w:val="Normal"/>
    <w:semiHidden/>
    <w:rsid w:val="0096306E"/>
    <w:pPr>
      <w:numPr>
        <w:numId w:val="11"/>
      </w:numPr>
      <w:tabs>
        <w:tab w:val="left" w:pos="-720"/>
        <w:tab w:val="left" w:pos="1"/>
        <w:tab w:val="left" w:pos="721"/>
        <w:tab w:val="left" w:pos="1797"/>
        <w:tab w:val="left" w:pos="2592"/>
        <w:tab w:val="left" w:pos="3888"/>
        <w:tab w:val="left" w:pos="5184"/>
        <w:tab w:val="left" w:pos="6480"/>
        <w:tab w:val="left" w:pos="7776"/>
        <w:tab w:val="left" w:pos="9072"/>
        <w:tab w:val="left" w:pos="10368"/>
        <w:tab w:val="left" w:pos="11664"/>
        <w:tab w:val="left" w:pos="12960"/>
        <w:tab w:val="left" w:pos="14256"/>
      </w:tabs>
    </w:pPr>
  </w:style>
  <w:style w:type="paragraph" w:customStyle="1" w:styleId="topheading">
    <w:name w:val="top_heading"/>
    <w:link w:val="topheadingChar"/>
    <w:semiHidden/>
    <w:rsid w:val="0096306E"/>
    <w:pPr>
      <w:spacing w:before="40" w:after="120" w:line="240" w:lineRule="auto"/>
      <w:ind w:left="357" w:hanging="357"/>
    </w:pPr>
    <w:rPr>
      <w:rFonts w:ascii="Trebuchet MS" w:eastAsia="Times New Roman" w:hAnsi="Trebuchet MS" w:cs="Times New Roman"/>
      <w:b/>
      <w:color w:val="808080"/>
      <w:sz w:val="10"/>
      <w:szCs w:val="11"/>
      <w:lang w:eastAsia="sv-SE"/>
    </w:rPr>
  </w:style>
  <w:style w:type="character" w:customStyle="1" w:styleId="topheadingChar">
    <w:name w:val="top_heading Char"/>
    <w:basedOn w:val="Standardstycketeckensnitt"/>
    <w:link w:val="topheading"/>
    <w:semiHidden/>
    <w:rsid w:val="0096306E"/>
    <w:rPr>
      <w:rFonts w:ascii="Trebuchet MS" w:eastAsia="Times New Roman" w:hAnsi="Trebuchet MS" w:cs="Times New Roman"/>
      <w:b/>
      <w:color w:val="808080"/>
      <w:sz w:val="10"/>
      <w:szCs w:val="11"/>
      <w:lang w:eastAsia="sv-SE"/>
    </w:rPr>
  </w:style>
  <w:style w:type="paragraph" w:customStyle="1" w:styleId="Bullet1Normal">
    <w:name w:val="Bullet 1 Normal"/>
    <w:basedOn w:val="Normal"/>
    <w:semiHidden/>
    <w:rsid w:val="0096306E"/>
    <w:pPr>
      <w:numPr>
        <w:numId w:val="12"/>
      </w:numPr>
      <w:tabs>
        <w:tab w:val="left" w:pos="960"/>
        <w:tab w:val="left" w:pos="1320"/>
        <w:tab w:val="left" w:pos="1680"/>
        <w:tab w:val="left" w:pos="2040"/>
        <w:tab w:val="left" w:pos="2400"/>
      </w:tabs>
      <w:spacing w:line="240" w:lineRule="exact"/>
    </w:pPr>
    <w:rPr>
      <w:lang w:val="en-GB"/>
    </w:rPr>
  </w:style>
  <w:style w:type="paragraph" w:styleId="Brdtext">
    <w:name w:val="Body Text"/>
    <w:link w:val="BrdtextChar"/>
    <w:rsid w:val="0096306E"/>
    <w:pPr>
      <w:spacing w:before="80" w:after="140" w:line="240" w:lineRule="auto"/>
    </w:pPr>
    <w:rPr>
      <w:rFonts w:ascii="Garamond" w:eastAsia="Times New Roman" w:hAnsi="Garamond" w:cs="Times New Roman"/>
      <w:szCs w:val="20"/>
      <w:lang w:eastAsia="sv-SE"/>
    </w:rPr>
  </w:style>
  <w:style w:type="character" w:customStyle="1" w:styleId="BrdtextChar">
    <w:name w:val="Brödtext Char"/>
    <w:basedOn w:val="Standardstycketeckensnitt"/>
    <w:link w:val="Brdtext"/>
    <w:rsid w:val="0096306E"/>
    <w:rPr>
      <w:rFonts w:ascii="Garamond" w:eastAsia="Times New Roman" w:hAnsi="Garamond" w:cs="Times New Roman"/>
      <w:szCs w:val="20"/>
      <w:lang w:eastAsia="sv-SE"/>
    </w:rPr>
  </w:style>
  <w:style w:type="paragraph" w:customStyle="1" w:styleId="Ingress">
    <w:name w:val="Ingress"/>
    <w:basedOn w:val="Brdtext"/>
    <w:next w:val="Brdtext"/>
    <w:uiPriority w:val="8"/>
    <w:rsid w:val="0096306E"/>
    <w:rPr>
      <w:b/>
      <w:sz w:val="24"/>
    </w:rPr>
  </w:style>
  <w:style w:type="paragraph" w:customStyle="1" w:styleId="toptext">
    <w:name w:val="top_text"/>
    <w:link w:val="toptextChar"/>
    <w:semiHidden/>
    <w:rsid w:val="0096306E"/>
    <w:pPr>
      <w:spacing w:after="120" w:line="240" w:lineRule="auto"/>
      <w:ind w:left="357" w:hanging="357"/>
    </w:pPr>
    <w:rPr>
      <w:rFonts w:ascii="Trebuchet MS" w:eastAsia="Times New Roman" w:hAnsi="Trebuchet MS" w:cs="Times New Roman"/>
      <w:sz w:val="18"/>
      <w:szCs w:val="11"/>
      <w:lang w:eastAsia="sv-SE"/>
    </w:rPr>
  </w:style>
  <w:style w:type="character" w:customStyle="1" w:styleId="toptextChar">
    <w:name w:val="top_text Char"/>
    <w:basedOn w:val="Standardstycketeckensnitt"/>
    <w:link w:val="toptext"/>
    <w:semiHidden/>
    <w:rsid w:val="0096306E"/>
    <w:rPr>
      <w:rFonts w:ascii="Trebuchet MS" w:eastAsia="Times New Roman" w:hAnsi="Trebuchet MS" w:cs="Times New Roman"/>
      <w:sz w:val="18"/>
      <w:szCs w:val="11"/>
      <w:lang w:eastAsia="sv-SE"/>
    </w:rPr>
  </w:style>
  <w:style w:type="paragraph" w:customStyle="1" w:styleId="Adressfalt">
    <w:name w:val="Adressfalt"/>
    <w:semiHidden/>
    <w:rsid w:val="0096306E"/>
    <w:pPr>
      <w:spacing w:after="120" w:line="240" w:lineRule="auto"/>
      <w:ind w:left="357" w:hanging="357"/>
    </w:pPr>
    <w:rPr>
      <w:rFonts w:ascii="Trebuchet MS" w:eastAsia="Times New Roman" w:hAnsi="Trebuchet MS" w:cs="Times New Roman"/>
      <w:sz w:val="16"/>
      <w:szCs w:val="18"/>
      <w:lang w:eastAsia="sv-SE"/>
    </w:rPr>
  </w:style>
  <w:style w:type="character" w:styleId="Hyperlnk">
    <w:name w:val="Hyperlink"/>
    <w:basedOn w:val="Standardstycketeckensnitt"/>
    <w:uiPriority w:val="99"/>
    <w:unhideWhenUsed/>
    <w:rsid w:val="0096306E"/>
    <w:rPr>
      <w:color w:val="0563C1" w:themeColor="hyperlink"/>
      <w:u w:val="single"/>
    </w:rPr>
  </w:style>
  <w:style w:type="character" w:styleId="AnvndHyperlnk">
    <w:name w:val="FollowedHyperlink"/>
    <w:basedOn w:val="Standardstycketeckensnitt"/>
    <w:semiHidden/>
    <w:rsid w:val="0096306E"/>
    <w:rPr>
      <w:color w:val="800080"/>
      <w:u w:val="single"/>
    </w:rPr>
  </w:style>
  <w:style w:type="paragraph" w:styleId="Ballongtext">
    <w:name w:val="Balloon Text"/>
    <w:basedOn w:val="Normal"/>
    <w:link w:val="BallongtextChar"/>
    <w:uiPriority w:val="99"/>
    <w:semiHidden/>
    <w:unhideWhenUsed/>
    <w:rsid w:val="0096306E"/>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6306E"/>
    <w:rPr>
      <w:rFonts w:ascii="Segoe UI" w:hAnsi="Segoe UI" w:cs="Segoe UI"/>
      <w:sz w:val="18"/>
      <w:szCs w:val="18"/>
      <w14:numForm w14:val="lining"/>
    </w:rPr>
  </w:style>
  <w:style w:type="paragraph" w:customStyle="1" w:styleId="Brdtext-punktlista">
    <w:name w:val="Brödtext - punktlista"/>
    <w:basedOn w:val="Brdtext"/>
    <w:semiHidden/>
    <w:rsid w:val="0096306E"/>
    <w:pPr>
      <w:tabs>
        <w:tab w:val="num" w:pos="360"/>
      </w:tabs>
      <w:spacing w:before="0" w:after="130"/>
      <w:ind w:left="360" w:hanging="360"/>
    </w:pPr>
    <w:rPr>
      <w:sz w:val="24"/>
    </w:rPr>
  </w:style>
  <w:style w:type="paragraph" w:customStyle="1" w:styleId="hjalptext">
    <w:name w:val="hjalptext"/>
    <w:basedOn w:val="Normal"/>
    <w:next w:val="Normal"/>
    <w:link w:val="hjalptextChar"/>
    <w:rsid w:val="0096306E"/>
    <w:rPr>
      <w:i/>
      <w:color w:val="7F7F7F" w:themeColor="text1" w:themeTint="80"/>
    </w:rPr>
  </w:style>
  <w:style w:type="character" w:customStyle="1" w:styleId="hjalptextChar">
    <w:name w:val="hjalptext Char"/>
    <w:basedOn w:val="Standardstycketeckensnitt"/>
    <w:link w:val="hjalptext"/>
    <w:rsid w:val="0096306E"/>
    <w:rPr>
      <w:rFonts w:ascii="Georgia" w:hAnsi="Georgia" w:cs="Times New Roman"/>
      <w:i/>
      <w:color w:val="7F7F7F" w:themeColor="text1" w:themeTint="80"/>
      <w:sz w:val="20"/>
      <w:szCs w:val="20"/>
      <w14:numForm w14:val="lining"/>
    </w:rPr>
  </w:style>
  <w:style w:type="paragraph" w:styleId="Innehll1">
    <w:name w:val="toc 1"/>
    <w:basedOn w:val="Normal"/>
    <w:next w:val="Normal"/>
    <w:autoRedefine/>
    <w:uiPriority w:val="39"/>
    <w:unhideWhenUsed/>
    <w:rsid w:val="0096306E"/>
    <w:pPr>
      <w:tabs>
        <w:tab w:val="left" w:pos="426"/>
        <w:tab w:val="right" w:leader="dot" w:pos="6225"/>
      </w:tabs>
      <w:spacing w:before="120" w:after="40"/>
    </w:pPr>
    <w:rPr>
      <w:rFonts w:ascii="Open Sans Light" w:hAnsi="Open Sans Light" w:cstheme="majorHAnsi"/>
      <w:noProof/>
    </w:rPr>
  </w:style>
  <w:style w:type="paragraph" w:styleId="Innehll2">
    <w:name w:val="toc 2"/>
    <w:basedOn w:val="Normal"/>
    <w:next w:val="Normal"/>
    <w:autoRedefine/>
    <w:uiPriority w:val="39"/>
    <w:unhideWhenUsed/>
    <w:rsid w:val="0096306E"/>
    <w:pPr>
      <w:tabs>
        <w:tab w:val="left" w:pos="851"/>
        <w:tab w:val="right" w:leader="dot" w:pos="6225"/>
      </w:tabs>
      <w:spacing w:after="0"/>
      <w:ind w:left="425"/>
    </w:pPr>
    <w:rPr>
      <w:rFonts w:ascii="Open Sans Light" w:hAnsi="Open Sans Light" w:cstheme="majorHAnsi"/>
      <w:noProof/>
      <w:sz w:val="18"/>
    </w:rPr>
  </w:style>
  <w:style w:type="paragraph" w:styleId="Innehll3">
    <w:name w:val="toc 3"/>
    <w:basedOn w:val="Normal"/>
    <w:next w:val="Normal"/>
    <w:autoRedefine/>
    <w:uiPriority w:val="39"/>
    <w:unhideWhenUsed/>
    <w:rsid w:val="0096306E"/>
    <w:pPr>
      <w:tabs>
        <w:tab w:val="right" w:leader="dot" w:pos="6225"/>
      </w:tabs>
      <w:spacing w:after="0"/>
      <w:ind w:left="851"/>
    </w:pPr>
    <w:rPr>
      <w:rFonts w:ascii="Open Sans Light" w:hAnsi="Open Sans Light" w:cstheme="majorHAnsi"/>
      <w:noProof/>
      <w:sz w:val="16"/>
    </w:rPr>
  </w:style>
  <w:style w:type="paragraph" w:styleId="Kommentarer">
    <w:name w:val="annotation text"/>
    <w:basedOn w:val="Normal"/>
    <w:link w:val="KommentarerChar"/>
    <w:uiPriority w:val="99"/>
    <w:semiHidden/>
    <w:unhideWhenUsed/>
    <w:rsid w:val="0096306E"/>
  </w:style>
  <w:style w:type="character" w:customStyle="1" w:styleId="KommentarerChar">
    <w:name w:val="Kommentarer Char"/>
    <w:basedOn w:val="Standardstycketeckensnitt"/>
    <w:link w:val="Kommentarer"/>
    <w:uiPriority w:val="99"/>
    <w:semiHidden/>
    <w:rsid w:val="0096306E"/>
    <w:rPr>
      <w:rFonts w:ascii="Georgia" w:hAnsi="Georgia" w:cs="Times New Roman"/>
      <w:sz w:val="20"/>
      <w:szCs w:val="20"/>
      <w14:numForm w14:val="lining"/>
    </w:rPr>
  </w:style>
  <w:style w:type="character" w:styleId="Kommentarsreferens">
    <w:name w:val="annotation reference"/>
    <w:basedOn w:val="Standardstycketeckensnitt"/>
    <w:uiPriority w:val="99"/>
    <w:semiHidden/>
    <w:unhideWhenUsed/>
    <w:rsid w:val="0096306E"/>
    <w:rPr>
      <w:sz w:val="16"/>
      <w:szCs w:val="16"/>
    </w:rPr>
  </w:style>
  <w:style w:type="paragraph" w:styleId="Kommentarsmne">
    <w:name w:val="annotation subject"/>
    <w:basedOn w:val="Kommentarer"/>
    <w:next w:val="Kommentarer"/>
    <w:link w:val="KommentarsmneChar"/>
    <w:uiPriority w:val="99"/>
    <w:semiHidden/>
    <w:unhideWhenUsed/>
    <w:rsid w:val="0096306E"/>
    <w:rPr>
      <w:b/>
      <w:bCs/>
    </w:rPr>
  </w:style>
  <w:style w:type="character" w:customStyle="1" w:styleId="KommentarsmneChar">
    <w:name w:val="Kommentarsämne Char"/>
    <w:basedOn w:val="KommentarerChar"/>
    <w:link w:val="Kommentarsmne"/>
    <w:uiPriority w:val="99"/>
    <w:semiHidden/>
    <w:rsid w:val="0096306E"/>
    <w:rPr>
      <w:rFonts w:ascii="Georgia" w:hAnsi="Georgia" w:cs="Times New Roman"/>
      <w:b/>
      <w:bCs/>
      <w:sz w:val="20"/>
      <w:szCs w:val="20"/>
      <w14:numForm w14:val="lining"/>
    </w:rPr>
  </w:style>
  <w:style w:type="paragraph" w:customStyle="1" w:styleId="Lista-Numrerad">
    <w:name w:val="Lista - Numrerad"/>
    <w:basedOn w:val="Brdtext"/>
    <w:uiPriority w:val="8"/>
    <w:rsid w:val="0096306E"/>
    <w:pPr>
      <w:numPr>
        <w:numId w:val="14"/>
      </w:numPr>
      <w:spacing w:before="0" w:after="40"/>
    </w:pPr>
    <w:rPr>
      <w:sz w:val="24"/>
    </w:rPr>
  </w:style>
  <w:style w:type="paragraph" w:customStyle="1" w:styleId="Lista-Punkter">
    <w:name w:val="Lista - Punkter"/>
    <w:basedOn w:val="Normal"/>
    <w:uiPriority w:val="8"/>
    <w:rsid w:val="0096306E"/>
    <w:pPr>
      <w:numPr>
        <w:numId w:val="15"/>
      </w:numPr>
      <w:spacing w:after="40"/>
    </w:pPr>
    <w:rPr>
      <w:rFonts w:ascii="Garamond" w:eastAsia="Times New Roman" w:hAnsi="Garamond"/>
      <w:sz w:val="24"/>
      <w:lang w:eastAsia="sv-SE"/>
    </w:rPr>
  </w:style>
  <w:style w:type="paragraph" w:customStyle="1" w:styleId="Rubriknoname">
    <w:name w:val="Rubrik_noname"/>
    <w:basedOn w:val="Brdtext"/>
    <w:semiHidden/>
    <w:rsid w:val="0096306E"/>
    <w:rPr>
      <w:rFonts w:ascii="Trebuchet MS" w:hAnsi="Trebuchet MS"/>
      <w:b/>
      <w:sz w:val="24"/>
      <w:szCs w:val="24"/>
    </w:rPr>
  </w:style>
  <w:style w:type="table" w:styleId="Tabellrutnt1">
    <w:name w:val="Table Grid 1"/>
    <w:basedOn w:val="Normaltabell"/>
    <w:semiHidden/>
    <w:rsid w:val="0096306E"/>
    <w:pPr>
      <w:spacing w:after="0" w:line="240" w:lineRule="auto"/>
    </w:pPr>
    <w:rPr>
      <w:rFonts w:ascii="Trebuchet MS" w:eastAsia="Times New Roman" w:hAnsi="Trebuchet MS" w:cs="Times New Roman"/>
      <w:sz w:val="18"/>
      <w:szCs w:val="20"/>
      <w:lang w:eastAsia="sv-SE"/>
    </w:rPr>
    <w:tblPr>
      <w:tblStyleRowBandSize w:val="1"/>
      <w:tblBorders>
        <w:bottom w:val="single" w:sz="4" w:space="0" w:color="auto"/>
      </w:tblBorders>
      <w:tblCellMar>
        <w:left w:w="6" w:type="dxa"/>
        <w:right w:w="6" w:type="dxa"/>
      </w:tblCellMar>
    </w:tblPr>
    <w:tcPr>
      <w:shd w:val="clear" w:color="auto" w:fill="auto"/>
    </w:tcPr>
    <w:tblStylePr w:type="firstRow">
      <w:rPr>
        <w:rFonts w:ascii="Cambria" w:hAnsi="Cambria"/>
        <w:b/>
        <w:i w:val="0"/>
        <w:sz w:val="18"/>
      </w:rPr>
      <w:tblPr/>
      <w:tcPr>
        <w:shd w:val="clear" w:color="auto" w:fill="CCCCCC"/>
      </w:tcPr>
    </w:tblStylePr>
    <w:tblStylePr w:type="lastRow">
      <w:rPr>
        <w:i w:val="0"/>
        <w:iCs/>
      </w:rPr>
    </w:tblStylePr>
    <w:tblStylePr w:type="lastCol">
      <w:rPr>
        <w:i/>
        <w:iCs/>
      </w:rPr>
      <w:tblPr/>
      <w:tcPr>
        <w:tcBorders>
          <w:tl2br w:val="none" w:sz="0" w:space="0" w:color="auto"/>
          <w:tr2bl w:val="none" w:sz="0" w:space="0" w:color="auto"/>
        </w:tcBorders>
      </w:tcPr>
    </w:tblStylePr>
    <w:tblStylePr w:type="band2Horz">
      <w:tblPr/>
      <w:tcPr>
        <w:shd w:val="clear" w:color="auto" w:fill="E6E6E6"/>
      </w:tcPr>
    </w:tblStylePr>
  </w:style>
  <w:style w:type="paragraph" w:customStyle="1" w:styleId="Datumtext">
    <w:name w:val="Datumtext"/>
    <w:basedOn w:val="Normal"/>
    <w:rsid w:val="0096306E"/>
    <w:pPr>
      <w:shd w:val="clear" w:color="auto" w:fill="E8F2FA"/>
      <w:spacing w:before="0" w:after="0" w:line="240" w:lineRule="auto"/>
    </w:pPr>
    <w:rPr>
      <w:rFonts w:ascii="Open Sans Semibold" w:hAnsi="Open Sans Semibold"/>
      <w:sz w:val="18"/>
    </w:rPr>
  </w:style>
  <w:style w:type="table" w:customStyle="1" w:styleId="Domstol">
    <w:name w:val="Domstol"/>
    <w:basedOn w:val="Normaltabell"/>
    <w:uiPriority w:val="99"/>
    <w:rsid w:val="0096306E"/>
    <w:pPr>
      <w:spacing w:after="0" w:line="240" w:lineRule="auto"/>
    </w:pPr>
    <w:rPr>
      <w:rFonts w:ascii="Georgia" w:hAnsi="Georgia"/>
      <w:sz w:val="20"/>
    </w:rPr>
    <w:tblPr>
      <w:tblStyleRowBandSize w:val="1"/>
      <w:tblBorders>
        <w:bottom w:val="single" w:sz="4" w:space="0" w:color="A6A6A6" w:themeColor="background1" w:themeShade="A6"/>
        <w:insideV w:val="single" w:sz="4" w:space="0" w:color="A6A6A6" w:themeColor="background1" w:themeShade="A6"/>
      </w:tblBorders>
    </w:tblPr>
    <w:tblStylePr w:type="firstRow">
      <w:tblPr/>
      <w:tcPr>
        <w:tcBorders>
          <w:top w:val="nil"/>
          <w:left w:val="nil"/>
          <w:bottom w:val="nil"/>
          <w:right w:val="nil"/>
          <w:insideH w:val="nil"/>
          <w:insideV w:val="nil"/>
          <w:tl2br w:val="nil"/>
          <w:tr2bl w:val="nil"/>
        </w:tcBorders>
        <w:shd w:val="clear" w:color="auto" w:fill="44546A" w:themeFill="text2"/>
      </w:tcPr>
    </w:tblStylePr>
    <w:tblStylePr w:type="band1Horz">
      <w:tblPr/>
      <w:tcPr>
        <w:shd w:val="clear" w:color="auto" w:fill="E8F2FA"/>
      </w:tcPr>
    </w:tblStylePr>
  </w:style>
  <w:style w:type="paragraph" w:styleId="Innehllsfrteckningsrubrik">
    <w:name w:val="TOC Heading"/>
    <w:basedOn w:val="Rubrik1"/>
    <w:next w:val="Normal"/>
    <w:uiPriority w:val="39"/>
    <w:unhideWhenUsed/>
    <w:rsid w:val="0096306E"/>
    <w:pPr>
      <w:keepLines/>
      <w:spacing w:line="259" w:lineRule="auto"/>
      <w:outlineLvl w:val="9"/>
    </w:pPr>
    <w:rPr>
      <w:rFonts w:eastAsiaTheme="majorEastAsia" w:cstheme="majorBidi"/>
      <w:lang w:eastAsia="sv-SE"/>
    </w:rPr>
  </w:style>
  <w:style w:type="paragraph" w:customStyle="1" w:styleId="Kursiv">
    <w:name w:val="Kursiv"/>
    <w:basedOn w:val="Normal"/>
    <w:rsid w:val="0096306E"/>
    <w:rPr>
      <w:i/>
    </w:rPr>
  </w:style>
  <w:style w:type="paragraph" w:styleId="Liststycke">
    <w:name w:val="List Paragraph"/>
    <w:basedOn w:val="Normal"/>
    <w:uiPriority w:val="34"/>
    <w:rsid w:val="0096306E"/>
    <w:pPr>
      <w:ind w:left="720"/>
      <w:contextualSpacing/>
    </w:pPr>
  </w:style>
  <w:style w:type="table" w:styleId="Listtabell1ljusdekorfrg3">
    <w:name w:val="List Table 1 Light Accent 3"/>
    <w:basedOn w:val="Normaltabell"/>
    <w:uiPriority w:val="46"/>
    <w:rsid w:val="0096306E"/>
    <w:pPr>
      <w:spacing w:after="120" w:line="240" w:lineRule="auto"/>
      <w:ind w:left="357" w:hanging="357"/>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umreradlista">
    <w:name w:val="List Number"/>
    <w:basedOn w:val="Normal"/>
    <w:uiPriority w:val="99"/>
    <w:unhideWhenUsed/>
    <w:qFormat/>
    <w:rsid w:val="0096306E"/>
    <w:pPr>
      <w:numPr>
        <w:numId w:val="19"/>
      </w:numPr>
      <w:contextualSpacing/>
    </w:pPr>
  </w:style>
  <w:style w:type="paragraph" w:styleId="Numreradlista2">
    <w:name w:val="List Number 2"/>
    <w:basedOn w:val="Normal"/>
    <w:uiPriority w:val="99"/>
    <w:unhideWhenUsed/>
    <w:rsid w:val="0096306E"/>
    <w:pPr>
      <w:numPr>
        <w:numId w:val="2"/>
      </w:numPr>
      <w:contextualSpacing/>
    </w:pPr>
  </w:style>
  <w:style w:type="paragraph" w:styleId="Numreradlista3">
    <w:name w:val="List Number 3"/>
    <w:basedOn w:val="Normal"/>
    <w:uiPriority w:val="99"/>
    <w:unhideWhenUsed/>
    <w:rsid w:val="0096306E"/>
    <w:pPr>
      <w:numPr>
        <w:numId w:val="3"/>
      </w:numPr>
      <w:contextualSpacing/>
    </w:pPr>
  </w:style>
  <w:style w:type="paragraph" w:styleId="Numreradlista4">
    <w:name w:val="List Number 4"/>
    <w:basedOn w:val="Normal"/>
    <w:uiPriority w:val="99"/>
    <w:unhideWhenUsed/>
    <w:rsid w:val="0096306E"/>
    <w:pPr>
      <w:numPr>
        <w:numId w:val="4"/>
      </w:numPr>
      <w:contextualSpacing/>
    </w:pPr>
  </w:style>
  <w:style w:type="table" w:styleId="Oformateradtabell1">
    <w:name w:val="Plain Table 1"/>
    <w:basedOn w:val="Normaltabell"/>
    <w:uiPriority w:val="41"/>
    <w:rsid w:val="0096306E"/>
    <w:pPr>
      <w:spacing w:after="120" w:line="240" w:lineRule="auto"/>
      <w:ind w:left="357" w:hanging="357"/>
    </w:pPr>
    <w:rPr>
      <w:rFonts w:ascii="Times New Roman"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96306E"/>
    <w:pPr>
      <w:spacing w:after="120" w:line="240" w:lineRule="auto"/>
      <w:ind w:left="357" w:hanging="357"/>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Oformateradtext">
    <w:name w:val="Plain Text"/>
    <w:basedOn w:val="Normal"/>
    <w:link w:val="OformateradtextChar"/>
    <w:uiPriority w:val="99"/>
    <w:unhideWhenUsed/>
    <w:rsid w:val="0096306E"/>
    <w:pPr>
      <w:spacing w:after="0"/>
    </w:pPr>
    <w:rPr>
      <w:rFonts w:ascii="Consolas" w:hAnsi="Consolas"/>
      <w:sz w:val="21"/>
      <w:szCs w:val="21"/>
    </w:rPr>
  </w:style>
  <w:style w:type="character" w:customStyle="1" w:styleId="OformateradtextChar">
    <w:name w:val="Oformaterad text Char"/>
    <w:basedOn w:val="Standardstycketeckensnitt"/>
    <w:link w:val="Oformateradtext"/>
    <w:uiPriority w:val="99"/>
    <w:rsid w:val="0096306E"/>
    <w:rPr>
      <w:rFonts w:ascii="Consolas" w:hAnsi="Consolas" w:cs="Times New Roman"/>
      <w:sz w:val="21"/>
      <w:szCs w:val="21"/>
      <w14:numForm w14:val="lining"/>
    </w:rPr>
  </w:style>
  <w:style w:type="character" w:styleId="Olstomnmnande">
    <w:name w:val="Unresolved Mention"/>
    <w:basedOn w:val="Standardstycketeckensnitt"/>
    <w:uiPriority w:val="99"/>
    <w:semiHidden/>
    <w:unhideWhenUsed/>
    <w:rsid w:val="0096306E"/>
    <w:rPr>
      <w:color w:val="808080"/>
      <w:shd w:val="clear" w:color="auto" w:fill="E6E6E6"/>
    </w:rPr>
  </w:style>
  <w:style w:type="character" w:styleId="Platshllartext">
    <w:name w:val="Placeholder Text"/>
    <w:basedOn w:val="Standardstycketeckensnitt"/>
    <w:uiPriority w:val="99"/>
    <w:semiHidden/>
    <w:rsid w:val="0096306E"/>
    <w:rPr>
      <w:color w:val="808080"/>
    </w:rPr>
  </w:style>
  <w:style w:type="paragraph" w:styleId="Punktlista">
    <w:name w:val="List Bullet"/>
    <w:basedOn w:val="Liststycke"/>
    <w:uiPriority w:val="99"/>
    <w:unhideWhenUsed/>
    <w:qFormat/>
    <w:rsid w:val="0096306E"/>
    <w:pPr>
      <w:numPr>
        <w:numId w:val="20"/>
      </w:numPr>
    </w:pPr>
  </w:style>
  <w:style w:type="paragraph" w:styleId="Rubrik">
    <w:name w:val="Title"/>
    <w:next w:val="Normal"/>
    <w:link w:val="RubrikChar"/>
    <w:uiPriority w:val="10"/>
    <w:rsid w:val="0096306E"/>
    <w:pPr>
      <w:spacing w:before="240" w:after="120" w:line="240" w:lineRule="auto"/>
      <w:ind w:left="357" w:hanging="357"/>
      <w:contextualSpacing/>
      <w:outlineLvl w:val="0"/>
    </w:pPr>
    <w:rPr>
      <w:rFonts w:asciiTheme="majorHAnsi" w:eastAsiaTheme="majorEastAsia" w:hAnsiTheme="majorHAnsi" w:cstheme="majorBidi"/>
      <w:kern w:val="28"/>
      <w:sz w:val="36"/>
      <w:szCs w:val="56"/>
    </w:rPr>
  </w:style>
  <w:style w:type="character" w:customStyle="1" w:styleId="RubrikChar">
    <w:name w:val="Rubrik Char"/>
    <w:basedOn w:val="Standardstycketeckensnitt"/>
    <w:link w:val="Rubrik"/>
    <w:uiPriority w:val="10"/>
    <w:rsid w:val="0096306E"/>
    <w:rPr>
      <w:rFonts w:asciiTheme="majorHAnsi" w:eastAsiaTheme="majorEastAsia" w:hAnsiTheme="majorHAnsi" w:cstheme="majorBidi"/>
      <w:kern w:val="28"/>
      <w:sz w:val="36"/>
      <w:szCs w:val="56"/>
    </w:rPr>
  </w:style>
  <w:style w:type="paragraph" w:customStyle="1" w:styleId="Tabelltext">
    <w:name w:val="Tabell_text"/>
    <w:basedOn w:val="Normal"/>
    <w:uiPriority w:val="99"/>
    <w:rsid w:val="0096306E"/>
    <w:pPr>
      <w:autoSpaceDE w:val="0"/>
      <w:autoSpaceDN w:val="0"/>
      <w:adjustRightInd w:val="0"/>
      <w:spacing w:before="0" w:after="0" w:line="240" w:lineRule="auto"/>
    </w:pPr>
    <w:rPr>
      <w:rFonts w:ascii="Open Sans Light" w:eastAsia="Times New Roman" w:hAnsi="Open Sans Light" w:cs="Tahoma"/>
      <w:bCs/>
      <w:sz w:val="18"/>
      <w:szCs w:val="11"/>
      <w:lang w:eastAsia="sv-SE"/>
    </w:rPr>
  </w:style>
  <w:style w:type="paragraph" w:customStyle="1" w:styleId="Tabellrubrik">
    <w:name w:val="Tabellrubrik"/>
    <w:basedOn w:val="Normal"/>
    <w:link w:val="TabellrubrikChar"/>
    <w:rsid w:val="0096306E"/>
    <w:pPr>
      <w:spacing w:after="0"/>
    </w:pPr>
    <w:rPr>
      <w:rFonts w:asciiTheme="majorHAnsi" w:eastAsia="Calibri" w:hAnsiTheme="majorHAnsi"/>
      <w:bCs/>
      <w:sz w:val="18"/>
    </w:rPr>
  </w:style>
  <w:style w:type="character" w:customStyle="1" w:styleId="TabellrubrikChar">
    <w:name w:val="Tabellrubrik Char"/>
    <w:basedOn w:val="Standardstycketeckensnitt"/>
    <w:link w:val="Tabellrubrik"/>
    <w:rsid w:val="0096306E"/>
    <w:rPr>
      <w:rFonts w:asciiTheme="majorHAnsi" w:eastAsia="Calibri" w:hAnsiTheme="majorHAnsi" w:cs="Times New Roman"/>
      <w:bCs/>
      <w:sz w:val="18"/>
      <w:szCs w:val="20"/>
      <w14:numForm w14:val="lining"/>
    </w:rPr>
  </w:style>
  <w:style w:type="paragraph" w:customStyle="1" w:styleId="Tabelltext0">
    <w:name w:val="Tabelltext"/>
    <w:basedOn w:val="Normal"/>
    <w:link w:val="TabelltextChar"/>
    <w:rsid w:val="0096306E"/>
    <w:pPr>
      <w:spacing w:after="0"/>
    </w:pPr>
    <w:rPr>
      <w:rFonts w:eastAsia="Calibri"/>
      <w:bCs/>
      <w:sz w:val="18"/>
    </w:rPr>
  </w:style>
  <w:style w:type="character" w:customStyle="1" w:styleId="TabelltextChar">
    <w:name w:val="Tabelltext Char"/>
    <w:basedOn w:val="Standardstycketeckensnitt"/>
    <w:link w:val="Tabelltext0"/>
    <w:rsid w:val="0096306E"/>
    <w:rPr>
      <w:rFonts w:ascii="Georgia" w:eastAsia="Calibri" w:hAnsi="Georgia" w:cs="Times New Roman"/>
      <w:bCs/>
      <w:sz w:val="18"/>
      <w:szCs w:val="20"/>
      <w14:numForm w14:val="lining"/>
    </w:rPr>
  </w:style>
  <w:style w:type="paragraph" w:styleId="Underrubrik">
    <w:name w:val="Subtitle"/>
    <w:next w:val="Normal"/>
    <w:link w:val="UnderrubrikChar"/>
    <w:uiPriority w:val="11"/>
    <w:rsid w:val="0096306E"/>
    <w:pPr>
      <w:numPr>
        <w:ilvl w:val="1"/>
      </w:numPr>
      <w:spacing w:before="120" w:after="1280" w:line="240" w:lineRule="auto"/>
      <w:ind w:left="357" w:hanging="357"/>
      <w:outlineLvl w:val="1"/>
    </w:pPr>
    <w:rPr>
      <w:rFonts w:ascii="Open Sans Semibold" w:eastAsiaTheme="minorEastAsia" w:hAnsi="Open Sans Semibold"/>
      <w:spacing w:val="15"/>
      <w:sz w:val="26"/>
    </w:rPr>
  </w:style>
  <w:style w:type="character" w:customStyle="1" w:styleId="UnderrubrikChar">
    <w:name w:val="Underrubrik Char"/>
    <w:basedOn w:val="Standardstycketeckensnitt"/>
    <w:link w:val="Underrubrik"/>
    <w:uiPriority w:val="11"/>
    <w:rsid w:val="0096306E"/>
    <w:rPr>
      <w:rFonts w:ascii="Open Sans Semibold" w:eastAsiaTheme="minorEastAsia" w:hAnsi="Open Sans Semibold"/>
      <w:spacing w:val="15"/>
      <w:sz w:val="26"/>
    </w:rPr>
  </w:style>
  <w:style w:type="paragraph" w:customStyle="1" w:styleId="AvdelningNamn">
    <w:name w:val="AvdelningNamn"/>
    <w:basedOn w:val="Normal"/>
    <w:rsid w:val="0096306E"/>
    <w:pPr>
      <w:spacing w:before="0" w:after="120" w:line="240" w:lineRule="auto"/>
    </w:pPr>
    <w:rPr>
      <w:rFonts w:asciiTheme="majorHAnsi" w:hAnsiTheme="majorHAnsi" w:cstheme="minorHAnsi"/>
      <w:sz w:val="18"/>
    </w:rPr>
  </w:style>
  <w:style w:type="paragraph" w:styleId="Ingetavstnd">
    <w:name w:val="No Spacing"/>
    <w:uiPriority w:val="1"/>
    <w:rsid w:val="0096306E"/>
    <w:pPr>
      <w:spacing w:after="120" w:line="240" w:lineRule="auto"/>
    </w:pPr>
    <w:rPr>
      <w:rFonts w:ascii="Georgia" w:hAnsi="Georgia" w:cs="Times New Roman"/>
      <w:sz w:val="20"/>
      <w:szCs w:val="20"/>
      <w14:numForm w14:val="lining"/>
    </w:rPr>
  </w:style>
  <w:style w:type="paragraph" w:customStyle="1" w:styleId="Mottagaradress">
    <w:name w:val="Mottagaradress"/>
    <w:basedOn w:val="Normal"/>
    <w:rsid w:val="0096306E"/>
    <w:pPr>
      <w:spacing w:before="840"/>
      <w:contextualSpacing/>
    </w:pPr>
  </w:style>
  <w:style w:type="paragraph" w:customStyle="1" w:styleId="sidfotlinje">
    <w:name w:val="sidfot_linje"/>
    <w:basedOn w:val="Normal"/>
    <w:rsid w:val="0096306E"/>
    <w:pPr>
      <w:pBdr>
        <w:bottom w:val="single" w:sz="12" w:space="1" w:color="1C1F66"/>
      </w:pBdr>
      <w:tabs>
        <w:tab w:val="center" w:pos="4536"/>
      </w:tabs>
      <w:spacing w:after="80" w:line="240" w:lineRule="auto"/>
      <w:jc w:val="center"/>
    </w:pPr>
    <w:rPr>
      <w:rFonts w:ascii="Open Sans Semibold" w:eastAsia="Times New Roman" w:hAnsi="Open Sans Semibold" w:cs="Open Sans Semibold"/>
      <w:sz w:val="14"/>
      <w:szCs w:val="14"/>
      <w:lang w:eastAsia="sv-SE"/>
    </w:rPr>
  </w:style>
  <w:style w:type="paragraph" w:customStyle="1" w:styleId="DatumRubrik">
    <w:name w:val="DatumRubrik"/>
    <w:basedOn w:val="Rubrik7"/>
    <w:rsid w:val="0096306E"/>
    <w:pPr>
      <w:shd w:val="clear" w:color="auto" w:fill="E8F2FA"/>
      <w:outlineLvl w:val="9"/>
    </w:pPr>
  </w:style>
  <w:style w:type="character" w:styleId="Diskretreferens">
    <w:name w:val="Subtle Reference"/>
    <w:basedOn w:val="Standardstycketeckensnitt"/>
    <w:uiPriority w:val="31"/>
    <w:rsid w:val="0096306E"/>
    <w:rPr>
      <w:smallCaps/>
      <w:color w:val="5A5A5A" w:themeColor="text1" w:themeTint="A5"/>
    </w:rPr>
  </w:style>
  <w:style w:type="paragraph" w:customStyle="1" w:styleId="Dokumenttyp">
    <w:name w:val="Dokumenttyp"/>
    <w:basedOn w:val="Rubrik"/>
    <w:rsid w:val="0096306E"/>
    <w:pPr>
      <w:spacing w:before="0"/>
      <w:ind w:left="0" w:firstLine="0"/>
      <w:outlineLvl w:val="9"/>
    </w:pPr>
    <w:rPr>
      <w:sz w:val="28"/>
    </w:rPr>
  </w:style>
  <w:style w:type="numbering" w:customStyle="1" w:styleId="Formatmall1">
    <w:name w:val="Formatmall1"/>
    <w:uiPriority w:val="99"/>
    <w:rsid w:val="0096306E"/>
    <w:pPr>
      <w:numPr>
        <w:numId w:val="17"/>
      </w:numPr>
    </w:pPr>
  </w:style>
  <w:style w:type="numbering" w:customStyle="1" w:styleId="Listformattest">
    <w:name w:val="Listformat_test"/>
    <w:uiPriority w:val="99"/>
    <w:rsid w:val="0096306E"/>
    <w:pPr>
      <w:numPr>
        <w:numId w:val="18"/>
      </w:numPr>
    </w:pPr>
  </w:style>
  <w:style w:type="paragraph" w:customStyle="1" w:styleId="Tabellkompakt">
    <w:name w:val="Tabell kompakt"/>
    <w:basedOn w:val="Normal"/>
    <w:uiPriority w:val="8"/>
    <w:qFormat/>
    <w:rsid w:val="0096306E"/>
    <w:pPr>
      <w:autoSpaceDE w:val="0"/>
      <w:autoSpaceDN w:val="0"/>
      <w:adjustRightInd w:val="0"/>
      <w:spacing w:before="0" w:after="0" w:line="240" w:lineRule="auto"/>
    </w:pPr>
    <w:rPr>
      <w:rFonts w:ascii="Open Sans Light" w:eastAsia="Times New Roman" w:hAnsi="Open Sans Light" w:cs="Tahoma"/>
      <w:bCs/>
      <w:sz w:val="18"/>
      <w:szCs w:val="11"/>
      <w:lang w:eastAsia="sv-SE"/>
    </w:rPr>
  </w:style>
  <w:style w:type="paragraph" w:customStyle="1" w:styleId="Tabelltext1">
    <w:name w:val="Tabell text"/>
    <w:basedOn w:val="Normal"/>
    <w:qFormat/>
    <w:rsid w:val="0096306E"/>
    <w:pPr>
      <w:spacing w:after="40"/>
    </w:pPr>
  </w:style>
  <w:style w:type="paragraph" w:styleId="Fotnotstext">
    <w:name w:val="footnote text"/>
    <w:basedOn w:val="Normal"/>
    <w:link w:val="FotnotstextChar"/>
    <w:uiPriority w:val="99"/>
    <w:semiHidden/>
    <w:unhideWhenUsed/>
    <w:rsid w:val="00AE49B8"/>
    <w:pPr>
      <w:spacing w:before="0" w:after="0" w:line="240" w:lineRule="auto"/>
    </w:pPr>
  </w:style>
  <w:style w:type="character" w:customStyle="1" w:styleId="FotnotstextChar">
    <w:name w:val="Fotnotstext Char"/>
    <w:basedOn w:val="Standardstycketeckensnitt"/>
    <w:link w:val="Fotnotstext"/>
    <w:uiPriority w:val="99"/>
    <w:semiHidden/>
    <w:rsid w:val="00AE49B8"/>
    <w:rPr>
      <w:rFonts w:ascii="Georgia" w:hAnsi="Georgia" w:cs="Times New Roman"/>
      <w:sz w:val="20"/>
      <w:szCs w:val="20"/>
      <w14:numForm w14:val="lining"/>
    </w:rPr>
  </w:style>
  <w:style w:type="character" w:styleId="Fotnotsreferens">
    <w:name w:val="footnote reference"/>
    <w:basedOn w:val="Standardstycketeckensnitt"/>
    <w:uiPriority w:val="99"/>
    <w:semiHidden/>
    <w:unhideWhenUsed/>
    <w:rsid w:val="00AE49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OM_Mallar\nyttDokumen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AC89C-DA71-48B4-B8F7-4BF4DCC51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nyttDokument</Template>
  <TotalTime>275</TotalTime>
  <Pages>4</Pages>
  <Words>1230</Words>
  <Characters>6524</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Jäderblom Helena - HFD</dc:creator>
  <cp:keywords/>
  <dc:description/>
  <cp:lastModifiedBy>Jäderblom Helena - HFD</cp:lastModifiedBy>
  <cp:revision>16</cp:revision>
  <cp:lastPrinted>2023-09-20T13:22:00Z</cp:lastPrinted>
  <dcterms:created xsi:type="dcterms:W3CDTF">2023-09-01T12:42:00Z</dcterms:created>
  <dcterms:modified xsi:type="dcterms:W3CDTF">2023-09-25T09:54:00Z</dcterms:modified>
</cp:coreProperties>
</file>