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2174C" w14:textId="5E262249" w:rsidR="00E34004" w:rsidRPr="00903B2F" w:rsidRDefault="00E34004" w:rsidP="00903B2F">
      <w:pPr>
        <w:spacing w:after="120" w:line="240" w:lineRule="auto"/>
        <w:jc w:val="center"/>
        <w:rPr>
          <w:rFonts w:ascii="Times New Roman" w:hAnsi="Times New Roman"/>
          <w:b/>
          <w:sz w:val="28"/>
          <w:szCs w:val="28"/>
        </w:rPr>
      </w:pPr>
      <w:r w:rsidRPr="00903B2F">
        <w:rPr>
          <w:rFonts w:ascii="Times New Roman" w:hAnsi="Times New Roman"/>
          <w:b/>
          <w:sz w:val="28"/>
          <w:szCs w:val="28"/>
        </w:rPr>
        <w:t xml:space="preserve">Eiropas Savienības </w:t>
      </w:r>
      <w:r w:rsidR="00540995" w:rsidRPr="00903B2F">
        <w:rPr>
          <w:rFonts w:ascii="Times New Roman" w:hAnsi="Times New Roman"/>
          <w:b/>
          <w:sz w:val="28"/>
          <w:szCs w:val="28"/>
        </w:rPr>
        <w:t>tiesneša izaicinājumi iekšējā tirgus un sociālās politikas balansēšanā</w:t>
      </w:r>
    </w:p>
    <w:p w14:paraId="147D0AAC" w14:textId="77777777" w:rsidR="00903B2F" w:rsidRPr="00903B2F" w:rsidRDefault="00903B2F" w:rsidP="00903B2F">
      <w:pPr>
        <w:spacing w:after="120" w:line="240" w:lineRule="auto"/>
        <w:jc w:val="center"/>
        <w:rPr>
          <w:rFonts w:ascii="Times New Roman" w:hAnsi="Times New Roman"/>
          <w:bCs/>
          <w:szCs w:val="24"/>
        </w:rPr>
      </w:pPr>
      <w:r w:rsidRPr="00903B2F">
        <w:rPr>
          <w:rFonts w:ascii="Times New Roman" w:hAnsi="Times New Roman"/>
          <w:bCs/>
          <w:szCs w:val="24"/>
        </w:rPr>
        <w:t>Aigars STRUPIŠS</w:t>
      </w:r>
    </w:p>
    <w:p w14:paraId="51C199B1" w14:textId="5B89188B" w:rsidR="00903B2F" w:rsidRPr="00903B2F" w:rsidRDefault="00903B2F" w:rsidP="00903B2F">
      <w:pPr>
        <w:spacing w:after="120" w:line="240" w:lineRule="auto"/>
        <w:jc w:val="center"/>
        <w:rPr>
          <w:rFonts w:ascii="Times New Roman" w:hAnsi="Times New Roman"/>
          <w:bCs/>
          <w:szCs w:val="24"/>
        </w:rPr>
      </w:pPr>
      <w:r w:rsidRPr="00903B2F">
        <w:rPr>
          <w:rFonts w:ascii="Times New Roman" w:hAnsi="Times New Roman"/>
          <w:bCs/>
          <w:szCs w:val="24"/>
        </w:rPr>
        <w:t>Augstākās tiesas priekšsēdētājs</w:t>
      </w:r>
    </w:p>
    <w:p w14:paraId="737483B0" w14:textId="77FE3BF5" w:rsidR="00903B2F" w:rsidRPr="00903B2F" w:rsidRDefault="00903B2F" w:rsidP="00903B2F">
      <w:pPr>
        <w:spacing w:after="120" w:line="240" w:lineRule="auto"/>
        <w:jc w:val="center"/>
        <w:rPr>
          <w:rFonts w:ascii="Times New Roman" w:hAnsi="Times New Roman"/>
          <w:color w:val="000000"/>
        </w:rPr>
      </w:pPr>
      <w:proofErr w:type="spellStart"/>
      <w:r w:rsidRPr="00903B2F">
        <w:rPr>
          <w:rFonts w:ascii="Times New Roman" w:hAnsi="Times New Roman"/>
          <w:bCs/>
          <w:szCs w:val="24"/>
        </w:rPr>
        <w:t>Līdzziņojums</w:t>
      </w:r>
      <w:proofErr w:type="spellEnd"/>
      <w:r w:rsidRPr="00903B2F">
        <w:rPr>
          <w:rFonts w:ascii="Times New Roman" w:hAnsi="Times New Roman"/>
          <w:bCs/>
          <w:szCs w:val="24"/>
        </w:rPr>
        <w:t xml:space="preserve"> Eiropas Savienības Tiesas konferencē “</w:t>
      </w:r>
      <w:r w:rsidRPr="00903B2F">
        <w:rPr>
          <w:rFonts w:ascii="Times New Roman" w:hAnsi="Times New Roman"/>
          <w:color w:val="000000"/>
        </w:rPr>
        <w:t>20 gadi kopš 10 valstu pievienošanās Eiropas Savienībai: jauns konstitucionāls brīdis Eiropai”</w:t>
      </w:r>
    </w:p>
    <w:p w14:paraId="1F0C071F" w14:textId="07EF4317" w:rsidR="00903B2F" w:rsidRPr="00903B2F" w:rsidRDefault="00903B2F" w:rsidP="00903B2F">
      <w:pPr>
        <w:spacing w:after="120" w:line="240" w:lineRule="auto"/>
        <w:jc w:val="center"/>
        <w:rPr>
          <w:rFonts w:ascii="Times New Roman" w:hAnsi="Times New Roman"/>
          <w:color w:val="000000"/>
        </w:rPr>
      </w:pPr>
      <w:r w:rsidRPr="00903B2F">
        <w:rPr>
          <w:rFonts w:ascii="Times New Roman" w:hAnsi="Times New Roman"/>
          <w:color w:val="000000"/>
        </w:rPr>
        <w:t>2024.gada 2.maijs</w:t>
      </w:r>
    </w:p>
    <w:p w14:paraId="2FCB85F3" w14:textId="77777777" w:rsidR="00903B2F" w:rsidRPr="00903B2F" w:rsidRDefault="00903B2F" w:rsidP="00903B2F">
      <w:pPr>
        <w:spacing w:after="120" w:line="240" w:lineRule="auto"/>
        <w:jc w:val="center"/>
        <w:rPr>
          <w:rFonts w:ascii="Times New Roman" w:hAnsi="Times New Roman"/>
          <w:bCs/>
          <w:szCs w:val="24"/>
        </w:rPr>
      </w:pPr>
    </w:p>
    <w:p w14:paraId="3AD91B4B" w14:textId="77777777" w:rsidR="00903B2F" w:rsidRPr="00903B2F" w:rsidRDefault="00903B2F" w:rsidP="00903B2F">
      <w:pPr>
        <w:spacing w:after="120" w:line="240" w:lineRule="auto"/>
        <w:jc w:val="both"/>
        <w:rPr>
          <w:rFonts w:ascii="Times New Roman" w:hAnsi="Times New Roman"/>
          <w:bCs/>
          <w:szCs w:val="24"/>
        </w:rPr>
      </w:pPr>
      <w:r w:rsidRPr="00903B2F">
        <w:rPr>
          <w:rFonts w:ascii="Times New Roman" w:hAnsi="Times New Roman"/>
          <w:bCs/>
          <w:szCs w:val="24"/>
        </w:rPr>
        <w:t>Kolēģi!</w:t>
      </w:r>
    </w:p>
    <w:p w14:paraId="6C2FE202" w14:textId="0FA0522C" w:rsidR="000A2A69" w:rsidRPr="00903B2F" w:rsidRDefault="000A2A69" w:rsidP="00903B2F">
      <w:pPr>
        <w:spacing w:after="120" w:line="240" w:lineRule="auto"/>
        <w:jc w:val="both"/>
        <w:rPr>
          <w:rFonts w:ascii="Times New Roman" w:hAnsi="Times New Roman"/>
          <w:bCs/>
          <w:szCs w:val="24"/>
        </w:rPr>
      </w:pPr>
      <w:r w:rsidRPr="00903B2F">
        <w:rPr>
          <w:rFonts w:ascii="Times New Roman" w:hAnsi="Times New Roman"/>
          <w:bCs/>
          <w:szCs w:val="24"/>
        </w:rPr>
        <w:t>Gan iekšējais tirgus, gan sociālā politika ir dalītās kompetences</w:t>
      </w:r>
      <w:r w:rsidRPr="00903B2F">
        <w:rPr>
          <w:rStyle w:val="FootnoteReference"/>
          <w:rFonts w:ascii="Times New Roman" w:hAnsi="Times New Roman"/>
          <w:bCs/>
          <w:szCs w:val="24"/>
        </w:rPr>
        <w:footnoteReference w:id="1"/>
      </w:r>
      <w:r w:rsidRPr="00903B2F">
        <w:rPr>
          <w:rFonts w:ascii="Times New Roman" w:hAnsi="Times New Roman"/>
          <w:bCs/>
          <w:szCs w:val="24"/>
        </w:rPr>
        <w:t xml:space="preserve"> jautājumi</w:t>
      </w:r>
      <w:r w:rsidRPr="00903B2F">
        <w:rPr>
          <w:rStyle w:val="FootnoteReference"/>
          <w:rFonts w:ascii="Times New Roman" w:hAnsi="Times New Roman"/>
          <w:bCs/>
          <w:szCs w:val="24"/>
        </w:rPr>
        <w:footnoteReference w:id="2"/>
      </w:r>
      <w:r w:rsidRPr="00903B2F">
        <w:rPr>
          <w:rFonts w:ascii="Times New Roman" w:hAnsi="Times New Roman"/>
          <w:bCs/>
          <w:szCs w:val="24"/>
        </w:rPr>
        <w:t>.</w:t>
      </w:r>
    </w:p>
    <w:p w14:paraId="63EA9A6D" w14:textId="5A7FCFEA" w:rsidR="00EC5135" w:rsidRPr="00903B2F" w:rsidRDefault="000A2A69"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Tātad šajās jomās tiesību avotu sistēma veidojas kompleksa. To veido gan Eiropas Savienības tiesību avoti, gan papildinoši nacionālo tiesību avoti. Turklāt teorētiski pastāv vēl neregulētās jomas, kurās regulējumu noteic tikai nacionālie tiesību avoti. </w:t>
      </w:r>
      <w:r w:rsidR="004A37E4" w:rsidRPr="00903B2F">
        <w:rPr>
          <w:rFonts w:ascii="Times New Roman" w:hAnsi="Times New Roman"/>
          <w:bCs/>
          <w:szCs w:val="24"/>
        </w:rPr>
        <w:t>Tas rada vairākus izaicinājumus nacionālo tiesu tiesnešiem.</w:t>
      </w:r>
    </w:p>
    <w:p w14:paraId="76945BF0" w14:textId="2BDE3750" w:rsidR="004A37E4" w:rsidRPr="00903B2F" w:rsidRDefault="004A37E4"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Runājot par pārrobežu nodarbinātību, </w:t>
      </w:r>
      <w:r w:rsidR="00903B2F">
        <w:rPr>
          <w:rFonts w:ascii="Times New Roman" w:hAnsi="Times New Roman"/>
          <w:bCs/>
          <w:szCs w:val="24"/>
        </w:rPr>
        <w:t>–</w:t>
      </w:r>
      <w:r w:rsidRPr="00903B2F">
        <w:rPr>
          <w:rFonts w:ascii="Times New Roman" w:hAnsi="Times New Roman"/>
          <w:bCs/>
          <w:szCs w:val="24"/>
        </w:rPr>
        <w:t xml:space="preserve"> tā ir </w:t>
      </w:r>
      <w:r w:rsidR="00035AFE" w:rsidRPr="00903B2F">
        <w:rPr>
          <w:rFonts w:ascii="Times New Roman" w:hAnsi="Times New Roman"/>
          <w:bCs/>
          <w:szCs w:val="24"/>
        </w:rPr>
        <w:t xml:space="preserve">kļuvusi par </w:t>
      </w:r>
      <w:r w:rsidRPr="00903B2F">
        <w:rPr>
          <w:rFonts w:ascii="Times New Roman" w:hAnsi="Times New Roman"/>
          <w:bCs/>
          <w:szCs w:val="24"/>
        </w:rPr>
        <w:t>īpaš</w:t>
      </w:r>
      <w:r w:rsidR="00035AFE" w:rsidRPr="00903B2F">
        <w:rPr>
          <w:rFonts w:ascii="Times New Roman" w:hAnsi="Times New Roman"/>
          <w:bCs/>
          <w:szCs w:val="24"/>
        </w:rPr>
        <w:t>u</w:t>
      </w:r>
      <w:r w:rsidRPr="00903B2F">
        <w:rPr>
          <w:rFonts w:ascii="Times New Roman" w:hAnsi="Times New Roman"/>
          <w:bCs/>
          <w:szCs w:val="24"/>
        </w:rPr>
        <w:t xml:space="preserve"> uzņēmējdarbības form</w:t>
      </w:r>
      <w:r w:rsidR="00035AFE" w:rsidRPr="00903B2F">
        <w:rPr>
          <w:rFonts w:ascii="Times New Roman" w:hAnsi="Times New Roman"/>
          <w:bCs/>
          <w:szCs w:val="24"/>
        </w:rPr>
        <w:t>u</w:t>
      </w:r>
      <w:r w:rsidRPr="00903B2F">
        <w:rPr>
          <w:rFonts w:ascii="Times New Roman" w:hAnsi="Times New Roman"/>
          <w:bCs/>
          <w:szCs w:val="24"/>
        </w:rPr>
        <w:t xml:space="preserve">. Un tā nav tikai iespēja ekonomēt uz atalgojuma rēķina. Tā ir arī iespēja paplašināt savu tirgu un uzsākt darbību citā dalībvalstī. Iekšējā tirgus darbībai nepieciešams, lai uzņēmējiem tiktu izvirzītas skaidras prasības, mazināts birokrātiskais slogs. </w:t>
      </w:r>
    </w:p>
    <w:p w14:paraId="3497F143" w14:textId="13AE2CC7" w:rsidR="004A37E4" w:rsidRPr="00903B2F" w:rsidRDefault="004A37E4"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Pēdējos gados Latvijas Augstākā tiesa vairākās lietās pārbaudīja darba ņēmēju tiesību ievērošanu </w:t>
      </w:r>
      <w:r w:rsidR="00F90CF3" w:rsidRPr="00903B2F">
        <w:rPr>
          <w:rFonts w:ascii="Times New Roman" w:hAnsi="Times New Roman"/>
          <w:bCs/>
          <w:szCs w:val="24"/>
        </w:rPr>
        <w:t xml:space="preserve">un </w:t>
      </w:r>
      <w:r w:rsidRPr="00903B2F">
        <w:rPr>
          <w:rFonts w:ascii="Times New Roman" w:hAnsi="Times New Roman"/>
          <w:bCs/>
          <w:szCs w:val="24"/>
        </w:rPr>
        <w:t xml:space="preserve">darba līgumu saskaņotību ar </w:t>
      </w:r>
      <w:proofErr w:type="spellStart"/>
      <w:r w:rsidRPr="00903B2F">
        <w:rPr>
          <w:rFonts w:ascii="Times New Roman" w:hAnsi="Times New Roman"/>
          <w:bCs/>
          <w:szCs w:val="24"/>
        </w:rPr>
        <w:t>imperatīvajām</w:t>
      </w:r>
      <w:proofErr w:type="spellEnd"/>
      <w:r w:rsidRPr="00903B2F">
        <w:rPr>
          <w:rFonts w:ascii="Times New Roman" w:hAnsi="Times New Roman"/>
          <w:bCs/>
          <w:szCs w:val="24"/>
        </w:rPr>
        <w:t xml:space="preserve"> Latvijas tiesību aktu prasībām, kurās ieviest</w:t>
      </w:r>
      <w:r w:rsidR="00035AFE" w:rsidRPr="00903B2F">
        <w:rPr>
          <w:rFonts w:ascii="Times New Roman" w:hAnsi="Times New Roman"/>
          <w:bCs/>
          <w:szCs w:val="24"/>
        </w:rPr>
        <w:t>i</w:t>
      </w:r>
      <w:r w:rsidRPr="00903B2F">
        <w:rPr>
          <w:rFonts w:ascii="Times New Roman" w:hAnsi="Times New Roman"/>
          <w:bCs/>
          <w:szCs w:val="24"/>
        </w:rPr>
        <w:t xml:space="preserve"> arī Eiropas Savienības direktīvu </w:t>
      </w:r>
      <w:r w:rsidR="00035AFE" w:rsidRPr="00903B2F">
        <w:rPr>
          <w:rFonts w:ascii="Times New Roman" w:hAnsi="Times New Roman"/>
          <w:bCs/>
          <w:szCs w:val="24"/>
        </w:rPr>
        <w:t>noteikumi</w:t>
      </w:r>
      <w:r w:rsidRPr="00903B2F">
        <w:rPr>
          <w:rFonts w:ascii="Times New Roman" w:hAnsi="Times New Roman"/>
          <w:bCs/>
          <w:szCs w:val="24"/>
        </w:rPr>
        <w:t>. Tie bija gan metro staciju elektroinženieri Kopenhāgenā</w:t>
      </w:r>
      <w:r w:rsidR="003941DE">
        <w:rPr>
          <w:rStyle w:val="FootnoteReference"/>
          <w:rFonts w:ascii="Times New Roman" w:hAnsi="Times New Roman"/>
          <w:bCs/>
          <w:szCs w:val="24"/>
        </w:rPr>
        <w:footnoteReference w:id="3"/>
      </w:r>
      <w:r w:rsidRPr="00903B2F">
        <w:rPr>
          <w:rFonts w:ascii="Times New Roman" w:hAnsi="Times New Roman"/>
          <w:bCs/>
          <w:szCs w:val="24"/>
        </w:rPr>
        <w:t>, gan būvniecībā strādājoši objektu vadītāji Vācijā</w:t>
      </w:r>
      <w:r w:rsidR="003941DE">
        <w:rPr>
          <w:rStyle w:val="FootnoteReference"/>
          <w:rFonts w:ascii="Times New Roman" w:hAnsi="Times New Roman"/>
          <w:bCs/>
          <w:szCs w:val="24"/>
        </w:rPr>
        <w:footnoteReference w:id="4"/>
      </w:r>
      <w:r w:rsidR="003941DE">
        <w:rPr>
          <w:rFonts w:ascii="Times New Roman" w:hAnsi="Times New Roman"/>
          <w:bCs/>
          <w:szCs w:val="24"/>
        </w:rPr>
        <w:t>,</w:t>
      </w:r>
      <w:r w:rsidRPr="00903B2F">
        <w:rPr>
          <w:rFonts w:ascii="Times New Roman" w:hAnsi="Times New Roman"/>
          <w:bCs/>
          <w:szCs w:val="24"/>
        </w:rPr>
        <w:t xml:space="preserve"> </w:t>
      </w:r>
      <w:r w:rsidR="00035AFE" w:rsidRPr="00903B2F">
        <w:rPr>
          <w:rFonts w:ascii="Times New Roman" w:hAnsi="Times New Roman"/>
          <w:bCs/>
          <w:szCs w:val="24"/>
        </w:rPr>
        <w:t>S</w:t>
      </w:r>
      <w:r w:rsidRPr="00903B2F">
        <w:rPr>
          <w:rFonts w:ascii="Times New Roman" w:hAnsi="Times New Roman"/>
          <w:bCs/>
          <w:szCs w:val="24"/>
        </w:rPr>
        <w:t>arežģīts jautājums darba devējiem bijis atlīdzības noteikšana par ceļā uz norīkojuma vietu pavadītu laiku un šajā laikā radušos izdevumu atlīdzinājumu, kā arī par atšķirībām, kas veidojas starp valstīm tajās noteikto svētku dienu dēļ un samaksas par virsstundu darbu jautājumos. Joprojām aktuāls ir arī darba samaksas jautājums saistībā ar noteikto minimālo darba algas likmi un komandējumu naudas nošķiršanu.</w:t>
      </w:r>
      <w:r w:rsidR="00035AFE" w:rsidRPr="00903B2F">
        <w:rPr>
          <w:rFonts w:ascii="Times New Roman" w:hAnsi="Times New Roman"/>
          <w:bCs/>
          <w:szCs w:val="24"/>
        </w:rPr>
        <w:t xml:space="preserve"> Tas ir ikdienas darbs, un tā gaitā arī parādās galvenie izaicinājumi.</w:t>
      </w:r>
    </w:p>
    <w:p w14:paraId="74583273" w14:textId="77777777" w:rsidR="004A37E4" w:rsidRPr="00903B2F" w:rsidRDefault="004A37E4" w:rsidP="00903B2F">
      <w:pPr>
        <w:spacing w:after="120" w:line="240" w:lineRule="auto"/>
        <w:jc w:val="both"/>
        <w:rPr>
          <w:rFonts w:ascii="Times New Roman" w:hAnsi="Times New Roman"/>
          <w:bCs/>
          <w:szCs w:val="24"/>
        </w:rPr>
      </w:pPr>
    </w:p>
    <w:p w14:paraId="648F9ACE" w14:textId="73EAFCB8" w:rsidR="004A37E4" w:rsidRPr="00903B2F" w:rsidRDefault="004A37E4" w:rsidP="00903B2F">
      <w:pPr>
        <w:pStyle w:val="ListParagraph"/>
        <w:numPr>
          <w:ilvl w:val="0"/>
          <w:numId w:val="1"/>
        </w:numPr>
        <w:spacing w:after="120" w:line="240" w:lineRule="auto"/>
        <w:contextualSpacing w:val="0"/>
        <w:jc w:val="both"/>
        <w:rPr>
          <w:rFonts w:ascii="Times New Roman" w:hAnsi="Times New Roman"/>
          <w:b/>
          <w:szCs w:val="24"/>
        </w:rPr>
      </w:pPr>
      <w:r w:rsidRPr="00903B2F">
        <w:rPr>
          <w:rFonts w:ascii="Times New Roman" w:hAnsi="Times New Roman"/>
          <w:b/>
          <w:szCs w:val="24"/>
        </w:rPr>
        <w:t>Nacionālās politikas ietekme</w:t>
      </w:r>
    </w:p>
    <w:p w14:paraId="62B94836" w14:textId="2CBAD163" w:rsidR="006615E4" w:rsidRPr="00903B2F" w:rsidRDefault="006615E4" w:rsidP="00903B2F">
      <w:pPr>
        <w:spacing w:after="120" w:line="240" w:lineRule="auto"/>
        <w:jc w:val="both"/>
        <w:rPr>
          <w:rFonts w:ascii="Times New Roman" w:hAnsi="Times New Roman"/>
          <w:bCs/>
          <w:szCs w:val="24"/>
        </w:rPr>
      </w:pPr>
      <w:r w:rsidRPr="00903B2F">
        <w:rPr>
          <w:rFonts w:ascii="Times New Roman" w:hAnsi="Times New Roman"/>
          <w:bCs/>
          <w:szCs w:val="24"/>
        </w:rPr>
        <w:t>Eiropas Savienība ir pārnacionāla organizācija. Tās moto nu jau gandrīz ceturtdaļgads</w:t>
      </w:r>
      <w:r w:rsidR="00903B2F">
        <w:rPr>
          <w:rFonts w:ascii="Times New Roman" w:hAnsi="Times New Roman"/>
          <w:bCs/>
          <w:szCs w:val="24"/>
        </w:rPr>
        <w:t>imtu</w:t>
      </w:r>
      <w:r w:rsidRPr="00903B2F">
        <w:rPr>
          <w:rFonts w:ascii="Times New Roman" w:hAnsi="Times New Roman"/>
          <w:bCs/>
          <w:szCs w:val="24"/>
        </w:rPr>
        <w:t xml:space="preserve"> ir “vienoti dažādībā”. Diemžēl </w:t>
      </w:r>
      <w:r w:rsidR="00FA6574" w:rsidRPr="00903B2F">
        <w:rPr>
          <w:rFonts w:ascii="Times New Roman" w:hAnsi="Times New Roman"/>
          <w:bCs/>
          <w:szCs w:val="24"/>
        </w:rPr>
        <w:t>šis moto nedarbojas automātiski</w:t>
      </w:r>
      <w:r w:rsidR="004B1E96" w:rsidRPr="00903B2F">
        <w:rPr>
          <w:rFonts w:ascii="Times New Roman" w:hAnsi="Times New Roman"/>
          <w:bCs/>
          <w:szCs w:val="24"/>
        </w:rPr>
        <w:t>, un tam ir vairāki iemesli, no kuriem vislielāko ietekmi rada divi.</w:t>
      </w:r>
    </w:p>
    <w:p w14:paraId="258FEFE4" w14:textId="63A72547" w:rsidR="006615E4" w:rsidRPr="00903B2F" w:rsidRDefault="004B1E96" w:rsidP="00903B2F">
      <w:pPr>
        <w:spacing w:after="120" w:line="240" w:lineRule="auto"/>
        <w:jc w:val="both"/>
        <w:rPr>
          <w:rFonts w:ascii="Times New Roman" w:hAnsi="Times New Roman"/>
          <w:bCs/>
          <w:szCs w:val="24"/>
        </w:rPr>
      </w:pPr>
      <w:r w:rsidRPr="00903B2F">
        <w:rPr>
          <w:rFonts w:ascii="Times New Roman" w:hAnsi="Times New Roman"/>
          <w:bCs/>
          <w:szCs w:val="24"/>
        </w:rPr>
        <w:t>Pirmkārt, c</w:t>
      </w:r>
      <w:r w:rsidR="006615E4" w:rsidRPr="00903B2F">
        <w:rPr>
          <w:rFonts w:ascii="Times New Roman" w:hAnsi="Times New Roman"/>
          <w:bCs/>
          <w:szCs w:val="24"/>
        </w:rPr>
        <w:t>ilvēks ir evolucionējis kā sociāla būtne. Piederība grupai</w:t>
      </w:r>
      <w:r w:rsidR="00411008" w:rsidRPr="00903B2F">
        <w:rPr>
          <w:rFonts w:ascii="Times New Roman" w:hAnsi="Times New Roman"/>
          <w:bCs/>
          <w:szCs w:val="24"/>
        </w:rPr>
        <w:t>, identitāte</w:t>
      </w:r>
      <w:r w:rsidR="006615E4" w:rsidRPr="00903B2F">
        <w:rPr>
          <w:rFonts w:ascii="Times New Roman" w:hAnsi="Times New Roman"/>
          <w:bCs/>
          <w:szCs w:val="24"/>
        </w:rPr>
        <w:t xml:space="preserve"> ir ļoti būtisks cilvēka </w:t>
      </w:r>
      <w:r w:rsidR="00411008" w:rsidRPr="00903B2F">
        <w:rPr>
          <w:rFonts w:ascii="Times New Roman" w:hAnsi="Times New Roman"/>
          <w:bCs/>
          <w:szCs w:val="24"/>
        </w:rPr>
        <w:t xml:space="preserve">kā sociālas būtnes </w:t>
      </w:r>
      <w:r w:rsidR="006615E4" w:rsidRPr="00903B2F">
        <w:rPr>
          <w:rFonts w:ascii="Times New Roman" w:hAnsi="Times New Roman"/>
          <w:bCs/>
          <w:szCs w:val="24"/>
        </w:rPr>
        <w:t>dzīves elements. Tas arī ir viens no galvenajiem iemesliem, kāpēc joprojām sastopam</w:t>
      </w:r>
      <w:r w:rsidRPr="00903B2F">
        <w:rPr>
          <w:rFonts w:ascii="Times New Roman" w:hAnsi="Times New Roman"/>
          <w:bCs/>
          <w:szCs w:val="24"/>
        </w:rPr>
        <w:t xml:space="preserve"> vēlmi pasargāt “savējos”. Pat ja </w:t>
      </w:r>
      <w:r w:rsidR="000D2300" w:rsidRPr="00903B2F">
        <w:rPr>
          <w:rFonts w:ascii="Times New Roman" w:hAnsi="Times New Roman"/>
          <w:bCs/>
          <w:szCs w:val="24"/>
        </w:rPr>
        <w:t xml:space="preserve">ES kontekstā </w:t>
      </w:r>
      <w:r w:rsidRPr="00903B2F">
        <w:rPr>
          <w:rFonts w:ascii="Times New Roman" w:hAnsi="Times New Roman"/>
          <w:bCs/>
          <w:szCs w:val="24"/>
        </w:rPr>
        <w:t xml:space="preserve">“savējie” </w:t>
      </w:r>
      <w:r w:rsidR="000D2300" w:rsidRPr="00903B2F">
        <w:rPr>
          <w:rFonts w:ascii="Times New Roman" w:hAnsi="Times New Roman"/>
          <w:bCs/>
          <w:szCs w:val="24"/>
        </w:rPr>
        <w:t xml:space="preserve">juridiski </w:t>
      </w:r>
      <w:r w:rsidRPr="00903B2F">
        <w:rPr>
          <w:rFonts w:ascii="Times New Roman" w:hAnsi="Times New Roman"/>
          <w:bCs/>
          <w:szCs w:val="24"/>
        </w:rPr>
        <w:t xml:space="preserve">tagad ir </w:t>
      </w:r>
      <w:r w:rsidRPr="00903B2F">
        <w:rPr>
          <w:rFonts w:ascii="Times New Roman" w:hAnsi="Times New Roman"/>
          <w:bCs/>
          <w:szCs w:val="24"/>
        </w:rPr>
        <w:lastRenderedPageBreak/>
        <w:t xml:space="preserve">visi eiropieši, </w:t>
      </w:r>
      <w:r w:rsidR="00411008" w:rsidRPr="00903B2F">
        <w:rPr>
          <w:rFonts w:ascii="Times New Roman" w:hAnsi="Times New Roman"/>
          <w:bCs/>
          <w:szCs w:val="24"/>
        </w:rPr>
        <w:t xml:space="preserve">sadzīviskā </w:t>
      </w:r>
      <w:r w:rsidRPr="00903B2F">
        <w:rPr>
          <w:rFonts w:ascii="Times New Roman" w:hAnsi="Times New Roman"/>
          <w:bCs/>
          <w:szCs w:val="24"/>
        </w:rPr>
        <w:t>realitāte joprojām nav tik idilliska.</w:t>
      </w:r>
      <w:r w:rsidR="00411008" w:rsidRPr="00903B2F">
        <w:rPr>
          <w:rFonts w:ascii="Times New Roman" w:hAnsi="Times New Roman"/>
          <w:bCs/>
          <w:szCs w:val="24"/>
        </w:rPr>
        <w:t xml:space="preserve"> Mēs joprojām dalām </w:t>
      </w:r>
      <w:r w:rsidR="000D2300" w:rsidRPr="00903B2F">
        <w:rPr>
          <w:rFonts w:ascii="Times New Roman" w:hAnsi="Times New Roman"/>
          <w:bCs/>
          <w:szCs w:val="24"/>
        </w:rPr>
        <w:t xml:space="preserve">kā minimums </w:t>
      </w:r>
      <w:r w:rsidR="00411008" w:rsidRPr="00903B2F">
        <w:rPr>
          <w:rFonts w:ascii="Times New Roman" w:hAnsi="Times New Roman"/>
          <w:bCs/>
          <w:szCs w:val="24"/>
        </w:rPr>
        <w:t>“savējos” un “ne-savējos”. Reizēm pat “savējos” un “svešajos”.</w:t>
      </w:r>
    </w:p>
    <w:p w14:paraId="0429823B" w14:textId="0DC24CE4" w:rsidR="00411008" w:rsidRPr="00903B2F" w:rsidRDefault="00411008"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Otrkārt, </w:t>
      </w:r>
      <w:r w:rsidR="00FA6574" w:rsidRPr="00903B2F">
        <w:rPr>
          <w:rFonts w:ascii="Times New Roman" w:hAnsi="Times New Roman"/>
          <w:bCs/>
          <w:szCs w:val="24"/>
        </w:rPr>
        <w:t xml:space="preserve">problēmas rada </w:t>
      </w:r>
      <w:r w:rsidRPr="00903B2F">
        <w:rPr>
          <w:rFonts w:ascii="Times New Roman" w:hAnsi="Times New Roman"/>
          <w:bCs/>
          <w:szCs w:val="24"/>
        </w:rPr>
        <w:t>dabiskās</w:t>
      </w:r>
      <w:r w:rsidR="000D2300" w:rsidRPr="00903B2F">
        <w:rPr>
          <w:rFonts w:ascii="Times New Roman" w:hAnsi="Times New Roman"/>
          <w:bCs/>
          <w:szCs w:val="24"/>
        </w:rPr>
        <w:t xml:space="preserve"> un vienmēr pastāvējušās</w:t>
      </w:r>
      <w:r w:rsidRPr="00903B2F">
        <w:rPr>
          <w:rFonts w:ascii="Times New Roman" w:hAnsi="Times New Roman"/>
          <w:bCs/>
          <w:szCs w:val="24"/>
        </w:rPr>
        <w:t xml:space="preserve"> pretrunas starp tirgus mehānismiem un sociāl</w:t>
      </w:r>
      <w:r w:rsidR="000D2300" w:rsidRPr="00903B2F">
        <w:rPr>
          <w:rFonts w:ascii="Times New Roman" w:hAnsi="Times New Roman"/>
          <w:bCs/>
          <w:szCs w:val="24"/>
        </w:rPr>
        <w:t>ajiem</w:t>
      </w:r>
      <w:r w:rsidRPr="00903B2F">
        <w:rPr>
          <w:rFonts w:ascii="Times New Roman" w:hAnsi="Times New Roman"/>
          <w:bCs/>
          <w:szCs w:val="24"/>
        </w:rPr>
        <w:t xml:space="preserve"> jautājum</w:t>
      </w:r>
      <w:r w:rsidR="000D2300" w:rsidRPr="00903B2F">
        <w:rPr>
          <w:rFonts w:ascii="Times New Roman" w:hAnsi="Times New Roman"/>
          <w:bCs/>
          <w:szCs w:val="24"/>
        </w:rPr>
        <w:t xml:space="preserve">iem. </w:t>
      </w:r>
      <w:r w:rsidR="00FA6574" w:rsidRPr="00903B2F">
        <w:rPr>
          <w:rFonts w:ascii="Times New Roman" w:hAnsi="Times New Roman"/>
          <w:bCs/>
          <w:szCs w:val="24"/>
        </w:rPr>
        <w:t>Analoģiskas</w:t>
      </w:r>
      <w:r w:rsidR="000D2300" w:rsidRPr="00903B2F">
        <w:rPr>
          <w:rFonts w:ascii="Times New Roman" w:hAnsi="Times New Roman"/>
          <w:bCs/>
          <w:szCs w:val="24"/>
        </w:rPr>
        <w:t xml:space="preserve"> dialektiskās pretrunas pastāv arī nacionālo valstu iekšienē, piemēram</w:t>
      </w:r>
      <w:r w:rsidR="00903B2F">
        <w:rPr>
          <w:rFonts w:ascii="Times New Roman" w:hAnsi="Times New Roman"/>
          <w:bCs/>
          <w:szCs w:val="24"/>
        </w:rPr>
        <w:t>,</w:t>
      </w:r>
      <w:r w:rsidR="000D2300" w:rsidRPr="00903B2F">
        <w:rPr>
          <w:rFonts w:ascii="Times New Roman" w:hAnsi="Times New Roman"/>
          <w:bCs/>
          <w:szCs w:val="24"/>
        </w:rPr>
        <w:t xml:space="preserve"> starp pilsētām un laukiem, taču tās var daudzmaz risināt ar nacionālo likumdošanu. Taču Eiropas līmenī šīs pretrunas saasinās dažādo valstu nacionālo interešu gaismā. Un te parādās pilns šo pretrunu spektrs: brīvā darbaspēka </w:t>
      </w:r>
      <w:r w:rsidR="00E91A15" w:rsidRPr="00903B2F">
        <w:rPr>
          <w:rFonts w:ascii="Times New Roman" w:hAnsi="Times New Roman"/>
          <w:bCs/>
          <w:szCs w:val="24"/>
        </w:rPr>
        <w:t xml:space="preserve">kustība </w:t>
      </w:r>
      <w:r w:rsidR="00DA686B" w:rsidRPr="00903B2F">
        <w:rPr>
          <w:rFonts w:ascii="Times New Roman" w:hAnsi="Times New Roman"/>
          <w:bCs/>
          <w:szCs w:val="24"/>
        </w:rPr>
        <w:t xml:space="preserve">rada priekšnoteikumus darbaspēka aizplūšanai no valstīm ar zemākiem sociālajiem standartiem, šī </w:t>
      </w:r>
      <w:r w:rsidR="000D2300" w:rsidRPr="00903B2F">
        <w:rPr>
          <w:rFonts w:ascii="Times New Roman" w:hAnsi="Times New Roman"/>
          <w:bCs/>
          <w:szCs w:val="24"/>
        </w:rPr>
        <w:t xml:space="preserve">kustība rada </w:t>
      </w:r>
      <w:r w:rsidR="00DA686B" w:rsidRPr="00903B2F">
        <w:rPr>
          <w:rFonts w:ascii="Times New Roman" w:hAnsi="Times New Roman"/>
          <w:bCs/>
          <w:szCs w:val="24"/>
        </w:rPr>
        <w:t xml:space="preserve">jautājumus </w:t>
      </w:r>
      <w:r w:rsidR="000D2300" w:rsidRPr="00903B2F">
        <w:rPr>
          <w:rFonts w:ascii="Times New Roman" w:hAnsi="Times New Roman"/>
          <w:bCs/>
          <w:szCs w:val="24"/>
        </w:rPr>
        <w:t>par algu dempingu</w:t>
      </w:r>
      <w:r w:rsidR="00DA686B" w:rsidRPr="00903B2F">
        <w:rPr>
          <w:rFonts w:ascii="Times New Roman" w:hAnsi="Times New Roman"/>
          <w:bCs/>
          <w:szCs w:val="24"/>
        </w:rPr>
        <w:t xml:space="preserve"> no vienas puses un mēģinājumus to kompensēt ar jauniem mehānismiem, piemēram, ārpakalpojumiem u.c.</w:t>
      </w:r>
      <w:r w:rsidR="000D2300" w:rsidRPr="00903B2F">
        <w:rPr>
          <w:rFonts w:ascii="Times New Roman" w:hAnsi="Times New Roman"/>
          <w:bCs/>
          <w:szCs w:val="24"/>
        </w:rPr>
        <w:t xml:space="preserve">, kas rada </w:t>
      </w:r>
      <w:r w:rsidR="00DA686B" w:rsidRPr="00903B2F">
        <w:rPr>
          <w:rFonts w:ascii="Times New Roman" w:hAnsi="Times New Roman"/>
          <w:bCs/>
          <w:szCs w:val="24"/>
        </w:rPr>
        <w:t>bažas par nacionālo uzņēmumu konkurētspēju, kas savukārt liek meklēt citus kompensējošus risinājumus utt.</w:t>
      </w:r>
      <w:r w:rsidR="003C07A7">
        <w:rPr>
          <w:rFonts w:ascii="Times New Roman" w:hAnsi="Times New Roman"/>
          <w:bCs/>
          <w:szCs w:val="24"/>
        </w:rPr>
        <w:t>.</w:t>
      </w:r>
      <w:r w:rsidR="00853DCC" w:rsidRPr="00903B2F">
        <w:rPr>
          <w:rFonts w:ascii="Times New Roman" w:hAnsi="Times New Roman"/>
          <w:bCs/>
          <w:szCs w:val="24"/>
        </w:rPr>
        <w:t xml:space="preserve"> Nacionālajā līmenī šie procesi nereti rada neapmierinātību, kura transformējas politiskajā radikālismā un populismā.</w:t>
      </w:r>
    </w:p>
    <w:p w14:paraId="39257C5F" w14:textId="23177717" w:rsidR="00B43986" w:rsidRPr="00903B2F" w:rsidRDefault="00540995"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Pilnībā piekrītu prezidenta </w:t>
      </w:r>
      <w:proofErr w:type="spellStart"/>
      <w:r w:rsidRPr="00903B2F">
        <w:rPr>
          <w:rFonts w:ascii="Times New Roman" w:hAnsi="Times New Roman"/>
          <w:bCs/>
          <w:szCs w:val="24"/>
        </w:rPr>
        <w:t>L</w:t>
      </w:r>
      <w:r w:rsidR="00F90CF3" w:rsidRPr="00903B2F">
        <w:rPr>
          <w:rFonts w:ascii="Times New Roman" w:hAnsi="Times New Roman"/>
          <w:bCs/>
          <w:szCs w:val="24"/>
        </w:rPr>
        <w:t>ē</w:t>
      </w:r>
      <w:r w:rsidRPr="00903B2F">
        <w:rPr>
          <w:rFonts w:ascii="Times New Roman" w:hAnsi="Times New Roman"/>
          <w:bCs/>
          <w:szCs w:val="24"/>
        </w:rPr>
        <w:t>nartsa</w:t>
      </w:r>
      <w:proofErr w:type="spellEnd"/>
      <w:r w:rsidRPr="00903B2F">
        <w:rPr>
          <w:rFonts w:ascii="Times New Roman" w:hAnsi="Times New Roman"/>
          <w:bCs/>
          <w:szCs w:val="24"/>
        </w:rPr>
        <w:t xml:space="preserve"> popularizētajai tēzei, ka ikviens nacionālais Eiropas Savienības dalībvalsts tiesnesis ir arī Eiropas Savienības tiesnesis. Tā tas arī ir, jo Eiropas tiesību piemērošanas ikdiena primāri ir nacionālo tiesu ziņā, un Eiropas tiesas tajā iesaistās tikai īpašos gadījumos.</w:t>
      </w:r>
    </w:p>
    <w:p w14:paraId="2647EB7F" w14:textId="74DD759D" w:rsidR="00540995" w:rsidRPr="00903B2F" w:rsidRDefault="009A1516" w:rsidP="00903B2F">
      <w:pPr>
        <w:spacing w:after="120" w:line="240" w:lineRule="auto"/>
        <w:jc w:val="both"/>
        <w:rPr>
          <w:rFonts w:ascii="Times New Roman" w:hAnsi="Times New Roman"/>
          <w:bCs/>
          <w:szCs w:val="24"/>
        </w:rPr>
      </w:pPr>
      <w:r w:rsidRPr="00903B2F">
        <w:rPr>
          <w:rFonts w:ascii="Times New Roman" w:hAnsi="Times New Roman"/>
          <w:bCs/>
          <w:szCs w:val="24"/>
        </w:rPr>
        <w:t>Šajā kontekstā</w:t>
      </w:r>
      <w:r w:rsidR="00EC5135" w:rsidRPr="00903B2F">
        <w:rPr>
          <w:rFonts w:ascii="Times New Roman" w:hAnsi="Times New Roman"/>
          <w:bCs/>
          <w:szCs w:val="24"/>
        </w:rPr>
        <w:t xml:space="preserve"> svarīgi saprast, ka</w:t>
      </w:r>
      <w:r w:rsidR="00540995" w:rsidRPr="00903B2F">
        <w:rPr>
          <w:rFonts w:ascii="Times New Roman" w:hAnsi="Times New Roman"/>
          <w:bCs/>
          <w:szCs w:val="24"/>
        </w:rPr>
        <w:t xml:space="preserve"> Eiropas</w:t>
      </w:r>
      <w:r w:rsidR="00E91A15" w:rsidRPr="00903B2F">
        <w:rPr>
          <w:rFonts w:ascii="Times New Roman" w:hAnsi="Times New Roman"/>
          <w:bCs/>
          <w:szCs w:val="24"/>
        </w:rPr>
        <w:t xml:space="preserve"> Savienības</w:t>
      </w:r>
      <w:r w:rsidR="00540995" w:rsidRPr="00903B2F">
        <w:rPr>
          <w:rFonts w:ascii="Times New Roman" w:hAnsi="Times New Roman"/>
          <w:bCs/>
          <w:szCs w:val="24"/>
        </w:rPr>
        <w:t xml:space="preserve"> ties</w:t>
      </w:r>
      <w:r w:rsidR="00F90CF3" w:rsidRPr="00903B2F">
        <w:rPr>
          <w:rFonts w:ascii="Times New Roman" w:hAnsi="Times New Roman"/>
          <w:bCs/>
          <w:szCs w:val="24"/>
        </w:rPr>
        <w:t>u</w:t>
      </w:r>
      <w:r w:rsidR="00540995" w:rsidRPr="00903B2F">
        <w:rPr>
          <w:rFonts w:ascii="Times New Roman" w:hAnsi="Times New Roman"/>
          <w:bCs/>
          <w:szCs w:val="24"/>
        </w:rPr>
        <w:t xml:space="preserve"> tiesnesis ir daudz mazāk pakļauts politiskajam spiedienam no dalībvalstu likumdevēju un izpildvaras puses</w:t>
      </w:r>
      <w:r w:rsidR="00EC5135" w:rsidRPr="00903B2F">
        <w:rPr>
          <w:rFonts w:ascii="Times New Roman" w:hAnsi="Times New Roman"/>
          <w:bCs/>
          <w:szCs w:val="24"/>
        </w:rPr>
        <w:t xml:space="preserve"> un nacionālajam radikālismam un populismam</w:t>
      </w:r>
      <w:r w:rsidRPr="00903B2F">
        <w:rPr>
          <w:rFonts w:ascii="Times New Roman" w:hAnsi="Times New Roman"/>
          <w:bCs/>
          <w:szCs w:val="24"/>
        </w:rPr>
        <w:t xml:space="preserve"> nekā </w:t>
      </w:r>
      <w:r w:rsidR="00E91A15" w:rsidRPr="00903B2F">
        <w:rPr>
          <w:rFonts w:ascii="Times New Roman" w:hAnsi="Times New Roman"/>
          <w:bCs/>
          <w:szCs w:val="24"/>
        </w:rPr>
        <w:t xml:space="preserve">dalībvalsts </w:t>
      </w:r>
      <w:r w:rsidRPr="00903B2F">
        <w:rPr>
          <w:rFonts w:ascii="Times New Roman" w:hAnsi="Times New Roman"/>
          <w:bCs/>
          <w:szCs w:val="24"/>
        </w:rPr>
        <w:t>tiesas tiesnesis</w:t>
      </w:r>
      <w:r w:rsidR="00540995" w:rsidRPr="00903B2F">
        <w:rPr>
          <w:rFonts w:ascii="Times New Roman" w:hAnsi="Times New Roman"/>
          <w:bCs/>
          <w:szCs w:val="24"/>
        </w:rPr>
        <w:t xml:space="preserve">. </w:t>
      </w:r>
      <w:r w:rsidR="00E91A15" w:rsidRPr="00903B2F">
        <w:rPr>
          <w:rFonts w:ascii="Times New Roman" w:hAnsi="Times New Roman"/>
          <w:bCs/>
          <w:szCs w:val="24"/>
        </w:rPr>
        <w:t xml:space="preserve">Dalībvalstu </w:t>
      </w:r>
      <w:r w:rsidR="00540995" w:rsidRPr="00903B2F">
        <w:rPr>
          <w:rFonts w:ascii="Times New Roman" w:hAnsi="Times New Roman"/>
          <w:bCs/>
          <w:szCs w:val="24"/>
        </w:rPr>
        <w:t xml:space="preserve">tiesas, kuru izveidošana un finansēšana lielākā vai mazākā mērā ar dažādām nacionālajām īpatnībām ir likumdevēja un/vai izpildvaras rokās, ir šim spiedienam pakļautas nepastarpināti un tieši. Tas attiecas ne vien uz </w:t>
      </w:r>
      <w:r w:rsidR="00EC5135" w:rsidRPr="00903B2F">
        <w:rPr>
          <w:rFonts w:ascii="Times New Roman" w:hAnsi="Times New Roman"/>
          <w:bCs/>
          <w:szCs w:val="24"/>
        </w:rPr>
        <w:t>šīs</w:t>
      </w:r>
      <w:r w:rsidR="00540995" w:rsidRPr="00903B2F">
        <w:rPr>
          <w:rFonts w:ascii="Times New Roman" w:hAnsi="Times New Roman"/>
          <w:bCs/>
          <w:szCs w:val="24"/>
        </w:rPr>
        <w:t xml:space="preserve"> tēmas </w:t>
      </w:r>
      <w:r w:rsidR="00EC5135" w:rsidRPr="00903B2F">
        <w:rPr>
          <w:rFonts w:ascii="Times New Roman" w:hAnsi="Times New Roman"/>
          <w:bCs/>
          <w:szCs w:val="24"/>
        </w:rPr>
        <w:t>jomām – iekšējo tirgu un sociālo politiku</w:t>
      </w:r>
      <w:r w:rsidR="00540995" w:rsidRPr="00903B2F">
        <w:rPr>
          <w:rFonts w:ascii="Times New Roman" w:hAnsi="Times New Roman"/>
          <w:bCs/>
          <w:szCs w:val="24"/>
        </w:rPr>
        <w:t xml:space="preserve">, bet uz krietni plašāku jautājumu spektru, ieskaitot </w:t>
      </w:r>
      <w:r w:rsidR="00FA6574" w:rsidRPr="00903B2F">
        <w:rPr>
          <w:rFonts w:ascii="Times New Roman" w:hAnsi="Times New Roman"/>
          <w:bCs/>
          <w:szCs w:val="24"/>
        </w:rPr>
        <w:t xml:space="preserve">pat </w:t>
      </w:r>
      <w:r w:rsidR="00540995" w:rsidRPr="00903B2F">
        <w:rPr>
          <w:rFonts w:ascii="Times New Roman" w:hAnsi="Times New Roman"/>
          <w:bCs/>
          <w:szCs w:val="24"/>
        </w:rPr>
        <w:t>cilvēktiesī</w:t>
      </w:r>
      <w:r w:rsidR="00FA6574" w:rsidRPr="00903B2F">
        <w:rPr>
          <w:rFonts w:ascii="Times New Roman" w:hAnsi="Times New Roman"/>
          <w:bCs/>
          <w:szCs w:val="24"/>
        </w:rPr>
        <w:t>bas</w:t>
      </w:r>
      <w:r w:rsidR="00540995" w:rsidRPr="00903B2F">
        <w:rPr>
          <w:rFonts w:ascii="Times New Roman" w:hAnsi="Times New Roman"/>
          <w:bCs/>
          <w:szCs w:val="24"/>
        </w:rPr>
        <w:t xml:space="preserve">. </w:t>
      </w:r>
      <w:r w:rsidR="00D90688" w:rsidRPr="00903B2F">
        <w:rPr>
          <w:rFonts w:ascii="Times New Roman" w:hAnsi="Times New Roman"/>
          <w:bCs/>
          <w:szCs w:val="24"/>
        </w:rPr>
        <w:t>Politiskās retorikas ietekmē pat nākas dzirdēt viedokļus no augstām amatpersonām, ka noteiktu noziegumu gadījumos nevajadzētu atsaukties uz aizdomās turēto cilvēktiesībām...</w:t>
      </w:r>
      <w:r w:rsidR="00AA10B6" w:rsidRPr="00903B2F">
        <w:rPr>
          <w:rFonts w:ascii="Times New Roman" w:hAnsi="Times New Roman"/>
          <w:bCs/>
          <w:szCs w:val="24"/>
        </w:rPr>
        <w:t xml:space="preserve"> Tāpat ir redzēti arī </w:t>
      </w:r>
      <w:r w:rsidR="00FA6574" w:rsidRPr="00903B2F">
        <w:rPr>
          <w:rFonts w:ascii="Times New Roman" w:hAnsi="Times New Roman"/>
          <w:bCs/>
          <w:szCs w:val="24"/>
        </w:rPr>
        <w:t xml:space="preserve">dažādu valstu tiesu </w:t>
      </w:r>
      <w:r w:rsidR="00AA10B6" w:rsidRPr="00903B2F">
        <w:rPr>
          <w:rFonts w:ascii="Times New Roman" w:hAnsi="Times New Roman"/>
          <w:bCs/>
          <w:szCs w:val="24"/>
        </w:rPr>
        <w:t xml:space="preserve">spriedumi, kuri rada </w:t>
      </w:r>
      <w:proofErr w:type="spellStart"/>
      <w:r w:rsidR="00AA10B6" w:rsidRPr="00903B2F">
        <w:rPr>
          <w:rFonts w:ascii="Times New Roman" w:hAnsi="Times New Roman"/>
          <w:bCs/>
          <w:szCs w:val="24"/>
        </w:rPr>
        <w:t>pirmšķietamu</w:t>
      </w:r>
      <w:proofErr w:type="spellEnd"/>
      <w:r w:rsidR="00AA10B6" w:rsidRPr="00903B2F">
        <w:rPr>
          <w:rFonts w:ascii="Times New Roman" w:hAnsi="Times New Roman"/>
          <w:bCs/>
          <w:szCs w:val="24"/>
        </w:rPr>
        <w:t xml:space="preserve"> priekšstatu par atšķirīgu attieksmi pret “savējiem” un “svešajiem”, kas var mazināt paļaušanos uz ES tiesību vienojošo dabu.</w:t>
      </w:r>
      <w:r w:rsidR="00202432" w:rsidRPr="00903B2F">
        <w:rPr>
          <w:rFonts w:ascii="Times New Roman" w:hAnsi="Times New Roman"/>
          <w:bCs/>
          <w:szCs w:val="24"/>
        </w:rPr>
        <w:t xml:space="preserve"> Visbiežāk tas notiek, lai risinātu nacionālās sociālās politikas problēmas uz iekšējā tirgus principu rēķina.</w:t>
      </w:r>
    </w:p>
    <w:p w14:paraId="0C2325C1" w14:textId="61EA0004" w:rsidR="00540995" w:rsidRPr="00903B2F" w:rsidRDefault="00540995"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Tieši šis apstāklis – Eiropas </w:t>
      </w:r>
      <w:r w:rsidR="00E91A15" w:rsidRPr="00903B2F">
        <w:rPr>
          <w:rFonts w:ascii="Times New Roman" w:hAnsi="Times New Roman"/>
          <w:bCs/>
          <w:szCs w:val="24"/>
        </w:rPr>
        <w:t xml:space="preserve">Savienības </w:t>
      </w:r>
      <w:r w:rsidR="00F90CF3" w:rsidRPr="00903B2F">
        <w:rPr>
          <w:rFonts w:ascii="Times New Roman" w:hAnsi="Times New Roman"/>
          <w:bCs/>
          <w:szCs w:val="24"/>
        </w:rPr>
        <w:t>T</w:t>
      </w:r>
      <w:r w:rsidRPr="00903B2F">
        <w:rPr>
          <w:rFonts w:ascii="Times New Roman" w:hAnsi="Times New Roman"/>
          <w:bCs/>
          <w:szCs w:val="24"/>
        </w:rPr>
        <w:t>ies</w:t>
      </w:r>
      <w:r w:rsidR="00F90CF3" w:rsidRPr="00903B2F">
        <w:rPr>
          <w:rFonts w:ascii="Times New Roman" w:hAnsi="Times New Roman"/>
          <w:bCs/>
          <w:szCs w:val="24"/>
        </w:rPr>
        <w:t>as</w:t>
      </w:r>
      <w:r w:rsidRPr="00903B2F">
        <w:rPr>
          <w:rFonts w:ascii="Times New Roman" w:hAnsi="Times New Roman"/>
          <w:bCs/>
          <w:szCs w:val="24"/>
        </w:rPr>
        <w:t xml:space="preserve"> neatkarība no nacionālās politikas</w:t>
      </w:r>
      <w:r w:rsidR="00B009E3" w:rsidRPr="00903B2F">
        <w:rPr>
          <w:rFonts w:ascii="Times New Roman" w:hAnsi="Times New Roman"/>
          <w:bCs/>
          <w:szCs w:val="24"/>
        </w:rPr>
        <w:t xml:space="preserve">, </w:t>
      </w:r>
      <w:r w:rsidR="00E91A15" w:rsidRPr="00903B2F">
        <w:rPr>
          <w:rFonts w:ascii="Times New Roman" w:hAnsi="Times New Roman"/>
          <w:bCs/>
          <w:szCs w:val="24"/>
        </w:rPr>
        <w:t xml:space="preserve">izmantojot </w:t>
      </w:r>
      <w:r w:rsidR="00B009E3" w:rsidRPr="00903B2F">
        <w:rPr>
          <w:rFonts w:ascii="Times New Roman" w:hAnsi="Times New Roman"/>
          <w:bCs/>
          <w:szCs w:val="24"/>
        </w:rPr>
        <w:t xml:space="preserve">prejudiciālo jautājumu </w:t>
      </w:r>
      <w:r w:rsidR="00E91A15" w:rsidRPr="00903B2F">
        <w:rPr>
          <w:rFonts w:ascii="Times New Roman" w:hAnsi="Times New Roman"/>
          <w:bCs/>
          <w:szCs w:val="24"/>
        </w:rPr>
        <w:t xml:space="preserve">institūtu, sniedz būtisku atbalstu </w:t>
      </w:r>
      <w:r w:rsidR="00EC5135" w:rsidRPr="00903B2F">
        <w:rPr>
          <w:rFonts w:ascii="Times New Roman" w:hAnsi="Times New Roman"/>
          <w:bCs/>
          <w:szCs w:val="24"/>
        </w:rPr>
        <w:t>n</w:t>
      </w:r>
      <w:r w:rsidRPr="00903B2F">
        <w:rPr>
          <w:rFonts w:ascii="Times New Roman" w:hAnsi="Times New Roman"/>
          <w:bCs/>
          <w:szCs w:val="24"/>
        </w:rPr>
        <w:t xml:space="preserve">acionālajām tiesām </w:t>
      </w:r>
      <w:r w:rsidR="00E91A15" w:rsidRPr="00903B2F">
        <w:rPr>
          <w:rFonts w:ascii="Times New Roman" w:hAnsi="Times New Roman"/>
          <w:bCs/>
          <w:szCs w:val="24"/>
        </w:rPr>
        <w:t>līdzsvar</w:t>
      </w:r>
      <w:r w:rsidR="00FA6574" w:rsidRPr="00903B2F">
        <w:rPr>
          <w:rFonts w:ascii="Times New Roman" w:hAnsi="Times New Roman"/>
          <w:bCs/>
          <w:szCs w:val="24"/>
        </w:rPr>
        <w:t>a nodrošināšanā</w:t>
      </w:r>
      <w:r w:rsidR="00E91A15" w:rsidRPr="00903B2F">
        <w:rPr>
          <w:rFonts w:ascii="Times New Roman" w:hAnsi="Times New Roman"/>
          <w:bCs/>
          <w:szCs w:val="24"/>
        </w:rPr>
        <w:t xml:space="preserve"> starp nacionālajām politiskajām interesēm un Eiropas Savienības integrācij</w:t>
      </w:r>
      <w:r w:rsidR="00FA6574" w:rsidRPr="00903B2F">
        <w:rPr>
          <w:rFonts w:ascii="Times New Roman" w:hAnsi="Times New Roman"/>
          <w:bCs/>
          <w:szCs w:val="24"/>
        </w:rPr>
        <w:t>as principiem</w:t>
      </w:r>
      <w:r w:rsidR="00EC5135" w:rsidRPr="00903B2F">
        <w:rPr>
          <w:rFonts w:ascii="Times New Roman" w:hAnsi="Times New Roman"/>
          <w:bCs/>
          <w:szCs w:val="24"/>
        </w:rPr>
        <w:t xml:space="preserve">. </w:t>
      </w:r>
    </w:p>
    <w:p w14:paraId="1661E497" w14:textId="30879850" w:rsidR="003F78E1" w:rsidRPr="00903B2F" w:rsidRDefault="0038220A"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Faktiski Eiropas </w:t>
      </w:r>
      <w:r w:rsidR="00E91A15" w:rsidRPr="00903B2F">
        <w:rPr>
          <w:rFonts w:ascii="Times New Roman" w:hAnsi="Times New Roman"/>
          <w:bCs/>
          <w:szCs w:val="24"/>
        </w:rPr>
        <w:t xml:space="preserve">Savienības </w:t>
      </w:r>
      <w:r w:rsidR="00F90CF3" w:rsidRPr="00903B2F">
        <w:rPr>
          <w:rFonts w:ascii="Times New Roman" w:hAnsi="Times New Roman"/>
          <w:bCs/>
          <w:szCs w:val="24"/>
        </w:rPr>
        <w:t>T</w:t>
      </w:r>
      <w:r w:rsidRPr="00903B2F">
        <w:rPr>
          <w:rFonts w:ascii="Times New Roman" w:hAnsi="Times New Roman"/>
          <w:bCs/>
          <w:szCs w:val="24"/>
        </w:rPr>
        <w:t>iesa</w:t>
      </w:r>
      <w:r w:rsidR="00E91A15" w:rsidRPr="00903B2F">
        <w:rPr>
          <w:rFonts w:ascii="Times New Roman" w:hAnsi="Times New Roman"/>
          <w:bCs/>
          <w:szCs w:val="24"/>
        </w:rPr>
        <w:t xml:space="preserve"> ir </w:t>
      </w:r>
      <w:r w:rsidR="00FA6574" w:rsidRPr="00903B2F">
        <w:rPr>
          <w:rFonts w:ascii="Times New Roman" w:hAnsi="Times New Roman"/>
          <w:bCs/>
          <w:szCs w:val="24"/>
        </w:rPr>
        <w:t xml:space="preserve">noturējusi un </w:t>
      </w:r>
      <w:r w:rsidR="00C01BA6" w:rsidRPr="00903B2F">
        <w:rPr>
          <w:rFonts w:ascii="Times New Roman" w:hAnsi="Times New Roman"/>
          <w:bCs/>
          <w:szCs w:val="24"/>
        </w:rPr>
        <w:t xml:space="preserve">turpina </w:t>
      </w:r>
      <w:r w:rsidRPr="00903B2F">
        <w:rPr>
          <w:rFonts w:ascii="Times New Roman" w:hAnsi="Times New Roman"/>
          <w:bCs/>
          <w:szCs w:val="24"/>
        </w:rPr>
        <w:t xml:space="preserve">noturēt būtiskos Eiropas kopīgos principus un vērtības iepretim nacionālajam protekcionismam. Kā piemērus var minēt gan 1976.gada spriedumu </w:t>
      </w:r>
      <w:proofErr w:type="spellStart"/>
      <w:r w:rsidRPr="00903B2F">
        <w:rPr>
          <w:rFonts w:ascii="Times New Roman" w:hAnsi="Times New Roman"/>
          <w:bCs/>
          <w:i/>
          <w:iCs/>
          <w:szCs w:val="24"/>
        </w:rPr>
        <w:t>Cassis</w:t>
      </w:r>
      <w:proofErr w:type="spellEnd"/>
      <w:r w:rsidRPr="00903B2F">
        <w:rPr>
          <w:rFonts w:ascii="Times New Roman" w:hAnsi="Times New Roman"/>
          <w:bCs/>
          <w:i/>
          <w:iCs/>
          <w:szCs w:val="24"/>
        </w:rPr>
        <w:t xml:space="preserve"> </w:t>
      </w:r>
      <w:proofErr w:type="spellStart"/>
      <w:r w:rsidRPr="00903B2F">
        <w:rPr>
          <w:rFonts w:ascii="Times New Roman" w:hAnsi="Times New Roman"/>
          <w:bCs/>
          <w:i/>
          <w:iCs/>
          <w:szCs w:val="24"/>
        </w:rPr>
        <w:t>de</w:t>
      </w:r>
      <w:proofErr w:type="spellEnd"/>
      <w:r w:rsidRPr="00903B2F">
        <w:rPr>
          <w:rFonts w:ascii="Times New Roman" w:hAnsi="Times New Roman"/>
          <w:bCs/>
          <w:i/>
          <w:iCs/>
          <w:szCs w:val="24"/>
        </w:rPr>
        <w:t xml:space="preserve"> </w:t>
      </w:r>
      <w:proofErr w:type="spellStart"/>
      <w:r w:rsidRPr="00903B2F">
        <w:rPr>
          <w:rFonts w:ascii="Times New Roman" w:hAnsi="Times New Roman"/>
          <w:bCs/>
          <w:i/>
          <w:iCs/>
          <w:szCs w:val="24"/>
        </w:rPr>
        <w:t>Dijon</w:t>
      </w:r>
      <w:proofErr w:type="spellEnd"/>
      <w:r w:rsidRPr="00903B2F">
        <w:rPr>
          <w:rFonts w:ascii="Times New Roman" w:hAnsi="Times New Roman"/>
          <w:bCs/>
          <w:szCs w:val="24"/>
        </w:rPr>
        <w:t xml:space="preserve"> lietā, gan vēlākos 2007.gada EST spriedum</w:t>
      </w:r>
      <w:r w:rsidR="003C07A7">
        <w:rPr>
          <w:rFonts w:ascii="Times New Roman" w:hAnsi="Times New Roman"/>
          <w:bCs/>
          <w:szCs w:val="24"/>
        </w:rPr>
        <w:t>u</w:t>
      </w:r>
      <w:r w:rsidRPr="00903B2F">
        <w:rPr>
          <w:rFonts w:ascii="Times New Roman" w:hAnsi="Times New Roman"/>
          <w:bCs/>
          <w:szCs w:val="24"/>
        </w:rPr>
        <w:t xml:space="preserve">s </w:t>
      </w:r>
      <w:r w:rsidR="003C42E8" w:rsidRPr="00903B2F">
        <w:rPr>
          <w:rFonts w:ascii="Times New Roman" w:hAnsi="Times New Roman"/>
          <w:bCs/>
          <w:i/>
          <w:iCs/>
          <w:szCs w:val="24"/>
        </w:rPr>
        <w:t>Viking</w:t>
      </w:r>
      <w:r w:rsidRPr="00903B2F">
        <w:rPr>
          <w:rFonts w:ascii="Times New Roman" w:hAnsi="Times New Roman"/>
          <w:bCs/>
          <w:i/>
          <w:iCs/>
          <w:szCs w:val="24"/>
        </w:rPr>
        <w:t xml:space="preserve"> Line</w:t>
      </w:r>
      <w:r w:rsidR="003C42E8" w:rsidRPr="00903B2F">
        <w:rPr>
          <w:rStyle w:val="FootnoteReference"/>
          <w:rFonts w:ascii="Times New Roman" w:hAnsi="Times New Roman"/>
          <w:bCs/>
          <w:i/>
          <w:iCs/>
          <w:szCs w:val="24"/>
        </w:rPr>
        <w:footnoteReference w:id="5"/>
      </w:r>
      <w:r w:rsidR="003C42E8" w:rsidRPr="00903B2F">
        <w:rPr>
          <w:rFonts w:ascii="Times New Roman" w:hAnsi="Times New Roman"/>
          <w:bCs/>
          <w:szCs w:val="24"/>
        </w:rPr>
        <w:t xml:space="preserve"> </w:t>
      </w:r>
      <w:r w:rsidR="003F78E1" w:rsidRPr="00903B2F">
        <w:rPr>
          <w:rFonts w:ascii="Times New Roman" w:hAnsi="Times New Roman"/>
          <w:bCs/>
          <w:szCs w:val="24"/>
        </w:rPr>
        <w:t xml:space="preserve">un tam tūlīt sekojošajā </w:t>
      </w:r>
      <w:proofErr w:type="spellStart"/>
      <w:r w:rsidR="003C42E8" w:rsidRPr="00903B2F">
        <w:rPr>
          <w:rFonts w:ascii="Times New Roman" w:hAnsi="Times New Roman"/>
          <w:bCs/>
          <w:i/>
          <w:iCs/>
          <w:szCs w:val="24"/>
        </w:rPr>
        <w:t>Laval</w:t>
      </w:r>
      <w:proofErr w:type="spellEnd"/>
      <w:r w:rsidRPr="00903B2F">
        <w:rPr>
          <w:rFonts w:ascii="Times New Roman" w:hAnsi="Times New Roman"/>
          <w:bCs/>
          <w:i/>
          <w:iCs/>
          <w:szCs w:val="24"/>
        </w:rPr>
        <w:t xml:space="preserve"> un partneri</w:t>
      </w:r>
      <w:r w:rsidR="003C42E8" w:rsidRPr="00903B2F">
        <w:rPr>
          <w:rStyle w:val="FootnoteReference"/>
          <w:rFonts w:ascii="Times New Roman" w:hAnsi="Times New Roman"/>
          <w:bCs/>
          <w:i/>
          <w:iCs/>
          <w:szCs w:val="24"/>
        </w:rPr>
        <w:footnoteReference w:id="6"/>
      </w:r>
      <w:r w:rsidR="003C42E8" w:rsidRPr="00903B2F">
        <w:rPr>
          <w:rFonts w:ascii="Times New Roman" w:hAnsi="Times New Roman"/>
          <w:bCs/>
          <w:szCs w:val="24"/>
        </w:rPr>
        <w:t xml:space="preserve"> </w:t>
      </w:r>
      <w:r w:rsidR="003F78E1" w:rsidRPr="00903B2F">
        <w:rPr>
          <w:rFonts w:ascii="Times New Roman" w:hAnsi="Times New Roman"/>
          <w:bCs/>
          <w:szCs w:val="24"/>
        </w:rPr>
        <w:t>lietā</w:t>
      </w:r>
      <w:r w:rsidRPr="00903B2F">
        <w:rPr>
          <w:rFonts w:ascii="Times New Roman" w:hAnsi="Times New Roman"/>
          <w:bCs/>
          <w:szCs w:val="24"/>
        </w:rPr>
        <w:t>s</w:t>
      </w:r>
      <w:r w:rsidR="003F78E1" w:rsidRPr="00903B2F">
        <w:rPr>
          <w:rFonts w:ascii="Times New Roman" w:hAnsi="Times New Roman"/>
          <w:bCs/>
          <w:szCs w:val="24"/>
        </w:rPr>
        <w:t xml:space="preserve">. </w:t>
      </w:r>
    </w:p>
    <w:p w14:paraId="5F832D7F" w14:textId="3EA9408A" w:rsidR="0038220A" w:rsidRPr="00903B2F" w:rsidRDefault="001534D3"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Šie </w:t>
      </w:r>
      <w:r w:rsidR="002F6DFF" w:rsidRPr="00903B2F">
        <w:rPr>
          <w:rFonts w:ascii="Times New Roman" w:hAnsi="Times New Roman"/>
          <w:bCs/>
          <w:szCs w:val="24"/>
        </w:rPr>
        <w:t xml:space="preserve">spriedumi </w:t>
      </w:r>
      <w:r w:rsidRPr="00903B2F">
        <w:rPr>
          <w:rFonts w:ascii="Times New Roman" w:hAnsi="Times New Roman"/>
          <w:bCs/>
          <w:szCs w:val="24"/>
        </w:rPr>
        <w:t xml:space="preserve">turpmākajos gados </w:t>
      </w:r>
      <w:r w:rsidR="00F42362" w:rsidRPr="00903B2F">
        <w:rPr>
          <w:rFonts w:ascii="Times New Roman" w:hAnsi="Times New Roman"/>
          <w:bCs/>
          <w:szCs w:val="24"/>
        </w:rPr>
        <w:t xml:space="preserve">kalpoja kā būtisks grūdiens detalizētai Eiropas tiesību regulācijai pārrobežu nodarbinātības jomā visplašākajā nozīmē. </w:t>
      </w:r>
      <w:r w:rsidR="00514297" w:rsidRPr="00903B2F">
        <w:rPr>
          <w:rFonts w:ascii="Times New Roman" w:hAnsi="Times New Roman"/>
          <w:bCs/>
          <w:szCs w:val="24"/>
        </w:rPr>
        <w:t xml:space="preserve">Šie spriedumi tika kritizēti tajās valstīs, kurām neizdevās noturēt savu protekcionisma politiku, taču tie bija kā </w:t>
      </w:r>
      <w:r w:rsidR="0038220A" w:rsidRPr="00903B2F">
        <w:rPr>
          <w:rFonts w:ascii="Times New Roman" w:hAnsi="Times New Roman"/>
          <w:bCs/>
          <w:szCs w:val="24"/>
        </w:rPr>
        <w:t xml:space="preserve">cerības </w:t>
      </w:r>
      <w:r w:rsidR="0038220A" w:rsidRPr="00903B2F">
        <w:rPr>
          <w:rFonts w:ascii="Times New Roman" w:hAnsi="Times New Roman"/>
          <w:bCs/>
          <w:szCs w:val="24"/>
        </w:rPr>
        <w:lastRenderedPageBreak/>
        <w:t xml:space="preserve">stars </w:t>
      </w:r>
      <w:r w:rsidR="00514297" w:rsidRPr="00903B2F">
        <w:rPr>
          <w:rFonts w:ascii="Times New Roman" w:hAnsi="Times New Roman"/>
          <w:bCs/>
          <w:szCs w:val="24"/>
        </w:rPr>
        <w:t xml:space="preserve">tālaika </w:t>
      </w:r>
      <w:r w:rsidR="0038220A" w:rsidRPr="00903B2F">
        <w:rPr>
          <w:rFonts w:ascii="Times New Roman" w:hAnsi="Times New Roman"/>
          <w:bCs/>
          <w:szCs w:val="24"/>
        </w:rPr>
        <w:t xml:space="preserve">jaunajām ES dalībvalstīm, tai skaitā Latvijai, </w:t>
      </w:r>
      <w:r w:rsidR="00514297" w:rsidRPr="00903B2F">
        <w:rPr>
          <w:rFonts w:ascii="Times New Roman" w:hAnsi="Times New Roman"/>
          <w:bCs/>
          <w:szCs w:val="24"/>
        </w:rPr>
        <w:t>ka ES tirg</w:t>
      </w:r>
      <w:r w:rsidR="00B009E3" w:rsidRPr="00903B2F">
        <w:rPr>
          <w:rFonts w:ascii="Times New Roman" w:hAnsi="Times New Roman"/>
          <w:bCs/>
          <w:szCs w:val="24"/>
        </w:rPr>
        <w:t>us patiešām ir vienots, ka konkurence tajā patiesi</w:t>
      </w:r>
      <w:r w:rsidR="00514297" w:rsidRPr="00903B2F">
        <w:rPr>
          <w:rFonts w:ascii="Times New Roman" w:hAnsi="Times New Roman"/>
          <w:bCs/>
          <w:szCs w:val="24"/>
        </w:rPr>
        <w:t xml:space="preserve"> ir iespējama un </w:t>
      </w:r>
      <w:r w:rsidR="00B009E3" w:rsidRPr="00903B2F">
        <w:rPr>
          <w:rFonts w:ascii="Times New Roman" w:hAnsi="Times New Roman"/>
          <w:bCs/>
          <w:szCs w:val="24"/>
        </w:rPr>
        <w:t xml:space="preserve">ka tā </w:t>
      </w:r>
      <w:r w:rsidR="00514297" w:rsidRPr="00903B2F">
        <w:rPr>
          <w:rFonts w:ascii="Times New Roman" w:hAnsi="Times New Roman"/>
          <w:bCs/>
          <w:szCs w:val="24"/>
        </w:rPr>
        <w:t xml:space="preserve">tiek </w:t>
      </w:r>
      <w:r w:rsidR="00B009E3" w:rsidRPr="00903B2F">
        <w:rPr>
          <w:rFonts w:ascii="Times New Roman" w:hAnsi="Times New Roman"/>
          <w:bCs/>
          <w:szCs w:val="24"/>
        </w:rPr>
        <w:t xml:space="preserve">juridiski </w:t>
      </w:r>
      <w:r w:rsidR="00514297" w:rsidRPr="00903B2F">
        <w:rPr>
          <w:rFonts w:ascii="Times New Roman" w:hAnsi="Times New Roman"/>
          <w:bCs/>
          <w:szCs w:val="24"/>
        </w:rPr>
        <w:t xml:space="preserve">reāli </w:t>
      </w:r>
      <w:r w:rsidR="00B009E3" w:rsidRPr="00903B2F">
        <w:rPr>
          <w:rFonts w:ascii="Times New Roman" w:hAnsi="Times New Roman"/>
          <w:bCs/>
          <w:szCs w:val="24"/>
        </w:rPr>
        <w:t xml:space="preserve">un efektīvi </w:t>
      </w:r>
      <w:r w:rsidR="00514297" w:rsidRPr="00903B2F">
        <w:rPr>
          <w:rFonts w:ascii="Times New Roman" w:hAnsi="Times New Roman"/>
          <w:bCs/>
          <w:szCs w:val="24"/>
        </w:rPr>
        <w:t>aizsargāta.</w:t>
      </w:r>
    </w:p>
    <w:p w14:paraId="22E2F0DD" w14:textId="6E8AD7BC" w:rsidR="001534D3" w:rsidRPr="00903B2F" w:rsidRDefault="00CE5FC6" w:rsidP="00903B2F">
      <w:pPr>
        <w:spacing w:after="120" w:line="240" w:lineRule="auto"/>
        <w:jc w:val="both"/>
        <w:rPr>
          <w:rFonts w:ascii="Times New Roman" w:hAnsi="Times New Roman"/>
          <w:bCs/>
          <w:szCs w:val="24"/>
        </w:rPr>
      </w:pPr>
      <w:r w:rsidRPr="00903B2F">
        <w:rPr>
          <w:rFonts w:ascii="Times New Roman" w:hAnsi="Times New Roman"/>
          <w:bCs/>
          <w:szCs w:val="24"/>
        </w:rPr>
        <w:t>Tomēr jāuzsver, ka kopš šiem spriedumiem jau daudz ūdens aiztecējis un faktiski esam citā tiesību regulācijas detalizācijā. Tāpat būtiski tiesību piemērošanas konceptus ietekmē Eiropas Savienības Tiesas spriedumi – par to nobeigumā.</w:t>
      </w:r>
    </w:p>
    <w:p w14:paraId="0A2DFF8A" w14:textId="77777777" w:rsidR="00E8371F" w:rsidRPr="00903B2F" w:rsidRDefault="00E8371F" w:rsidP="00903B2F">
      <w:pPr>
        <w:spacing w:after="120" w:line="240" w:lineRule="auto"/>
        <w:jc w:val="both"/>
        <w:rPr>
          <w:rFonts w:ascii="Times New Roman" w:hAnsi="Times New Roman"/>
          <w:bCs/>
          <w:szCs w:val="24"/>
        </w:rPr>
      </w:pPr>
    </w:p>
    <w:p w14:paraId="37ADF4D5" w14:textId="04CE23F5" w:rsidR="004A37E4" w:rsidRPr="003C07A7" w:rsidRDefault="004A37E4" w:rsidP="00903B2F">
      <w:pPr>
        <w:spacing w:after="120" w:line="240" w:lineRule="auto"/>
        <w:jc w:val="both"/>
        <w:rPr>
          <w:rFonts w:ascii="Times New Roman" w:hAnsi="Times New Roman"/>
          <w:b/>
          <w:szCs w:val="24"/>
        </w:rPr>
      </w:pPr>
      <w:r w:rsidRPr="003C07A7">
        <w:rPr>
          <w:rFonts w:ascii="Times New Roman" w:hAnsi="Times New Roman"/>
          <w:b/>
          <w:szCs w:val="24"/>
        </w:rPr>
        <w:t>2) Metodoloģiskas problēmas</w:t>
      </w:r>
    </w:p>
    <w:p w14:paraId="6B71CCA6" w14:textId="7B2B31BF" w:rsidR="002A78C1" w:rsidRPr="00903B2F" w:rsidRDefault="003D62A2" w:rsidP="00903B2F">
      <w:pPr>
        <w:spacing w:after="120" w:line="240" w:lineRule="auto"/>
        <w:jc w:val="both"/>
        <w:rPr>
          <w:rFonts w:ascii="Times New Roman" w:hAnsi="Times New Roman"/>
          <w:b/>
          <w:szCs w:val="24"/>
        </w:rPr>
      </w:pPr>
      <w:r w:rsidRPr="00903B2F">
        <w:rPr>
          <w:rFonts w:ascii="Times New Roman" w:hAnsi="Times New Roman"/>
          <w:b/>
          <w:szCs w:val="24"/>
        </w:rPr>
        <w:t xml:space="preserve">Kā </w:t>
      </w:r>
      <w:r w:rsidR="008E174B" w:rsidRPr="00903B2F">
        <w:rPr>
          <w:rFonts w:ascii="Times New Roman" w:hAnsi="Times New Roman"/>
          <w:b/>
          <w:szCs w:val="24"/>
        </w:rPr>
        <w:t>pirm</w:t>
      </w:r>
      <w:r w:rsidRPr="00903B2F">
        <w:rPr>
          <w:rFonts w:ascii="Times New Roman" w:hAnsi="Times New Roman"/>
          <w:b/>
          <w:szCs w:val="24"/>
        </w:rPr>
        <w:t xml:space="preserve">o </w:t>
      </w:r>
      <w:r w:rsidR="008E174B" w:rsidRPr="00903B2F">
        <w:rPr>
          <w:rFonts w:ascii="Times New Roman" w:hAnsi="Times New Roman"/>
          <w:b/>
          <w:szCs w:val="24"/>
        </w:rPr>
        <w:t xml:space="preserve">kopējai diskusijai </w:t>
      </w:r>
      <w:r w:rsidRPr="00903B2F">
        <w:rPr>
          <w:rFonts w:ascii="Times New Roman" w:hAnsi="Times New Roman"/>
          <w:b/>
          <w:szCs w:val="24"/>
        </w:rPr>
        <w:t xml:space="preserve">vēlos </w:t>
      </w:r>
      <w:r w:rsidR="008E174B" w:rsidRPr="00903B2F">
        <w:rPr>
          <w:rFonts w:ascii="Times New Roman" w:hAnsi="Times New Roman"/>
          <w:b/>
          <w:szCs w:val="24"/>
        </w:rPr>
        <w:t xml:space="preserve">izvirzīt </w:t>
      </w:r>
      <w:r w:rsidRPr="003C07A7">
        <w:rPr>
          <w:rFonts w:ascii="Times New Roman" w:hAnsi="Times New Roman"/>
          <w:b/>
          <w:szCs w:val="24"/>
        </w:rPr>
        <w:t>j</w:t>
      </w:r>
      <w:r w:rsidR="002A78C1" w:rsidRPr="003C07A7">
        <w:rPr>
          <w:rFonts w:ascii="Times New Roman" w:hAnsi="Times New Roman"/>
          <w:b/>
          <w:szCs w:val="24"/>
        </w:rPr>
        <w:t>autājum</w:t>
      </w:r>
      <w:r w:rsidRPr="003C07A7">
        <w:rPr>
          <w:rFonts w:ascii="Times New Roman" w:hAnsi="Times New Roman"/>
          <w:b/>
          <w:szCs w:val="24"/>
        </w:rPr>
        <w:t>u</w:t>
      </w:r>
      <w:r w:rsidR="002A78C1" w:rsidRPr="00903B2F">
        <w:rPr>
          <w:rFonts w:ascii="Times New Roman" w:hAnsi="Times New Roman"/>
          <w:b/>
          <w:szCs w:val="24"/>
        </w:rPr>
        <w:t xml:space="preserve">: cik būtiska </w:t>
      </w:r>
      <w:r w:rsidR="00515061" w:rsidRPr="00903B2F">
        <w:rPr>
          <w:rFonts w:ascii="Times New Roman" w:hAnsi="Times New Roman"/>
          <w:b/>
          <w:szCs w:val="24"/>
        </w:rPr>
        <w:t xml:space="preserve">nozīme </w:t>
      </w:r>
      <w:r w:rsidR="002A78C1" w:rsidRPr="00903B2F">
        <w:rPr>
          <w:rFonts w:ascii="Times New Roman" w:hAnsi="Times New Roman"/>
          <w:b/>
          <w:szCs w:val="24"/>
        </w:rPr>
        <w:t xml:space="preserve">nacionālo tiesu spriešanas efektīvai norisei ir nacionālā likumdevēja kvalitatīvam darbam? </w:t>
      </w:r>
    </w:p>
    <w:p w14:paraId="67D7915B" w14:textId="0358A29B" w:rsidR="002A78C1" w:rsidRPr="00903B2F" w:rsidRDefault="003D62A2" w:rsidP="00903B2F">
      <w:pPr>
        <w:spacing w:after="120" w:line="240" w:lineRule="auto"/>
        <w:jc w:val="both"/>
        <w:rPr>
          <w:rFonts w:ascii="Times New Roman" w:hAnsi="Times New Roman"/>
          <w:bCs/>
          <w:szCs w:val="24"/>
        </w:rPr>
      </w:pPr>
      <w:r w:rsidRPr="00903B2F">
        <w:rPr>
          <w:rFonts w:ascii="Times New Roman" w:hAnsi="Times New Roman"/>
          <w:bCs/>
          <w:szCs w:val="24"/>
        </w:rPr>
        <w:t>Uzrunas sākumā pieminētajos piemēros par tiesību jautājumiem, kas rodas pārrobežu nodarbinātības gadījumos</w:t>
      </w:r>
      <w:r w:rsidR="0070473F" w:rsidRPr="00903B2F">
        <w:rPr>
          <w:rFonts w:ascii="Times New Roman" w:hAnsi="Times New Roman"/>
          <w:bCs/>
          <w:szCs w:val="24"/>
        </w:rPr>
        <w:t xml:space="preserve">, mūsu tiesnešu darbu ietekmēja Eiropas Savienības tiesību ieviešanas kvalitāte.  </w:t>
      </w:r>
      <w:r w:rsidR="002A78C1" w:rsidRPr="00903B2F">
        <w:rPr>
          <w:rFonts w:ascii="Times New Roman" w:hAnsi="Times New Roman"/>
          <w:bCs/>
          <w:szCs w:val="24"/>
        </w:rPr>
        <w:t>Latvijas Darba likum</w:t>
      </w:r>
      <w:r w:rsidRPr="00903B2F">
        <w:rPr>
          <w:rFonts w:ascii="Times New Roman" w:hAnsi="Times New Roman"/>
          <w:bCs/>
          <w:szCs w:val="24"/>
        </w:rPr>
        <w:t>a normas ietekmē tajā ieviestās</w:t>
      </w:r>
      <w:r w:rsidR="002A78C1" w:rsidRPr="00903B2F">
        <w:rPr>
          <w:rFonts w:ascii="Times New Roman" w:hAnsi="Times New Roman"/>
          <w:bCs/>
          <w:szCs w:val="24"/>
        </w:rPr>
        <w:t xml:space="preserve"> direktīvu norm</w:t>
      </w:r>
      <w:r w:rsidR="0070473F" w:rsidRPr="00903B2F">
        <w:rPr>
          <w:rFonts w:ascii="Times New Roman" w:hAnsi="Times New Roman"/>
          <w:bCs/>
          <w:szCs w:val="24"/>
        </w:rPr>
        <w:t xml:space="preserve">as. Darba tiesības kopumā </w:t>
      </w:r>
      <w:r w:rsidR="002A78C1" w:rsidRPr="00903B2F">
        <w:rPr>
          <w:rFonts w:ascii="Times New Roman" w:hAnsi="Times New Roman"/>
          <w:bCs/>
          <w:szCs w:val="24"/>
        </w:rPr>
        <w:t xml:space="preserve">no Eiropas Savienības tiesību piemērošanas metodes skatupunkta </w:t>
      </w:r>
      <w:r w:rsidR="0070473F" w:rsidRPr="00903B2F">
        <w:rPr>
          <w:rFonts w:ascii="Times New Roman" w:hAnsi="Times New Roman"/>
          <w:bCs/>
          <w:szCs w:val="24"/>
        </w:rPr>
        <w:t xml:space="preserve">ir </w:t>
      </w:r>
      <w:r w:rsidR="002A78C1" w:rsidRPr="00903B2F">
        <w:rPr>
          <w:rFonts w:ascii="Times New Roman" w:hAnsi="Times New Roman"/>
          <w:bCs/>
          <w:szCs w:val="24"/>
        </w:rPr>
        <w:t>sarežģīt</w:t>
      </w:r>
      <w:r w:rsidR="0070473F" w:rsidRPr="00903B2F">
        <w:rPr>
          <w:rFonts w:ascii="Times New Roman" w:hAnsi="Times New Roman"/>
          <w:bCs/>
          <w:szCs w:val="24"/>
        </w:rPr>
        <w:t>as</w:t>
      </w:r>
      <w:r w:rsidR="002A78C1" w:rsidRPr="00903B2F">
        <w:rPr>
          <w:rFonts w:ascii="Times New Roman" w:hAnsi="Times New Roman"/>
          <w:bCs/>
          <w:szCs w:val="24"/>
        </w:rPr>
        <w:t>.</w:t>
      </w:r>
      <w:r w:rsidR="008E174B" w:rsidRPr="00903B2F">
        <w:rPr>
          <w:rFonts w:ascii="Times New Roman" w:hAnsi="Times New Roman"/>
          <w:bCs/>
          <w:szCs w:val="24"/>
        </w:rPr>
        <w:t xml:space="preserve"> Turklāt nacionālā regulējuma līmenī tiek integrētas dažādu jomu </w:t>
      </w:r>
      <w:r w:rsidR="0070473F" w:rsidRPr="00903B2F">
        <w:rPr>
          <w:rFonts w:ascii="Times New Roman" w:hAnsi="Times New Roman"/>
          <w:bCs/>
          <w:szCs w:val="24"/>
        </w:rPr>
        <w:t xml:space="preserve">ne tikai </w:t>
      </w:r>
      <w:r w:rsidR="008E174B" w:rsidRPr="00903B2F">
        <w:rPr>
          <w:rFonts w:ascii="Times New Roman" w:hAnsi="Times New Roman"/>
          <w:bCs/>
          <w:szCs w:val="24"/>
        </w:rPr>
        <w:t xml:space="preserve">Eiropas </w:t>
      </w:r>
      <w:r w:rsidR="0070473F" w:rsidRPr="00903B2F">
        <w:rPr>
          <w:rFonts w:ascii="Times New Roman" w:hAnsi="Times New Roman"/>
          <w:bCs/>
          <w:szCs w:val="24"/>
        </w:rPr>
        <w:t xml:space="preserve">Savienības tiesību aktu normas, bet arī </w:t>
      </w:r>
      <w:r w:rsidR="008E174B" w:rsidRPr="00903B2F">
        <w:rPr>
          <w:rFonts w:ascii="Times New Roman" w:hAnsi="Times New Roman"/>
          <w:bCs/>
          <w:szCs w:val="24"/>
        </w:rPr>
        <w:t xml:space="preserve">starptautisko tiesību </w:t>
      </w:r>
      <w:r w:rsidR="0070473F" w:rsidRPr="00903B2F">
        <w:rPr>
          <w:rFonts w:ascii="Times New Roman" w:hAnsi="Times New Roman"/>
          <w:bCs/>
          <w:szCs w:val="24"/>
        </w:rPr>
        <w:t xml:space="preserve">instrumentu </w:t>
      </w:r>
      <w:r w:rsidR="008E174B" w:rsidRPr="00903B2F">
        <w:rPr>
          <w:rFonts w:ascii="Times New Roman" w:hAnsi="Times New Roman"/>
          <w:bCs/>
          <w:szCs w:val="24"/>
        </w:rPr>
        <w:t>normas.</w:t>
      </w:r>
    </w:p>
    <w:p w14:paraId="437800B4" w14:textId="794A4E4F" w:rsidR="002A78C1" w:rsidRPr="00903B2F" w:rsidRDefault="004F7835"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Faktiski </w:t>
      </w:r>
      <w:r w:rsidR="0018496E" w:rsidRPr="00903B2F">
        <w:rPr>
          <w:rFonts w:ascii="Times New Roman" w:hAnsi="Times New Roman"/>
          <w:bCs/>
          <w:szCs w:val="24"/>
        </w:rPr>
        <w:t xml:space="preserve">jau </w:t>
      </w:r>
      <w:r w:rsidRPr="00903B2F">
        <w:rPr>
          <w:rFonts w:ascii="Times New Roman" w:hAnsi="Times New Roman"/>
          <w:bCs/>
          <w:szCs w:val="24"/>
        </w:rPr>
        <w:t xml:space="preserve">par aksiomu </w:t>
      </w:r>
      <w:r w:rsidR="0018496E" w:rsidRPr="00903B2F">
        <w:rPr>
          <w:rFonts w:ascii="Times New Roman" w:hAnsi="Times New Roman"/>
          <w:bCs/>
          <w:szCs w:val="24"/>
        </w:rPr>
        <w:t>tiek uzskatīts</w:t>
      </w:r>
      <w:r w:rsidRPr="00903B2F">
        <w:rPr>
          <w:rFonts w:ascii="Times New Roman" w:hAnsi="Times New Roman"/>
          <w:bCs/>
          <w:szCs w:val="24"/>
        </w:rPr>
        <w:t>, ka n</w:t>
      </w:r>
      <w:r w:rsidR="002A78C1" w:rsidRPr="00903B2F">
        <w:rPr>
          <w:rFonts w:ascii="Times New Roman" w:hAnsi="Times New Roman"/>
          <w:bCs/>
          <w:szCs w:val="24"/>
        </w:rPr>
        <w:t xml:space="preserve">acionālās tiesas pienākums </w:t>
      </w:r>
      <w:r w:rsidRPr="00903B2F">
        <w:rPr>
          <w:rFonts w:ascii="Times New Roman" w:hAnsi="Times New Roman"/>
          <w:bCs/>
          <w:szCs w:val="24"/>
        </w:rPr>
        <w:t xml:space="preserve">ir </w:t>
      </w:r>
      <w:r w:rsidR="002A78C1" w:rsidRPr="00903B2F">
        <w:rPr>
          <w:rFonts w:ascii="Times New Roman" w:hAnsi="Times New Roman"/>
          <w:bCs/>
          <w:szCs w:val="24"/>
        </w:rPr>
        <w:t>pēc savas iniciatīvas izvērtēt nacionālā regulējuma atbilstību Eiropas Savienības tiesību regulējumam</w:t>
      </w:r>
      <w:r w:rsidRPr="00903B2F">
        <w:rPr>
          <w:rFonts w:ascii="Times New Roman" w:hAnsi="Times New Roman"/>
          <w:bCs/>
          <w:szCs w:val="24"/>
        </w:rPr>
        <w:t xml:space="preserve">. To ir viegli pateikt, bet </w:t>
      </w:r>
      <w:r w:rsidR="005F4523" w:rsidRPr="00903B2F">
        <w:rPr>
          <w:rFonts w:ascii="Times New Roman" w:hAnsi="Times New Roman"/>
          <w:bCs/>
          <w:szCs w:val="24"/>
        </w:rPr>
        <w:t xml:space="preserve">nereti </w:t>
      </w:r>
      <w:r w:rsidRPr="00903B2F">
        <w:rPr>
          <w:rFonts w:ascii="Times New Roman" w:hAnsi="Times New Roman"/>
          <w:bCs/>
          <w:szCs w:val="24"/>
        </w:rPr>
        <w:t xml:space="preserve">grūti izdarīt. Administratīvās tiesas praktizē nozaru ministriju pieaicināšanu viedokļu sniegšanai par Eiropas tiesību regulējuma ieviešanu nacionālajā regulējumā. Civillietu un krimināllietu iztiesāšanā šāda prakse nav. Tāpēc kopējā Eiropas tiesību telpas pienākuma slogs gulstas uz tiesnesi. </w:t>
      </w:r>
    </w:p>
    <w:p w14:paraId="5352A200" w14:textId="77777777" w:rsidR="004F7835" w:rsidRPr="00903B2F" w:rsidRDefault="004F7835"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Lai arī teorētiski likumdošanas aktiem ir pieejami sagatavošanas materiāli, kā arī tajos tiek pievienotas informatīvas norādes par Eiropas Savienības tiesību aktu ieviešanu, tomēr tiesneši nevar paļauties, ka informācija ir 100% precīza un aktuāla. </w:t>
      </w:r>
    </w:p>
    <w:p w14:paraId="49B88B1D" w14:textId="47A7D4F8" w:rsidR="004F7835" w:rsidRPr="00903B2F" w:rsidRDefault="004F7835"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Noderīgi būtu uzzināt, kā kolēģi </w:t>
      </w:r>
      <w:r w:rsidR="00E8371F" w:rsidRPr="00903B2F">
        <w:rPr>
          <w:rFonts w:ascii="Times New Roman" w:hAnsi="Times New Roman"/>
          <w:bCs/>
          <w:szCs w:val="24"/>
        </w:rPr>
        <w:t xml:space="preserve">dod signālu likumdevējam par nepilnībām nacionālajā regulējumā, kas attiecas uz Eiropas Savienības tiesību ieviešanu vai piemērošanai nepieciešamā regulējuma nodrošināšanu. </w:t>
      </w:r>
      <w:r w:rsidRPr="00903B2F">
        <w:rPr>
          <w:rFonts w:ascii="Times New Roman" w:hAnsi="Times New Roman"/>
          <w:bCs/>
          <w:szCs w:val="24"/>
        </w:rPr>
        <w:t xml:space="preserve"> </w:t>
      </w:r>
    </w:p>
    <w:p w14:paraId="3DBD4EA8" w14:textId="2D133BEF" w:rsidR="004F7835" w:rsidRPr="00903B2F" w:rsidRDefault="0018496E" w:rsidP="00903B2F">
      <w:pPr>
        <w:spacing w:after="120" w:line="240" w:lineRule="auto"/>
        <w:jc w:val="both"/>
        <w:rPr>
          <w:rFonts w:ascii="Times New Roman" w:hAnsi="Times New Roman"/>
          <w:b/>
          <w:szCs w:val="24"/>
        </w:rPr>
      </w:pPr>
      <w:r w:rsidRPr="00903B2F">
        <w:rPr>
          <w:rFonts w:ascii="Times New Roman" w:hAnsi="Times New Roman"/>
          <w:b/>
          <w:szCs w:val="24"/>
        </w:rPr>
        <w:t xml:space="preserve">Šajā pašā kontekstā izteikšu vēl vienu tēzi: </w:t>
      </w:r>
      <w:r w:rsidR="004F7835" w:rsidRPr="00903B2F">
        <w:rPr>
          <w:rFonts w:ascii="Times New Roman" w:hAnsi="Times New Roman"/>
          <w:b/>
          <w:szCs w:val="24"/>
        </w:rPr>
        <w:t>Eiropas Savienības tiesību mācību grāmatā ir viena būtiskā vājā vieta</w:t>
      </w:r>
      <w:r w:rsidRPr="00903B2F">
        <w:rPr>
          <w:rFonts w:ascii="Times New Roman" w:hAnsi="Times New Roman"/>
          <w:b/>
          <w:szCs w:val="24"/>
        </w:rPr>
        <w:t xml:space="preserve"> –</w:t>
      </w:r>
      <w:r w:rsidR="004F7835" w:rsidRPr="00903B2F">
        <w:rPr>
          <w:rFonts w:ascii="Times New Roman" w:hAnsi="Times New Roman"/>
          <w:b/>
          <w:szCs w:val="24"/>
        </w:rPr>
        <w:t xml:space="preserve"> iztrūkst nacionālo tiesu prakses perspektīvas. </w:t>
      </w:r>
    </w:p>
    <w:p w14:paraId="4E5D8808" w14:textId="69EBFF5A" w:rsidR="005F4523" w:rsidRPr="00903B2F" w:rsidRDefault="00E8371F" w:rsidP="00903B2F">
      <w:pPr>
        <w:spacing w:after="120" w:line="240" w:lineRule="auto"/>
        <w:jc w:val="both"/>
        <w:rPr>
          <w:rFonts w:ascii="Times New Roman" w:hAnsi="Times New Roman"/>
          <w:bCs/>
          <w:szCs w:val="24"/>
        </w:rPr>
      </w:pPr>
      <w:r w:rsidRPr="00903B2F">
        <w:rPr>
          <w:rFonts w:ascii="Times New Roman" w:hAnsi="Times New Roman"/>
          <w:bCs/>
          <w:szCs w:val="24"/>
        </w:rPr>
        <w:t>Pēdējos desmit gados dažādos formātos esam diskutējuši par mūsu judikatūras nozīmi, par tās izmantošanu. Tomēr jāsecina, ka mūsu sarunu forumi nepārklājas ar akadēmisko vidi</w:t>
      </w:r>
      <w:r w:rsidR="00C01BA6" w:rsidRPr="00903B2F">
        <w:rPr>
          <w:rFonts w:ascii="Times New Roman" w:hAnsi="Times New Roman"/>
          <w:bCs/>
          <w:szCs w:val="24"/>
        </w:rPr>
        <w:t>. A</w:t>
      </w:r>
      <w:r w:rsidRPr="00903B2F">
        <w:rPr>
          <w:rFonts w:ascii="Times New Roman" w:hAnsi="Times New Roman"/>
          <w:bCs/>
          <w:szCs w:val="24"/>
        </w:rPr>
        <w:t xml:space="preserve">rī tiesību zinātnei, protams, ar atsevišķiem izņēmumiem, tomēr pietrūkst Eiropas integrācijas skatījuma caur nacionālo tiesu praksi. </w:t>
      </w:r>
      <w:r w:rsidR="005F4523" w:rsidRPr="00903B2F">
        <w:rPr>
          <w:rFonts w:ascii="Times New Roman" w:hAnsi="Times New Roman"/>
          <w:bCs/>
          <w:szCs w:val="24"/>
        </w:rPr>
        <w:t xml:space="preserve">Analīze parasti apstājas pie Eiropas Savienības Tiesas prejudiciālo nolēmumu līmeņa. </w:t>
      </w:r>
    </w:p>
    <w:p w14:paraId="23F6B725" w14:textId="0C80198C" w:rsidR="000203FC" w:rsidRPr="00903B2F" w:rsidRDefault="0018496E" w:rsidP="00903B2F">
      <w:pPr>
        <w:spacing w:after="120" w:line="240" w:lineRule="auto"/>
        <w:jc w:val="both"/>
        <w:rPr>
          <w:rFonts w:ascii="Times New Roman" w:hAnsi="Times New Roman"/>
          <w:bCs/>
          <w:szCs w:val="24"/>
        </w:rPr>
      </w:pPr>
      <w:r w:rsidRPr="00903B2F">
        <w:rPr>
          <w:rFonts w:ascii="Times New Roman" w:hAnsi="Times New Roman"/>
          <w:bCs/>
          <w:szCs w:val="24"/>
        </w:rPr>
        <w:t>Tai pašā laikā</w:t>
      </w:r>
      <w:r w:rsidR="00E14582" w:rsidRPr="00903B2F">
        <w:rPr>
          <w:rFonts w:ascii="Times New Roman" w:hAnsi="Times New Roman"/>
          <w:bCs/>
          <w:szCs w:val="24"/>
        </w:rPr>
        <w:t xml:space="preserve">, lai tiesas spriešanā, kā arī prejudiciālo jautājumu uzdošanā mēs būtu apsvēruši </w:t>
      </w:r>
      <w:r w:rsidR="000203FC" w:rsidRPr="00903B2F">
        <w:rPr>
          <w:rFonts w:ascii="Times New Roman" w:hAnsi="Times New Roman"/>
          <w:bCs/>
          <w:szCs w:val="24"/>
        </w:rPr>
        <w:t>ietekmes uz Eiropas Savienības tiesību vienotu piemērošanu un atšķirīgas judikatūras rašanās risku</w:t>
      </w:r>
      <w:r w:rsidR="003C07A7">
        <w:rPr>
          <w:rFonts w:ascii="Times New Roman" w:hAnsi="Times New Roman"/>
          <w:bCs/>
          <w:szCs w:val="24"/>
        </w:rPr>
        <w:t>,</w:t>
      </w:r>
      <w:r w:rsidR="000203FC" w:rsidRPr="00903B2F">
        <w:rPr>
          <w:rStyle w:val="FootnoteReference"/>
          <w:rFonts w:ascii="Times New Roman" w:hAnsi="Times New Roman"/>
          <w:bCs/>
          <w:szCs w:val="24"/>
        </w:rPr>
        <w:footnoteReference w:id="7"/>
      </w:r>
      <w:r w:rsidR="000203FC" w:rsidRPr="00903B2F">
        <w:rPr>
          <w:rFonts w:ascii="Times New Roman" w:hAnsi="Times New Roman"/>
          <w:bCs/>
          <w:szCs w:val="24"/>
        </w:rPr>
        <w:t xml:space="preserve"> </w:t>
      </w:r>
      <w:r w:rsidR="00595520" w:rsidRPr="00903B2F">
        <w:rPr>
          <w:rFonts w:ascii="Times New Roman" w:hAnsi="Times New Roman"/>
          <w:bCs/>
          <w:szCs w:val="24"/>
        </w:rPr>
        <w:t xml:space="preserve">nereti </w:t>
      </w:r>
      <w:r w:rsidR="00515061" w:rsidRPr="00903B2F">
        <w:rPr>
          <w:rFonts w:ascii="Times New Roman" w:hAnsi="Times New Roman"/>
          <w:bCs/>
          <w:szCs w:val="24"/>
        </w:rPr>
        <w:t>varētu būt lietderīgi</w:t>
      </w:r>
      <w:r w:rsidR="000203FC" w:rsidRPr="00903B2F">
        <w:rPr>
          <w:rFonts w:ascii="Times New Roman" w:hAnsi="Times New Roman"/>
          <w:bCs/>
          <w:szCs w:val="24"/>
        </w:rPr>
        <w:t xml:space="preserve"> iepazīties ar </w:t>
      </w:r>
      <w:r w:rsidR="00477191" w:rsidRPr="00903B2F">
        <w:rPr>
          <w:rFonts w:ascii="Times New Roman" w:hAnsi="Times New Roman"/>
          <w:bCs/>
          <w:szCs w:val="24"/>
        </w:rPr>
        <w:t>citu Eiropas Savienības dalībvalstu judikatūru</w:t>
      </w:r>
      <w:r w:rsidR="00396143" w:rsidRPr="00903B2F">
        <w:rPr>
          <w:rFonts w:ascii="Times New Roman" w:hAnsi="Times New Roman"/>
          <w:bCs/>
          <w:szCs w:val="24"/>
        </w:rPr>
        <w:t>.</w:t>
      </w:r>
    </w:p>
    <w:p w14:paraId="21A5FFDE" w14:textId="7FC550D3" w:rsidR="00BC7C03" w:rsidRPr="00903B2F" w:rsidRDefault="00396143"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Atgriežoties pie tēmas par pārrobežu nodarbinātību, citu valstu tiesu prakse mums ir nepieciešama ne vairs salīdzināšanai, bet jau konkrēti citas valsts tiesību normu pareizas piemērošanas pārbaudei. Pārrobežu elements darba strīdā ar lielu iespējamību nozīmē citas valsts tiesību aktu piemērošanu. Vai gadījumā ar darbinieku nosūtīšanu tā ir faktiski lēkāšana </w:t>
      </w:r>
      <w:r w:rsidRPr="00903B2F">
        <w:rPr>
          <w:rFonts w:ascii="Times New Roman" w:hAnsi="Times New Roman"/>
          <w:bCs/>
          <w:szCs w:val="24"/>
        </w:rPr>
        <w:lastRenderedPageBreak/>
        <w:t xml:space="preserve">starp atsevišķiem darba tiesisko attiecību aspektiem, kur katram var būt jānosaka piemērojamais likums un iespējams </w:t>
      </w:r>
      <w:proofErr w:type="spellStart"/>
      <w:r w:rsidRPr="00903B2F">
        <w:rPr>
          <w:rFonts w:ascii="Times New Roman" w:hAnsi="Times New Roman"/>
          <w:bCs/>
          <w:szCs w:val="24"/>
        </w:rPr>
        <w:t>imperatīvās</w:t>
      </w:r>
      <w:proofErr w:type="spellEnd"/>
      <w:r w:rsidRPr="00903B2F">
        <w:rPr>
          <w:rFonts w:ascii="Times New Roman" w:hAnsi="Times New Roman"/>
          <w:bCs/>
          <w:szCs w:val="24"/>
        </w:rPr>
        <w:t xml:space="preserve"> vai attiecīgi darbiniekam labvēlīgākās normas. </w:t>
      </w:r>
      <w:r w:rsidR="005F4523" w:rsidRPr="00903B2F">
        <w:rPr>
          <w:rFonts w:ascii="Times New Roman" w:hAnsi="Times New Roman"/>
          <w:bCs/>
          <w:szCs w:val="24"/>
        </w:rPr>
        <w:t xml:space="preserve">Nenoliedzami valstis, izveidojot </w:t>
      </w:r>
      <w:r w:rsidR="00B90B35" w:rsidRPr="00903B2F">
        <w:rPr>
          <w:rFonts w:ascii="Times New Roman" w:hAnsi="Times New Roman"/>
          <w:bCs/>
          <w:szCs w:val="24"/>
        </w:rPr>
        <w:t>kopējo informācijas tīklu darbinieku nosūtīšanas jautājumos</w:t>
      </w:r>
      <w:r w:rsidR="00B90B35" w:rsidRPr="00903B2F">
        <w:rPr>
          <w:rStyle w:val="FootnoteReference"/>
          <w:rFonts w:ascii="Times New Roman" w:hAnsi="Times New Roman"/>
          <w:bCs/>
          <w:szCs w:val="24"/>
        </w:rPr>
        <w:footnoteReference w:id="8"/>
      </w:r>
      <w:r w:rsidR="00B90B35" w:rsidRPr="00903B2F">
        <w:rPr>
          <w:rFonts w:ascii="Times New Roman" w:hAnsi="Times New Roman"/>
          <w:bCs/>
          <w:szCs w:val="24"/>
        </w:rPr>
        <w:t>, ir būtiski atvieglojušas informācijas pieejamību</w:t>
      </w:r>
      <w:r w:rsidR="00BC7C03" w:rsidRPr="00903B2F">
        <w:rPr>
          <w:rFonts w:ascii="Times New Roman" w:hAnsi="Times New Roman"/>
          <w:bCs/>
          <w:szCs w:val="24"/>
        </w:rPr>
        <w:t xml:space="preserve">. Tomēr mēs labi zinām, cik svarīgi tiesību normas piemērošanai ir arī tiesu prakse, kas ilustrē </w:t>
      </w:r>
      <w:r w:rsidR="00515061" w:rsidRPr="00903B2F">
        <w:rPr>
          <w:rFonts w:ascii="Times New Roman" w:hAnsi="Times New Roman"/>
          <w:bCs/>
          <w:szCs w:val="24"/>
        </w:rPr>
        <w:t>sistēmisko izpratni</w:t>
      </w:r>
      <w:r w:rsidR="00BC7C03" w:rsidRPr="00903B2F">
        <w:rPr>
          <w:rFonts w:ascii="Times New Roman" w:hAnsi="Times New Roman"/>
          <w:bCs/>
          <w:szCs w:val="24"/>
        </w:rPr>
        <w:t>.</w:t>
      </w:r>
    </w:p>
    <w:p w14:paraId="78132552" w14:textId="40FD58AD" w:rsidR="00974EE5" w:rsidRPr="00903B2F" w:rsidRDefault="004A37E4" w:rsidP="00903B2F">
      <w:pPr>
        <w:spacing w:after="120" w:line="240" w:lineRule="auto"/>
        <w:jc w:val="both"/>
        <w:rPr>
          <w:rFonts w:ascii="Times New Roman" w:hAnsi="Times New Roman"/>
          <w:bCs/>
          <w:szCs w:val="24"/>
        </w:rPr>
      </w:pPr>
      <w:r w:rsidRPr="00903B2F">
        <w:rPr>
          <w:rFonts w:ascii="Times New Roman" w:hAnsi="Times New Roman"/>
          <w:bCs/>
          <w:szCs w:val="24"/>
        </w:rPr>
        <w:t>Citu valstu prakses apkopošana un analīze rada nopietnu i</w:t>
      </w:r>
      <w:r w:rsidR="00974EE5" w:rsidRPr="00903B2F">
        <w:rPr>
          <w:rFonts w:ascii="Times New Roman" w:hAnsi="Times New Roman"/>
          <w:bCs/>
          <w:szCs w:val="24"/>
        </w:rPr>
        <w:t>zaicinājum</w:t>
      </w:r>
      <w:r w:rsidRPr="00903B2F">
        <w:rPr>
          <w:rFonts w:ascii="Times New Roman" w:hAnsi="Times New Roman"/>
          <w:bCs/>
          <w:szCs w:val="24"/>
        </w:rPr>
        <w:t xml:space="preserve">u: jau tā šobrīd plašais analizējamās </w:t>
      </w:r>
      <w:r w:rsidR="00974EE5" w:rsidRPr="00903B2F">
        <w:rPr>
          <w:rFonts w:ascii="Times New Roman" w:hAnsi="Times New Roman"/>
          <w:bCs/>
          <w:szCs w:val="24"/>
        </w:rPr>
        <w:t>informācijas apjoms pieaug</w:t>
      </w:r>
      <w:r w:rsidRPr="00903B2F">
        <w:rPr>
          <w:rFonts w:ascii="Times New Roman" w:hAnsi="Times New Roman"/>
          <w:bCs/>
          <w:szCs w:val="24"/>
        </w:rPr>
        <w:t xml:space="preserve">s </w:t>
      </w:r>
      <w:r w:rsidR="0018496E" w:rsidRPr="00903B2F">
        <w:rPr>
          <w:rFonts w:ascii="Times New Roman" w:hAnsi="Times New Roman"/>
          <w:bCs/>
          <w:szCs w:val="24"/>
        </w:rPr>
        <w:t>eksponenciāli</w:t>
      </w:r>
      <w:r w:rsidR="00974EE5" w:rsidRPr="00903B2F">
        <w:rPr>
          <w:rFonts w:ascii="Times New Roman" w:hAnsi="Times New Roman"/>
          <w:bCs/>
          <w:szCs w:val="24"/>
        </w:rPr>
        <w:t xml:space="preserve">. </w:t>
      </w:r>
      <w:r w:rsidRPr="00903B2F">
        <w:rPr>
          <w:rFonts w:ascii="Times New Roman" w:hAnsi="Times New Roman"/>
          <w:bCs/>
          <w:szCs w:val="24"/>
        </w:rPr>
        <w:t>Tomēr, ja tas būtu neiespējami vēl tikai pirms dažiem gadiem</w:t>
      </w:r>
      <w:r w:rsidR="003F7413" w:rsidRPr="00903B2F">
        <w:rPr>
          <w:rFonts w:ascii="Times New Roman" w:hAnsi="Times New Roman"/>
          <w:bCs/>
          <w:szCs w:val="24"/>
        </w:rPr>
        <w:t xml:space="preserve">, </w:t>
      </w:r>
      <w:r w:rsidR="00595520" w:rsidRPr="00903B2F">
        <w:rPr>
          <w:rFonts w:ascii="Times New Roman" w:hAnsi="Times New Roman"/>
          <w:bCs/>
          <w:szCs w:val="24"/>
        </w:rPr>
        <w:t xml:space="preserve">šodienas </w:t>
      </w:r>
      <w:r w:rsidR="003F7413" w:rsidRPr="00903B2F">
        <w:rPr>
          <w:rFonts w:ascii="Times New Roman" w:hAnsi="Times New Roman"/>
          <w:bCs/>
          <w:szCs w:val="24"/>
        </w:rPr>
        <w:t xml:space="preserve">sasniegumi </w:t>
      </w:r>
      <w:r w:rsidR="00084B60" w:rsidRPr="00903B2F">
        <w:rPr>
          <w:rFonts w:ascii="Times New Roman" w:hAnsi="Times New Roman"/>
          <w:bCs/>
          <w:szCs w:val="24"/>
        </w:rPr>
        <w:t xml:space="preserve">informācijas aprites un </w:t>
      </w:r>
      <w:r w:rsidR="003F7413" w:rsidRPr="00903B2F">
        <w:rPr>
          <w:rFonts w:ascii="Times New Roman" w:hAnsi="Times New Roman"/>
          <w:bCs/>
          <w:szCs w:val="24"/>
        </w:rPr>
        <w:t xml:space="preserve">mākslīgā intelekta jomā jau ļauj uz to raudzīties cerīgi. </w:t>
      </w:r>
    </w:p>
    <w:p w14:paraId="1DD37D8C" w14:textId="5BA5E009" w:rsidR="00477191" w:rsidRPr="00ED6D3C" w:rsidRDefault="0018496E" w:rsidP="00903B2F">
      <w:pPr>
        <w:spacing w:after="120" w:line="240" w:lineRule="auto"/>
        <w:jc w:val="both"/>
        <w:rPr>
          <w:rFonts w:ascii="Times New Roman" w:hAnsi="Times New Roman"/>
          <w:b/>
          <w:szCs w:val="24"/>
        </w:rPr>
      </w:pPr>
      <w:bookmarkStart w:id="0" w:name="_Hlk165279659"/>
      <w:r w:rsidRPr="00ED6D3C">
        <w:rPr>
          <w:rFonts w:ascii="Times New Roman" w:hAnsi="Times New Roman"/>
          <w:b/>
          <w:szCs w:val="24"/>
        </w:rPr>
        <w:t xml:space="preserve">Un </w:t>
      </w:r>
      <w:r w:rsidR="00FA7342" w:rsidRPr="00ED6D3C">
        <w:rPr>
          <w:rFonts w:ascii="Times New Roman" w:hAnsi="Times New Roman"/>
          <w:b/>
          <w:szCs w:val="24"/>
        </w:rPr>
        <w:t>noslēgumā</w:t>
      </w:r>
      <w:r w:rsidRPr="00ED6D3C">
        <w:rPr>
          <w:rFonts w:ascii="Times New Roman" w:hAnsi="Times New Roman"/>
          <w:b/>
          <w:szCs w:val="24"/>
        </w:rPr>
        <w:t>, par a</w:t>
      </w:r>
      <w:r w:rsidR="005F4523" w:rsidRPr="00ED6D3C">
        <w:rPr>
          <w:rFonts w:ascii="Times New Roman" w:hAnsi="Times New Roman"/>
          <w:b/>
          <w:szCs w:val="24"/>
        </w:rPr>
        <w:t>rgumentācijas izvērsum</w:t>
      </w:r>
      <w:r w:rsidRPr="00ED6D3C">
        <w:rPr>
          <w:rFonts w:ascii="Times New Roman" w:hAnsi="Times New Roman"/>
          <w:b/>
          <w:szCs w:val="24"/>
        </w:rPr>
        <w:t>u</w:t>
      </w:r>
      <w:r w:rsidR="005F4523" w:rsidRPr="00ED6D3C">
        <w:rPr>
          <w:rFonts w:ascii="Times New Roman" w:hAnsi="Times New Roman"/>
          <w:b/>
          <w:szCs w:val="24"/>
        </w:rPr>
        <w:t xml:space="preserve"> spriedum</w:t>
      </w:r>
      <w:r w:rsidRPr="00ED6D3C">
        <w:rPr>
          <w:rFonts w:ascii="Times New Roman" w:hAnsi="Times New Roman"/>
          <w:b/>
          <w:szCs w:val="24"/>
        </w:rPr>
        <w:t>os</w:t>
      </w:r>
      <w:r w:rsidR="005F4523" w:rsidRPr="00ED6D3C">
        <w:rPr>
          <w:rFonts w:ascii="Times New Roman" w:hAnsi="Times New Roman"/>
          <w:b/>
          <w:szCs w:val="24"/>
        </w:rPr>
        <w:t xml:space="preserve"> kā atslēg</w:t>
      </w:r>
      <w:r w:rsidRPr="00ED6D3C">
        <w:rPr>
          <w:rFonts w:ascii="Times New Roman" w:hAnsi="Times New Roman"/>
          <w:b/>
          <w:szCs w:val="24"/>
        </w:rPr>
        <w:t>u</w:t>
      </w:r>
      <w:r w:rsidR="00D05AD4" w:rsidRPr="00ED6D3C">
        <w:rPr>
          <w:rFonts w:ascii="Times New Roman" w:hAnsi="Times New Roman"/>
          <w:b/>
          <w:szCs w:val="24"/>
        </w:rPr>
        <w:t xml:space="preserve"> vienotai izpratnei </w:t>
      </w:r>
      <w:r w:rsidRPr="00ED6D3C">
        <w:rPr>
          <w:rFonts w:ascii="Times New Roman" w:hAnsi="Times New Roman"/>
          <w:b/>
          <w:szCs w:val="24"/>
        </w:rPr>
        <w:t xml:space="preserve">tiesību </w:t>
      </w:r>
      <w:r w:rsidR="00D05AD4" w:rsidRPr="00ED6D3C">
        <w:rPr>
          <w:rFonts w:ascii="Times New Roman" w:hAnsi="Times New Roman"/>
          <w:b/>
          <w:szCs w:val="24"/>
        </w:rPr>
        <w:t>piemērošanas jautājumos</w:t>
      </w:r>
      <w:r w:rsidR="00ED6D3C" w:rsidRPr="00ED6D3C">
        <w:rPr>
          <w:rFonts w:ascii="Times New Roman" w:hAnsi="Times New Roman"/>
          <w:b/>
          <w:szCs w:val="24"/>
        </w:rPr>
        <w:t>.</w:t>
      </w:r>
    </w:p>
    <w:p w14:paraId="6B9BED24" w14:textId="5CEBA2CF" w:rsidR="00251736" w:rsidRPr="00903B2F" w:rsidRDefault="00515061"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Jau minēju, ka </w:t>
      </w:r>
      <w:r w:rsidR="005F4523" w:rsidRPr="00903B2F">
        <w:rPr>
          <w:rFonts w:ascii="Times New Roman" w:hAnsi="Times New Roman"/>
          <w:bCs/>
          <w:szCs w:val="24"/>
        </w:rPr>
        <w:t xml:space="preserve">Eiropas Savienības iekšējā tirgus un sociālo tiesību jautājumu izlemšana primāri ir pirmās instances tiesneša rokās. Tiesnesim ir vispārējās interpretācijas vadlīnijas un tiesību piemērošanas metode, kas skaisti noapaļota augstāko tiesu un Eiropas Savienības Tiesas spriedumos, jāpiemēro konkrētajai strīda niansei – </w:t>
      </w:r>
      <w:r w:rsidR="00251736" w:rsidRPr="00903B2F">
        <w:rPr>
          <w:rFonts w:ascii="Times New Roman" w:hAnsi="Times New Roman"/>
          <w:bCs/>
          <w:szCs w:val="24"/>
        </w:rPr>
        <w:t>neatkarīgi no tā, vai</w:t>
      </w:r>
      <w:r w:rsidR="005F4523" w:rsidRPr="00903B2F">
        <w:rPr>
          <w:rFonts w:ascii="Times New Roman" w:hAnsi="Times New Roman"/>
          <w:bCs/>
          <w:szCs w:val="24"/>
        </w:rPr>
        <w:t xml:space="preserve"> jautājums </w:t>
      </w:r>
      <w:r w:rsidR="00251736" w:rsidRPr="00903B2F">
        <w:rPr>
          <w:rFonts w:ascii="Times New Roman" w:hAnsi="Times New Roman"/>
          <w:bCs/>
          <w:szCs w:val="24"/>
        </w:rPr>
        <w:t xml:space="preserve">ir </w:t>
      </w:r>
      <w:r w:rsidR="005F4523" w:rsidRPr="00903B2F">
        <w:rPr>
          <w:rFonts w:ascii="Times New Roman" w:hAnsi="Times New Roman"/>
          <w:bCs/>
          <w:szCs w:val="24"/>
        </w:rPr>
        <w:t xml:space="preserve">par darba brīvdienā apmaksas aprēķināšanu vai </w:t>
      </w:r>
      <w:r w:rsidR="00251736" w:rsidRPr="00903B2F">
        <w:rPr>
          <w:rFonts w:ascii="Times New Roman" w:hAnsi="Times New Roman"/>
          <w:bCs/>
          <w:szCs w:val="24"/>
        </w:rPr>
        <w:t xml:space="preserve">par </w:t>
      </w:r>
      <w:r w:rsidR="005F4523" w:rsidRPr="00903B2F">
        <w:rPr>
          <w:rFonts w:ascii="Times New Roman" w:hAnsi="Times New Roman"/>
          <w:bCs/>
          <w:szCs w:val="24"/>
        </w:rPr>
        <w:t>uzņēmēja pienākumu ievērot darba virsstundu uzskaiti</w:t>
      </w:r>
      <w:r w:rsidR="00D05AD4" w:rsidRPr="00903B2F">
        <w:rPr>
          <w:rFonts w:ascii="Times New Roman" w:hAnsi="Times New Roman"/>
          <w:bCs/>
          <w:szCs w:val="24"/>
        </w:rPr>
        <w:t xml:space="preserve"> utt</w:t>
      </w:r>
      <w:r w:rsidR="005F4523" w:rsidRPr="00903B2F">
        <w:rPr>
          <w:rFonts w:ascii="Times New Roman" w:hAnsi="Times New Roman"/>
          <w:bCs/>
          <w:szCs w:val="24"/>
        </w:rPr>
        <w:t>.</w:t>
      </w:r>
      <w:r w:rsidR="00251736" w:rsidRPr="00903B2F">
        <w:rPr>
          <w:rFonts w:ascii="Times New Roman" w:hAnsi="Times New Roman"/>
          <w:bCs/>
          <w:szCs w:val="24"/>
        </w:rPr>
        <w:t xml:space="preserve"> </w:t>
      </w:r>
      <w:r w:rsidR="00790CCF" w:rsidRPr="00903B2F">
        <w:rPr>
          <w:rFonts w:ascii="Times New Roman" w:hAnsi="Times New Roman"/>
          <w:bCs/>
          <w:szCs w:val="24"/>
        </w:rPr>
        <w:t>Tomēr n</w:t>
      </w:r>
      <w:r w:rsidR="00251736" w:rsidRPr="00903B2F">
        <w:rPr>
          <w:rFonts w:ascii="Times New Roman" w:hAnsi="Times New Roman"/>
          <w:bCs/>
          <w:szCs w:val="24"/>
        </w:rPr>
        <w:t>acionālās tiesas tiesnesi</w:t>
      </w:r>
      <w:r w:rsidR="00790CCF" w:rsidRPr="00903B2F">
        <w:rPr>
          <w:rFonts w:ascii="Times New Roman" w:hAnsi="Times New Roman"/>
          <w:bCs/>
          <w:szCs w:val="24"/>
        </w:rPr>
        <w:t>s nedrīkst būt akls EST atziņu kopētājs</w:t>
      </w:r>
      <w:r w:rsidR="00251736" w:rsidRPr="00903B2F">
        <w:rPr>
          <w:rFonts w:ascii="Times New Roman" w:hAnsi="Times New Roman"/>
          <w:bCs/>
          <w:szCs w:val="24"/>
        </w:rPr>
        <w:t xml:space="preserve">, </w:t>
      </w:r>
      <w:r w:rsidR="00790CCF" w:rsidRPr="00903B2F">
        <w:rPr>
          <w:rFonts w:ascii="Times New Roman" w:hAnsi="Times New Roman"/>
          <w:bCs/>
          <w:szCs w:val="24"/>
        </w:rPr>
        <w:t xml:space="preserve">viņam, </w:t>
      </w:r>
      <w:r w:rsidR="00251736" w:rsidRPr="00903B2F">
        <w:rPr>
          <w:rFonts w:ascii="Times New Roman" w:hAnsi="Times New Roman"/>
          <w:bCs/>
          <w:szCs w:val="24"/>
        </w:rPr>
        <w:t xml:space="preserve">izmantojot EST judikatūru, ir jāsaprot attiecīgā EST sprieduma </w:t>
      </w:r>
      <w:proofErr w:type="spellStart"/>
      <w:r w:rsidR="00251736" w:rsidRPr="00903B2F">
        <w:rPr>
          <w:rFonts w:ascii="Times New Roman" w:hAnsi="Times New Roman"/>
          <w:bCs/>
          <w:i/>
          <w:iCs/>
          <w:szCs w:val="24"/>
        </w:rPr>
        <w:t>ratio</w:t>
      </w:r>
      <w:proofErr w:type="spellEnd"/>
      <w:r w:rsidR="00251736" w:rsidRPr="00903B2F">
        <w:rPr>
          <w:rFonts w:ascii="Times New Roman" w:hAnsi="Times New Roman"/>
          <w:bCs/>
          <w:i/>
          <w:iCs/>
          <w:szCs w:val="24"/>
        </w:rPr>
        <w:t xml:space="preserve"> </w:t>
      </w:r>
      <w:proofErr w:type="spellStart"/>
      <w:r w:rsidR="00251736" w:rsidRPr="00903B2F">
        <w:rPr>
          <w:rFonts w:ascii="Times New Roman" w:hAnsi="Times New Roman"/>
          <w:bCs/>
          <w:i/>
          <w:iCs/>
          <w:szCs w:val="24"/>
        </w:rPr>
        <w:t>decidendi</w:t>
      </w:r>
      <w:proofErr w:type="spellEnd"/>
      <w:r w:rsidR="00790CCF" w:rsidRPr="00903B2F">
        <w:rPr>
          <w:rFonts w:ascii="Times New Roman" w:hAnsi="Times New Roman"/>
          <w:bCs/>
          <w:szCs w:val="24"/>
        </w:rPr>
        <w:t xml:space="preserve"> un jāprot to argumentēt savā spriedumā</w:t>
      </w:r>
      <w:r w:rsidR="00251736" w:rsidRPr="00903B2F">
        <w:rPr>
          <w:rFonts w:ascii="Times New Roman" w:hAnsi="Times New Roman"/>
          <w:bCs/>
          <w:szCs w:val="24"/>
        </w:rPr>
        <w:t>.</w:t>
      </w:r>
      <w:r w:rsidR="00790CCF" w:rsidRPr="00903B2F">
        <w:rPr>
          <w:rFonts w:ascii="Times New Roman" w:hAnsi="Times New Roman"/>
          <w:bCs/>
          <w:szCs w:val="24"/>
        </w:rPr>
        <w:t xml:space="preserve"> Un te pāriešu uz nedaudz kritiskāku noti.</w:t>
      </w:r>
    </w:p>
    <w:p w14:paraId="70250D9A" w14:textId="05909403" w:rsidR="000D1249" w:rsidRPr="00903B2F" w:rsidRDefault="000D1249"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Šī gada sākumā pieņemtais spriedums lietā </w:t>
      </w:r>
      <w:r w:rsidR="000034A7" w:rsidRPr="00903B2F">
        <w:rPr>
          <w:rFonts w:ascii="Times New Roman" w:hAnsi="Times New Roman"/>
          <w:bCs/>
          <w:szCs w:val="24"/>
        </w:rPr>
        <w:t>„X (Uzteikuma pamatojuma neesība)”</w:t>
      </w:r>
      <w:r w:rsidR="000034A7" w:rsidRPr="00903B2F">
        <w:rPr>
          <w:rStyle w:val="FootnoteReference"/>
          <w:rFonts w:ascii="Times New Roman" w:hAnsi="Times New Roman"/>
          <w:bCs/>
          <w:szCs w:val="24"/>
        </w:rPr>
        <w:footnoteReference w:id="9"/>
      </w:r>
      <w:r w:rsidRPr="00903B2F">
        <w:rPr>
          <w:rFonts w:ascii="Times New Roman" w:hAnsi="Times New Roman"/>
          <w:bCs/>
          <w:szCs w:val="24"/>
        </w:rPr>
        <w:t xml:space="preserve"> nacionālās materiālās tiesību normas neatbilstību Eiropas Savienības tiesībām liek novērst, izmantojot </w:t>
      </w:r>
      <w:proofErr w:type="spellStart"/>
      <w:r w:rsidRPr="00903B2F">
        <w:rPr>
          <w:rFonts w:ascii="Times New Roman" w:hAnsi="Times New Roman"/>
          <w:bCs/>
          <w:szCs w:val="24"/>
        </w:rPr>
        <w:t>Pamattiesību</w:t>
      </w:r>
      <w:proofErr w:type="spellEnd"/>
      <w:r w:rsidRPr="00903B2F">
        <w:rPr>
          <w:rFonts w:ascii="Times New Roman" w:hAnsi="Times New Roman"/>
          <w:bCs/>
          <w:szCs w:val="24"/>
        </w:rPr>
        <w:t xml:space="preserve"> Hartas 47.</w:t>
      </w:r>
      <w:r w:rsidR="00ED6D3C">
        <w:rPr>
          <w:rFonts w:ascii="Times New Roman" w:hAnsi="Times New Roman"/>
          <w:bCs/>
          <w:szCs w:val="24"/>
        </w:rPr>
        <w:t> </w:t>
      </w:r>
      <w:r w:rsidRPr="00903B2F">
        <w:rPr>
          <w:rFonts w:ascii="Times New Roman" w:hAnsi="Times New Roman"/>
          <w:bCs/>
          <w:szCs w:val="24"/>
        </w:rPr>
        <w:t>pantu, kas dod tiesības uz efektīvu tiesību aizsardzību un taisnīgu tiesu.</w:t>
      </w:r>
    </w:p>
    <w:p w14:paraId="3486F2A3" w14:textId="5CEB0203" w:rsidR="00C2662C" w:rsidRPr="00903B2F" w:rsidRDefault="00477191"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Principā Eiropas Savienības Tiesas prakse pārformulēt uzdotos prejudiciālos jautājumus nav nekas jauns, tāpat arī </w:t>
      </w:r>
      <w:r w:rsidR="00C2662C" w:rsidRPr="00903B2F">
        <w:rPr>
          <w:rFonts w:ascii="Times New Roman" w:hAnsi="Times New Roman"/>
          <w:bCs/>
          <w:szCs w:val="24"/>
        </w:rPr>
        <w:t xml:space="preserve">iespējama ir </w:t>
      </w:r>
      <w:r w:rsidRPr="00903B2F">
        <w:rPr>
          <w:rFonts w:ascii="Times New Roman" w:hAnsi="Times New Roman"/>
          <w:bCs/>
          <w:szCs w:val="24"/>
        </w:rPr>
        <w:t>attiecināmās Eiropas Savienības</w:t>
      </w:r>
      <w:r w:rsidRPr="00903B2F">
        <w:rPr>
          <w:rStyle w:val="FootnoteReference"/>
          <w:rFonts w:ascii="Times New Roman" w:hAnsi="Times New Roman"/>
          <w:bCs/>
          <w:szCs w:val="24"/>
        </w:rPr>
        <w:footnoteReference w:id="10"/>
      </w:r>
      <w:r w:rsidRPr="00903B2F">
        <w:rPr>
          <w:rFonts w:ascii="Times New Roman" w:hAnsi="Times New Roman"/>
          <w:bCs/>
          <w:szCs w:val="24"/>
        </w:rPr>
        <w:t xml:space="preserve"> vai pat nacionālās tiesību normas</w:t>
      </w:r>
      <w:r w:rsidR="001A2AF0" w:rsidRPr="00903B2F">
        <w:rPr>
          <w:rStyle w:val="FootnoteReference"/>
          <w:rFonts w:ascii="Times New Roman" w:hAnsi="Times New Roman"/>
          <w:bCs/>
          <w:szCs w:val="24"/>
        </w:rPr>
        <w:footnoteReference w:id="11"/>
      </w:r>
      <w:r w:rsidR="00706AB0" w:rsidRPr="00903B2F">
        <w:rPr>
          <w:rFonts w:ascii="Times New Roman" w:hAnsi="Times New Roman"/>
          <w:bCs/>
          <w:szCs w:val="24"/>
        </w:rPr>
        <w:t xml:space="preserve"> precizēšan</w:t>
      </w:r>
      <w:r w:rsidR="00C2662C" w:rsidRPr="00903B2F">
        <w:rPr>
          <w:rFonts w:ascii="Times New Roman" w:hAnsi="Times New Roman"/>
          <w:bCs/>
          <w:szCs w:val="24"/>
        </w:rPr>
        <w:t>a</w:t>
      </w:r>
      <w:r w:rsidR="00706AB0" w:rsidRPr="00903B2F">
        <w:rPr>
          <w:rFonts w:ascii="Times New Roman" w:hAnsi="Times New Roman"/>
          <w:bCs/>
          <w:szCs w:val="24"/>
        </w:rPr>
        <w:t xml:space="preserve"> un paskaidrošan</w:t>
      </w:r>
      <w:r w:rsidR="00C2662C" w:rsidRPr="00903B2F">
        <w:rPr>
          <w:rFonts w:ascii="Times New Roman" w:hAnsi="Times New Roman"/>
          <w:bCs/>
          <w:szCs w:val="24"/>
        </w:rPr>
        <w:t>a</w:t>
      </w:r>
      <w:r w:rsidRPr="00903B2F">
        <w:rPr>
          <w:rFonts w:ascii="Times New Roman" w:hAnsi="Times New Roman"/>
          <w:bCs/>
          <w:szCs w:val="24"/>
        </w:rPr>
        <w:t xml:space="preserve">.  </w:t>
      </w:r>
      <w:r w:rsidR="000D1249" w:rsidRPr="00903B2F">
        <w:rPr>
          <w:rFonts w:ascii="Times New Roman" w:hAnsi="Times New Roman"/>
          <w:bCs/>
          <w:szCs w:val="24"/>
        </w:rPr>
        <w:t xml:space="preserve">Tomēr šajā lietā </w:t>
      </w:r>
      <w:r w:rsidR="00BC7C03" w:rsidRPr="00903B2F">
        <w:rPr>
          <w:rFonts w:ascii="Times New Roman" w:hAnsi="Times New Roman"/>
          <w:bCs/>
          <w:szCs w:val="24"/>
        </w:rPr>
        <w:t xml:space="preserve">C-715/20 </w:t>
      </w:r>
      <w:r w:rsidR="000D1249" w:rsidRPr="00903B2F">
        <w:rPr>
          <w:rFonts w:ascii="Times New Roman" w:hAnsi="Times New Roman"/>
          <w:bCs/>
          <w:szCs w:val="24"/>
        </w:rPr>
        <w:t xml:space="preserve">Eiropas Savienības Tiesa </w:t>
      </w:r>
      <w:r w:rsidR="00D05AD4" w:rsidRPr="00903B2F">
        <w:rPr>
          <w:rFonts w:ascii="Times New Roman" w:hAnsi="Times New Roman"/>
          <w:bCs/>
          <w:szCs w:val="24"/>
        </w:rPr>
        <w:t>pilnībā</w:t>
      </w:r>
      <w:r w:rsidR="00DC0911" w:rsidRPr="00903B2F">
        <w:rPr>
          <w:rFonts w:ascii="Times New Roman" w:hAnsi="Times New Roman"/>
          <w:bCs/>
          <w:szCs w:val="24"/>
        </w:rPr>
        <w:t xml:space="preserve"> transformējusi</w:t>
      </w:r>
      <w:r w:rsidR="00D05AD4" w:rsidRPr="00903B2F">
        <w:rPr>
          <w:rFonts w:ascii="Times New Roman" w:hAnsi="Times New Roman"/>
          <w:bCs/>
          <w:szCs w:val="24"/>
        </w:rPr>
        <w:t xml:space="preserve"> tai uzdoto</w:t>
      </w:r>
      <w:r w:rsidR="00DC0911" w:rsidRPr="00903B2F">
        <w:rPr>
          <w:rFonts w:ascii="Times New Roman" w:hAnsi="Times New Roman"/>
          <w:bCs/>
          <w:szCs w:val="24"/>
        </w:rPr>
        <w:t xml:space="preserve"> jautājumu. Polijas tiesa bija uzdevusi jautājumu, vai, izmantojot </w:t>
      </w:r>
      <w:proofErr w:type="spellStart"/>
      <w:r w:rsidR="00DC0911" w:rsidRPr="00903B2F">
        <w:rPr>
          <w:rFonts w:ascii="Times New Roman" w:hAnsi="Times New Roman"/>
          <w:bCs/>
          <w:szCs w:val="24"/>
        </w:rPr>
        <w:t>Pamattiesību</w:t>
      </w:r>
      <w:proofErr w:type="spellEnd"/>
      <w:r w:rsidR="00DC0911" w:rsidRPr="00903B2F">
        <w:rPr>
          <w:rFonts w:ascii="Times New Roman" w:hAnsi="Times New Roman"/>
          <w:bCs/>
          <w:szCs w:val="24"/>
        </w:rPr>
        <w:t xml:space="preserve"> hartas 21.pantu par diskriminācijas aizliegumu, iespējams strīdā starp divām privātpersonām atsaukties uz direktīvas normu par vienlīdzīgu attieksmi pret patstāvīgā darbā nodarbinātiem un nodarbinātiem ar terminētiem darba līgumiem. Eiropas Savienības Tiesa</w:t>
      </w:r>
      <w:r w:rsidR="00C2662C" w:rsidRPr="00903B2F">
        <w:rPr>
          <w:rFonts w:ascii="Times New Roman" w:hAnsi="Times New Roman"/>
          <w:bCs/>
          <w:szCs w:val="24"/>
        </w:rPr>
        <w:t xml:space="preserve">, </w:t>
      </w:r>
      <w:r w:rsidR="00CB43A8" w:rsidRPr="00903B2F">
        <w:rPr>
          <w:rFonts w:ascii="Times New Roman" w:hAnsi="Times New Roman"/>
          <w:bCs/>
          <w:szCs w:val="24"/>
        </w:rPr>
        <w:t xml:space="preserve">tikai </w:t>
      </w:r>
      <w:r w:rsidR="00C2662C" w:rsidRPr="00903B2F">
        <w:rPr>
          <w:rFonts w:ascii="Times New Roman" w:hAnsi="Times New Roman"/>
          <w:bCs/>
          <w:szCs w:val="24"/>
        </w:rPr>
        <w:t xml:space="preserve">atsaucoties uz Komisijas un Polijas valdības sniegto informāciju, norāda, ka </w:t>
      </w:r>
      <w:proofErr w:type="spellStart"/>
      <w:r w:rsidR="00C2662C" w:rsidRPr="00903B2F">
        <w:rPr>
          <w:rFonts w:ascii="Times New Roman" w:hAnsi="Times New Roman"/>
          <w:bCs/>
          <w:szCs w:val="24"/>
        </w:rPr>
        <w:t>Pamattiesību</w:t>
      </w:r>
      <w:proofErr w:type="spellEnd"/>
      <w:r w:rsidR="00C2662C" w:rsidRPr="00903B2F">
        <w:rPr>
          <w:rFonts w:ascii="Times New Roman" w:hAnsi="Times New Roman"/>
          <w:bCs/>
          <w:szCs w:val="24"/>
        </w:rPr>
        <w:t xml:space="preserve"> hartas 21.</w:t>
      </w:r>
      <w:r w:rsidR="00ED6D3C">
        <w:rPr>
          <w:rFonts w:ascii="Times New Roman" w:hAnsi="Times New Roman"/>
          <w:bCs/>
          <w:szCs w:val="24"/>
        </w:rPr>
        <w:t> </w:t>
      </w:r>
      <w:r w:rsidR="00C2662C" w:rsidRPr="00903B2F">
        <w:rPr>
          <w:rFonts w:ascii="Times New Roman" w:hAnsi="Times New Roman"/>
          <w:bCs/>
          <w:szCs w:val="24"/>
        </w:rPr>
        <w:t xml:space="preserve">pantu nav nepieciešams interpretēt. Būtībā šajā spriedumā izvērsti </w:t>
      </w:r>
      <w:r w:rsidR="001A2AF0" w:rsidRPr="00903B2F">
        <w:rPr>
          <w:rFonts w:ascii="Times New Roman" w:hAnsi="Times New Roman"/>
          <w:bCs/>
          <w:szCs w:val="24"/>
        </w:rPr>
        <w:t xml:space="preserve">analizēta </w:t>
      </w:r>
      <w:r w:rsidR="00C2662C" w:rsidRPr="00903B2F">
        <w:rPr>
          <w:rFonts w:ascii="Times New Roman" w:hAnsi="Times New Roman"/>
          <w:bCs/>
          <w:szCs w:val="24"/>
        </w:rPr>
        <w:t>direktīvas normas interpretācija un iespējam</w:t>
      </w:r>
      <w:r w:rsidR="001A2AF0" w:rsidRPr="00903B2F">
        <w:rPr>
          <w:rFonts w:ascii="Times New Roman" w:hAnsi="Times New Roman"/>
          <w:bCs/>
          <w:szCs w:val="24"/>
        </w:rPr>
        <w:t>ā</w:t>
      </w:r>
      <w:r w:rsidR="00C2662C" w:rsidRPr="00903B2F">
        <w:rPr>
          <w:rFonts w:ascii="Times New Roman" w:hAnsi="Times New Roman"/>
          <w:bCs/>
          <w:szCs w:val="24"/>
        </w:rPr>
        <w:t xml:space="preserve"> piemērošan</w:t>
      </w:r>
      <w:r w:rsidR="001A2AF0" w:rsidRPr="00903B2F">
        <w:rPr>
          <w:rFonts w:ascii="Times New Roman" w:hAnsi="Times New Roman"/>
          <w:bCs/>
          <w:szCs w:val="24"/>
        </w:rPr>
        <w:t>a</w:t>
      </w:r>
      <w:r w:rsidR="00CB43A8" w:rsidRPr="00903B2F">
        <w:rPr>
          <w:rFonts w:ascii="Times New Roman" w:hAnsi="Times New Roman"/>
          <w:bCs/>
          <w:szCs w:val="24"/>
        </w:rPr>
        <w:t>. T</w:t>
      </w:r>
      <w:r w:rsidR="00C2662C" w:rsidRPr="00903B2F">
        <w:rPr>
          <w:rFonts w:ascii="Times New Roman" w:hAnsi="Times New Roman"/>
          <w:bCs/>
          <w:szCs w:val="24"/>
        </w:rPr>
        <w:t xml:space="preserve">ad nobeigumā </w:t>
      </w:r>
      <w:r w:rsidR="00CB43A8" w:rsidRPr="00903B2F">
        <w:rPr>
          <w:rFonts w:ascii="Times New Roman" w:hAnsi="Times New Roman"/>
          <w:bCs/>
          <w:szCs w:val="24"/>
        </w:rPr>
        <w:t xml:space="preserve">Eiropas Savienības Tiesa </w:t>
      </w:r>
      <w:r w:rsidR="00C2662C" w:rsidRPr="00903B2F">
        <w:rPr>
          <w:rFonts w:ascii="Times New Roman" w:hAnsi="Times New Roman"/>
          <w:bCs/>
          <w:szCs w:val="24"/>
        </w:rPr>
        <w:t xml:space="preserve">ļoti lakoniski norāda, ka </w:t>
      </w:r>
      <w:proofErr w:type="spellStart"/>
      <w:r w:rsidR="00546E92" w:rsidRPr="00903B2F">
        <w:rPr>
          <w:rFonts w:ascii="Times New Roman" w:hAnsi="Times New Roman"/>
          <w:bCs/>
          <w:szCs w:val="24"/>
        </w:rPr>
        <w:t>Pamattiesību</w:t>
      </w:r>
      <w:proofErr w:type="spellEnd"/>
      <w:r w:rsidR="00546E92" w:rsidRPr="00903B2F">
        <w:rPr>
          <w:rFonts w:ascii="Times New Roman" w:hAnsi="Times New Roman"/>
          <w:bCs/>
          <w:szCs w:val="24"/>
        </w:rPr>
        <w:t xml:space="preserve"> Hartas 47.</w:t>
      </w:r>
      <w:r w:rsidR="00ED6D3C">
        <w:rPr>
          <w:rFonts w:ascii="Times New Roman" w:hAnsi="Times New Roman"/>
          <w:bCs/>
          <w:szCs w:val="24"/>
        </w:rPr>
        <w:t> </w:t>
      </w:r>
      <w:r w:rsidR="00546E92" w:rsidRPr="00903B2F">
        <w:rPr>
          <w:rFonts w:ascii="Times New Roman" w:hAnsi="Times New Roman"/>
          <w:bCs/>
          <w:szCs w:val="24"/>
        </w:rPr>
        <w:t>pants ir pamats prasīt, lai darba devējs būtu norādījis atlaišanas lēmumā pamatojumu, jo tikai tā var tikt nodrošinātas tiesības izvērtēt nepieciešamību vērsties tiesā.</w:t>
      </w:r>
      <w:r w:rsidR="00C2662C" w:rsidRPr="00903B2F">
        <w:rPr>
          <w:rFonts w:ascii="Times New Roman" w:hAnsi="Times New Roman"/>
          <w:bCs/>
          <w:szCs w:val="24"/>
        </w:rPr>
        <w:t xml:space="preserve"> Turklāt jāatzīmē, ka spriedumā konstatēts, ka </w:t>
      </w:r>
      <w:r w:rsidR="00CB43A8" w:rsidRPr="00903B2F">
        <w:rPr>
          <w:rFonts w:ascii="Times New Roman" w:hAnsi="Times New Roman"/>
          <w:bCs/>
          <w:szCs w:val="24"/>
        </w:rPr>
        <w:t xml:space="preserve">Polijas tiesu praksē </w:t>
      </w:r>
      <w:r w:rsidR="00C2662C" w:rsidRPr="00903B2F">
        <w:rPr>
          <w:rFonts w:ascii="Times New Roman" w:hAnsi="Times New Roman"/>
          <w:bCs/>
          <w:szCs w:val="24"/>
        </w:rPr>
        <w:t>pamatojuma neesība neliedz personai aizstāvēt savas tiesības tiesā.</w:t>
      </w:r>
      <w:r w:rsidR="00790CCF" w:rsidRPr="00903B2F">
        <w:rPr>
          <w:rFonts w:ascii="Times New Roman" w:hAnsi="Times New Roman"/>
          <w:bCs/>
          <w:szCs w:val="24"/>
        </w:rPr>
        <w:t xml:space="preserve"> </w:t>
      </w:r>
    </w:p>
    <w:p w14:paraId="458A75EE" w14:textId="3EB92756" w:rsidR="00CB43A8" w:rsidRPr="00903B2F" w:rsidRDefault="00CB43A8"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Ņemot vērā, ka </w:t>
      </w:r>
      <w:proofErr w:type="spellStart"/>
      <w:r w:rsidRPr="00903B2F">
        <w:rPr>
          <w:rFonts w:ascii="Times New Roman" w:hAnsi="Times New Roman"/>
          <w:bCs/>
          <w:szCs w:val="24"/>
        </w:rPr>
        <w:t>Pamattiesību</w:t>
      </w:r>
      <w:proofErr w:type="spellEnd"/>
      <w:r w:rsidRPr="00903B2F">
        <w:rPr>
          <w:rFonts w:ascii="Times New Roman" w:hAnsi="Times New Roman"/>
          <w:bCs/>
          <w:szCs w:val="24"/>
        </w:rPr>
        <w:t xml:space="preserve"> hartas 47.pants ir procesuāla </w:t>
      </w:r>
      <w:proofErr w:type="spellStart"/>
      <w:r w:rsidRPr="00903B2F">
        <w:rPr>
          <w:rFonts w:ascii="Times New Roman" w:hAnsi="Times New Roman"/>
          <w:bCs/>
          <w:szCs w:val="24"/>
        </w:rPr>
        <w:t>pamattiesība</w:t>
      </w:r>
      <w:proofErr w:type="spellEnd"/>
      <w:r w:rsidRPr="00903B2F">
        <w:rPr>
          <w:rFonts w:ascii="Times New Roman" w:hAnsi="Times New Roman"/>
          <w:bCs/>
          <w:szCs w:val="24"/>
        </w:rPr>
        <w:t xml:space="preserve">, būtībā ar šo spriedumu </w:t>
      </w:r>
      <w:r w:rsidR="00790CCF" w:rsidRPr="00903B2F">
        <w:rPr>
          <w:rFonts w:ascii="Times New Roman" w:hAnsi="Times New Roman"/>
          <w:bCs/>
          <w:szCs w:val="24"/>
        </w:rPr>
        <w:t>ir nodibinā</w:t>
      </w:r>
      <w:r w:rsidRPr="00903B2F">
        <w:rPr>
          <w:rFonts w:ascii="Times New Roman" w:hAnsi="Times New Roman"/>
          <w:bCs/>
          <w:szCs w:val="24"/>
        </w:rPr>
        <w:t>ta</w:t>
      </w:r>
      <w:r w:rsidR="00790CCF" w:rsidRPr="00903B2F">
        <w:rPr>
          <w:rFonts w:ascii="Times New Roman" w:hAnsi="Times New Roman"/>
          <w:bCs/>
          <w:szCs w:val="24"/>
        </w:rPr>
        <w:t xml:space="preserve"> jaun</w:t>
      </w:r>
      <w:r w:rsidRPr="00903B2F">
        <w:rPr>
          <w:rFonts w:ascii="Times New Roman" w:hAnsi="Times New Roman"/>
          <w:bCs/>
          <w:szCs w:val="24"/>
        </w:rPr>
        <w:t>a</w:t>
      </w:r>
      <w:r w:rsidR="00790CCF" w:rsidRPr="00903B2F">
        <w:rPr>
          <w:rFonts w:ascii="Times New Roman" w:hAnsi="Times New Roman"/>
          <w:bCs/>
          <w:szCs w:val="24"/>
        </w:rPr>
        <w:t xml:space="preserve"> pieej</w:t>
      </w:r>
      <w:r w:rsidRPr="00903B2F">
        <w:rPr>
          <w:rFonts w:ascii="Times New Roman" w:hAnsi="Times New Roman"/>
          <w:bCs/>
          <w:szCs w:val="24"/>
        </w:rPr>
        <w:t>a</w:t>
      </w:r>
      <w:r w:rsidR="00790CCF" w:rsidRPr="00903B2F">
        <w:rPr>
          <w:rFonts w:ascii="Times New Roman" w:hAnsi="Times New Roman"/>
          <w:bCs/>
          <w:szCs w:val="24"/>
        </w:rPr>
        <w:t xml:space="preserve">, </w:t>
      </w:r>
      <w:r w:rsidR="00D05AD4" w:rsidRPr="00903B2F">
        <w:rPr>
          <w:rFonts w:ascii="Times New Roman" w:hAnsi="Times New Roman"/>
          <w:bCs/>
          <w:szCs w:val="24"/>
        </w:rPr>
        <w:t xml:space="preserve">caur to </w:t>
      </w:r>
      <w:r w:rsidR="00790CCF" w:rsidRPr="00903B2F">
        <w:rPr>
          <w:rFonts w:ascii="Times New Roman" w:hAnsi="Times New Roman"/>
          <w:bCs/>
          <w:szCs w:val="24"/>
        </w:rPr>
        <w:t xml:space="preserve">piešķirot tiešu iedarbību direktīvas normai </w:t>
      </w:r>
      <w:r w:rsidR="00790CCF" w:rsidRPr="00903B2F">
        <w:rPr>
          <w:rFonts w:ascii="Times New Roman" w:hAnsi="Times New Roman"/>
          <w:bCs/>
          <w:szCs w:val="24"/>
        </w:rPr>
        <w:lastRenderedPageBreak/>
        <w:t>privātpersonu starpā.</w:t>
      </w:r>
      <w:r w:rsidR="001A2AF0" w:rsidRPr="00903B2F">
        <w:rPr>
          <w:rFonts w:ascii="Times New Roman" w:hAnsi="Times New Roman"/>
          <w:bCs/>
          <w:szCs w:val="24"/>
        </w:rPr>
        <w:t xml:space="preserve"> Šis spriedums ļauj </w:t>
      </w:r>
      <w:r w:rsidR="002B436C" w:rsidRPr="00903B2F">
        <w:rPr>
          <w:rFonts w:ascii="Times New Roman" w:hAnsi="Times New Roman"/>
          <w:bCs/>
          <w:szCs w:val="24"/>
        </w:rPr>
        <w:t xml:space="preserve">tiesību uz taisnīgu tiesu interesēs tieši atsaukties uz direktīvā ielasāmu tiesību, </w:t>
      </w:r>
      <w:r w:rsidR="00A74DEC" w:rsidRPr="00903B2F">
        <w:rPr>
          <w:rFonts w:ascii="Times New Roman" w:hAnsi="Times New Roman"/>
          <w:bCs/>
          <w:szCs w:val="24"/>
        </w:rPr>
        <w:t>nepiemērojot</w:t>
      </w:r>
      <w:r w:rsidR="002B436C" w:rsidRPr="00903B2F">
        <w:rPr>
          <w:rFonts w:ascii="Times New Roman" w:hAnsi="Times New Roman"/>
          <w:bCs/>
          <w:szCs w:val="24"/>
        </w:rPr>
        <w:t xml:space="preserve"> nacionālo tiesību normu.</w:t>
      </w:r>
    </w:p>
    <w:p w14:paraId="0279FADB" w14:textId="2E0FD8CE" w:rsidR="002B436C" w:rsidRPr="00903B2F" w:rsidRDefault="00D05AD4"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Nav šaubu, ka konkrētajā gadījumā sasniegtais rezultāts uzlabo sociālo tiesību aizsardzību. Tomēr direktīvu normu tiešas piemērošanas ierobežojums strīdos starp indivīdiem ir tiesību normu piemērošanas aspekts, kas vispārīgi prasa ikvienā situācijā īpašu izvērtējumu un nacionālo tiesību piemērošanas novērtējumu. </w:t>
      </w:r>
      <w:r w:rsidR="001A2AF0" w:rsidRPr="00903B2F">
        <w:rPr>
          <w:rFonts w:ascii="Times New Roman" w:hAnsi="Times New Roman"/>
          <w:bCs/>
          <w:szCs w:val="24"/>
        </w:rPr>
        <w:t xml:space="preserve">Diemžēl Eiropas Savienības Tiesas </w:t>
      </w:r>
      <w:r w:rsidR="002B436C" w:rsidRPr="00903B2F">
        <w:rPr>
          <w:rFonts w:ascii="Times New Roman" w:hAnsi="Times New Roman"/>
          <w:bCs/>
          <w:szCs w:val="24"/>
        </w:rPr>
        <w:t xml:space="preserve">spriedumi, kas </w:t>
      </w:r>
      <w:r w:rsidR="00CB43A8" w:rsidRPr="00903B2F">
        <w:rPr>
          <w:rFonts w:ascii="Times New Roman" w:hAnsi="Times New Roman"/>
          <w:bCs/>
          <w:szCs w:val="24"/>
        </w:rPr>
        <w:t xml:space="preserve">norādīti </w:t>
      </w:r>
      <w:r w:rsidR="002B436C" w:rsidRPr="00903B2F">
        <w:rPr>
          <w:rFonts w:ascii="Times New Roman" w:hAnsi="Times New Roman"/>
          <w:bCs/>
          <w:szCs w:val="24"/>
        </w:rPr>
        <w:t xml:space="preserve">atsaucē </w:t>
      </w:r>
      <w:r w:rsidR="00CB43A8" w:rsidRPr="00903B2F">
        <w:rPr>
          <w:rFonts w:ascii="Times New Roman" w:hAnsi="Times New Roman"/>
          <w:bCs/>
          <w:szCs w:val="24"/>
        </w:rPr>
        <w:t xml:space="preserve">pie </w:t>
      </w:r>
      <w:r w:rsidR="002B436C" w:rsidRPr="00903B2F">
        <w:rPr>
          <w:rFonts w:ascii="Times New Roman" w:hAnsi="Times New Roman"/>
          <w:bCs/>
          <w:szCs w:val="24"/>
        </w:rPr>
        <w:t>šī sprieduma secinājum</w:t>
      </w:r>
      <w:r w:rsidR="00CB43A8" w:rsidRPr="00903B2F">
        <w:rPr>
          <w:rFonts w:ascii="Times New Roman" w:hAnsi="Times New Roman"/>
          <w:bCs/>
          <w:szCs w:val="24"/>
        </w:rPr>
        <w:t>a</w:t>
      </w:r>
      <w:r w:rsidR="00ED6D3C">
        <w:rPr>
          <w:rFonts w:ascii="Times New Roman" w:hAnsi="Times New Roman"/>
          <w:bCs/>
          <w:szCs w:val="24"/>
        </w:rPr>
        <w:t>,</w:t>
      </w:r>
      <w:r w:rsidR="00CB43A8" w:rsidRPr="00903B2F">
        <w:rPr>
          <w:rFonts w:ascii="Times New Roman" w:hAnsi="Times New Roman"/>
          <w:bCs/>
          <w:szCs w:val="24"/>
        </w:rPr>
        <w:t xml:space="preserve"> nepārliecina, ka šāda Eiropas Savienības Tiesas interpretācija būtu paredzams juridiskā slēdziena arguments</w:t>
      </w:r>
      <w:r w:rsidR="002B436C" w:rsidRPr="00903B2F">
        <w:rPr>
          <w:rFonts w:ascii="Times New Roman" w:hAnsi="Times New Roman"/>
          <w:bCs/>
          <w:szCs w:val="24"/>
        </w:rPr>
        <w:t xml:space="preserve">. </w:t>
      </w:r>
      <w:r w:rsidR="00747541" w:rsidRPr="00903B2F">
        <w:rPr>
          <w:rFonts w:ascii="Times New Roman" w:hAnsi="Times New Roman"/>
          <w:bCs/>
          <w:szCs w:val="24"/>
        </w:rPr>
        <w:t xml:space="preserve">Proti, viens no </w:t>
      </w:r>
      <w:r w:rsidRPr="00903B2F">
        <w:rPr>
          <w:rFonts w:ascii="Times New Roman" w:hAnsi="Times New Roman"/>
          <w:bCs/>
          <w:szCs w:val="24"/>
        </w:rPr>
        <w:t xml:space="preserve">atsaucēs minētajiem </w:t>
      </w:r>
      <w:r w:rsidR="00747541" w:rsidRPr="00903B2F">
        <w:rPr>
          <w:rFonts w:ascii="Times New Roman" w:hAnsi="Times New Roman"/>
          <w:bCs/>
          <w:szCs w:val="24"/>
        </w:rPr>
        <w:t xml:space="preserve">spriedumiem ir par klasisku situāciju, kad uz direktīvas normu atsauce tiek veidota prasībā pret valsti, bet otra lieta ir par tiesību uz piekļuvi tiesai pašu būtību – tiesībām vērsties tiesā. </w:t>
      </w:r>
    </w:p>
    <w:p w14:paraId="7A825192" w14:textId="488A901A" w:rsidR="00155D79" w:rsidRPr="00903B2F" w:rsidRDefault="00155D79" w:rsidP="00903B2F">
      <w:pPr>
        <w:spacing w:after="120" w:line="240" w:lineRule="auto"/>
        <w:jc w:val="both"/>
        <w:rPr>
          <w:rFonts w:ascii="Times New Roman" w:hAnsi="Times New Roman"/>
          <w:bCs/>
          <w:szCs w:val="24"/>
        </w:rPr>
      </w:pPr>
      <w:r w:rsidRPr="00903B2F">
        <w:rPr>
          <w:rFonts w:ascii="Times New Roman" w:hAnsi="Times New Roman"/>
          <w:bCs/>
          <w:szCs w:val="24"/>
        </w:rPr>
        <w:t>Subjektīvi jāsaka, ka šajā spriedumā lietā C-715/20 Eiropas Savienības Tiesas juridiskā</w:t>
      </w:r>
      <w:r w:rsidR="00747541" w:rsidRPr="00903B2F">
        <w:rPr>
          <w:rFonts w:ascii="Times New Roman" w:hAnsi="Times New Roman"/>
          <w:bCs/>
          <w:szCs w:val="24"/>
        </w:rPr>
        <w:t>s</w:t>
      </w:r>
      <w:r w:rsidRPr="00903B2F">
        <w:rPr>
          <w:rFonts w:ascii="Times New Roman" w:hAnsi="Times New Roman"/>
          <w:bCs/>
          <w:szCs w:val="24"/>
        </w:rPr>
        <w:t xml:space="preserve"> argumentācijas ķēde</w:t>
      </w:r>
      <w:r w:rsidR="00F52AB9" w:rsidRPr="00903B2F">
        <w:rPr>
          <w:rFonts w:ascii="Times New Roman" w:hAnsi="Times New Roman"/>
          <w:bCs/>
          <w:szCs w:val="24"/>
        </w:rPr>
        <w:t xml:space="preserve"> attiecībā uz to, k</w:t>
      </w:r>
      <w:r w:rsidR="00D05AD4" w:rsidRPr="00903B2F">
        <w:rPr>
          <w:rFonts w:ascii="Times New Roman" w:hAnsi="Times New Roman"/>
          <w:bCs/>
          <w:szCs w:val="24"/>
        </w:rPr>
        <w:t>a caur</w:t>
      </w:r>
      <w:r w:rsidR="00F52AB9" w:rsidRPr="00903B2F">
        <w:rPr>
          <w:rFonts w:ascii="Times New Roman" w:hAnsi="Times New Roman"/>
          <w:bCs/>
          <w:szCs w:val="24"/>
        </w:rPr>
        <w:t xml:space="preserve"> </w:t>
      </w:r>
      <w:proofErr w:type="spellStart"/>
      <w:r w:rsidR="00F52AB9" w:rsidRPr="00903B2F">
        <w:rPr>
          <w:rFonts w:ascii="Times New Roman" w:hAnsi="Times New Roman"/>
          <w:bCs/>
          <w:szCs w:val="24"/>
        </w:rPr>
        <w:t>Pamattiesību</w:t>
      </w:r>
      <w:proofErr w:type="spellEnd"/>
      <w:r w:rsidR="00F52AB9" w:rsidRPr="00903B2F">
        <w:rPr>
          <w:rFonts w:ascii="Times New Roman" w:hAnsi="Times New Roman"/>
          <w:bCs/>
          <w:szCs w:val="24"/>
        </w:rPr>
        <w:t xml:space="preserve"> hartas 47.</w:t>
      </w:r>
      <w:r w:rsidR="00ED6D3C">
        <w:rPr>
          <w:rFonts w:ascii="Times New Roman" w:hAnsi="Times New Roman"/>
          <w:bCs/>
          <w:szCs w:val="24"/>
        </w:rPr>
        <w:t> </w:t>
      </w:r>
      <w:r w:rsidR="00F52AB9" w:rsidRPr="00903B2F">
        <w:rPr>
          <w:rFonts w:ascii="Times New Roman" w:hAnsi="Times New Roman"/>
          <w:bCs/>
          <w:szCs w:val="24"/>
        </w:rPr>
        <w:t>pant</w:t>
      </w:r>
      <w:r w:rsidR="00D05AD4" w:rsidRPr="00903B2F">
        <w:rPr>
          <w:rFonts w:ascii="Times New Roman" w:hAnsi="Times New Roman"/>
          <w:bCs/>
          <w:szCs w:val="24"/>
        </w:rPr>
        <w:t>u</w:t>
      </w:r>
      <w:r w:rsidR="00F52AB9" w:rsidRPr="00903B2F">
        <w:rPr>
          <w:rFonts w:ascii="Times New Roman" w:hAnsi="Times New Roman"/>
          <w:bCs/>
          <w:szCs w:val="24"/>
        </w:rPr>
        <w:t xml:space="preserve"> </w:t>
      </w:r>
      <w:bookmarkStart w:id="1" w:name="_Hlk165212337"/>
      <w:r w:rsidR="00D05AD4" w:rsidRPr="00903B2F">
        <w:rPr>
          <w:rFonts w:ascii="Times New Roman" w:hAnsi="Times New Roman"/>
          <w:bCs/>
          <w:szCs w:val="24"/>
        </w:rPr>
        <w:t xml:space="preserve">var </w:t>
      </w:r>
      <w:r w:rsidR="00F52AB9" w:rsidRPr="00903B2F">
        <w:rPr>
          <w:rFonts w:ascii="Times New Roman" w:hAnsi="Times New Roman"/>
          <w:bCs/>
          <w:szCs w:val="24"/>
        </w:rPr>
        <w:t>piešķir</w:t>
      </w:r>
      <w:r w:rsidR="00D05AD4" w:rsidRPr="00903B2F">
        <w:rPr>
          <w:rFonts w:ascii="Times New Roman" w:hAnsi="Times New Roman"/>
          <w:bCs/>
          <w:szCs w:val="24"/>
        </w:rPr>
        <w:t>t</w:t>
      </w:r>
      <w:r w:rsidR="00F52AB9" w:rsidRPr="00903B2F">
        <w:rPr>
          <w:rFonts w:ascii="Times New Roman" w:hAnsi="Times New Roman"/>
          <w:bCs/>
          <w:szCs w:val="24"/>
        </w:rPr>
        <w:t xml:space="preserve"> direktīv</w:t>
      </w:r>
      <w:r w:rsidR="00D05AD4" w:rsidRPr="00903B2F">
        <w:rPr>
          <w:rFonts w:ascii="Times New Roman" w:hAnsi="Times New Roman"/>
          <w:bCs/>
          <w:szCs w:val="24"/>
        </w:rPr>
        <w:t>as</w:t>
      </w:r>
      <w:r w:rsidR="00F52AB9" w:rsidRPr="00903B2F">
        <w:rPr>
          <w:rFonts w:ascii="Times New Roman" w:hAnsi="Times New Roman"/>
          <w:bCs/>
          <w:szCs w:val="24"/>
        </w:rPr>
        <w:t xml:space="preserve"> materiālo tiesību normai </w:t>
      </w:r>
      <w:r w:rsidR="00D05AD4" w:rsidRPr="00903B2F">
        <w:rPr>
          <w:rFonts w:ascii="Times New Roman" w:hAnsi="Times New Roman"/>
          <w:bCs/>
          <w:szCs w:val="24"/>
        </w:rPr>
        <w:t xml:space="preserve">tiešu iedarbību </w:t>
      </w:r>
      <w:r w:rsidR="00F52AB9" w:rsidRPr="00903B2F">
        <w:rPr>
          <w:rFonts w:ascii="Times New Roman" w:hAnsi="Times New Roman"/>
          <w:bCs/>
          <w:szCs w:val="24"/>
        </w:rPr>
        <w:t>starp privātpersonām</w:t>
      </w:r>
      <w:r w:rsidR="00ED6D3C">
        <w:rPr>
          <w:rFonts w:ascii="Times New Roman" w:hAnsi="Times New Roman"/>
          <w:bCs/>
          <w:szCs w:val="24"/>
        </w:rPr>
        <w:t>,</w:t>
      </w:r>
      <w:r w:rsidR="00F52AB9" w:rsidRPr="00903B2F">
        <w:rPr>
          <w:rFonts w:ascii="Times New Roman" w:hAnsi="Times New Roman"/>
          <w:bCs/>
          <w:szCs w:val="24"/>
        </w:rPr>
        <w:t xml:space="preserve"> </w:t>
      </w:r>
      <w:bookmarkEnd w:id="1"/>
      <w:r w:rsidRPr="00903B2F">
        <w:rPr>
          <w:rFonts w:ascii="Times New Roman" w:hAnsi="Times New Roman"/>
          <w:bCs/>
          <w:szCs w:val="24"/>
        </w:rPr>
        <w:t>nav tik detalizēta un izvērsta</w:t>
      </w:r>
      <w:r w:rsidR="002B1CB3">
        <w:rPr>
          <w:rFonts w:ascii="Times New Roman" w:hAnsi="Times New Roman"/>
          <w:bCs/>
          <w:szCs w:val="24"/>
        </w:rPr>
        <w:t>,</w:t>
      </w:r>
      <w:r w:rsidRPr="00903B2F">
        <w:rPr>
          <w:rFonts w:ascii="Times New Roman" w:hAnsi="Times New Roman"/>
          <w:bCs/>
          <w:szCs w:val="24"/>
        </w:rPr>
        <w:t xml:space="preserve"> kā būtu sagaidāms</w:t>
      </w:r>
      <w:r w:rsidR="00790CCF" w:rsidRPr="00903B2F">
        <w:rPr>
          <w:rFonts w:ascii="Times New Roman" w:hAnsi="Times New Roman"/>
          <w:bCs/>
          <w:szCs w:val="24"/>
        </w:rPr>
        <w:t xml:space="preserve"> no </w:t>
      </w:r>
      <w:r w:rsidR="00D05AD4" w:rsidRPr="00903B2F">
        <w:rPr>
          <w:rFonts w:ascii="Times New Roman" w:hAnsi="Times New Roman"/>
          <w:bCs/>
          <w:szCs w:val="24"/>
        </w:rPr>
        <w:t>š</w:t>
      </w:r>
      <w:r w:rsidR="00790CCF" w:rsidRPr="00903B2F">
        <w:rPr>
          <w:rFonts w:ascii="Times New Roman" w:hAnsi="Times New Roman"/>
          <w:bCs/>
          <w:szCs w:val="24"/>
        </w:rPr>
        <w:t>āda līmeņa novitātes</w:t>
      </w:r>
      <w:r w:rsidRPr="00903B2F">
        <w:rPr>
          <w:rFonts w:ascii="Times New Roman" w:hAnsi="Times New Roman"/>
          <w:bCs/>
          <w:szCs w:val="24"/>
        </w:rPr>
        <w:t>.</w:t>
      </w:r>
    </w:p>
    <w:p w14:paraId="6E64E0EA" w14:textId="6026E229" w:rsidR="002B436C" w:rsidRPr="00903B2F" w:rsidRDefault="002B436C" w:rsidP="00903B2F">
      <w:pPr>
        <w:spacing w:after="120" w:line="240" w:lineRule="auto"/>
        <w:jc w:val="both"/>
        <w:rPr>
          <w:rFonts w:ascii="Times New Roman" w:hAnsi="Times New Roman"/>
          <w:bCs/>
          <w:szCs w:val="24"/>
        </w:rPr>
      </w:pPr>
      <w:r w:rsidRPr="00903B2F">
        <w:rPr>
          <w:rFonts w:ascii="Times New Roman" w:hAnsi="Times New Roman"/>
          <w:bCs/>
          <w:szCs w:val="24"/>
        </w:rPr>
        <w:t xml:space="preserve">Te arī </w:t>
      </w:r>
      <w:r w:rsidR="00FA7342" w:rsidRPr="00903B2F">
        <w:rPr>
          <w:rFonts w:ascii="Times New Roman" w:hAnsi="Times New Roman"/>
          <w:bCs/>
          <w:szCs w:val="24"/>
        </w:rPr>
        <w:t>vēl viens</w:t>
      </w:r>
      <w:r w:rsidRPr="00903B2F">
        <w:rPr>
          <w:rFonts w:ascii="Times New Roman" w:hAnsi="Times New Roman"/>
          <w:bCs/>
          <w:szCs w:val="24"/>
        </w:rPr>
        <w:t xml:space="preserve"> piesakāmais jautājums diskusijai: kā kolēģi no citu dalībvalstu tiesām vērtē argumentācijas </w:t>
      </w:r>
      <w:r w:rsidR="00CE5FC6" w:rsidRPr="00903B2F">
        <w:rPr>
          <w:rFonts w:ascii="Times New Roman" w:hAnsi="Times New Roman"/>
          <w:bCs/>
          <w:szCs w:val="24"/>
        </w:rPr>
        <w:t>detalizāciju Eiropas Savienības Tiesas spriedumos? Vai tā atbilst Līguma par Eiropas Savienību 19.pantā ietvertajam Tiesas uzdevumam nodrošināt</w:t>
      </w:r>
      <w:r w:rsidR="002B1CB3">
        <w:rPr>
          <w:rFonts w:ascii="Times New Roman" w:hAnsi="Times New Roman"/>
          <w:bCs/>
          <w:szCs w:val="24"/>
        </w:rPr>
        <w:t>,</w:t>
      </w:r>
      <w:r w:rsidR="00CE5FC6" w:rsidRPr="00903B2F">
        <w:rPr>
          <w:rFonts w:ascii="Times New Roman" w:hAnsi="Times New Roman"/>
          <w:bCs/>
          <w:szCs w:val="24"/>
        </w:rPr>
        <w:t xml:space="preserve"> lai tiktu ievērots tiesiskums Līgumu interpretēšanā un piemērošanā. </w:t>
      </w:r>
    </w:p>
    <w:p w14:paraId="5275EE75" w14:textId="70010C25" w:rsidR="00FA7342" w:rsidRPr="00903B2F" w:rsidRDefault="00FA7342" w:rsidP="00903B2F">
      <w:pPr>
        <w:spacing w:after="120" w:line="240" w:lineRule="auto"/>
        <w:jc w:val="both"/>
        <w:rPr>
          <w:rFonts w:ascii="Times New Roman" w:hAnsi="Times New Roman"/>
          <w:bCs/>
          <w:szCs w:val="24"/>
        </w:rPr>
      </w:pPr>
      <w:r w:rsidRPr="00903B2F">
        <w:rPr>
          <w:rFonts w:ascii="Times New Roman" w:hAnsi="Times New Roman"/>
          <w:bCs/>
          <w:szCs w:val="24"/>
        </w:rPr>
        <w:t>Racionāla diskusija vienmēr ir bijis pamats pozitīvai attīstībai.</w:t>
      </w:r>
    </w:p>
    <w:bookmarkEnd w:id="0"/>
    <w:p w14:paraId="21EA9126" w14:textId="77777777" w:rsidR="00CE5FC6" w:rsidRPr="00202432" w:rsidRDefault="00CE5FC6" w:rsidP="00CE5FC6">
      <w:pPr>
        <w:jc w:val="both"/>
        <w:rPr>
          <w:rFonts w:asciiTheme="majorBidi" w:hAnsiTheme="majorBidi" w:cstheme="majorBidi"/>
          <w:bCs/>
          <w:szCs w:val="24"/>
        </w:rPr>
      </w:pPr>
    </w:p>
    <w:p w14:paraId="748A4EC7" w14:textId="2FF688B2" w:rsidR="00E8400E" w:rsidRPr="00396143" w:rsidRDefault="00E8400E" w:rsidP="00CE5FC6">
      <w:pPr>
        <w:jc w:val="both"/>
        <w:rPr>
          <w:rFonts w:asciiTheme="majorBidi" w:hAnsiTheme="majorBidi" w:cstheme="majorBidi"/>
          <w:szCs w:val="24"/>
        </w:rPr>
      </w:pPr>
    </w:p>
    <w:sectPr w:rsidR="00E8400E" w:rsidRPr="00396143" w:rsidSect="00D72EA2">
      <w:headerReference w:type="even" r:id="rId8"/>
      <w:headerReference w:type="default" r:id="rId9"/>
      <w:footerReference w:type="even" r:id="rId10"/>
      <w:footerReference w:type="default" r:id="rId11"/>
      <w:headerReference w:type="first" r:id="rId12"/>
      <w:footerReference w:type="first" r:id="rId13"/>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5A6A6" w14:textId="77777777" w:rsidR="00D72EA2" w:rsidRDefault="00D72EA2" w:rsidP="00B833C3">
      <w:pPr>
        <w:spacing w:after="0" w:line="240" w:lineRule="auto"/>
      </w:pPr>
      <w:r>
        <w:separator/>
      </w:r>
    </w:p>
  </w:endnote>
  <w:endnote w:type="continuationSeparator" w:id="0">
    <w:p w14:paraId="64310E1C" w14:textId="77777777" w:rsidR="00D72EA2" w:rsidRDefault="00D72EA2" w:rsidP="00B8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54E8" w14:textId="77777777" w:rsidR="00396143" w:rsidRDefault="00396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648815"/>
      <w:docPartObj>
        <w:docPartGallery w:val="Page Numbers (Bottom of Page)"/>
        <w:docPartUnique/>
      </w:docPartObj>
    </w:sdtPr>
    <w:sdtContent>
      <w:sdt>
        <w:sdtPr>
          <w:id w:val="1728636285"/>
          <w:docPartObj>
            <w:docPartGallery w:val="Page Numbers (Top of Page)"/>
            <w:docPartUnique/>
          </w:docPartObj>
        </w:sdtPr>
        <w:sdtContent>
          <w:p w14:paraId="0F4979BF" w14:textId="70C39C39" w:rsidR="00396143" w:rsidRDefault="00396143" w:rsidP="00396143">
            <w:pPr>
              <w:pStyle w:val="Footer"/>
              <w:jc w:val="center"/>
            </w:pPr>
            <w:r w:rsidRPr="00396143">
              <w:t xml:space="preserve"> </w:t>
            </w:r>
            <w:r w:rsidRPr="00396143">
              <w:rPr>
                <w:szCs w:val="24"/>
              </w:rPr>
              <w:fldChar w:fldCharType="begin"/>
            </w:r>
            <w:r w:rsidRPr="00396143">
              <w:instrText xml:space="preserve"> PAGE </w:instrText>
            </w:r>
            <w:r w:rsidRPr="00396143">
              <w:rPr>
                <w:szCs w:val="24"/>
              </w:rPr>
              <w:fldChar w:fldCharType="separate"/>
            </w:r>
            <w:r w:rsidRPr="00396143">
              <w:rPr>
                <w:noProof/>
              </w:rPr>
              <w:t>2</w:t>
            </w:r>
            <w:r w:rsidRPr="00396143">
              <w:rPr>
                <w:szCs w:val="24"/>
              </w:rPr>
              <w:fldChar w:fldCharType="end"/>
            </w:r>
            <w:r w:rsidRPr="00396143">
              <w:t xml:space="preserve"> no </w:t>
            </w:r>
            <w:r w:rsidRPr="00396143">
              <w:rPr>
                <w:szCs w:val="24"/>
              </w:rPr>
              <w:fldChar w:fldCharType="begin"/>
            </w:r>
            <w:r w:rsidRPr="00396143">
              <w:instrText xml:space="preserve"> NUMPAGES  </w:instrText>
            </w:r>
            <w:r w:rsidRPr="00396143">
              <w:rPr>
                <w:szCs w:val="24"/>
              </w:rPr>
              <w:fldChar w:fldCharType="separate"/>
            </w:r>
            <w:r w:rsidRPr="00396143">
              <w:rPr>
                <w:noProof/>
              </w:rPr>
              <w:t>2</w:t>
            </w:r>
            <w:r w:rsidRPr="00396143">
              <w:rPr>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2B62" w14:textId="77777777" w:rsidR="00396143" w:rsidRDefault="00396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BDD94" w14:textId="77777777" w:rsidR="00D72EA2" w:rsidRDefault="00D72EA2" w:rsidP="00B833C3">
      <w:pPr>
        <w:spacing w:after="0" w:line="240" w:lineRule="auto"/>
      </w:pPr>
      <w:r>
        <w:separator/>
      </w:r>
    </w:p>
  </w:footnote>
  <w:footnote w:type="continuationSeparator" w:id="0">
    <w:p w14:paraId="4C7431C3" w14:textId="77777777" w:rsidR="00D72EA2" w:rsidRDefault="00D72EA2" w:rsidP="00B833C3">
      <w:pPr>
        <w:spacing w:after="0" w:line="240" w:lineRule="auto"/>
      </w:pPr>
      <w:r>
        <w:continuationSeparator/>
      </w:r>
    </w:p>
  </w:footnote>
  <w:footnote w:id="1">
    <w:p w14:paraId="4CFFA0D6" w14:textId="17EF06AB" w:rsidR="000A2A69" w:rsidRPr="00B02440" w:rsidRDefault="000A2A69" w:rsidP="00A86743">
      <w:pPr>
        <w:pStyle w:val="FootnoteText"/>
        <w:rPr>
          <w:rFonts w:ascii="Times New Roman" w:hAnsi="Times New Roman"/>
        </w:rPr>
      </w:pPr>
      <w:r w:rsidRPr="005841DA">
        <w:rPr>
          <w:rStyle w:val="FootnoteReference"/>
          <w:rFonts w:ascii="Times New Roman" w:hAnsi="Times New Roman"/>
        </w:rPr>
        <w:footnoteRef/>
      </w:r>
      <w:r w:rsidRPr="005841DA">
        <w:rPr>
          <w:rFonts w:ascii="Times New Roman" w:hAnsi="Times New Roman"/>
        </w:rPr>
        <w:t xml:space="preserve"> </w:t>
      </w:r>
      <w:r w:rsidR="00B02440" w:rsidRPr="00B02440">
        <w:rPr>
          <w:rFonts w:ascii="Times New Roman" w:hAnsi="Times New Roman"/>
        </w:rPr>
        <w:t>“Dalītā kompetence” nozīmē</w:t>
      </w:r>
      <w:r w:rsidR="00B02440">
        <w:rPr>
          <w:rFonts w:ascii="Times New Roman" w:hAnsi="Times New Roman"/>
        </w:rPr>
        <w:t xml:space="preserve"> to</w:t>
      </w:r>
      <w:r w:rsidR="00B02440" w:rsidRPr="00B02440">
        <w:rPr>
          <w:rFonts w:ascii="Times New Roman" w:hAnsi="Times New Roman"/>
        </w:rPr>
        <w:t xml:space="preserve">, ka gan ES, gan tās dalībvalstis var pieņemt juridiski saistošus aktus attiecīgajā jomā. Tomēr dalībvalstis to var darīt tikai tad, ja ES nav </w:t>
      </w:r>
      <w:r w:rsidR="00B02440">
        <w:rPr>
          <w:rFonts w:ascii="Times New Roman" w:hAnsi="Times New Roman"/>
        </w:rPr>
        <w:t>īstenojusi</w:t>
      </w:r>
      <w:r w:rsidR="00B02440" w:rsidRPr="00B02440">
        <w:rPr>
          <w:rFonts w:ascii="Times New Roman" w:hAnsi="Times New Roman"/>
        </w:rPr>
        <w:t xml:space="preserve"> savu kompetenci vai ir nepārprotami pārtraukusi to darīt.</w:t>
      </w:r>
    </w:p>
  </w:footnote>
  <w:footnote w:id="2">
    <w:p w14:paraId="05CA1BFF" w14:textId="77777777" w:rsidR="000A2A69" w:rsidRPr="005841DA" w:rsidRDefault="000A2A69" w:rsidP="000A2A69">
      <w:pPr>
        <w:pStyle w:val="FootnoteText"/>
        <w:rPr>
          <w:rFonts w:ascii="Times New Roman" w:hAnsi="Times New Roman"/>
        </w:rPr>
      </w:pPr>
      <w:r w:rsidRPr="005841DA">
        <w:rPr>
          <w:rStyle w:val="FootnoteReference"/>
          <w:rFonts w:ascii="Times New Roman" w:hAnsi="Times New Roman"/>
        </w:rPr>
        <w:footnoteRef/>
      </w:r>
      <w:r w:rsidRPr="005841DA">
        <w:rPr>
          <w:rFonts w:ascii="Times New Roman" w:hAnsi="Times New Roman"/>
        </w:rPr>
        <w:t xml:space="preserve"> Līguma par ES darbību 4.pants.</w:t>
      </w:r>
    </w:p>
  </w:footnote>
  <w:footnote w:id="3">
    <w:p w14:paraId="2E87565C" w14:textId="153DE2FB" w:rsidR="003941DE" w:rsidRDefault="003941DE" w:rsidP="003941DE">
      <w:pPr>
        <w:pStyle w:val="FootnoteText"/>
      </w:pPr>
      <w:r>
        <w:rPr>
          <w:rStyle w:val="FootnoteReference"/>
        </w:rPr>
        <w:footnoteRef/>
      </w:r>
      <w:r>
        <w:t xml:space="preserve"> </w:t>
      </w:r>
      <w:r>
        <w:t xml:space="preserve">Senāta 2022.gada 20.janvāra spriedums lietā SKC-52/2022, </w:t>
      </w:r>
      <w:hyperlink r:id="rId1" w:history="1">
        <w:r>
          <w:rPr>
            <w:rStyle w:val="Hyperlink"/>
          </w:rPr>
          <w:t>ECLI:LV:AT:2022:0120.C30447519.12.S</w:t>
        </w:r>
      </w:hyperlink>
    </w:p>
  </w:footnote>
  <w:footnote w:id="4">
    <w:p w14:paraId="1BF89B66" w14:textId="376A982D" w:rsidR="003941DE" w:rsidRDefault="003941DE">
      <w:pPr>
        <w:pStyle w:val="FootnoteText"/>
      </w:pPr>
      <w:r>
        <w:rPr>
          <w:rStyle w:val="FootnoteReference"/>
        </w:rPr>
        <w:footnoteRef/>
      </w:r>
      <w:r>
        <w:t xml:space="preserve"> </w:t>
      </w:r>
      <w:r>
        <w:t xml:space="preserve">Senāta 2023.gada 15.novembra spriedums lietā SKC-165/2023, </w:t>
      </w:r>
      <w:hyperlink r:id="rId2" w:history="1">
        <w:r>
          <w:rPr>
            <w:rStyle w:val="Hyperlink"/>
          </w:rPr>
          <w:t>ECLI:LV:AT:2023:1115.C30636519.13.S</w:t>
        </w:r>
      </w:hyperlink>
    </w:p>
  </w:footnote>
  <w:footnote w:id="5">
    <w:p w14:paraId="51BCA69B" w14:textId="0651072C" w:rsidR="003C42E8" w:rsidRPr="005841DA" w:rsidRDefault="003C42E8" w:rsidP="003C42E8">
      <w:pPr>
        <w:pStyle w:val="FootnoteText"/>
        <w:rPr>
          <w:rFonts w:ascii="Times New Roman" w:hAnsi="Times New Roman"/>
        </w:rPr>
      </w:pPr>
      <w:r w:rsidRPr="005841DA">
        <w:rPr>
          <w:rStyle w:val="FootnoteReference"/>
          <w:rFonts w:ascii="Times New Roman" w:hAnsi="Times New Roman"/>
        </w:rPr>
        <w:footnoteRef/>
      </w:r>
      <w:r w:rsidRPr="005841DA">
        <w:rPr>
          <w:rFonts w:ascii="Times New Roman" w:hAnsi="Times New Roman"/>
        </w:rPr>
        <w:t xml:space="preserve"> Eiropas Savienības Tiesas 2007.gada 11.decembra spriedums „Viking Line”, C-438/05, </w:t>
      </w:r>
      <w:hyperlink r:id="rId3" w:history="1">
        <w:r w:rsidRPr="005841DA">
          <w:rPr>
            <w:rStyle w:val="Hyperlink"/>
            <w:rFonts w:ascii="Times New Roman" w:hAnsi="Times New Roman"/>
          </w:rPr>
          <w:t>ECLI:EU:C:2007:772</w:t>
        </w:r>
      </w:hyperlink>
    </w:p>
  </w:footnote>
  <w:footnote w:id="6">
    <w:p w14:paraId="05EC83E1" w14:textId="5079599C" w:rsidR="003C42E8" w:rsidRPr="005841DA" w:rsidRDefault="003C42E8" w:rsidP="003C42E8">
      <w:pPr>
        <w:pStyle w:val="FootnoteText"/>
        <w:rPr>
          <w:rFonts w:ascii="Times New Roman" w:hAnsi="Times New Roman"/>
        </w:rPr>
      </w:pPr>
      <w:r w:rsidRPr="005841DA">
        <w:rPr>
          <w:rStyle w:val="FootnoteReference"/>
          <w:rFonts w:ascii="Times New Roman" w:hAnsi="Times New Roman"/>
        </w:rPr>
        <w:footnoteRef/>
      </w:r>
      <w:r w:rsidRPr="005841DA">
        <w:rPr>
          <w:rFonts w:ascii="Times New Roman" w:hAnsi="Times New Roman"/>
        </w:rPr>
        <w:t xml:space="preserve"> Eiropas Savienības Tiesas 2007.gada 18.decembra spriedums lietā „</w:t>
      </w:r>
      <w:proofErr w:type="spellStart"/>
      <w:r w:rsidRPr="005841DA">
        <w:rPr>
          <w:rFonts w:ascii="Times New Roman" w:hAnsi="Times New Roman"/>
        </w:rPr>
        <w:t>Laval</w:t>
      </w:r>
      <w:proofErr w:type="spellEnd"/>
      <w:r w:rsidRPr="005841DA">
        <w:rPr>
          <w:rFonts w:ascii="Times New Roman" w:hAnsi="Times New Roman"/>
        </w:rPr>
        <w:t xml:space="preserve"> un Partneri”, C-341/05, </w:t>
      </w:r>
      <w:hyperlink r:id="rId4" w:history="1">
        <w:r w:rsidRPr="005841DA">
          <w:rPr>
            <w:rStyle w:val="Hyperlink"/>
            <w:rFonts w:ascii="Times New Roman" w:hAnsi="Times New Roman"/>
          </w:rPr>
          <w:t>ECLI:EU:C:2007:809</w:t>
        </w:r>
      </w:hyperlink>
    </w:p>
  </w:footnote>
  <w:footnote w:id="7">
    <w:p w14:paraId="75CC44D4" w14:textId="15761EE4" w:rsidR="000203FC" w:rsidRPr="005841DA" w:rsidRDefault="000203FC">
      <w:pPr>
        <w:pStyle w:val="FootnoteText"/>
        <w:rPr>
          <w:rFonts w:ascii="Times New Roman" w:hAnsi="Times New Roman"/>
        </w:rPr>
      </w:pPr>
      <w:r w:rsidRPr="005841DA">
        <w:rPr>
          <w:rStyle w:val="FootnoteReference"/>
          <w:rFonts w:ascii="Times New Roman" w:hAnsi="Times New Roman"/>
        </w:rPr>
        <w:footnoteRef/>
      </w:r>
      <w:r w:rsidRPr="005841DA">
        <w:rPr>
          <w:rFonts w:ascii="Times New Roman" w:hAnsi="Times New Roman"/>
        </w:rPr>
        <w:t xml:space="preserve"> Eiropas Savienības Tiesas 2021.gada 6.oktobra spriedums lietā „</w:t>
      </w:r>
      <w:proofErr w:type="spellStart"/>
      <w:r w:rsidRPr="005841DA">
        <w:rPr>
          <w:rFonts w:ascii="Times New Roman" w:hAnsi="Times New Roman"/>
        </w:rPr>
        <w:t>Consorzio</w:t>
      </w:r>
      <w:proofErr w:type="spellEnd"/>
      <w:r w:rsidRPr="005841DA">
        <w:rPr>
          <w:rFonts w:ascii="Times New Roman" w:hAnsi="Times New Roman"/>
        </w:rPr>
        <w:t xml:space="preserve"> </w:t>
      </w:r>
      <w:proofErr w:type="spellStart"/>
      <w:r w:rsidRPr="005841DA">
        <w:rPr>
          <w:rFonts w:ascii="Times New Roman" w:hAnsi="Times New Roman"/>
        </w:rPr>
        <w:t>Italian</w:t>
      </w:r>
      <w:proofErr w:type="spellEnd"/>
      <w:r w:rsidRPr="005841DA">
        <w:rPr>
          <w:rFonts w:ascii="Times New Roman" w:hAnsi="Times New Roman"/>
        </w:rPr>
        <w:t xml:space="preserve"> </w:t>
      </w:r>
      <w:proofErr w:type="spellStart"/>
      <w:r w:rsidRPr="005841DA">
        <w:rPr>
          <w:rFonts w:ascii="Times New Roman" w:hAnsi="Times New Roman"/>
        </w:rPr>
        <w:t>Management</w:t>
      </w:r>
      <w:proofErr w:type="spellEnd"/>
      <w:r w:rsidRPr="005841DA">
        <w:rPr>
          <w:rFonts w:ascii="Times New Roman" w:hAnsi="Times New Roman"/>
        </w:rPr>
        <w:t xml:space="preserve"> e </w:t>
      </w:r>
      <w:proofErr w:type="spellStart"/>
      <w:r w:rsidRPr="005841DA">
        <w:rPr>
          <w:rFonts w:ascii="Times New Roman" w:hAnsi="Times New Roman"/>
        </w:rPr>
        <w:t>Catania</w:t>
      </w:r>
      <w:proofErr w:type="spellEnd"/>
      <w:r w:rsidRPr="005841DA">
        <w:rPr>
          <w:rFonts w:ascii="Times New Roman" w:hAnsi="Times New Roman"/>
        </w:rPr>
        <w:t xml:space="preserve"> </w:t>
      </w:r>
      <w:proofErr w:type="spellStart"/>
      <w:r w:rsidRPr="005841DA">
        <w:rPr>
          <w:rFonts w:ascii="Times New Roman" w:hAnsi="Times New Roman"/>
        </w:rPr>
        <w:t>Multiservizi</w:t>
      </w:r>
      <w:proofErr w:type="spellEnd"/>
      <w:r w:rsidRPr="005841DA">
        <w:rPr>
          <w:rFonts w:ascii="Times New Roman" w:hAnsi="Times New Roman"/>
        </w:rPr>
        <w:t xml:space="preserve"> un </w:t>
      </w:r>
      <w:proofErr w:type="spellStart"/>
      <w:r w:rsidRPr="005841DA">
        <w:rPr>
          <w:rFonts w:ascii="Times New Roman" w:hAnsi="Times New Roman"/>
        </w:rPr>
        <w:t>Catania</w:t>
      </w:r>
      <w:proofErr w:type="spellEnd"/>
      <w:r w:rsidRPr="005841DA">
        <w:rPr>
          <w:rFonts w:ascii="Times New Roman" w:hAnsi="Times New Roman"/>
        </w:rPr>
        <w:t xml:space="preserve"> </w:t>
      </w:r>
      <w:proofErr w:type="spellStart"/>
      <w:r w:rsidRPr="005841DA">
        <w:rPr>
          <w:rFonts w:ascii="Times New Roman" w:hAnsi="Times New Roman"/>
        </w:rPr>
        <w:t>Multiservizi</w:t>
      </w:r>
      <w:proofErr w:type="spellEnd"/>
      <w:r w:rsidRPr="005841DA">
        <w:rPr>
          <w:rFonts w:ascii="Times New Roman" w:hAnsi="Times New Roman"/>
        </w:rPr>
        <w:t xml:space="preserve">”, C-561/19, </w:t>
      </w:r>
      <w:hyperlink r:id="rId5" w:history="1">
        <w:r w:rsidRPr="005841DA">
          <w:rPr>
            <w:rStyle w:val="Hyperlink"/>
            <w:rFonts w:ascii="Times New Roman" w:hAnsi="Times New Roman"/>
          </w:rPr>
          <w:t>ECLI:EU:C:2021:799</w:t>
        </w:r>
      </w:hyperlink>
      <w:r w:rsidRPr="005841DA">
        <w:rPr>
          <w:rFonts w:ascii="Times New Roman" w:hAnsi="Times New Roman"/>
        </w:rPr>
        <w:t>, 41.punkts.</w:t>
      </w:r>
    </w:p>
  </w:footnote>
  <w:footnote w:id="8">
    <w:p w14:paraId="5B920779" w14:textId="7210E11E" w:rsidR="00B90B35" w:rsidRPr="005841DA" w:rsidRDefault="00B90B35">
      <w:pPr>
        <w:pStyle w:val="FootnoteText"/>
        <w:rPr>
          <w:rFonts w:ascii="Times New Roman" w:hAnsi="Times New Roman"/>
        </w:rPr>
      </w:pPr>
      <w:r w:rsidRPr="005841DA">
        <w:rPr>
          <w:rStyle w:val="FootnoteReference"/>
          <w:rFonts w:ascii="Times New Roman" w:hAnsi="Times New Roman"/>
        </w:rPr>
        <w:footnoteRef/>
      </w:r>
      <w:r w:rsidRPr="005841DA">
        <w:rPr>
          <w:rFonts w:ascii="Times New Roman" w:hAnsi="Times New Roman"/>
        </w:rPr>
        <w:t xml:space="preserve"> </w:t>
      </w:r>
      <w:hyperlink r:id="rId6" w:anchor="national-websites" w:history="1">
        <w:r w:rsidRPr="005841DA">
          <w:rPr>
            <w:rStyle w:val="Hyperlink"/>
            <w:rFonts w:ascii="Times New Roman" w:hAnsi="Times New Roman"/>
          </w:rPr>
          <w:t>https://europa.eu/youreurope/citizens/work/work-abroad/posted-workers/index_en.htm#national-websites</w:t>
        </w:r>
      </w:hyperlink>
      <w:r w:rsidRPr="005841DA">
        <w:rPr>
          <w:rFonts w:ascii="Times New Roman" w:hAnsi="Times New Roman"/>
        </w:rPr>
        <w:t xml:space="preserve"> ; </w:t>
      </w:r>
      <w:hyperlink r:id="rId7" w:history="1">
        <w:r w:rsidRPr="005841DA">
          <w:rPr>
            <w:rStyle w:val="Hyperlink"/>
            <w:rFonts w:ascii="Times New Roman" w:hAnsi="Times New Roman"/>
          </w:rPr>
          <w:t>https://ec.europa.eu/social/main.jsp?catId=471</w:t>
        </w:r>
      </w:hyperlink>
      <w:r w:rsidRPr="005841DA">
        <w:rPr>
          <w:rFonts w:ascii="Times New Roman" w:hAnsi="Times New Roman"/>
        </w:rPr>
        <w:t xml:space="preserve"> </w:t>
      </w:r>
    </w:p>
  </w:footnote>
  <w:footnote w:id="9">
    <w:p w14:paraId="7757C222" w14:textId="41EC9982" w:rsidR="000034A7" w:rsidRPr="005841DA" w:rsidRDefault="000034A7">
      <w:pPr>
        <w:pStyle w:val="FootnoteText"/>
        <w:rPr>
          <w:rFonts w:ascii="Times New Roman" w:hAnsi="Times New Roman"/>
        </w:rPr>
      </w:pPr>
      <w:r w:rsidRPr="005841DA">
        <w:rPr>
          <w:rStyle w:val="FootnoteReference"/>
          <w:rFonts w:ascii="Times New Roman" w:hAnsi="Times New Roman"/>
        </w:rPr>
        <w:footnoteRef/>
      </w:r>
      <w:r w:rsidRPr="005841DA">
        <w:rPr>
          <w:rFonts w:ascii="Times New Roman" w:hAnsi="Times New Roman"/>
        </w:rPr>
        <w:t xml:space="preserve"> Eiropas Savienības Tiesas 2024.gada 20.februāra spriedums lietā „X (</w:t>
      </w:r>
      <w:proofErr w:type="spellStart"/>
      <w:r w:rsidRPr="005841DA">
        <w:rPr>
          <w:rFonts w:ascii="Times New Roman" w:hAnsi="Times New Roman"/>
        </w:rPr>
        <w:t>Absence</w:t>
      </w:r>
      <w:proofErr w:type="spellEnd"/>
      <w:r w:rsidRPr="005841DA">
        <w:rPr>
          <w:rFonts w:ascii="Times New Roman" w:hAnsi="Times New Roman"/>
        </w:rPr>
        <w:t xml:space="preserve"> </w:t>
      </w:r>
      <w:proofErr w:type="spellStart"/>
      <w:r w:rsidRPr="005841DA">
        <w:rPr>
          <w:rFonts w:ascii="Times New Roman" w:hAnsi="Times New Roman"/>
        </w:rPr>
        <w:t>de</w:t>
      </w:r>
      <w:proofErr w:type="spellEnd"/>
      <w:r w:rsidRPr="005841DA">
        <w:rPr>
          <w:rFonts w:ascii="Times New Roman" w:hAnsi="Times New Roman"/>
        </w:rPr>
        <w:t xml:space="preserve"> </w:t>
      </w:r>
      <w:proofErr w:type="spellStart"/>
      <w:r w:rsidRPr="005841DA">
        <w:rPr>
          <w:rFonts w:ascii="Times New Roman" w:hAnsi="Times New Roman"/>
        </w:rPr>
        <w:t>motifs</w:t>
      </w:r>
      <w:proofErr w:type="spellEnd"/>
      <w:r w:rsidRPr="005841DA">
        <w:rPr>
          <w:rFonts w:ascii="Times New Roman" w:hAnsi="Times New Roman"/>
        </w:rPr>
        <w:t xml:space="preserve"> </w:t>
      </w:r>
      <w:proofErr w:type="spellStart"/>
      <w:r w:rsidRPr="005841DA">
        <w:rPr>
          <w:rFonts w:ascii="Times New Roman" w:hAnsi="Times New Roman"/>
        </w:rPr>
        <w:t>de</w:t>
      </w:r>
      <w:proofErr w:type="spellEnd"/>
      <w:r w:rsidRPr="005841DA">
        <w:rPr>
          <w:rFonts w:ascii="Times New Roman" w:hAnsi="Times New Roman"/>
        </w:rPr>
        <w:t xml:space="preserve"> </w:t>
      </w:r>
      <w:proofErr w:type="spellStart"/>
      <w:r w:rsidRPr="005841DA">
        <w:rPr>
          <w:rFonts w:ascii="Times New Roman" w:hAnsi="Times New Roman"/>
        </w:rPr>
        <w:t>résiliation</w:t>
      </w:r>
      <w:proofErr w:type="spellEnd"/>
      <w:r w:rsidRPr="005841DA">
        <w:rPr>
          <w:rFonts w:ascii="Times New Roman" w:hAnsi="Times New Roman"/>
        </w:rPr>
        <w:t xml:space="preserve">)”, C-715/20, </w:t>
      </w:r>
      <w:hyperlink r:id="rId8" w:history="1">
        <w:r w:rsidRPr="005841DA">
          <w:rPr>
            <w:rStyle w:val="Hyperlink"/>
            <w:rFonts w:ascii="Times New Roman" w:hAnsi="Times New Roman"/>
          </w:rPr>
          <w:t>ECLI:EU:C:2024:139</w:t>
        </w:r>
      </w:hyperlink>
    </w:p>
  </w:footnote>
  <w:footnote w:id="10">
    <w:p w14:paraId="4A37B09E" w14:textId="77777777" w:rsidR="00477191" w:rsidRPr="005841DA" w:rsidRDefault="00477191" w:rsidP="00477191">
      <w:pPr>
        <w:pStyle w:val="FootnoteText"/>
        <w:rPr>
          <w:rFonts w:ascii="Times New Roman" w:hAnsi="Times New Roman"/>
        </w:rPr>
      </w:pPr>
      <w:r w:rsidRPr="005841DA">
        <w:rPr>
          <w:rStyle w:val="FootnoteReference"/>
          <w:rFonts w:ascii="Times New Roman" w:hAnsi="Times New Roman"/>
        </w:rPr>
        <w:footnoteRef/>
      </w:r>
      <w:r w:rsidRPr="005841DA">
        <w:rPr>
          <w:rFonts w:ascii="Times New Roman" w:hAnsi="Times New Roman"/>
        </w:rPr>
        <w:t xml:space="preserve"> Eiropas Savienības Tiesas 2020.gada 11.jūnija spriedums lietā „KOB”, C-206/19, </w:t>
      </w:r>
      <w:hyperlink r:id="rId9" w:history="1">
        <w:r w:rsidRPr="005841DA">
          <w:rPr>
            <w:rStyle w:val="Hyperlink"/>
            <w:rFonts w:ascii="Times New Roman" w:hAnsi="Times New Roman"/>
          </w:rPr>
          <w:t>ECLI:EU:C:2020:463</w:t>
        </w:r>
      </w:hyperlink>
    </w:p>
  </w:footnote>
  <w:footnote w:id="11">
    <w:p w14:paraId="64E4D088" w14:textId="77777777" w:rsidR="001A2AF0" w:rsidRPr="005841DA" w:rsidRDefault="001A2AF0" w:rsidP="001A2AF0">
      <w:pPr>
        <w:pStyle w:val="FootnoteText"/>
        <w:rPr>
          <w:rFonts w:ascii="Times New Roman" w:hAnsi="Times New Roman"/>
        </w:rPr>
      </w:pPr>
      <w:r w:rsidRPr="005841DA">
        <w:rPr>
          <w:rStyle w:val="FootnoteReference"/>
          <w:rFonts w:ascii="Times New Roman" w:hAnsi="Times New Roman"/>
        </w:rPr>
        <w:footnoteRef/>
      </w:r>
      <w:r w:rsidRPr="005841DA">
        <w:rPr>
          <w:rFonts w:ascii="Times New Roman" w:hAnsi="Times New Roman"/>
        </w:rPr>
        <w:t xml:space="preserve"> Eiropas Savienības Tiesas 2013.gada 10.janvāra rīkojums lietā „Brunovskis”, C-650/11, </w:t>
      </w:r>
      <w:hyperlink r:id="rId10" w:history="1">
        <w:r w:rsidRPr="005841DA">
          <w:rPr>
            <w:rStyle w:val="Hyperlink"/>
            <w:rFonts w:ascii="Times New Roman" w:hAnsi="Times New Roman"/>
          </w:rPr>
          <w:t>ECLI:EU:C:2013:7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96151" w14:textId="77777777" w:rsidR="00396143" w:rsidRDefault="00396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98668" w14:textId="77777777" w:rsidR="00396143" w:rsidRDefault="00396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BC0D" w14:textId="77777777" w:rsidR="00396143" w:rsidRDefault="00396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05DFA"/>
    <w:multiLevelType w:val="hybridMultilevel"/>
    <w:tmpl w:val="883E2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772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0E"/>
    <w:rsid w:val="000034A7"/>
    <w:rsid w:val="00010D43"/>
    <w:rsid w:val="000203FC"/>
    <w:rsid w:val="00035AFE"/>
    <w:rsid w:val="00084B60"/>
    <w:rsid w:val="000A2A69"/>
    <w:rsid w:val="000D1249"/>
    <w:rsid w:val="000D2300"/>
    <w:rsid w:val="000F2C26"/>
    <w:rsid w:val="001534D3"/>
    <w:rsid w:val="00155D79"/>
    <w:rsid w:val="0018496E"/>
    <w:rsid w:val="001A2AF0"/>
    <w:rsid w:val="00202432"/>
    <w:rsid w:val="00243E42"/>
    <w:rsid w:val="00251736"/>
    <w:rsid w:val="002A78C1"/>
    <w:rsid w:val="002B1CB3"/>
    <w:rsid w:val="002B436C"/>
    <w:rsid w:val="002F6DFF"/>
    <w:rsid w:val="0038220A"/>
    <w:rsid w:val="003941DE"/>
    <w:rsid w:val="00396143"/>
    <w:rsid w:val="003C07A7"/>
    <w:rsid w:val="003C1EA9"/>
    <w:rsid w:val="003C42E8"/>
    <w:rsid w:val="003D62A2"/>
    <w:rsid w:val="003E2906"/>
    <w:rsid w:val="003F7413"/>
    <w:rsid w:val="003F78E1"/>
    <w:rsid w:val="00411008"/>
    <w:rsid w:val="00477191"/>
    <w:rsid w:val="004A37E4"/>
    <w:rsid w:val="004B1E96"/>
    <w:rsid w:val="004D463E"/>
    <w:rsid w:val="004F7835"/>
    <w:rsid w:val="00514297"/>
    <w:rsid w:val="00515061"/>
    <w:rsid w:val="00540995"/>
    <w:rsid w:val="00546592"/>
    <w:rsid w:val="00546E92"/>
    <w:rsid w:val="00570899"/>
    <w:rsid w:val="005841DA"/>
    <w:rsid w:val="00595520"/>
    <w:rsid w:val="005F4523"/>
    <w:rsid w:val="006615E4"/>
    <w:rsid w:val="006951E6"/>
    <w:rsid w:val="0070473F"/>
    <w:rsid w:val="00706AB0"/>
    <w:rsid w:val="00747541"/>
    <w:rsid w:val="00790CCF"/>
    <w:rsid w:val="008246FA"/>
    <w:rsid w:val="00853DCC"/>
    <w:rsid w:val="008E174B"/>
    <w:rsid w:val="00903B2F"/>
    <w:rsid w:val="00927635"/>
    <w:rsid w:val="00974EE5"/>
    <w:rsid w:val="009A1516"/>
    <w:rsid w:val="009C34B2"/>
    <w:rsid w:val="009E1AC1"/>
    <w:rsid w:val="00A103DF"/>
    <w:rsid w:val="00A74DEC"/>
    <w:rsid w:val="00A86743"/>
    <w:rsid w:val="00AA10B6"/>
    <w:rsid w:val="00AB4454"/>
    <w:rsid w:val="00AF57B5"/>
    <w:rsid w:val="00B009E3"/>
    <w:rsid w:val="00B02440"/>
    <w:rsid w:val="00B172E3"/>
    <w:rsid w:val="00B43986"/>
    <w:rsid w:val="00B538CD"/>
    <w:rsid w:val="00B833C3"/>
    <w:rsid w:val="00B90B35"/>
    <w:rsid w:val="00BC1E13"/>
    <w:rsid w:val="00BC7C03"/>
    <w:rsid w:val="00C01BA6"/>
    <w:rsid w:val="00C2662C"/>
    <w:rsid w:val="00C85FC5"/>
    <w:rsid w:val="00CB43A8"/>
    <w:rsid w:val="00CC11E9"/>
    <w:rsid w:val="00CD4564"/>
    <w:rsid w:val="00CE476F"/>
    <w:rsid w:val="00CE5FC6"/>
    <w:rsid w:val="00D05AD4"/>
    <w:rsid w:val="00D72EA2"/>
    <w:rsid w:val="00D90688"/>
    <w:rsid w:val="00DA686B"/>
    <w:rsid w:val="00DC0911"/>
    <w:rsid w:val="00E030E2"/>
    <w:rsid w:val="00E14582"/>
    <w:rsid w:val="00E34004"/>
    <w:rsid w:val="00E8371F"/>
    <w:rsid w:val="00E8400E"/>
    <w:rsid w:val="00E91A15"/>
    <w:rsid w:val="00EC5135"/>
    <w:rsid w:val="00ED6D3C"/>
    <w:rsid w:val="00EE4962"/>
    <w:rsid w:val="00F0518F"/>
    <w:rsid w:val="00F142BA"/>
    <w:rsid w:val="00F42362"/>
    <w:rsid w:val="00F52AB9"/>
    <w:rsid w:val="00F90CF3"/>
    <w:rsid w:val="00F91A1E"/>
    <w:rsid w:val="00FA6574"/>
    <w:rsid w:val="00FA73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A21E"/>
  <w15:chartTrackingRefBased/>
  <w15:docId w15:val="{6487E373-3B28-4E24-ADED-56D5ABA3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33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3C3"/>
    <w:rPr>
      <w:sz w:val="20"/>
      <w:szCs w:val="20"/>
      <w:lang w:val="lv-LV"/>
    </w:rPr>
  </w:style>
  <w:style w:type="character" w:styleId="FootnoteReference">
    <w:name w:val="footnote reference"/>
    <w:basedOn w:val="DefaultParagraphFont"/>
    <w:uiPriority w:val="99"/>
    <w:semiHidden/>
    <w:unhideWhenUsed/>
    <w:rsid w:val="00B833C3"/>
    <w:rPr>
      <w:vertAlign w:val="superscript"/>
    </w:rPr>
  </w:style>
  <w:style w:type="character" w:styleId="Hyperlink">
    <w:name w:val="Hyperlink"/>
    <w:basedOn w:val="DefaultParagraphFont"/>
    <w:uiPriority w:val="99"/>
    <w:unhideWhenUsed/>
    <w:rsid w:val="00B833C3"/>
    <w:rPr>
      <w:color w:val="0563C1" w:themeColor="hyperlink"/>
      <w:u w:val="single"/>
    </w:rPr>
  </w:style>
  <w:style w:type="character" w:styleId="UnresolvedMention">
    <w:name w:val="Unresolved Mention"/>
    <w:basedOn w:val="DefaultParagraphFont"/>
    <w:uiPriority w:val="99"/>
    <w:semiHidden/>
    <w:unhideWhenUsed/>
    <w:rsid w:val="00B833C3"/>
    <w:rPr>
      <w:color w:val="605E5C"/>
      <w:shd w:val="clear" w:color="auto" w:fill="E1DFDD"/>
    </w:rPr>
  </w:style>
  <w:style w:type="paragraph" w:styleId="Header">
    <w:name w:val="header"/>
    <w:basedOn w:val="Normal"/>
    <w:link w:val="HeaderChar"/>
    <w:uiPriority w:val="99"/>
    <w:unhideWhenUsed/>
    <w:rsid w:val="003961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6143"/>
    <w:rPr>
      <w:lang w:val="lv-LV"/>
    </w:rPr>
  </w:style>
  <w:style w:type="paragraph" w:styleId="Footer">
    <w:name w:val="footer"/>
    <w:basedOn w:val="Normal"/>
    <w:link w:val="FooterChar"/>
    <w:uiPriority w:val="99"/>
    <w:unhideWhenUsed/>
    <w:rsid w:val="003961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6143"/>
    <w:rPr>
      <w:lang w:val="lv-LV"/>
    </w:rPr>
  </w:style>
  <w:style w:type="character" w:styleId="CommentReference">
    <w:name w:val="annotation reference"/>
    <w:basedOn w:val="DefaultParagraphFont"/>
    <w:uiPriority w:val="99"/>
    <w:semiHidden/>
    <w:unhideWhenUsed/>
    <w:rsid w:val="00706AB0"/>
    <w:rPr>
      <w:sz w:val="16"/>
      <w:szCs w:val="16"/>
    </w:rPr>
  </w:style>
  <w:style w:type="paragraph" w:styleId="CommentText">
    <w:name w:val="annotation text"/>
    <w:basedOn w:val="Normal"/>
    <w:link w:val="CommentTextChar"/>
    <w:uiPriority w:val="99"/>
    <w:semiHidden/>
    <w:unhideWhenUsed/>
    <w:rsid w:val="00706AB0"/>
    <w:pPr>
      <w:spacing w:line="240" w:lineRule="auto"/>
    </w:pPr>
    <w:rPr>
      <w:sz w:val="20"/>
      <w:szCs w:val="20"/>
    </w:rPr>
  </w:style>
  <w:style w:type="character" w:customStyle="1" w:styleId="CommentTextChar">
    <w:name w:val="Comment Text Char"/>
    <w:basedOn w:val="DefaultParagraphFont"/>
    <w:link w:val="CommentText"/>
    <w:uiPriority w:val="99"/>
    <w:semiHidden/>
    <w:rsid w:val="00706AB0"/>
    <w:rPr>
      <w:sz w:val="20"/>
      <w:szCs w:val="20"/>
      <w:lang w:val="lv-LV"/>
    </w:rPr>
  </w:style>
  <w:style w:type="paragraph" w:styleId="CommentSubject">
    <w:name w:val="annotation subject"/>
    <w:basedOn w:val="CommentText"/>
    <w:next w:val="CommentText"/>
    <w:link w:val="CommentSubjectChar"/>
    <w:uiPriority w:val="99"/>
    <w:semiHidden/>
    <w:unhideWhenUsed/>
    <w:rsid w:val="00706AB0"/>
    <w:rPr>
      <w:b/>
      <w:bCs/>
    </w:rPr>
  </w:style>
  <w:style w:type="character" w:customStyle="1" w:styleId="CommentSubjectChar">
    <w:name w:val="Comment Subject Char"/>
    <w:basedOn w:val="CommentTextChar"/>
    <w:link w:val="CommentSubject"/>
    <w:uiPriority w:val="99"/>
    <w:semiHidden/>
    <w:rsid w:val="00706AB0"/>
    <w:rPr>
      <w:b/>
      <w:bCs/>
      <w:sz w:val="20"/>
      <w:szCs w:val="20"/>
      <w:lang w:val="lv-LV"/>
    </w:rPr>
  </w:style>
  <w:style w:type="paragraph" w:styleId="ListParagraph">
    <w:name w:val="List Paragraph"/>
    <w:basedOn w:val="Normal"/>
    <w:uiPriority w:val="34"/>
    <w:qFormat/>
    <w:rsid w:val="004A37E4"/>
    <w:pPr>
      <w:ind w:left="720"/>
      <w:contextualSpacing/>
    </w:pPr>
  </w:style>
  <w:style w:type="paragraph" w:styleId="Revision">
    <w:name w:val="Revision"/>
    <w:hidden/>
    <w:uiPriority w:val="99"/>
    <w:semiHidden/>
    <w:rsid w:val="00E91A15"/>
    <w:pPr>
      <w:spacing w:after="0" w:line="240" w:lineRule="auto"/>
    </w:pPr>
    <w:rPr>
      <w:lang w:val="lv-LV"/>
    </w:rPr>
  </w:style>
  <w:style w:type="paragraph" w:styleId="EndnoteText">
    <w:name w:val="endnote text"/>
    <w:basedOn w:val="Normal"/>
    <w:link w:val="EndnoteTextChar"/>
    <w:uiPriority w:val="99"/>
    <w:semiHidden/>
    <w:unhideWhenUsed/>
    <w:rsid w:val="003941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41DE"/>
    <w:rPr>
      <w:sz w:val="20"/>
      <w:szCs w:val="20"/>
      <w:lang w:val="lv-LV"/>
    </w:rPr>
  </w:style>
  <w:style w:type="character" w:styleId="EndnoteReference">
    <w:name w:val="endnote reference"/>
    <w:basedOn w:val="DefaultParagraphFont"/>
    <w:uiPriority w:val="99"/>
    <w:semiHidden/>
    <w:unhideWhenUsed/>
    <w:rsid w:val="00394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1519">
      <w:bodyDiv w:val="1"/>
      <w:marLeft w:val="0"/>
      <w:marRight w:val="0"/>
      <w:marTop w:val="0"/>
      <w:marBottom w:val="0"/>
      <w:divBdr>
        <w:top w:val="none" w:sz="0" w:space="0" w:color="auto"/>
        <w:left w:val="none" w:sz="0" w:space="0" w:color="auto"/>
        <w:bottom w:val="none" w:sz="0" w:space="0" w:color="auto"/>
        <w:right w:val="none" w:sz="0" w:space="0" w:color="auto"/>
      </w:divBdr>
    </w:div>
    <w:div w:id="918636783">
      <w:bodyDiv w:val="1"/>
      <w:marLeft w:val="0"/>
      <w:marRight w:val="0"/>
      <w:marTop w:val="0"/>
      <w:marBottom w:val="0"/>
      <w:divBdr>
        <w:top w:val="none" w:sz="0" w:space="0" w:color="auto"/>
        <w:left w:val="none" w:sz="0" w:space="0" w:color="auto"/>
        <w:bottom w:val="none" w:sz="0" w:space="0" w:color="auto"/>
        <w:right w:val="none" w:sz="0" w:space="0" w:color="auto"/>
      </w:divBdr>
    </w:div>
    <w:div w:id="1337922707">
      <w:bodyDiv w:val="1"/>
      <w:marLeft w:val="0"/>
      <w:marRight w:val="0"/>
      <w:marTop w:val="0"/>
      <w:marBottom w:val="0"/>
      <w:divBdr>
        <w:top w:val="none" w:sz="0" w:space="0" w:color="auto"/>
        <w:left w:val="none" w:sz="0" w:space="0" w:color="auto"/>
        <w:bottom w:val="none" w:sz="0" w:space="0" w:color="auto"/>
        <w:right w:val="none" w:sz="0" w:space="0" w:color="auto"/>
      </w:divBdr>
    </w:div>
    <w:div w:id="1602302810">
      <w:bodyDiv w:val="1"/>
      <w:marLeft w:val="0"/>
      <w:marRight w:val="0"/>
      <w:marTop w:val="0"/>
      <w:marBottom w:val="0"/>
      <w:divBdr>
        <w:top w:val="none" w:sz="0" w:space="0" w:color="auto"/>
        <w:left w:val="none" w:sz="0" w:space="0" w:color="auto"/>
        <w:bottom w:val="none" w:sz="0" w:space="0" w:color="auto"/>
        <w:right w:val="none" w:sz="0" w:space="0" w:color="auto"/>
      </w:divBdr>
    </w:div>
    <w:div w:id="16650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uria.europa.eu/juris/document/document.jsf?text=&amp;docid=282942&amp;pageIndex=0&amp;doclang=LV&amp;mode=lst&amp;dir=&amp;occ=first&amp;part=1&amp;cid=3609371" TargetMode="External"/><Relationship Id="rId3" Type="http://schemas.openxmlformats.org/officeDocument/2006/relationships/hyperlink" Target="https://curia.europa.eu/juris/document/document.jsf?text=&amp;docid=71495&amp;pageIndex=0&amp;doclang=LV&amp;mode=lst&amp;dir=&amp;occ=first&amp;part=1&amp;cid=2320819" TargetMode="External"/><Relationship Id="rId7" Type="http://schemas.openxmlformats.org/officeDocument/2006/relationships/hyperlink" Target="https://ec.europa.eu/social/main.jsp?catId=471" TargetMode="External"/><Relationship Id="rId2" Type="http://schemas.openxmlformats.org/officeDocument/2006/relationships/hyperlink" Target="https://www.at.gov.lv/downloadlawfile/9587" TargetMode="External"/><Relationship Id="rId1" Type="http://schemas.openxmlformats.org/officeDocument/2006/relationships/hyperlink" Target="https://www.at.gov.lv/downloadlawfile/8216" TargetMode="External"/><Relationship Id="rId6" Type="http://schemas.openxmlformats.org/officeDocument/2006/relationships/hyperlink" Target="https://europa.eu/youreurope/citizens/work/work-abroad/posted-workers/index_en.htm" TargetMode="External"/><Relationship Id="rId5" Type="http://schemas.openxmlformats.org/officeDocument/2006/relationships/hyperlink" Target="https://curia.europa.eu/juris/document/document.jsf?text=&amp;docid=247052&amp;pageIndex=0&amp;doclang=lv&amp;mode=lst&amp;dir=&amp;occ=first&amp;part=1&amp;cid=3594971" TargetMode="External"/><Relationship Id="rId10" Type="http://schemas.openxmlformats.org/officeDocument/2006/relationships/hyperlink" Target="https://curia.europa.eu/juris/document/document.jsf?text=&amp;docid=132503&amp;pageIndex=0&amp;doclang=LV&amp;mode=lst&amp;dir=&amp;occ=first&amp;part=1&amp;cid=3604827" TargetMode="External"/><Relationship Id="rId4" Type="http://schemas.openxmlformats.org/officeDocument/2006/relationships/hyperlink" Target="https://curia.europa.eu/juris/document/document.jsf?text=&amp;docid=71925&amp;pageIndex=0&amp;doclang=LV&amp;mode=lst&amp;dir=&amp;occ=first&amp;part=1&amp;cid=2320634" TargetMode="External"/><Relationship Id="rId9" Type="http://schemas.openxmlformats.org/officeDocument/2006/relationships/hyperlink" Target="https://curia.europa.eu/juris/document/document.jsf?text=&amp;docid=227290&amp;pageIndex=0&amp;doclang=LV&amp;mode=lst&amp;dir=&amp;occ=first&amp;part=1&amp;cid=3603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D0740-A653-4157-8D60-EE8A5163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8917</Words>
  <Characters>5083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Zikmane</dc:creator>
  <cp:keywords/>
  <dc:description/>
  <cp:lastModifiedBy>Iveta Jaudzema</cp:lastModifiedBy>
  <cp:revision>3</cp:revision>
  <dcterms:created xsi:type="dcterms:W3CDTF">2024-05-02T13:32:00Z</dcterms:created>
  <dcterms:modified xsi:type="dcterms:W3CDTF">2024-05-07T10:42:00Z</dcterms:modified>
</cp:coreProperties>
</file>