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0068" w14:textId="48504A79" w:rsidR="00B510A0" w:rsidRPr="00F14EF6" w:rsidRDefault="00B510A0" w:rsidP="00B15B36">
      <w:pPr>
        <w:ind w:right="340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bookmarkStart w:id="0" w:name="_Hlk19699582"/>
      <w:r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Aktuālās tēmas stud</w:t>
      </w:r>
      <w:r w:rsidR="007374BD"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iju </w:t>
      </w:r>
      <w:r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darbiem 20</w:t>
      </w:r>
      <w:r w:rsidR="00650CC6"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</w:t>
      </w:r>
      <w:r w:rsidR="001C10EE"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</w:t>
      </w:r>
      <w:r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/20</w:t>
      </w:r>
      <w:r w:rsidR="00D31736"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</w:t>
      </w:r>
      <w:r w:rsidR="001C10EE"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5</w:t>
      </w:r>
    </w:p>
    <w:p w14:paraId="633D2922" w14:textId="77777777" w:rsidR="00866DF1" w:rsidRPr="00F14EF6" w:rsidRDefault="00866DF1" w:rsidP="00B15B36">
      <w:pPr>
        <w:ind w:right="340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</w:rPr>
      </w:pPr>
    </w:p>
    <w:p w14:paraId="3AD757EF" w14:textId="13C83A0A" w:rsidR="00B510A0" w:rsidRPr="00F14EF6" w:rsidRDefault="002F51A2" w:rsidP="00B15B36">
      <w:pPr>
        <w:ind w:right="340"/>
        <w:jc w:val="both"/>
        <w:rPr>
          <w:rFonts w:asciiTheme="majorBidi" w:hAnsiTheme="majorBidi" w:cstheme="majorBidi"/>
          <w:bCs/>
          <w:sz w:val="24"/>
          <w:szCs w:val="24"/>
          <w:shd w:val="clear" w:color="auto" w:fill="FFFFFF"/>
        </w:rPr>
      </w:pPr>
      <w:r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Augstākā tiesa ir </w:t>
      </w:r>
      <w:r w:rsidR="00B510A0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sagatavojusi piedāvājumu iespējam</w:t>
      </w:r>
      <w:r w:rsidR="007374BD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ā</w:t>
      </w:r>
      <w:r w:rsidR="00B510A0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m </w:t>
      </w:r>
      <w:r w:rsidR="007374BD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studiju darbu </w:t>
      </w:r>
      <w:r w:rsidR="00866DF1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tēmām</w:t>
      </w:r>
      <w:r w:rsidR="00B510A0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, kuru pētniecībā interesantu pienesumu dotu arī </w:t>
      </w:r>
      <w:r w:rsidR="00B41198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Senāta </w:t>
      </w:r>
      <w:r w:rsidR="00B510A0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nolēmumos paustās atziņas. </w:t>
      </w:r>
      <w:r w:rsidR="007374BD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Informācija, kā meklēt Senāta nolēmumus publicēta </w:t>
      </w:r>
      <w:r w:rsidR="00B510A0" w:rsidRPr="00173C82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Augstākās tiesas </w:t>
      </w:r>
      <w:r w:rsidR="00B41198" w:rsidRPr="00173C82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tīmekļvietn</w:t>
      </w:r>
      <w:r w:rsidR="007374BD" w:rsidRPr="00173C82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ē.</w:t>
      </w:r>
      <w:r w:rsidR="007374BD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</w:t>
      </w:r>
      <w:r w:rsidR="00B41198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</w:t>
      </w:r>
      <w:r w:rsidR="00866DF1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Vēršam uzmanību, ka </w:t>
      </w:r>
      <w:r w:rsidR="002E4355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ieteiktajās </w:t>
      </w:r>
      <w:r w:rsidR="00866DF1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tēm</w:t>
      </w:r>
      <w:r w:rsidR="002E4355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ās</w:t>
      </w:r>
      <w:r w:rsidR="00866DF1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būtiskas atziņas meklējamas arī Eiropas Savienības Tiesas </w:t>
      </w:r>
      <w:r w:rsidR="007374BD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un</w:t>
      </w:r>
      <w:r w:rsidR="00866DF1" w:rsidRPr="00F14EF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Eiropas Cilvēktiesību tiesas nolēmumos.</w:t>
      </w:r>
    </w:p>
    <w:p w14:paraId="6113D65D" w14:textId="5CF8BF00" w:rsidR="00B510A0" w:rsidRPr="00F14EF6" w:rsidRDefault="00B510A0" w:rsidP="00B15B36">
      <w:pPr>
        <w:ind w:right="340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4DC4472E" w14:textId="3E6A15D9" w:rsidR="004227E3" w:rsidRPr="00F14EF6" w:rsidRDefault="002A4337" w:rsidP="00B15B36">
      <w:pPr>
        <w:ind w:right="340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Aktualitātes tiesvedībā un Senātā</w:t>
      </w:r>
    </w:p>
    <w:p w14:paraId="21BF0B77" w14:textId="4FD9E10E" w:rsidR="00D31736" w:rsidRPr="00F14EF6" w:rsidRDefault="002A4337" w:rsidP="00B15B36">
      <w:pPr>
        <w:pStyle w:val="ListParagraph"/>
        <w:numPr>
          <w:ilvl w:val="0"/>
          <w:numId w:val="5"/>
        </w:numPr>
        <w:spacing w:after="0" w:line="240" w:lineRule="auto"/>
        <w:ind w:right="340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  <w:r w:rsidRPr="00F14EF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K</w:t>
      </w:r>
      <w:r w:rsidR="00D31736" w:rsidRPr="00F14EF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asācijas tiesvedība un process kasācijas instancē (</w:t>
      </w:r>
      <w:r w:rsidR="003C61FE" w:rsidRPr="00F14EF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procesuālo tiesību salīdzinošā analīze</w:t>
      </w:r>
      <w:r w:rsidR="00D31736" w:rsidRPr="00F14EF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)</w:t>
      </w:r>
    </w:p>
    <w:p w14:paraId="1F17B1A9" w14:textId="5ECCC148" w:rsidR="003C61FE" w:rsidRPr="00F14EF6" w:rsidRDefault="003C61FE" w:rsidP="00B15B36">
      <w:pPr>
        <w:pStyle w:val="ListParagraph"/>
        <w:numPr>
          <w:ilvl w:val="0"/>
          <w:numId w:val="5"/>
        </w:numPr>
        <w:spacing w:after="0" w:line="240" w:lineRule="auto"/>
        <w:ind w:right="340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  <w:r w:rsidRPr="00F14EF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Kasācijas instances nozīme tiesību uz taisnīgu tiesu garantēšanā</w:t>
      </w:r>
    </w:p>
    <w:p w14:paraId="2ECBFF72" w14:textId="77777777" w:rsidR="00F14EF6" w:rsidRPr="00F14EF6" w:rsidRDefault="00F14EF6" w:rsidP="00F14EF6">
      <w:pPr>
        <w:pStyle w:val="ListParagraph"/>
        <w:numPr>
          <w:ilvl w:val="0"/>
          <w:numId w:val="5"/>
        </w:numPr>
        <w:spacing w:after="0" w:line="240" w:lineRule="auto"/>
        <w:ind w:right="34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14EF6">
        <w:rPr>
          <w:rFonts w:asciiTheme="majorBidi" w:hAnsiTheme="majorBidi" w:cstheme="majorBidi"/>
          <w:sz w:val="24"/>
          <w:szCs w:val="24"/>
          <w:shd w:val="clear" w:color="auto" w:fill="FFFFFF"/>
        </w:rPr>
        <w:t>Atteikuma ierosināt kasācijas tiesvedību nozīme tiesisko attiecību taisnīgā noregulējumā</w:t>
      </w:r>
    </w:p>
    <w:p w14:paraId="40A0604C" w14:textId="77777777" w:rsidR="00F14EF6" w:rsidRPr="00F14EF6" w:rsidRDefault="00F14EF6" w:rsidP="00F14EF6">
      <w:pPr>
        <w:pStyle w:val="ListParagraph"/>
        <w:numPr>
          <w:ilvl w:val="0"/>
          <w:numId w:val="5"/>
        </w:numPr>
        <w:spacing w:after="0" w:line="240" w:lineRule="auto"/>
        <w:ind w:right="34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14E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Procesuālās ekonomijas principa tvērums un piemērošanas iespējas tiesību uz taisnīgu tiesu kontekstā </w:t>
      </w:r>
    </w:p>
    <w:p w14:paraId="639B174D" w14:textId="77777777" w:rsidR="00F14EF6" w:rsidRPr="00F14EF6" w:rsidRDefault="00F14EF6" w:rsidP="00F14EF6">
      <w:pPr>
        <w:pStyle w:val="ListParagraph"/>
        <w:numPr>
          <w:ilvl w:val="0"/>
          <w:numId w:val="5"/>
        </w:numPr>
        <w:spacing w:after="0" w:line="240" w:lineRule="auto"/>
        <w:ind w:right="34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14EF6">
        <w:rPr>
          <w:rFonts w:asciiTheme="majorBidi" w:hAnsiTheme="majorBidi" w:cstheme="majorBidi"/>
          <w:sz w:val="24"/>
          <w:szCs w:val="24"/>
          <w:shd w:val="clear" w:color="auto" w:fill="FFFFFF"/>
        </w:rPr>
        <w:t>Tiesu dialoga nozīme personas tiesību uz taisnīgu tiesu garantēšanā</w:t>
      </w:r>
    </w:p>
    <w:p w14:paraId="0CC40E56" w14:textId="701FD5F9" w:rsidR="003C61FE" w:rsidRPr="00F14EF6" w:rsidRDefault="003C61FE" w:rsidP="00B15B36">
      <w:pPr>
        <w:pStyle w:val="ListParagraph"/>
        <w:numPr>
          <w:ilvl w:val="0"/>
          <w:numId w:val="5"/>
        </w:numPr>
        <w:spacing w:after="0" w:line="240" w:lineRule="auto"/>
        <w:ind w:right="340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  <w:r w:rsidRPr="00F14EF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Argumentācijas tehnika Senāta nolēmumos</w:t>
      </w:r>
    </w:p>
    <w:p w14:paraId="5866B123" w14:textId="773DB118" w:rsidR="003C61FE" w:rsidRPr="00F14EF6" w:rsidRDefault="003C61FE" w:rsidP="00B15B36">
      <w:pPr>
        <w:pStyle w:val="ListParagraph"/>
        <w:numPr>
          <w:ilvl w:val="0"/>
          <w:numId w:val="5"/>
        </w:numPr>
        <w:spacing w:after="0" w:line="240" w:lineRule="auto"/>
        <w:ind w:right="340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  <w:r w:rsidRPr="00F14EF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Senāta nolēmumos izmantotās juridiskās metode</w:t>
      </w:r>
      <w:r w:rsidR="000A2D6B" w:rsidRPr="00F14EF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s</w:t>
      </w:r>
    </w:p>
    <w:p w14:paraId="1F40B35D" w14:textId="47C784EB" w:rsidR="000A2D6B" w:rsidRPr="00F14EF6" w:rsidRDefault="00325258" w:rsidP="00B15B3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 xml:space="preserve">Vispārējo tiesību principu izmantošana </w:t>
      </w:r>
      <w:r w:rsidR="000A2D6B" w:rsidRPr="00F14EF6">
        <w:rPr>
          <w:rFonts w:asciiTheme="majorBidi" w:hAnsiTheme="majorBidi" w:cstheme="majorBidi"/>
          <w:sz w:val="24"/>
          <w:szCs w:val="24"/>
        </w:rPr>
        <w:t>Senāta nolēmumu argumentācijā</w:t>
      </w:r>
    </w:p>
    <w:p w14:paraId="7FEF5B4B" w14:textId="77777777" w:rsidR="00F14EF6" w:rsidRPr="00F14EF6" w:rsidRDefault="000A2D6B" w:rsidP="00044E8C">
      <w:pPr>
        <w:pStyle w:val="ListParagraph"/>
        <w:numPr>
          <w:ilvl w:val="0"/>
          <w:numId w:val="5"/>
        </w:numPr>
        <w:spacing w:after="0" w:line="240" w:lineRule="auto"/>
        <w:ind w:right="34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14EF6">
        <w:rPr>
          <w:rFonts w:asciiTheme="majorBidi" w:hAnsiTheme="majorBidi" w:cstheme="majorBidi"/>
          <w:sz w:val="24"/>
          <w:szCs w:val="24"/>
        </w:rPr>
        <w:t xml:space="preserve">Eiropas Cilvēktiesību tiesas / Eiropas Savienības </w:t>
      </w:r>
      <w:r w:rsidR="007374BD" w:rsidRPr="00F14EF6">
        <w:rPr>
          <w:rFonts w:asciiTheme="majorBidi" w:hAnsiTheme="majorBidi" w:cstheme="majorBidi"/>
          <w:sz w:val="24"/>
          <w:szCs w:val="24"/>
        </w:rPr>
        <w:t>T</w:t>
      </w:r>
      <w:r w:rsidRPr="00F14EF6">
        <w:rPr>
          <w:rFonts w:asciiTheme="majorBidi" w:hAnsiTheme="majorBidi" w:cstheme="majorBidi"/>
          <w:sz w:val="24"/>
          <w:szCs w:val="24"/>
        </w:rPr>
        <w:t>iesas judikatūras izmantojums Senāta nolēmumu argumentācijā</w:t>
      </w:r>
    </w:p>
    <w:p w14:paraId="1D28FA51" w14:textId="123E6D2F" w:rsidR="00650CC6" w:rsidRPr="00F14EF6" w:rsidRDefault="00615401" w:rsidP="00044E8C">
      <w:pPr>
        <w:pStyle w:val="ListParagraph"/>
        <w:numPr>
          <w:ilvl w:val="0"/>
          <w:numId w:val="5"/>
        </w:numPr>
        <w:spacing w:after="0" w:line="240" w:lineRule="auto"/>
        <w:ind w:right="34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14EF6">
        <w:rPr>
          <w:rFonts w:asciiTheme="majorBidi" w:hAnsiTheme="majorBidi" w:cstheme="majorBidi"/>
          <w:sz w:val="24"/>
          <w:szCs w:val="24"/>
        </w:rPr>
        <w:t>Tiesību doktrīnas / ārvalstu tiesu prakses / ieteikuma tiesību (</w:t>
      </w:r>
      <w:proofErr w:type="spellStart"/>
      <w:r w:rsidRPr="00F14EF6">
        <w:rPr>
          <w:rFonts w:asciiTheme="majorBidi" w:hAnsiTheme="majorBidi" w:cstheme="majorBidi"/>
          <w:sz w:val="24"/>
          <w:szCs w:val="24"/>
        </w:rPr>
        <w:t>soft</w:t>
      </w:r>
      <w:proofErr w:type="spellEnd"/>
      <w:r w:rsidRPr="00F14EF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4EF6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F14EF6">
        <w:rPr>
          <w:rFonts w:asciiTheme="majorBidi" w:hAnsiTheme="majorBidi" w:cstheme="majorBidi"/>
          <w:sz w:val="24"/>
          <w:szCs w:val="24"/>
        </w:rPr>
        <w:t>) izmantojums Senāta nolēmumos</w:t>
      </w:r>
    </w:p>
    <w:p w14:paraId="6CACDEE7" w14:textId="77777777" w:rsidR="00615401" w:rsidRPr="00F14EF6" w:rsidRDefault="00615401" w:rsidP="00615401">
      <w:pPr>
        <w:pStyle w:val="ListParagraph"/>
        <w:spacing w:after="0" w:line="240" w:lineRule="auto"/>
        <w:ind w:left="786" w:right="340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3983F861" w14:textId="7AE8ACE3" w:rsidR="00B510A0" w:rsidRPr="00F14EF6" w:rsidRDefault="00B510A0" w:rsidP="00B15B36">
      <w:pPr>
        <w:ind w:right="340"/>
        <w:rPr>
          <w:rFonts w:asciiTheme="majorBidi" w:hAnsiTheme="majorBidi" w:cstheme="majorBidi"/>
          <w:b/>
          <w:bCs/>
          <w:strike/>
          <w:sz w:val="24"/>
          <w:szCs w:val="24"/>
          <w:shd w:val="clear" w:color="auto" w:fill="FFFFFF"/>
        </w:rPr>
      </w:pPr>
      <w:r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Krimināltiesības un kriminālprocess</w:t>
      </w:r>
    </w:p>
    <w:p w14:paraId="2B0473DB" w14:textId="77777777" w:rsidR="00325258" w:rsidRPr="00F14EF6" w:rsidRDefault="00325258" w:rsidP="00B15B36">
      <w:pPr>
        <w:numPr>
          <w:ilvl w:val="0"/>
          <w:numId w:val="6"/>
        </w:numPr>
        <w:ind w:right="34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14EF6">
        <w:rPr>
          <w:rFonts w:asciiTheme="majorBidi" w:eastAsia="Times New Roman" w:hAnsiTheme="majorBidi" w:cstheme="majorBidi"/>
          <w:sz w:val="24"/>
          <w:szCs w:val="24"/>
        </w:rPr>
        <w:t xml:space="preserve">Tiesisks un pamatots tiesas nolēmums Kriminālprocesa likuma 511. panta otrās daļas un 512. panta pirmās daļas izpratnē </w:t>
      </w:r>
    </w:p>
    <w:p w14:paraId="661ACB78" w14:textId="4473FA8B" w:rsidR="00325258" w:rsidRPr="00F14EF6" w:rsidRDefault="00325258" w:rsidP="00B15B36">
      <w:pPr>
        <w:numPr>
          <w:ilvl w:val="0"/>
          <w:numId w:val="6"/>
        </w:numPr>
        <w:ind w:right="34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14EF6">
        <w:rPr>
          <w:rFonts w:asciiTheme="majorBidi" w:eastAsia="Times New Roman" w:hAnsiTheme="majorBidi" w:cstheme="majorBidi"/>
          <w:sz w:val="24"/>
          <w:szCs w:val="24"/>
        </w:rPr>
        <w:t>T</w:t>
      </w:r>
      <w:r w:rsidR="004C33F3" w:rsidRPr="00F14EF6">
        <w:rPr>
          <w:rFonts w:asciiTheme="majorBidi" w:eastAsia="Times New Roman" w:hAnsiTheme="majorBidi" w:cstheme="majorBidi"/>
          <w:sz w:val="24"/>
          <w:szCs w:val="24"/>
        </w:rPr>
        <w:t>iesību uz kriminālprocesa pabeigšanu saprātīgā termiņā pārkāpum</w:t>
      </w:r>
      <w:r w:rsidRPr="00F14EF6">
        <w:rPr>
          <w:rFonts w:asciiTheme="majorBidi" w:eastAsia="Times New Roman" w:hAnsiTheme="majorBidi" w:cstheme="majorBidi"/>
          <w:sz w:val="24"/>
          <w:szCs w:val="24"/>
        </w:rPr>
        <w:t>a</w:t>
      </w:r>
      <w:r w:rsidR="004C33F3" w:rsidRPr="00F14EF6">
        <w:rPr>
          <w:rFonts w:asciiTheme="majorBidi" w:eastAsia="Times New Roman" w:hAnsiTheme="majorBidi" w:cstheme="majorBidi"/>
          <w:sz w:val="24"/>
          <w:szCs w:val="24"/>
        </w:rPr>
        <w:t xml:space="preserve"> izvērtējums</w:t>
      </w:r>
    </w:p>
    <w:p w14:paraId="1EB79DE4" w14:textId="77777777" w:rsidR="00F14EF6" w:rsidRDefault="00F14EF6" w:rsidP="00B15B36">
      <w:pPr>
        <w:numPr>
          <w:ilvl w:val="0"/>
          <w:numId w:val="6"/>
        </w:numPr>
        <w:ind w:right="34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14EF6">
        <w:rPr>
          <w:rFonts w:asciiTheme="majorBidi" w:eastAsia="Times New Roman" w:hAnsiTheme="majorBidi" w:cstheme="majorBidi"/>
          <w:sz w:val="24"/>
          <w:szCs w:val="24"/>
        </w:rPr>
        <w:t xml:space="preserve">Liecinieka liecība kā pierādījums kriminālprocesā </w:t>
      </w:r>
    </w:p>
    <w:p w14:paraId="726D6E63" w14:textId="77777777" w:rsidR="00F14EF6" w:rsidRPr="00F14EF6" w:rsidRDefault="00F14EF6" w:rsidP="00F14EF6">
      <w:pPr>
        <w:numPr>
          <w:ilvl w:val="0"/>
          <w:numId w:val="6"/>
        </w:numPr>
        <w:ind w:right="34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14EF6">
        <w:rPr>
          <w:rFonts w:asciiTheme="majorBidi" w:eastAsia="Times New Roman" w:hAnsiTheme="majorBidi" w:cstheme="majorBidi"/>
          <w:sz w:val="24"/>
          <w:szCs w:val="24"/>
        </w:rPr>
        <w:t>Apelācijas instances tiesas kompetence krimināllietas nosūtīšanā jaunai izskatīšanai pirmās instances tiesā</w:t>
      </w:r>
    </w:p>
    <w:p w14:paraId="072A4899" w14:textId="061C5463" w:rsidR="00F14EF6" w:rsidRDefault="00F14EF6" w:rsidP="00B15B36">
      <w:pPr>
        <w:numPr>
          <w:ilvl w:val="0"/>
          <w:numId w:val="6"/>
        </w:numPr>
        <w:ind w:right="34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14EF6">
        <w:rPr>
          <w:rFonts w:asciiTheme="majorBidi" w:eastAsia="Times New Roman" w:hAnsiTheme="majorBidi" w:cstheme="majorBidi"/>
          <w:sz w:val="24"/>
          <w:szCs w:val="24"/>
        </w:rPr>
        <w:t>Kriminālprocesā aizskartā mantas īpašnieka procesuālās garantijas iztiesāšanā</w:t>
      </w:r>
    </w:p>
    <w:p w14:paraId="24C4F22C" w14:textId="77777777" w:rsidR="00F14EF6" w:rsidRPr="00F14EF6" w:rsidRDefault="00F14EF6" w:rsidP="00F14EF6">
      <w:pPr>
        <w:pStyle w:val="ListParagraph"/>
        <w:numPr>
          <w:ilvl w:val="0"/>
          <w:numId w:val="6"/>
        </w:numPr>
        <w:ind w:right="34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14EF6">
        <w:rPr>
          <w:rFonts w:asciiTheme="majorBidi" w:eastAsia="Times New Roman" w:hAnsiTheme="majorBidi" w:cstheme="majorBidi"/>
          <w:sz w:val="24"/>
          <w:szCs w:val="24"/>
        </w:rPr>
        <w:t>Pārsūdzētā nolēmuma tiesiskuma pārbaudes tvērums kasācijas tiesvedībā (Kriminālprocesa 569. panta izpratne un piemērošana).</w:t>
      </w:r>
    </w:p>
    <w:p w14:paraId="6C938DAF" w14:textId="77777777" w:rsidR="00F14EF6" w:rsidRPr="00F14EF6" w:rsidRDefault="00F14EF6" w:rsidP="00E54F1D">
      <w:pPr>
        <w:pStyle w:val="ListParagraph"/>
        <w:numPr>
          <w:ilvl w:val="0"/>
          <w:numId w:val="6"/>
        </w:numPr>
        <w:ind w:right="34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 xml:space="preserve">Kasācijas instances tiesas norādījumu obligātums: to identificēšana un ievērošana, izskatot lietu no jauna (Kriminālprocesa likuma </w:t>
      </w:r>
      <w:proofErr w:type="gramStart"/>
      <w:r w:rsidRPr="00F14EF6">
        <w:rPr>
          <w:rFonts w:asciiTheme="majorBidi" w:hAnsiTheme="majorBidi" w:cstheme="majorBidi"/>
          <w:sz w:val="24"/>
          <w:szCs w:val="24"/>
        </w:rPr>
        <w:t>589.pants</w:t>
      </w:r>
      <w:proofErr w:type="gramEnd"/>
      <w:r w:rsidRPr="00F14EF6">
        <w:rPr>
          <w:rFonts w:asciiTheme="majorBidi" w:hAnsiTheme="majorBidi" w:cstheme="majorBidi"/>
          <w:sz w:val="24"/>
          <w:szCs w:val="24"/>
        </w:rPr>
        <w:t>)</w:t>
      </w:r>
    </w:p>
    <w:p w14:paraId="2F8BDA1D" w14:textId="77777777" w:rsidR="00F14EF6" w:rsidRDefault="004C33F3" w:rsidP="00F14EF6">
      <w:pPr>
        <w:pStyle w:val="ListParagraph"/>
        <w:numPr>
          <w:ilvl w:val="0"/>
          <w:numId w:val="6"/>
        </w:numPr>
        <w:ind w:right="34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14EF6">
        <w:rPr>
          <w:rFonts w:asciiTheme="majorBidi" w:eastAsia="Times New Roman" w:hAnsiTheme="majorBidi" w:cstheme="majorBidi"/>
          <w:sz w:val="24"/>
          <w:szCs w:val="24"/>
        </w:rPr>
        <w:t>Līdzdalība noziedzīgā nodarījumā</w:t>
      </w:r>
    </w:p>
    <w:p w14:paraId="23CEAC49" w14:textId="77777777" w:rsidR="00F14EF6" w:rsidRDefault="00F14EF6" w:rsidP="00F54128">
      <w:pPr>
        <w:pStyle w:val="ListParagraph"/>
        <w:numPr>
          <w:ilvl w:val="0"/>
          <w:numId w:val="6"/>
        </w:numPr>
        <w:ind w:right="34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14EF6">
        <w:rPr>
          <w:rFonts w:asciiTheme="majorBidi" w:eastAsia="Times New Roman" w:hAnsiTheme="majorBidi" w:cstheme="majorBidi"/>
          <w:sz w:val="24"/>
          <w:szCs w:val="24"/>
        </w:rPr>
        <w:t>Aktuālie tiesu prakses jautājumi sodu piemērošanā</w:t>
      </w:r>
    </w:p>
    <w:p w14:paraId="34AABC91" w14:textId="3B360E48" w:rsidR="00C64E95" w:rsidRPr="00F14EF6" w:rsidRDefault="00792C2D" w:rsidP="00F54128">
      <w:pPr>
        <w:pStyle w:val="ListParagraph"/>
        <w:numPr>
          <w:ilvl w:val="0"/>
          <w:numId w:val="6"/>
        </w:numPr>
        <w:ind w:right="34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14EF6">
        <w:rPr>
          <w:rFonts w:asciiTheme="majorBidi" w:eastAsia="Times New Roman" w:hAnsiTheme="majorBidi" w:cstheme="majorBidi"/>
          <w:sz w:val="24"/>
          <w:szCs w:val="24"/>
        </w:rPr>
        <w:t>Atbildību pastiprinošs apstāklis – noziedzīgu nodarījumu recidīvs</w:t>
      </w:r>
      <w:r w:rsidR="00C64E95" w:rsidRPr="00F14E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9BF70EB" w14:textId="3A9B5BA3" w:rsidR="00F14EF6" w:rsidRPr="00F14EF6" w:rsidRDefault="00F14EF6" w:rsidP="00F14EF6">
      <w:pPr>
        <w:pStyle w:val="ListParagraph"/>
        <w:numPr>
          <w:ilvl w:val="0"/>
          <w:numId w:val="6"/>
        </w:numPr>
        <w:spacing w:after="0" w:line="240" w:lineRule="auto"/>
        <w:ind w:right="340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F14EF6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Noziedzīgi iegūtu līdzekļu legalizācija </w:t>
      </w:r>
    </w:p>
    <w:p w14:paraId="0264C17A" w14:textId="77777777" w:rsidR="00B41198" w:rsidRPr="00F14EF6" w:rsidRDefault="00B41198" w:rsidP="00B15B36">
      <w:pPr>
        <w:ind w:right="340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497F9637" w14:textId="03F4B77D" w:rsidR="006A3EDB" w:rsidRPr="00F14EF6" w:rsidRDefault="00E00F8F" w:rsidP="00B15B36">
      <w:pPr>
        <w:ind w:right="340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Civiltiesīb</w:t>
      </w:r>
      <w:r w:rsidR="00B510A0"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as</w:t>
      </w:r>
      <w:r w:rsidR="004C4043" w:rsidRPr="00F14EF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un civilprocess</w:t>
      </w:r>
    </w:p>
    <w:p w14:paraId="67C75E01" w14:textId="6D7DD9F2" w:rsidR="00A54743" w:rsidRPr="00F14EF6" w:rsidRDefault="00A54743" w:rsidP="00B15B36">
      <w:pPr>
        <w:pStyle w:val="ListParagraph"/>
        <w:numPr>
          <w:ilvl w:val="0"/>
          <w:numId w:val="10"/>
        </w:numPr>
        <w:spacing w:after="0" w:line="240" w:lineRule="auto"/>
        <w:ind w:right="340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 xml:space="preserve">Negodprātīga tiesību izmantošana civilprocesā </w:t>
      </w:r>
    </w:p>
    <w:p w14:paraId="560DAF90" w14:textId="4BB810D1" w:rsidR="00256D4E" w:rsidRPr="00F14EF6" w:rsidRDefault="00256D4E" w:rsidP="00B15B36">
      <w:pPr>
        <w:pStyle w:val="ListParagraph"/>
        <w:numPr>
          <w:ilvl w:val="0"/>
          <w:numId w:val="10"/>
        </w:numPr>
        <w:spacing w:after="0" w:line="240" w:lineRule="auto"/>
        <w:ind w:right="340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Civilprocesa likuma 5. panta sest</w:t>
      </w:r>
      <w:r w:rsidR="00C55E4E" w:rsidRPr="00F14EF6">
        <w:rPr>
          <w:rFonts w:asciiTheme="majorBidi" w:hAnsiTheme="majorBidi" w:cstheme="majorBidi"/>
          <w:sz w:val="24"/>
          <w:szCs w:val="24"/>
        </w:rPr>
        <w:t xml:space="preserve">ās </w:t>
      </w:r>
      <w:r w:rsidRPr="00F14EF6">
        <w:rPr>
          <w:rFonts w:asciiTheme="majorBidi" w:hAnsiTheme="majorBidi" w:cstheme="majorBidi"/>
          <w:sz w:val="24"/>
          <w:szCs w:val="24"/>
        </w:rPr>
        <w:t>daļā</w:t>
      </w:r>
      <w:r w:rsidR="00C55E4E" w:rsidRPr="00F14EF6">
        <w:rPr>
          <w:rFonts w:asciiTheme="majorBidi" w:hAnsiTheme="majorBidi" w:cstheme="majorBidi"/>
          <w:sz w:val="24"/>
          <w:szCs w:val="24"/>
        </w:rPr>
        <w:t>s piemērošana</w:t>
      </w:r>
    </w:p>
    <w:p w14:paraId="5F0BC473" w14:textId="75928615" w:rsidR="003C61FE" w:rsidRPr="00F14EF6" w:rsidRDefault="003C61FE" w:rsidP="00B15B36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Prasības priekšmeta un pamata identificēšana</w:t>
      </w:r>
    </w:p>
    <w:p w14:paraId="617C5DC5" w14:textId="5E3BE655" w:rsidR="003C61FE" w:rsidRPr="00F14EF6" w:rsidRDefault="003C61FE" w:rsidP="00B15B36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Situācijas, kad var celt atzīšanas prasību</w:t>
      </w:r>
    </w:p>
    <w:p w14:paraId="7B264147" w14:textId="2FEBA02D" w:rsidR="003C61FE" w:rsidRPr="00F14EF6" w:rsidRDefault="003C61FE" w:rsidP="00B15B36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Pierādīšanas nasta dažāda veida prasībās</w:t>
      </w:r>
    </w:p>
    <w:p w14:paraId="49BE41E2" w14:textId="10716C63" w:rsidR="00FA44FA" w:rsidRDefault="00FA44FA" w:rsidP="00B15B36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Piespriešanas un atzīšanas prasības, to savstarpējā nošķiršana</w:t>
      </w:r>
    </w:p>
    <w:p w14:paraId="7B83A71F" w14:textId="77777777" w:rsidR="00F14EF6" w:rsidRPr="00F14EF6" w:rsidRDefault="00F14EF6" w:rsidP="00F14EF6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Tiesību uz taisnīgu tiesu un sacīkstes principu mijiedarbība civilprocesā.</w:t>
      </w:r>
    </w:p>
    <w:p w14:paraId="4812D02D" w14:textId="77777777" w:rsidR="00F14EF6" w:rsidRPr="00F14EF6" w:rsidRDefault="00F14EF6" w:rsidP="00F14EF6">
      <w:pPr>
        <w:pStyle w:val="ListParagraph"/>
        <w:numPr>
          <w:ilvl w:val="0"/>
          <w:numId w:val="10"/>
        </w:numPr>
        <w:spacing w:line="288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lastRenderedPageBreak/>
        <w:t xml:space="preserve">Kasācijas instances tiesas norādījumu obligātums: to identificēšana un ievērošana, izskatot lietu no jauna (Civilprocesa likuma </w:t>
      </w:r>
      <w:proofErr w:type="gramStart"/>
      <w:r w:rsidRPr="00F14EF6">
        <w:rPr>
          <w:rFonts w:asciiTheme="majorBidi" w:hAnsiTheme="majorBidi" w:cstheme="majorBidi"/>
          <w:sz w:val="24"/>
          <w:szCs w:val="24"/>
        </w:rPr>
        <w:t>476.pants</w:t>
      </w:r>
      <w:proofErr w:type="gramEnd"/>
      <w:r w:rsidRPr="00F14EF6">
        <w:rPr>
          <w:rFonts w:asciiTheme="majorBidi" w:hAnsiTheme="majorBidi" w:cstheme="majorBidi"/>
          <w:sz w:val="24"/>
          <w:szCs w:val="24"/>
        </w:rPr>
        <w:t>)</w:t>
      </w:r>
    </w:p>
    <w:p w14:paraId="22F24DC0" w14:textId="012BC607" w:rsidR="00FA44FA" w:rsidRPr="00F14EF6" w:rsidRDefault="001C10EE" w:rsidP="00B15B36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T</w:t>
      </w:r>
      <w:r w:rsidR="00FA44FA" w:rsidRPr="00F14EF6">
        <w:rPr>
          <w:rFonts w:asciiTheme="majorBidi" w:hAnsiTheme="majorBidi" w:cstheme="majorBidi"/>
          <w:sz w:val="24"/>
          <w:szCs w:val="24"/>
        </w:rPr>
        <w:t>iesīb</w:t>
      </w:r>
      <w:r w:rsidRPr="00F14EF6">
        <w:rPr>
          <w:rFonts w:asciiTheme="majorBidi" w:hAnsiTheme="majorBidi" w:cstheme="majorBidi"/>
          <w:sz w:val="24"/>
          <w:szCs w:val="24"/>
        </w:rPr>
        <w:t>as</w:t>
      </w:r>
      <w:r w:rsidR="00FA44FA" w:rsidRPr="00F14EF6">
        <w:rPr>
          <w:rFonts w:asciiTheme="majorBidi" w:hAnsiTheme="majorBidi" w:cstheme="majorBidi"/>
          <w:sz w:val="24"/>
          <w:szCs w:val="24"/>
        </w:rPr>
        <w:t xml:space="preserve"> un pienākum</w:t>
      </w:r>
      <w:r w:rsidRPr="00F14EF6">
        <w:rPr>
          <w:rFonts w:asciiTheme="majorBidi" w:hAnsiTheme="majorBidi" w:cstheme="majorBidi"/>
          <w:sz w:val="24"/>
          <w:szCs w:val="24"/>
        </w:rPr>
        <w:t xml:space="preserve">i </w:t>
      </w:r>
      <w:r w:rsidR="00FA44FA" w:rsidRPr="00F14EF6">
        <w:rPr>
          <w:rFonts w:asciiTheme="majorBidi" w:hAnsiTheme="majorBidi" w:cstheme="majorBidi"/>
          <w:sz w:val="24"/>
          <w:szCs w:val="24"/>
        </w:rPr>
        <w:t xml:space="preserve">saskarsmes tiesību </w:t>
      </w:r>
      <w:r w:rsidRPr="00F14EF6">
        <w:rPr>
          <w:rFonts w:asciiTheme="majorBidi" w:hAnsiTheme="majorBidi" w:cstheme="majorBidi"/>
          <w:sz w:val="24"/>
          <w:szCs w:val="24"/>
        </w:rPr>
        <w:t>jautājumos</w:t>
      </w:r>
    </w:p>
    <w:p w14:paraId="694A18D7" w14:textId="6A57CCDB" w:rsidR="00FA44FA" w:rsidRPr="00F14EF6" w:rsidRDefault="00FA44FA" w:rsidP="00B15B36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Patērētāju tiesību aizsardzība apdrošināšanas līgumos</w:t>
      </w:r>
    </w:p>
    <w:p w14:paraId="3AEA3A65" w14:textId="77777777" w:rsidR="001E225C" w:rsidRPr="00F14EF6" w:rsidRDefault="001E225C" w:rsidP="001E225C">
      <w:pPr>
        <w:pStyle w:val="ListParagraph"/>
        <w:numPr>
          <w:ilvl w:val="0"/>
          <w:numId w:val="10"/>
        </w:numPr>
        <w:spacing w:line="288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 xml:space="preserve">Īpašuma tiesības izbeigšanās bez īpašnieka gribas (Civillikuma </w:t>
      </w:r>
      <w:proofErr w:type="gramStart"/>
      <w:r w:rsidRPr="00F14EF6">
        <w:rPr>
          <w:rFonts w:asciiTheme="majorBidi" w:hAnsiTheme="majorBidi" w:cstheme="majorBidi"/>
          <w:sz w:val="24"/>
          <w:szCs w:val="24"/>
        </w:rPr>
        <w:t>1033.pants</w:t>
      </w:r>
      <w:proofErr w:type="gramEnd"/>
      <w:r w:rsidRPr="00F14EF6">
        <w:rPr>
          <w:rFonts w:asciiTheme="majorBidi" w:hAnsiTheme="majorBidi" w:cstheme="majorBidi"/>
          <w:sz w:val="24"/>
          <w:szCs w:val="24"/>
        </w:rPr>
        <w:t>)</w:t>
      </w:r>
    </w:p>
    <w:p w14:paraId="7DD245AC" w14:textId="77777777" w:rsidR="00F14EF6" w:rsidRPr="00F14EF6" w:rsidRDefault="00F14EF6" w:rsidP="00F14EF6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Kreditora atgādinājuma paziņošana</w:t>
      </w:r>
    </w:p>
    <w:p w14:paraId="46CF0BD5" w14:textId="77777777" w:rsidR="001E225C" w:rsidRPr="00F14EF6" w:rsidRDefault="001E225C" w:rsidP="001E225C">
      <w:pPr>
        <w:pStyle w:val="ListParagraph"/>
        <w:numPr>
          <w:ilvl w:val="0"/>
          <w:numId w:val="10"/>
        </w:numPr>
        <w:spacing w:line="288" w:lineRule="auto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Laulāto visas mantas šķirtības un laulātā atsevišķās mantas institūta nošķiršana</w:t>
      </w:r>
    </w:p>
    <w:p w14:paraId="1870EC84" w14:textId="01E46BCE" w:rsidR="00B510A0" w:rsidRPr="00F14EF6" w:rsidRDefault="00B510A0" w:rsidP="00B15B36">
      <w:pPr>
        <w:ind w:right="340"/>
        <w:rPr>
          <w:rFonts w:asciiTheme="majorBidi" w:hAnsiTheme="majorBidi" w:cstheme="majorBidi"/>
          <w:sz w:val="24"/>
          <w:szCs w:val="24"/>
        </w:rPr>
      </w:pPr>
    </w:p>
    <w:p w14:paraId="48B33FC7" w14:textId="77777777" w:rsidR="00B510A0" w:rsidRPr="00F14EF6" w:rsidRDefault="00B510A0" w:rsidP="00B15B36">
      <w:pPr>
        <w:ind w:right="340"/>
        <w:rPr>
          <w:rFonts w:asciiTheme="majorBidi" w:hAnsiTheme="majorBidi" w:cstheme="majorBidi"/>
          <w:b/>
          <w:sz w:val="24"/>
          <w:szCs w:val="24"/>
        </w:rPr>
      </w:pPr>
      <w:r w:rsidRPr="00F14EF6">
        <w:rPr>
          <w:rFonts w:asciiTheme="majorBidi" w:hAnsiTheme="majorBidi" w:cstheme="majorBidi"/>
          <w:b/>
          <w:sz w:val="24"/>
          <w:szCs w:val="24"/>
        </w:rPr>
        <w:t>Administratīvās tiesības</w:t>
      </w:r>
    </w:p>
    <w:bookmarkEnd w:id="0"/>
    <w:p w14:paraId="3FE0ABF4" w14:textId="77777777" w:rsidR="00F14EF6" w:rsidRPr="00F14EF6" w:rsidRDefault="00F14EF6" w:rsidP="00F14EF6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 xml:space="preserve">Tiesību normu formālas piemērošanas aizliegums </w:t>
      </w:r>
    </w:p>
    <w:p w14:paraId="6A219BC3" w14:textId="77777777" w:rsidR="00F14EF6" w:rsidRPr="00F14EF6" w:rsidRDefault="00F14EF6" w:rsidP="00F14EF6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Tiesas pienākumi pierādījumu vērtēšanas jomā (Administratīvā procesa likuma 154. pants)</w:t>
      </w:r>
    </w:p>
    <w:p w14:paraId="2027C538" w14:textId="77777777" w:rsidR="00F14EF6" w:rsidRPr="00F14EF6" w:rsidRDefault="00F14EF6" w:rsidP="00F14EF6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Jaunatklāti apstākļi</w:t>
      </w:r>
    </w:p>
    <w:p w14:paraId="2597FB0F" w14:textId="77777777" w:rsidR="00F14EF6" w:rsidRPr="00F14EF6" w:rsidRDefault="00F14EF6" w:rsidP="00F14EF6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Kasācijas instances tiesas norādījumu obligātums: to identificēšana un ievērošana, izskatot lietu no jauna (Administratīvā procesa likuma 350. panta tvērums un piemērošanas prakse)</w:t>
      </w:r>
    </w:p>
    <w:p w14:paraId="0D053741" w14:textId="77777777" w:rsidR="00530953" w:rsidRPr="00F14EF6" w:rsidRDefault="00530953" w:rsidP="00B15B36">
      <w:pPr>
        <w:pStyle w:val="ListParagraph"/>
        <w:numPr>
          <w:ilvl w:val="0"/>
          <w:numId w:val="12"/>
        </w:numPr>
        <w:tabs>
          <w:tab w:val="left" w:pos="7230"/>
        </w:tabs>
        <w:spacing w:after="0" w:line="240" w:lineRule="auto"/>
        <w:ind w:right="340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Būvniecības tiesību un teritorijas plānošanas jautājumi</w:t>
      </w:r>
    </w:p>
    <w:p w14:paraId="2A5D73C4" w14:textId="10E349E9" w:rsidR="00BE698E" w:rsidRPr="00F14EF6" w:rsidRDefault="00A65188" w:rsidP="00B15B36">
      <w:pPr>
        <w:pStyle w:val="ListParagraph"/>
        <w:numPr>
          <w:ilvl w:val="0"/>
          <w:numId w:val="12"/>
        </w:numPr>
        <w:tabs>
          <w:tab w:val="left" w:pos="7230"/>
        </w:tabs>
        <w:spacing w:after="0" w:line="240" w:lineRule="auto"/>
        <w:ind w:right="340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 xml:space="preserve">Latvijas pilsonības piešķiršana un atņemšana </w:t>
      </w:r>
    </w:p>
    <w:p w14:paraId="11487D9D" w14:textId="7535A294" w:rsidR="00545E68" w:rsidRPr="00F14EF6" w:rsidRDefault="00545E68" w:rsidP="00B15B36">
      <w:pPr>
        <w:pStyle w:val="ListParagraph"/>
        <w:numPr>
          <w:ilvl w:val="0"/>
          <w:numId w:val="12"/>
        </w:numPr>
        <w:tabs>
          <w:tab w:val="left" w:pos="7230"/>
        </w:tabs>
        <w:spacing w:after="0" w:line="240" w:lineRule="auto"/>
        <w:ind w:right="340"/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>Problemātika lietās par izmaksām no Ārstniecības riska fonda</w:t>
      </w:r>
    </w:p>
    <w:p w14:paraId="2DB73983" w14:textId="0372BCE0" w:rsidR="008372CE" w:rsidRPr="00F14EF6" w:rsidRDefault="008372CE" w:rsidP="008372CE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 xml:space="preserve">Problemātika lietās par Noziedzīgi iegūtu līdzekļu legalizācijas un terorisma un proliferācijas finansēšanas novēršanas likuma pārkāpumiem </w:t>
      </w:r>
    </w:p>
    <w:p w14:paraId="6926287C" w14:textId="0F649FFF" w:rsidR="008372CE" w:rsidRPr="00F14EF6" w:rsidRDefault="008372CE" w:rsidP="00F14EF6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F14EF6">
        <w:rPr>
          <w:rFonts w:asciiTheme="majorBidi" w:hAnsiTheme="majorBidi" w:cstheme="majorBidi"/>
          <w:sz w:val="24"/>
          <w:szCs w:val="24"/>
        </w:rPr>
        <w:t>Ilgstspējīgs</w:t>
      </w:r>
      <w:proofErr w:type="spellEnd"/>
      <w:r w:rsidRPr="00F14EF6">
        <w:rPr>
          <w:rFonts w:asciiTheme="majorBidi" w:hAnsiTheme="majorBidi" w:cstheme="majorBidi"/>
          <w:sz w:val="24"/>
          <w:szCs w:val="24"/>
        </w:rPr>
        <w:t xml:space="preserve"> risinājums bērnu tiesību lietās</w:t>
      </w:r>
    </w:p>
    <w:p w14:paraId="357BF0D5" w14:textId="0CA63697" w:rsidR="008372CE" w:rsidRPr="00F14EF6" w:rsidRDefault="008372CE" w:rsidP="00F14EF6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F14EF6">
        <w:rPr>
          <w:rFonts w:asciiTheme="majorBidi" w:hAnsiTheme="majorBidi" w:cstheme="majorBidi"/>
          <w:sz w:val="24"/>
          <w:szCs w:val="24"/>
        </w:rPr>
        <w:t xml:space="preserve">Aizliegtas vienošanās konstatēšana un ar to saistītā problemātika </w:t>
      </w:r>
    </w:p>
    <w:p w14:paraId="6ED2E854" w14:textId="22F0C21F" w:rsidR="008372CE" w:rsidRPr="00F14EF6" w:rsidRDefault="008372CE" w:rsidP="008372CE">
      <w:pPr>
        <w:pStyle w:val="ListParagraph"/>
        <w:numPr>
          <w:ilvl w:val="0"/>
          <w:numId w:val="12"/>
        </w:numP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F14EF6">
        <w:rPr>
          <w:rStyle w:val="Strong"/>
          <w:rFonts w:asciiTheme="majorBidi" w:hAnsiTheme="majorBidi" w:cstheme="majorBidi"/>
          <w:b w:val="0"/>
          <w:bCs w:val="0"/>
          <w:color w:val="000000"/>
          <w:sz w:val="24"/>
          <w:szCs w:val="24"/>
          <w:bdr w:val="none" w:sz="0" w:space="0" w:color="auto" w:frame="1"/>
        </w:rPr>
        <w:t>Lēmuma par aizliegumu personai izceļot no valsts tiesiskuma un pamatotības vērtēšana</w:t>
      </w:r>
    </w:p>
    <w:p w14:paraId="3B362DC4" w14:textId="77777777" w:rsidR="00BE698E" w:rsidRPr="00F14EF6" w:rsidRDefault="00BE698E" w:rsidP="00B15B36">
      <w:pPr>
        <w:ind w:right="340"/>
        <w:rPr>
          <w:rFonts w:asciiTheme="majorBidi" w:hAnsiTheme="majorBidi" w:cstheme="majorBidi"/>
          <w:sz w:val="24"/>
          <w:szCs w:val="24"/>
        </w:rPr>
      </w:pPr>
    </w:p>
    <w:sectPr w:rsidR="00BE698E" w:rsidRPr="00F14EF6" w:rsidSect="00463C5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F2DC" w14:textId="77777777" w:rsidR="00835E6A" w:rsidRDefault="00835E6A" w:rsidP="00835E6A">
      <w:r>
        <w:separator/>
      </w:r>
    </w:p>
  </w:endnote>
  <w:endnote w:type="continuationSeparator" w:id="0">
    <w:p w14:paraId="03D2E53C" w14:textId="77777777" w:rsidR="00835E6A" w:rsidRDefault="00835E6A" w:rsidP="008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8AA83" w14:textId="77777777" w:rsidR="00835E6A" w:rsidRDefault="00835E6A" w:rsidP="00835E6A">
      <w:r>
        <w:separator/>
      </w:r>
    </w:p>
  </w:footnote>
  <w:footnote w:type="continuationSeparator" w:id="0">
    <w:p w14:paraId="5E5A43F7" w14:textId="77777777" w:rsidR="00835E6A" w:rsidRDefault="00835E6A" w:rsidP="0083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2764"/>
    <w:multiLevelType w:val="multilevel"/>
    <w:tmpl w:val="D94E2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720" w:hanging="360"/>
      </w:pPr>
    </w:lvl>
    <w:lvl w:ilvl="2">
      <w:start w:val="1"/>
      <w:numFmt w:val="decimal"/>
      <w:lvlText w:val="%1.%2)%3."/>
      <w:lvlJc w:val="left"/>
      <w:pPr>
        <w:ind w:left="1440" w:hanging="720"/>
      </w:pPr>
    </w:lvl>
    <w:lvl w:ilvl="3">
      <w:start w:val="1"/>
      <w:numFmt w:val="decimal"/>
      <w:lvlText w:val="%1.%2)%3.%4."/>
      <w:lvlJc w:val="left"/>
      <w:pPr>
        <w:ind w:left="1800" w:hanging="720"/>
      </w:pPr>
    </w:lvl>
    <w:lvl w:ilvl="4">
      <w:start w:val="1"/>
      <w:numFmt w:val="decimal"/>
      <w:lvlText w:val="%1.%2)%3.%4.%5."/>
      <w:lvlJc w:val="left"/>
      <w:pPr>
        <w:ind w:left="2520" w:hanging="1080"/>
      </w:pPr>
    </w:lvl>
    <w:lvl w:ilvl="5">
      <w:start w:val="1"/>
      <w:numFmt w:val="decimal"/>
      <w:lvlText w:val="%1.%2)%3.%4.%5.%6."/>
      <w:lvlJc w:val="left"/>
      <w:pPr>
        <w:ind w:left="2880" w:hanging="1080"/>
      </w:pPr>
    </w:lvl>
    <w:lvl w:ilvl="6">
      <w:start w:val="1"/>
      <w:numFmt w:val="decimal"/>
      <w:lvlText w:val="%1.%2)%3.%4.%5.%6.%7."/>
      <w:lvlJc w:val="left"/>
      <w:pPr>
        <w:ind w:left="3600" w:hanging="1440"/>
      </w:pPr>
    </w:lvl>
    <w:lvl w:ilvl="7">
      <w:start w:val="1"/>
      <w:numFmt w:val="decimal"/>
      <w:lvlText w:val="%1.%2)%3.%4.%5.%6.%7.%8."/>
      <w:lvlJc w:val="left"/>
      <w:pPr>
        <w:ind w:left="3960" w:hanging="1440"/>
      </w:pPr>
    </w:lvl>
    <w:lvl w:ilvl="8">
      <w:start w:val="1"/>
      <w:numFmt w:val="decimal"/>
      <w:lvlText w:val="%1.%2)%3.%4.%5.%6.%7.%8.%9."/>
      <w:lvlJc w:val="left"/>
      <w:pPr>
        <w:ind w:left="4680" w:hanging="1800"/>
      </w:pPr>
    </w:lvl>
  </w:abstractNum>
  <w:abstractNum w:abstractNumId="1" w15:restartNumberingAfterBreak="0">
    <w:nsid w:val="0A114D27"/>
    <w:multiLevelType w:val="hybridMultilevel"/>
    <w:tmpl w:val="092C3AB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A76"/>
    <w:multiLevelType w:val="hybridMultilevel"/>
    <w:tmpl w:val="24E003EA"/>
    <w:lvl w:ilvl="0" w:tplc="4AB2F3D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2157"/>
    <w:multiLevelType w:val="hybridMultilevel"/>
    <w:tmpl w:val="7FE2A3F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5CC"/>
    <w:multiLevelType w:val="hybridMultilevel"/>
    <w:tmpl w:val="526679D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8221C"/>
    <w:multiLevelType w:val="hybridMultilevel"/>
    <w:tmpl w:val="7B585E6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026401"/>
    <w:multiLevelType w:val="multilevel"/>
    <w:tmpl w:val="9E12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B34BE"/>
    <w:multiLevelType w:val="hybridMultilevel"/>
    <w:tmpl w:val="F2180E22"/>
    <w:lvl w:ilvl="0" w:tplc="17BE56E4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3EC"/>
    <w:multiLevelType w:val="hybridMultilevel"/>
    <w:tmpl w:val="7A9AC1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33C37"/>
    <w:multiLevelType w:val="hybridMultilevel"/>
    <w:tmpl w:val="99FE0F9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EF35556"/>
    <w:multiLevelType w:val="hybridMultilevel"/>
    <w:tmpl w:val="303A8DFC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D019A"/>
    <w:multiLevelType w:val="hybridMultilevel"/>
    <w:tmpl w:val="1338B004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B7128"/>
    <w:multiLevelType w:val="hybridMultilevel"/>
    <w:tmpl w:val="4A609A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63089">
    <w:abstractNumId w:val="1"/>
  </w:num>
  <w:num w:numId="2" w16cid:durableId="1625426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104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024932">
    <w:abstractNumId w:val="11"/>
  </w:num>
  <w:num w:numId="5" w16cid:durableId="921644295">
    <w:abstractNumId w:val="11"/>
  </w:num>
  <w:num w:numId="6" w16cid:durableId="1242719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1206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6480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1843515">
    <w:abstractNumId w:val="4"/>
  </w:num>
  <w:num w:numId="10" w16cid:durableId="1854612991">
    <w:abstractNumId w:val="10"/>
  </w:num>
  <w:num w:numId="11" w16cid:durableId="18260469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8033957">
    <w:abstractNumId w:val="3"/>
  </w:num>
  <w:num w:numId="13" w16cid:durableId="1987661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467367">
    <w:abstractNumId w:val="9"/>
  </w:num>
  <w:num w:numId="15" w16cid:durableId="122999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AF"/>
    <w:rsid w:val="000008C9"/>
    <w:rsid w:val="000040DA"/>
    <w:rsid w:val="000147CD"/>
    <w:rsid w:val="00014FB2"/>
    <w:rsid w:val="0006185D"/>
    <w:rsid w:val="0007367D"/>
    <w:rsid w:val="00080E06"/>
    <w:rsid w:val="00082DE6"/>
    <w:rsid w:val="000A2D6B"/>
    <w:rsid w:val="000A332F"/>
    <w:rsid w:val="000A3AC0"/>
    <w:rsid w:val="000A668D"/>
    <w:rsid w:val="000B1D4A"/>
    <w:rsid w:val="000E5949"/>
    <w:rsid w:val="000F0E35"/>
    <w:rsid w:val="001079B6"/>
    <w:rsid w:val="00173C82"/>
    <w:rsid w:val="001C10EE"/>
    <w:rsid w:val="001C43CE"/>
    <w:rsid w:val="001E225C"/>
    <w:rsid w:val="0025243C"/>
    <w:rsid w:val="00256D4E"/>
    <w:rsid w:val="002A4337"/>
    <w:rsid w:val="002E4355"/>
    <w:rsid w:val="002F51A2"/>
    <w:rsid w:val="00325258"/>
    <w:rsid w:val="0034187A"/>
    <w:rsid w:val="00362EE9"/>
    <w:rsid w:val="003C61FE"/>
    <w:rsid w:val="003C785B"/>
    <w:rsid w:val="004227E3"/>
    <w:rsid w:val="00446B1D"/>
    <w:rsid w:val="00463C5B"/>
    <w:rsid w:val="004C33F3"/>
    <w:rsid w:val="004C4043"/>
    <w:rsid w:val="00530953"/>
    <w:rsid w:val="005330AF"/>
    <w:rsid w:val="00543618"/>
    <w:rsid w:val="00545E68"/>
    <w:rsid w:val="00554B64"/>
    <w:rsid w:val="005C13A7"/>
    <w:rsid w:val="005D3728"/>
    <w:rsid w:val="006105A2"/>
    <w:rsid w:val="00615401"/>
    <w:rsid w:val="00650CC6"/>
    <w:rsid w:val="006A3EDB"/>
    <w:rsid w:val="006B3CC7"/>
    <w:rsid w:val="006B72A1"/>
    <w:rsid w:val="00714742"/>
    <w:rsid w:val="007329CE"/>
    <w:rsid w:val="007374BD"/>
    <w:rsid w:val="00756075"/>
    <w:rsid w:val="00792C2D"/>
    <w:rsid w:val="008230F9"/>
    <w:rsid w:val="0083122C"/>
    <w:rsid w:val="008358CA"/>
    <w:rsid w:val="00835E6A"/>
    <w:rsid w:val="008372CE"/>
    <w:rsid w:val="00861DF5"/>
    <w:rsid w:val="00866DF1"/>
    <w:rsid w:val="00945F51"/>
    <w:rsid w:val="009A63A9"/>
    <w:rsid w:val="009B16A5"/>
    <w:rsid w:val="009F3CA4"/>
    <w:rsid w:val="00A309BE"/>
    <w:rsid w:val="00A54743"/>
    <w:rsid w:val="00A65188"/>
    <w:rsid w:val="00A9126D"/>
    <w:rsid w:val="00AF58F8"/>
    <w:rsid w:val="00B1387C"/>
    <w:rsid w:val="00B15B36"/>
    <w:rsid w:val="00B41198"/>
    <w:rsid w:val="00B510A0"/>
    <w:rsid w:val="00BA7549"/>
    <w:rsid w:val="00BE698E"/>
    <w:rsid w:val="00BF6E9A"/>
    <w:rsid w:val="00C55E4E"/>
    <w:rsid w:val="00C64E95"/>
    <w:rsid w:val="00C861EB"/>
    <w:rsid w:val="00C95DD3"/>
    <w:rsid w:val="00C96F73"/>
    <w:rsid w:val="00CE20E0"/>
    <w:rsid w:val="00D31736"/>
    <w:rsid w:val="00DA75F9"/>
    <w:rsid w:val="00E00F8F"/>
    <w:rsid w:val="00E31086"/>
    <w:rsid w:val="00E426C8"/>
    <w:rsid w:val="00EA2BD8"/>
    <w:rsid w:val="00EE1477"/>
    <w:rsid w:val="00EF3683"/>
    <w:rsid w:val="00F14EF6"/>
    <w:rsid w:val="00F25BEC"/>
    <w:rsid w:val="00F63C62"/>
    <w:rsid w:val="00F748DB"/>
    <w:rsid w:val="00F83AB4"/>
    <w:rsid w:val="00F9456A"/>
    <w:rsid w:val="00F976B7"/>
    <w:rsid w:val="00FA44FA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FF9F96"/>
  <w15:chartTrackingRefBased/>
  <w15:docId w15:val="{1332743D-4528-4A4A-AED4-7112CCCA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8C9"/>
    <w:pPr>
      <w:spacing w:after="0" w:line="240" w:lineRule="auto"/>
    </w:pPr>
    <w:rPr>
      <w:rFonts w:ascii="Calibri" w:hAnsi="Calibri" w:cs="Calibri"/>
      <w:sz w:val="22"/>
    </w:rPr>
  </w:style>
  <w:style w:type="paragraph" w:styleId="Heading1">
    <w:name w:val="heading 1"/>
    <w:basedOn w:val="Normal"/>
    <w:link w:val="Heading1Char"/>
    <w:uiPriority w:val="9"/>
    <w:qFormat/>
    <w:rsid w:val="000008C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8C9"/>
    <w:rPr>
      <w:rFonts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008C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E698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256D4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C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1F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1F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10EE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2463</Words>
  <Characters>1405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Zikmane</dc:creator>
  <cp:keywords/>
  <dc:description/>
  <cp:lastModifiedBy>Baiba Kataja</cp:lastModifiedBy>
  <cp:revision>2</cp:revision>
  <dcterms:created xsi:type="dcterms:W3CDTF">2024-09-10T11:43:00Z</dcterms:created>
  <dcterms:modified xsi:type="dcterms:W3CDTF">2024-09-10T11:43:00Z</dcterms:modified>
</cp:coreProperties>
</file>