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8EA8" w14:textId="77777777" w:rsidR="00AF22DF" w:rsidRDefault="00AF22DF" w:rsidP="001D73E5">
      <w:pPr>
        <w:spacing w:after="0" w:line="276" w:lineRule="auto"/>
        <w:rPr>
          <w:b/>
          <w:bCs/>
        </w:rPr>
      </w:pPr>
      <w:bookmarkStart w:id="0" w:name="_Hlk158641617"/>
      <w:r w:rsidRPr="001B5F42">
        <w:rPr>
          <w:b/>
          <w:bCs/>
        </w:rPr>
        <w:t xml:space="preserve">Atbildība par ļaunprātīgu nolēmuma par aizsardzību pret vardarbību nepildīšanu, ja persona </w:t>
      </w:r>
      <w:r>
        <w:rPr>
          <w:b/>
          <w:bCs/>
        </w:rPr>
        <w:t xml:space="preserve">ir </w:t>
      </w:r>
      <w:r w:rsidRPr="001B5F42">
        <w:rPr>
          <w:b/>
          <w:bCs/>
        </w:rPr>
        <w:t>informēta par pieņemto nolēmumu</w:t>
      </w:r>
    </w:p>
    <w:p w14:paraId="62158171" w14:textId="77777777" w:rsidR="001D73E5" w:rsidRDefault="001D73E5" w:rsidP="001D73E5">
      <w:pPr>
        <w:spacing w:after="0" w:line="276" w:lineRule="auto"/>
        <w:rPr>
          <w:color w:val="0070C0"/>
        </w:rPr>
      </w:pPr>
    </w:p>
    <w:p w14:paraId="46662072" w14:textId="778EB707" w:rsidR="00E17A3B" w:rsidRPr="00AF22DF" w:rsidRDefault="00E17A3B" w:rsidP="001D73E5">
      <w:pPr>
        <w:widowControl w:val="0"/>
        <w:spacing w:after="0" w:line="276" w:lineRule="auto"/>
        <w:jc w:val="center"/>
        <w:rPr>
          <w:b/>
        </w:rPr>
      </w:pPr>
      <w:r w:rsidRPr="00AF22DF">
        <w:rPr>
          <w:b/>
        </w:rPr>
        <w:t>Latvijas Republikas Senāt</w:t>
      </w:r>
      <w:r w:rsidR="00AF22DF" w:rsidRPr="00AF22DF">
        <w:rPr>
          <w:b/>
        </w:rPr>
        <w:t>a</w:t>
      </w:r>
    </w:p>
    <w:p w14:paraId="4EF4E505" w14:textId="1D38FD45" w:rsidR="00AF22DF" w:rsidRPr="00AF22DF" w:rsidRDefault="00AF22DF" w:rsidP="001D73E5">
      <w:pPr>
        <w:spacing w:after="0" w:line="276" w:lineRule="auto"/>
        <w:jc w:val="center"/>
        <w:rPr>
          <w:rFonts w:asciiTheme="majorBidi" w:hAnsiTheme="majorBidi" w:cstheme="majorBidi"/>
          <w:b/>
        </w:rPr>
      </w:pPr>
      <w:r w:rsidRPr="00AF22DF">
        <w:rPr>
          <w:rFonts w:asciiTheme="majorBidi" w:hAnsiTheme="majorBidi" w:cstheme="majorBidi"/>
          <w:b/>
        </w:rPr>
        <w:t>Krimināllietu departamenta</w:t>
      </w:r>
    </w:p>
    <w:p w14:paraId="48E42B57" w14:textId="70A6D0F7" w:rsidR="00AF22DF" w:rsidRPr="00AF22DF" w:rsidRDefault="00AF22DF" w:rsidP="001D73E5">
      <w:pPr>
        <w:widowControl w:val="0"/>
        <w:spacing w:after="0" w:line="276" w:lineRule="auto"/>
        <w:jc w:val="center"/>
        <w:rPr>
          <w:b/>
        </w:rPr>
      </w:pPr>
      <w:r w:rsidRPr="00AF22DF">
        <w:rPr>
          <w:b/>
        </w:rPr>
        <w:t>2025. gada 31. jūlija</w:t>
      </w:r>
    </w:p>
    <w:p w14:paraId="56F7A26F" w14:textId="77777777" w:rsidR="00E17A3B" w:rsidRPr="00AF22DF" w:rsidRDefault="00E17A3B" w:rsidP="001D73E5">
      <w:pPr>
        <w:widowControl w:val="0"/>
        <w:spacing w:after="0" w:line="276" w:lineRule="auto"/>
        <w:jc w:val="center"/>
        <w:rPr>
          <w:b/>
        </w:rPr>
      </w:pPr>
      <w:r w:rsidRPr="00AF22DF">
        <w:rPr>
          <w:b/>
        </w:rPr>
        <w:t>LĒMUMS</w:t>
      </w:r>
    </w:p>
    <w:p w14:paraId="751F6CA4" w14:textId="2D0FDDCD" w:rsidR="00E17A3B" w:rsidRPr="00AF22DF" w:rsidRDefault="00AF22DF" w:rsidP="001D73E5">
      <w:pPr>
        <w:spacing w:after="0" w:line="276" w:lineRule="auto"/>
        <w:jc w:val="center"/>
        <w:rPr>
          <w:rFonts w:asciiTheme="majorBidi" w:hAnsiTheme="majorBidi" w:cstheme="majorBidi"/>
          <w:b/>
        </w:rPr>
      </w:pPr>
      <w:r w:rsidRPr="00AF22DF">
        <w:rPr>
          <w:rFonts w:asciiTheme="majorBidi" w:hAnsiTheme="majorBidi" w:cstheme="majorBidi"/>
          <w:b/>
        </w:rPr>
        <w:t>Lieta Nr. </w:t>
      </w:r>
      <w:r w:rsidRPr="00AF22DF">
        <w:rPr>
          <w:b/>
          <w:lang w:eastAsia="lv-LV"/>
        </w:rPr>
        <w:t>11310037322</w:t>
      </w:r>
      <w:r w:rsidRPr="00AF22DF">
        <w:rPr>
          <w:rFonts w:asciiTheme="majorBidi" w:hAnsiTheme="majorBidi" w:cstheme="majorBidi"/>
          <w:b/>
          <w:lang w:eastAsia="lv-LV"/>
        </w:rPr>
        <w:t xml:space="preserve">, </w:t>
      </w:r>
      <w:r w:rsidRPr="00AF22DF">
        <w:rPr>
          <w:rFonts w:asciiTheme="majorBidi" w:hAnsiTheme="majorBidi" w:cstheme="majorBidi"/>
          <w:b/>
        </w:rPr>
        <w:t>SKK</w:t>
      </w:r>
      <w:r w:rsidRPr="00AF22DF">
        <w:rPr>
          <w:rFonts w:asciiTheme="majorBidi" w:hAnsiTheme="majorBidi" w:cstheme="majorBidi"/>
          <w:b/>
        </w:rPr>
        <w:noBreakHyphen/>
        <w:t>336/2025</w:t>
      </w:r>
    </w:p>
    <w:p w14:paraId="5197B422" w14:textId="1A7A4003" w:rsidR="00E17A3B" w:rsidRDefault="00AF22DF" w:rsidP="001D73E5">
      <w:pPr>
        <w:widowControl w:val="0"/>
        <w:spacing w:after="0" w:line="276" w:lineRule="auto"/>
        <w:jc w:val="center"/>
      </w:pPr>
      <w:hyperlink r:id="rId7" w:history="1">
        <w:r w:rsidRPr="00AF22DF">
          <w:rPr>
            <w:rStyle w:val="Hyperlink"/>
          </w:rPr>
          <w:t>ECLI:LV:AT:2025:0731.113100373</w:t>
        </w:r>
        <w:r w:rsidRPr="00AF22DF">
          <w:rPr>
            <w:rStyle w:val="Hyperlink"/>
          </w:rPr>
          <w:t>2</w:t>
        </w:r>
        <w:r w:rsidRPr="00AF22DF">
          <w:rPr>
            <w:rStyle w:val="Hyperlink"/>
          </w:rPr>
          <w:t>2.8.L</w:t>
        </w:r>
      </w:hyperlink>
    </w:p>
    <w:p w14:paraId="757FE123" w14:textId="77777777" w:rsidR="00AF22DF" w:rsidRDefault="00AF22DF" w:rsidP="00837E57">
      <w:pPr>
        <w:widowControl w:val="0"/>
        <w:spacing w:after="0" w:line="276" w:lineRule="auto"/>
        <w:ind w:firstLine="709"/>
        <w:jc w:val="both"/>
      </w:pPr>
    </w:p>
    <w:p w14:paraId="43E64D33" w14:textId="6147F920" w:rsidR="00E17A3B" w:rsidRDefault="00E17A3B" w:rsidP="00837E57">
      <w:pPr>
        <w:widowControl w:val="0"/>
        <w:spacing w:after="0" w:line="276" w:lineRule="auto"/>
        <w:ind w:firstLine="720"/>
        <w:jc w:val="both"/>
      </w:pPr>
      <w:r>
        <w:t>Senāts šādā sastāvā</w:t>
      </w:r>
      <w:r w:rsidRPr="007E0DE2">
        <w:t xml:space="preserve">: </w:t>
      </w:r>
      <w:r>
        <w:t>senatori</w:t>
      </w:r>
      <w:r w:rsidR="008C6F58">
        <w:t xml:space="preserve"> Māris Leja, Irīna Jansone, Anita Poļakova</w:t>
      </w:r>
      <w:r>
        <w:t>,</w:t>
      </w:r>
    </w:p>
    <w:p w14:paraId="752C76FD" w14:textId="77777777" w:rsidR="00E17A3B" w:rsidRDefault="00E17A3B" w:rsidP="00837E57">
      <w:pPr>
        <w:widowControl w:val="0"/>
        <w:spacing w:after="0" w:line="276" w:lineRule="auto"/>
        <w:ind w:firstLine="720"/>
        <w:jc w:val="both"/>
      </w:pPr>
    </w:p>
    <w:p w14:paraId="6C371F12" w14:textId="75AEFF03" w:rsidR="008C6F58" w:rsidRDefault="008C6F58" w:rsidP="00837E57">
      <w:pPr>
        <w:widowControl w:val="0"/>
        <w:spacing w:after="0" w:line="276" w:lineRule="auto"/>
        <w:ind w:firstLine="720"/>
        <w:jc w:val="both"/>
      </w:pPr>
      <w:r>
        <w:t xml:space="preserve">iepazinies ar apsūdzētā </w:t>
      </w:r>
      <w:r w:rsidR="00AF22DF">
        <w:t>[pers. A]</w:t>
      </w:r>
      <w:r>
        <w:t xml:space="preserve"> aizstāvja zvērināta advokāta Aivara Bērziņa kasācijas sūdzību par Zemgales apgabaltiesas 2025. gada 31. marta lēmumu, atzīst, ka ir pamats atteikt ierosināt kasācijas tiesvedību.</w:t>
      </w:r>
    </w:p>
    <w:p w14:paraId="6B843C25" w14:textId="6D3412D2" w:rsidR="008C6F58" w:rsidRDefault="00367028" w:rsidP="00837E57">
      <w:pPr>
        <w:widowControl w:val="0"/>
        <w:spacing w:after="0" w:line="276" w:lineRule="auto"/>
        <w:ind w:firstLine="720"/>
        <w:jc w:val="both"/>
        <w:rPr>
          <w:rFonts w:cs="Times New Roman"/>
          <w:szCs w:val="24"/>
        </w:rPr>
      </w:pPr>
      <w:r>
        <w:t>A</w:t>
      </w:r>
      <w:r w:rsidR="00811B62" w:rsidRPr="00811B62">
        <w:t>izstāvis kasācijas sūdzībā lūdz atcelt apelācijas instances tiesas</w:t>
      </w:r>
      <w:r w:rsidR="00811B62">
        <w:t xml:space="preserve"> lēmumu</w:t>
      </w:r>
      <w:r w:rsidR="002D6096">
        <w:t xml:space="preserve"> un</w:t>
      </w:r>
      <w:r w:rsidR="00811B62" w:rsidRPr="00811B62">
        <w:t xml:space="preserve"> nosūtīt lietu jaunai izskatīšanai</w:t>
      </w:r>
      <w:r w:rsidR="00AB6B86">
        <w:t xml:space="preserve"> sakarā ar</w:t>
      </w:r>
      <w:r w:rsidR="008C6F58" w:rsidRPr="00811B62">
        <w:rPr>
          <w:szCs w:val="24"/>
        </w:rPr>
        <w:t xml:space="preserve"> apelācijas instances tiesa</w:t>
      </w:r>
      <w:r w:rsidR="00AB6B86">
        <w:rPr>
          <w:szCs w:val="24"/>
        </w:rPr>
        <w:t>s</w:t>
      </w:r>
      <w:r w:rsidR="008C6F58" w:rsidRPr="00811B62">
        <w:rPr>
          <w:szCs w:val="24"/>
        </w:rPr>
        <w:t xml:space="preserve"> </w:t>
      </w:r>
      <w:r w:rsidR="00AB6B86">
        <w:rPr>
          <w:szCs w:val="24"/>
        </w:rPr>
        <w:t xml:space="preserve">pieļautajiem </w:t>
      </w:r>
      <w:r w:rsidR="008C6F58" w:rsidRPr="00811B62">
        <w:rPr>
          <w:szCs w:val="24"/>
        </w:rPr>
        <w:t>Kriminālprocesa likuma 511. panta otr</w:t>
      </w:r>
      <w:r w:rsidR="003F7AB8">
        <w:rPr>
          <w:szCs w:val="24"/>
        </w:rPr>
        <w:t>ās</w:t>
      </w:r>
      <w:r w:rsidR="008C6F58" w:rsidRPr="00811B62">
        <w:rPr>
          <w:szCs w:val="24"/>
        </w:rPr>
        <w:t xml:space="preserve"> daļ</w:t>
      </w:r>
      <w:r w:rsidR="003F7AB8">
        <w:rPr>
          <w:szCs w:val="24"/>
        </w:rPr>
        <w:t>as</w:t>
      </w:r>
      <w:r w:rsidR="008C6F58" w:rsidRPr="00811B62">
        <w:rPr>
          <w:szCs w:val="24"/>
        </w:rPr>
        <w:t>, 512. panta pirm</w:t>
      </w:r>
      <w:r w:rsidR="003F7AB8">
        <w:rPr>
          <w:szCs w:val="24"/>
        </w:rPr>
        <w:t>ās</w:t>
      </w:r>
      <w:r w:rsidR="008C6F58" w:rsidRPr="00811B62">
        <w:rPr>
          <w:szCs w:val="24"/>
        </w:rPr>
        <w:t xml:space="preserve"> daļ</w:t>
      </w:r>
      <w:r w:rsidR="003F7AB8">
        <w:rPr>
          <w:szCs w:val="24"/>
        </w:rPr>
        <w:t>as</w:t>
      </w:r>
      <w:r w:rsidR="008C6F58" w:rsidRPr="00811B62">
        <w:rPr>
          <w:szCs w:val="24"/>
        </w:rPr>
        <w:t xml:space="preserve"> un 564.</w:t>
      </w:r>
      <w:r w:rsidR="002D6096">
        <w:rPr>
          <w:szCs w:val="24"/>
        </w:rPr>
        <w:t> </w:t>
      </w:r>
      <w:r w:rsidR="008C6F58" w:rsidRPr="00811B62">
        <w:rPr>
          <w:szCs w:val="24"/>
        </w:rPr>
        <w:t xml:space="preserve">panta </w:t>
      </w:r>
      <w:r w:rsidR="008C6F58" w:rsidRPr="00354E78">
        <w:rPr>
          <w:szCs w:val="24"/>
        </w:rPr>
        <w:t>ceturt</w:t>
      </w:r>
      <w:r w:rsidR="003F7AB8">
        <w:rPr>
          <w:szCs w:val="24"/>
        </w:rPr>
        <w:t>ās</w:t>
      </w:r>
      <w:r w:rsidR="008C6F58" w:rsidRPr="00354E78">
        <w:rPr>
          <w:szCs w:val="24"/>
        </w:rPr>
        <w:t xml:space="preserve"> daļ</w:t>
      </w:r>
      <w:r w:rsidR="003F7AB8">
        <w:rPr>
          <w:szCs w:val="24"/>
        </w:rPr>
        <w:t>as pārkāpumiem</w:t>
      </w:r>
      <w:r w:rsidR="005A7B8A">
        <w:rPr>
          <w:szCs w:val="24"/>
        </w:rPr>
        <w:t xml:space="preserve">. </w:t>
      </w:r>
      <w:r w:rsidR="003F7AB8">
        <w:rPr>
          <w:szCs w:val="24"/>
        </w:rPr>
        <w:t>Aizstāvis norādījis, ka t</w:t>
      </w:r>
      <w:r w:rsidR="005A7B8A">
        <w:rPr>
          <w:szCs w:val="24"/>
        </w:rPr>
        <w:t xml:space="preserve">iesa nepamatoti </w:t>
      </w:r>
      <w:r w:rsidR="00BC2F57">
        <w:rPr>
          <w:szCs w:val="24"/>
        </w:rPr>
        <w:t xml:space="preserve">atzinusi apsūdzēto par vainīgu </w:t>
      </w:r>
      <w:r w:rsidR="005A7B8A">
        <w:rPr>
          <w:szCs w:val="24"/>
        </w:rPr>
        <w:t>Krimināllikuma 168.</w:t>
      </w:r>
      <w:r w:rsidR="005A7B8A" w:rsidRPr="00830B0C">
        <w:rPr>
          <w:szCs w:val="24"/>
          <w:vertAlign w:val="superscript"/>
        </w:rPr>
        <w:t>1</w:t>
      </w:r>
      <w:r w:rsidR="005A7B8A">
        <w:rPr>
          <w:szCs w:val="24"/>
        </w:rPr>
        <w:t> pantā paredzēt</w:t>
      </w:r>
      <w:r w:rsidR="00BC2F57">
        <w:rPr>
          <w:szCs w:val="24"/>
        </w:rPr>
        <w:t xml:space="preserve">ajā </w:t>
      </w:r>
      <w:r w:rsidR="005A7B8A">
        <w:rPr>
          <w:szCs w:val="24"/>
        </w:rPr>
        <w:t>noziedzīg</w:t>
      </w:r>
      <w:r w:rsidR="00BC2F57">
        <w:rPr>
          <w:szCs w:val="24"/>
        </w:rPr>
        <w:t>ajā</w:t>
      </w:r>
      <w:r w:rsidR="005A7B8A">
        <w:rPr>
          <w:szCs w:val="24"/>
        </w:rPr>
        <w:t xml:space="preserve"> nodarījum</w:t>
      </w:r>
      <w:r w:rsidR="00BC2F57">
        <w:rPr>
          <w:szCs w:val="24"/>
        </w:rPr>
        <w:t>ā</w:t>
      </w:r>
      <w:r w:rsidR="002874D2">
        <w:rPr>
          <w:szCs w:val="24"/>
        </w:rPr>
        <w:t xml:space="preserve">, jo </w:t>
      </w:r>
      <w:r w:rsidR="005A7B8A">
        <w:rPr>
          <w:szCs w:val="24"/>
        </w:rPr>
        <w:t>apsūdzētais, kura dzīvesvieta ir ārvalstī, netika likumā noteiktā kārtībā iepazīstināts ar nolēmumu par aizsardzību pret vardarbību. T</w:t>
      </w:r>
      <w:r w:rsidR="00BC2F57">
        <w:rPr>
          <w:szCs w:val="24"/>
        </w:rPr>
        <w:t xml:space="preserve">ādējādi apsūdzētā </w:t>
      </w:r>
      <w:r w:rsidR="00BF4BF8">
        <w:rPr>
          <w:szCs w:val="24"/>
        </w:rPr>
        <w:t>rīcībā</w:t>
      </w:r>
      <w:r w:rsidR="00BC2F57">
        <w:rPr>
          <w:szCs w:val="24"/>
        </w:rPr>
        <w:t xml:space="preserve"> nav konstatējama ļaunprātība, kas ir obligāta inkriminētā noziedzīgā nodarījuma sastāva pazīme</w:t>
      </w:r>
      <w:r w:rsidR="008C6F58" w:rsidRPr="00354E78">
        <w:rPr>
          <w:szCs w:val="24"/>
        </w:rPr>
        <w:t>.</w:t>
      </w:r>
    </w:p>
    <w:p w14:paraId="30C113CA" w14:textId="77777777" w:rsidR="00354E78" w:rsidRDefault="00354E78" w:rsidP="00837E57">
      <w:pPr>
        <w:widowControl w:val="0"/>
        <w:spacing w:after="0" w:line="276" w:lineRule="auto"/>
        <w:ind w:firstLine="720"/>
        <w:jc w:val="both"/>
        <w:rPr>
          <w:rFonts w:cs="Times New Roman"/>
          <w:color w:val="000000" w:themeColor="text1"/>
        </w:rPr>
      </w:pPr>
      <w:r w:rsidRPr="000200B8">
        <w:rPr>
          <w:rFonts w:cs="Times New Roman"/>
          <w:color w:val="000000" w:themeColor="text1"/>
        </w:rPr>
        <w:t>Saskaņā ar Kriminālprocesa likuma 573.</w:t>
      </w:r>
      <w:r w:rsidRPr="000200B8">
        <w:rPr>
          <w:rFonts w:cs="Times New Roman"/>
          <w:color w:val="000000" w:themeColor="text1"/>
          <w:vertAlign w:val="superscript"/>
        </w:rPr>
        <w:t>1</w:t>
      </w:r>
      <w:r w:rsidRPr="000200B8">
        <w:rPr>
          <w:rFonts w:cs="Times New Roman"/>
          <w:color w:val="000000" w:themeColor="text1"/>
        </w:rPr>
        <w:t> panta otrās daļas otro punktu tiesa var atteikties ierosināt kasācijas tiesvedību, ja, izvērtējot kasācijas sūdzībā minētos argumentus, nerodas šaubas par pārsūdzētā nolēmuma tiesiskumu un izskatāmajai lietai nav būtiskas nozīmes judikatūras veidošanā.</w:t>
      </w:r>
    </w:p>
    <w:p w14:paraId="40A246C0" w14:textId="77777777" w:rsidR="00711E20" w:rsidRDefault="00354E78" w:rsidP="00837E57">
      <w:pPr>
        <w:widowControl w:val="0"/>
        <w:spacing w:after="0" w:line="276" w:lineRule="auto"/>
        <w:ind w:firstLine="720"/>
        <w:jc w:val="both"/>
        <w:rPr>
          <w:rFonts w:cs="Times New Roman"/>
          <w:color w:val="000000" w:themeColor="text1"/>
        </w:rPr>
      </w:pPr>
      <w:r>
        <w:rPr>
          <w:rFonts w:cs="Times New Roman"/>
          <w:color w:val="000000" w:themeColor="text1"/>
        </w:rPr>
        <w:t xml:space="preserve">Krimināllikuma </w:t>
      </w:r>
      <w:r w:rsidRPr="00354E78">
        <w:rPr>
          <w:rFonts w:cs="Times New Roman"/>
          <w:color w:val="000000" w:themeColor="text1"/>
        </w:rPr>
        <w:t>168.</w:t>
      </w:r>
      <w:r w:rsidRPr="00354E78">
        <w:rPr>
          <w:rFonts w:cs="Times New Roman"/>
          <w:color w:val="000000" w:themeColor="text1"/>
          <w:vertAlign w:val="superscript"/>
        </w:rPr>
        <w:t>1</w:t>
      </w:r>
      <w:r w:rsidRPr="00354E78">
        <w:rPr>
          <w:rFonts w:cs="Times New Roman"/>
          <w:color w:val="000000" w:themeColor="text1"/>
        </w:rPr>
        <w:t> pants paredz atbildību par ļaunprātīgu nolēmuma par aizsardzību pret vardarbību nepildīšanu</w:t>
      </w:r>
      <w:r w:rsidR="00711E20">
        <w:rPr>
          <w:rFonts w:cs="Times New Roman"/>
          <w:color w:val="000000" w:themeColor="text1"/>
        </w:rPr>
        <w:t>.</w:t>
      </w:r>
    </w:p>
    <w:p w14:paraId="7A24474E" w14:textId="7F1B6F06" w:rsidR="00E575CF" w:rsidRDefault="00830B0C" w:rsidP="00837E57">
      <w:pPr>
        <w:widowControl w:val="0"/>
        <w:spacing w:after="0" w:line="276" w:lineRule="auto"/>
        <w:ind w:firstLine="720"/>
        <w:jc w:val="both"/>
        <w:rPr>
          <w:rFonts w:cs="Times New Roman"/>
          <w:color w:val="000000" w:themeColor="text1"/>
        </w:rPr>
      </w:pPr>
      <w:r>
        <w:rPr>
          <w:rFonts w:cs="Times New Roman"/>
          <w:color w:val="000000" w:themeColor="text1"/>
        </w:rPr>
        <w:t xml:space="preserve">No Krimināllikuma </w:t>
      </w:r>
      <w:r w:rsidRPr="00354E78">
        <w:rPr>
          <w:rFonts w:cs="Times New Roman"/>
          <w:color w:val="000000" w:themeColor="text1"/>
        </w:rPr>
        <w:t>168.</w:t>
      </w:r>
      <w:r w:rsidRPr="00354E78">
        <w:rPr>
          <w:rFonts w:cs="Times New Roman"/>
          <w:color w:val="000000" w:themeColor="text1"/>
          <w:vertAlign w:val="superscript"/>
        </w:rPr>
        <w:t>1</w:t>
      </w:r>
      <w:r w:rsidRPr="00354E78">
        <w:rPr>
          <w:rFonts w:cs="Times New Roman"/>
          <w:color w:val="000000" w:themeColor="text1"/>
        </w:rPr>
        <w:t> pant</w:t>
      </w:r>
      <w:r>
        <w:rPr>
          <w:rFonts w:cs="Times New Roman"/>
          <w:color w:val="000000" w:themeColor="text1"/>
        </w:rPr>
        <w:t>a</w:t>
      </w:r>
      <w:r w:rsidR="00711E20">
        <w:rPr>
          <w:rFonts w:cs="Times New Roman"/>
          <w:color w:val="000000" w:themeColor="text1"/>
        </w:rPr>
        <w:t xml:space="preserve"> dispozīcija</w:t>
      </w:r>
      <w:r>
        <w:rPr>
          <w:rFonts w:cs="Times New Roman"/>
          <w:color w:val="000000" w:themeColor="text1"/>
        </w:rPr>
        <w:t>s redzams, ka</w:t>
      </w:r>
      <w:r w:rsidR="00711E20">
        <w:rPr>
          <w:rFonts w:cs="Times New Roman"/>
          <w:color w:val="000000" w:themeColor="text1"/>
        </w:rPr>
        <w:t xml:space="preserve"> šā noziedzīgā nodarījuma sastāv</w:t>
      </w:r>
      <w:r w:rsidR="000F01D3">
        <w:rPr>
          <w:rFonts w:cs="Times New Roman"/>
          <w:color w:val="000000" w:themeColor="text1"/>
        </w:rPr>
        <w:t>ā nav</w:t>
      </w:r>
      <w:r>
        <w:rPr>
          <w:rFonts w:cs="Times New Roman"/>
          <w:color w:val="000000" w:themeColor="text1"/>
        </w:rPr>
        <w:t xml:space="preserve"> </w:t>
      </w:r>
      <w:r w:rsidR="00711E20">
        <w:rPr>
          <w:rFonts w:cs="Times New Roman"/>
          <w:color w:val="000000" w:themeColor="text1"/>
        </w:rPr>
        <w:t>pazīm</w:t>
      </w:r>
      <w:r w:rsidR="000F01D3">
        <w:rPr>
          <w:rFonts w:cs="Times New Roman"/>
          <w:color w:val="000000" w:themeColor="text1"/>
        </w:rPr>
        <w:t>ju</w:t>
      </w:r>
      <w:r w:rsidR="00BC2F57">
        <w:rPr>
          <w:rFonts w:cs="Times New Roman"/>
          <w:color w:val="000000" w:themeColor="text1"/>
        </w:rPr>
        <w:t xml:space="preserve">, kas </w:t>
      </w:r>
      <w:r w:rsidR="00711E20">
        <w:rPr>
          <w:rFonts w:cs="Times New Roman"/>
          <w:color w:val="000000" w:themeColor="text1"/>
        </w:rPr>
        <w:t xml:space="preserve">raksturotu </w:t>
      </w:r>
      <w:r w:rsidR="006F35CF">
        <w:rPr>
          <w:rFonts w:cs="Times New Roman"/>
          <w:color w:val="000000" w:themeColor="text1"/>
        </w:rPr>
        <w:t>kārtību, kādā personai paziņojams</w:t>
      </w:r>
      <w:r w:rsidR="00711E20">
        <w:rPr>
          <w:rFonts w:cs="Times New Roman"/>
          <w:color w:val="000000" w:themeColor="text1"/>
        </w:rPr>
        <w:t xml:space="preserve"> nolēmum</w:t>
      </w:r>
      <w:r w:rsidR="006F35CF">
        <w:rPr>
          <w:rFonts w:cs="Times New Roman"/>
          <w:color w:val="000000" w:themeColor="text1"/>
        </w:rPr>
        <w:t>s</w:t>
      </w:r>
      <w:r w:rsidR="00711E20">
        <w:rPr>
          <w:rFonts w:cs="Times New Roman"/>
          <w:color w:val="000000" w:themeColor="text1"/>
        </w:rPr>
        <w:t xml:space="preserve"> par aizsardzību pret vardarbību. </w:t>
      </w:r>
      <w:r w:rsidR="00426A87">
        <w:rPr>
          <w:rFonts w:cs="Times New Roman"/>
          <w:color w:val="000000" w:themeColor="text1"/>
        </w:rPr>
        <w:t xml:space="preserve">Tādējādi </w:t>
      </w:r>
      <w:r w:rsidR="00E575CF" w:rsidRPr="00E575CF">
        <w:rPr>
          <w:rFonts w:cs="Times New Roman"/>
          <w:color w:val="000000" w:themeColor="text1"/>
        </w:rPr>
        <w:t xml:space="preserve">nozīme </w:t>
      </w:r>
      <w:r w:rsidR="00426A87">
        <w:rPr>
          <w:rFonts w:cs="Times New Roman"/>
          <w:color w:val="000000" w:themeColor="text1"/>
        </w:rPr>
        <w:t xml:space="preserve">personas saukšanai pie kriminālatbildības </w:t>
      </w:r>
      <w:r w:rsidR="003D4FB0">
        <w:rPr>
          <w:rFonts w:cs="Times New Roman"/>
          <w:color w:val="000000" w:themeColor="text1"/>
        </w:rPr>
        <w:t xml:space="preserve">par šo </w:t>
      </w:r>
      <w:r w:rsidR="00C72CD0">
        <w:rPr>
          <w:rFonts w:cs="Times New Roman"/>
          <w:color w:val="000000" w:themeColor="text1"/>
        </w:rPr>
        <w:t xml:space="preserve">noziedzīgo </w:t>
      </w:r>
      <w:r w:rsidR="003D4FB0">
        <w:rPr>
          <w:rFonts w:cs="Times New Roman"/>
          <w:color w:val="000000" w:themeColor="text1"/>
        </w:rPr>
        <w:t>nodarījumu</w:t>
      </w:r>
      <w:r w:rsidR="00426A87">
        <w:rPr>
          <w:rFonts w:cs="Times New Roman"/>
          <w:color w:val="000000" w:themeColor="text1"/>
        </w:rPr>
        <w:t xml:space="preserve"> </w:t>
      </w:r>
      <w:r w:rsidR="00E575CF" w:rsidRPr="00E575CF">
        <w:rPr>
          <w:rFonts w:cs="Times New Roman"/>
          <w:color w:val="000000" w:themeColor="text1"/>
        </w:rPr>
        <w:t xml:space="preserve">ir tam, vai persona faktiski </w:t>
      </w:r>
      <w:r w:rsidR="00426A87">
        <w:rPr>
          <w:rFonts w:cs="Times New Roman"/>
          <w:color w:val="000000" w:themeColor="text1"/>
        </w:rPr>
        <w:t xml:space="preserve">zināja </w:t>
      </w:r>
      <w:r w:rsidR="00E575CF" w:rsidRPr="00E575CF">
        <w:rPr>
          <w:rFonts w:cs="Times New Roman"/>
          <w:color w:val="000000" w:themeColor="text1"/>
        </w:rPr>
        <w:t xml:space="preserve">par pieņemto </w:t>
      </w:r>
      <w:r w:rsidR="00426A87">
        <w:rPr>
          <w:rFonts w:cs="Times New Roman"/>
          <w:color w:val="000000" w:themeColor="text1"/>
        </w:rPr>
        <w:t>no</w:t>
      </w:r>
      <w:r w:rsidR="00E575CF" w:rsidRPr="00E575CF">
        <w:rPr>
          <w:rFonts w:cs="Times New Roman"/>
          <w:color w:val="000000" w:themeColor="text1"/>
        </w:rPr>
        <w:t>lēmumu</w:t>
      </w:r>
      <w:r w:rsidR="00B67317">
        <w:rPr>
          <w:rFonts w:cs="Times New Roman"/>
          <w:color w:val="000000" w:themeColor="text1"/>
        </w:rPr>
        <w:t xml:space="preserve"> un tajā noteiktajiem aizliegumiem un ierobežojumiem</w:t>
      </w:r>
      <w:r w:rsidR="00E575CF">
        <w:rPr>
          <w:rFonts w:cs="Times New Roman"/>
          <w:color w:val="000000" w:themeColor="text1"/>
        </w:rPr>
        <w:t>.</w:t>
      </w:r>
    </w:p>
    <w:p w14:paraId="73047A87" w14:textId="2454A347" w:rsidR="00CD0200" w:rsidRDefault="006F35CF" w:rsidP="00837E57">
      <w:pPr>
        <w:widowControl w:val="0"/>
        <w:spacing w:after="0" w:line="276" w:lineRule="auto"/>
        <w:ind w:firstLine="720"/>
        <w:jc w:val="both"/>
        <w:rPr>
          <w:rFonts w:cs="Times New Roman"/>
          <w:color w:val="000000" w:themeColor="text1"/>
        </w:rPr>
      </w:pPr>
      <w:r>
        <w:rPr>
          <w:rFonts w:cs="Times New Roman"/>
          <w:color w:val="000000" w:themeColor="text1"/>
        </w:rPr>
        <w:t xml:space="preserve">Apelācijas instances tiesa, atstājot negrozītu pirmās instances tiesas spriedumu, atzinusi par pareizu pirmās instances tiesas secinājumu, ka lietā </w:t>
      </w:r>
      <w:r w:rsidR="00BF4BF8">
        <w:rPr>
          <w:rFonts w:cs="Times New Roman"/>
          <w:color w:val="000000" w:themeColor="text1"/>
        </w:rPr>
        <w:t>esošie</w:t>
      </w:r>
      <w:r>
        <w:rPr>
          <w:rFonts w:cs="Times New Roman"/>
          <w:color w:val="000000" w:themeColor="text1"/>
        </w:rPr>
        <w:t xml:space="preserve"> pierādījumi to kopumā un savstarpējā sakarībā</w:t>
      </w:r>
      <w:r w:rsidR="00BF4BF8">
        <w:rPr>
          <w:rFonts w:cs="Times New Roman"/>
          <w:color w:val="000000" w:themeColor="text1"/>
        </w:rPr>
        <w:t xml:space="preserve"> </w:t>
      </w:r>
      <w:r>
        <w:rPr>
          <w:rFonts w:cs="Times New Roman"/>
          <w:color w:val="000000" w:themeColor="text1"/>
        </w:rPr>
        <w:t>apstiprina, ka policijas amatpersona telefoniski paziņoj</w:t>
      </w:r>
      <w:r w:rsidR="00B67317">
        <w:rPr>
          <w:rFonts w:cs="Times New Roman"/>
          <w:color w:val="000000" w:themeColor="text1"/>
        </w:rPr>
        <w:t>usi</w:t>
      </w:r>
      <w:r>
        <w:rPr>
          <w:rFonts w:cs="Times New Roman"/>
          <w:color w:val="000000" w:themeColor="text1"/>
        </w:rPr>
        <w:t xml:space="preserve"> apsūdzētajam </w:t>
      </w:r>
      <w:r w:rsidR="00AF22DF">
        <w:t>[pers. A]</w:t>
      </w:r>
      <w:r>
        <w:rPr>
          <w:rFonts w:cs="Times New Roman"/>
          <w:color w:val="000000" w:themeColor="text1"/>
        </w:rPr>
        <w:t xml:space="preserve"> par nolēmuma par aizsardzību pret vardarbību pieņemšanu</w:t>
      </w:r>
      <w:r w:rsidR="00BF4BF8">
        <w:rPr>
          <w:rFonts w:cs="Times New Roman"/>
          <w:color w:val="000000" w:themeColor="text1"/>
        </w:rPr>
        <w:t>, izskaidrojusi viņam</w:t>
      </w:r>
      <w:r w:rsidR="00B67317">
        <w:rPr>
          <w:rFonts w:cs="Times New Roman"/>
          <w:color w:val="000000" w:themeColor="text1"/>
        </w:rPr>
        <w:t xml:space="preserve"> šī</w:t>
      </w:r>
      <w:r>
        <w:rPr>
          <w:rFonts w:cs="Times New Roman"/>
          <w:color w:val="000000" w:themeColor="text1"/>
        </w:rPr>
        <w:t xml:space="preserve"> nolēmuma saturu, </w:t>
      </w:r>
      <w:r w:rsidR="00BF4BF8">
        <w:rPr>
          <w:rFonts w:cs="Times New Roman"/>
          <w:color w:val="000000" w:themeColor="text1"/>
        </w:rPr>
        <w:t xml:space="preserve">būtību, spēkā esamību un atbildību par tā nepildīšanu, tai skaitā atbildot uz apsūdzētā jautājumiem, un nosūtījusi nolēmumu uz apsūdzētā norādīto elektroniskā pasta adresi. </w:t>
      </w:r>
      <w:r w:rsidR="00886B25">
        <w:rPr>
          <w:rFonts w:cs="Times New Roman"/>
          <w:color w:val="000000" w:themeColor="text1"/>
        </w:rPr>
        <w:t>A</w:t>
      </w:r>
      <w:r w:rsidR="00CD0200">
        <w:rPr>
          <w:rFonts w:cs="Times New Roman"/>
          <w:color w:val="000000" w:themeColor="text1"/>
        </w:rPr>
        <w:t xml:space="preserve">psūdzētā </w:t>
      </w:r>
      <w:r w:rsidR="00AF22DF">
        <w:t>[pers. A]</w:t>
      </w:r>
      <w:r w:rsidR="00CD0200">
        <w:rPr>
          <w:rFonts w:cs="Times New Roman"/>
          <w:color w:val="000000" w:themeColor="text1"/>
        </w:rPr>
        <w:t xml:space="preserve"> apgalvojumu, ka viņš nav varējis atvērt saņemtā elektroniskā pasta pielikumu</w:t>
      </w:r>
      <w:r w:rsidR="00886B25">
        <w:rPr>
          <w:rFonts w:cs="Times New Roman"/>
          <w:color w:val="000000" w:themeColor="text1"/>
        </w:rPr>
        <w:t>, neapstiprina lietā esošie pierādījumi.</w:t>
      </w:r>
    </w:p>
    <w:p w14:paraId="30945352" w14:textId="1E7E2A42" w:rsidR="004E18DD" w:rsidRPr="00C72CD0" w:rsidRDefault="00830B0C" w:rsidP="00837E57">
      <w:pPr>
        <w:widowControl w:val="0"/>
        <w:spacing w:after="0" w:line="276" w:lineRule="auto"/>
        <w:ind w:firstLine="720"/>
        <w:jc w:val="both"/>
        <w:rPr>
          <w:rFonts w:cs="Times New Roman"/>
          <w:strike/>
          <w:color w:val="000000" w:themeColor="text1"/>
        </w:rPr>
      </w:pPr>
      <w:r w:rsidRPr="00693A7A">
        <w:rPr>
          <w:rFonts w:cs="Times New Roman"/>
          <w:color w:val="000000" w:themeColor="text1"/>
        </w:rPr>
        <w:t>Ievērojot minēto,</w:t>
      </w:r>
      <w:r w:rsidR="00DD3E28" w:rsidRPr="00693A7A">
        <w:rPr>
          <w:rFonts w:cs="Times New Roman"/>
          <w:color w:val="000000" w:themeColor="text1"/>
        </w:rPr>
        <w:t xml:space="preserve"> </w:t>
      </w:r>
      <w:r w:rsidRPr="00693A7A">
        <w:rPr>
          <w:rFonts w:cs="Times New Roman"/>
          <w:color w:val="000000" w:themeColor="text1"/>
        </w:rPr>
        <w:t xml:space="preserve">tiesa atzinusi, ka ārpus </w:t>
      </w:r>
      <w:r w:rsidR="000F01D3" w:rsidRPr="00693A7A">
        <w:rPr>
          <w:rFonts w:cs="Times New Roman"/>
          <w:color w:val="000000" w:themeColor="text1"/>
        </w:rPr>
        <w:t xml:space="preserve">saprātīgām </w:t>
      </w:r>
      <w:r w:rsidRPr="00693A7A">
        <w:rPr>
          <w:rFonts w:cs="Times New Roman"/>
          <w:color w:val="000000" w:themeColor="text1"/>
        </w:rPr>
        <w:t>šaubām</w:t>
      </w:r>
      <w:r w:rsidR="00375A78" w:rsidRPr="00C72CD0">
        <w:rPr>
          <w:rFonts w:cs="Times New Roman"/>
          <w:color w:val="000000" w:themeColor="text1"/>
        </w:rPr>
        <w:t xml:space="preserve"> ir pierādīts, ka apsūdzētais bija informēts par viņam noteikt</w:t>
      </w:r>
      <w:r w:rsidR="00693A7A" w:rsidRPr="00C72CD0">
        <w:rPr>
          <w:rFonts w:cs="Times New Roman"/>
          <w:color w:val="000000" w:themeColor="text1"/>
        </w:rPr>
        <w:t>ajiem</w:t>
      </w:r>
      <w:r w:rsidR="00B67317">
        <w:rPr>
          <w:rFonts w:cs="Times New Roman"/>
          <w:color w:val="000000" w:themeColor="text1"/>
        </w:rPr>
        <w:t xml:space="preserve"> aizliegumiem</w:t>
      </w:r>
      <w:r w:rsidR="00D72444">
        <w:rPr>
          <w:rFonts w:cs="Times New Roman"/>
          <w:color w:val="000000" w:themeColor="text1"/>
        </w:rPr>
        <w:t>.</w:t>
      </w:r>
    </w:p>
    <w:p w14:paraId="502C9549" w14:textId="377B8ACC" w:rsidR="00693A7A" w:rsidRDefault="00693A7A" w:rsidP="00693A7A">
      <w:pPr>
        <w:widowControl w:val="0"/>
        <w:spacing w:after="0" w:line="276" w:lineRule="auto"/>
        <w:ind w:firstLine="720"/>
        <w:jc w:val="both"/>
        <w:rPr>
          <w:rFonts w:cs="Times New Roman"/>
          <w:color w:val="000000" w:themeColor="text1"/>
        </w:rPr>
      </w:pPr>
      <w:r>
        <w:rPr>
          <w:rFonts w:cs="Times New Roman"/>
          <w:color w:val="000000" w:themeColor="text1"/>
        </w:rPr>
        <w:t xml:space="preserve">Arī aizstāvis kasācijas sūdzībā nav apstrīdējis tiesas par pierādītiem atzītos faktiskos apstākļus, kādos apsūdzētais ticis informēts par nolēmumu par aizsardzību pret vardarbību </w:t>
      </w:r>
      <w:r>
        <w:rPr>
          <w:rFonts w:cs="Times New Roman"/>
          <w:color w:val="000000" w:themeColor="text1"/>
        </w:rPr>
        <w:lastRenderedPageBreak/>
        <w:t>pieņemšanu un brīdināts par kriminālatbildību tā nepildīšanas gadījumā.</w:t>
      </w:r>
    </w:p>
    <w:p w14:paraId="6AB0044D" w14:textId="2FC71771" w:rsidR="00FE6AB8" w:rsidRDefault="00C72CD0" w:rsidP="00837E57">
      <w:pPr>
        <w:widowControl w:val="0"/>
        <w:spacing w:after="0" w:line="276" w:lineRule="auto"/>
        <w:ind w:firstLine="720"/>
        <w:jc w:val="both"/>
        <w:rPr>
          <w:rFonts w:cs="Times New Roman"/>
          <w:color w:val="000000" w:themeColor="text1"/>
        </w:rPr>
      </w:pPr>
      <w:r>
        <w:rPr>
          <w:rFonts w:cs="Times New Roman"/>
          <w:color w:val="000000" w:themeColor="text1"/>
        </w:rPr>
        <w:t>Apelācijas instances tiesa</w:t>
      </w:r>
      <w:r w:rsidR="00890CE2">
        <w:rPr>
          <w:rFonts w:cs="Times New Roman"/>
          <w:color w:val="000000" w:themeColor="text1"/>
        </w:rPr>
        <w:t xml:space="preserve"> izvērtēj</w:t>
      </w:r>
      <w:r w:rsidR="00D9628F">
        <w:rPr>
          <w:rFonts w:cs="Times New Roman"/>
          <w:color w:val="000000" w:themeColor="text1"/>
        </w:rPr>
        <w:t>usi</w:t>
      </w:r>
      <w:r w:rsidR="00890CE2">
        <w:rPr>
          <w:rFonts w:cs="Times New Roman"/>
          <w:color w:val="000000" w:themeColor="text1"/>
        </w:rPr>
        <w:t xml:space="preserve"> apsūdzētā darbības, ko atzinusi par pierādītām,</w:t>
      </w:r>
      <w:r w:rsidR="00D9628F">
        <w:rPr>
          <w:rFonts w:cs="Times New Roman"/>
          <w:color w:val="000000" w:themeColor="text1"/>
        </w:rPr>
        <w:t xml:space="preserve"> un</w:t>
      </w:r>
      <w:r>
        <w:rPr>
          <w:rFonts w:cs="Times New Roman"/>
          <w:color w:val="000000" w:themeColor="text1"/>
        </w:rPr>
        <w:t xml:space="preserve"> secinājusi, ka </w:t>
      </w:r>
      <w:r w:rsidR="00FE6AB8" w:rsidRPr="00FE6AB8">
        <w:rPr>
          <w:rFonts w:cs="Times New Roman"/>
          <w:color w:val="000000" w:themeColor="text1"/>
        </w:rPr>
        <w:t>apsūdzētā rīcība</w:t>
      </w:r>
      <w:r w:rsidR="00FE6AB8">
        <w:rPr>
          <w:rFonts w:cs="Times New Roman"/>
          <w:color w:val="000000" w:themeColor="text1"/>
        </w:rPr>
        <w:t>,</w:t>
      </w:r>
      <w:r w:rsidR="00FE6AB8" w:rsidRPr="00FE6AB8">
        <w:rPr>
          <w:rFonts w:cs="Times New Roman"/>
          <w:color w:val="000000" w:themeColor="text1"/>
        </w:rPr>
        <w:t xml:space="preserve"> pārkāpjot </w:t>
      </w:r>
      <w:r w:rsidR="00FE6AB8">
        <w:rPr>
          <w:rFonts w:cs="Times New Roman"/>
          <w:color w:val="000000" w:themeColor="text1"/>
        </w:rPr>
        <w:t xml:space="preserve">viņam </w:t>
      </w:r>
      <w:r w:rsidR="00FE6AB8" w:rsidRPr="00FE6AB8">
        <w:rPr>
          <w:rFonts w:cs="Times New Roman"/>
          <w:color w:val="000000" w:themeColor="text1"/>
        </w:rPr>
        <w:t>ar tiesas lēmumu noteiktos aizliegumus</w:t>
      </w:r>
      <w:r w:rsidR="00FE6AB8">
        <w:rPr>
          <w:rFonts w:cs="Times New Roman"/>
          <w:color w:val="000000" w:themeColor="text1"/>
        </w:rPr>
        <w:t xml:space="preserve">, </w:t>
      </w:r>
      <w:r>
        <w:rPr>
          <w:rFonts w:cs="Times New Roman"/>
          <w:color w:val="000000" w:themeColor="text1"/>
        </w:rPr>
        <w:t>bija</w:t>
      </w:r>
      <w:r w:rsidR="00FE6AB8" w:rsidRPr="00FE6AB8">
        <w:rPr>
          <w:rFonts w:cs="Times New Roman"/>
          <w:color w:val="000000" w:themeColor="text1"/>
        </w:rPr>
        <w:t xml:space="preserve"> ļaunprātīga.</w:t>
      </w:r>
    </w:p>
    <w:p w14:paraId="066F0DC1" w14:textId="3DBEA044" w:rsidR="00830B0C" w:rsidRDefault="00340EAA" w:rsidP="00837E57">
      <w:pPr>
        <w:widowControl w:val="0"/>
        <w:spacing w:after="0" w:line="276" w:lineRule="auto"/>
        <w:ind w:firstLine="720"/>
        <w:jc w:val="both"/>
        <w:rPr>
          <w:rFonts w:cs="Times New Roman"/>
          <w:color w:val="000000" w:themeColor="text1"/>
        </w:rPr>
      </w:pPr>
      <w:r>
        <w:t>Tādējādi</w:t>
      </w:r>
      <w:r w:rsidR="00830B0C">
        <w:t xml:space="preserve"> aizstāvja kasācijas sūdzības argumenti nerada šaubas par pārsūdzētā nolēmuma tiesiskumu. Turk</w:t>
      </w:r>
      <w:r w:rsidR="00375A78">
        <w:t>l</w:t>
      </w:r>
      <w:r w:rsidR="00830B0C">
        <w:t xml:space="preserve">āt izskatāmai lietai nav </w:t>
      </w:r>
      <w:r w:rsidR="00830B0C" w:rsidRPr="000200B8">
        <w:rPr>
          <w:rFonts w:cs="Times New Roman"/>
          <w:color w:val="000000" w:themeColor="text1"/>
        </w:rPr>
        <w:t>būtiskas nozīmes judikatūras veidošanā</w:t>
      </w:r>
      <w:r w:rsidR="00830B0C">
        <w:rPr>
          <w:rFonts w:cs="Times New Roman"/>
          <w:color w:val="000000" w:themeColor="text1"/>
        </w:rPr>
        <w:t>.</w:t>
      </w:r>
    </w:p>
    <w:p w14:paraId="0D981DC0" w14:textId="361F7E01" w:rsidR="00E17A3B" w:rsidRDefault="00E17A3B" w:rsidP="00837E57">
      <w:pPr>
        <w:widowControl w:val="0"/>
        <w:spacing w:after="0" w:line="276" w:lineRule="auto"/>
        <w:ind w:firstLine="720"/>
        <w:jc w:val="both"/>
      </w:pPr>
      <w:r>
        <w:t>Minētais ir pamats atteikumam ierosināt kasācijas tiesvedību saskaņā ar Kriminālprocesa likuma 573.</w:t>
      </w:r>
      <w:r w:rsidRPr="003A4F59">
        <w:rPr>
          <w:vertAlign w:val="superscript"/>
        </w:rPr>
        <w:t>1</w:t>
      </w:r>
      <w:r>
        <w:t xml:space="preserve"> panta </w:t>
      </w:r>
      <w:r w:rsidR="00512169">
        <w:t>otrās</w:t>
      </w:r>
      <w:r>
        <w:t xml:space="preserve"> daļ</w:t>
      </w:r>
      <w:r w:rsidR="00512169">
        <w:t>as 2. punktu</w:t>
      </w:r>
      <w:r>
        <w:t>.</w:t>
      </w:r>
    </w:p>
    <w:p w14:paraId="1FBA1782" w14:textId="047AACE5" w:rsidR="00E17A3B" w:rsidRPr="00A94655" w:rsidRDefault="00E17A3B" w:rsidP="00837E57">
      <w:pPr>
        <w:widowControl w:val="0"/>
        <w:autoSpaceDE w:val="0"/>
        <w:autoSpaceDN w:val="0"/>
        <w:adjustRightInd w:val="0"/>
        <w:spacing w:after="0" w:line="276" w:lineRule="auto"/>
        <w:ind w:firstLine="720"/>
        <w:jc w:val="both"/>
        <w:rPr>
          <w:rFonts w:cs="Times New Roman"/>
          <w:color w:val="000000" w:themeColor="text1"/>
          <w:szCs w:val="24"/>
        </w:rPr>
      </w:pPr>
      <w:r w:rsidRPr="00A94655">
        <w:rPr>
          <w:rFonts w:cs="Times New Roman"/>
          <w:color w:val="000000" w:themeColor="text1"/>
          <w:szCs w:val="24"/>
        </w:rPr>
        <w:t>Pamatojoties uz Kriminālprocesa likuma 573. panta trešo un piekto daļu, 573.</w:t>
      </w:r>
      <w:r w:rsidRPr="00A94655">
        <w:rPr>
          <w:rFonts w:cs="Times New Roman"/>
          <w:color w:val="000000" w:themeColor="text1"/>
          <w:szCs w:val="24"/>
          <w:vertAlign w:val="superscript"/>
        </w:rPr>
        <w:t>1</w:t>
      </w:r>
      <w:r w:rsidRPr="00A02678">
        <w:rPr>
          <w:rFonts w:cs="Times New Roman"/>
          <w:color w:val="000000" w:themeColor="text1"/>
          <w:szCs w:val="24"/>
        </w:rPr>
        <w:t> </w:t>
      </w:r>
      <w:r w:rsidRPr="00A94655">
        <w:rPr>
          <w:rFonts w:cs="Times New Roman"/>
          <w:color w:val="000000" w:themeColor="text1"/>
          <w:szCs w:val="24"/>
        </w:rPr>
        <w:t xml:space="preserve">panta </w:t>
      </w:r>
      <w:r w:rsidR="00F73904">
        <w:rPr>
          <w:rFonts w:cs="Times New Roman"/>
          <w:color w:val="000000" w:themeColor="text1"/>
          <w:szCs w:val="24"/>
        </w:rPr>
        <w:t>otrās daļas 2. punktu</w:t>
      </w:r>
      <w:r w:rsidRPr="00A94655">
        <w:rPr>
          <w:rFonts w:cs="Times New Roman"/>
          <w:color w:val="000000" w:themeColor="text1"/>
          <w:szCs w:val="24"/>
        </w:rPr>
        <w:t>, Senāts</w:t>
      </w:r>
    </w:p>
    <w:p w14:paraId="41249804" w14:textId="77777777" w:rsidR="00E17A3B" w:rsidRPr="00A94655" w:rsidRDefault="00E17A3B" w:rsidP="00837E57">
      <w:pPr>
        <w:widowControl w:val="0"/>
        <w:autoSpaceDN w:val="0"/>
        <w:spacing w:after="0" w:line="276" w:lineRule="auto"/>
        <w:ind w:firstLine="720"/>
        <w:jc w:val="both"/>
        <w:rPr>
          <w:rFonts w:eastAsia="Calibri" w:cs="Times New Roman"/>
          <w:color w:val="000000" w:themeColor="text1"/>
          <w:szCs w:val="24"/>
        </w:rPr>
      </w:pPr>
    </w:p>
    <w:p w14:paraId="33E8975D" w14:textId="77777777" w:rsidR="00E17A3B" w:rsidRPr="00A94655" w:rsidRDefault="00E17A3B" w:rsidP="00837E57">
      <w:pPr>
        <w:widowControl w:val="0"/>
        <w:spacing w:after="0" w:line="276" w:lineRule="auto"/>
        <w:jc w:val="center"/>
        <w:rPr>
          <w:rFonts w:cs="Times New Roman"/>
          <w:b/>
          <w:color w:val="000000" w:themeColor="text1"/>
          <w:szCs w:val="24"/>
        </w:rPr>
      </w:pPr>
      <w:r w:rsidRPr="00A94655">
        <w:rPr>
          <w:rFonts w:cs="Times New Roman"/>
          <w:b/>
          <w:color w:val="000000" w:themeColor="text1"/>
          <w:szCs w:val="24"/>
        </w:rPr>
        <w:t>nolēma</w:t>
      </w:r>
    </w:p>
    <w:p w14:paraId="7D039051" w14:textId="77777777" w:rsidR="00E17A3B" w:rsidRPr="00A94655" w:rsidRDefault="00E17A3B" w:rsidP="00837E57">
      <w:pPr>
        <w:widowControl w:val="0"/>
        <w:spacing w:after="0" w:line="276" w:lineRule="auto"/>
        <w:ind w:left="420"/>
        <w:jc w:val="center"/>
        <w:rPr>
          <w:rFonts w:cs="Times New Roman"/>
          <w:b/>
          <w:color w:val="000000" w:themeColor="text1"/>
          <w:szCs w:val="24"/>
        </w:rPr>
      </w:pPr>
    </w:p>
    <w:p w14:paraId="0CC462D9" w14:textId="77777777" w:rsidR="00E17A3B" w:rsidRPr="00A94655" w:rsidRDefault="00E17A3B" w:rsidP="00837E57">
      <w:pPr>
        <w:widowControl w:val="0"/>
        <w:spacing w:after="0" w:line="276" w:lineRule="auto"/>
        <w:ind w:firstLine="720"/>
        <w:rPr>
          <w:rFonts w:cs="Times New Roman"/>
          <w:color w:val="000000" w:themeColor="text1"/>
          <w:szCs w:val="24"/>
        </w:rPr>
      </w:pPr>
      <w:r w:rsidRPr="00A94655">
        <w:rPr>
          <w:rFonts w:cs="Times New Roman"/>
          <w:color w:val="000000" w:themeColor="text1"/>
          <w:szCs w:val="24"/>
        </w:rPr>
        <w:t>atteikt ierosināt kasācijas tiesvedību.</w:t>
      </w:r>
    </w:p>
    <w:p w14:paraId="6510D634" w14:textId="77777777" w:rsidR="00E17A3B" w:rsidRDefault="00E17A3B" w:rsidP="00837E57">
      <w:pPr>
        <w:widowControl w:val="0"/>
        <w:spacing w:after="0" w:line="276" w:lineRule="auto"/>
        <w:ind w:firstLine="720"/>
        <w:rPr>
          <w:rFonts w:cs="Times New Roman"/>
          <w:color w:val="000000" w:themeColor="text1"/>
          <w:szCs w:val="24"/>
        </w:rPr>
      </w:pPr>
    </w:p>
    <w:p w14:paraId="51F66BA5" w14:textId="77777777" w:rsidR="00E17A3B" w:rsidRDefault="00E17A3B" w:rsidP="00837E57">
      <w:pPr>
        <w:widowControl w:val="0"/>
        <w:spacing w:after="0" w:line="276" w:lineRule="auto"/>
        <w:ind w:firstLine="720"/>
        <w:rPr>
          <w:rFonts w:cs="Times New Roman"/>
          <w:color w:val="000000" w:themeColor="text1"/>
          <w:szCs w:val="24"/>
        </w:rPr>
      </w:pPr>
      <w:r w:rsidRPr="00A94655">
        <w:rPr>
          <w:rFonts w:cs="Times New Roman"/>
          <w:color w:val="000000" w:themeColor="text1"/>
          <w:szCs w:val="24"/>
        </w:rPr>
        <w:t>Lēmums nav pārsūdzams.</w:t>
      </w:r>
    </w:p>
    <w:bookmarkEnd w:id="0"/>
    <w:p w14:paraId="3DA023F3" w14:textId="77777777" w:rsidR="006B1995" w:rsidRDefault="006B1995" w:rsidP="00AB6B86"/>
    <w:sectPr w:rsidR="006B1995" w:rsidSect="00E17A3B">
      <w:footerReference w:type="default" r:id="rId8"/>
      <w:pgSz w:w="11907" w:h="16840" w:code="9"/>
      <w:pgMar w:top="1134" w:right="141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6D498" w14:textId="77777777" w:rsidR="00435C6E" w:rsidRDefault="00435C6E">
      <w:pPr>
        <w:spacing w:after="0" w:line="240" w:lineRule="auto"/>
      </w:pPr>
      <w:r>
        <w:separator/>
      </w:r>
    </w:p>
  </w:endnote>
  <w:endnote w:type="continuationSeparator" w:id="0">
    <w:p w14:paraId="6C4552D2" w14:textId="77777777" w:rsidR="00435C6E" w:rsidRDefault="0043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755952"/>
      <w:docPartObj>
        <w:docPartGallery w:val="Page Numbers (Bottom of Page)"/>
        <w:docPartUnique/>
      </w:docPartObj>
    </w:sdtPr>
    <w:sdtEndPr/>
    <w:sdtContent>
      <w:sdt>
        <w:sdtPr>
          <w:id w:val="1728636285"/>
          <w:docPartObj>
            <w:docPartGallery w:val="Page Numbers (Top of Page)"/>
            <w:docPartUnique/>
          </w:docPartObj>
        </w:sdtPr>
        <w:sdtEndPr/>
        <w:sdtContent>
          <w:p w14:paraId="5B0D25D7" w14:textId="7C8203D9" w:rsidR="00BD4E91" w:rsidRDefault="00645945" w:rsidP="00837E57">
            <w:pPr>
              <w:pStyle w:val="Footer"/>
              <w:jc w:val="center"/>
            </w:pPr>
            <w:r w:rsidRPr="00837E57">
              <w:rPr>
                <w:sz w:val="20"/>
                <w:szCs w:val="20"/>
              </w:rPr>
              <w:fldChar w:fldCharType="begin"/>
            </w:r>
            <w:r w:rsidRPr="00837E57">
              <w:rPr>
                <w:sz w:val="20"/>
                <w:szCs w:val="18"/>
              </w:rPr>
              <w:instrText xml:space="preserve"> PAGE </w:instrText>
            </w:r>
            <w:r w:rsidRPr="00837E57">
              <w:rPr>
                <w:sz w:val="20"/>
                <w:szCs w:val="20"/>
              </w:rPr>
              <w:fldChar w:fldCharType="separate"/>
            </w:r>
            <w:r w:rsidRPr="00837E57">
              <w:rPr>
                <w:noProof/>
                <w:sz w:val="20"/>
                <w:szCs w:val="18"/>
              </w:rPr>
              <w:t>2</w:t>
            </w:r>
            <w:r w:rsidRPr="00837E57">
              <w:rPr>
                <w:sz w:val="20"/>
                <w:szCs w:val="20"/>
              </w:rPr>
              <w:fldChar w:fldCharType="end"/>
            </w:r>
            <w:r w:rsidRPr="00837E57">
              <w:rPr>
                <w:sz w:val="20"/>
                <w:szCs w:val="18"/>
              </w:rPr>
              <w:t xml:space="preserve"> no </w:t>
            </w:r>
            <w:r w:rsidRPr="00837E57">
              <w:rPr>
                <w:sz w:val="20"/>
                <w:szCs w:val="20"/>
              </w:rPr>
              <w:fldChar w:fldCharType="begin"/>
            </w:r>
            <w:r w:rsidRPr="00837E57">
              <w:rPr>
                <w:sz w:val="20"/>
                <w:szCs w:val="18"/>
              </w:rPr>
              <w:instrText xml:space="preserve"> NUMPAGES  </w:instrText>
            </w:r>
            <w:r w:rsidRPr="00837E57">
              <w:rPr>
                <w:sz w:val="20"/>
                <w:szCs w:val="20"/>
              </w:rPr>
              <w:fldChar w:fldCharType="separate"/>
            </w:r>
            <w:r w:rsidRPr="00837E57">
              <w:rPr>
                <w:noProof/>
                <w:sz w:val="20"/>
                <w:szCs w:val="18"/>
              </w:rPr>
              <w:t>2</w:t>
            </w:r>
            <w:r w:rsidRPr="00837E5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93C0F" w14:textId="77777777" w:rsidR="00435C6E" w:rsidRDefault="00435C6E">
      <w:pPr>
        <w:spacing w:after="0" w:line="240" w:lineRule="auto"/>
      </w:pPr>
      <w:r>
        <w:separator/>
      </w:r>
    </w:p>
  </w:footnote>
  <w:footnote w:type="continuationSeparator" w:id="0">
    <w:p w14:paraId="044BCEE6" w14:textId="77777777" w:rsidR="00435C6E" w:rsidRDefault="00435C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3B"/>
    <w:rsid w:val="00001C2C"/>
    <w:rsid w:val="00037C9F"/>
    <w:rsid w:val="000F01D3"/>
    <w:rsid w:val="000F48B2"/>
    <w:rsid w:val="001B1EF6"/>
    <w:rsid w:val="001D73E5"/>
    <w:rsid w:val="001D784A"/>
    <w:rsid w:val="00224AB0"/>
    <w:rsid w:val="0024048A"/>
    <w:rsid w:val="00275400"/>
    <w:rsid w:val="002874D2"/>
    <w:rsid w:val="00296513"/>
    <w:rsid w:val="002A1D54"/>
    <w:rsid w:val="002D6096"/>
    <w:rsid w:val="00340EAA"/>
    <w:rsid w:val="00354E78"/>
    <w:rsid w:val="00367028"/>
    <w:rsid w:val="00375A78"/>
    <w:rsid w:val="003A7BE0"/>
    <w:rsid w:val="003D4FB0"/>
    <w:rsid w:val="003D675D"/>
    <w:rsid w:val="003F7AB8"/>
    <w:rsid w:val="00424FE0"/>
    <w:rsid w:val="00426A87"/>
    <w:rsid w:val="00435C6E"/>
    <w:rsid w:val="0046501C"/>
    <w:rsid w:val="004D782B"/>
    <w:rsid w:val="004E18DD"/>
    <w:rsid w:val="004E2F6F"/>
    <w:rsid w:val="00512169"/>
    <w:rsid w:val="0052220C"/>
    <w:rsid w:val="005A7B8A"/>
    <w:rsid w:val="005C7A22"/>
    <w:rsid w:val="005D5C2C"/>
    <w:rsid w:val="00624E04"/>
    <w:rsid w:val="00633360"/>
    <w:rsid w:val="00645945"/>
    <w:rsid w:val="006639F2"/>
    <w:rsid w:val="00693A7A"/>
    <w:rsid w:val="006B1995"/>
    <w:rsid w:val="006E10AA"/>
    <w:rsid w:val="006F35CF"/>
    <w:rsid w:val="007002B7"/>
    <w:rsid w:val="00711E20"/>
    <w:rsid w:val="00745AF3"/>
    <w:rsid w:val="007A0D28"/>
    <w:rsid w:val="007A4F65"/>
    <w:rsid w:val="00811B62"/>
    <w:rsid w:val="00830B0C"/>
    <w:rsid w:val="00837E57"/>
    <w:rsid w:val="00886B25"/>
    <w:rsid w:val="00890CE2"/>
    <w:rsid w:val="008C6F58"/>
    <w:rsid w:val="009220B7"/>
    <w:rsid w:val="009858AA"/>
    <w:rsid w:val="00995BED"/>
    <w:rsid w:val="009E7F51"/>
    <w:rsid w:val="00A02678"/>
    <w:rsid w:val="00A700BE"/>
    <w:rsid w:val="00A8117E"/>
    <w:rsid w:val="00AB6B86"/>
    <w:rsid w:val="00AD2435"/>
    <w:rsid w:val="00AF22DF"/>
    <w:rsid w:val="00B355F7"/>
    <w:rsid w:val="00B67317"/>
    <w:rsid w:val="00BC2F57"/>
    <w:rsid w:val="00BD4E91"/>
    <w:rsid w:val="00BF4BF8"/>
    <w:rsid w:val="00C07E85"/>
    <w:rsid w:val="00C3125F"/>
    <w:rsid w:val="00C72CD0"/>
    <w:rsid w:val="00CA7B7D"/>
    <w:rsid w:val="00CD0200"/>
    <w:rsid w:val="00D41474"/>
    <w:rsid w:val="00D424B0"/>
    <w:rsid w:val="00D72444"/>
    <w:rsid w:val="00D9628F"/>
    <w:rsid w:val="00DB5408"/>
    <w:rsid w:val="00DD3E28"/>
    <w:rsid w:val="00DE2A2B"/>
    <w:rsid w:val="00E17A3B"/>
    <w:rsid w:val="00E47C00"/>
    <w:rsid w:val="00E53B21"/>
    <w:rsid w:val="00E575CF"/>
    <w:rsid w:val="00F509F5"/>
    <w:rsid w:val="00F62E3F"/>
    <w:rsid w:val="00F73904"/>
    <w:rsid w:val="00FE6A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4027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3B"/>
    <w:pPr>
      <w:spacing w:line="252" w:lineRule="auto"/>
    </w:pPr>
    <w:rPr>
      <w:kern w:val="0"/>
      <w:lang w:val="lv-LV"/>
      <w14:ligatures w14:val="none"/>
    </w:rPr>
  </w:style>
  <w:style w:type="paragraph" w:styleId="Heading1">
    <w:name w:val="heading 1"/>
    <w:basedOn w:val="Normal"/>
    <w:next w:val="Normal"/>
    <w:link w:val="Heading1Char"/>
    <w:uiPriority w:val="9"/>
    <w:qFormat/>
    <w:rsid w:val="00E17A3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E17A3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E17A3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E17A3B"/>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E17A3B"/>
    <w:pPr>
      <w:keepNext/>
      <w:keepLines/>
      <w:spacing w:before="80" w:after="40" w:line="259"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E17A3B"/>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E17A3B"/>
    <w:pPr>
      <w:keepNext/>
      <w:keepLines/>
      <w:spacing w:before="40" w:after="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E17A3B"/>
    <w:pPr>
      <w:keepNext/>
      <w:keepLines/>
      <w:spacing w:after="0"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E17A3B"/>
    <w:pPr>
      <w:keepNext/>
      <w:keepLines/>
      <w:spacing w:after="0"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A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7A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7A3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7A3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17A3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17A3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17A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17A3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17A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17A3B"/>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E17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A3B"/>
    <w:pPr>
      <w:numPr>
        <w:ilvl w:val="1"/>
      </w:numPr>
      <w:spacing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E17A3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17A3B"/>
    <w:pPr>
      <w:spacing w:before="160" w:line="259" w:lineRule="auto"/>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E17A3B"/>
    <w:rPr>
      <w:i/>
      <w:iCs/>
      <w:color w:val="404040" w:themeColor="text1" w:themeTint="BF"/>
    </w:rPr>
  </w:style>
  <w:style w:type="paragraph" w:styleId="ListParagraph">
    <w:name w:val="List Paragraph"/>
    <w:basedOn w:val="Normal"/>
    <w:uiPriority w:val="34"/>
    <w:qFormat/>
    <w:rsid w:val="00E17A3B"/>
    <w:pPr>
      <w:spacing w:line="259" w:lineRule="auto"/>
      <w:ind w:left="720"/>
      <w:contextualSpacing/>
    </w:pPr>
    <w:rPr>
      <w:kern w:val="2"/>
      <w:lang w:val="en-US"/>
      <w14:ligatures w14:val="standardContextual"/>
    </w:rPr>
  </w:style>
  <w:style w:type="character" w:styleId="IntenseEmphasis">
    <w:name w:val="Intense Emphasis"/>
    <w:basedOn w:val="DefaultParagraphFont"/>
    <w:uiPriority w:val="21"/>
    <w:qFormat/>
    <w:rsid w:val="00E17A3B"/>
    <w:rPr>
      <w:i/>
      <w:iCs/>
      <w:color w:val="2F5496" w:themeColor="accent1" w:themeShade="BF"/>
    </w:rPr>
  </w:style>
  <w:style w:type="paragraph" w:styleId="IntenseQuote">
    <w:name w:val="Intense Quote"/>
    <w:basedOn w:val="Normal"/>
    <w:next w:val="Normal"/>
    <w:link w:val="IntenseQuoteChar"/>
    <w:uiPriority w:val="30"/>
    <w:qFormat/>
    <w:rsid w:val="00E17A3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E17A3B"/>
    <w:rPr>
      <w:i/>
      <w:iCs/>
      <w:color w:val="2F5496" w:themeColor="accent1" w:themeShade="BF"/>
    </w:rPr>
  </w:style>
  <w:style w:type="character" w:styleId="IntenseReference">
    <w:name w:val="Intense Reference"/>
    <w:basedOn w:val="DefaultParagraphFont"/>
    <w:uiPriority w:val="32"/>
    <w:qFormat/>
    <w:rsid w:val="00E17A3B"/>
    <w:rPr>
      <w:b/>
      <w:bCs/>
      <w:smallCaps/>
      <w:color w:val="2F5496" w:themeColor="accent1" w:themeShade="BF"/>
      <w:spacing w:val="5"/>
    </w:rPr>
  </w:style>
  <w:style w:type="table" w:styleId="TableGrid">
    <w:name w:val="Table Grid"/>
    <w:basedOn w:val="TableNormal"/>
    <w:uiPriority w:val="39"/>
    <w:rsid w:val="00E17A3B"/>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E17A3B"/>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semiHidden/>
    <w:rsid w:val="00E17A3B"/>
    <w:rPr>
      <w:rFonts w:eastAsia="Times New Roman" w:cs="Times New Roman"/>
      <w:kern w:val="0"/>
      <w:szCs w:val="24"/>
      <w:lang w:val="x-none" w:eastAsia="ru-RU"/>
      <w14:ligatures w14:val="none"/>
    </w:rPr>
  </w:style>
  <w:style w:type="paragraph" w:styleId="Header">
    <w:name w:val="header"/>
    <w:basedOn w:val="Normal"/>
    <w:link w:val="HeaderChar"/>
    <w:uiPriority w:val="99"/>
    <w:unhideWhenUsed/>
    <w:rsid w:val="00E17A3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7A3B"/>
    <w:rPr>
      <w:kern w:val="0"/>
      <w:lang w:val="lv-LV"/>
      <w14:ligatures w14:val="none"/>
    </w:rPr>
  </w:style>
  <w:style w:type="paragraph" w:styleId="Footer">
    <w:name w:val="footer"/>
    <w:basedOn w:val="Normal"/>
    <w:link w:val="FooterChar"/>
    <w:uiPriority w:val="99"/>
    <w:unhideWhenUsed/>
    <w:rsid w:val="00E17A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7A3B"/>
    <w:rPr>
      <w:kern w:val="0"/>
      <w:lang w:val="lv-LV"/>
      <w14:ligatures w14:val="none"/>
    </w:rPr>
  </w:style>
  <w:style w:type="paragraph" w:styleId="NoSpacing">
    <w:name w:val="No Spacing"/>
    <w:uiPriority w:val="1"/>
    <w:qFormat/>
    <w:rsid w:val="008C6F58"/>
    <w:pPr>
      <w:spacing w:after="0" w:line="240" w:lineRule="auto"/>
    </w:pPr>
    <w:rPr>
      <w:rFonts w:asciiTheme="minorHAnsi" w:hAnsiTheme="minorHAnsi"/>
      <w:kern w:val="0"/>
      <w:sz w:val="22"/>
      <w:lang w:val="lv-LV"/>
      <w14:ligatures w14:val="none"/>
    </w:rPr>
  </w:style>
  <w:style w:type="paragraph" w:styleId="Revision">
    <w:name w:val="Revision"/>
    <w:hidden/>
    <w:uiPriority w:val="99"/>
    <w:semiHidden/>
    <w:rsid w:val="002D6096"/>
    <w:pPr>
      <w:spacing w:after="0" w:line="240" w:lineRule="auto"/>
    </w:pPr>
    <w:rPr>
      <w:kern w:val="0"/>
      <w:lang w:val="lv-LV"/>
      <w14:ligatures w14:val="none"/>
    </w:rPr>
  </w:style>
  <w:style w:type="character" w:styleId="CommentReference">
    <w:name w:val="annotation reference"/>
    <w:basedOn w:val="DefaultParagraphFont"/>
    <w:uiPriority w:val="99"/>
    <w:semiHidden/>
    <w:unhideWhenUsed/>
    <w:rsid w:val="00375A78"/>
    <w:rPr>
      <w:sz w:val="16"/>
      <w:szCs w:val="16"/>
    </w:rPr>
  </w:style>
  <w:style w:type="paragraph" w:styleId="CommentText">
    <w:name w:val="annotation text"/>
    <w:basedOn w:val="Normal"/>
    <w:link w:val="CommentTextChar"/>
    <w:uiPriority w:val="99"/>
    <w:unhideWhenUsed/>
    <w:rsid w:val="00375A78"/>
    <w:pPr>
      <w:spacing w:line="240" w:lineRule="auto"/>
    </w:pPr>
    <w:rPr>
      <w:sz w:val="20"/>
      <w:szCs w:val="20"/>
    </w:rPr>
  </w:style>
  <w:style w:type="character" w:customStyle="1" w:styleId="CommentTextChar">
    <w:name w:val="Comment Text Char"/>
    <w:basedOn w:val="DefaultParagraphFont"/>
    <w:link w:val="CommentText"/>
    <w:uiPriority w:val="99"/>
    <w:rsid w:val="00375A78"/>
    <w:rPr>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375A78"/>
    <w:rPr>
      <w:b/>
      <w:bCs/>
    </w:rPr>
  </w:style>
  <w:style w:type="character" w:customStyle="1" w:styleId="CommentSubjectChar">
    <w:name w:val="Comment Subject Char"/>
    <w:basedOn w:val="CommentTextChar"/>
    <w:link w:val="CommentSubject"/>
    <w:uiPriority w:val="99"/>
    <w:semiHidden/>
    <w:rsid w:val="00375A78"/>
    <w:rPr>
      <w:b/>
      <w:bCs/>
      <w:kern w:val="0"/>
      <w:sz w:val="20"/>
      <w:szCs w:val="20"/>
      <w:lang w:val="lv-LV"/>
      <w14:ligatures w14:val="none"/>
    </w:rPr>
  </w:style>
  <w:style w:type="character" w:styleId="Hyperlink">
    <w:name w:val="Hyperlink"/>
    <w:basedOn w:val="DefaultParagraphFont"/>
    <w:uiPriority w:val="99"/>
    <w:unhideWhenUsed/>
    <w:rsid w:val="00AF22DF"/>
    <w:rPr>
      <w:color w:val="0563C1" w:themeColor="hyperlink"/>
      <w:u w:val="single"/>
    </w:rPr>
  </w:style>
  <w:style w:type="character" w:styleId="UnresolvedMention">
    <w:name w:val="Unresolved Mention"/>
    <w:basedOn w:val="DefaultParagraphFont"/>
    <w:uiPriority w:val="99"/>
    <w:semiHidden/>
    <w:unhideWhenUsed/>
    <w:rsid w:val="00AF22DF"/>
    <w:rPr>
      <w:color w:val="605E5C"/>
      <w:shd w:val="clear" w:color="auto" w:fill="E1DFDD"/>
    </w:rPr>
  </w:style>
  <w:style w:type="character" w:styleId="FollowedHyperlink">
    <w:name w:val="FollowedHyperlink"/>
    <w:basedOn w:val="DefaultParagraphFont"/>
    <w:uiPriority w:val="99"/>
    <w:semiHidden/>
    <w:unhideWhenUsed/>
    <w:rsid w:val="00AF22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738937">
      <w:bodyDiv w:val="1"/>
      <w:marLeft w:val="0"/>
      <w:marRight w:val="0"/>
      <w:marTop w:val="0"/>
      <w:marBottom w:val="0"/>
      <w:divBdr>
        <w:top w:val="none" w:sz="0" w:space="0" w:color="auto"/>
        <w:left w:val="none" w:sz="0" w:space="0" w:color="auto"/>
        <w:bottom w:val="none" w:sz="0" w:space="0" w:color="auto"/>
        <w:right w:val="none" w:sz="0" w:space="0" w:color="auto"/>
      </w:divBdr>
    </w:div>
    <w:div w:id="18663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ateway.elieta.lv/api/v1/PublicMaterialDownload/d4912e5d-743b-42a6-b9cd-3dfcc3f5376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805AB-059A-4794-9917-EB01D0D5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2492</Words>
  <Characters>1421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2025-09-05T10:12:00Z</dcterms:created>
  <dcterms:modified xsi:type="dcterms:W3CDTF">2025-09-08T05:45:00Z</dcterms:modified>
</cp:coreProperties>
</file>